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BE93" w14:textId="680393FE" w:rsidR="00F02F42" w:rsidRPr="00AD70F1" w:rsidRDefault="00F02F42" w:rsidP="008B291B">
      <w:pPr>
        <w:spacing w:line="480" w:lineRule="auto"/>
        <w:rPr>
          <w:b/>
          <w:bCs/>
          <w:sz w:val="24"/>
          <w:szCs w:val="24"/>
          <w:lang w:val="en-GB"/>
        </w:rPr>
      </w:pPr>
      <w:r w:rsidRPr="00AD70F1">
        <w:rPr>
          <w:b/>
          <w:bCs/>
          <w:sz w:val="24"/>
          <w:szCs w:val="24"/>
          <w:lang w:val="en-GB"/>
        </w:rPr>
        <w:t>Systematic review and pooled analysis of locoregional t</w:t>
      </w:r>
      <w:r w:rsidR="00D12612">
        <w:rPr>
          <w:b/>
          <w:bCs/>
          <w:sz w:val="24"/>
          <w:szCs w:val="24"/>
          <w:lang w:val="en-GB"/>
        </w:rPr>
        <w:t>herapies</w:t>
      </w:r>
      <w:r w:rsidRPr="00AD70F1">
        <w:rPr>
          <w:b/>
          <w:bCs/>
          <w:sz w:val="24"/>
          <w:szCs w:val="24"/>
          <w:lang w:val="en-GB"/>
        </w:rPr>
        <w:t xml:space="preserve"> </w:t>
      </w:r>
      <w:r w:rsidR="001B53C5">
        <w:rPr>
          <w:b/>
          <w:bCs/>
          <w:sz w:val="24"/>
          <w:szCs w:val="24"/>
          <w:lang w:val="en-GB"/>
        </w:rPr>
        <w:t>in</w:t>
      </w:r>
      <w:r w:rsidR="001B53C5" w:rsidRPr="00AD70F1">
        <w:rPr>
          <w:b/>
          <w:bCs/>
          <w:sz w:val="24"/>
          <w:szCs w:val="24"/>
          <w:lang w:val="en-GB"/>
        </w:rPr>
        <w:t xml:space="preserve"> </w:t>
      </w:r>
      <w:r w:rsidR="000D0255">
        <w:rPr>
          <w:b/>
          <w:bCs/>
          <w:sz w:val="24"/>
          <w:szCs w:val="24"/>
          <w:lang w:val="en-GB"/>
        </w:rPr>
        <w:t xml:space="preserve">patients with </w:t>
      </w:r>
      <w:r w:rsidRPr="00AD70F1">
        <w:rPr>
          <w:b/>
          <w:bCs/>
          <w:sz w:val="24"/>
          <w:szCs w:val="24"/>
          <w:lang w:val="en-GB"/>
        </w:rPr>
        <w:t>intrahepatic cholangiocarcinoma</w:t>
      </w:r>
    </w:p>
    <w:p w14:paraId="18630238" w14:textId="2B06ED44" w:rsidR="00F02F42" w:rsidRPr="00E636FA" w:rsidRDefault="00F02F42" w:rsidP="008B291B">
      <w:pPr>
        <w:spacing w:line="480" w:lineRule="auto"/>
        <w:rPr>
          <w:bCs/>
          <w:sz w:val="24"/>
          <w:szCs w:val="24"/>
          <w:lang w:val="en-GB"/>
        </w:rPr>
      </w:pPr>
      <w:r w:rsidRPr="00AD70F1">
        <w:rPr>
          <w:bCs/>
          <w:sz w:val="24"/>
          <w:szCs w:val="24"/>
          <w:lang w:val="en-GB"/>
        </w:rPr>
        <w:t>Julien Edeline</w:t>
      </w:r>
      <w:r w:rsidR="00D27F6F" w:rsidRPr="00AE48B6">
        <w:rPr>
          <w:bCs/>
          <w:sz w:val="24"/>
          <w:szCs w:val="24"/>
          <w:vertAlign w:val="superscript"/>
          <w:lang w:val="en-GB"/>
        </w:rPr>
        <w:t>1</w:t>
      </w:r>
      <w:r w:rsidRPr="00AD70F1">
        <w:rPr>
          <w:bCs/>
          <w:sz w:val="24"/>
          <w:szCs w:val="24"/>
          <w:lang w:val="en-GB"/>
        </w:rPr>
        <w:t>, Angela Lamarca</w:t>
      </w:r>
      <w:r w:rsidR="00F2488C" w:rsidRPr="00AE48B6">
        <w:rPr>
          <w:bCs/>
          <w:sz w:val="24"/>
          <w:szCs w:val="24"/>
          <w:vertAlign w:val="superscript"/>
          <w:lang w:val="en-GB"/>
        </w:rPr>
        <w:t>2</w:t>
      </w:r>
      <w:r w:rsidRPr="00AD70F1">
        <w:rPr>
          <w:bCs/>
          <w:sz w:val="24"/>
          <w:szCs w:val="24"/>
          <w:lang w:val="en-GB"/>
        </w:rPr>
        <w:t xml:space="preserve">, </w:t>
      </w:r>
      <w:proofErr w:type="spellStart"/>
      <w:r w:rsidRPr="00AD70F1">
        <w:rPr>
          <w:bCs/>
          <w:sz w:val="24"/>
          <w:szCs w:val="24"/>
          <w:lang w:val="en-GB"/>
        </w:rPr>
        <w:t>Mairéad</w:t>
      </w:r>
      <w:proofErr w:type="spellEnd"/>
      <w:r w:rsidRPr="00AD70F1">
        <w:rPr>
          <w:bCs/>
          <w:sz w:val="24"/>
          <w:szCs w:val="24"/>
          <w:lang w:val="en-GB"/>
        </w:rPr>
        <w:t xml:space="preserve"> G McNamara</w:t>
      </w:r>
      <w:r w:rsidR="000D0255" w:rsidRPr="00AE48B6">
        <w:rPr>
          <w:bCs/>
          <w:sz w:val="24"/>
          <w:szCs w:val="24"/>
          <w:vertAlign w:val="superscript"/>
          <w:lang w:val="en-GB"/>
        </w:rPr>
        <w:t>3</w:t>
      </w:r>
      <w:r w:rsidRPr="00AD70F1">
        <w:rPr>
          <w:bCs/>
          <w:sz w:val="24"/>
          <w:szCs w:val="24"/>
          <w:lang w:val="en-GB"/>
        </w:rPr>
        <w:t>, Tim</w:t>
      </w:r>
      <w:r w:rsidR="009824F7">
        <w:rPr>
          <w:bCs/>
          <w:sz w:val="24"/>
          <w:szCs w:val="24"/>
          <w:lang w:val="en-GB"/>
        </w:rPr>
        <w:t>othy</w:t>
      </w:r>
      <w:r w:rsidRPr="00AD70F1">
        <w:rPr>
          <w:bCs/>
          <w:sz w:val="24"/>
          <w:szCs w:val="24"/>
          <w:lang w:val="en-GB"/>
        </w:rPr>
        <w:t xml:space="preserve"> Jacobs</w:t>
      </w:r>
      <w:r w:rsidR="000D0255" w:rsidRPr="00AE48B6">
        <w:rPr>
          <w:bCs/>
          <w:sz w:val="24"/>
          <w:szCs w:val="24"/>
          <w:vertAlign w:val="superscript"/>
          <w:lang w:val="en-GB"/>
        </w:rPr>
        <w:t>4</w:t>
      </w:r>
      <w:r w:rsidRPr="00AD70F1">
        <w:rPr>
          <w:bCs/>
          <w:sz w:val="24"/>
          <w:szCs w:val="24"/>
          <w:lang w:val="en-GB"/>
        </w:rPr>
        <w:t>, Richard A Hubner</w:t>
      </w:r>
      <w:r w:rsidR="000D0255" w:rsidRPr="00AE48B6">
        <w:rPr>
          <w:bCs/>
          <w:sz w:val="24"/>
          <w:szCs w:val="24"/>
          <w:vertAlign w:val="superscript"/>
          <w:lang w:val="en-GB"/>
        </w:rPr>
        <w:t>2</w:t>
      </w:r>
      <w:r w:rsidRPr="00AD70F1">
        <w:rPr>
          <w:bCs/>
          <w:sz w:val="24"/>
          <w:szCs w:val="24"/>
          <w:lang w:val="en-GB"/>
        </w:rPr>
        <w:t>, Dan Palmer</w:t>
      </w:r>
      <w:r w:rsidR="00AE48B6" w:rsidRPr="00AE48B6">
        <w:rPr>
          <w:bCs/>
          <w:sz w:val="24"/>
          <w:szCs w:val="24"/>
          <w:vertAlign w:val="superscript"/>
          <w:lang w:val="en-GB"/>
        </w:rPr>
        <w:t>5</w:t>
      </w:r>
      <w:r w:rsidRPr="00AD70F1">
        <w:rPr>
          <w:bCs/>
          <w:sz w:val="24"/>
          <w:szCs w:val="24"/>
          <w:lang w:val="en-GB"/>
        </w:rPr>
        <w:t xml:space="preserve">, </w:t>
      </w:r>
      <w:r w:rsidR="00AE48B6">
        <w:rPr>
          <w:bCs/>
          <w:sz w:val="24"/>
          <w:szCs w:val="24"/>
          <w:lang w:val="en-GB"/>
        </w:rPr>
        <w:t>Bas Groot Koerkamp</w:t>
      </w:r>
      <w:r w:rsidR="00AE48B6" w:rsidRPr="00AE48B6">
        <w:rPr>
          <w:bCs/>
          <w:sz w:val="24"/>
          <w:szCs w:val="24"/>
          <w:vertAlign w:val="superscript"/>
          <w:lang w:val="en-GB"/>
        </w:rPr>
        <w:t>6</w:t>
      </w:r>
      <w:r w:rsidR="00AE48B6">
        <w:rPr>
          <w:bCs/>
          <w:sz w:val="24"/>
          <w:szCs w:val="24"/>
          <w:lang w:val="en-GB"/>
        </w:rPr>
        <w:t xml:space="preserve">, </w:t>
      </w:r>
      <w:r w:rsidRPr="00AD70F1">
        <w:rPr>
          <w:bCs/>
          <w:sz w:val="24"/>
          <w:szCs w:val="24"/>
          <w:lang w:val="en-GB"/>
        </w:rPr>
        <w:t>Philip Johnson</w:t>
      </w:r>
      <w:r w:rsidR="00AE48B6" w:rsidRPr="00AE48B6">
        <w:rPr>
          <w:bCs/>
          <w:sz w:val="24"/>
          <w:szCs w:val="24"/>
          <w:vertAlign w:val="superscript"/>
          <w:lang w:val="en-GB"/>
        </w:rPr>
        <w:t>5</w:t>
      </w:r>
      <w:r w:rsidRPr="00AD70F1">
        <w:rPr>
          <w:bCs/>
          <w:sz w:val="24"/>
          <w:szCs w:val="24"/>
          <w:lang w:val="en-GB"/>
        </w:rPr>
        <w:t>, Boris Guiu</w:t>
      </w:r>
      <w:r w:rsidR="00AE48B6">
        <w:rPr>
          <w:sz w:val="24"/>
          <w:szCs w:val="24"/>
          <w:vertAlign w:val="superscript"/>
          <w:lang w:val="en-GB"/>
        </w:rPr>
        <w:t>7</w:t>
      </w:r>
      <w:r w:rsidRPr="00AD70F1">
        <w:rPr>
          <w:bCs/>
          <w:sz w:val="24"/>
          <w:szCs w:val="24"/>
          <w:lang w:val="en-GB"/>
        </w:rPr>
        <w:t xml:space="preserve"> and Juan W Valle</w:t>
      </w:r>
      <w:r w:rsidR="000D0255" w:rsidRPr="00AE48B6">
        <w:rPr>
          <w:bCs/>
          <w:sz w:val="24"/>
          <w:szCs w:val="24"/>
          <w:vertAlign w:val="superscript"/>
          <w:lang w:val="en-GB"/>
        </w:rPr>
        <w:t>3</w:t>
      </w:r>
    </w:p>
    <w:p w14:paraId="58A6C62F" w14:textId="14D4D3FE" w:rsidR="00F2488C" w:rsidRPr="00D27F6F" w:rsidRDefault="00D27F6F" w:rsidP="00D25743">
      <w:pPr>
        <w:spacing w:after="0" w:line="480" w:lineRule="auto"/>
        <w:rPr>
          <w:sz w:val="24"/>
          <w:szCs w:val="24"/>
          <w:lang w:val="en-GB"/>
        </w:rPr>
      </w:pPr>
      <w:r w:rsidRPr="006D66ED">
        <w:rPr>
          <w:bCs/>
          <w:sz w:val="24"/>
          <w:szCs w:val="24"/>
          <w:vertAlign w:val="superscript"/>
          <w:lang w:val="en-GB"/>
        </w:rPr>
        <w:t>1</w:t>
      </w:r>
      <w:r>
        <w:rPr>
          <w:bCs/>
          <w:sz w:val="24"/>
          <w:szCs w:val="24"/>
          <w:lang w:val="en-GB"/>
        </w:rPr>
        <w:t>Department</w:t>
      </w:r>
      <w:r w:rsidR="00AE48B6">
        <w:rPr>
          <w:bCs/>
          <w:sz w:val="24"/>
          <w:szCs w:val="24"/>
          <w:lang w:val="en-GB"/>
        </w:rPr>
        <w:t xml:space="preserve"> of medical oncology, Centre Eugène Marquis, Rennes, France</w:t>
      </w:r>
    </w:p>
    <w:p w14:paraId="110DD4DD" w14:textId="77777777" w:rsidR="00F2488C" w:rsidRDefault="00F2488C" w:rsidP="00F2488C">
      <w:pPr>
        <w:pStyle w:val="Commentaire"/>
        <w:rPr>
          <w:sz w:val="24"/>
          <w:szCs w:val="24"/>
          <w:lang w:val="en-GB"/>
        </w:rPr>
      </w:pPr>
      <w:r w:rsidRPr="00AE48B6">
        <w:rPr>
          <w:sz w:val="24"/>
          <w:szCs w:val="24"/>
          <w:vertAlign w:val="superscript"/>
          <w:lang w:val="en-GB"/>
        </w:rPr>
        <w:t>2</w:t>
      </w:r>
      <w:r w:rsidRPr="00AE48B6">
        <w:rPr>
          <w:sz w:val="24"/>
          <w:szCs w:val="24"/>
          <w:lang w:val="en-GB"/>
        </w:rPr>
        <w:t>Department of Medical Oncology, The Christie NHS Foundation, Manchester; Division of Cancer Sciences, University of Manchester, Manchester, United Kingdom</w:t>
      </w:r>
    </w:p>
    <w:p w14:paraId="4A0651B3" w14:textId="56620D5D" w:rsidR="000D0255" w:rsidRDefault="000D0255" w:rsidP="00F2488C">
      <w:pPr>
        <w:pStyle w:val="Commentaire"/>
        <w:rPr>
          <w:sz w:val="24"/>
          <w:szCs w:val="24"/>
          <w:lang w:val="en-GB"/>
        </w:rPr>
      </w:pPr>
      <w:r w:rsidRPr="00AE48B6">
        <w:rPr>
          <w:sz w:val="24"/>
          <w:szCs w:val="24"/>
          <w:vertAlign w:val="superscript"/>
          <w:lang w:val="en-GB"/>
        </w:rPr>
        <w:t>3</w:t>
      </w:r>
      <w:r>
        <w:rPr>
          <w:sz w:val="24"/>
          <w:szCs w:val="24"/>
          <w:lang w:val="en-GB"/>
        </w:rPr>
        <w:t>Division of Cancer Science</w:t>
      </w:r>
      <w:r w:rsidR="00DB6CA6">
        <w:rPr>
          <w:sz w:val="24"/>
          <w:szCs w:val="24"/>
          <w:lang w:val="en-GB"/>
        </w:rPr>
        <w:t>s, University of Manchester/Depa</w:t>
      </w:r>
      <w:r>
        <w:rPr>
          <w:sz w:val="24"/>
          <w:szCs w:val="24"/>
          <w:lang w:val="en-GB"/>
        </w:rPr>
        <w:t>rtment of Medical Oncology, Manchester, United Kingdom.</w:t>
      </w:r>
    </w:p>
    <w:p w14:paraId="5E47237E" w14:textId="67C5FE79" w:rsidR="000D0255" w:rsidRDefault="000D0255" w:rsidP="00F2488C">
      <w:pPr>
        <w:pStyle w:val="Commentaire"/>
        <w:rPr>
          <w:sz w:val="24"/>
          <w:szCs w:val="24"/>
          <w:lang w:val="en-GB"/>
        </w:rPr>
      </w:pPr>
      <w:r w:rsidRPr="00AE48B6">
        <w:rPr>
          <w:sz w:val="24"/>
          <w:szCs w:val="24"/>
          <w:vertAlign w:val="superscript"/>
          <w:lang w:val="en-GB"/>
        </w:rPr>
        <w:t>4</w:t>
      </w:r>
      <w:r>
        <w:rPr>
          <w:sz w:val="24"/>
          <w:szCs w:val="24"/>
          <w:lang w:val="en-GB"/>
        </w:rPr>
        <w:t>The library, The Christie NHS Foundation Trust, Manchester, United Kingdom.</w:t>
      </w:r>
    </w:p>
    <w:p w14:paraId="31C05235" w14:textId="3B404EA1" w:rsidR="00AE48B6" w:rsidRDefault="00AE48B6" w:rsidP="00F2488C">
      <w:pPr>
        <w:pStyle w:val="Commentaire"/>
        <w:rPr>
          <w:sz w:val="24"/>
          <w:szCs w:val="24"/>
          <w:lang w:val="en-GB"/>
        </w:rPr>
      </w:pPr>
      <w:r w:rsidRPr="00D25743">
        <w:rPr>
          <w:sz w:val="24"/>
          <w:szCs w:val="24"/>
          <w:vertAlign w:val="superscript"/>
          <w:lang w:val="en-GB"/>
        </w:rPr>
        <w:t>5</w:t>
      </w:r>
      <w:r>
        <w:rPr>
          <w:sz w:val="24"/>
          <w:szCs w:val="24"/>
          <w:lang w:val="en-GB"/>
        </w:rPr>
        <w:t>University of Liverpool, Liverpool, United Kingdom.</w:t>
      </w:r>
    </w:p>
    <w:p w14:paraId="2D153DE5" w14:textId="71BAA353" w:rsidR="00AE48B6" w:rsidRPr="00AE48B6" w:rsidRDefault="00AE48B6" w:rsidP="00F2488C">
      <w:pPr>
        <w:pStyle w:val="Commentaire"/>
        <w:rPr>
          <w:sz w:val="24"/>
          <w:szCs w:val="24"/>
          <w:lang w:val="en-GB"/>
        </w:rPr>
      </w:pPr>
      <w:r w:rsidRPr="00D25743">
        <w:rPr>
          <w:sz w:val="24"/>
          <w:szCs w:val="24"/>
          <w:vertAlign w:val="superscript"/>
          <w:lang w:val="en-GB"/>
        </w:rPr>
        <w:t>6</w:t>
      </w:r>
      <w:r>
        <w:rPr>
          <w:sz w:val="24"/>
          <w:szCs w:val="24"/>
          <w:lang w:val="en-GB"/>
        </w:rPr>
        <w:t>Hepatobiliary Surgery, Erasmus MC, Rotterdam, Netherlands.</w:t>
      </w:r>
    </w:p>
    <w:p w14:paraId="5AABE951" w14:textId="7171B276" w:rsidR="00F2488C" w:rsidRDefault="00AE48B6" w:rsidP="00F2488C">
      <w:pPr>
        <w:pStyle w:val="Commentaire"/>
        <w:rPr>
          <w:sz w:val="24"/>
          <w:szCs w:val="24"/>
          <w:lang w:val="en-GB"/>
        </w:rPr>
      </w:pPr>
      <w:r>
        <w:rPr>
          <w:sz w:val="24"/>
          <w:szCs w:val="24"/>
          <w:vertAlign w:val="superscript"/>
          <w:lang w:val="en-GB"/>
        </w:rPr>
        <w:t>7</w:t>
      </w:r>
      <w:r w:rsidR="00BE6414">
        <w:rPr>
          <w:sz w:val="24"/>
          <w:szCs w:val="24"/>
          <w:lang w:val="en-GB"/>
        </w:rPr>
        <w:t>Departement of Radiology, St-Eloi University Hospital, Montpellier, France</w:t>
      </w:r>
      <w:r>
        <w:rPr>
          <w:sz w:val="24"/>
          <w:szCs w:val="24"/>
          <w:lang w:val="en-GB"/>
        </w:rPr>
        <w:t>.</w:t>
      </w:r>
    </w:p>
    <w:p w14:paraId="53CE19D7" w14:textId="7FCCB36C" w:rsidR="00AE48B6" w:rsidRDefault="00AE48B6">
      <w:pPr>
        <w:rPr>
          <w:b/>
          <w:sz w:val="24"/>
          <w:szCs w:val="24"/>
          <w:lang w:val="en-GB"/>
        </w:rPr>
      </w:pPr>
    </w:p>
    <w:p w14:paraId="33859B5E" w14:textId="77777777" w:rsidR="00FE3C3E" w:rsidRDefault="00FE3C3E" w:rsidP="00FE3C3E">
      <w:pPr>
        <w:spacing w:after="0" w:line="480" w:lineRule="auto"/>
        <w:rPr>
          <w:b/>
          <w:sz w:val="24"/>
          <w:szCs w:val="24"/>
          <w:lang w:val="en-GB"/>
        </w:rPr>
      </w:pPr>
      <w:r>
        <w:rPr>
          <w:b/>
          <w:sz w:val="24"/>
          <w:szCs w:val="24"/>
          <w:lang w:val="en-GB"/>
        </w:rPr>
        <w:t>Authors contribution</w:t>
      </w:r>
    </w:p>
    <w:p w14:paraId="27A63972" w14:textId="77777777" w:rsidR="00FE3C3E" w:rsidRDefault="00FE3C3E" w:rsidP="00FE3C3E">
      <w:pPr>
        <w:spacing w:after="0" w:line="480" w:lineRule="auto"/>
        <w:rPr>
          <w:sz w:val="24"/>
          <w:szCs w:val="24"/>
          <w:lang w:val="en-GB"/>
        </w:rPr>
      </w:pPr>
      <w:r>
        <w:rPr>
          <w:sz w:val="24"/>
          <w:szCs w:val="24"/>
          <w:lang w:val="en-GB"/>
        </w:rPr>
        <w:t>Design of the study: JE, AL, MM and JV</w:t>
      </w:r>
    </w:p>
    <w:p w14:paraId="2EF68B27" w14:textId="77777777" w:rsidR="00FE3C3E" w:rsidRDefault="00FE3C3E" w:rsidP="00FE3C3E">
      <w:pPr>
        <w:spacing w:after="0" w:line="480" w:lineRule="auto"/>
        <w:rPr>
          <w:sz w:val="24"/>
          <w:szCs w:val="24"/>
          <w:lang w:val="en-GB"/>
        </w:rPr>
      </w:pPr>
      <w:r>
        <w:rPr>
          <w:sz w:val="24"/>
          <w:szCs w:val="24"/>
          <w:lang w:val="en-GB"/>
        </w:rPr>
        <w:t>Protocol development: JE, AL, MM, TJ, BG and JV</w:t>
      </w:r>
    </w:p>
    <w:p w14:paraId="43452E9C" w14:textId="77777777" w:rsidR="00FE3C3E" w:rsidRDefault="00FE3C3E" w:rsidP="00FE3C3E">
      <w:pPr>
        <w:spacing w:after="0" w:line="480" w:lineRule="auto"/>
        <w:rPr>
          <w:sz w:val="24"/>
          <w:szCs w:val="24"/>
          <w:lang w:val="en-GB"/>
        </w:rPr>
      </w:pPr>
      <w:r>
        <w:rPr>
          <w:sz w:val="24"/>
          <w:szCs w:val="24"/>
          <w:lang w:val="en-GB"/>
        </w:rPr>
        <w:t>Acquisition of data: JE, AL and JV</w:t>
      </w:r>
    </w:p>
    <w:p w14:paraId="5019EF89" w14:textId="77777777" w:rsidR="00FE3C3E" w:rsidRDefault="00FE3C3E" w:rsidP="00FE3C3E">
      <w:pPr>
        <w:spacing w:after="0" w:line="480" w:lineRule="auto"/>
        <w:rPr>
          <w:sz w:val="24"/>
          <w:szCs w:val="24"/>
          <w:lang w:val="en-GB"/>
        </w:rPr>
      </w:pPr>
      <w:r>
        <w:rPr>
          <w:sz w:val="24"/>
          <w:szCs w:val="24"/>
          <w:lang w:val="en-GB"/>
        </w:rPr>
        <w:t>Statistical analysis: JE and AL</w:t>
      </w:r>
    </w:p>
    <w:p w14:paraId="0E0744F2" w14:textId="77777777" w:rsidR="00FE3C3E" w:rsidRDefault="00FE3C3E" w:rsidP="00FE3C3E">
      <w:pPr>
        <w:spacing w:after="0" w:line="480" w:lineRule="auto"/>
        <w:rPr>
          <w:sz w:val="24"/>
          <w:szCs w:val="24"/>
          <w:lang w:val="en-GB"/>
        </w:rPr>
      </w:pPr>
      <w:r>
        <w:rPr>
          <w:sz w:val="24"/>
          <w:szCs w:val="24"/>
          <w:lang w:val="en-GB"/>
        </w:rPr>
        <w:t>Analysis of data: all authors</w:t>
      </w:r>
    </w:p>
    <w:p w14:paraId="47ECBA27" w14:textId="77777777" w:rsidR="00FE3C3E" w:rsidRDefault="00FE3C3E" w:rsidP="00FE3C3E">
      <w:pPr>
        <w:spacing w:after="0" w:line="480" w:lineRule="auto"/>
        <w:rPr>
          <w:sz w:val="24"/>
          <w:szCs w:val="24"/>
          <w:lang w:val="en-GB"/>
        </w:rPr>
      </w:pPr>
      <w:r>
        <w:rPr>
          <w:sz w:val="24"/>
          <w:szCs w:val="24"/>
          <w:lang w:val="en-GB"/>
        </w:rPr>
        <w:t>First draft of the manuscript: JE</w:t>
      </w:r>
    </w:p>
    <w:p w14:paraId="5FAE3385" w14:textId="77777777" w:rsidR="00FE3C3E" w:rsidRDefault="00FE3C3E" w:rsidP="00FE3C3E">
      <w:pPr>
        <w:spacing w:after="0" w:line="480" w:lineRule="auto"/>
        <w:rPr>
          <w:sz w:val="24"/>
          <w:szCs w:val="24"/>
          <w:lang w:val="en-GB"/>
        </w:rPr>
      </w:pPr>
      <w:r>
        <w:rPr>
          <w:sz w:val="24"/>
          <w:szCs w:val="24"/>
          <w:lang w:val="en-GB"/>
        </w:rPr>
        <w:t>Critical revision and acceptance of final version of the manuscript: all authors</w:t>
      </w:r>
    </w:p>
    <w:p w14:paraId="6B0C3DED" w14:textId="3E772231" w:rsidR="00FE3C3E" w:rsidRDefault="00FE3C3E">
      <w:pPr>
        <w:rPr>
          <w:sz w:val="24"/>
          <w:szCs w:val="24"/>
          <w:lang w:val="en-GB"/>
        </w:rPr>
      </w:pPr>
    </w:p>
    <w:p w14:paraId="7B6780B2" w14:textId="13C8649B" w:rsidR="0056133B" w:rsidRDefault="0056133B" w:rsidP="0056133B">
      <w:pPr>
        <w:rPr>
          <w:b/>
          <w:sz w:val="24"/>
          <w:szCs w:val="24"/>
          <w:lang w:val="en-GB"/>
        </w:rPr>
      </w:pPr>
      <w:r>
        <w:rPr>
          <w:b/>
          <w:sz w:val="24"/>
          <w:szCs w:val="24"/>
          <w:lang w:val="en-GB"/>
        </w:rPr>
        <w:t>Electronic word count: 5 985</w:t>
      </w:r>
    </w:p>
    <w:p w14:paraId="588F535F" w14:textId="1DCCAA69" w:rsidR="0056133B" w:rsidRDefault="0056133B" w:rsidP="0056133B">
      <w:pPr>
        <w:rPr>
          <w:b/>
          <w:sz w:val="24"/>
          <w:szCs w:val="24"/>
          <w:lang w:val="en-GB"/>
        </w:rPr>
      </w:pPr>
      <w:r>
        <w:rPr>
          <w:b/>
          <w:sz w:val="24"/>
          <w:szCs w:val="24"/>
          <w:lang w:val="en-GB"/>
        </w:rPr>
        <w:t>Number of figures: 4</w:t>
      </w:r>
    </w:p>
    <w:p w14:paraId="4FB23AE9" w14:textId="2E45FAE9" w:rsidR="0056133B" w:rsidRDefault="0056133B" w:rsidP="0056133B">
      <w:pPr>
        <w:rPr>
          <w:b/>
          <w:sz w:val="24"/>
          <w:szCs w:val="24"/>
          <w:lang w:val="en-GB"/>
        </w:rPr>
      </w:pPr>
      <w:r>
        <w:rPr>
          <w:b/>
          <w:sz w:val="24"/>
          <w:szCs w:val="24"/>
          <w:lang w:val="en-GB"/>
        </w:rPr>
        <w:t>Number of Tables: 4</w:t>
      </w:r>
    </w:p>
    <w:p w14:paraId="4DB77836" w14:textId="2CA146EC" w:rsidR="0056133B" w:rsidRDefault="0056133B" w:rsidP="0056133B">
      <w:pPr>
        <w:rPr>
          <w:b/>
          <w:sz w:val="24"/>
          <w:szCs w:val="24"/>
          <w:lang w:val="en-GB"/>
        </w:rPr>
      </w:pPr>
      <w:r>
        <w:rPr>
          <w:b/>
          <w:sz w:val="24"/>
          <w:szCs w:val="24"/>
          <w:lang w:val="en-GB"/>
        </w:rPr>
        <w:t>Supplementary materials: 2 figures and 2 Tables</w:t>
      </w:r>
      <w:bookmarkStart w:id="0" w:name="_GoBack"/>
      <w:bookmarkEnd w:id="0"/>
    </w:p>
    <w:p w14:paraId="70C9AF41" w14:textId="77777777" w:rsidR="0056133B" w:rsidRPr="0056133B" w:rsidRDefault="0056133B" w:rsidP="0056133B">
      <w:pPr>
        <w:rPr>
          <w:b/>
          <w:sz w:val="24"/>
          <w:szCs w:val="24"/>
          <w:lang w:val="en-GB"/>
        </w:rPr>
      </w:pPr>
    </w:p>
    <w:p w14:paraId="1022A9C3" w14:textId="47C17598" w:rsidR="00F2488C" w:rsidRPr="00AE48B6" w:rsidRDefault="003C37B8" w:rsidP="00F2488C">
      <w:pPr>
        <w:pStyle w:val="Commentaire"/>
        <w:rPr>
          <w:b/>
          <w:sz w:val="24"/>
          <w:szCs w:val="24"/>
          <w:lang w:val="en-GB"/>
        </w:rPr>
      </w:pPr>
      <w:r>
        <w:rPr>
          <w:b/>
          <w:sz w:val="24"/>
          <w:szCs w:val="24"/>
          <w:lang w:val="en-GB"/>
        </w:rPr>
        <w:t>Financial Support</w:t>
      </w:r>
    </w:p>
    <w:p w14:paraId="1CD74F72" w14:textId="09860994" w:rsidR="00F2488C" w:rsidRPr="00AE48B6" w:rsidRDefault="00F2488C" w:rsidP="00F2488C">
      <w:pPr>
        <w:rPr>
          <w:sz w:val="24"/>
          <w:szCs w:val="24"/>
          <w:lang w:val="en-GB"/>
        </w:rPr>
      </w:pPr>
      <w:r w:rsidRPr="00AE48B6">
        <w:rPr>
          <w:sz w:val="24"/>
          <w:szCs w:val="24"/>
          <w:lang w:val="en-GB"/>
        </w:rPr>
        <w:t xml:space="preserve">Dr Angela </w:t>
      </w:r>
      <w:proofErr w:type="spellStart"/>
      <w:r w:rsidRPr="00AE48B6">
        <w:rPr>
          <w:sz w:val="24"/>
          <w:szCs w:val="24"/>
          <w:lang w:val="en-GB"/>
        </w:rPr>
        <w:t>Lamarca</w:t>
      </w:r>
      <w:proofErr w:type="spellEnd"/>
      <w:r w:rsidRPr="00AE48B6">
        <w:rPr>
          <w:sz w:val="24"/>
          <w:szCs w:val="24"/>
          <w:lang w:val="en-GB"/>
        </w:rPr>
        <w:t xml:space="preserve"> received funding from The Christie Charity and the European Union’s Horizon 2020 Research and Innovation Programme [grant number 825510, ESCALON]; she is a </w:t>
      </w:r>
      <w:r w:rsidR="00127847" w:rsidRPr="00326791">
        <w:rPr>
          <w:sz w:val="24"/>
          <w:szCs w:val="24"/>
          <w:lang w:val="en-GB"/>
        </w:rPr>
        <w:t>member</w:t>
      </w:r>
      <w:r w:rsidRPr="00AE48B6">
        <w:rPr>
          <w:sz w:val="24"/>
          <w:szCs w:val="24"/>
          <w:lang w:val="en-GB"/>
        </w:rPr>
        <w:t xml:space="preserve"> of the COST Action European Cholangiocarcinoma Network, supported by COST (European Cooperation in Science and Technology; www.cost.eu), a funding agency for research and innovation networks. </w:t>
      </w:r>
    </w:p>
    <w:p w14:paraId="1D38451E" w14:textId="014830F2" w:rsidR="00F2488C" w:rsidRPr="00AE48B6" w:rsidRDefault="00F2488C" w:rsidP="00F2488C">
      <w:pPr>
        <w:pStyle w:val="Commentaire"/>
        <w:rPr>
          <w:b/>
          <w:sz w:val="24"/>
          <w:szCs w:val="24"/>
          <w:lang w:val="en-GB"/>
        </w:rPr>
      </w:pPr>
      <w:r w:rsidRPr="00AE48B6">
        <w:rPr>
          <w:b/>
          <w:sz w:val="24"/>
          <w:szCs w:val="24"/>
          <w:lang w:val="en-GB"/>
        </w:rPr>
        <w:t>Conflict of interest</w:t>
      </w:r>
      <w:r w:rsidR="00A24966">
        <w:rPr>
          <w:b/>
          <w:sz w:val="24"/>
          <w:szCs w:val="24"/>
          <w:lang w:val="en-GB"/>
        </w:rPr>
        <w:t xml:space="preserve"> statements</w:t>
      </w:r>
    </w:p>
    <w:p w14:paraId="0BA4EECB" w14:textId="73586B21" w:rsidR="00AE48B6" w:rsidRDefault="00AE48B6" w:rsidP="00F2488C">
      <w:pPr>
        <w:pStyle w:val="Commentaire"/>
        <w:rPr>
          <w:sz w:val="24"/>
          <w:szCs w:val="24"/>
          <w:lang w:val="en-GB"/>
        </w:rPr>
      </w:pPr>
      <w:r>
        <w:rPr>
          <w:sz w:val="24"/>
          <w:szCs w:val="24"/>
          <w:lang w:val="en-GB"/>
        </w:rPr>
        <w:t xml:space="preserve">Dr Julien Edeline received advisory honoraria from Boston Scientific, Roche, Bayer, AstraZeneca, BMS, MSD, Eisai, </w:t>
      </w:r>
      <w:proofErr w:type="spellStart"/>
      <w:r>
        <w:rPr>
          <w:sz w:val="24"/>
          <w:szCs w:val="24"/>
          <w:lang w:val="en-GB"/>
        </w:rPr>
        <w:t>Ipsen</w:t>
      </w:r>
      <w:proofErr w:type="spellEnd"/>
      <w:r>
        <w:rPr>
          <w:sz w:val="24"/>
          <w:szCs w:val="24"/>
          <w:lang w:val="en-GB"/>
        </w:rPr>
        <w:t>. He received research grant support from Boston Scientific, Beigene, BMS.</w:t>
      </w:r>
    </w:p>
    <w:p w14:paraId="12C040AE" w14:textId="28459F8A" w:rsidR="00F2488C" w:rsidRDefault="00F2488C" w:rsidP="00F2488C">
      <w:pPr>
        <w:pStyle w:val="Commentaire"/>
        <w:rPr>
          <w:sz w:val="24"/>
          <w:szCs w:val="24"/>
          <w:lang w:val="en-GB"/>
        </w:rPr>
      </w:pPr>
      <w:r w:rsidRPr="00AE48B6">
        <w:rPr>
          <w:sz w:val="24"/>
          <w:szCs w:val="24"/>
          <w:lang w:val="en-GB"/>
        </w:rPr>
        <w:t xml:space="preserve">Dr Angela </w:t>
      </w:r>
      <w:proofErr w:type="spellStart"/>
      <w:r w:rsidRPr="00AE48B6">
        <w:rPr>
          <w:sz w:val="24"/>
          <w:szCs w:val="24"/>
          <w:lang w:val="en-GB"/>
        </w:rPr>
        <w:t>Lamarca</w:t>
      </w:r>
      <w:proofErr w:type="spellEnd"/>
      <w:r w:rsidRPr="00AE48B6">
        <w:rPr>
          <w:sz w:val="24"/>
          <w:szCs w:val="24"/>
          <w:lang w:val="en-GB"/>
        </w:rPr>
        <w:t xml:space="preserve"> received travel and educational support from </w:t>
      </w:r>
      <w:proofErr w:type="spellStart"/>
      <w:r w:rsidRPr="00AE48B6">
        <w:rPr>
          <w:sz w:val="24"/>
          <w:szCs w:val="24"/>
          <w:lang w:val="en-GB"/>
        </w:rPr>
        <w:t>Ipsen</w:t>
      </w:r>
      <w:proofErr w:type="spellEnd"/>
      <w:r w:rsidRPr="00AE48B6">
        <w:rPr>
          <w:sz w:val="24"/>
          <w:szCs w:val="24"/>
          <w:lang w:val="en-GB"/>
        </w:rPr>
        <w:t xml:space="preserve">, Pfizer, Bayer, AAA, </w:t>
      </w:r>
      <w:proofErr w:type="spellStart"/>
      <w:r w:rsidRPr="00AE48B6">
        <w:rPr>
          <w:sz w:val="24"/>
          <w:szCs w:val="24"/>
          <w:lang w:val="en-GB"/>
        </w:rPr>
        <w:t>SirtEx</w:t>
      </w:r>
      <w:proofErr w:type="spellEnd"/>
      <w:r w:rsidRPr="00AE48B6">
        <w:rPr>
          <w:sz w:val="24"/>
          <w:szCs w:val="24"/>
          <w:lang w:val="en-GB"/>
        </w:rPr>
        <w:t xml:space="preserve">, Novartis, Mylan and </w:t>
      </w:r>
      <w:proofErr w:type="spellStart"/>
      <w:r w:rsidRPr="00AE48B6">
        <w:rPr>
          <w:sz w:val="24"/>
          <w:szCs w:val="24"/>
          <w:lang w:val="en-GB"/>
        </w:rPr>
        <w:t>Delcath</w:t>
      </w:r>
      <w:proofErr w:type="spellEnd"/>
      <w:r w:rsidRPr="00AE48B6">
        <w:rPr>
          <w:sz w:val="24"/>
          <w:szCs w:val="24"/>
          <w:lang w:val="en-GB"/>
        </w:rPr>
        <w:t xml:space="preserve">; speaker honoraria from Merck, Pfizer, </w:t>
      </w:r>
      <w:proofErr w:type="spellStart"/>
      <w:r w:rsidRPr="00AE48B6">
        <w:rPr>
          <w:sz w:val="24"/>
          <w:szCs w:val="24"/>
          <w:lang w:val="en-GB"/>
        </w:rPr>
        <w:t>Ipsen</w:t>
      </w:r>
      <w:proofErr w:type="spellEnd"/>
      <w:r w:rsidRPr="00AE48B6">
        <w:rPr>
          <w:sz w:val="24"/>
          <w:szCs w:val="24"/>
          <w:lang w:val="en-GB"/>
        </w:rPr>
        <w:t xml:space="preserve">, </w:t>
      </w:r>
      <w:proofErr w:type="spellStart"/>
      <w:r w:rsidRPr="00AE48B6">
        <w:rPr>
          <w:sz w:val="24"/>
          <w:szCs w:val="24"/>
          <w:lang w:val="en-GB"/>
        </w:rPr>
        <w:t>Incyte</w:t>
      </w:r>
      <w:proofErr w:type="spellEnd"/>
      <w:r w:rsidRPr="00AE48B6">
        <w:rPr>
          <w:sz w:val="24"/>
          <w:szCs w:val="24"/>
          <w:lang w:val="en-GB"/>
        </w:rPr>
        <w:t xml:space="preserve"> and AAA; advisory honoraria from EISAI, </w:t>
      </w:r>
      <w:proofErr w:type="spellStart"/>
      <w:r w:rsidRPr="00AE48B6">
        <w:rPr>
          <w:sz w:val="24"/>
          <w:szCs w:val="24"/>
          <w:lang w:val="en-GB"/>
        </w:rPr>
        <w:t>Nutricia</w:t>
      </w:r>
      <w:proofErr w:type="spellEnd"/>
      <w:r w:rsidRPr="00AE48B6">
        <w:rPr>
          <w:sz w:val="24"/>
          <w:szCs w:val="24"/>
          <w:lang w:val="en-GB"/>
        </w:rPr>
        <w:t xml:space="preserve"> </w:t>
      </w:r>
      <w:proofErr w:type="spellStart"/>
      <w:r w:rsidRPr="00AE48B6">
        <w:rPr>
          <w:sz w:val="24"/>
          <w:szCs w:val="24"/>
          <w:lang w:val="en-GB"/>
        </w:rPr>
        <w:t>Ipsen</w:t>
      </w:r>
      <w:proofErr w:type="spellEnd"/>
      <w:r w:rsidRPr="00AE48B6">
        <w:rPr>
          <w:sz w:val="24"/>
          <w:szCs w:val="24"/>
          <w:lang w:val="en-GB"/>
        </w:rPr>
        <w:t xml:space="preserve">, QED and Roche; she is a member of the Knowledge Network and </w:t>
      </w:r>
      <w:proofErr w:type="spellStart"/>
      <w:r w:rsidRPr="00AE48B6">
        <w:rPr>
          <w:sz w:val="24"/>
          <w:szCs w:val="24"/>
          <w:lang w:val="en-GB"/>
        </w:rPr>
        <w:t>NETConnect</w:t>
      </w:r>
      <w:proofErr w:type="spellEnd"/>
      <w:r w:rsidRPr="00AE48B6">
        <w:rPr>
          <w:sz w:val="24"/>
          <w:szCs w:val="24"/>
          <w:lang w:val="en-GB"/>
        </w:rPr>
        <w:t xml:space="preserve"> Initiatives funded by </w:t>
      </w:r>
      <w:proofErr w:type="spellStart"/>
      <w:r w:rsidRPr="00AE48B6">
        <w:rPr>
          <w:sz w:val="24"/>
          <w:szCs w:val="24"/>
          <w:lang w:val="en-GB"/>
        </w:rPr>
        <w:t>Ipsen</w:t>
      </w:r>
      <w:proofErr w:type="spellEnd"/>
      <w:r w:rsidRPr="00AE48B6">
        <w:rPr>
          <w:sz w:val="24"/>
          <w:szCs w:val="24"/>
          <w:lang w:val="en-GB"/>
        </w:rPr>
        <w:t>.</w:t>
      </w:r>
    </w:p>
    <w:p w14:paraId="015D7288" w14:textId="24A1C006" w:rsidR="00C728AA" w:rsidRDefault="00C728AA" w:rsidP="00F2488C">
      <w:pPr>
        <w:pStyle w:val="Commentaire"/>
        <w:rPr>
          <w:sz w:val="24"/>
          <w:szCs w:val="24"/>
          <w:lang w:val="en-GB"/>
        </w:rPr>
      </w:pPr>
      <w:r w:rsidRPr="00C728AA">
        <w:rPr>
          <w:sz w:val="24"/>
          <w:szCs w:val="24"/>
          <w:lang w:val="en-GB"/>
        </w:rPr>
        <w:t xml:space="preserve">Dr </w:t>
      </w:r>
      <w:proofErr w:type="spellStart"/>
      <w:r w:rsidRPr="00C728AA">
        <w:rPr>
          <w:sz w:val="24"/>
          <w:szCs w:val="24"/>
          <w:lang w:val="en-GB"/>
        </w:rPr>
        <w:t>Mairéad</w:t>
      </w:r>
      <w:proofErr w:type="spellEnd"/>
      <w:r w:rsidRPr="00C728AA">
        <w:rPr>
          <w:sz w:val="24"/>
          <w:szCs w:val="24"/>
          <w:lang w:val="en-GB"/>
        </w:rPr>
        <w:t xml:space="preserve"> G McNamara received research grant support from Servier, </w:t>
      </w:r>
      <w:proofErr w:type="spellStart"/>
      <w:r w:rsidRPr="00C728AA">
        <w:rPr>
          <w:sz w:val="24"/>
          <w:szCs w:val="24"/>
          <w:lang w:val="en-GB"/>
        </w:rPr>
        <w:t>Ipsen</w:t>
      </w:r>
      <w:proofErr w:type="spellEnd"/>
      <w:r w:rsidRPr="00C728AA">
        <w:rPr>
          <w:sz w:val="24"/>
          <w:szCs w:val="24"/>
          <w:lang w:val="en-GB"/>
        </w:rPr>
        <w:t xml:space="preserve">, and </w:t>
      </w:r>
      <w:proofErr w:type="spellStart"/>
      <w:r w:rsidRPr="00C728AA">
        <w:rPr>
          <w:sz w:val="24"/>
          <w:szCs w:val="24"/>
          <w:lang w:val="en-GB"/>
        </w:rPr>
        <w:t>NuCana</w:t>
      </w:r>
      <w:proofErr w:type="spellEnd"/>
      <w:r w:rsidRPr="00C728AA">
        <w:rPr>
          <w:sz w:val="24"/>
          <w:szCs w:val="24"/>
          <w:lang w:val="en-GB"/>
        </w:rPr>
        <w:t xml:space="preserve">. She has received travel and accommodation support from Bayer and </w:t>
      </w:r>
      <w:proofErr w:type="spellStart"/>
      <w:r w:rsidRPr="00C728AA">
        <w:rPr>
          <w:sz w:val="24"/>
          <w:szCs w:val="24"/>
          <w:lang w:val="en-GB"/>
        </w:rPr>
        <w:t>Ipsen</w:t>
      </w:r>
      <w:proofErr w:type="spellEnd"/>
      <w:r w:rsidRPr="00C728AA">
        <w:rPr>
          <w:sz w:val="24"/>
          <w:szCs w:val="24"/>
          <w:lang w:val="en-GB"/>
        </w:rPr>
        <w:t xml:space="preserve"> and speaker honoraria from Pfizer, </w:t>
      </w:r>
      <w:proofErr w:type="spellStart"/>
      <w:r w:rsidRPr="00C728AA">
        <w:rPr>
          <w:sz w:val="24"/>
          <w:szCs w:val="24"/>
          <w:lang w:val="en-GB"/>
        </w:rPr>
        <w:t>Ipsen</w:t>
      </w:r>
      <w:proofErr w:type="spellEnd"/>
      <w:r w:rsidRPr="00C728AA">
        <w:rPr>
          <w:sz w:val="24"/>
          <w:szCs w:val="24"/>
          <w:lang w:val="en-GB"/>
        </w:rPr>
        <w:t xml:space="preserve">, </w:t>
      </w:r>
      <w:proofErr w:type="spellStart"/>
      <w:r w:rsidRPr="00C728AA">
        <w:rPr>
          <w:sz w:val="24"/>
          <w:szCs w:val="24"/>
          <w:lang w:val="en-GB"/>
        </w:rPr>
        <w:t>NuCana</w:t>
      </w:r>
      <w:proofErr w:type="spellEnd"/>
      <w:r w:rsidRPr="00C728AA">
        <w:rPr>
          <w:sz w:val="24"/>
          <w:szCs w:val="24"/>
          <w:lang w:val="en-GB"/>
        </w:rPr>
        <w:t xml:space="preserve">, and Mylan. She has served on advisory boards for Celgene, </w:t>
      </w:r>
      <w:proofErr w:type="spellStart"/>
      <w:r w:rsidRPr="00C728AA">
        <w:rPr>
          <w:sz w:val="24"/>
          <w:szCs w:val="24"/>
          <w:lang w:val="en-GB"/>
        </w:rPr>
        <w:t>Ipsen</w:t>
      </w:r>
      <w:proofErr w:type="spellEnd"/>
      <w:r w:rsidRPr="00C728AA">
        <w:rPr>
          <w:sz w:val="24"/>
          <w:szCs w:val="24"/>
          <w:lang w:val="en-GB"/>
        </w:rPr>
        <w:t xml:space="preserve">, </w:t>
      </w:r>
      <w:proofErr w:type="spellStart"/>
      <w:r w:rsidRPr="00C728AA">
        <w:rPr>
          <w:sz w:val="24"/>
          <w:szCs w:val="24"/>
          <w:lang w:val="en-GB"/>
        </w:rPr>
        <w:t>Sirtex</w:t>
      </w:r>
      <w:proofErr w:type="spellEnd"/>
      <w:r w:rsidRPr="00C728AA">
        <w:rPr>
          <w:sz w:val="24"/>
          <w:szCs w:val="24"/>
          <w:lang w:val="en-GB"/>
        </w:rPr>
        <w:t xml:space="preserve">, </w:t>
      </w:r>
      <w:proofErr w:type="spellStart"/>
      <w:r w:rsidRPr="00C728AA">
        <w:rPr>
          <w:sz w:val="24"/>
          <w:szCs w:val="24"/>
          <w:lang w:val="en-GB"/>
        </w:rPr>
        <w:t>Baxalta</w:t>
      </w:r>
      <w:proofErr w:type="spellEnd"/>
      <w:r w:rsidRPr="00C728AA">
        <w:rPr>
          <w:sz w:val="24"/>
          <w:szCs w:val="24"/>
          <w:lang w:val="en-GB"/>
        </w:rPr>
        <w:t xml:space="preserve"> and </w:t>
      </w:r>
      <w:proofErr w:type="spellStart"/>
      <w:r w:rsidRPr="00C728AA">
        <w:rPr>
          <w:sz w:val="24"/>
          <w:szCs w:val="24"/>
          <w:lang w:val="en-GB"/>
        </w:rPr>
        <w:t>Incyte</w:t>
      </w:r>
      <w:proofErr w:type="spellEnd"/>
      <w:r w:rsidRPr="00C728AA">
        <w:rPr>
          <w:sz w:val="24"/>
          <w:szCs w:val="24"/>
          <w:lang w:val="en-GB"/>
        </w:rPr>
        <w:t>.</w:t>
      </w:r>
    </w:p>
    <w:p w14:paraId="70BCA3B9" w14:textId="4F432AC6" w:rsidR="009824F7" w:rsidRDefault="009824F7" w:rsidP="00F2488C">
      <w:pPr>
        <w:pStyle w:val="Commentaire"/>
        <w:rPr>
          <w:sz w:val="24"/>
          <w:szCs w:val="24"/>
          <w:lang w:val="en-GB"/>
        </w:rPr>
      </w:pPr>
      <w:r>
        <w:rPr>
          <w:sz w:val="24"/>
          <w:szCs w:val="24"/>
          <w:lang w:val="en-GB"/>
        </w:rPr>
        <w:t>Timothy Jacobs has no conflicts of interest to declare.</w:t>
      </w:r>
    </w:p>
    <w:p w14:paraId="0FE1DB48" w14:textId="4B171310" w:rsidR="009824F7" w:rsidRDefault="009824F7" w:rsidP="00F2488C">
      <w:pPr>
        <w:pStyle w:val="Commentaire"/>
        <w:rPr>
          <w:sz w:val="24"/>
          <w:szCs w:val="24"/>
          <w:lang w:val="en-GB"/>
        </w:rPr>
      </w:pPr>
      <w:r>
        <w:rPr>
          <w:sz w:val="24"/>
          <w:szCs w:val="24"/>
          <w:lang w:val="en-GB"/>
        </w:rPr>
        <w:t>Dr Richard Hubner</w:t>
      </w:r>
      <w:r w:rsidRPr="009824F7">
        <w:rPr>
          <w:sz w:val="24"/>
          <w:szCs w:val="24"/>
          <w:lang w:val="en-GB"/>
        </w:rPr>
        <w:t xml:space="preserve"> has served on the advisory board for Roche, BMS, Eisai, Celgene, Beigene, </w:t>
      </w:r>
      <w:proofErr w:type="spellStart"/>
      <w:r w:rsidRPr="009824F7">
        <w:rPr>
          <w:sz w:val="24"/>
          <w:szCs w:val="24"/>
          <w:lang w:val="en-GB"/>
        </w:rPr>
        <w:t>Ipsen</w:t>
      </w:r>
      <w:proofErr w:type="spellEnd"/>
      <w:r w:rsidRPr="009824F7">
        <w:rPr>
          <w:sz w:val="24"/>
          <w:szCs w:val="24"/>
          <w:lang w:val="en-GB"/>
        </w:rPr>
        <w:t xml:space="preserve">, BTG. He has received speaker fees from Eisai, </w:t>
      </w:r>
      <w:proofErr w:type="spellStart"/>
      <w:r w:rsidRPr="009824F7">
        <w:rPr>
          <w:sz w:val="24"/>
          <w:szCs w:val="24"/>
          <w:lang w:val="en-GB"/>
        </w:rPr>
        <w:t>Ipsen</w:t>
      </w:r>
      <w:proofErr w:type="spellEnd"/>
      <w:r w:rsidRPr="009824F7">
        <w:rPr>
          <w:sz w:val="24"/>
          <w:szCs w:val="24"/>
          <w:lang w:val="en-GB"/>
        </w:rPr>
        <w:t xml:space="preserve">, Mylan, </w:t>
      </w:r>
      <w:proofErr w:type="spellStart"/>
      <w:r w:rsidRPr="009824F7">
        <w:rPr>
          <w:sz w:val="24"/>
          <w:szCs w:val="24"/>
          <w:lang w:val="en-GB"/>
        </w:rPr>
        <w:t>PrimeOncology</w:t>
      </w:r>
      <w:proofErr w:type="spellEnd"/>
      <w:r w:rsidRPr="009824F7">
        <w:rPr>
          <w:sz w:val="24"/>
          <w:szCs w:val="24"/>
          <w:lang w:val="en-GB"/>
        </w:rPr>
        <w:t xml:space="preserve"> and has received travel and educational support from Bayer, BMS and Roche; all outside of the scope of this work.</w:t>
      </w:r>
    </w:p>
    <w:p w14:paraId="3D54A7F7" w14:textId="77B56840" w:rsidR="00BE6414" w:rsidRDefault="00BE6414" w:rsidP="00F2488C">
      <w:pPr>
        <w:pStyle w:val="Commentaire"/>
        <w:rPr>
          <w:sz w:val="24"/>
          <w:szCs w:val="24"/>
          <w:lang w:val="en-GB"/>
        </w:rPr>
      </w:pPr>
      <w:r>
        <w:rPr>
          <w:sz w:val="24"/>
          <w:szCs w:val="24"/>
          <w:lang w:val="en-GB"/>
        </w:rPr>
        <w:t xml:space="preserve">Prof Boris </w:t>
      </w:r>
      <w:proofErr w:type="spellStart"/>
      <w:r>
        <w:rPr>
          <w:sz w:val="24"/>
          <w:szCs w:val="24"/>
          <w:lang w:val="en-GB"/>
        </w:rPr>
        <w:t>Guiu</w:t>
      </w:r>
      <w:proofErr w:type="spellEnd"/>
      <w:r>
        <w:rPr>
          <w:sz w:val="24"/>
          <w:szCs w:val="24"/>
          <w:lang w:val="en-GB"/>
        </w:rPr>
        <w:t xml:space="preserve"> received travel and educational support from </w:t>
      </w:r>
      <w:proofErr w:type="spellStart"/>
      <w:r>
        <w:rPr>
          <w:sz w:val="24"/>
          <w:szCs w:val="24"/>
          <w:lang w:val="en-GB"/>
        </w:rPr>
        <w:t>Guerbet</w:t>
      </w:r>
      <w:proofErr w:type="spellEnd"/>
      <w:r>
        <w:rPr>
          <w:sz w:val="24"/>
          <w:szCs w:val="24"/>
          <w:lang w:val="en-GB"/>
        </w:rPr>
        <w:t xml:space="preserve">, Boston Scientific, Terumo, Roche, Quantum Surgical, Bayer; speaker honoraria from </w:t>
      </w:r>
      <w:proofErr w:type="spellStart"/>
      <w:r>
        <w:rPr>
          <w:sz w:val="24"/>
          <w:szCs w:val="24"/>
          <w:lang w:val="en-GB"/>
        </w:rPr>
        <w:t>Guerbet</w:t>
      </w:r>
      <w:proofErr w:type="spellEnd"/>
      <w:r>
        <w:rPr>
          <w:sz w:val="24"/>
          <w:szCs w:val="24"/>
          <w:lang w:val="en-GB"/>
        </w:rPr>
        <w:t xml:space="preserve">, Boston Scientific, </w:t>
      </w:r>
      <w:proofErr w:type="spellStart"/>
      <w:r>
        <w:rPr>
          <w:sz w:val="24"/>
          <w:szCs w:val="24"/>
          <w:lang w:val="en-GB"/>
        </w:rPr>
        <w:t>Sirtex</w:t>
      </w:r>
      <w:proofErr w:type="spellEnd"/>
      <w:r>
        <w:rPr>
          <w:sz w:val="24"/>
          <w:szCs w:val="24"/>
          <w:lang w:val="en-GB"/>
        </w:rPr>
        <w:t xml:space="preserve">, Terumo, Sanofi, Bayer; advisory honoraria from Boston Scientific, </w:t>
      </w:r>
      <w:proofErr w:type="spellStart"/>
      <w:r w:rsidR="003B70B8">
        <w:rPr>
          <w:sz w:val="24"/>
          <w:szCs w:val="24"/>
          <w:lang w:val="en-GB"/>
        </w:rPr>
        <w:t>Guerbet</w:t>
      </w:r>
      <w:proofErr w:type="spellEnd"/>
      <w:r w:rsidR="003B70B8">
        <w:rPr>
          <w:sz w:val="24"/>
          <w:szCs w:val="24"/>
          <w:lang w:val="en-GB"/>
        </w:rPr>
        <w:t xml:space="preserve">, Terumo, Quantum Surgical; Study funded by Roche, Boston Scientific, </w:t>
      </w:r>
      <w:proofErr w:type="spellStart"/>
      <w:r w:rsidR="003B70B8">
        <w:rPr>
          <w:sz w:val="24"/>
          <w:szCs w:val="24"/>
          <w:lang w:val="en-GB"/>
        </w:rPr>
        <w:t>Guerbet</w:t>
      </w:r>
      <w:proofErr w:type="spellEnd"/>
      <w:r w:rsidR="003B70B8">
        <w:rPr>
          <w:sz w:val="24"/>
          <w:szCs w:val="24"/>
          <w:lang w:val="en-GB"/>
        </w:rPr>
        <w:t>.</w:t>
      </w:r>
    </w:p>
    <w:p w14:paraId="6D14982B" w14:textId="0F8FC241" w:rsidR="004A24A1" w:rsidRPr="00AE48B6" w:rsidRDefault="004A24A1" w:rsidP="00F2488C">
      <w:pPr>
        <w:pStyle w:val="Commentaire"/>
        <w:rPr>
          <w:sz w:val="24"/>
          <w:szCs w:val="24"/>
          <w:lang w:val="en-GB"/>
        </w:rPr>
      </w:pPr>
      <w:r>
        <w:rPr>
          <w:sz w:val="24"/>
          <w:szCs w:val="24"/>
          <w:lang w:val="en-GB"/>
        </w:rPr>
        <w:t xml:space="preserve">Prof </w:t>
      </w:r>
      <w:r w:rsidRPr="004A24A1">
        <w:rPr>
          <w:sz w:val="24"/>
          <w:szCs w:val="24"/>
          <w:lang w:val="en-GB"/>
        </w:rPr>
        <w:t xml:space="preserve">Juan W Valle: Consulting or Advisory role for </w:t>
      </w:r>
      <w:proofErr w:type="spellStart"/>
      <w:r w:rsidRPr="004A24A1">
        <w:rPr>
          <w:sz w:val="24"/>
          <w:szCs w:val="24"/>
          <w:lang w:val="en-GB"/>
        </w:rPr>
        <w:t>Agios</w:t>
      </w:r>
      <w:proofErr w:type="spellEnd"/>
      <w:r w:rsidRPr="004A24A1">
        <w:rPr>
          <w:sz w:val="24"/>
          <w:szCs w:val="24"/>
          <w:lang w:val="en-GB"/>
        </w:rPr>
        <w:t xml:space="preserve">, AstraZeneca, </w:t>
      </w:r>
      <w:proofErr w:type="spellStart"/>
      <w:r w:rsidRPr="004A24A1">
        <w:rPr>
          <w:sz w:val="24"/>
          <w:szCs w:val="24"/>
          <w:lang w:val="en-GB"/>
        </w:rPr>
        <w:t>Delcath</w:t>
      </w:r>
      <w:proofErr w:type="spellEnd"/>
      <w:r w:rsidRPr="004A24A1">
        <w:rPr>
          <w:sz w:val="24"/>
          <w:szCs w:val="24"/>
          <w:lang w:val="en-GB"/>
        </w:rPr>
        <w:t xml:space="preserve"> Systems, </w:t>
      </w:r>
      <w:proofErr w:type="spellStart"/>
      <w:r w:rsidRPr="004A24A1">
        <w:rPr>
          <w:sz w:val="24"/>
          <w:szCs w:val="24"/>
          <w:lang w:val="en-GB"/>
        </w:rPr>
        <w:t>Keocyt</w:t>
      </w:r>
      <w:proofErr w:type="spellEnd"/>
      <w:r w:rsidRPr="004A24A1">
        <w:rPr>
          <w:sz w:val="24"/>
          <w:szCs w:val="24"/>
          <w:lang w:val="en-GB"/>
        </w:rPr>
        <w:t xml:space="preserve">, </w:t>
      </w:r>
      <w:proofErr w:type="spellStart"/>
      <w:r w:rsidRPr="004A24A1">
        <w:rPr>
          <w:sz w:val="24"/>
          <w:szCs w:val="24"/>
          <w:lang w:val="en-GB"/>
        </w:rPr>
        <w:t>Genoscience</w:t>
      </w:r>
      <w:proofErr w:type="spellEnd"/>
      <w:r w:rsidRPr="004A24A1">
        <w:rPr>
          <w:sz w:val="24"/>
          <w:szCs w:val="24"/>
          <w:lang w:val="en-GB"/>
        </w:rPr>
        <w:t xml:space="preserve"> Pharma, </w:t>
      </w:r>
      <w:proofErr w:type="spellStart"/>
      <w:r w:rsidRPr="004A24A1">
        <w:rPr>
          <w:sz w:val="24"/>
          <w:szCs w:val="24"/>
          <w:lang w:val="en-GB"/>
        </w:rPr>
        <w:t>Incyte</w:t>
      </w:r>
      <w:proofErr w:type="spellEnd"/>
      <w:r w:rsidRPr="004A24A1">
        <w:rPr>
          <w:sz w:val="24"/>
          <w:szCs w:val="24"/>
          <w:lang w:val="en-GB"/>
        </w:rPr>
        <w:t xml:space="preserve">, </w:t>
      </w:r>
      <w:proofErr w:type="spellStart"/>
      <w:r w:rsidRPr="004A24A1">
        <w:rPr>
          <w:sz w:val="24"/>
          <w:szCs w:val="24"/>
          <w:lang w:val="en-GB"/>
        </w:rPr>
        <w:t>Ipsen</w:t>
      </w:r>
      <w:proofErr w:type="spellEnd"/>
      <w:r w:rsidRPr="004A24A1">
        <w:rPr>
          <w:sz w:val="24"/>
          <w:szCs w:val="24"/>
          <w:lang w:val="en-GB"/>
        </w:rPr>
        <w:t xml:space="preserve">, Merck, </w:t>
      </w:r>
      <w:proofErr w:type="spellStart"/>
      <w:r w:rsidRPr="004A24A1">
        <w:rPr>
          <w:sz w:val="24"/>
          <w:szCs w:val="24"/>
          <w:lang w:val="en-GB"/>
        </w:rPr>
        <w:t>Mundipharma</w:t>
      </w:r>
      <w:proofErr w:type="spellEnd"/>
      <w:r w:rsidRPr="004A24A1">
        <w:rPr>
          <w:sz w:val="24"/>
          <w:szCs w:val="24"/>
          <w:lang w:val="en-GB"/>
        </w:rPr>
        <w:t xml:space="preserve"> EDO, Novartis, PCI Biotech, Pfizer, </w:t>
      </w:r>
      <w:proofErr w:type="spellStart"/>
      <w:r w:rsidRPr="004A24A1">
        <w:rPr>
          <w:sz w:val="24"/>
          <w:szCs w:val="24"/>
          <w:lang w:val="en-GB"/>
        </w:rPr>
        <w:t>Pieris</w:t>
      </w:r>
      <w:proofErr w:type="spellEnd"/>
      <w:r w:rsidRPr="004A24A1">
        <w:rPr>
          <w:sz w:val="24"/>
          <w:szCs w:val="24"/>
          <w:lang w:val="en-GB"/>
        </w:rPr>
        <w:t xml:space="preserve"> Pharmaceuticals, QED, and Wren Laboratories; Speakers’ Bureau for Imaging Equipment Limited, </w:t>
      </w:r>
      <w:proofErr w:type="spellStart"/>
      <w:r w:rsidRPr="004A24A1">
        <w:rPr>
          <w:sz w:val="24"/>
          <w:szCs w:val="24"/>
          <w:lang w:val="en-GB"/>
        </w:rPr>
        <w:t>Ipsen</w:t>
      </w:r>
      <w:proofErr w:type="spellEnd"/>
      <w:r w:rsidRPr="004A24A1">
        <w:rPr>
          <w:sz w:val="24"/>
          <w:szCs w:val="24"/>
          <w:lang w:val="en-GB"/>
        </w:rPr>
        <w:t xml:space="preserve">, Novartis, </w:t>
      </w:r>
      <w:proofErr w:type="spellStart"/>
      <w:r w:rsidRPr="004A24A1">
        <w:rPr>
          <w:sz w:val="24"/>
          <w:szCs w:val="24"/>
          <w:lang w:val="en-GB"/>
        </w:rPr>
        <w:t>Nucana</w:t>
      </w:r>
      <w:proofErr w:type="spellEnd"/>
      <w:r w:rsidRPr="004A24A1">
        <w:rPr>
          <w:sz w:val="24"/>
          <w:szCs w:val="24"/>
          <w:lang w:val="en-GB"/>
        </w:rPr>
        <w:t xml:space="preserve">; and received Travel Grants from Celgene and </w:t>
      </w:r>
      <w:proofErr w:type="spellStart"/>
      <w:r w:rsidRPr="004A24A1">
        <w:rPr>
          <w:sz w:val="24"/>
          <w:szCs w:val="24"/>
          <w:lang w:val="en-GB"/>
        </w:rPr>
        <w:t>Nucana</w:t>
      </w:r>
      <w:proofErr w:type="spellEnd"/>
      <w:r w:rsidRPr="004A24A1">
        <w:rPr>
          <w:sz w:val="24"/>
          <w:szCs w:val="24"/>
          <w:lang w:val="en-GB"/>
        </w:rPr>
        <w:t>.</w:t>
      </w:r>
    </w:p>
    <w:p w14:paraId="31FB9A06" w14:textId="77777777" w:rsidR="00D538AB" w:rsidRDefault="00D538AB" w:rsidP="008B291B">
      <w:pPr>
        <w:spacing w:line="480" w:lineRule="auto"/>
        <w:rPr>
          <w:b/>
          <w:sz w:val="24"/>
          <w:szCs w:val="24"/>
          <w:lang w:val="en-GB"/>
        </w:rPr>
      </w:pPr>
    </w:p>
    <w:p w14:paraId="1AA1A9B2" w14:textId="77777777" w:rsidR="003C37B8" w:rsidRDefault="003C37B8" w:rsidP="00D538AB">
      <w:pPr>
        <w:spacing w:after="0" w:line="480" w:lineRule="auto"/>
        <w:rPr>
          <w:sz w:val="24"/>
          <w:szCs w:val="24"/>
          <w:lang w:val="en-GB"/>
        </w:rPr>
      </w:pPr>
    </w:p>
    <w:p w14:paraId="507BCB31" w14:textId="695CB071" w:rsidR="00F02F42" w:rsidRPr="00AD70F1" w:rsidRDefault="003C37B8" w:rsidP="00D538AB">
      <w:pPr>
        <w:spacing w:after="0" w:line="480" w:lineRule="auto"/>
        <w:rPr>
          <w:sz w:val="24"/>
          <w:szCs w:val="24"/>
          <w:lang w:val="en-GB"/>
        </w:rPr>
      </w:pPr>
      <w:r w:rsidRPr="00326791">
        <w:rPr>
          <w:b/>
          <w:sz w:val="24"/>
          <w:szCs w:val="24"/>
          <w:lang w:val="en-GB"/>
        </w:rPr>
        <w:t xml:space="preserve">Keywords: </w:t>
      </w:r>
      <w:commentRangeStart w:id="1"/>
      <w:commentRangeStart w:id="2"/>
      <w:r w:rsidRPr="00326791">
        <w:rPr>
          <w:sz w:val="24"/>
          <w:szCs w:val="24"/>
          <w:lang w:val="en-GB"/>
        </w:rPr>
        <w:t>Yttrium-90</w:t>
      </w:r>
      <w:commentRangeEnd w:id="1"/>
      <w:r w:rsidRPr="00AE48B6">
        <w:rPr>
          <w:rStyle w:val="Marquedecommentaire"/>
          <w:lang w:val="en-GB"/>
        </w:rPr>
        <w:commentReference w:id="1"/>
      </w:r>
      <w:commentRangeEnd w:id="2"/>
      <w:r>
        <w:rPr>
          <w:rStyle w:val="Marquedecommentaire"/>
        </w:rPr>
        <w:commentReference w:id="2"/>
      </w:r>
      <w:r w:rsidRPr="00AD70F1">
        <w:rPr>
          <w:sz w:val="24"/>
          <w:szCs w:val="24"/>
          <w:lang w:val="en-GB"/>
        </w:rPr>
        <w:t>; intra-arterial therapies; biliary tract cancer; interventional radiology; interventional oncology</w:t>
      </w:r>
      <w:r>
        <w:rPr>
          <w:sz w:val="24"/>
          <w:szCs w:val="24"/>
          <w:lang w:val="en-GB"/>
        </w:rPr>
        <w:t>; radiation oncology</w:t>
      </w:r>
      <w:r w:rsidRPr="00AD70F1">
        <w:rPr>
          <w:sz w:val="24"/>
          <w:szCs w:val="24"/>
          <w:lang w:val="en-GB"/>
        </w:rPr>
        <w:t xml:space="preserve"> </w:t>
      </w:r>
      <w:r w:rsidR="00F02F42" w:rsidRPr="00AD70F1">
        <w:rPr>
          <w:sz w:val="24"/>
          <w:szCs w:val="24"/>
          <w:lang w:val="en-GB"/>
        </w:rPr>
        <w:br w:type="page"/>
      </w:r>
    </w:p>
    <w:p w14:paraId="63BF6BC3" w14:textId="77777777" w:rsidR="00CF1E10" w:rsidRPr="00AD70F1" w:rsidRDefault="00CF1E10">
      <w:pPr>
        <w:rPr>
          <w:b/>
          <w:sz w:val="24"/>
          <w:szCs w:val="24"/>
          <w:lang w:val="en-GB"/>
        </w:rPr>
      </w:pPr>
      <w:r w:rsidRPr="00AD70F1">
        <w:rPr>
          <w:b/>
          <w:sz w:val="24"/>
          <w:szCs w:val="24"/>
          <w:lang w:val="en-GB"/>
        </w:rPr>
        <w:lastRenderedPageBreak/>
        <w:t>Abstract:</w:t>
      </w:r>
    </w:p>
    <w:p w14:paraId="5BDB6396" w14:textId="005E9E7B" w:rsidR="00CF1E10" w:rsidRPr="00AD70F1" w:rsidRDefault="00CF1E10" w:rsidP="00CF1E10">
      <w:pPr>
        <w:spacing w:line="480" w:lineRule="auto"/>
        <w:rPr>
          <w:sz w:val="24"/>
          <w:szCs w:val="24"/>
          <w:lang w:val="en-GB"/>
        </w:rPr>
      </w:pPr>
      <w:r w:rsidRPr="00326791">
        <w:rPr>
          <w:sz w:val="24"/>
          <w:szCs w:val="24"/>
          <w:lang w:val="en-GB"/>
        </w:rPr>
        <w:t>Background: Locoregional treatments (LRT</w:t>
      </w:r>
      <w:r w:rsidR="00F96C98" w:rsidRPr="00326791">
        <w:rPr>
          <w:sz w:val="24"/>
          <w:szCs w:val="24"/>
          <w:lang w:val="en-GB"/>
        </w:rPr>
        <w:t>) including</w:t>
      </w:r>
      <w:r w:rsidRPr="00326791">
        <w:rPr>
          <w:sz w:val="24"/>
          <w:szCs w:val="24"/>
          <w:lang w:val="en-GB"/>
        </w:rPr>
        <w:t xml:space="preserve"> radioemboli</w:t>
      </w:r>
      <w:r w:rsidR="00E759DA">
        <w:rPr>
          <w:sz w:val="24"/>
          <w:szCs w:val="24"/>
          <w:lang w:val="en-GB"/>
        </w:rPr>
        <w:t>s</w:t>
      </w:r>
      <w:r w:rsidRPr="00326791">
        <w:rPr>
          <w:sz w:val="24"/>
          <w:szCs w:val="24"/>
          <w:lang w:val="en-GB"/>
        </w:rPr>
        <w:t>ation (SIRT), transarterial chemo-emboli</w:t>
      </w:r>
      <w:r w:rsidR="005450E5">
        <w:rPr>
          <w:sz w:val="24"/>
          <w:szCs w:val="24"/>
          <w:lang w:val="en-GB"/>
        </w:rPr>
        <w:t>s</w:t>
      </w:r>
      <w:r w:rsidRPr="00326791">
        <w:rPr>
          <w:sz w:val="24"/>
          <w:szCs w:val="24"/>
          <w:lang w:val="en-GB"/>
        </w:rPr>
        <w:t>ation (TACE), hepatic arterial infusion (HAI)</w:t>
      </w:r>
      <w:r w:rsidRPr="00AD70F1">
        <w:rPr>
          <w:sz w:val="24"/>
          <w:szCs w:val="24"/>
          <w:lang w:val="en-GB"/>
        </w:rPr>
        <w:t xml:space="preserve"> of chemotherapy, external beam radiotherapy (EBRT) and ablation</w:t>
      </w:r>
      <w:r w:rsidR="00F96C98" w:rsidRPr="00326791">
        <w:rPr>
          <w:sz w:val="24"/>
          <w:szCs w:val="24"/>
          <w:lang w:val="en-GB"/>
        </w:rPr>
        <w:t>,</w:t>
      </w:r>
      <w:r w:rsidRPr="00326791">
        <w:rPr>
          <w:sz w:val="24"/>
          <w:szCs w:val="24"/>
          <w:lang w:val="en-GB"/>
        </w:rPr>
        <w:t xml:space="preserve"> have been studied for the management of intrahepatic cholangiocarcinoma (</w:t>
      </w:r>
      <w:proofErr w:type="spellStart"/>
      <w:r w:rsidRPr="00326791">
        <w:rPr>
          <w:sz w:val="24"/>
          <w:szCs w:val="24"/>
          <w:lang w:val="en-GB"/>
        </w:rPr>
        <w:t>iCC</w:t>
      </w:r>
      <w:proofErr w:type="spellEnd"/>
      <w:r w:rsidRPr="00AD70F1">
        <w:rPr>
          <w:sz w:val="24"/>
          <w:szCs w:val="24"/>
          <w:lang w:val="en-GB"/>
        </w:rPr>
        <w:t xml:space="preserve">). The aim of this systematic review was to provide outcome benchmarks for clinical trial design. </w:t>
      </w:r>
    </w:p>
    <w:p w14:paraId="2A8244C2" w14:textId="228E25E4" w:rsidR="00CF1E10" w:rsidRPr="00326791" w:rsidRDefault="00CF1E10" w:rsidP="00CF1E10">
      <w:pPr>
        <w:spacing w:line="480" w:lineRule="auto"/>
        <w:rPr>
          <w:sz w:val="24"/>
          <w:szCs w:val="24"/>
          <w:lang w:val="en-GB"/>
        </w:rPr>
      </w:pPr>
      <w:r w:rsidRPr="00AD70F1">
        <w:rPr>
          <w:sz w:val="24"/>
          <w:szCs w:val="24"/>
          <w:lang w:val="en-GB"/>
        </w:rPr>
        <w:t xml:space="preserve">Methods: </w:t>
      </w:r>
      <w:r w:rsidR="00EF3945">
        <w:rPr>
          <w:sz w:val="24"/>
          <w:szCs w:val="24"/>
          <w:lang w:val="en-GB"/>
        </w:rPr>
        <w:t>I</w:t>
      </w:r>
      <w:r w:rsidR="00F96C98" w:rsidRPr="00326791">
        <w:rPr>
          <w:sz w:val="24"/>
          <w:szCs w:val="24"/>
          <w:lang w:val="en-GB"/>
        </w:rPr>
        <w:t xml:space="preserve">dentification of studies reporting outcomes of patients treated with LRT for </w:t>
      </w:r>
      <w:proofErr w:type="spellStart"/>
      <w:r w:rsidR="00F96C98" w:rsidRPr="00326791">
        <w:rPr>
          <w:sz w:val="24"/>
          <w:szCs w:val="24"/>
          <w:lang w:val="en-GB"/>
        </w:rPr>
        <w:t>iCC</w:t>
      </w:r>
      <w:proofErr w:type="spellEnd"/>
      <w:r w:rsidR="00F96C98" w:rsidRPr="00AD70F1">
        <w:rPr>
          <w:sz w:val="24"/>
          <w:szCs w:val="24"/>
          <w:lang w:val="en-GB"/>
        </w:rPr>
        <w:t xml:space="preserve"> was performed </w:t>
      </w:r>
      <w:r w:rsidR="00F96C98" w:rsidRPr="00326791">
        <w:rPr>
          <w:sz w:val="24"/>
          <w:szCs w:val="24"/>
          <w:lang w:val="en-GB"/>
        </w:rPr>
        <w:t xml:space="preserve">using </w:t>
      </w:r>
      <w:r w:rsidRPr="00326791">
        <w:rPr>
          <w:sz w:val="24"/>
          <w:szCs w:val="24"/>
          <w:lang w:val="en-GB"/>
        </w:rPr>
        <w:t>Pub</w:t>
      </w:r>
      <w:r w:rsidR="00326791">
        <w:rPr>
          <w:sz w:val="24"/>
          <w:szCs w:val="24"/>
          <w:lang w:val="en-GB"/>
        </w:rPr>
        <w:t>M</w:t>
      </w:r>
      <w:r w:rsidRPr="00326791">
        <w:rPr>
          <w:sz w:val="24"/>
          <w:szCs w:val="24"/>
          <w:lang w:val="en-GB"/>
        </w:rPr>
        <w:t xml:space="preserve">ed and </w:t>
      </w:r>
      <w:proofErr w:type="spellStart"/>
      <w:r w:rsidRPr="00326791">
        <w:rPr>
          <w:sz w:val="24"/>
          <w:szCs w:val="24"/>
          <w:lang w:val="en-GB"/>
        </w:rPr>
        <w:t>Embase</w:t>
      </w:r>
      <w:proofErr w:type="spellEnd"/>
      <w:r w:rsidRPr="00326791">
        <w:rPr>
          <w:sz w:val="24"/>
          <w:szCs w:val="24"/>
          <w:lang w:val="en-GB"/>
        </w:rPr>
        <w:t>. Pooled weighted mean</w:t>
      </w:r>
      <w:r w:rsidR="00AD70F1">
        <w:rPr>
          <w:sz w:val="24"/>
          <w:szCs w:val="24"/>
          <w:lang w:val="en-GB"/>
        </w:rPr>
        <w:t>s</w:t>
      </w:r>
      <w:r w:rsidRPr="00326791">
        <w:rPr>
          <w:sz w:val="24"/>
          <w:szCs w:val="24"/>
          <w:lang w:val="en-GB"/>
        </w:rPr>
        <w:t xml:space="preserve"> were calculated for </w:t>
      </w:r>
      <w:r w:rsidR="00EF3945">
        <w:rPr>
          <w:sz w:val="24"/>
          <w:szCs w:val="24"/>
          <w:lang w:val="en-GB"/>
        </w:rPr>
        <w:t>progression-free survival (</w:t>
      </w:r>
      <w:r w:rsidR="00EF3945" w:rsidRPr="00326791">
        <w:rPr>
          <w:sz w:val="24"/>
          <w:szCs w:val="24"/>
          <w:lang w:val="en-GB"/>
        </w:rPr>
        <w:t>PFS</w:t>
      </w:r>
      <w:r w:rsidR="00EF3945">
        <w:rPr>
          <w:sz w:val="24"/>
          <w:szCs w:val="24"/>
          <w:lang w:val="en-GB"/>
        </w:rPr>
        <w:t xml:space="preserve">) and </w:t>
      </w:r>
      <w:r w:rsidR="00AD70F1">
        <w:rPr>
          <w:sz w:val="24"/>
          <w:szCs w:val="24"/>
          <w:lang w:val="en-GB"/>
        </w:rPr>
        <w:t>overall survival (</w:t>
      </w:r>
      <w:r w:rsidRPr="00326791">
        <w:rPr>
          <w:sz w:val="24"/>
          <w:szCs w:val="24"/>
          <w:lang w:val="en-GB"/>
        </w:rPr>
        <w:t>OS</w:t>
      </w:r>
      <w:r w:rsidR="00AD70F1">
        <w:rPr>
          <w:sz w:val="24"/>
          <w:szCs w:val="24"/>
          <w:lang w:val="en-GB"/>
        </w:rPr>
        <w:t>)</w:t>
      </w:r>
      <w:r w:rsidRPr="00326791">
        <w:rPr>
          <w:sz w:val="24"/>
          <w:szCs w:val="24"/>
          <w:lang w:val="en-GB"/>
        </w:rPr>
        <w:t xml:space="preserve">; </w:t>
      </w:r>
      <w:r w:rsidR="00F96C98" w:rsidRPr="00326791">
        <w:rPr>
          <w:sz w:val="24"/>
          <w:szCs w:val="24"/>
          <w:lang w:val="en-GB"/>
        </w:rPr>
        <w:t xml:space="preserve">meta-analysis of proportions was used for estimation of </w:t>
      </w:r>
      <w:r w:rsidRPr="00326791">
        <w:rPr>
          <w:sz w:val="24"/>
          <w:szCs w:val="24"/>
          <w:lang w:val="en-GB"/>
        </w:rPr>
        <w:t xml:space="preserve">pooled response rate. </w:t>
      </w:r>
    </w:p>
    <w:p w14:paraId="79056A0C" w14:textId="1EA33291" w:rsidR="00CF1E10" w:rsidRPr="00AD70F1" w:rsidRDefault="00CF1E10" w:rsidP="00CF1E10">
      <w:pPr>
        <w:spacing w:line="480" w:lineRule="auto"/>
        <w:rPr>
          <w:sz w:val="24"/>
          <w:szCs w:val="24"/>
          <w:lang w:val="en-GB"/>
        </w:rPr>
      </w:pPr>
      <w:r w:rsidRPr="00326791">
        <w:rPr>
          <w:sz w:val="24"/>
          <w:szCs w:val="24"/>
          <w:lang w:val="en-GB"/>
        </w:rPr>
        <w:t xml:space="preserve">Results: 6325 entries were reviewed; 93 studies were </w:t>
      </w:r>
      <w:r w:rsidR="00F96C98" w:rsidRPr="00326791">
        <w:rPr>
          <w:sz w:val="24"/>
          <w:szCs w:val="24"/>
          <w:lang w:val="en-GB"/>
        </w:rPr>
        <w:t>eligible</w:t>
      </w:r>
      <w:r w:rsidRPr="00326791">
        <w:rPr>
          <w:sz w:val="24"/>
          <w:szCs w:val="24"/>
          <w:lang w:val="en-GB"/>
        </w:rPr>
        <w:t xml:space="preserve">, representing 101 cohorts </w:t>
      </w:r>
      <w:r w:rsidR="00F96C98" w:rsidRPr="00326791">
        <w:rPr>
          <w:sz w:val="24"/>
          <w:szCs w:val="24"/>
          <w:lang w:val="en-GB"/>
        </w:rPr>
        <w:t>and a total of</w:t>
      </w:r>
      <w:r w:rsidRPr="00326791">
        <w:rPr>
          <w:sz w:val="24"/>
          <w:szCs w:val="24"/>
          <w:lang w:val="en-GB"/>
        </w:rPr>
        <w:t xml:space="preserve"> 3990 </w:t>
      </w:r>
      <w:r w:rsidR="00AD70F1">
        <w:rPr>
          <w:sz w:val="24"/>
          <w:szCs w:val="24"/>
          <w:lang w:val="en-GB"/>
        </w:rPr>
        <w:t>patients</w:t>
      </w:r>
      <w:r w:rsidRPr="00326791">
        <w:rPr>
          <w:sz w:val="24"/>
          <w:szCs w:val="24"/>
          <w:lang w:val="en-GB"/>
        </w:rPr>
        <w:t xml:space="preserve"> </w:t>
      </w:r>
      <w:r w:rsidR="00F96C98" w:rsidRPr="00326791">
        <w:rPr>
          <w:sz w:val="24"/>
          <w:szCs w:val="24"/>
          <w:lang w:val="en-GB"/>
        </w:rPr>
        <w:t>[</w:t>
      </w:r>
      <w:r w:rsidRPr="00326791">
        <w:rPr>
          <w:sz w:val="24"/>
          <w:szCs w:val="24"/>
          <w:lang w:val="en-GB"/>
        </w:rPr>
        <w:t xml:space="preserve">15 cohorts (645 </w:t>
      </w:r>
      <w:r w:rsidR="00AD70F1">
        <w:rPr>
          <w:sz w:val="24"/>
          <w:szCs w:val="24"/>
          <w:lang w:val="en-GB"/>
        </w:rPr>
        <w:t>patients</w:t>
      </w:r>
      <w:r w:rsidRPr="00326791">
        <w:rPr>
          <w:sz w:val="24"/>
          <w:szCs w:val="24"/>
          <w:lang w:val="en-GB"/>
        </w:rPr>
        <w:t xml:space="preserve">) for ablation, 18 cohorts (541 </w:t>
      </w:r>
      <w:r w:rsidR="00AD70F1">
        <w:rPr>
          <w:sz w:val="24"/>
          <w:szCs w:val="24"/>
          <w:lang w:val="en-GB"/>
        </w:rPr>
        <w:t>patients</w:t>
      </w:r>
      <w:r w:rsidRPr="00326791">
        <w:rPr>
          <w:sz w:val="24"/>
          <w:szCs w:val="24"/>
          <w:lang w:val="en-GB"/>
        </w:rPr>
        <w:t xml:space="preserve">) for EBRT, 27 cohorts (1232 </w:t>
      </w:r>
      <w:r w:rsidR="00AD70F1">
        <w:rPr>
          <w:sz w:val="24"/>
          <w:szCs w:val="24"/>
          <w:lang w:val="en-GB"/>
        </w:rPr>
        <w:t>patients</w:t>
      </w:r>
      <w:r w:rsidRPr="00326791">
        <w:rPr>
          <w:sz w:val="24"/>
          <w:szCs w:val="24"/>
          <w:lang w:val="en-GB"/>
        </w:rPr>
        <w:t xml:space="preserve">) for SIRT, 22 cohorts (1145 </w:t>
      </w:r>
      <w:r w:rsidR="00AD70F1">
        <w:rPr>
          <w:sz w:val="24"/>
          <w:szCs w:val="24"/>
          <w:lang w:val="en-GB"/>
        </w:rPr>
        <w:t>patients</w:t>
      </w:r>
      <w:r w:rsidRPr="00326791">
        <w:rPr>
          <w:sz w:val="24"/>
          <w:szCs w:val="24"/>
          <w:lang w:val="en-GB"/>
        </w:rPr>
        <w:t xml:space="preserve">) for TACE, 16 cohorts (331 </w:t>
      </w:r>
      <w:r w:rsidR="00AD70F1">
        <w:rPr>
          <w:sz w:val="24"/>
          <w:szCs w:val="24"/>
          <w:lang w:val="en-GB"/>
        </w:rPr>
        <w:t>patients</w:t>
      </w:r>
      <w:r w:rsidRPr="00326791">
        <w:rPr>
          <w:sz w:val="24"/>
          <w:szCs w:val="24"/>
          <w:lang w:val="en-GB"/>
        </w:rPr>
        <w:t xml:space="preserve">) for HAI and 3 cohorts (96 </w:t>
      </w:r>
      <w:r w:rsidR="00AD70F1">
        <w:rPr>
          <w:sz w:val="24"/>
          <w:szCs w:val="24"/>
          <w:lang w:val="en-GB"/>
        </w:rPr>
        <w:t>patients</w:t>
      </w:r>
      <w:r w:rsidRPr="00326791">
        <w:rPr>
          <w:sz w:val="24"/>
          <w:szCs w:val="24"/>
          <w:lang w:val="en-GB"/>
        </w:rPr>
        <w:t>) not pooled</w:t>
      </w:r>
      <w:r w:rsidR="00F96C98" w:rsidRPr="00326791">
        <w:rPr>
          <w:sz w:val="24"/>
          <w:szCs w:val="24"/>
          <w:lang w:val="en-GB"/>
        </w:rPr>
        <w:t>]</w:t>
      </w:r>
      <w:r w:rsidRPr="00326791">
        <w:rPr>
          <w:sz w:val="24"/>
          <w:szCs w:val="24"/>
          <w:lang w:val="en-GB"/>
        </w:rPr>
        <w:t>. 74% of the studies were retrospective, 9</w:t>
      </w:r>
      <w:r w:rsidR="00A141DE">
        <w:rPr>
          <w:sz w:val="24"/>
          <w:szCs w:val="24"/>
          <w:lang w:val="en-GB"/>
        </w:rPr>
        <w:t>9</w:t>
      </w:r>
      <w:r w:rsidRPr="00326791">
        <w:rPr>
          <w:sz w:val="24"/>
          <w:szCs w:val="24"/>
          <w:lang w:val="en-GB"/>
        </w:rPr>
        <w:t>% no</w:t>
      </w:r>
      <w:r w:rsidR="00F96C98" w:rsidRPr="00326791">
        <w:rPr>
          <w:sz w:val="24"/>
          <w:szCs w:val="24"/>
          <w:lang w:val="en-GB"/>
        </w:rPr>
        <w:t>n-randomised</w:t>
      </w:r>
      <w:r w:rsidR="00A141DE">
        <w:rPr>
          <w:sz w:val="24"/>
          <w:szCs w:val="24"/>
          <w:lang w:val="en-GB"/>
        </w:rPr>
        <w:t>,</w:t>
      </w:r>
      <w:r w:rsidR="00F96C98" w:rsidRPr="00326791">
        <w:rPr>
          <w:sz w:val="24"/>
          <w:szCs w:val="24"/>
          <w:lang w:val="en-GB"/>
        </w:rPr>
        <w:t xml:space="preserve"> </w:t>
      </w:r>
      <w:r w:rsidR="00127847">
        <w:rPr>
          <w:sz w:val="24"/>
          <w:szCs w:val="24"/>
          <w:lang w:val="en-GB"/>
        </w:rPr>
        <w:t xml:space="preserve">and </w:t>
      </w:r>
      <w:r w:rsidRPr="00326791">
        <w:rPr>
          <w:sz w:val="24"/>
          <w:szCs w:val="24"/>
          <w:lang w:val="en-GB"/>
        </w:rPr>
        <w:t xml:space="preserve">19% </w:t>
      </w:r>
      <w:r w:rsidR="00F96C98" w:rsidRPr="00326791">
        <w:rPr>
          <w:sz w:val="24"/>
          <w:szCs w:val="24"/>
          <w:lang w:val="en-GB"/>
        </w:rPr>
        <w:t xml:space="preserve">were </w:t>
      </w:r>
      <w:r w:rsidRPr="00326791">
        <w:rPr>
          <w:sz w:val="24"/>
          <w:szCs w:val="24"/>
          <w:lang w:val="en-GB"/>
        </w:rPr>
        <w:t xml:space="preserve">only available in abstract </w:t>
      </w:r>
      <w:commentRangeStart w:id="3"/>
      <w:commentRangeStart w:id="4"/>
      <w:r w:rsidRPr="00326791">
        <w:rPr>
          <w:sz w:val="24"/>
          <w:szCs w:val="24"/>
          <w:lang w:val="en-GB"/>
        </w:rPr>
        <w:t>form</w:t>
      </w:r>
      <w:commentRangeEnd w:id="3"/>
      <w:r w:rsidR="00F96C98" w:rsidRPr="00AE48B6">
        <w:rPr>
          <w:rStyle w:val="Marquedecommentaire"/>
          <w:lang w:val="en-GB"/>
        </w:rPr>
        <w:commentReference w:id="3"/>
      </w:r>
      <w:commentRangeEnd w:id="4"/>
      <w:r w:rsidR="00EF3945">
        <w:rPr>
          <w:rStyle w:val="Marquedecommentaire"/>
        </w:rPr>
        <w:commentReference w:id="4"/>
      </w:r>
      <w:r w:rsidRPr="00AD70F1">
        <w:rPr>
          <w:sz w:val="24"/>
          <w:szCs w:val="24"/>
          <w:lang w:val="en-GB"/>
        </w:rPr>
        <w:t xml:space="preserve">. </w:t>
      </w:r>
    </w:p>
    <w:p w14:paraId="5FC2372F" w14:textId="3832AEF1" w:rsidR="00CF1E10" w:rsidRPr="00326791" w:rsidRDefault="00127847" w:rsidP="00CF1E10">
      <w:pPr>
        <w:spacing w:line="480" w:lineRule="auto"/>
        <w:rPr>
          <w:sz w:val="24"/>
          <w:szCs w:val="24"/>
          <w:lang w:val="en-GB"/>
        </w:rPr>
      </w:pPr>
      <w:r>
        <w:rPr>
          <w:sz w:val="24"/>
          <w:szCs w:val="24"/>
          <w:lang w:val="en-GB"/>
        </w:rPr>
        <w:t>The p</w:t>
      </w:r>
      <w:r w:rsidR="00CF1E10" w:rsidRPr="00AD70F1">
        <w:rPr>
          <w:sz w:val="24"/>
          <w:szCs w:val="24"/>
          <w:lang w:val="en-GB"/>
        </w:rPr>
        <w:t xml:space="preserve">ooled mean weighted OS </w:t>
      </w:r>
      <w:r w:rsidR="00D00310" w:rsidRPr="00AD70F1">
        <w:rPr>
          <w:sz w:val="24"/>
          <w:szCs w:val="24"/>
          <w:lang w:val="en-GB"/>
        </w:rPr>
        <w:t xml:space="preserve">was </w:t>
      </w:r>
      <w:r w:rsidR="00CF1E10" w:rsidRPr="00AD70F1">
        <w:rPr>
          <w:sz w:val="24"/>
          <w:szCs w:val="24"/>
          <w:lang w:val="en-GB"/>
        </w:rPr>
        <w:t xml:space="preserve">30.2 months </w:t>
      </w:r>
      <w:r w:rsidR="009960A5" w:rsidRPr="00326791">
        <w:rPr>
          <w:sz w:val="24"/>
          <w:szCs w:val="24"/>
          <w:lang w:val="en-GB"/>
        </w:rPr>
        <w:t>(95%</w:t>
      </w:r>
      <w:r>
        <w:rPr>
          <w:sz w:val="24"/>
          <w:szCs w:val="24"/>
          <w:lang w:val="en-GB"/>
        </w:rPr>
        <w:t xml:space="preserve"> confidence interval (</w:t>
      </w:r>
      <w:r w:rsidR="009960A5" w:rsidRPr="00326791">
        <w:rPr>
          <w:sz w:val="24"/>
          <w:szCs w:val="24"/>
          <w:lang w:val="en-GB"/>
        </w:rPr>
        <w:t>CI</w:t>
      </w:r>
      <w:r>
        <w:rPr>
          <w:sz w:val="24"/>
          <w:szCs w:val="24"/>
          <w:lang w:val="en-GB"/>
        </w:rPr>
        <w:t>)</w:t>
      </w:r>
      <w:r w:rsidR="009960A5" w:rsidRPr="00326791">
        <w:rPr>
          <w:sz w:val="24"/>
          <w:szCs w:val="24"/>
          <w:lang w:val="en-GB"/>
        </w:rPr>
        <w:t xml:space="preserve">: </w:t>
      </w:r>
      <w:r w:rsidR="009960A5" w:rsidRPr="00AE48B6">
        <w:rPr>
          <w:rFonts w:cs="Calibri"/>
          <w:sz w:val="24"/>
          <w:szCs w:val="24"/>
          <w:lang w:val="en-GB"/>
        </w:rPr>
        <w:t xml:space="preserve">21.8-38.6) </w:t>
      </w:r>
      <w:r w:rsidR="00CF1E10" w:rsidRPr="00AD70F1">
        <w:rPr>
          <w:sz w:val="24"/>
          <w:szCs w:val="24"/>
          <w:lang w:val="en-GB"/>
        </w:rPr>
        <w:t>for ablation, 18.9</w:t>
      </w:r>
      <w:r w:rsidR="009960A5" w:rsidRPr="00AD70F1">
        <w:rPr>
          <w:sz w:val="24"/>
          <w:szCs w:val="24"/>
          <w:lang w:val="en-GB"/>
        </w:rPr>
        <w:t xml:space="preserve"> </w:t>
      </w:r>
      <w:r w:rsidR="009960A5" w:rsidRPr="00AE48B6">
        <w:rPr>
          <w:rFonts w:cs="Calibri"/>
          <w:sz w:val="24"/>
          <w:szCs w:val="24"/>
          <w:lang w:val="en-GB"/>
        </w:rPr>
        <w:t>(14.2-23.5)</w:t>
      </w:r>
      <w:r w:rsidR="00CF1E10" w:rsidRPr="00AD70F1">
        <w:rPr>
          <w:sz w:val="24"/>
          <w:szCs w:val="24"/>
          <w:lang w:val="en-GB"/>
        </w:rPr>
        <w:t xml:space="preserve"> for EBRT, 14.1 </w:t>
      </w:r>
      <w:r w:rsidR="009960A5" w:rsidRPr="00AE48B6">
        <w:rPr>
          <w:rFonts w:cs="Calibri"/>
          <w:sz w:val="24"/>
          <w:szCs w:val="24"/>
          <w:lang w:val="en-GB"/>
        </w:rPr>
        <w:t xml:space="preserve">(12.1-16.0) </w:t>
      </w:r>
      <w:r w:rsidR="00CF1E10" w:rsidRPr="00AD70F1">
        <w:rPr>
          <w:sz w:val="24"/>
          <w:szCs w:val="24"/>
          <w:lang w:val="en-GB"/>
        </w:rPr>
        <w:t xml:space="preserve">for SIRT, 15.9 </w:t>
      </w:r>
      <w:r w:rsidR="009960A5" w:rsidRPr="00AE48B6">
        <w:rPr>
          <w:rFonts w:cs="Calibri"/>
          <w:sz w:val="24"/>
          <w:szCs w:val="24"/>
          <w:lang w:val="en-GB"/>
        </w:rPr>
        <w:t xml:space="preserve">(12.9-19.0) </w:t>
      </w:r>
      <w:r w:rsidR="00CF1E10" w:rsidRPr="00AD70F1">
        <w:rPr>
          <w:sz w:val="24"/>
          <w:szCs w:val="24"/>
          <w:lang w:val="en-GB"/>
        </w:rPr>
        <w:t>for TACE</w:t>
      </w:r>
      <w:r>
        <w:rPr>
          <w:sz w:val="24"/>
          <w:szCs w:val="24"/>
          <w:lang w:val="en-GB"/>
        </w:rPr>
        <w:t xml:space="preserve"> and</w:t>
      </w:r>
      <w:r w:rsidR="00CF1E10" w:rsidRPr="00AD70F1">
        <w:rPr>
          <w:sz w:val="24"/>
          <w:szCs w:val="24"/>
          <w:lang w:val="en-GB"/>
        </w:rPr>
        <w:t xml:space="preserve"> 21.3 </w:t>
      </w:r>
      <w:r w:rsidR="009960A5" w:rsidRPr="00AE48B6">
        <w:rPr>
          <w:rFonts w:cs="Calibri"/>
          <w:sz w:val="24"/>
          <w:szCs w:val="24"/>
          <w:lang w:val="en-GB"/>
        </w:rPr>
        <w:t xml:space="preserve">(15.4-27.1) </w:t>
      </w:r>
      <w:r w:rsidR="00CF1E10" w:rsidRPr="00AD70F1">
        <w:rPr>
          <w:sz w:val="24"/>
          <w:szCs w:val="24"/>
          <w:lang w:val="en-GB"/>
        </w:rPr>
        <w:t xml:space="preserve">for HAI. </w:t>
      </w:r>
      <w:r>
        <w:rPr>
          <w:sz w:val="24"/>
          <w:szCs w:val="24"/>
          <w:lang w:val="en-GB"/>
        </w:rPr>
        <w:t>The p</w:t>
      </w:r>
      <w:r w:rsidR="00CF1E10" w:rsidRPr="00AD70F1">
        <w:rPr>
          <w:sz w:val="24"/>
          <w:szCs w:val="24"/>
          <w:lang w:val="en-GB"/>
        </w:rPr>
        <w:t>ooled complete response rate was 93.9% for ablation. When analysed together, SIRT, TACE and HAI had a pooled mean weighted OS of 15.7 months</w:t>
      </w:r>
      <w:r w:rsidR="00EF3945">
        <w:rPr>
          <w:sz w:val="24"/>
          <w:szCs w:val="24"/>
          <w:lang w:val="en-GB"/>
        </w:rPr>
        <w:t xml:space="preserve"> (all patients)</w:t>
      </w:r>
      <w:r w:rsidR="00CF1E10" w:rsidRPr="00326791">
        <w:rPr>
          <w:sz w:val="24"/>
          <w:szCs w:val="24"/>
          <w:lang w:val="en-GB"/>
        </w:rPr>
        <w:t xml:space="preserve"> </w:t>
      </w:r>
      <w:r w:rsidR="00CF1E10" w:rsidRPr="00AD70F1">
        <w:rPr>
          <w:sz w:val="24"/>
          <w:szCs w:val="24"/>
          <w:lang w:val="en-GB"/>
        </w:rPr>
        <w:t xml:space="preserve">and 25.2 </w:t>
      </w:r>
      <w:r w:rsidR="00D00310" w:rsidRPr="00AD70F1">
        <w:rPr>
          <w:sz w:val="24"/>
          <w:szCs w:val="24"/>
          <w:lang w:val="en-GB"/>
        </w:rPr>
        <w:t xml:space="preserve">months </w:t>
      </w:r>
      <w:r w:rsidR="00CF1E10" w:rsidRPr="00AD70F1">
        <w:rPr>
          <w:sz w:val="24"/>
          <w:szCs w:val="24"/>
          <w:lang w:val="en-GB"/>
        </w:rPr>
        <w:t xml:space="preserve">for </w:t>
      </w:r>
      <w:r>
        <w:rPr>
          <w:sz w:val="24"/>
          <w:szCs w:val="24"/>
          <w:lang w:val="en-GB"/>
        </w:rPr>
        <w:t>patients</w:t>
      </w:r>
      <w:r w:rsidR="00CF1E10" w:rsidRPr="00AD70F1">
        <w:rPr>
          <w:sz w:val="24"/>
          <w:szCs w:val="24"/>
          <w:lang w:val="en-GB"/>
        </w:rPr>
        <w:t xml:space="preserve"> treated in first-line with concomitant </w:t>
      </w:r>
      <w:r>
        <w:rPr>
          <w:sz w:val="24"/>
          <w:szCs w:val="24"/>
          <w:lang w:val="en-GB"/>
        </w:rPr>
        <w:t xml:space="preserve">systemic </w:t>
      </w:r>
      <w:commentRangeStart w:id="5"/>
      <w:commentRangeStart w:id="6"/>
      <w:r w:rsidR="00CF1E10" w:rsidRPr="00AD70F1">
        <w:rPr>
          <w:sz w:val="24"/>
          <w:szCs w:val="24"/>
          <w:lang w:val="en-GB"/>
        </w:rPr>
        <w:t>chemotherapy</w:t>
      </w:r>
      <w:commentRangeEnd w:id="5"/>
      <w:r w:rsidR="007C4246">
        <w:rPr>
          <w:rStyle w:val="Marquedecommentaire"/>
        </w:rPr>
        <w:commentReference w:id="5"/>
      </w:r>
      <w:commentRangeEnd w:id="6"/>
      <w:r w:rsidR="00EF3945">
        <w:rPr>
          <w:rStyle w:val="Marquedecommentaire"/>
        </w:rPr>
        <w:commentReference w:id="6"/>
      </w:r>
      <w:r w:rsidR="00CF1E10" w:rsidRPr="00AD70F1">
        <w:rPr>
          <w:sz w:val="24"/>
          <w:szCs w:val="24"/>
          <w:lang w:val="en-GB"/>
        </w:rPr>
        <w:t>.</w:t>
      </w:r>
    </w:p>
    <w:p w14:paraId="468F12B3" w14:textId="2EDC52CC" w:rsidR="003C37B8" w:rsidRDefault="00CF1E10" w:rsidP="00CF1E10">
      <w:pPr>
        <w:spacing w:line="480" w:lineRule="auto"/>
        <w:rPr>
          <w:b/>
          <w:sz w:val="24"/>
          <w:szCs w:val="24"/>
          <w:lang w:val="en-GB"/>
        </w:rPr>
      </w:pPr>
      <w:r w:rsidRPr="00326791">
        <w:rPr>
          <w:sz w:val="24"/>
          <w:szCs w:val="24"/>
          <w:lang w:val="en-GB"/>
        </w:rPr>
        <w:t xml:space="preserve">Conclusions: </w:t>
      </w:r>
      <w:r w:rsidR="00127847">
        <w:rPr>
          <w:sz w:val="24"/>
          <w:szCs w:val="24"/>
          <w:lang w:val="en-GB"/>
        </w:rPr>
        <w:t>Available l</w:t>
      </w:r>
      <w:r w:rsidRPr="00326791">
        <w:rPr>
          <w:sz w:val="24"/>
          <w:szCs w:val="24"/>
          <w:lang w:val="en-GB"/>
        </w:rPr>
        <w:t xml:space="preserve">iterature on LRT for </w:t>
      </w:r>
      <w:proofErr w:type="spellStart"/>
      <w:r w:rsidRPr="00326791">
        <w:rPr>
          <w:sz w:val="24"/>
          <w:szCs w:val="24"/>
          <w:lang w:val="en-GB"/>
        </w:rPr>
        <w:t>iCC</w:t>
      </w:r>
      <w:proofErr w:type="spellEnd"/>
      <w:r w:rsidRPr="00326791">
        <w:rPr>
          <w:sz w:val="24"/>
          <w:szCs w:val="24"/>
          <w:lang w:val="en-GB"/>
        </w:rPr>
        <w:t xml:space="preserve"> was heterogeneous and of insufficient quality to </w:t>
      </w:r>
      <w:r w:rsidR="009960A5" w:rsidRPr="00326791">
        <w:rPr>
          <w:sz w:val="24"/>
          <w:szCs w:val="24"/>
          <w:lang w:val="en-GB"/>
        </w:rPr>
        <w:t xml:space="preserve">make </w:t>
      </w:r>
      <w:r w:rsidR="00D00310" w:rsidRPr="00326791">
        <w:rPr>
          <w:sz w:val="24"/>
          <w:szCs w:val="24"/>
          <w:lang w:val="en-GB"/>
        </w:rPr>
        <w:t xml:space="preserve">strong </w:t>
      </w:r>
      <w:r w:rsidRPr="00326791">
        <w:rPr>
          <w:sz w:val="24"/>
          <w:szCs w:val="24"/>
          <w:lang w:val="en-GB"/>
        </w:rPr>
        <w:t xml:space="preserve">recommendations. </w:t>
      </w:r>
      <w:r w:rsidR="00D00310" w:rsidRPr="00326791">
        <w:rPr>
          <w:sz w:val="24"/>
          <w:szCs w:val="24"/>
          <w:lang w:val="en-GB"/>
        </w:rPr>
        <w:t>A</w:t>
      </w:r>
      <w:r w:rsidRPr="00326791">
        <w:rPr>
          <w:sz w:val="24"/>
          <w:szCs w:val="24"/>
          <w:lang w:val="en-GB"/>
        </w:rPr>
        <w:t xml:space="preserve">blation </w:t>
      </w:r>
      <w:r w:rsidR="00D00310" w:rsidRPr="00326791">
        <w:rPr>
          <w:sz w:val="24"/>
          <w:szCs w:val="24"/>
          <w:lang w:val="en-GB"/>
        </w:rPr>
        <w:t>achieve</w:t>
      </w:r>
      <w:r w:rsidR="00127847">
        <w:rPr>
          <w:sz w:val="24"/>
          <w:szCs w:val="24"/>
          <w:lang w:val="en-GB"/>
        </w:rPr>
        <w:t>d</w:t>
      </w:r>
      <w:r w:rsidR="00D00310" w:rsidRPr="00326791">
        <w:rPr>
          <w:sz w:val="24"/>
          <w:szCs w:val="24"/>
          <w:lang w:val="en-GB"/>
        </w:rPr>
        <w:t xml:space="preserve"> </w:t>
      </w:r>
      <w:r w:rsidR="00EF3945">
        <w:rPr>
          <w:sz w:val="24"/>
          <w:szCs w:val="24"/>
          <w:lang w:val="en-GB"/>
        </w:rPr>
        <w:t>satisfactory outcomes</w:t>
      </w:r>
      <w:r w:rsidRPr="00326791">
        <w:rPr>
          <w:sz w:val="24"/>
          <w:szCs w:val="24"/>
          <w:lang w:val="en-GB"/>
        </w:rPr>
        <w:t xml:space="preserve">, and </w:t>
      </w:r>
      <w:r w:rsidR="00127847">
        <w:rPr>
          <w:sz w:val="24"/>
          <w:szCs w:val="24"/>
          <w:lang w:val="en-GB"/>
        </w:rPr>
        <w:t>may</w:t>
      </w:r>
      <w:r w:rsidRPr="00326791">
        <w:rPr>
          <w:sz w:val="24"/>
          <w:szCs w:val="24"/>
          <w:lang w:val="en-GB"/>
        </w:rPr>
        <w:t xml:space="preserve"> be </w:t>
      </w:r>
      <w:r w:rsidRPr="00326791">
        <w:rPr>
          <w:sz w:val="24"/>
          <w:szCs w:val="24"/>
          <w:lang w:val="en-GB"/>
        </w:rPr>
        <w:lastRenderedPageBreak/>
        <w:t xml:space="preserve">recommended when surgery is not feasible. </w:t>
      </w:r>
      <w:r w:rsidR="00127847">
        <w:rPr>
          <w:sz w:val="24"/>
          <w:szCs w:val="24"/>
          <w:lang w:val="en-GB"/>
        </w:rPr>
        <w:t xml:space="preserve">Benchmark </w:t>
      </w:r>
      <w:r w:rsidR="00127847" w:rsidRPr="006210ED">
        <w:rPr>
          <w:sz w:val="24"/>
          <w:szCs w:val="24"/>
          <w:lang w:val="en-GB"/>
        </w:rPr>
        <w:t xml:space="preserve">outcome estimates </w:t>
      </w:r>
      <w:r w:rsidR="00127847">
        <w:rPr>
          <w:sz w:val="24"/>
          <w:szCs w:val="24"/>
          <w:lang w:val="en-GB"/>
        </w:rPr>
        <w:t xml:space="preserve">are </w:t>
      </w:r>
      <w:r w:rsidR="00127847" w:rsidRPr="00697571">
        <w:rPr>
          <w:sz w:val="24"/>
          <w:szCs w:val="24"/>
          <w:lang w:val="en-GB"/>
        </w:rPr>
        <w:t>provided</w:t>
      </w:r>
      <w:r w:rsidRPr="00326791">
        <w:rPr>
          <w:sz w:val="24"/>
          <w:szCs w:val="24"/>
          <w:lang w:val="en-GB"/>
        </w:rPr>
        <w:t xml:space="preserve"> </w:t>
      </w:r>
      <w:r w:rsidR="00127847">
        <w:rPr>
          <w:sz w:val="24"/>
          <w:szCs w:val="24"/>
          <w:lang w:val="en-GB"/>
        </w:rPr>
        <w:t xml:space="preserve">to </w:t>
      </w:r>
      <w:r w:rsidR="009960A5" w:rsidRPr="00326791">
        <w:rPr>
          <w:sz w:val="24"/>
          <w:szCs w:val="24"/>
          <w:lang w:val="en-GB"/>
        </w:rPr>
        <w:t xml:space="preserve">inform </w:t>
      </w:r>
      <w:r w:rsidR="00127847">
        <w:rPr>
          <w:sz w:val="24"/>
          <w:szCs w:val="24"/>
          <w:lang w:val="en-GB"/>
        </w:rPr>
        <w:t xml:space="preserve">the </w:t>
      </w:r>
      <w:r w:rsidR="009960A5" w:rsidRPr="00326791">
        <w:rPr>
          <w:sz w:val="24"/>
          <w:szCs w:val="24"/>
          <w:lang w:val="en-GB"/>
        </w:rPr>
        <w:t>design of p</w:t>
      </w:r>
      <w:r w:rsidRPr="00326791">
        <w:rPr>
          <w:sz w:val="24"/>
          <w:szCs w:val="24"/>
          <w:lang w:val="en-GB"/>
        </w:rPr>
        <w:t>hase III trials.</w:t>
      </w:r>
      <w:r w:rsidRPr="00326791">
        <w:rPr>
          <w:b/>
          <w:sz w:val="24"/>
          <w:szCs w:val="24"/>
          <w:lang w:val="en-GB"/>
        </w:rPr>
        <w:t xml:space="preserve"> </w:t>
      </w:r>
    </w:p>
    <w:p w14:paraId="191B4027" w14:textId="77777777" w:rsidR="00FE3C3E" w:rsidRDefault="00FE3C3E" w:rsidP="00FE3C3E">
      <w:pPr>
        <w:rPr>
          <w:b/>
          <w:sz w:val="24"/>
          <w:szCs w:val="24"/>
          <w:lang w:val="en-GB"/>
        </w:rPr>
      </w:pPr>
    </w:p>
    <w:p w14:paraId="3E67CAD0" w14:textId="34D6377B" w:rsidR="005E4350" w:rsidRDefault="003C37B8" w:rsidP="00FE3C3E">
      <w:pPr>
        <w:rPr>
          <w:b/>
          <w:sz w:val="24"/>
          <w:szCs w:val="24"/>
          <w:lang w:val="en-GB"/>
        </w:rPr>
      </w:pPr>
      <w:r>
        <w:rPr>
          <w:b/>
          <w:sz w:val="24"/>
          <w:szCs w:val="24"/>
          <w:lang w:val="en-GB"/>
        </w:rPr>
        <w:t>Lay summary:</w:t>
      </w:r>
    </w:p>
    <w:p w14:paraId="19901351" w14:textId="126DCA85" w:rsidR="003C37B8" w:rsidRPr="003C37B8" w:rsidRDefault="003C37B8" w:rsidP="00CF1E10">
      <w:pPr>
        <w:spacing w:line="480" w:lineRule="auto"/>
        <w:rPr>
          <w:sz w:val="24"/>
          <w:szCs w:val="24"/>
          <w:lang w:val="en-GB"/>
        </w:rPr>
      </w:pPr>
      <w:r>
        <w:rPr>
          <w:sz w:val="24"/>
          <w:szCs w:val="24"/>
          <w:lang w:val="en-GB"/>
        </w:rPr>
        <w:t>Locoregional treatment has been used to treat patients suffering from intrahepatic cholangiocarcinoma, when it is confined to the liver; however, the literature is not well summarized. In this work, we systematically reviewed all the studies involving locoregional treatment applied to intrahepatic cholangiocarcinoma patients. This literature was</w:t>
      </w:r>
      <w:r w:rsidR="003E54FE">
        <w:rPr>
          <w:sz w:val="24"/>
          <w:szCs w:val="24"/>
          <w:lang w:val="en-GB"/>
        </w:rPr>
        <w:t xml:space="preserve"> heterogeneous, and relies mostly on</w:t>
      </w:r>
      <w:r w:rsidR="00263B8A">
        <w:rPr>
          <w:sz w:val="24"/>
          <w:szCs w:val="24"/>
          <w:lang w:val="en-GB"/>
        </w:rPr>
        <w:t xml:space="preserve"> designs insufficient to derive strong recommendations. However, ablation was associated to good results, and might be used in small </w:t>
      </w:r>
      <w:proofErr w:type="spellStart"/>
      <w:r w:rsidR="00263B8A">
        <w:rPr>
          <w:sz w:val="24"/>
          <w:szCs w:val="24"/>
          <w:lang w:val="en-GB"/>
        </w:rPr>
        <w:t>tumors</w:t>
      </w:r>
      <w:proofErr w:type="spellEnd"/>
      <w:r w:rsidR="00263B8A">
        <w:rPr>
          <w:sz w:val="24"/>
          <w:szCs w:val="24"/>
          <w:lang w:val="en-GB"/>
        </w:rPr>
        <w:t xml:space="preserve"> when surgery is not possible. This review might also help for the design of future clinical trials.</w:t>
      </w:r>
    </w:p>
    <w:p w14:paraId="1AD993B7" w14:textId="77777777" w:rsidR="005E4350" w:rsidRPr="00326791" w:rsidRDefault="005E4350" w:rsidP="00CF1E10">
      <w:pPr>
        <w:spacing w:line="480" w:lineRule="auto"/>
        <w:rPr>
          <w:b/>
          <w:sz w:val="24"/>
          <w:szCs w:val="24"/>
          <w:lang w:val="en-GB"/>
        </w:rPr>
      </w:pPr>
    </w:p>
    <w:p w14:paraId="1872E24E" w14:textId="01AC2A34" w:rsidR="00CF1E10" w:rsidRPr="00326791" w:rsidRDefault="00CF1E10" w:rsidP="00CF1E10">
      <w:pPr>
        <w:spacing w:line="480" w:lineRule="auto"/>
        <w:rPr>
          <w:b/>
          <w:sz w:val="24"/>
          <w:szCs w:val="24"/>
          <w:lang w:val="en-GB"/>
        </w:rPr>
      </w:pPr>
      <w:r w:rsidRPr="00AD70F1">
        <w:rPr>
          <w:b/>
          <w:sz w:val="24"/>
          <w:szCs w:val="24"/>
          <w:lang w:val="en-GB"/>
        </w:rPr>
        <w:br w:type="page"/>
      </w:r>
    </w:p>
    <w:p w14:paraId="382EF8CF" w14:textId="5737F305" w:rsidR="00F02F42" w:rsidRPr="00326791" w:rsidRDefault="00F02F42" w:rsidP="008B291B">
      <w:pPr>
        <w:spacing w:line="480" w:lineRule="auto"/>
        <w:rPr>
          <w:b/>
          <w:sz w:val="24"/>
          <w:szCs w:val="24"/>
          <w:lang w:val="en-GB"/>
        </w:rPr>
      </w:pPr>
      <w:r w:rsidRPr="00326791">
        <w:rPr>
          <w:b/>
          <w:sz w:val="24"/>
          <w:szCs w:val="24"/>
          <w:lang w:val="en-GB"/>
        </w:rPr>
        <w:lastRenderedPageBreak/>
        <w:t>Introduction</w:t>
      </w:r>
    </w:p>
    <w:p w14:paraId="7D0BE726" w14:textId="24F2B091" w:rsidR="00F02F42" w:rsidRPr="00AD70F1" w:rsidRDefault="00F02F42" w:rsidP="008B291B">
      <w:pPr>
        <w:spacing w:line="480" w:lineRule="auto"/>
        <w:rPr>
          <w:sz w:val="24"/>
          <w:szCs w:val="24"/>
          <w:lang w:val="en-GB"/>
        </w:rPr>
      </w:pPr>
      <w:r w:rsidRPr="00326791">
        <w:rPr>
          <w:sz w:val="24"/>
          <w:szCs w:val="24"/>
          <w:lang w:val="en-GB"/>
        </w:rPr>
        <w:t>Intrahepatic cholangiocarcinoma (</w:t>
      </w:r>
      <w:proofErr w:type="spellStart"/>
      <w:r w:rsidRPr="00326791">
        <w:rPr>
          <w:sz w:val="24"/>
          <w:szCs w:val="24"/>
          <w:lang w:val="en-GB"/>
        </w:rPr>
        <w:t>iCC</w:t>
      </w:r>
      <w:proofErr w:type="spellEnd"/>
      <w:r w:rsidRPr="00326791">
        <w:rPr>
          <w:sz w:val="24"/>
          <w:szCs w:val="24"/>
          <w:lang w:val="en-GB"/>
        </w:rPr>
        <w:t xml:space="preserve">) has a rising incidence in Western countries </w:t>
      </w:r>
      <w:r w:rsidRPr="00AD70F1">
        <w:rPr>
          <w:sz w:val="24"/>
          <w:szCs w:val="24"/>
          <w:lang w:val="en-GB"/>
        </w:rPr>
        <w:fldChar w:fldCharType="begin"/>
      </w:r>
      <w:r w:rsidRPr="00326791">
        <w:rPr>
          <w:sz w:val="24"/>
          <w:szCs w:val="24"/>
          <w:lang w:val="en-GB"/>
        </w:rPr>
        <w:instrText xml:space="preserve"> ADDIN ZOTERO_ITEM CSL_CITATION {"citationID":"ddivcvWN","properties":{"formattedCitation":"[1]","plainCitation":"[1]","noteIndex":0},"citationItems":[{"id":3525,"uris":["http://zotero.org/users/587498/items/K9BVRE45"],"uri":["http://zotero.org/users/587498/items/K9BVRE45"],"itemData":{"id":3525,"type":"article-journal","title":"Forty-Year Trends in Cholangiocarcinoma Incidence in the U.S.: Intrahepatic Disease on the Rise","container-title":"The Oncologist","page":"594-599","volume":"21","issue":"5","source":"Crossref","abstract":"Background. Challenges in the diagnosis and classification of cholangiocarcinoma have made it difficult to quantify the true incidence of this highly aggressive malignancy.","DOI":"10.1634/theoncologist.2015-0446","ISSN":"1083-7159, 1549-490X","shortTitle":"Forty-Year Trends in Cholangiocarcinoma Incidence in the U.S.","language":"en","author":[{"family":"Saha","given":"Supriya K."},{"family":"Zhu","given":"Andrew X."},{"family":"Fuchs","given":"Charles S."},{"family":"Brooks","given":"Gabriel A."}],"issued":{"date-parts":[["2016",5]]}}}],"schema":"https://github.com/citation-style-language/schema/raw/master/csl-citation.json"} </w:instrText>
      </w:r>
      <w:r w:rsidRPr="00AD70F1">
        <w:rPr>
          <w:sz w:val="24"/>
          <w:szCs w:val="24"/>
          <w:lang w:val="en-GB"/>
        </w:rPr>
        <w:fldChar w:fldCharType="separate"/>
      </w:r>
      <w:r w:rsidRPr="00AD70F1">
        <w:rPr>
          <w:rFonts w:ascii="Calibri" w:hAnsi="Calibri" w:cs="Calibri"/>
          <w:sz w:val="24"/>
          <w:szCs w:val="24"/>
          <w:lang w:val="en-GB"/>
        </w:rPr>
        <w:t>[1]</w:t>
      </w:r>
      <w:r w:rsidRPr="00AD70F1">
        <w:rPr>
          <w:sz w:val="24"/>
          <w:szCs w:val="24"/>
          <w:lang w:val="en-GB"/>
        </w:rPr>
        <w:fldChar w:fldCharType="end"/>
      </w:r>
      <w:r w:rsidRPr="00AD70F1">
        <w:rPr>
          <w:sz w:val="24"/>
          <w:szCs w:val="24"/>
          <w:lang w:val="en-GB"/>
        </w:rPr>
        <w:t xml:space="preserve">. Due to its relative rarity, treatment strategies of systemic therapies are mostly derived from the results of prospective trials conducted in biliary tract cancers (BTC) of different origins </w:t>
      </w:r>
      <w:r w:rsidRPr="00AD70F1">
        <w:rPr>
          <w:sz w:val="24"/>
          <w:szCs w:val="24"/>
          <w:lang w:val="en-GB"/>
        </w:rPr>
        <w:fldChar w:fldCharType="begin"/>
      </w:r>
      <w:r w:rsidR="0056133B">
        <w:rPr>
          <w:sz w:val="24"/>
          <w:szCs w:val="24"/>
          <w:lang w:val="en-GB"/>
        </w:rPr>
        <w:instrText xml:space="preserve"> ADDIN ZOTERO_ITEM CSL_CITATION {"citationID":"fESr77n1","properties":{"formattedCitation":"[2,3]","plainCitation":"[2,3]","noteIndex":0},"citationItems":[{"id":3572,"uris":["http://zotero.org/users/587498/items/5XW4688I"],"uri":["http://zotero.org/users/587498/items/5XW4688I"],"itemData":{"id":3572,"type":"article-journal","title":"Medical treatment for cholangiocarcinoma.","container-title":"Liver international : official journal of the International Association for the Study of the Liver","page":"123-142","volume":"39 Suppl 1","abstract":"Most of the patients with cholangiocarcinoma (CCA) present with advanced (inoperable or metastatic) disease, and relapse rates are high in those undergoing potentially curative resection. Previous treatment nihilism of patients with advanced disease has been replaced by active clinical research with the advent of randomized clinical trials (RCTs) and a much greater effort at understanding molecular mechanisms underpinning CCA. Three RCTs have recently been reported evaluating adjuvant chemotherapy following curative resection; only one of these has the potential to change practice. The BILCAP study failed to meet its primary endpoint by intention-to-treat analysis; however, a survival benefit was seen in a preplanned sensitivity analysis (predominantly adjusting for lymph nodes status). This, along with the numerical difference in median overall survival has led to the uptake of adjuvant capecitabine by many clinicians. In patients with advanced disease, the only level 1 data available supports the use of cisplatin and gemcitabine for the first-line treatment of patients with advanced disease; there is no established second-line chemotherapy. Previous forays into targeted therapy have proven unfruitful (namely targeting the epithelial growth factor receptor and vascular endothelial growth factor pathways). An increasing number of genomic subtypes are being defined; for some of these on-target therapeutic options are under active investigation. The most developed are studies targeting IDH-1 (isocitrate dehydrogenase) mutations and","DOI":"10.1111/liv.14100","ISSN":"1478-3231 1478-3223","note":"PMID: 30892822","journalAbbreviation":"Liver Int","language":"eng","author":[{"family":"Adeva","given":"Jorge"},{"family":"Sangro","given":"Bruno"},{"family":"Salati","given":"Maximiliano"},{"family":"Edeline","given":"Julien"},{"family":"La Casta","given":"Adelaida"},{"family":"Bittoni","given":"Alessandro"},{"family":"Berardi","given":"Rosanna"},{"family":"Bruix","given":"Jordi"},{"family":"Valle","given":"Juan W."}],"issued":{"date-parts":[["2019",5]]}}},{"id":1091,"uris":["http://zotero.org/users/587498/items/UR23XEAK"],"uri":["http://zotero.org/users/587498/items/UR23XEAK"],"itemData":{"id":1091,"type":"article-journal","title":"Cisplatin plus gemcitabine versus gemcitabine for biliary tract cancer","container-title":"The New England journal of medicine","page":"1273-1281","volume":"362","issue":"14","source":"NCBI PubMed","abstract":"BACKGROUND: There is no established standard chemotherapy for patients with locally advanced or metastatic biliary tract cancer. We initially conducted a randomized, phase 2 study involving 86 patients to compare cisplatin plus gemcitabine with gemcitabine alone. After we found an improvement in progression-free survival, the trial was extended to the phase 3 trial reported here.\nMETHODS: We randomly assigned 410 patients with locally advanced or metastatic cholangiocarcinoma, gallbladder cancer, or ampullary cancer to receive either cisplatin (25 mg per square meter of body-surface area) followed by gemcitabine (1000 mg per square meter on days 1 and 8, every 3 weeks for eight cycles) or gemcitabine alone (1000 mg per square meter on days 1, 8, and 15, every 4 weeks for six cycles) for up to 24 weeks. The primary end point was overall survival.\nRESULTS: After a median follow-up of 8.2 months and 327 deaths, the median overall survival was 11.7 months among the 204 patients in the cisplatin-gemcitabine group and 8.1 months among the 206 patients in the gemcitabine group (hazard ratio, 0.64; 95% confidence interval, 0.52 to 0.80; P&lt;0.001). The median progression-free survival was 8.0 months in the cisplatin-gemcitabine group and 5.0 months in the gemcitabine-only group (P&lt;0.001). In addition, the rate of tumor control among patients in the cisplatin-gemcitabine group was significantly increased (81.4% vs. 71.8%, P=0.049). Adverse events were similar in the two groups, with the exception of more neutropenia in the cisplatin-gemcitabine group; the number of neutropenia-associated infections was similar in the two groups.\nCONCLUSIONS: As compared with gemcitabine alone, cisplatin plus gemcitabine was associated with a significant survival advantage without the addition of substantial toxicity. Cisplatin plus gemcitabine is an appropriate option for the treatment of patients with advanced biliary cancer. (ClinicalTrials.gov number, NCT00262769.)","DOI":"10.1056/NEJMoa0908721","ISSN":"1533-4406","note":"PMID: 20375404","journalAbbreviation":"N. Engl. J. Med.","language":"eng","author":[{"family":"Valle","given":"Juan"},{"family":"Wasan","given":"Harpreet"},{"family":"Palmer","given":"Daniel H"},{"family":"Cunningham","given":"David"},{"family":"Anthoney","given":"Alan"},{"family":"Maraveyas","given":"Anthony"},{"family":"Madhusudan","given":"Srinivasan"},{"family":"Iveson","given":"Tim"},{"family":"Hughes","given":"Sharon"},{"family":"Pereira","given":"Stephen P"},{"family":"Roughton","given":"Michael"},{"family":"Bridgewater","given":"John"},{"literal":"ABC-02 Trial Investigators"}],"issued":{"date-parts":[["2010",4,8]]}}}],"schema":"https://github.com/citation-style-language/schema/raw/master/csl-citation.json"}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lang w:val="en-US"/>
        </w:rPr>
        <w:t>[2,3]</w:t>
      </w:r>
      <w:r w:rsidRPr="00AD70F1">
        <w:rPr>
          <w:sz w:val="24"/>
          <w:szCs w:val="24"/>
          <w:lang w:val="en-GB"/>
        </w:rPr>
        <w:fldChar w:fldCharType="end"/>
      </w:r>
      <w:r w:rsidRPr="00AD70F1">
        <w:rPr>
          <w:sz w:val="24"/>
          <w:szCs w:val="24"/>
          <w:lang w:val="en-GB"/>
        </w:rPr>
        <w:t xml:space="preserve">. However, </w:t>
      </w:r>
      <w:proofErr w:type="spellStart"/>
      <w:r w:rsidRPr="00AD70F1">
        <w:rPr>
          <w:sz w:val="24"/>
          <w:szCs w:val="24"/>
          <w:lang w:val="en-GB"/>
        </w:rPr>
        <w:t>iCC</w:t>
      </w:r>
      <w:proofErr w:type="spellEnd"/>
      <w:r w:rsidRPr="00AD70F1">
        <w:rPr>
          <w:sz w:val="24"/>
          <w:szCs w:val="24"/>
          <w:lang w:val="en-GB"/>
        </w:rPr>
        <w:t xml:space="preserve"> might present a different </w:t>
      </w:r>
      <w:r w:rsidR="00127847">
        <w:rPr>
          <w:sz w:val="24"/>
          <w:szCs w:val="24"/>
          <w:lang w:val="en-GB"/>
        </w:rPr>
        <w:t xml:space="preserve">biology, and hence </w:t>
      </w:r>
      <w:r w:rsidRPr="00AD70F1">
        <w:rPr>
          <w:sz w:val="24"/>
          <w:szCs w:val="24"/>
          <w:lang w:val="en-GB"/>
        </w:rPr>
        <w:t>prognosis</w:t>
      </w:r>
      <w:r w:rsidR="00127847">
        <w:rPr>
          <w:sz w:val="24"/>
          <w:szCs w:val="24"/>
          <w:lang w:val="en-GB"/>
        </w:rPr>
        <w:t>,</w:t>
      </w:r>
      <w:r w:rsidRPr="00AD70F1">
        <w:rPr>
          <w:sz w:val="24"/>
          <w:szCs w:val="24"/>
          <w:lang w:val="en-GB"/>
        </w:rPr>
        <w:t xml:space="preserve"> compared with other origins of BTC</w:t>
      </w:r>
      <w:r w:rsidR="00127847">
        <w:rPr>
          <w:sz w:val="24"/>
          <w:szCs w:val="24"/>
          <w:lang w:val="en-GB"/>
        </w:rPr>
        <w:t xml:space="preserve"> (i.e. </w:t>
      </w:r>
      <w:proofErr w:type="spellStart"/>
      <w:r w:rsidR="00127847">
        <w:rPr>
          <w:sz w:val="24"/>
          <w:szCs w:val="24"/>
          <w:lang w:val="en-GB"/>
        </w:rPr>
        <w:t>perihilar</w:t>
      </w:r>
      <w:proofErr w:type="spellEnd"/>
      <w:r w:rsidR="00127847">
        <w:rPr>
          <w:sz w:val="24"/>
          <w:szCs w:val="24"/>
          <w:lang w:val="en-GB"/>
        </w:rPr>
        <w:t xml:space="preserve"> or distal cholangiocarcinoma or gallbladder cancer)</w:t>
      </w:r>
      <w:r w:rsidRPr="00AD70F1">
        <w:rPr>
          <w:sz w:val="24"/>
          <w:szCs w:val="24"/>
          <w:lang w:val="en-GB"/>
        </w:rPr>
        <w:t xml:space="preserve"> </w:t>
      </w:r>
      <w:r w:rsidRPr="00AD70F1">
        <w:rPr>
          <w:sz w:val="24"/>
          <w:szCs w:val="24"/>
          <w:lang w:val="en-GB"/>
        </w:rPr>
        <w:fldChar w:fldCharType="begin"/>
      </w:r>
      <w:r w:rsidR="0056133B">
        <w:rPr>
          <w:sz w:val="24"/>
          <w:szCs w:val="24"/>
          <w:lang w:val="en-GB"/>
        </w:rPr>
        <w:instrText xml:space="preserve"> ADDIN ZOTERO_ITEM CSL_CITATION {"citationID":"G151YkuA","properties":{"formattedCitation":"[4]","plainCitation":"[4]","noteIndex":0},"citationItems":[{"id":3717,"uris":["http://zotero.org/users/587498/items/YBMWGWD4"],"uri":["http://zotero.org/users/587498/items/YBMWGWD4"],"itemData":{"id":3717,"type":"article-journal","title":"Advanced Intrahepatic Cholangiocarcinoma: Post Hoc Analysis of the ABC-01, -02, and  -03 Clinical Trials.","container-title":"Journal of the National Cancer Institute","page":"200-210","volume":"112","issue":"2","abstract":"BACKGROUND: The incidence of intrahepatic cholangiocarcinoma (iCCA) is increasing.  The aim of the study was to provide reference survival data for patients with  advanced iCCA treated with first-line cisplatin-gemcitabine chemotherapy (current  standard of care). METHODS: Individual data from patients with iCCA recruited into  the prospective, random assignment Advanced Biliary Tract Cancer (ABC)-01, -02, and  -03 studies were retrieved. The prevalence and survival of liver-only iCCA was also  assessed. Survival analysis was performed using univariate and multivariable Cox  regression. All statistical tests were two-sided. RESULTS: Of 534 patients recruited  into the ABC-01, -02, and -03 studies, 109 (20.4%) had iCCA. Most patients (n = 86,  78.9%) had metastatic disease at the time of recruitment; 52 patients (47.7%) had  liver-only disease. Following random assignment, 66 (60.6%) iCCA patients received  cisplatin and gemcitabine. The median progression-free and overall survival (OS)  were 8.4 months (95% confidence interval [CI] = 5.9 to 8.9 months) and 15.4 months  (95% CI = 11.1 to 17.9 months), respectively. Of these 66 patients, 34 patients  (51.5%) had liver-only disease. Following chemotherapy, 30 (45.5%) and 21 (31.8%)  were progression-free at 3 and 6 months from chemotherapy commencement,  respectively. The median OS for patients with liver-only iCCA at diagnosis and after  3 and 6 months of chemotherapy was 16.7 months (95% CI = 8.7 to 20.2 months), 17.9  months (95% CI = 11.7 to 20.9 months), and 18.9 months (95% CI = 16.7 to 25.9  months), respectively. Multivariable analysis confirmed that iCCA had a longer OS  compared with other non-iCCA biliary tract cancers (hazard ratio = 0.58, 95% CI =  0.35 to 0.95, P value = .03); liver-only iCCA patients also showed longer OS even  though findings did not reach statistical significance (hazard ratio = 0.65, 95% CI  = 0.36 to 1.19, P value = .16). CONCLUSIONS: Patients diagnosed with advanced iCCA  have a better OS compared with other biliary tract cancers; a similar trend was  identified for patients diagnosed with liver-only iCCA. These findings are to be  considered for future clinical trial design.","DOI":"10.1093/jnci/djz071","ISSN":"1460-2105 0027-8874","note":"PMID: 31077311","journalAbbreviation":"J Natl Cancer Inst","language":"eng","author":[{"family":"Lamarca","given":"Angela"},{"family":"Ross","given":"Paul"},{"family":"Wasan","given":"Harpreet S."},{"family":"Hubner","given":"Richard A."},{"family":"McNamara","given":"Mairéad G."},{"family":"Lopes","given":"Andre"},{"family":"Manoharan","given":"Prakash"},{"family":"Palmer","given":"Daniel"},{"family":"Bridgewater","given":"John"},{"family":"Valle","given":"Juan W."}],"issued":{"date-parts":[["2020",2,1]]}}}],"schema":"https://github.com/citation-style-language/schema/raw/master/csl-citation.json"}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rPr>
        <w:t>[4]</w:t>
      </w:r>
      <w:r w:rsidRPr="00AD70F1">
        <w:rPr>
          <w:sz w:val="24"/>
          <w:szCs w:val="24"/>
          <w:lang w:val="en-GB"/>
        </w:rPr>
        <w:fldChar w:fldCharType="end"/>
      </w:r>
      <w:r w:rsidRPr="00AD70F1">
        <w:rPr>
          <w:sz w:val="24"/>
          <w:szCs w:val="24"/>
          <w:lang w:val="en-GB"/>
        </w:rPr>
        <w:t xml:space="preserve">. </w:t>
      </w:r>
      <w:r w:rsidR="00A141DE">
        <w:rPr>
          <w:sz w:val="24"/>
          <w:szCs w:val="24"/>
          <w:lang w:val="en-GB"/>
        </w:rPr>
        <w:t xml:space="preserve"> M</w:t>
      </w:r>
      <w:r w:rsidRPr="00AD70F1">
        <w:rPr>
          <w:sz w:val="24"/>
          <w:szCs w:val="24"/>
          <w:lang w:val="en-GB"/>
        </w:rPr>
        <w:t xml:space="preserve">oreover, locally-advanced and metastatic BTC are frequently </w:t>
      </w:r>
      <w:r w:rsidR="009B5528" w:rsidRPr="00AD70F1">
        <w:rPr>
          <w:sz w:val="24"/>
          <w:szCs w:val="24"/>
          <w:lang w:val="en-GB"/>
        </w:rPr>
        <w:t>pooled</w:t>
      </w:r>
      <w:r w:rsidRPr="00326791">
        <w:rPr>
          <w:sz w:val="24"/>
          <w:szCs w:val="24"/>
          <w:lang w:val="en-GB"/>
        </w:rPr>
        <w:t xml:space="preserve"> in the same studies as advanced</w:t>
      </w:r>
      <w:r w:rsidR="000C4F86" w:rsidRPr="00326791">
        <w:rPr>
          <w:sz w:val="24"/>
          <w:szCs w:val="24"/>
          <w:lang w:val="en-GB"/>
        </w:rPr>
        <w:t xml:space="preserve"> BTC</w:t>
      </w:r>
      <w:r w:rsidR="00127847">
        <w:rPr>
          <w:sz w:val="24"/>
          <w:szCs w:val="24"/>
          <w:lang w:val="en-GB"/>
        </w:rPr>
        <w:t xml:space="preserve">. However, </w:t>
      </w:r>
      <w:r w:rsidR="000C4F86" w:rsidRPr="00326791">
        <w:rPr>
          <w:sz w:val="24"/>
          <w:szCs w:val="24"/>
          <w:lang w:val="en-GB"/>
        </w:rPr>
        <w:t xml:space="preserve">outcomes of liver-only </w:t>
      </w:r>
      <w:proofErr w:type="spellStart"/>
      <w:r w:rsidR="000C4F86" w:rsidRPr="00326791">
        <w:rPr>
          <w:sz w:val="24"/>
          <w:szCs w:val="24"/>
          <w:lang w:val="en-GB"/>
        </w:rPr>
        <w:t>iCC</w:t>
      </w:r>
      <w:proofErr w:type="spellEnd"/>
      <w:r w:rsidR="000C4F86" w:rsidRPr="00326791">
        <w:rPr>
          <w:sz w:val="24"/>
          <w:szCs w:val="24"/>
          <w:lang w:val="en-GB"/>
        </w:rPr>
        <w:t xml:space="preserve"> </w:t>
      </w:r>
      <w:r w:rsidR="00127847">
        <w:rPr>
          <w:sz w:val="24"/>
          <w:szCs w:val="24"/>
          <w:lang w:val="en-GB"/>
        </w:rPr>
        <w:t>are</w:t>
      </w:r>
      <w:r w:rsidR="000C4F86" w:rsidRPr="00326791">
        <w:rPr>
          <w:sz w:val="24"/>
          <w:szCs w:val="24"/>
          <w:lang w:val="en-GB"/>
        </w:rPr>
        <w:t xml:space="preserve"> significantly better than outcomes of </w:t>
      </w:r>
      <w:r w:rsidR="00127847">
        <w:rPr>
          <w:sz w:val="24"/>
          <w:szCs w:val="24"/>
          <w:lang w:val="en-GB"/>
        </w:rPr>
        <w:t>unselected patients with</w:t>
      </w:r>
      <w:r w:rsidR="000C4F86" w:rsidRPr="00326791">
        <w:rPr>
          <w:sz w:val="24"/>
          <w:szCs w:val="24"/>
          <w:lang w:val="en-GB"/>
        </w:rPr>
        <w:t xml:space="preserve"> </w:t>
      </w:r>
      <w:r w:rsidR="009B5528" w:rsidRPr="00326791">
        <w:rPr>
          <w:sz w:val="24"/>
          <w:szCs w:val="24"/>
          <w:lang w:val="en-GB"/>
        </w:rPr>
        <w:t xml:space="preserve">advanced </w:t>
      </w:r>
      <w:r w:rsidR="000C4F86" w:rsidRPr="00326791">
        <w:rPr>
          <w:sz w:val="24"/>
          <w:szCs w:val="24"/>
          <w:lang w:val="en-GB"/>
        </w:rPr>
        <w:t>BTC, with a median overall surviv</w:t>
      </w:r>
      <w:r w:rsidR="009E2030" w:rsidRPr="00326791">
        <w:rPr>
          <w:sz w:val="24"/>
          <w:szCs w:val="24"/>
          <w:lang w:val="en-GB"/>
        </w:rPr>
        <w:t xml:space="preserve">al (OS) of 16.7 months (95% </w:t>
      </w:r>
      <w:r w:rsidR="00127847">
        <w:rPr>
          <w:sz w:val="24"/>
          <w:szCs w:val="24"/>
          <w:lang w:val="en-GB"/>
        </w:rPr>
        <w:t>confidence interval (</w:t>
      </w:r>
      <w:r w:rsidR="009E2030" w:rsidRPr="00326791">
        <w:rPr>
          <w:sz w:val="24"/>
          <w:szCs w:val="24"/>
          <w:lang w:val="en-GB"/>
        </w:rPr>
        <w:t>CI</w:t>
      </w:r>
      <w:r w:rsidR="00127847">
        <w:rPr>
          <w:sz w:val="24"/>
          <w:szCs w:val="24"/>
          <w:lang w:val="en-GB"/>
        </w:rPr>
        <w:t>)</w:t>
      </w:r>
      <w:r w:rsidR="009E2030" w:rsidRPr="00326791">
        <w:rPr>
          <w:sz w:val="24"/>
          <w:szCs w:val="24"/>
          <w:lang w:val="en-GB"/>
        </w:rPr>
        <w:t>:</w:t>
      </w:r>
      <w:r w:rsidR="000C4F86" w:rsidRPr="00326791">
        <w:rPr>
          <w:sz w:val="24"/>
          <w:szCs w:val="24"/>
          <w:lang w:val="en-GB"/>
        </w:rPr>
        <w:t xml:space="preserve"> 8.7 to 20.2 months) </w:t>
      </w:r>
      <w:r w:rsidR="0047599A">
        <w:rPr>
          <w:sz w:val="24"/>
          <w:szCs w:val="24"/>
          <w:lang w:val="en-GB"/>
        </w:rPr>
        <w:t xml:space="preserve">vs 11.7 months (95%CI: 10.2-12.6) </w:t>
      </w:r>
      <w:r w:rsidR="000C4F86" w:rsidRPr="00326791">
        <w:rPr>
          <w:sz w:val="24"/>
          <w:szCs w:val="24"/>
          <w:lang w:val="en-GB"/>
        </w:rPr>
        <w:t xml:space="preserve">in the </w:t>
      </w:r>
      <w:r w:rsidR="00127847">
        <w:rPr>
          <w:sz w:val="24"/>
          <w:szCs w:val="24"/>
          <w:lang w:val="en-GB"/>
        </w:rPr>
        <w:t xml:space="preserve">post-hoc </w:t>
      </w:r>
      <w:r w:rsidR="000C4F86" w:rsidRPr="00326791">
        <w:rPr>
          <w:sz w:val="24"/>
          <w:szCs w:val="24"/>
          <w:lang w:val="en-GB"/>
        </w:rPr>
        <w:t xml:space="preserve">analysis of patients treated with </w:t>
      </w:r>
      <w:r w:rsidR="00127847">
        <w:rPr>
          <w:sz w:val="24"/>
          <w:szCs w:val="24"/>
          <w:lang w:val="en-GB"/>
        </w:rPr>
        <w:t>c</w:t>
      </w:r>
      <w:r w:rsidR="000C4F86" w:rsidRPr="00326791">
        <w:rPr>
          <w:sz w:val="24"/>
          <w:szCs w:val="24"/>
          <w:lang w:val="en-GB"/>
        </w:rPr>
        <w:t>isplatin-</w:t>
      </w:r>
      <w:r w:rsidR="00127847">
        <w:rPr>
          <w:sz w:val="24"/>
          <w:szCs w:val="24"/>
          <w:lang w:val="en-GB"/>
        </w:rPr>
        <w:t>g</w:t>
      </w:r>
      <w:r w:rsidR="000C4F86" w:rsidRPr="00326791">
        <w:rPr>
          <w:sz w:val="24"/>
          <w:szCs w:val="24"/>
          <w:lang w:val="en-GB"/>
        </w:rPr>
        <w:t xml:space="preserve">emcitabine in the </w:t>
      </w:r>
      <w:r w:rsidR="00127847">
        <w:rPr>
          <w:sz w:val="24"/>
          <w:szCs w:val="24"/>
          <w:lang w:val="en-GB"/>
        </w:rPr>
        <w:t>Advanced Biliary tract Cancer (</w:t>
      </w:r>
      <w:r w:rsidR="000C4F86" w:rsidRPr="00326791">
        <w:rPr>
          <w:sz w:val="24"/>
          <w:szCs w:val="24"/>
          <w:lang w:val="en-GB"/>
        </w:rPr>
        <w:t>ABC</w:t>
      </w:r>
      <w:r w:rsidR="00127847">
        <w:rPr>
          <w:sz w:val="24"/>
          <w:szCs w:val="24"/>
          <w:lang w:val="en-GB"/>
        </w:rPr>
        <w:t>)</w:t>
      </w:r>
      <w:r w:rsidR="000C4F86" w:rsidRPr="00326791">
        <w:rPr>
          <w:sz w:val="24"/>
          <w:szCs w:val="24"/>
          <w:lang w:val="en-GB"/>
        </w:rPr>
        <w:t xml:space="preserve">-01, ABC-02 and ABC-03 trials </w:t>
      </w:r>
      <w:r w:rsidR="000C4F86" w:rsidRPr="00AD70F1">
        <w:rPr>
          <w:sz w:val="24"/>
          <w:szCs w:val="24"/>
          <w:lang w:val="en-GB"/>
        </w:rPr>
        <w:fldChar w:fldCharType="begin"/>
      </w:r>
      <w:r w:rsidR="0056133B">
        <w:rPr>
          <w:sz w:val="24"/>
          <w:szCs w:val="24"/>
          <w:lang w:val="en-GB"/>
        </w:rPr>
        <w:instrText xml:space="preserve"> ADDIN ZOTERO_ITEM CSL_CITATION {"citationID":"79P9kDFD","properties":{"formattedCitation":"[4]","plainCitation":"[4]","noteIndex":0},"citationItems":[{"id":3717,"uris":["http://zotero.org/users/587498/items/YBMWGWD4"],"uri":["http://zotero.org/users/587498/items/YBMWGWD4"],"itemData":{"id":3717,"type":"article-journal","title":"Advanced Intrahepatic Cholangiocarcinoma: Post Hoc Analysis of the ABC-01, -02, and  -03 Clinical Trials.","container-title":"Journal of the National Cancer Institute","page":"200-210","volume":"112","issue":"2","abstract":"BACKGROUND: The incidence of intrahepatic cholangiocarcinoma (iCCA) is increasing.  The aim of the study was to provide reference survival data for patients with  advanced iCCA treated with first-line cisplatin-gemcitabine chemotherapy (current  standard of care). METHODS: Individual data from patients with iCCA recruited into  the prospective, random assignment Advanced Biliary Tract Cancer (ABC)-01, -02, and  -03 studies were retrieved. The prevalence and survival of liver-only iCCA was also  assessed. Survival analysis was performed using univariate and multivariable Cox  regression. All statistical tests were two-sided. RESULTS: Of 534 patients recruited  into the ABC-01, -02, and -03 studies, 109 (20.4%) had iCCA. Most patients (n = 86,  78.9%) had metastatic disease at the time of recruitment; 52 patients (47.7%) had  liver-only disease. Following random assignment, 66 (60.6%) iCCA patients received  cisplatin and gemcitabine. The median progression-free and overall survival (OS)  were 8.4 months (95% confidence interval [CI] = 5.9 to 8.9 months) and 15.4 months  (95% CI = 11.1 to 17.9 months), respectively. Of these 66 patients, 34 patients  (51.5%) had liver-only disease. Following chemotherapy, 30 (45.5%) and 21 (31.8%)  were progression-free at 3 and 6 months from chemotherapy commencement,  respectively. The median OS for patients with liver-only iCCA at diagnosis and after  3 and 6 months of chemotherapy was 16.7 months (95% CI = 8.7 to 20.2 months), 17.9  months (95% CI = 11.7 to 20.9 months), and 18.9 months (95% CI = 16.7 to 25.9  months), respectively. Multivariable analysis confirmed that iCCA had a longer OS  compared with other non-iCCA biliary tract cancers (hazard ratio = 0.58, 95% CI =  0.35 to 0.95, P value = .03); liver-only iCCA patients also showed longer OS even  though findings did not reach statistical significance (hazard ratio = 0.65, 95% CI  = 0.36 to 1.19, P value = .16). CONCLUSIONS: Patients diagnosed with advanced iCCA  have a better OS compared with other biliary tract cancers; a similar trend was  identified for patients diagnosed with liver-only iCCA. These findings are to be  considered for future clinical trial design.","DOI":"10.1093/jnci/djz071","ISSN":"1460-2105 0027-8874","note":"PMID: 31077311","journalAbbreviation":"J Natl Cancer Inst","language":"eng","author":[{"family":"Lamarca","given":"Angela"},{"family":"Ross","given":"Paul"},{"family":"Wasan","given":"Harpreet S."},{"family":"Hubner","given":"Richard A."},{"family":"McNamara","given":"Mairéad G."},{"family":"Lopes","given":"Andre"},{"family":"Manoharan","given":"Prakash"},{"family":"Palmer","given":"Daniel"},{"family":"Bridgewater","given":"John"},{"family":"Valle","given":"Juan W."}],"issued":{"date-parts":[["2020",2,1]]}}}],"schema":"https://github.com/citation-style-language/schema/raw/master/csl-citation.json"} </w:instrText>
      </w:r>
      <w:r w:rsidR="000C4F86" w:rsidRPr="00AD70F1">
        <w:rPr>
          <w:sz w:val="24"/>
          <w:szCs w:val="24"/>
          <w:lang w:val="en-GB"/>
        </w:rPr>
        <w:fldChar w:fldCharType="separate"/>
      </w:r>
      <w:r w:rsidR="0056133B" w:rsidRPr="0056133B">
        <w:rPr>
          <w:rFonts w:ascii="Calibri" w:hAnsi="Calibri" w:cs="Calibri"/>
          <w:sz w:val="24"/>
          <w:lang w:val="en-US"/>
        </w:rPr>
        <w:t>[4]</w:t>
      </w:r>
      <w:r w:rsidR="000C4F86" w:rsidRPr="00AD70F1">
        <w:rPr>
          <w:sz w:val="24"/>
          <w:szCs w:val="24"/>
          <w:lang w:val="en-GB"/>
        </w:rPr>
        <w:fldChar w:fldCharType="end"/>
      </w:r>
      <w:r w:rsidR="000C4F86" w:rsidRPr="00AD70F1">
        <w:rPr>
          <w:sz w:val="24"/>
          <w:szCs w:val="24"/>
          <w:lang w:val="en-GB"/>
        </w:rPr>
        <w:t>.</w:t>
      </w:r>
    </w:p>
    <w:p w14:paraId="09C2350F" w14:textId="572D1C39" w:rsidR="000C4F86" w:rsidRPr="00AD70F1" w:rsidRDefault="000C4F86" w:rsidP="008B291B">
      <w:pPr>
        <w:spacing w:line="480" w:lineRule="auto"/>
        <w:rPr>
          <w:sz w:val="24"/>
          <w:szCs w:val="24"/>
          <w:lang w:val="en-GB"/>
        </w:rPr>
      </w:pPr>
      <w:r w:rsidRPr="00AD70F1">
        <w:rPr>
          <w:sz w:val="24"/>
          <w:szCs w:val="24"/>
          <w:lang w:val="en-GB"/>
        </w:rPr>
        <w:t xml:space="preserve">As unresectable </w:t>
      </w:r>
      <w:proofErr w:type="spellStart"/>
      <w:r w:rsidRPr="00AD70F1">
        <w:rPr>
          <w:sz w:val="24"/>
          <w:szCs w:val="24"/>
          <w:lang w:val="en-GB"/>
        </w:rPr>
        <w:t>iCC</w:t>
      </w:r>
      <w:proofErr w:type="spellEnd"/>
      <w:r w:rsidRPr="00AD70F1">
        <w:rPr>
          <w:sz w:val="24"/>
          <w:szCs w:val="24"/>
          <w:lang w:val="en-GB"/>
        </w:rPr>
        <w:t xml:space="preserve"> frequently present</w:t>
      </w:r>
      <w:r w:rsidR="00326791">
        <w:rPr>
          <w:sz w:val="24"/>
          <w:szCs w:val="24"/>
          <w:lang w:val="en-GB"/>
        </w:rPr>
        <w:t>s</w:t>
      </w:r>
      <w:r w:rsidRPr="00AD70F1">
        <w:rPr>
          <w:sz w:val="24"/>
          <w:szCs w:val="24"/>
          <w:lang w:val="en-GB"/>
        </w:rPr>
        <w:t xml:space="preserve"> as a liver-only </w:t>
      </w:r>
      <w:r w:rsidR="00D63EC1" w:rsidRPr="00326791">
        <w:rPr>
          <w:sz w:val="24"/>
          <w:szCs w:val="24"/>
          <w:lang w:val="en-GB"/>
        </w:rPr>
        <w:t xml:space="preserve">or liver-predominant </w:t>
      </w:r>
      <w:r w:rsidRPr="00326791">
        <w:rPr>
          <w:sz w:val="24"/>
          <w:szCs w:val="24"/>
          <w:lang w:val="en-GB"/>
        </w:rPr>
        <w:t xml:space="preserve">disease, loco-regional treatments (LRT) have been applied </w:t>
      </w:r>
      <w:r w:rsidR="00D12612">
        <w:rPr>
          <w:sz w:val="24"/>
          <w:szCs w:val="24"/>
          <w:lang w:val="en-GB"/>
        </w:rPr>
        <w:t>in these settings</w:t>
      </w:r>
      <w:r w:rsidRPr="00326791">
        <w:rPr>
          <w:sz w:val="24"/>
          <w:szCs w:val="24"/>
          <w:lang w:val="en-GB"/>
        </w:rPr>
        <w:t xml:space="preserve"> </w:t>
      </w:r>
      <w:r w:rsidRPr="00AD70F1">
        <w:rPr>
          <w:sz w:val="24"/>
          <w:szCs w:val="24"/>
          <w:lang w:val="en-GB"/>
        </w:rPr>
        <w:fldChar w:fldCharType="begin"/>
      </w:r>
      <w:r w:rsidR="0056133B">
        <w:rPr>
          <w:sz w:val="24"/>
          <w:szCs w:val="24"/>
          <w:lang w:val="en-GB"/>
        </w:rPr>
        <w:instrText xml:space="preserve"> ADDIN ZOTERO_ITEM CSL_CITATION {"citationID":"A299eEGY","properties":{"formattedCitation":"[5]","plainCitation":"[5]","noteIndex":0},"citationItems":[{"id":4675,"uris":["http://zotero.org/users/587498/items/IMISSMQA"],"uri":["http://zotero.org/users/587498/items/IMISSMQA"],"itemData":{"id":4675,"type":"article-journal","title":"Interventional radiology approaches for intra-hepatic cholangiocarcinoma","container-title":"Chinese Clinical Oncology","page":"8-8","volume":"9","issue":"1","source":"Crossref","abstract":"The use of loco-regional therapies for the management of patients with biliary tract cancer relies in addressing tumor growth and treat its local complications. This aims to reduce the risk of tumor-related liver failure, the most common cause of death among patients with intra-hepatic cholangiocarcinoma (ICC). Interventional radiology plays a critical role on the management of patients with ICC by providing locoregional oncological, palliative, and bridging procedures for definitive therapy. In regards the oncological procedures offered by interventional radiology, current literature reports its main application for patients with ICC, with limited number of reports on the use of patients with extra-hepatic cholangiocarcinoma. In this review, we aim to provide a literature review on the use of interventional radiology procedures, specifically liver ablation, transarterial chemoembolization (TACE), and transarterial radioembolization (TARE) with Y90 for the loco-regional oncological treatment of patients with ICC. Finally, future directions on the role of such loco-regional oncological treatments offered by interventional radiology are discussed.","DOI":"10.21037/cco.2019.12.15","ISSN":"23043865, 23043873","language":"en","author":[{"family":"Mosconi","given":"Cristina"},{"family":"Calandri","given":"Marco"},{"family":"Javle","given":"Milind"},{"family":"Odisio","given":"Bruno C."}],"issued":{"date-parts":[["2020",2]]}}}],"schema":"https://github.com/citation-style-language/schema/raw/master/csl-citation.json"}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lang w:val="en-US"/>
        </w:rPr>
        <w:t>[5]</w:t>
      </w:r>
      <w:r w:rsidRPr="00AD70F1">
        <w:rPr>
          <w:sz w:val="24"/>
          <w:szCs w:val="24"/>
          <w:lang w:val="en-GB"/>
        </w:rPr>
        <w:fldChar w:fldCharType="end"/>
      </w:r>
      <w:r w:rsidRPr="00AD70F1">
        <w:rPr>
          <w:sz w:val="24"/>
          <w:szCs w:val="24"/>
          <w:lang w:val="en-GB"/>
        </w:rPr>
        <w:t xml:space="preserve">. </w:t>
      </w:r>
      <w:r w:rsidR="003146D4" w:rsidRPr="00AD70F1">
        <w:rPr>
          <w:sz w:val="24"/>
          <w:szCs w:val="24"/>
          <w:lang w:val="en-GB"/>
        </w:rPr>
        <w:t xml:space="preserve">LRT studied in </w:t>
      </w:r>
      <w:proofErr w:type="spellStart"/>
      <w:r w:rsidR="003146D4" w:rsidRPr="00AD70F1">
        <w:rPr>
          <w:sz w:val="24"/>
          <w:szCs w:val="24"/>
          <w:lang w:val="en-GB"/>
        </w:rPr>
        <w:t>iCC</w:t>
      </w:r>
      <w:proofErr w:type="spellEnd"/>
      <w:r w:rsidR="003146D4" w:rsidRPr="00AD70F1">
        <w:rPr>
          <w:sz w:val="24"/>
          <w:szCs w:val="24"/>
          <w:lang w:val="en-GB"/>
        </w:rPr>
        <w:t xml:space="preserve"> range from ablation techniques</w:t>
      </w:r>
      <w:r w:rsidR="00400FD8">
        <w:rPr>
          <w:sz w:val="24"/>
          <w:szCs w:val="24"/>
          <w:lang w:val="en-GB"/>
        </w:rPr>
        <w:t xml:space="preserve"> to </w:t>
      </w:r>
      <w:r w:rsidR="003146D4" w:rsidRPr="00AD70F1">
        <w:rPr>
          <w:sz w:val="24"/>
          <w:szCs w:val="24"/>
          <w:lang w:val="en-GB"/>
        </w:rPr>
        <w:t xml:space="preserve">external beam radiotherapy (EBRT) to intra-arterial therapies (IAT). </w:t>
      </w:r>
      <w:r w:rsidR="00326791">
        <w:rPr>
          <w:sz w:val="24"/>
          <w:szCs w:val="24"/>
          <w:lang w:val="en-GB"/>
        </w:rPr>
        <w:t>These in turn</w:t>
      </w:r>
      <w:r w:rsidR="00326791" w:rsidRPr="00AD70F1">
        <w:rPr>
          <w:sz w:val="24"/>
          <w:szCs w:val="24"/>
          <w:lang w:val="en-GB"/>
        </w:rPr>
        <w:t xml:space="preserve"> </w:t>
      </w:r>
      <w:r w:rsidR="003146D4" w:rsidRPr="00AD70F1">
        <w:rPr>
          <w:sz w:val="24"/>
          <w:szCs w:val="24"/>
          <w:lang w:val="en-GB"/>
        </w:rPr>
        <w:t>include trans-arterial (chemo-)embolisation (TACE), selective internal radiation therapy (SIRT</w:t>
      </w:r>
      <w:r w:rsidR="009B5528" w:rsidRPr="00326791">
        <w:rPr>
          <w:sz w:val="24"/>
          <w:szCs w:val="24"/>
          <w:lang w:val="en-GB"/>
        </w:rPr>
        <w:t>, also known as radioembolisation</w:t>
      </w:r>
      <w:r w:rsidR="003146D4" w:rsidRPr="00326791">
        <w:rPr>
          <w:sz w:val="24"/>
          <w:szCs w:val="24"/>
          <w:lang w:val="en-GB"/>
        </w:rPr>
        <w:t xml:space="preserve">) and hepatic arterial infusion of chemotherapy (HAI), which </w:t>
      </w:r>
      <w:r w:rsidR="00400FD8">
        <w:rPr>
          <w:sz w:val="24"/>
          <w:szCs w:val="24"/>
          <w:lang w:val="en-GB"/>
        </w:rPr>
        <w:t>have</w:t>
      </w:r>
      <w:r w:rsidR="003146D4" w:rsidRPr="00326791">
        <w:rPr>
          <w:sz w:val="24"/>
          <w:szCs w:val="24"/>
          <w:lang w:val="en-GB"/>
        </w:rPr>
        <w:t xml:space="preserve"> different </w:t>
      </w:r>
      <w:r w:rsidR="00491545" w:rsidRPr="00326791">
        <w:rPr>
          <w:sz w:val="24"/>
          <w:szCs w:val="24"/>
          <w:lang w:val="en-GB"/>
        </w:rPr>
        <w:t>mechanisms of action.</w:t>
      </w:r>
      <w:r w:rsidR="003146D4" w:rsidRPr="00326791">
        <w:rPr>
          <w:sz w:val="24"/>
          <w:szCs w:val="24"/>
          <w:lang w:val="en-GB"/>
        </w:rPr>
        <w:t xml:space="preserve"> </w:t>
      </w:r>
      <w:r w:rsidR="00A141DE">
        <w:rPr>
          <w:sz w:val="24"/>
          <w:szCs w:val="24"/>
          <w:lang w:val="en-GB"/>
        </w:rPr>
        <w:t>LRT</w:t>
      </w:r>
      <w:r w:rsidR="00326791" w:rsidRPr="00326791">
        <w:rPr>
          <w:sz w:val="24"/>
          <w:szCs w:val="24"/>
          <w:lang w:val="en-GB"/>
        </w:rPr>
        <w:t xml:space="preserve"> </w:t>
      </w:r>
      <w:r w:rsidR="003146D4" w:rsidRPr="00326791">
        <w:rPr>
          <w:sz w:val="24"/>
          <w:szCs w:val="24"/>
          <w:lang w:val="en-GB"/>
        </w:rPr>
        <w:t xml:space="preserve">have been </w:t>
      </w:r>
      <w:r w:rsidR="00326791">
        <w:rPr>
          <w:sz w:val="24"/>
          <w:szCs w:val="24"/>
          <w:lang w:val="en-GB"/>
        </w:rPr>
        <w:t>advocated</w:t>
      </w:r>
      <w:r w:rsidR="00D63EC1" w:rsidRPr="00326791">
        <w:rPr>
          <w:sz w:val="24"/>
          <w:szCs w:val="24"/>
          <w:lang w:val="en-GB"/>
        </w:rPr>
        <w:t xml:space="preserve"> </w:t>
      </w:r>
      <w:r w:rsidR="003146D4" w:rsidRPr="00326791">
        <w:rPr>
          <w:sz w:val="24"/>
          <w:szCs w:val="24"/>
          <w:lang w:val="en-GB"/>
        </w:rPr>
        <w:t xml:space="preserve">in guidelines of treatment of </w:t>
      </w:r>
      <w:proofErr w:type="spellStart"/>
      <w:r w:rsidR="003146D4" w:rsidRPr="00326791">
        <w:rPr>
          <w:sz w:val="24"/>
          <w:szCs w:val="24"/>
          <w:lang w:val="en-GB"/>
        </w:rPr>
        <w:t>iCC</w:t>
      </w:r>
      <w:proofErr w:type="spellEnd"/>
      <w:r w:rsidR="003146D4" w:rsidRPr="00326791">
        <w:rPr>
          <w:sz w:val="24"/>
          <w:szCs w:val="24"/>
          <w:lang w:val="en-GB"/>
        </w:rPr>
        <w:t xml:space="preserve"> or BTC</w:t>
      </w:r>
      <w:r w:rsidR="0047599A">
        <w:rPr>
          <w:sz w:val="24"/>
          <w:szCs w:val="24"/>
          <w:lang w:val="en-GB"/>
        </w:rPr>
        <w:t>, either as a first-line option, or after progression following first-line systemic chemotherapy</w:t>
      </w:r>
      <w:r w:rsidR="003146D4" w:rsidRPr="00AD70F1">
        <w:rPr>
          <w:sz w:val="24"/>
          <w:szCs w:val="24"/>
          <w:lang w:val="en-GB"/>
        </w:rPr>
        <w:t xml:space="preserve"> </w:t>
      </w:r>
      <w:r w:rsidR="003146D4" w:rsidRPr="00AD70F1">
        <w:rPr>
          <w:sz w:val="24"/>
          <w:szCs w:val="24"/>
          <w:lang w:val="en-GB"/>
        </w:rPr>
        <w:fldChar w:fldCharType="begin"/>
      </w:r>
      <w:r w:rsidR="0056133B">
        <w:rPr>
          <w:sz w:val="24"/>
          <w:szCs w:val="24"/>
          <w:lang w:val="en-GB"/>
        </w:rPr>
        <w:instrText xml:space="preserve"> ADDIN ZOTERO_ITEM CSL_CITATION {"citationID":"VNrW0vAn","properties":{"formattedCitation":"[6,7]","plainCitation":"[6,7]","noteIndex":0},"citationItems":[{"id":1136,"uris":["http://zotero.org/users/587498/items/W3AAEHFS"],"uri":["http://zotero.org/users/587498/items/W3AAEHFS"],"itemData":{"id":1136,"type":"article-journal","title":"Guidelines for the diagnosis and management of intrahepatic cholangiocarcinoma","container-title":"Journal of Hepatology","page":"1268-1289","volume":"60","issue":"6","source":"PubMed","DOI":"10.1016/j.jhep.2014.01.021","ISSN":"1600-0641","note":"PMID: 24681130","journalAbbreviation":"J. Hepatol.","language":"eng","author":[{"family":"Bridgewater","given":"John"},{"family":"Galle","given":"Peter R."},{"family":"Khan","given":"Shahid A."},{"family":"Llovet","given":"Josep M."},{"family":"Park","given":"Joong-Won"},{"family":"Patel","given":"Tushar"},{"family":"Pawlik","given":"Timothy M."},{"family":"Gores","given":"Gregory J."}],"issued":{"date-parts":[["2014",6]]}}},{"id":3354,"uris":["http://zotero.org/users/587498/items/BX9WKZ5F"],"uri":["http://zotero.org/users/587498/items/BX9WKZ5F"],"itemData":{"id":3354,"type":"article-journal","title":"Biliary cancer: ESMO Clinical Practice Guidelines for diagnosis, treatment and follow-up.","container-title":"Annals of oncology : official journal of the European Society for Medical Oncology","page":"v28-v37","volume":"27","issue":"suppl 5","DOI":"10.1093/annonc/mdw324","ISSN":"1569-8041 0923-7534","note":"PMID: 27664259","journalAbbreviation":"Ann Oncol","language":"eng","author":[{"family":"Valle","given":"J. W."},{"family":"Borbath","given":"I."},{"family":"Khan","given":"S. A."},{"family":"Huguet","given":"F."},{"family":"Gruenberger","given":"T."},{"family":"Arnold","given":"D."}],"issued":{"date-parts":[["2016",9]]}}}],"schema":"https://github.com/citation-style-language/schema/raw/master/csl-citation.json"} </w:instrText>
      </w:r>
      <w:r w:rsidR="003146D4" w:rsidRPr="00AD70F1">
        <w:rPr>
          <w:sz w:val="24"/>
          <w:szCs w:val="24"/>
          <w:lang w:val="en-GB"/>
        </w:rPr>
        <w:fldChar w:fldCharType="separate"/>
      </w:r>
      <w:r w:rsidR="0056133B" w:rsidRPr="0056133B">
        <w:rPr>
          <w:rFonts w:ascii="Calibri" w:hAnsi="Calibri" w:cs="Calibri"/>
          <w:sz w:val="24"/>
        </w:rPr>
        <w:t>[6,7]</w:t>
      </w:r>
      <w:r w:rsidR="003146D4" w:rsidRPr="00AD70F1">
        <w:rPr>
          <w:sz w:val="24"/>
          <w:szCs w:val="24"/>
          <w:lang w:val="en-GB"/>
        </w:rPr>
        <w:fldChar w:fldCharType="end"/>
      </w:r>
      <w:r w:rsidR="003146D4" w:rsidRPr="00AD70F1">
        <w:rPr>
          <w:sz w:val="24"/>
          <w:szCs w:val="24"/>
          <w:lang w:val="en-GB"/>
        </w:rPr>
        <w:t xml:space="preserve">. However, the </w:t>
      </w:r>
      <w:r w:rsidR="00D63EC1" w:rsidRPr="00AD70F1">
        <w:rPr>
          <w:sz w:val="24"/>
          <w:szCs w:val="24"/>
          <w:lang w:val="en-GB"/>
        </w:rPr>
        <w:t>available studies exploring its use</w:t>
      </w:r>
      <w:r w:rsidR="00D63EC1" w:rsidRPr="00326791">
        <w:rPr>
          <w:sz w:val="24"/>
          <w:szCs w:val="24"/>
          <w:lang w:val="en-GB"/>
        </w:rPr>
        <w:t xml:space="preserve"> are</w:t>
      </w:r>
      <w:r w:rsidR="003146D4" w:rsidRPr="00326791">
        <w:rPr>
          <w:sz w:val="24"/>
          <w:szCs w:val="24"/>
          <w:lang w:val="en-GB"/>
        </w:rPr>
        <w:t xml:space="preserve"> heterogeneous</w:t>
      </w:r>
      <w:r w:rsidR="00491545" w:rsidRPr="00326791">
        <w:rPr>
          <w:sz w:val="24"/>
          <w:szCs w:val="24"/>
          <w:lang w:val="en-GB"/>
        </w:rPr>
        <w:t xml:space="preserve"> both in regards to the population included and the results obtained</w:t>
      </w:r>
      <w:r w:rsidR="00326791">
        <w:rPr>
          <w:sz w:val="24"/>
          <w:szCs w:val="24"/>
          <w:lang w:val="en-GB"/>
        </w:rPr>
        <w:t>; hence</w:t>
      </w:r>
      <w:r w:rsidR="00491545" w:rsidRPr="00326791">
        <w:rPr>
          <w:sz w:val="24"/>
          <w:szCs w:val="24"/>
          <w:lang w:val="en-GB"/>
        </w:rPr>
        <w:t xml:space="preserve">, </w:t>
      </w:r>
      <w:r w:rsidR="006B0672">
        <w:rPr>
          <w:sz w:val="24"/>
          <w:szCs w:val="24"/>
          <w:lang w:val="en-GB"/>
        </w:rPr>
        <w:t>the</w:t>
      </w:r>
      <w:r w:rsidR="006B0672" w:rsidRPr="00326791">
        <w:rPr>
          <w:sz w:val="24"/>
          <w:szCs w:val="24"/>
          <w:lang w:val="en-GB"/>
        </w:rPr>
        <w:t xml:space="preserve"> </w:t>
      </w:r>
      <w:r w:rsidR="00D63EC1" w:rsidRPr="00326791">
        <w:rPr>
          <w:sz w:val="24"/>
          <w:szCs w:val="24"/>
          <w:lang w:val="en-GB"/>
        </w:rPr>
        <w:t xml:space="preserve">real benefit derived for </w:t>
      </w:r>
      <w:r w:rsidR="0047599A">
        <w:rPr>
          <w:sz w:val="24"/>
          <w:szCs w:val="24"/>
          <w:lang w:val="en-GB"/>
        </w:rPr>
        <w:t>LRT in</w:t>
      </w:r>
      <w:r w:rsidR="00D63EC1" w:rsidRPr="00326791">
        <w:rPr>
          <w:sz w:val="24"/>
          <w:szCs w:val="24"/>
          <w:lang w:val="en-GB"/>
        </w:rPr>
        <w:t xml:space="preserve"> </w:t>
      </w:r>
      <w:proofErr w:type="spellStart"/>
      <w:r w:rsidR="00D63EC1" w:rsidRPr="00326791">
        <w:rPr>
          <w:sz w:val="24"/>
          <w:szCs w:val="24"/>
          <w:lang w:val="en-GB"/>
        </w:rPr>
        <w:t>iCCA</w:t>
      </w:r>
      <w:proofErr w:type="spellEnd"/>
      <w:r w:rsidR="00D63EC1" w:rsidRPr="00326791">
        <w:rPr>
          <w:sz w:val="24"/>
          <w:szCs w:val="24"/>
          <w:lang w:val="en-GB"/>
        </w:rPr>
        <w:t xml:space="preserve"> remains unclear</w:t>
      </w:r>
      <w:r w:rsidR="003146D4" w:rsidRPr="00326791">
        <w:rPr>
          <w:sz w:val="24"/>
          <w:szCs w:val="24"/>
          <w:lang w:val="en-GB"/>
        </w:rPr>
        <w:t xml:space="preserve">. </w:t>
      </w:r>
      <w:r w:rsidR="00326791">
        <w:rPr>
          <w:sz w:val="24"/>
          <w:szCs w:val="24"/>
          <w:lang w:val="en-GB"/>
        </w:rPr>
        <w:t>P</w:t>
      </w:r>
      <w:r w:rsidR="00491545" w:rsidRPr="00AD70F1">
        <w:rPr>
          <w:sz w:val="24"/>
          <w:szCs w:val="24"/>
          <w:lang w:val="en-GB"/>
        </w:rPr>
        <w:t xml:space="preserve">revious systematic reviews </w:t>
      </w:r>
      <w:r w:rsidR="00326791">
        <w:rPr>
          <w:sz w:val="24"/>
          <w:szCs w:val="24"/>
          <w:lang w:val="en-GB"/>
        </w:rPr>
        <w:lastRenderedPageBreak/>
        <w:t xml:space="preserve">have </w:t>
      </w:r>
      <w:r w:rsidR="00491545" w:rsidRPr="00AD70F1">
        <w:rPr>
          <w:sz w:val="24"/>
          <w:szCs w:val="24"/>
          <w:lang w:val="en-GB"/>
        </w:rPr>
        <w:t xml:space="preserve">tried to address the role of LRT in </w:t>
      </w:r>
      <w:proofErr w:type="spellStart"/>
      <w:r w:rsidR="00491545" w:rsidRPr="00AD70F1">
        <w:rPr>
          <w:sz w:val="24"/>
          <w:szCs w:val="24"/>
          <w:lang w:val="en-GB"/>
        </w:rPr>
        <w:t>iCC</w:t>
      </w:r>
      <w:proofErr w:type="spellEnd"/>
      <w:r w:rsidR="00491545" w:rsidRPr="00AD70F1">
        <w:rPr>
          <w:sz w:val="24"/>
          <w:szCs w:val="24"/>
          <w:lang w:val="en-GB"/>
        </w:rPr>
        <w:t>, but did not stud</w:t>
      </w:r>
      <w:r w:rsidR="00D63EC1" w:rsidRPr="00AD70F1">
        <w:rPr>
          <w:sz w:val="24"/>
          <w:szCs w:val="24"/>
          <w:lang w:val="en-GB"/>
        </w:rPr>
        <w:t>y</w:t>
      </w:r>
      <w:r w:rsidR="00491545" w:rsidRPr="00326791">
        <w:rPr>
          <w:sz w:val="24"/>
          <w:szCs w:val="24"/>
          <w:lang w:val="en-GB"/>
        </w:rPr>
        <w:t xml:space="preserve"> the whole spectrum of </w:t>
      </w:r>
      <w:r w:rsidR="0047599A">
        <w:rPr>
          <w:sz w:val="24"/>
          <w:szCs w:val="24"/>
          <w:lang w:val="en-GB"/>
        </w:rPr>
        <w:t>LRT</w:t>
      </w:r>
      <w:r w:rsidR="00491545" w:rsidRPr="00AD70F1">
        <w:rPr>
          <w:sz w:val="24"/>
          <w:szCs w:val="24"/>
          <w:lang w:val="en-GB"/>
        </w:rPr>
        <w:t xml:space="preserve"> and many of them do not include all the literature </w:t>
      </w:r>
      <w:r w:rsidR="002056DE" w:rsidRPr="00AD70F1">
        <w:rPr>
          <w:sz w:val="24"/>
          <w:szCs w:val="24"/>
          <w:lang w:val="en-GB"/>
        </w:rPr>
        <w:t xml:space="preserve">currently </w:t>
      </w:r>
      <w:r w:rsidR="00491545" w:rsidRPr="00AD70F1">
        <w:rPr>
          <w:sz w:val="24"/>
          <w:szCs w:val="24"/>
          <w:lang w:val="en-GB"/>
        </w:rPr>
        <w:t xml:space="preserve">available </w:t>
      </w:r>
      <w:r w:rsidR="00491545" w:rsidRPr="00AD70F1">
        <w:rPr>
          <w:sz w:val="24"/>
          <w:szCs w:val="24"/>
          <w:lang w:val="en-GB"/>
        </w:rPr>
        <w:fldChar w:fldCharType="begin"/>
      </w:r>
      <w:r w:rsidR="0056133B">
        <w:rPr>
          <w:sz w:val="24"/>
          <w:szCs w:val="24"/>
          <w:lang w:val="en-GB"/>
        </w:rPr>
        <w:instrText xml:space="preserve"> ADDIN ZOTERO_ITEM CSL_CITATION {"citationID":"8UPGTYtM","properties":{"formattedCitation":"[8\\uc0\\u8211{}10]","plainCitation":"[8–10]","noteIndex":0},"citationItems":[{"id":3704,"uris":["http://zotero.org/users/587498/items/767X3WF5"],"uri":["http://zotero.org/users/587498/items/767X3WF5"],"itemData":{"id":3704,"type":"article-journal","title":"Comparative effectiveness of hepatic artery based therapies for unresectable  intrahepatic cholangiocarcinoma.","container-title":"Journal of surgical oncology","page":"213-220","volume":"111","issue":"2","abstract":"BACKGROUND: Hepatic artery based therapies (HAT) are offered for patients with  unresectable intrahepatic cholangiocarcinoma (ICC). We aimed to evaluate the  comparative effectiveness of HAT -hepatic arterial infusion (HAI), transcatheter  arterial chemoembolization (TACE), drug-eluting bead TACE (DEB-TACE), and  Yttrium(90) radioembolization (Y-90) for unresectable ICC. METHODS: A meta-analysis  was performed using a prospectively registered search strategy at PROSPERO  (CRD42013004830) that utilized PubMed (2003-2013). Primary outcome was median  overall survival (OS), and secondary outcomes were tumor response to therapy and  toxicity. RESULTS: A total of 20 articles (of 793, n=657 patients) were selected for  data extraction. Highest Median OS was observed for HAI (22.8, 95% CI 9.8-35.8)  months versus Y90 (13.9, 9.5-18.3) months versus TACE (12.4, 10.9-13.9) months  versus DEB-TACE (12.3, 11-13.5) months. Response to therapy (complete and partial)  was highest for HAI (56.9%, 95%CI 41.0-72.8) versus Y90 (27.4%, 17.4-37.5) versus  TACE (17.3%, 6.8-27.8). The grade III/IV toxicity (Events per patient) was highest  for HAI (0.35, 95% CI 0.22-0.48) versus TACE (0.26, 0.21-0.32) versus DEB-TACE  (0.32, 0.17-0.48). CONCLUSION: For patients with unresectable ICC treated with HAT,  HAI offered the best outcomes in terms of tumor response and survival but may be  limited by toxicity.","DOI":"10.1002/jso.23781","ISSN":"1096-9098 0022-4790","note":"PMID: 25176325","journalAbbreviation":"J Surg Oncol","language":"eng","author":[{"family":"Boehm","given":"Lucas M."},{"family":"Jayakrishnan","given":"Thejus T."},{"family":"Miura","given":"John T."},{"family":"Zacharias","given":"Anthony J."},{"family":"Johnston","given":"Fabian M."},{"family":"Turaga","given":"Kiran K."},{"family":"Gamblin","given":"T. Clark"}],"issued":{"date-parts":[["2015",2]]}}},{"id":4677,"uris":["http://zotero.org/users/587498/items/R9NXJ3UR"],"uri":["http://zotero.org/users/587498/items/R9NXJ3UR"],"itemData":{"id":4677,"type":"article-journal","title":"Stereotactic body radiation therapy in cholangiocarcinoma: a systematic review","container-title":"The British Journal of Radiology","page":"20180688","volume":"92","issue":"1097","source":"Crossref","DOI":"10.1259/bjr.20180688","ISSN":"0007-1285, 1748-880X","shortTitle":"Stereotactic body radiation therapy in cholangiocarcinoma","language":"en","author":[{"family":"Frakulli","given":"Rezarta"},{"family":"Buwenge","given":"Milly"},{"family":"Macchia","given":"Gabriella"},{"family":"Cammelli","given":"Silvia"},{"family":"Deodato","given":"Francesco"},{"family":"Cilla","given":"Savino"},{"family":"Cellini","given":"Francesco"},{"family":"Mattiucci","given":"Gian C."},{"family":"Bisello","given":"Silvia"},{"family":"Brandi","given":"Giovanni"},{"family":"Parisi","given":"Salvatore"},{"family":"Morganti","given":"Alessio G."}],"issued":{"date-parts":[["2019",5]]}}},{"id":4679,"uris":["http://zotero.org/users/587498/items/UUUPCGI6"],"uri":["http://zotero.org/users/587498/items/UUUPCGI6"],"itemData":{"id":4679,"type":"article-journal","title":"Ablative Therapy for Unresectable Intrahepatic Cholangiocarcinoma: A Systematic Review and Meta-Analysis","container-title":"Journal of Clinical and Experimental Hepatology","page":"740-748","volume":"9","issue":"6","source":"Crossref","DOI":"10.1016/j.jceh.2019.08.001","ISSN":"09736883","shortTitle":"Ablative Therapy for Unresectable Intrahepatic Cholangiocarcinoma","language":"en","author":[{"family":"Yousaf","given":"Ali"},{"family":"Kim","given":"Jin U."},{"family":"Eliahoo","given":"Joseph"},{"family":"Taylor-Robinson","given":"Simon D."},{"family":"Khan","given":"Shahid A."}],"issued":{"date-parts":[["2019",11]]}}}],"schema":"https://github.com/citation-style-language/schema/raw/master/csl-citation.json"} </w:instrText>
      </w:r>
      <w:r w:rsidR="00491545" w:rsidRPr="00AD70F1">
        <w:rPr>
          <w:sz w:val="24"/>
          <w:szCs w:val="24"/>
          <w:lang w:val="en-GB"/>
        </w:rPr>
        <w:fldChar w:fldCharType="separate"/>
      </w:r>
      <w:r w:rsidR="0056133B" w:rsidRPr="0056133B">
        <w:rPr>
          <w:rFonts w:ascii="Calibri" w:hAnsi="Calibri" w:cs="Calibri"/>
          <w:sz w:val="24"/>
          <w:szCs w:val="24"/>
        </w:rPr>
        <w:t>[8–10]</w:t>
      </w:r>
      <w:r w:rsidR="00491545" w:rsidRPr="00AD70F1">
        <w:rPr>
          <w:sz w:val="24"/>
          <w:szCs w:val="24"/>
          <w:lang w:val="en-GB"/>
        </w:rPr>
        <w:fldChar w:fldCharType="end"/>
      </w:r>
      <w:r w:rsidR="00491545" w:rsidRPr="00AD70F1">
        <w:rPr>
          <w:sz w:val="24"/>
          <w:szCs w:val="24"/>
          <w:lang w:val="en-GB"/>
        </w:rPr>
        <w:t>.</w:t>
      </w:r>
    </w:p>
    <w:p w14:paraId="7A7A338C" w14:textId="6D190BC4" w:rsidR="00491545" w:rsidRPr="00326791" w:rsidRDefault="00491545" w:rsidP="008B291B">
      <w:pPr>
        <w:spacing w:line="480" w:lineRule="auto"/>
        <w:rPr>
          <w:sz w:val="24"/>
          <w:szCs w:val="24"/>
          <w:lang w:val="en-GB"/>
        </w:rPr>
      </w:pPr>
      <w:r w:rsidRPr="00AD70F1">
        <w:rPr>
          <w:sz w:val="24"/>
          <w:szCs w:val="24"/>
          <w:lang w:val="en-GB"/>
        </w:rPr>
        <w:t xml:space="preserve">We thus performed a systematic review of the existing literature regarding </w:t>
      </w:r>
      <w:r w:rsidR="00EF0383">
        <w:rPr>
          <w:sz w:val="24"/>
          <w:szCs w:val="24"/>
          <w:lang w:val="en-GB"/>
        </w:rPr>
        <w:t xml:space="preserve">the use of </w:t>
      </w:r>
      <w:r w:rsidRPr="00AD70F1">
        <w:rPr>
          <w:sz w:val="24"/>
          <w:szCs w:val="24"/>
          <w:lang w:val="en-GB"/>
        </w:rPr>
        <w:t xml:space="preserve">LRT in </w:t>
      </w:r>
      <w:r w:rsidR="00EF0383">
        <w:rPr>
          <w:sz w:val="24"/>
          <w:szCs w:val="24"/>
          <w:lang w:val="en-GB"/>
        </w:rPr>
        <w:t xml:space="preserve">patients with </w:t>
      </w:r>
      <w:proofErr w:type="spellStart"/>
      <w:r w:rsidRPr="00AD70F1">
        <w:rPr>
          <w:sz w:val="24"/>
          <w:szCs w:val="24"/>
          <w:lang w:val="en-GB"/>
        </w:rPr>
        <w:t>iCC</w:t>
      </w:r>
      <w:proofErr w:type="spellEnd"/>
      <w:r w:rsidRPr="00AD70F1">
        <w:rPr>
          <w:sz w:val="24"/>
          <w:szCs w:val="24"/>
          <w:lang w:val="en-GB"/>
        </w:rPr>
        <w:t>.</w:t>
      </w:r>
      <w:r w:rsidR="004509BB" w:rsidRPr="00326791">
        <w:rPr>
          <w:sz w:val="24"/>
          <w:szCs w:val="24"/>
          <w:lang w:val="en-GB"/>
        </w:rPr>
        <w:t xml:space="preserve"> The aims were: firstly, to evaluate the </w:t>
      </w:r>
      <w:r w:rsidR="00EF0383">
        <w:rPr>
          <w:sz w:val="24"/>
          <w:szCs w:val="24"/>
          <w:lang w:val="en-GB"/>
        </w:rPr>
        <w:t>available evidence to determine if</w:t>
      </w:r>
      <w:r w:rsidR="004509BB" w:rsidRPr="00326791">
        <w:rPr>
          <w:sz w:val="24"/>
          <w:szCs w:val="24"/>
          <w:lang w:val="en-GB"/>
        </w:rPr>
        <w:t xml:space="preserve"> recommendations </w:t>
      </w:r>
      <w:r w:rsidR="00EF0383">
        <w:rPr>
          <w:sz w:val="24"/>
          <w:szCs w:val="24"/>
          <w:lang w:val="en-GB"/>
        </w:rPr>
        <w:t xml:space="preserve">could be developed regarding </w:t>
      </w:r>
      <w:r w:rsidR="004509BB" w:rsidRPr="00326791">
        <w:rPr>
          <w:sz w:val="24"/>
          <w:szCs w:val="24"/>
          <w:lang w:val="en-GB"/>
        </w:rPr>
        <w:t>the role of LRT</w:t>
      </w:r>
      <w:r w:rsidR="00EF0383">
        <w:rPr>
          <w:sz w:val="24"/>
          <w:szCs w:val="24"/>
          <w:lang w:val="en-GB"/>
        </w:rPr>
        <w:t xml:space="preserve"> in the treatment of patients with </w:t>
      </w:r>
      <w:proofErr w:type="spellStart"/>
      <w:r w:rsidR="00EF0383">
        <w:rPr>
          <w:sz w:val="24"/>
          <w:szCs w:val="24"/>
          <w:lang w:val="en-GB"/>
        </w:rPr>
        <w:t>iCC</w:t>
      </w:r>
      <w:proofErr w:type="spellEnd"/>
      <w:r w:rsidR="004509BB" w:rsidRPr="00326791">
        <w:rPr>
          <w:sz w:val="24"/>
          <w:szCs w:val="24"/>
          <w:lang w:val="en-GB"/>
        </w:rPr>
        <w:t>, and secondly, to provide benchmark</w:t>
      </w:r>
      <w:r w:rsidR="002056DE" w:rsidRPr="00326791">
        <w:rPr>
          <w:sz w:val="24"/>
          <w:szCs w:val="24"/>
          <w:lang w:val="en-GB"/>
        </w:rPr>
        <w:t>s</w:t>
      </w:r>
      <w:r w:rsidR="004509BB" w:rsidRPr="00326791">
        <w:rPr>
          <w:sz w:val="24"/>
          <w:szCs w:val="24"/>
          <w:lang w:val="en-GB"/>
        </w:rPr>
        <w:t xml:space="preserve"> </w:t>
      </w:r>
      <w:r w:rsidR="002056DE" w:rsidRPr="00326791">
        <w:rPr>
          <w:sz w:val="24"/>
          <w:szCs w:val="24"/>
          <w:lang w:val="en-GB"/>
        </w:rPr>
        <w:t xml:space="preserve">of outcomes </w:t>
      </w:r>
      <w:r w:rsidR="004509BB" w:rsidRPr="00326791">
        <w:rPr>
          <w:sz w:val="24"/>
          <w:szCs w:val="24"/>
          <w:lang w:val="en-GB"/>
        </w:rPr>
        <w:t xml:space="preserve">for the design of </w:t>
      </w:r>
      <w:r w:rsidR="002056DE" w:rsidRPr="00326791">
        <w:rPr>
          <w:sz w:val="24"/>
          <w:szCs w:val="24"/>
          <w:lang w:val="en-GB"/>
        </w:rPr>
        <w:t>phase III trials</w:t>
      </w:r>
      <w:r w:rsidR="00EF0383">
        <w:rPr>
          <w:sz w:val="24"/>
          <w:szCs w:val="24"/>
          <w:lang w:val="en-GB"/>
        </w:rPr>
        <w:t>,</w:t>
      </w:r>
      <w:r w:rsidR="002056DE" w:rsidRPr="00326791">
        <w:rPr>
          <w:sz w:val="24"/>
          <w:szCs w:val="24"/>
          <w:lang w:val="en-GB"/>
        </w:rPr>
        <w:t xml:space="preserve"> if</w:t>
      </w:r>
      <w:r w:rsidR="004509BB" w:rsidRPr="00326791">
        <w:rPr>
          <w:sz w:val="24"/>
          <w:szCs w:val="24"/>
          <w:lang w:val="en-GB"/>
        </w:rPr>
        <w:t xml:space="preserve"> the literature was insufficient to derive recommendations.</w:t>
      </w:r>
    </w:p>
    <w:p w14:paraId="3D187D6B" w14:textId="77777777" w:rsidR="00491545" w:rsidRPr="00326791" w:rsidRDefault="00491545" w:rsidP="008B291B">
      <w:pPr>
        <w:spacing w:line="480" w:lineRule="auto"/>
        <w:rPr>
          <w:sz w:val="24"/>
          <w:szCs w:val="24"/>
          <w:lang w:val="en-GB"/>
        </w:rPr>
      </w:pPr>
      <w:r w:rsidRPr="00326791">
        <w:rPr>
          <w:sz w:val="24"/>
          <w:szCs w:val="24"/>
          <w:lang w:val="en-GB"/>
        </w:rPr>
        <w:br w:type="page"/>
      </w:r>
    </w:p>
    <w:p w14:paraId="6F903993" w14:textId="77777777" w:rsidR="00491545" w:rsidRPr="00326791" w:rsidRDefault="00491545" w:rsidP="008B291B">
      <w:pPr>
        <w:spacing w:line="480" w:lineRule="auto"/>
        <w:rPr>
          <w:b/>
          <w:sz w:val="24"/>
          <w:szCs w:val="24"/>
          <w:lang w:val="en-GB"/>
        </w:rPr>
      </w:pPr>
      <w:r w:rsidRPr="00326791">
        <w:rPr>
          <w:b/>
          <w:sz w:val="24"/>
          <w:szCs w:val="24"/>
          <w:lang w:val="en-GB"/>
        </w:rPr>
        <w:lastRenderedPageBreak/>
        <w:t>Methods:</w:t>
      </w:r>
    </w:p>
    <w:p w14:paraId="0AFDB617" w14:textId="77777777" w:rsidR="00491545" w:rsidRPr="00326791" w:rsidRDefault="00A67F6C" w:rsidP="008B291B">
      <w:pPr>
        <w:spacing w:line="480" w:lineRule="auto"/>
        <w:rPr>
          <w:i/>
          <w:sz w:val="24"/>
          <w:szCs w:val="24"/>
          <w:lang w:val="en-GB"/>
        </w:rPr>
      </w:pPr>
      <w:r w:rsidRPr="00326791">
        <w:rPr>
          <w:i/>
          <w:sz w:val="24"/>
          <w:szCs w:val="24"/>
          <w:lang w:val="en-GB"/>
        </w:rPr>
        <w:t>Objectives:</w:t>
      </w:r>
    </w:p>
    <w:p w14:paraId="423F433B" w14:textId="2EEC27B5" w:rsidR="00A67F6C" w:rsidRPr="00326791" w:rsidRDefault="00A67F6C" w:rsidP="00CF1E10">
      <w:pPr>
        <w:spacing w:line="480" w:lineRule="auto"/>
        <w:rPr>
          <w:sz w:val="24"/>
          <w:szCs w:val="24"/>
          <w:lang w:val="en-GB"/>
        </w:rPr>
      </w:pPr>
      <w:r w:rsidRPr="00326791">
        <w:rPr>
          <w:sz w:val="24"/>
          <w:szCs w:val="24"/>
          <w:lang w:val="en-GB"/>
        </w:rPr>
        <w:t xml:space="preserve">This systematic review and pooled analysis aimed </w:t>
      </w:r>
      <w:r w:rsidR="00D20C77">
        <w:rPr>
          <w:sz w:val="24"/>
          <w:szCs w:val="24"/>
          <w:lang w:val="en-GB"/>
        </w:rPr>
        <w:t>to</w:t>
      </w:r>
      <w:r w:rsidRPr="00326791">
        <w:rPr>
          <w:sz w:val="24"/>
          <w:szCs w:val="24"/>
          <w:lang w:val="en-GB"/>
        </w:rPr>
        <w:t>: 1- summari</w:t>
      </w:r>
      <w:r w:rsidR="00D20C77">
        <w:rPr>
          <w:sz w:val="24"/>
          <w:szCs w:val="24"/>
          <w:lang w:val="en-GB"/>
        </w:rPr>
        <w:t>se</w:t>
      </w:r>
      <w:r w:rsidRPr="00326791">
        <w:rPr>
          <w:sz w:val="24"/>
          <w:szCs w:val="24"/>
          <w:lang w:val="en-GB"/>
        </w:rPr>
        <w:t xml:space="preserve"> the current literature </w:t>
      </w:r>
      <w:r w:rsidR="00D20C77">
        <w:rPr>
          <w:sz w:val="24"/>
          <w:szCs w:val="24"/>
          <w:lang w:val="en-GB"/>
        </w:rPr>
        <w:t>relating to</w:t>
      </w:r>
      <w:r w:rsidR="00D20C77" w:rsidRPr="00326791">
        <w:rPr>
          <w:sz w:val="24"/>
          <w:szCs w:val="24"/>
          <w:lang w:val="en-GB"/>
        </w:rPr>
        <w:t xml:space="preserve"> </w:t>
      </w:r>
      <w:r w:rsidRPr="00326791">
        <w:rPr>
          <w:sz w:val="24"/>
          <w:szCs w:val="24"/>
          <w:lang w:val="en-GB"/>
        </w:rPr>
        <w:t xml:space="preserve">the different LRT </w:t>
      </w:r>
      <w:r w:rsidR="00D63EC1" w:rsidRPr="00326791">
        <w:rPr>
          <w:sz w:val="24"/>
          <w:szCs w:val="24"/>
          <w:lang w:val="en-GB"/>
        </w:rPr>
        <w:t xml:space="preserve">employed </w:t>
      </w:r>
      <w:r w:rsidRPr="00326791">
        <w:rPr>
          <w:sz w:val="24"/>
          <w:szCs w:val="24"/>
          <w:lang w:val="en-GB"/>
        </w:rPr>
        <w:t xml:space="preserve">in </w:t>
      </w:r>
      <w:r w:rsidR="00D20C77">
        <w:rPr>
          <w:sz w:val="24"/>
          <w:szCs w:val="24"/>
          <w:lang w:val="en-GB"/>
        </w:rPr>
        <w:t xml:space="preserve">the treatment of patients with </w:t>
      </w:r>
      <w:proofErr w:type="spellStart"/>
      <w:r w:rsidRPr="00326791">
        <w:rPr>
          <w:sz w:val="24"/>
          <w:szCs w:val="24"/>
          <w:lang w:val="en-GB"/>
        </w:rPr>
        <w:t>iCC</w:t>
      </w:r>
      <w:proofErr w:type="spellEnd"/>
      <w:r w:rsidRPr="00326791">
        <w:rPr>
          <w:sz w:val="24"/>
          <w:szCs w:val="24"/>
          <w:lang w:val="en-GB"/>
        </w:rPr>
        <w:t>, 2- descri</w:t>
      </w:r>
      <w:r w:rsidR="00D20C77">
        <w:rPr>
          <w:sz w:val="24"/>
          <w:szCs w:val="24"/>
          <w:lang w:val="en-GB"/>
        </w:rPr>
        <w:t>be</w:t>
      </w:r>
      <w:r w:rsidRPr="00326791">
        <w:rPr>
          <w:sz w:val="24"/>
          <w:szCs w:val="24"/>
          <w:lang w:val="en-GB"/>
        </w:rPr>
        <w:t xml:space="preserve"> the quality of evidence based on the current literature for the different LRT, 3- prov</w:t>
      </w:r>
      <w:r w:rsidR="002056DE" w:rsidRPr="00326791">
        <w:rPr>
          <w:sz w:val="24"/>
          <w:szCs w:val="24"/>
          <w:lang w:val="en-GB"/>
        </w:rPr>
        <w:t>id</w:t>
      </w:r>
      <w:r w:rsidR="00D20C77">
        <w:rPr>
          <w:sz w:val="24"/>
          <w:szCs w:val="24"/>
          <w:lang w:val="en-GB"/>
        </w:rPr>
        <w:t>e</w:t>
      </w:r>
      <w:r w:rsidRPr="00326791">
        <w:rPr>
          <w:sz w:val="24"/>
          <w:szCs w:val="24"/>
          <w:lang w:val="en-GB"/>
        </w:rPr>
        <w:t xml:space="preserve"> outcomes </w:t>
      </w:r>
      <w:r w:rsidR="00326791">
        <w:rPr>
          <w:sz w:val="24"/>
          <w:szCs w:val="24"/>
          <w:lang w:val="en-GB"/>
        </w:rPr>
        <w:t xml:space="preserve">as a </w:t>
      </w:r>
      <w:r w:rsidRPr="00326791">
        <w:rPr>
          <w:sz w:val="24"/>
          <w:szCs w:val="24"/>
          <w:lang w:val="en-GB"/>
        </w:rPr>
        <w:t>benchmark for future clinical trial design.</w:t>
      </w:r>
      <w:r w:rsidR="00CF1E10" w:rsidRPr="00326791">
        <w:rPr>
          <w:sz w:val="24"/>
          <w:szCs w:val="24"/>
          <w:lang w:val="en-GB"/>
        </w:rPr>
        <w:t xml:space="preserve"> This systematic review and </w:t>
      </w:r>
      <w:r w:rsidR="0047599A">
        <w:rPr>
          <w:sz w:val="24"/>
          <w:szCs w:val="24"/>
          <w:lang w:val="en-GB"/>
        </w:rPr>
        <w:t xml:space="preserve">pooled </w:t>
      </w:r>
      <w:r w:rsidR="00CF1E10" w:rsidRPr="00326791">
        <w:rPr>
          <w:sz w:val="24"/>
          <w:szCs w:val="24"/>
          <w:lang w:val="en-GB"/>
        </w:rPr>
        <w:t>analysis was registered in PROSPERO under the ref CRD42020210017 before any search was conducted</w:t>
      </w:r>
      <w:r w:rsidR="00D63EC1" w:rsidRPr="00326791">
        <w:rPr>
          <w:sz w:val="24"/>
          <w:szCs w:val="24"/>
          <w:lang w:val="en-GB"/>
        </w:rPr>
        <w:t xml:space="preserve"> and f</w:t>
      </w:r>
      <w:r w:rsidR="00CF1E10" w:rsidRPr="00326791">
        <w:rPr>
          <w:sz w:val="24"/>
          <w:szCs w:val="24"/>
          <w:lang w:val="en-GB"/>
        </w:rPr>
        <w:t>ollows the PRISMA guidelines.</w:t>
      </w:r>
    </w:p>
    <w:p w14:paraId="10031517" w14:textId="77777777" w:rsidR="00A67F6C" w:rsidRPr="00326791" w:rsidRDefault="00A67F6C" w:rsidP="008B291B">
      <w:pPr>
        <w:spacing w:line="480" w:lineRule="auto"/>
        <w:rPr>
          <w:i/>
          <w:sz w:val="24"/>
          <w:szCs w:val="24"/>
          <w:lang w:val="en-GB"/>
        </w:rPr>
      </w:pPr>
      <w:r w:rsidRPr="00326791">
        <w:rPr>
          <w:i/>
          <w:sz w:val="24"/>
          <w:szCs w:val="24"/>
          <w:lang w:val="en-GB"/>
        </w:rPr>
        <w:t>Search strategies:</w:t>
      </w:r>
    </w:p>
    <w:p w14:paraId="614CC0FC" w14:textId="710D6E26" w:rsidR="00A67F6C" w:rsidRPr="00AE48B6" w:rsidRDefault="00A67F6C" w:rsidP="008B291B">
      <w:pPr>
        <w:spacing w:line="480" w:lineRule="auto"/>
        <w:rPr>
          <w:sz w:val="24"/>
          <w:szCs w:val="24"/>
          <w:lang w:val="en-GB"/>
        </w:rPr>
      </w:pPr>
      <w:r w:rsidRPr="00326791">
        <w:rPr>
          <w:sz w:val="24"/>
          <w:szCs w:val="24"/>
          <w:lang w:val="en-GB"/>
        </w:rPr>
        <w:t xml:space="preserve">The search in </w:t>
      </w:r>
      <w:r w:rsidR="00326791">
        <w:rPr>
          <w:sz w:val="24"/>
          <w:szCs w:val="24"/>
          <w:lang w:val="en-GB"/>
        </w:rPr>
        <w:t>P</w:t>
      </w:r>
      <w:r w:rsidRPr="00326791">
        <w:rPr>
          <w:sz w:val="24"/>
          <w:szCs w:val="24"/>
          <w:lang w:val="en-GB"/>
        </w:rPr>
        <w:t>ub</w:t>
      </w:r>
      <w:r w:rsidR="00326791">
        <w:rPr>
          <w:sz w:val="24"/>
          <w:szCs w:val="24"/>
          <w:lang w:val="en-GB"/>
        </w:rPr>
        <w:t>M</w:t>
      </w:r>
      <w:r w:rsidRPr="00326791">
        <w:rPr>
          <w:sz w:val="24"/>
          <w:szCs w:val="24"/>
          <w:lang w:val="en-GB"/>
        </w:rPr>
        <w:t xml:space="preserve">ed was </w:t>
      </w:r>
      <w:r w:rsidR="00D63EC1" w:rsidRPr="00326791">
        <w:rPr>
          <w:sz w:val="24"/>
          <w:szCs w:val="24"/>
          <w:lang w:val="en-GB"/>
        </w:rPr>
        <w:t xml:space="preserve">last updated </w:t>
      </w:r>
      <w:r w:rsidRPr="00326791">
        <w:rPr>
          <w:sz w:val="24"/>
          <w:szCs w:val="24"/>
          <w:lang w:val="en-GB"/>
        </w:rPr>
        <w:t>on October 9</w:t>
      </w:r>
      <w:r w:rsidRPr="00326791">
        <w:rPr>
          <w:sz w:val="24"/>
          <w:szCs w:val="24"/>
          <w:vertAlign w:val="superscript"/>
          <w:lang w:val="en-GB"/>
        </w:rPr>
        <w:t>th</w:t>
      </w:r>
      <w:r w:rsidRPr="00326791">
        <w:rPr>
          <w:sz w:val="24"/>
          <w:szCs w:val="24"/>
          <w:lang w:val="en-GB"/>
        </w:rPr>
        <w:t xml:space="preserve"> 2020 using the following strategy: (“</w:t>
      </w:r>
      <w:r w:rsidRPr="00AE48B6">
        <w:rPr>
          <w:sz w:val="24"/>
          <w:szCs w:val="24"/>
          <w:lang w:val="en-GB"/>
        </w:rPr>
        <w:t>Radioembolization” OR “radioembolisation” OR “TARE” OR “SIRT” OR “Yttrium-90” OR “Selective Internal radiation therapy”) OR (“chemoembolization” OR “</w:t>
      </w:r>
      <w:proofErr w:type="spellStart"/>
      <w:r w:rsidRPr="00AE48B6">
        <w:rPr>
          <w:sz w:val="24"/>
          <w:szCs w:val="24"/>
          <w:lang w:val="en-GB"/>
        </w:rPr>
        <w:t>chemoembolisation</w:t>
      </w:r>
      <w:proofErr w:type="spellEnd"/>
      <w:r w:rsidRPr="00AE48B6">
        <w:rPr>
          <w:sz w:val="24"/>
          <w:szCs w:val="24"/>
          <w:lang w:val="en-GB"/>
        </w:rPr>
        <w:t>” OR “TACE” OR “Transarterial embolization” OR “TAE”) OR (“hepatic arterial infusion” OR “HAI” OR “Infusions, intra-arterial” (</w:t>
      </w:r>
      <w:proofErr w:type="spellStart"/>
      <w:r w:rsidRPr="00AE48B6">
        <w:rPr>
          <w:sz w:val="24"/>
          <w:szCs w:val="24"/>
          <w:lang w:val="en-GB"/>
        </w:rPr>
        <w:t>MeSH</w:t>
      </w:r>
      <w:proofErr w:type="spellEnd"/>
      <w:r w:rsidRPr="00AE48B6">
        <w:rPr>
          <w:sz w:val="24"/>
          <w:szCs w:val="24"/>
          <w:lang w:val="en-GB"/>
        </w:rPr>
        <w:t xml:space="preserve"> term)) OR (“external beam radiotherapy” OR “stereotactic radiotherapy” OR “SBRT” OR “EBRT” OR “proton” OR “radiotherapy” (</w:t>
      </w:r>
      <w:proofErr w:type="spellStart"/>
      <w:r w:rsidRPr="00AE48B6">
        <w:rPr>
          <w:sz w:val="24"/>
          <w:szCs w:val="24"/>
          <w:lang w:val="en-GB"/>
        </w:rPr>
        <w:t>MeSH</w:t>
      </w:r>
      <w:proofErr w:type="spellEnd"/>
      <w:r w:rsidRPr="00AE48B6">
        <w:rPr>
          <w:sz w:val="24"/>
          <w:szCs w:val="24"/>
          <w:lang w:val="en-GB"/>
        </w:rPr>
        <w:t xml:space="preserve"> term)) OR (“Radiofrequency” OR “Ablation” OR “Microwave” OR “RFA” OR “MWA” OR “Ablation techniques” (</w:t>
      </w:r>
      <w:proofErr w:type="spellStart"/>
      <w:r w:rsidRPr="00AE48B6">
        <w:rPr>
          <w:sz w:val="24"/>
          <w:szCs w:val="24"/>
          <w:lang w:val="en-GB"/>
        </w:rPr>
        <w:t>MeSH</w:t>
      </w:r>
      <w:proofErr w:type="spellEnd"/>
      <w:r w:rsidRPr="00AE48B6">
        <w:rPr>
          <w:sz w:val="24"/>
          <w:szCs w:val="24"/>
          <w:lang w:val="en-GB"/>
        </w:rPr>
        <w:t xml:space="preserve"> term) OR “Radiofrequency ablation” (</w:t>
      </w:r>
      <w:proofErr w:type="spellStart"/>
      <w:r w:rsidRPr="00AE48B6">
        <w:rPr>
          <w:sz w:val="24"/>
          <w:szCs w:val="24"/>
          <w:lang w:val="en-GB"/>
        </w:rPr>
        <w:t>MeSH</w:t>
      </w:r>
      <w:proofErr w:type="spellEnd"/>
      <w:r w:rsidRPr="00AE48B6">
        <w:rPr>
          <w:sz w:val="24"/>
          <w:szCs w:val="24"/>
          <w:lang w:val="en-GB"/>
        </w:rPr>
        <w:t xml:space="preserve"> term)) OR (“trans-arterial” OR “transart</w:t>
      </w:r>
      <w:r w:rsidR="00326791">
        <w:rPr>
          <w:sz w:val="24"/>
          <w:szCs w:val="24"/>
          <w:lang w:val="en-GB"/>
        </w:rPr>
        <w:t>e</w:t>
      </w:r>
      <w:r w:rsidRPr="00AE48B6">
        <w:rPr>
          <w:sz w:val="24"/>
          <w:szCs w:val="24"/>
          <w:lang w:val="en-GB"/>
        </w:rPr>
        <w:t>rial” OR “loco-regional” OR “locoregional” OR “embolization” OR “embolisation”) AND “cholangiocarcinoma” (</w:t>
      </w:r>
      <w:proofErr w:type="spellStart"/>
      <w:r w:rsidRPr="00AE48B6">
        <w:rPr>
          <w:sz w:val="24"/>
          <w:szCs w:val="24"/>
          <w:lang w:val="en-GB"/>
        </w:rPr>
        <w:t>MeSH</w:t>
      </w:r>
      <w:proofErr w:type="spellEnd"/>
      <w:r w:rsidRPr="00AE48B6">
        <w:rPr>
          <w:sz w:val="24"/>
          <w:szCs w:val="24"/>
          <w:lang w:val="en-GB"/>
        </w:rPr>
        <w:t xml:space="preserve"> term). The search in EMBASE </w:t>
      </w:r>
      <w:r w:rsidR="008B291B" w:rsidRPr="00AE48B6">
        <w:rPr>
          <w:sz w:val="24"/>
          <w:szCs w:val="24"/>
          <w:lang w:val="en-GB"/>
        </w:rPr>
        <w:t xml:space="preserve">was </w:t>
      </w:r>
      <w:r w:rsidR="001219EB">
        <w:rPr>
          <w:sz w:val="24"/>
          <w:szCs w:val="24"/>
          <w:lang w:val="en-GB"/>
        </w:rPr>
        <w:t>performed</w:t>
      </w:r>
      <w:r w:rsidR="001219EB" w:rsidRPr="00AE48B6">
        <w:rPr>
          <w:sz w:val="24"/>
          <w:szCs w:val="24"/>
          <w:lang w:val="en-GB"/>
        </w:rPr>
        <w:t xml:space="preserve"> </w:t>
      </w:r>
      <w:r w:rsidR="008B291B" w:rsidRPr="00AE48B6">
        <w:rPr>
          <w:sz w:val="24"/>
          <w:szCs w:val="24"/>
          <w:lang w:val="en-GB"/>
        </w:rPr>
        <w:t>on November 11</w:t>
      </w:r>
      <w:r w:rsidR="008B291B" w:rsidRPr="00AE48B6">
        <w:rPr>
          <w:sz w:val="24"/>
          <w:szCs w:val="24"/>
          <w:vertAlign w:val="superscript"/>
          <w:lang w:val="en-GB"/>
        </w:rPr>
        <w:t>th</w:t>
      </w:r>
      <w:r w:rsidR="008B291B" w:rsidRPr="00AE48B6">
        <w:rPr>
          <w:sz w:val="24"/>
          <w:szCs w:val="24"/>
          <w:lang w:val="en-GB"/>
        </w:rPr>
        <w:t xml:space="preserve"> 2020 and used the following strategy: 1- ("Radioembolization" or "radioembolisation" or "Radio embolization" or "radio embolisation" or "TARE" or "SIRT" or "Yttrium-90" or "Selective Internal radiation therapy"), 2-("chemoembolization" or "</w:t>
      </w:r>
      <w:proofErr w:type="spellStart"/>
      <w:r w:rsidR="008B291B" w:rsidRPr="00AE48B6">
        <w:rPr>
          <w:sz w:val="24"/>
          <w:szCs w:val="24"/>
          <w:lang w:val="en-GB"/>
        </w:rPr>
        <w:t>chemoembolisation</w:t>
      </w:r>
      <w:proofErr w:type="spellEnd"/>
      <w:r w:rsidR="008B291B" w:rsidRPr="00AE48B6">
        <w:rPr>
          <w:sz w:val="24"/>
          <w:szCs w:val="24"/>
          <w:lang w:val="en-GB"/>
        </w:rPr>
        <w:t xml:space="preserve">" or "chemo embolization" or "chemo embolisation" or "TACE" or </w:t>
      </w:r>
      <w:r w:rsidR="008B291B" w:rsidRPr="00AE48B6">
        <w:rPr>
          <w:sz w:val="24"/>
          <w:szCs w:val="24"/>
          <w:lang w:val="en-GB"/>
        </w:rPr>
        <w:lastRenderedPageBreak/>
        <w:t>"Transarterial embolization" or "TAE"), 3-("hepatic arterial infusion" or "HAI"), 4-("external beam radiotherapy" or "stereotactic radiotherapy" or "stereotactic radiosurgery" or "Stereotactic Body" or "SBRT" or "EBRT" or "proton*" or</w:t>
      </w:r>
      <w:r w:rsidR="00326791">
        <w:rPr>
          <w:sz w:val="24"/>
          <w:szCs w:val="24"/>
          <w:lang w:val="en-GB"/>
        </w:rPr>
        <w:t xml:space="preserve"> </w:t>
      </w:r>
      <w:proofErr w:type="spellStart"/>
      <w:r w:rsidR="008B291B" w:rsidRPr="00AE48B6">
        <w:rPr>
          <w:sz w:val="24"/>
          <w:szCs w:val="24"/>
          <w:lang w:val="en-GB"/>
        </w:rPr>
        <w:t>CyberKnife</w:t>
      </w:r>
      <w:proofErr w:type="spellEnd"/>
      <w:r w:rsidR="008B291B" w:rsidRPr="00AE48B6">
        <w:rPr>
          <w:sz w:val="24"/>
          <w:szCs w:val="24"/>
          <w:lang w:val="en-GB"/>
        </w:rPr>
        <w:t xml:space="preserve"> or </w:t>
      </w:r>
      <w:proofErr w:type="spellStart"/>
      <w:r w:rsidR="008B291B" w:rsidRPr="00AE48B6">
        <w:rPr>
          <w:sz w:val="24"/>
          <w:szCs w:val="24"/>
          <w:lang w:val="en-GB"/>
        </w:rPr>
        <w:t>srs</w:t>
      </w:r>
      <w:proofErr w:type="spellEnd"/>
      <w:r w:rsidR="008B291B" w:rsidRPr="00AE48B6">
        <w:rPr>
          <w:sz w:val="24"/>
          <w:szCs w:val="24"/>
          <w:lang w:val="en-GB"/>
        </w:rPr>
        <w:t xml:space="preserve"> or "gamma knife"), 5-exp </w:t>
      </w:r>
      <w:proofErr w:type="spellStart"/>
      <w:r w:rsidR="008B291B" w:rsidRPr="00AE48B6">
        <w:rPr>
          <w:sz w:val="24"/>
          <w:szCs w:val="24"/>
          <w:lang w:val="en-GB"/>
        </w:rPr>
        <w:t>intraarterial</w:t>
      </w:r>
      <w:proofErr w:type="spellEnd"/>
      <w:r w:rsidR="008B291B" w:rsidRPr="00AE48B6">
        <w:rPr>
          <w:sz w:val="24"/>
          <w:szCs w:val="24"/>
          <w:lang w:val="en-GB"/>
        </w:rPr>
        <w:t xml:space="preserve"> drug administration, 6-exp radiotherapy, 7-("trans-arterial" or "transarterial" or "loco-regional" or "locoregional" or "embolization" or "embolisation"), 8-1 or 2 or 3 or 4 or 5 or 6 or 7, 9-(cholangiocarcinoma* or ("bile duct*" adj2 cancer*)), 10-exp bile duct carcinoma, 11-9 or 10, 12- 8 and 11.</w:t>
      </w:r>
    </w:p>
    <w:p w14:paraId="58947523" w14:textId="3DE4F157" w:rsidR="008B291B" w:rsidRPr="00AE48B6" w:rsidRDefault="002056DE" w:rsidP="008B291B">
      <w:pPr>
        <w:spacing w:line="480" w:lineRule="auto"/>
        <w:rPr>
          <w:sz w:val="24"/>
          <w:szCs w:val="24"/>
          <w:lang w:val="en-GB"/>
        </w:rPr>
      </w:pPr>
      <w:r w:rsidRPr="00AE48B6">
        <w:rPr>
          <w:sz w:val="24"/>
          <w:szCs w:val="24"/>
          <w:lang w:val="en-GB"/>
        </w:rPr>
        <w:t xml:space="preserve">Potentially </w:t>
      </w:r>
      <w:r w:rsidR="008B291B" w:rsidRPr="00AE48B6">
        <w:rPr>
          <w:sz w:val="24"/>
          <w:szCs w:val="24"/>
          <w:lang w:val="en-GB"/>
        </w:rPr>
        <w:t>eligible studies were selected from the 2 aforementioned searches by reviewing the abstracts</w:t>
      </w:r>
      <w:r w:rsidR="00A141DE">
        <w:rPr>
          <w:sz w:val="24"/>
          <w:szCs w:val="24"/>
          <w:lang w:val="en-GB"/>
        </w:rPr>
        <w:t xml:space="preserve"> then the full text</w:t>
      </w:r>
      <w:r w:rsidR="008B291B" w:rsidRPr="00AE48B6">
        <w:rPr>
          <w:sz w:val="24"/>
          <w:szCs w:val="24"/>
          <w:lang w:val="en-GB"/>
        </w:rPr>
        <w:t xml:space="preserve">. All studies meeting the inclusion criteria were included even when </w:t>
      </w:r>
      <w:r w:rsidR="00326791">
        <w:rPr>
          <w:sz w:val="24"/>
          <w:szCs w:val="24"/>
          <w:lang w:val="en-GB"/>
        </w:rPr>
        <w:t xml:space="preserve">a </w:t>
      </w:r>
      <w:r w:rsidR="008B291B" w:rsidRPr="00AE48B6">
        <w:rPr>
          <w:sz w:val="24"/>
          <w:szCs w:val="24"/>
          <w:lang w:val="en-GB"/>
        </w:rPr>
        <w:t xml:space="preserve">complete manuscript was not available. </w:t>
      </w:r>
    </w:p>
    <w:p w14:paraId="525EA7A4" w14:textId="2B47A6F6" w:rsidR="008B291B" w:rsidRPr="00AE48B6" w:rsidRDefault="008B291B" w:rsidP="008B291B">
      <w:pPr>
        <w:spacing w:line="480" w:lineRule="auto"/>
        <w:rPr>
          <w:i/>
          <w:sz w:val="24"/>
          <w:szCs w:val="24"/>
          <w:lang w:val="en-GB"/>
        </w:rPr>
      </w:pPr>
      <w:r w:rsidRPr="00AE48B6">
        <w:rPr>
          <w:i/>
          <w:sz w:val="24"/>
          <w:szCs w:val="24"/>
          <w:lang w:val="en-GB"/>
        </w:rPr>
        <w:t>Stud</w:t>
      </w:r>
      <w:r w:rsidR="001219EB">
        <w:rPr>
          <w:i/>
          <w:sz w:val="24"/>
          <w:szCs w:val="24"/>
          <w:lang w:val="en-GB"/>
        </w:rPr>
        <w:t>y</w:t>
      </w:r>
      <w:r w:rsidRPr="00AE48B6">
        <w:rPr>
          <w:i/>
          <w:sz w:val="24"/>
          <w:szCs w:val="24"/>
          <w:lang w:val="en-GB"/>
        </w:rPr>
        <w:t xml:space="preserve"> eligibility</w:t>
      </w:r>
    </w:p>
    <w:p w14:paraId="145215F3" w14:textId="3F22D9D7" w:rsidR="008B291B" w:rsidRPr="00326791" w:rsidRDefault="008B291B" w:rsidP="008B291B">
      <w:pPr>
        <w:spacing w:line="480" w:lineRule="auto"/>
        <w:rPr>
          <w:sz w:val="24"/>
          <w:szCs w:val="24"/>
          <w:lang w:val="en-GB"/>
        </w:rPr>
      </w:pPr>
      <w:r w:rsidRPr="00AD70F1">
        <w:rPr>
          <w:sz w:val="24"/>
          <w:szCs w:val="24"/>
          <w:lang w:val="en-GB"/>
        </w:rPr>
        <w:t xml:space="preserve">Inclusion criteria </w:t>
      </w:r>
      <w:r w:rsidR="002B146F" w:rsidRPr="00AD70F1">
        <w:rPr>
          <w:sz w:val="24"/>
          <w:szCs w:val="24"/>
          <w:lang w:val="en-GB"/>
        </w:rPr>
        <w:t xml:space="preserve">for the </w:t>
      </w:r>
      <w:r w:rsidR="002B146F" w:rsidRPr="00326791">
        <w:rPr>
          <w:sz w:val="24"/>
          <w:szCs w:val="24"/>
          <w:lang w:val="en-GB"/>
        </w:rPr>
        <w:t>systematic</w:t>
      </w:r>
      <w:r w:rsidR="002B146F" w:rsidRPr="00AD70F1">
        <w:rPr>
          <w:sz w:val="24"/>
          <w:szCs w:val="24"/>
          <w:lang w:val="en-GB"/>
        </w:rPr>
        <w:t xml:space="preserve"> review included</w:t>
      </w:r>
      <w:r w:rsidR="009E2030" w:rsidRPr="00AD70F1">
        <w:rPr>
          <w:sz w:val="24"/>
          <w:szCs w:val="24"/>
          <w:lang w:val="en-GB"/>
        </w:rPr>
        <w:t>: s</w:t>
      </w:r>
      <w:r w:rsidRPr="00326791">
        <w:rPr>
          <w:sz w:val="24"/>
          <w:szCs w:val="24"/>
          <w:lang w:val="en-GB"/>
        </w:rPr>
        <w:t xml:space="preserve">tudies involving patients treated for unresectable </w:t>
      </w:r>
      <w:proofErr w:type="spellStart"/>
      <w:r w:rsidRPr="00326791">
        <w:rPr>
          <w:sz w:val="24"/>
          <w:szCs w:val="24"/>
          <w:lang w:val="en-GB"/>
        </w:rPr>
        <w:t>iCC</w:t>
      </w:r>
      <w:proofErr w:type="spellEnd"/>
      <w:r w:rsidRPr="00326791">
        <w:rPr>
          <w:sz w:val="24"/>
          <w:szCs w:val="24"/>
          <w:lang w:val="en-GB"/>
        </w:rPr>
        <w:t xml:space="preserve">, treated with </w:t>
      </w:r>
      <w:r w:rsidR="002056DE" w:rsidRPr="00326791">
        <w:rPr>
          <w:sz w:val="24"/>
          <w:szCs w:val="24"/>
          <w:lang w:val="en-GB"/>
        </w:rPr>
        <w:t>LRT</w:t>
      </w:r>
      <w:r w:rsidRPr="00326791">
        <w:rPr>
          <w:sz w:val="24"/>
          <w:szCs w:val="24"/>
          <w:lang w:val="en-GB"/>
        </w:rPr>
        <w:t xml:space="preserve">, including </w:t>
      </w:r>
      <w:r w:rsidR="002056DE" w:rsidRPr="00326791">
        <w:rPr>
          <w:sz w:val="24"/>
          <w:szCs w:val="24"/>
          <w:lang w:val="en-GB"/>
        </w:rPr>
        <w:t>SIRT</w:t>
      </w:r>
      <w:r w:rsidRPr="00326791">
        <w:rPr>
          <w:sz w:val="24"/>
          <w:szCs w:val="24"/>
          <w:lang w:val="en-GB"/>
        </w:rPr>
        <w:t xml:space="preserve">, </w:t>
      </w:r>
      <w:r w:rsidR="002056DE" w:rsidRPr="00326791">
        <w:rPr>
          <w:sz w:val="24"/>
          <w:szCs w:val="24"/>
          <w:lang w:val="en-GB"/>
        </w:rPr>
        <w:t>TACE</w:t>
      </w:r>
      <w:r w:rsidRPr="00326791">
        <w:rPr>
          <w:sz w:val="24"/>
          <w:szCs w:val="24"/>
          <w:lang w:val="en-GB"/>
        </w:rPr>
        <w:t>, trans-arterial emboli</w:t>
      </w:r>
      <w:r w:rsidR="001219EB">
        <w:rPr>
          <w:sz w:val="24"/>
          <w:szCs w:val="24"/>
          <w:lang w:val="en-GB"/>
        </w:rPr>
        <w:t>s</w:t>
      </w:r>
      <w:r w:rsidRPr="00326791">
        <w:rPr>
          <w:sz w:val="24"/>
          <w:szCs w:val="24"/>
          <w:lang w:val="en-GB"/>
        </w:rPr>
        <w:t xml:space="preserve">ation, </w:t>
      </w:r>
      <w:r w:rsidR="002056DE" w:rsidRPr="00326791">
        <w:rPr>
          <w:sz w:val="24"/>
          <w:szCs w:val="24"/>
          <w:lang w:val="en-GB"/>
        </w:rPr>
        <w:t>HAI</w:t>
      </w:r>
      <w:r w:rsidRPr="00326791">
        <w:rPr>
          <w:sz w:val="24"/>
          <w:szCs w:val="24"/>
          <w:lang w:val="en-GB"/>
        </w:rPr>
        <w:t xml:space="preserve"> chemotherapy, </w:t>
      </w:r>
      <w:r w:rsidR="002056DE" w:rsidRPr="00326791">
        <w:rPr>
          <w:sz w:val="24"/>
          <w:szCs w:val="24"/>
          <w:lang w:val="en-GB"/>
        </w:rPr>
        <w:t>EBRT</w:t>
      </w:r>
      <w:r w:rsidRPr="00326791">
        <w:rPr>
          <w:sz w:val="24"/>
          <w:szCs w:val="24"/>
          <w:lang w:val="en-GB"/>
        </w:rPr>
        <w:t xml:space="preserve"> and ablation; studies available in </w:t>
      </w:r>
      <w:r w:rsidR="00326791">
        <w:rPr>
          <w:sz w:val="24"/>
          <w:szCs w:val="24"/>
          <w:lang w:val="en-GB"/>
        </w:rPr>
        <w:t>P</w:t>
      </w:r>
      <w:r w:rsidRPr="00326791">
        <w:rPr>
          <w:sz w:val="24"/>
          <w:szCs w:val="24"/>
          <w:lang w:val="en-GB"/>
        </w:rPr>
        <w:t>ub</w:t>
      </w:r>
      <w:r w:rsidR="00326791">
        <w:rPr>
          <w:sz w:val="24"/>
          <w:szCs w:val="24"/>
          <w:lang w:val="en-GB"/>
        </w:rPr>
        <w:t>M</w:t>
      </w:r>
      <w:r w:rsidRPr="00326791">
        <w:rPr>
          <w:sz w:val="24"/>
          <w:szCs w:val="24"/>
          <w:lang w:val="en-GB"/>
        </w:rPr>
        <w:t xml:space="preserve">ed and/or </w:t>
      </w:r>
      <w:proofErr w:type="spellStart"/>
      <w:r w:rsidRPr="00326791">
        <w:rPr>
          <w:sz w:val="24"/>
          <w:szCs w:val="24"/>
          <w:lang w:val="en-GB"/>
        </w:rPr>
        <w:t>Embase</w:t>
      </w:r>
      <w:proofErr w:type="spellEnd"/>
      <w:r w:rsidRPr="00326791">
        <w:rPr>
          <w:sz w:val="24"/>
          <w:szCs w:val="24"/>
          <w:lang w:val="en-GB"/>
        </w:rPr>
        <w:t xml:space="preserve"> from January 2000 to the date of search. Exclusion criteria were the following</w:t>
      </w:r>
      <w:r w:rsidR="002056DE" w:rsidRPr="00326791">
        <w:rPr>
          <w:sz w:val="24"/>
          <w:szCs w:val="24"/>
          <w:lang w:val="en-GB"/>
        </w:rPr>
        <w:t>: s</w:t>
      </w:r>
      <w:r w:rsidRPr="00326791">
        <w:rPr>
          <w:sz w:val="24"/>
          <w:szCs w:val="24"/>
          <w:lang w:val="en-GB"/>
        </w:rPr>
        <w:t xml:space="preserve">tudies including patients with all types of BTC without distinction of outcomes for </w:t>
      </w:r>
      <w:proofErr w:type="spellStart"/>
      <w:r w:rsidRPr="00326791">
        <w:rPr>
          <w:sz w:val="24"/>
          <w:szCs w:val="24"/>
          <w:lang w:val="en-GB"/>
        </w:rPr>
        <w:t>iCC</w:t>
      </w:r>
      <w:proofErr w:type="spellEnd"/>
      <w:r w:rsidRPr="00326791">
        <w:rPr>
          <w:sz w:val="24"/>
          <w:szCs w:val="24"/>
          <w:lang w:val="en-GB"/>
        </w:rPr>
        <w:t xml:space="preserve">, studies </w:t>
      </w:r>
      <w:r w:rsidR="009E2030" w:rsidRPr="00326791">
        <w:rPr>
          <w:sz w:val="24"/>
          <w:szCs w:val="24"/>
          <w:lang w:val="en-GB"/>
        </w:rPr>
        <w:t xml:space="preserve">pooling results of </w:t>
      </w:r>
      <w:r w:rsidRPr="00326791">
        <w:rPr>
          <w:sz w:val="24"/>
          <w:szCs w:val="24"/>
          <w:lang w:val="en-GB"/>
        </w:rPr>
        <w:t xml:space="preserve">different </w:t>
      </w:r>
      <w:r w:rsidR="009E2030" w:rsidRPr="00326791">
        <w:rPr>
          <w:sz w:val="24"/>
          <w:szCs w:val="24"/>
          <w:lang w:val="en-GB"/>
        </w:rPr>
        <w:t>LRT</w:t>
      </w:r>
      <w:r w:rsidRPr="00326791">
        <w:rPr>
          <w:sz w:val="24"/>
          <w:szCs w:val="24"/>
          <w:lang w:val="en-GB"/>
        </w:rPr>
        <w:t>, without distinction of outcomes for each of them, studies with n</w:t>
      </w:r>
      <w:r w:rsidR="009E2030" w:rsidRPr="00326791">
        <w:rPr>
          <w:sz w:val="24"/>
          <w:szCs w:val="24"/>
          <w:lang w:val="en-GB"/>
        </w:rPr>
        <w:t xml:space="preserve">umber of patients less than </w:t>
      </w:r>
      <w:r w:rsidRPr="00326791">
        <w:rPr>
          <w:sz w:val="24"/>
          <w:szCs w:val="24"/>
          <w:lang w:val="en-GB"/>
        </w:rPr>
        <w:t xml:space="preserve">10, studies including patients with resectable </w:t>
      </w:r>
      <w:r w:rsidR="002056DE" w:rsidRPr="00326791">
        <w:rPr>
          <w:sz w:val="24"/>
          <w:szCs w:val="24"/>
          <w:lang w:val="en-GB"/>
        </w:rPr>
        <w:t>or resected tumours</w:t>
      </w:r>
      <w:r w:rsidRPr="00326791">
        <w:rPr>
          <w:sz w:val="24"/>
          <w:szCs w:val="24"/>
          <w:lang w:val="en-GB"/>
        </w:rPr>
        <w:t xml:space="preserve">, studies published in a language </w:t>
      </w:r>
      <w:r w:rsidR="001219EB">
        <w:rPr>
          <w:sz w:val="24"/>
          <w:szCs w:val="24"/>
          <w:lang w:val="en-GB"/>
        </w:rPr>
        <w:t xml:space="preserve">other </w:t>
      </w:r>
      <w:r w:rsidRPr="00326791">
        <w:rPr>
          <w:sz w:val="24"/>
          <w:szCs w:val="24"/>
          <w:lang w:val="en-GB"/>
        </w:rPr>
        <w:t>than English, s</w:t>
      </w:r>
      <w:r w:rsidR="009E2030" w:rsidRPr="00326791">
        <w:rPr>
          <w:sz w:val="24"/>
          <w:szCs w:val="24"/>
          <w:lang w:val="en-GB"/>
        </w:rPr>
        <w:t>tudies not reporting at least one</w:t>
      </w:r>
      <w:r w:rsidRPr="00326791">
        <w:rPr>
          <w:sz w:val="24"/>
          <w:szCs w:val="24"/>
          <w:lang w:val="en-GB"/>
        </w:rPr>
        <w:t xml:space="preserve"> of the following outcomes: radiological response by </w:t>
      </w:r>
      <w:r w:rsidR="00326791">
        <w:rPr>
          <w:sz w:val="24"/>
          <w:szCs w:val="24"/>
          <w:lang w:val="en-GB"/>
        </w:rPr>
        <w:t xml:space="preserve">Response Evaluation Criteria in Solid </w:t>
      </w:r>
      <w:proofErr w:type="spellStart"/>
      <w:r w:rsidR="00326791">
        <w:rPr>
          <w:sz w:val="24"/>
          <w:szCs w:val="24"/>
          <w:lang w:val="en-GB"/>
        </w:rPr>
        <w:t>Tumors</w:t>
      </w:r>
      <w:proofErr w:type="spellEnd"/>
      <w:r w:rsidR="00326791">
        <w:rPr>
          <w:sz w:val="24"/>
          <w:szCs w:val="24"/>
          <w:lang w:val="en-GB"/>
        </w:rPr>
        <w:t xml:space="preserve"> (</w:t>
      </w:r>
      <w:r w:rsidRPr="00326791">
        <w:rPr>
          <w:sz w:val="24"/>
          <w:szCs w:val="24"/>
          <w:lang w:val="en-GB"/>
        </w:rPr>
        <w:t>RECIST</w:t>
      </w:r>
      <w:r w:rsidR="00326791">
        <w:rPr>
          <w:sz w:val="24"/>
          <w:szCs w:val="24"/>
          <w:lang w:val="en-GB"/>
        </w:rPr>
        <w:t>)</w:t>
      </w:r>
      <w:r w:rsidRPr="00326791">
        <w:rPr>
          <w:sz w:val="24"/>
          <w:szCs w:val="24"/>
          <w:lang w:val="en-GB"/>
        </w:rPr>
        <w:t xml:space="preserve"> </w:t>
      </w:r>
      <w:r w:rsidR="00326791">
        <w:rPr>
          <w:sz w:val="24"/>
          <w:szCs w:val="24"/>
          <w:lang w:val="en-GB"/>
        </w:rPr>
        <w:t>v</w:t>
      </w:r>
      <w:r w:rsidRPr="00326791">
        <w:rPr>
          <w:sz w:val="24"/>
          <w:szCs w:val="24"/>
          <w:lang w:val="en-GB"/>
        </w:rPr>
        <w:t>1.1, progression-free survival</w:t>
      </w:r>
      <w:r w:rsidR="00326791">
        <w:rPr>
          <w:sz w:val="24"/>
          <w:szCs w:val="24"/>
          <w:lang w:val="en-GB"/>
        </w:rPr>
        <w:t xml:space="preserve"> (PFS)</w:t>
      </w:r>
      <w:r w:rsidRPr="00326791">
        <w:rPr>
          <w:sz w:val="24"/>
          <w:szCs w:val="24"/>
          <w:lang w:val="en-GB"/>
        </w:rPr>
        <w:t>, liver-specific-</w:t>
      </w:r>
      <w:r w:rsidR="00326791">
        <w:rPr>
          <w:sz w:val="24"/>
          <w:szCs w:val="24"/>
          <w:lang w:val="en-GB"/>
        </w:rPr>
        <w:t>PFS</w:t>
      </w:r>
      <w:r w:rsidRPr="00326791">
        <w:rPr>
          <w:sz w:val="24"/>
          <w:szCs w:val="24"/>
          <w:lang w:val="en-GB"/>
        </w:rPr>
        <w:t xml:space="preserve">, </w:t>
      </w:r>
      <w:r w:rsidR="00326791">
        <w:rPr>
          <w:sz w:val="24"/>
          <w:szCs w:val="24"/>
          <w:lang w:val="en-GB"/>
        </w:rPr>
        <w:t>OS</w:t>
      </w:r>
      <w:r w:rsidRPr="00326791">
        <w:rPr>
          <w:sz w:val="24"/>
          <w:szCs w:val="24"/>
          <w:lang w:val="en-GB"/>
        </w:rPr>
        <w:t xml:space="preserve">, and grade </w:t>
      </w:r>
      <w:r w:rsidR="00326791">
        <w:rPr>
          <w:sz w:val="24"/>
          <w:szCs w:val="24"/>
          <w:lang w:val="en-GB"/>
        </w:rPr>
        <w:t>3-4</w:t>
      </w:r>
      <w:r w:rsidRPr="00326791">
        <w:rPr>
          <w:sz w:val="24"/>
          <w:szCs w:val="24"/>
          <w:lang w:val="en-GB"/>
        </w:rPr>
        <w:t xml:space="preserve"> toxicity according to </w:t>
      </w:r>
      <w:r w:rsidR="00326791">
        <w:rPr>
          <w:sz w:val="24"/>
          <w:szCs w:val="24"/>
          <w:lang w:val="en-GB"/>
        </w:rPr>
        <w:t xml:space="preserve">National Cancer Institute – Common Terminology Criteria </w:t>
      </w:r>
      <w:r w:rsidR="004B21A6">
        <w:rPr>
          <w:sz w:val="24"/>
          <w:szCs w:val="24"/>
          <w:lang w:val="en-GB"/>
        </w:rPr>
        <w:t>for Adverse Events (</w:t>
      </w:r>
      <w:r w:rsidRPr="00326791">
        <w:rPr>
          <w:sz w:val="24"/>
          <w:szCs w:val="24"/>
          <w:lang w:val="en-GB"/>
        </w:rPr>
        <w:t>NCI-CTCAE</w:t>
      </w:r>
      <w:r w:rsidR="004B21A6">
        <w:rPr>
          <w:sz w:val="24"/>
          <w:szCs w:val="24"/>
          <w:lang w:val="en-GB"/>
        </w:rPr>
        <w:t>)</w:t>
      </w:r>
      <w:r w:rsidRPr="00326791">
        <w:rPr>
          <w:sz w:val="24"/>
          <w:szCs w:val="24"/>
          <w:lang w:val="en-GB"/>
        </w:rPr>
        <w:t>.</w:t>
      </w:r>
    </w:p>
    <w:p w14:paraId="2C20B6D0" w14:textId="50F94FD4" w:rsidR="008B291B" w:rsidRPr="00326791" w:rsidRDefault="00A3603F" w:rsidP="008B291B">
      <w:pPr>
        <w:spacing w:line="480" w:lineRule="auto"/>
        <w:rPr>
          <w:sz w:val="24"/>
          <w:szCs w:val="24"/>
          <w:lang w:val="en-GB"/>
        </w:rPr>
      </w:pPr>
      <w:r>
        <w:rPr>
          <w:sz w:val="24"/>
          <w:szCs w:val="24"/>
          <w:lang w:val="en-GB"/>
        </w:rPr>
        <w:lastRenderedPageBreak/>
        <w:t>I</w:t>
      </w:r>
      <w:r w:rsidR="008B291B" w:rsidRPr="00326791">
        <w:rPr>
          <w:sz w:val="24"/>
          <w:szCs w:val="24"/>
          <w:lang w:val="en-GB"/>
        </w:rPr>
        <w:t>n case of duplicates (</w:t>
      </w:r>
      <w:r w:rsidR="00D63EC1" w:rsidRPr="00326791">
        <w:rPr>
          <w:sz w:val="24"/>
          <w:szCs w:val="24"/>
          <w:lang w:val="en-GB"/>
        </w:rPr>
        <w:t xml:space="preserve">i.e. </w:t>
      </w:r>
      <w:r w:rsidR="008B291B" w:rsidRPr="00326791">
        <w:rPr>
          <w:sz w:val="24"/>
          <w:szCs w:val="24"/>
          <w:lang w:val="en-GB"/>
        </w:rPr>
        <w:t xml:space="preserve">2 studies with </w:t>
      </w:r>
      <w:r w:rsidR="001D46AA">
        <w:rPr>
          <w:sz w:val="24"/>
          <w:szCs w:val="24"/>
          <w:lang w:val="en-GB"/>
        </w:rPr>
        <w:t>the</w:t>
      </w:r>
      <w:r w:rsidR="001D46AA" w:rsidRPr="00326791">
        <w:rPr>
          <w:sz w:val="24"/>
          <w:szCs w:val="24"/>
          <w:lang w:val="en-GB"/>
        </w:rPr>
        <w:t xml:space="preserve"> </w:t>
      </w:r>
      <w:r w:rsidR="008B291B" w:rsidRPr="00326791">
        <w:rPr>
          <w:sz w:val="24"/>
          <w:szCs w:val="24"/>
          <w:lang w:val="en-GB"/>
        </w:rPr>
        <w:t>same author</w:t>
      </w:r>
      <w:r w:rsidR="009E2030" w:rsidRPr="00326791">
        <w:rPr>
          <w:sz w:val="24"/>
          <w:szCs w:val="24"/>
          <w:lang w:val="en-GB"/>
        </w:rPr>
        <w:t xml:space="preserve"> including the same population</w:t>
      </w:r>
      <w:r w:rsidR="008B291B" w:rsidRPr="00326791">
        <w:rPr>
          <w:sz w:val="24"/>
          <w:szCs w:val="24"/>
          <w:lang w:val="en-GB"/>
        </w:rPr>
        <w:t xml:space="preserve">), selection of the publication with the largest number of patients was made, and the other </w:t>
      </w:r>
      <w:r w:rsidR="004B21A6">
        <w:rPr>
          <w:sz w:val="24"/>
          <w:szCs w:val="24"/>
          <w:lang w:val="en-GB"/>
        </w:rPr>
        <w:t>was</w:t>
      </w:r>
      <w:r w:rsidR="008B291B" w:rsidRPr="00326791">
        <w:rPr>
          <w:sz w:val="24"/>
          <w:szCs w:val="24"/>
          <w:lang w:val="en-GB"/>
        </w:rPr>
        <w:t xml:space="preserve"> discarded. </w:t>
      </w:r>
      <w:r w:rsidR="002056DE" w:rsidRPr="00326791">
        <w:rPr>
          <w:sz w:val="24"/>
          <w:szCs w:val="24"/>
          <w:lang w:val="en-GB"/>
        </w:rPr>
        <w:t>When</w:t>
      </w:r>
      <w:r w:rsidR="008B291B" w:rsidRPr="00326791">
        <w:rPr>
          <w:sz w:val="24"/>
          <w:szCs w:val="24"/>
          <w:lang w:val="en-GB"/>
        </w:rPr>
        <w:t xml:space="preserve"> </w:t>
      </w:r>
      <w:r w:rsidR="00D63EC1" w:rsidRPr="00326791">
        <w:rPr>
          <w:sz w:val="24"/>
          <w:szCs w:val="24"/>
          <w:lang w:val="en-GB"/>
        </w:rPr>
        <w:t>the</w:t>
      </w:r>
      <w:r w:rsidR="008B291B" w:rsidRPr="00326791">
        <w:rPr>
          <w:sz w:val="24"/>
          <w:szCs w:val="24"/>
          <w:lang w:val="en-GB"/>
        </w:rPr>
        <w:t xml:space="preserve"> author appear</w:t>
      </w:r>
      <w:r w:rsidR="00D63EC1" w:rsidRPr="00326791">
        <w:rPr>
          <w:sz w:val="24"/>
          <w:szCs w:val="24"/>
          <w:lang w:val="en-GB"/>
        </w:rPr>
        <w:t>ed</w:t>
      </w:r>
      <w:r w:rsidR="008B291B" w:rsidRPr="00326791">
        <w:rPr>
          <w:sz w:val="24"/>
          <w:szCs w:val="24"/>
          <w:lang w:val="en-GB"/>
        </w:rPr>
        <w:t xml:space="preserve"> on both a single-centre and a multicentre study</w:t>
      </w:r>
      <w:r w:rsidR="002056DE" w:rsidRPr="00326791">
        <w:rPr>
          <w:sz w:val="24"/>
          <w:szCs w:val="24"/>
          <w:lang w:val="en-GB"/>
        </w:rPr>
        <w:t xml:space="preserve"> using the same cohort of patients</w:t>
      </w:r>
      <w:r w:rsidR="008B291B" w:rsidRPr="00326791">
        <w:rPr>
          <w:sz w:val="24"/>
          <w:szCs w:val="24"/>
          <w:lang w:val="en-GB"/>
        </w:rPr>
        <w:t>, the multicentre study was selected and the single-centre study was excluded.</w:t>
      </w:r>
    </w:p>
    <w:p w14:paraId="0F98264A" w14:textId="0A3D9C6C" w:rsidR="00D63EC1" w:rsidRPr="00326791" w:rsidRDefault="00D63EC1" w:rsidP="008B291B">
      <w:pPr>
        <w:spacing w:line="480" w:lineRule="auto"/>
        <w:rPr>
          <w:sz w:val="24"/>
          <w:szCs w:val="24"/>
          <w:lang w:val="en-GB"/>
        </w:rPr>
      </w:pPr>
      <w:r w:rsidRPr="00326791">
        <w:rPr>
          <w:sz w:val="24"/>
          <w:szCs w:val="24"/>
          <w:lang w:val="en-GB"/>
        </w:rPr>
        <w:t xml:space="preserve">Selection of studies and data extraction </w:t>
      </w:r>
      <w:r w:rsidR="004B21A6">
        <w:rPr>
          <w:sz w:val="24"/>
          <w:szCs w:val="24"/>
          <w:lang w:val="en-GB"/>
        </w:rPr>
        <w:t>was</w:t>
      </w:r>
      <w:r w:rsidRPr="00326791">
        <w:rPr>
          <w:sz w:val="24"/>
          <w:szCs w:val="24"/>
          <w:lang w:val="en-GB"/>
        </w:rPr>
        <w:t xml:space="preserve"> </w:t>
      </w:r>
      <w:r w:rsidR="001D46AA">
        <w:rPr>
          <w:sz w:val="24"/>
          <w:szCs w:val="24"/>
          <w:lang w:val="en-GB"/>
        </w:rPr>
        <w:t>performed</w:t>
      </w:r>
      <w:r w:rsidRPr="00326791">
        <w:rPr>
          <w:sz w:val="24"/>
          <w:szCs w:val="24"/>
          <w:lang w:val="en-GB"/>
        </w:rPr>
        <w:t xml:space="preserve"> by one author (JE), and </w:t>
      </w:r>
      <w:r w:rsidR="00943EE3">
        <w:rPr>
          <w:sz w:val="24"/>
          <w:szCs w:val="24"/>
          <w:lang w:val="en-GB"/>
        </w:rPr>
        <w:t>i</w:t>
      </w:r>
      <w:r w:rsidR="00943EE3" w:rsidRPr="00943EE3">
        <w:rPr>
          <w:sz w:val="24"/>
          <w:szCs w:val="24"/>
          <w:lang w:val="en-GB"/>
        </w:rPr>
        <w:t>nter-reviewer agreement</w:t>
      </w:r>
      <w:r w:rsidR="00943EE3">
        <w:rPr>
          <w:sz w:val="24"/>
          <w:szCs w:val="24"/>
          <w:lang w:val="en-GB"/>
        </w:rPr>
        <w:t xml:space="preserve"> was utilised (including </w:t>
      </w:r>
      <w:r w:rsidRPr="00326791">
        <w:rPr>
          <w:sz w:val="24"/>
          <w:szCs w:val="24"/>
          <w:lang w:val="en-GB"/>
        </w:rPr>
        <w:t>two other authors</w:t>
      </w:r>
      <w:r w:rsidR="00943EE3">
        <w:rPr>
          <w:sz w:val="24"/>
          <w:szCs w:val="24"/>
          <w:lang w:val="en-GB"/>
        </w:rPr>
        <w:t xml:space="preserve">: </w:t>
      </w:r>
      <w:r w:rsidRPr="00326791">
        <w:rPr>
          <w:sz w:val="24"/>
          <w:szCs w:val="24"/>
          <w:lang w:val="en-GB"/>
        </w:rPr>
        <w:t>AL and J</w:t>
      </w:r>
      <w:r w:rsidR="00943EE3">
        <w:rPr>
          <w:sz w:val="24"/>
          <w:szCs w:val="24"/>
          <w:lang w:val="en-GB"/>
        </w:rPr>
        <w:t>W</w:t>
      </w:r>
      <w:r w:rsidRPr="00326791">
        <w:rPr>
          <w:sz w:val="24"/>
          <w:szCs w:val="24"/>
          <w:lang w:val="en-GB"/>
        </w:rPr>
        <w:t>V)</w:t>
      </w:r>
      <w:r w:rsidR="00943EE3">
        <w:rPr>
          <w:sz w:val="24"/>
          <w:szCs w:val="24"/>
          <w:lang w:val="en-GB"/>
        </w:rPr>
        <w:t xml:space="preserve">.  </w:t>
      </w:r>
      <w:r w:rsidR="00943EE3" w:rsidRPr="00943EE3">
        <w:rPr>
          <w:sz w:val="24"/>
          <w:szCs w:val="24"/>
          <w:lang w:val="en-GB"/>
        </w:rPr>
        <w:t>Disagreement was resolved by consensus</w:t>
      </w:r>
      <w:r w:rsidR="00943EE3">
        <w:rPr>
          <w:sz w:val="24"/>
          <w:szCs w:val="24"/>
          <w:lang w:val="en-GB"/>
        </w:rPr>
        <w:t xml:space="preserve"> (all </w:t>
      </w:r>
      <w:r w:rsidRPr="00326791">
        <w:rPr>
          <w:sz w:val="24"/>
          <w:szCs w:val="24"/>
          <w:lang w:val="en-GB"/>
        </w:rPr>
        <w:t>3 authors</w:t>
      </w:r>
      <w:r w:rsidR="00943EE3">
        <w:rPr>
          <w:sz w:val="24"/>
          <w:szCs w:val="24"/>
          <w:lang w:val="en-GB"/>
        </w:rPr>
        <w:t>)</w:t>
      </w:r>
      <w:r w:rsidRPr="00326791">
        <w:rPr>
          <w:sz w:val="24"/>
          <w:szCs w:val="24"/>
          <w:lang w:val="en-GB"/>
        </w:rPr>
        <w:t>.</w:t>
      </w:r>
    </w:p>
    <w:p w14:paraId="7E12117D" w14:textId="77777777" w:rsidR="008B291B" w:rsidRPr="00326791" w:rsidRDefault="008B291B" w:rsidP="008B291B">
      <w:pPr>
        <w:spacing w:line="480" w:lineRule="auto"/>
        <w:rPr>
          <w:i/>
          <w:sz w:val="24"/>
          <w:szCs w:val="24"/>
          <w:lang w:val="en-GB"/>
        </w:rPr>
      </w:pPr>
      <w:r w:rsidRPr="00326791">
        <w:rPr>
          <w:i/>
          <w:sz w:val="24"/>
          <w:szCs w:val="24"/>
          <w:lang w:val="en-GB"/>
        </w:rPr>
        <w:t>Data extraction and evaluation of the risk of bias</w:t>
      </w:r>
    </w:p>
    <w:p w14:paraId="1635F700" w14:textId="7A973D08" w:rsidR="008B291B" w:rsidRPr="00326791" w:rsidRDefault="008E5D27" w:rsidP="008E5D27">
      <w:pPr>
        <w:spacing w:line="480" w:lineRule="auto"/>
        <w:rPr>
          <w:sz w:val="24"/>
          <w:szCs w:val="24"/>
          <w:lang w:val="en-GB"/>
        </w:rPr>
      </w:pPr>
      <w:r w:rsidRPr="00AD70F1">
        <w:rPr>
          <w:sz w:val="24"/>
          <w:szCs w:val="24"/>
          <w:lang w:val="en-GB"/>
        </w:rPr>
        <w:t xml:space="preserve">The following items </w:t>
      </w:r>
      <w:r w:rsidRPr="00326791">
        <w:rPr>
          <w:sz w:val="24"/>
          <w:szCs w:val="24"/>
          <w:lang w:val="en-GB"/>
        </w:rPr>
        <w:t>were evaluated for</w:t>
      </w:r>
      <w:r w:rsidR="00D63EC1" w:rsidRPr="00326791">
        <w:rPr>
          <w:sz w:val="24"/>
          <w:szCs w:val="24"/>
          <w:lang w:val="en-GB"/>
        </w:rPr>
        <w:t xml:space="preserve"> risk of</w:t>
      </w:r>
      <w:r w:rsidRPr="00326791">
        <w:rPr>
          <w:sz w:val="24"/>
          <w:szCs w:val="24"/>
          <w:lang w:val="en-GB"/>
        </w:rPr>
        <w:t xml:space="preserve"> bias assessment: </w:t>
      </w:r>
      <w:r w:rsidR="003C5459" w:rsidRPr="00326791">
        <w:rPr>
          <w:sz w:val="24"/>
          <w:szCs w:val="24"/>
          <w:lang w:val="en-GB"/>
        </w:rPr>
        <w:t>1- s</w:t>
      </w:r>
      <w:r w:rsidRPr="00326791">
        <w:rPr>
          <w:sz w:val="24"/>
          <w:szCs w:val="24"/>
          <w:lang w:val="en-GB"/>
        </w:rPr>
        <w:t>tudy design</w:t>
      </w:r>
      <w:r w:rsidR="003C5459" w:rsidRPr="00326791">
        <w:rPr>
          <w:sz w:val="24"/>
          <w:szCs w:val="24"/>
          <w:lang w:val="en-GB"/>
        </w:rPr>
        <w:t>; 2-</w:t>
      </w:r>
      <w:r w:rsidR="00B1372E">
        <w:rPr>
          <w:sz w:val="24"/>
          <w:szCs w:val="24"/>
          <w:lang w:val="en-GB"/>
        </w:rPr>
        <w:t xml:space="preserve"> </w:t>
      </w:r>
      <w:r w:rsidR="002056DE" w:rsidRPr="00326791">
        <w:rPr>
          <w:sz w:val="24"/>
          <w:szCs w:val="24"/>
          <w:lang w:val="en-GB"/>
        </w:rPr>
        <w:t>d</w:t>
      </w:r>
      <w:r w:rsidRPr="00326791">
        <w:rPr>
          <w:sz w:val="24"/>
          <w:szCs w:val="24"/>
          <w:lang w:val="en-GB"/>
        </w:rPr>
        <w:t xml:space="preserve">efinition of </w:t>
      </w:r>
      <w:r w:rsidR="002056DE" w:rsidRPr="00326791">
        <w:rPr>
          <w:sz w:val="24"/>
          <w:szCs w:val="24"/>
          <w:lang w:val="en-GB"/>
        </w:rPr>
        <w:t xml:space="preserve">the </w:t>
      </w:r>
      <w:r w:rsidRPr="00326791">
        <w:rPr>
          <w:sz w:val="24"/>
          <w:szCs w:val="24"/>
          <w:lang w:val="en-GB"/>
        </w:rPr>
        <w:t>study population and</w:t>
      </w:r>
      <w:r w:rsidR="002056DE" w:rsidRPr="00326791">
        <w:rPr>
          <w:sz w:val="24"/>
          <w:szCs w:val="24"/>
          <w:lang w:val="en-GB"/>
        </w:rPr>
        <w:t xml:space="preserve"> definition</w:t>
      </w:r>
      <w:r w:rsidRPr="00326791">
        <w:rPr>
          <w:sz w:val="24"/>
          <w:szCs w:val="24"/>
          <w:lang w:val="en-GB"/>
        </w:rPr>
        <w:t xml:space="preserve"> of the intervention</w:t>
      </w:r>
      <w:r w:rsidR="003C5459" w:rsidRPr="00326791">
        <w:rPr>
          <w:sz w:val="24"/>
          <w:szCs w:val="24"/>
          <w:lang w:val="en-GB"/>
        </w:rPr>
        <w:t>;</w:t>
      </w:r>
      <w:r w:rsidRPr="00326791">
        <w:rPr>
          <w:sz w:val="24"/>
          <w:szCs w:val="24"/>
          <w:lang w:val="en-GB"/>
        </w:rPr>
        <w:t xml:space="preserve"> </w:t>
      </w:r>
      <w:r w:rsidR="002056DE" w:rsidRPr="00326791">
        <w:rPr>
          <w:sz w:val="24"/>
          <w:szCs w:val="24"/>
          <w:lang w:val="en-GB"/>
        </w:rPr>
        <w:t>3- e</w:t>
      </w:r>
      <w:r w:rsidRPr="00326791">
        <w:rPr>
          <w:sz w:val="24"/>
          <w:szCs w:val="24"/>
          <w:lang w:val="en-GB"/>
        </w:rPr>
        <w:t xml:space="preserve">xistence of an appropriate control: </w:t>
      </w:r>
      <w:r w:rsidR="003C5459" w:rsidRPr="00326791">
        <w:rPr>
          <w:sz w:val="24"/>
          <w:szCs w:val="24"/>
          <w:lang w:val="en-GB"/>
        </w:rPr>
        <w:t>and</w:t>
      </w:r>
      <w:r w:rsidRPr="00326791">
        <w:rPr>
          <w:sz w:val="24"/>
          <w:szCs w:val="24"/>
          <w:lang w:val="en-GB"/>
        </w:rPr>
        <w:t xml:space="preserve"> 4- </w:t>
      </w:r>
      <w:r w:rsidR="002056DE" w:rsidRPr="00326791">
        <w:rPr>
          <w:sz w:val="24"/>
          <w:szCs w:val="24"/>
          <w:lang w:val="en-GB"/>
        </w:rPr>
        <w:t>d</w:t>
      </w:r>
      <w:r w:rsidR="003C5459" w:rsidRPr="00326791">
        <w:rPr>
          <w:sz w:val="24"/>
          <w:szCs w:val="24"/>
          <w:lang w:val="en-GB"/>
        </w:rPr>
        <w:t xml:space="preserve">efinition of the outcomes (Supplementary table). </w:t>
      </w:r>
      <w:r w:rsidRPr="00326791">
        <w:rPr>
          <w:sz w:val="24"/>
          <w:szCs w:val="24"/>
          <w:lang w:val="en-GB"/>
        </w:rPr>
        <w:t>Each of these items was scored as low risk of bias, intermediate risk of bias</w:t>
      </w:r>
      <w:r w:rsidR="00D63EC1" w:rsidRPr="00326791">
        <w:rPr>
          <w:sz w:val="24"/>
          <w:szCs w:val="24"/>
          <w:lang w:val="en-GB"/>
        </w:rPr>
        <w:t xml:space="preserve"> or</w:t>
      </w:r>
      <w:r w:rsidRPr="00326791">
        <w:rPr>
          <w:sz w:val="24"/>
          <w:szCs w:val="24"/>
          <w:lang w:val="en-GB"/>
        </w:rPr>
        <w:t xml:space="preserve"> high risk of bias. Overall, a study was considered as low risk of bias if at least 2 of the items were classified as low risk, and no high risk item </w:t>
      </w:r>
      <w:r w:rsidR="00D63EC1" w:rsidRPr="00326791">
        <w:rPr>
          <w:sz w:val="24"/>
          <w:szCs w:val="24"/>
          <w:lang w:val="en-GB"/>
        </w:rPr>
        <w:t>wa</w:t>
      </w:r>
      <w:r w:rsidRPr="00326791">
        <w:rPr>
          <w:sz w:val="24"/>
          <w:szCs w:val="24"/>
          <w:lang w:val="en-GB"/>
        </w:rPr>
        <w:t>s present; it was considered as high risk of bias if at least 2 of the items were classified as high risk of bias; and was considered as intermediate risk in the other situations.</w:t>
      </w:r>
      <w:r w:rsidR="003A2091" w:rsidRPr="00326791">
        <w:rPr>
          <w:sz w:val="24"/>
          <w:szCs w:val="24"/>
          <w:lang w:val="en-GB"/>
        </w:rPr>
        <w:t xml:space="preserve"> </w:t>
      </w:r>
      <w:r w:rsidR="009E2030" w:rsidRPr="00326791">
        <w:rPr>
          <w:sz w:val="24"/>
          <w:szCs w:val="24"/>
          <w:lang w:val="en-GB"/>
        </w:rPr>
        <w:t>If a study was available only in</w:t>
      </w:r>
      <w:r w:rsidR="003A2091" w:rsidRPr="00326791">
        <w:rPr>
          <w:sz w:val="24"/>
          <w:szCs w:val="24"/>
          <w:lang w:val="en-GB"/>
        </w:rPr>
        <w:t xml:space="preserve"> abstract</w:t>
      </w:r>
      <w:r w:rsidR="009E2030" w:rsidRPr="00326791">
        <w:rPr>
          <w:sz w:val="24"/>
          <w:szCs w:val="24"/>
          <w:lang w:val="en-GB"/>
        </w:rPr>
        <w:t xml:space="preserve"> form</w:t>
      </w:r>
      <w:r w:rsidR="003A2091" w:rsidRPr="00326791">
        <w:rPr>
          <w:sz w:val="24"/>
          <w:szCs w:val="24"/>
          <w:lang w:val="en-GB"/>
        </w:rPr>
        <w:t>, its</w:t>
      </w:r>
      <w:r w:rsidR="009E2030" w:rsidRPr="00326791">
        <w:rPr>
          <w:sz w:val="24"/>
          <w:szCs w:val="24"/>
          <w:lang w:val="en-GB"/>
        </w:rPr>
        <w:t xml:space="preserve"> risk of bias was increased by one</w:t>
      </w:r>
      <w:r w:rsidR="003A2091" w:rsidRPr="00326791">
        <w:rPr>
          <w:sz w:val="24"/>
          <w:szCs w:val="24"/>
          <w:lang w:val="en-GB"/>
        </w:rPr>
        <w:t xml:space="preserve"> level.</w:t>
      </w:r>
    </w:p>
    <w:p w14:paraId="5B90B7A8" w14:textId="2A918DAD" w:rsidR="002B146F" w:rsidRDefault="002B146F" w:rsidP="008E5D27">
      <w:pPr>
        <w:spacing w:line="480" w:lineRule="auto"/>
        <w:rPr>
          <w:i/>
          <w:sz w:val="24"/>
          <w:szCs w:val="24"/>
          <w:lang w:val="en-GB"/>
        </w:rPr>
      </w:pPr>
      <w:r w:rsidRPr="00326791">
        <w:rPr>
          <w:i/>
          <w:sz w:val="24"/>
          <w:szCs w:val="24"/>
          <w:lang w:val="en-GB"/>
        </w:rPr>
        <w:t>Pooled description of study design and included patient population</w:t>
      </w:r>
    </w:p>
    <w:p w14:paraId="2CF4EF47" w14:textId="4037FB31" w:rsidR="004476DA" w:rsidRPr="004476DA" w:rsidRDefault="004476DA" w:rsidP="004476DA">
      <w:pPr>
        <w:spacing w:line="480" w:lineRule="auto"/>
        <w:rPr>
          <w:sz w:val="24"/>
          <w:szCs w:val="24"/>
          <w:lang w:val="en-GB"/>
        </w:rPr>
      </w:pPr>
      <w:r w:rsidRPr="004476DA">
        <w:rPr>
          <w:sz w:val="24"/>
          <w:szCs w:val="24"/>
          <w:lang w:val="en-GB"/>
        </w:rPr>
        <w:t>The following data will be collected from articles</w:t>
      </w:r>
      <w:r>
        <w:rPr>
          <w:sz w:val="24"/>
          <w:szCs w:val="24"/>
          <w:lang w:val="en-GB"/>
        </w:rPr>
        <w:t xml:space="preserve"> and pooled overall and for each LRT</w:t>
      </w:r>
      <w:r w:rsidRPr="004476DA">
        <w:rPr>
          <w:sz w:val="24"/>
          <w:szCs w:val="24"/>
          <w:lang w:val="en-GB"/>
        </w:rPr>
        <w:t>:</w:t>
      </w:r>
      <w:r>
        <w:rPr>
          <w:sz w:val="24"/>
          <w:szCs w:val="24"/>
          <w:lang w:val="en-GB"/>
        </w:rPr>
        <w:t xml:space="preserve"> </w:t>
      </w:r>
      <w:r w:rsidR="003A3234">
        <w:rPr>
          <w:sz w:val="24"/>
          <w:szCs w:val="24"/>
          <w:lang w:val="en-GB"/>
        </w:rPr>
        <w:t xml:space="preserve"> s</w:t>
      </w:r>
      <w:r w:rsidRPr="004476DA">
        <w:rPr>
          <w:sz w:val="24"/>
          <w:szCs w:val="24"/>
          <w:lang w:val="en-GB"/>
        </w:rPr>
        <w:t>tudy characteristics</w:t>
      </w:r>
      <w:r>
        <w:rPr>
          <w:sz w:val="24"/>
          <w:szCs w:val="24"/>
          <w:lang w:val="en-GB"/>
        </w:rPr>
        <w:t xml:space="preserve"> </w:t>
      </w:r>
      <w:r w:rsidR="003A3234">
        <w:rPr>
          <w:sz w:val="24"/>
          <w:szCs w:val="24"/>
          <w:lang w:val="en-GB"/>
        </w:rPr>
        <w:t>(</w:t>
      </w:r>
      <w:r>
        <w:rPr>
          <w:sz w:val="24"/>
          <w:szCs w:val="24"/>
          <w:lang w:val="en-GB"/>
        </w:rPr>
        <w:t>prospective vs retrospective</w:t>
      </w:r>
      <w:r w:rsidRPr="004476DA">
        <w:rPr>
          <w:sz w:val="24"/>
          <w:szCs w:val="24"/>
          <w:lang w:val="en-GB"/>
        </w:rPr>
        <w:t>, number of patients</w:t>
      </w:r>
      <w:r>
        <w:rPr>
          <w:sz w:val="24"/>
          <w:szCs w:val="24"/>
          <w:lang w:val="en-GB"/>
        </w:rPr>
        <w:t>, existence of a control group</w:t>
      </w:r>
      <w:r w:rsidR="003A3234">
        <w:rPr>
          <w:sz w:val="24"/>
          <w:szCs w:val="24"/>
          <w:lang w:val="en-GB"/>
        </w:rPr>
        <w:t>)</w:t>
      </w:r>
      <w:r>
        <w:rPr>
          <w:sz w:val="24"/>
          <w:szCs w:val="24"/>
          <w:lang w:val="en-GB"/>
        </w:rPr>
        <w:t>,</w:t>
      </w:r>
      <w:r w:rsidRPr="004476DA">
        <w:rPr>
          <w:sz w:val="24"/>
          <w:szCs w:val="24"/>
          <w:lang w:val="en-GB"/>
        </w:rPr>
        <w:t xml:space="preserve"> </w:t>
      </w:r>
      <w:r>
        <w:rPr>
          <w:sz w:val="24"/>
          <w:szCs w:val="24"/>
          <w:lang w:val="en-GB"/>
        </w:rPr>
        <w:t>p</w:t>
      </w:r>
      <w:r w:rsidRPr="004476DA">
        <w:rPr>
          <w:sz w:val="24"/>
          <w:szCs w:val="24"/>
          <w:lang w:val="en-GB"/>
        </w:rPr>
        <w:t>atients demographics</w:t>
      </w:r>
      <w:r>
        <w:rPr>
          <w:sz w:val="24"/>
          <w:szCs w:val="24"/>
          <w:lang w:val="en-GB"/>
        </w:rPr>
        <w:t>,</w:t>
      </w:r>
      <w:r w:rsidRPr="004476DA">
        <w:rPr>
          <w:sz w:val="24"/>
          <w:szCs w:val="24"/>
          <w:lang w:val="en-GB"/>
        </w:rPr>
        <w:t xml:space="preserve"> presence of cirrhosis, performance status</w:t>
      </w:r>
      <w:r>
        <w:rPr>
          <w:sz w:val="24"/>
          <w:szCs w:val="24"/>
          <w:lang w:val="en-GB"/>
        </w:rPr>
        <w:t>,</w:t>
      </w:r>
      <w:r w:rsidRPr="004476DA">
        <w:rPr>
          <w:sz w:val="24"/>
          <w:szCs w:val="24"/>
          <w:lang w:val="en-GB"/>
        </w:rPr>
        <w:t xml:space="preserve"> </w:t>
      </w:r>
      <w:r>
        <w:rPr>
          <w:sz w:val="24"/>
          <w:szCs w:val="24"/>
          <w:lang w:val="en-GB"/>
        </w:rPr>
        <w:t>p</w:t>
      </w:r>
      <w:r w:rsidRPr="004476DA">
        <w:rPr>
          <w:sz w:val="24"/>
          <w:szCs w:val="24"/>
          <w:lang w:val="en-GB"/>
        </w:rPr>
        <w:t>revious treatment</w:t>
      </w:r>
      <w:r>
        <w:rPr>
          <w:sz w:val="24"/>
          <w:szCs w:val="24"/>
          <w:lang w:val="en-GB"/>
        </w:rPr>
        <w:t xml:space="preserve"> (chemotherapy, surgery, biliary drainage), e</w:t>
      </w:r>
      <w:r w:rsidRPr="004476DA">
        <w:rPr>
          <w:sz w:val="24"/>
          <w:szCs w:val="24"/>
          <w:lang w:val="en-GB"/>
        </w:rPr>
        <w:t xml:space="preserve">xtent of the disease </w:t>
      </w:r>
      <w:r>
        <w:rPr>
          <w:sz w:val="24"/>
          <w:szCs w:val="24"/>
          <w:lang w:val="en-GB"/>
        </w:rPr>
        <w:t>(</w:t>
      </w:r>
      <w:r w:rsidRPr="004476DA">
        <w:rPr>
          <w:sz w:val="24"/>
          <w:szCs w:val="24"/>
          <w:lang w:val="en-GB"/>
        </w:rPr>
        <w:t xml:space="preserve">unilobar vs </w:t>
      </w:r>
      <w:r>
        <w:rPr>
          <w:sz w:val="24"/>
          <w:szCs w:val="24"/>
          <w:lang w:val="en-GB"/>
        </w:rPr>
        <w:t xml:space="preserve">bilobar; </w:t>
      </w:r>
      <w:proofErr w:type="spellStart"/>
      <w:r>
        <w:rPr>
          <w:sz w:val="24"/>
          <w:szCs w:val="24"/>
          <w:lang w:val="en-GB"/>
        </w:rPr>
        <w:t>unifocal</w:t>
      </w:r>
      <w:proofErr w:type="spellEnd"/>
      <w:r>
        <w:rPr>
          <w:sz w:val="24"/>
          <w:szCs w:val="24"/>
          <w:lang w:val="en-GB"/>
        </w:rPr>
        <w:t xml:space="preserve"> vs multifocal;</w:t>
      </w:r>
      <w:r w:rsidRPr="004476DA">
        <w:rPr>
          <w:sz w:val="24"/>
          <w:szCs w:val="24"/>
          <w:lang w:val="en-GB"/>
        </w:rPr>
        <w:t xml:space="preserve"> portal vein invasion; extra-hepatic spread; presence of lymph </w:t>
      </w:r>
      <w:r w:rsidRPr="004476DA">
        <w:rPr>
          <w:sz w:val="24"/>
          <w:szCs w:val="24"/>
          <w:lang w:val="en-GB"/>
        </w:rPr>
        <w:lastRenderedPageBreak/>
        <w:t>nodes or visceral metastases</w:t>
      </w:r>
      <w:r>
        <w:rPr>
          <w:sz w:val="24"/>
          <w:szCs w:val="24"/>
          <w:lang w:val="en-GB"/>
        </w:rPr>
        <w:t>);</w:t>
      </w:r>
      <w:r w:rsidRPr="004476DA">
        <w:rPr>
          <w:sz w:val="24"/>
          <w:szCs w:val="24"/>
          <w:lang w:val="en-GB"/>
        </w:rPr>
        <w:t xml:space="preserve"> </w:t>
      </w:r>
      <w:r>
        <w:rPr>
          <w:sz w:val="24"/>
          <w:szCs w:val="24"/>
          <w:lang w:val="en-GB"/>
        </w:rPr>
        <w:t>characteristics of the treatment</w:t>
      </w:r>
      <w:r w:rsidRPr="004476DA">
        <w:rPr>
          <w:sz w:val="24"/>
          <w:szCs w:val="24"/>
          <w:lang w:val="en-GB"/>
        </w:rPr>
        <w:t xml:space="preserve"> </w:t>
      </w:r>
      <w:r>
        <w:rPr>
          <w:sz w:val="24"/>
          <w:szCs w:val="24"/>
          <w:lang w:val="en-GB"/>
        </w:rPr>
        <w:t>(including use</w:t>
      </w:r>
      <w:r w:rsidRPr="004476DA">
        <w:rPr>
          <w:sz w:val="24"/>
          <w:szCs w:val="24"/>
          <w:lang w:val="en-GB"/>
        </w:rPr>
        <w:t xml:space="preserve"> of co</w:t>
      </w:r>
      <w:r>
        <w:rPr>
          <w:sz w:val="24"/>
          <w:szCs w:val="24"/>
          <w:lang w:val="en-GB"/>
        </w:rPr>
        <w:t>ncomitant systemic chemotherapy); outcomes as previously described</w:t>
      </w:r>
      <w:r w:rsidRPr="004476DA">
        <w:rPr>
          <w:sz w:val="24"/>
          <w:szCs w:val="24"/>
          <w:lang w:val="en-GB"/>
        </w:rPr>
        <w:t>.</w:t>
      </w:r>
      <w:r w:rsidR="003A3234">
        <w:rPr>
          <w:sz w:val="24"/>
          <w:szCs w:val="24"/>
          <w:lang w:val="en-GB"/>
        </w:rPr>
        <w:t xml:space="preserve"> As s</w:t>
      </w:r>
      <w:r w:rsidR="00A141DE">
        <w:rPr>
          <w:sz w:val="24"/>
          <w:szCs w:val="24"/>
          <w:lang w:val="en-GB"/>
        </w:rPr>
        <w:t>ome studies included more than one cohort</w:t>
      </w:r>
      <w:r w:rsidR="003A3234">
        <w:rPr>
          <w:sz w:val="24"/>
          <w:szCs w:val="24"/>
          <w:lang w:val="en-GB"/>
        </w:rPr>
        <w:t xml:space="preserve"> of patients </w:t>
      </w:r>
      <w:r w:rsidR="00A141DE">
        <w:rPr>
          <w:sz w:val="24"/>
          <w:szCs w:val="24"/>
          <w:lang w:val="en-GB"/>
        </w:rPr>
        <w:t xml:space="preserve">(either </w:t>
      </w:r>
      <w:r w:rsidR="003A3234">
        <w:rPr>
          <w:sz w:val="24"/>
          <w:szCs w:val="24"/>
          <w:lang w:val="en-GB"/>
        </w:rPr>
        <w:t>treated with different LRT or corresponding to</w:t>
      </w:r>
      <w:r w:rsidR="00A141DE">
        <w:rPr>
          <w:sz w:val="24"/>
          <w:szCs w:val="24"/>
          <w:lang w:val="en-GB"/>
        </w:rPr>
        <w:t xml:space="preserve"> a</w:t>
      </w:r>
      <w:r w:rsidR="003A3234">
        <w:rPr>
          <w:sz w:val="24"/>
          <w:szCs w:val="24"/>
          <w:lang w:val="en-GB"/>
        </w:rPr>
        <w:t xml:space="preserve"> different population</w:t>
      </w:r>
      <w:r w:rsidR="00A141DE">
        <w:rPr>
          <w:sz w:val="24"/>
          <w:szCs w:val="24"/>
          <w:lang w:val="en-GB"/>
        </w:rPr>
        <w:t>)</w:t>
      </w:r>
      <w:r w:rsidR="003A3234">
        <w:rPr>
          <w:sz w:val="24"/>
          <w:szCs w:val="24"/>
          <w:lang w:val="en-GB"/>
        </w:rPr>
        <w:t>, descriptive analysis of the design of the studies were presented per study, while descriptive analysis of the population included were presented per cohorts.</w:t>
      </w:r>
    </w:p>
    <w:p w14:paraId="2F5187F4" w14:textId="1B9B5F60" w:rsidR="008E5D27" w:rsidRPr="00326791" w:rsidRDefault="008E5D27" w:rsidP="008E5D27">
      <w:pPr>
        <w:spacing w:line="480" w:lineRule="auto"/>
        <w:rPr>
          <w:i/>
          <w:sz w:val="24"/>
          <w:szCs w:val="24"/>
          <w:lang w:val="en-GB"/>
        </w:rPr>
      </w:pPr>
      <w:r w:rsidRPr="00AD70F1">
        <w:rPr>
          <w:i/>
          <w:sz w:val="24"/>
          <w:szCs w:val="24"/>
          <w:lang w:val="en-GB"/>
        </w:rPr>
        <w:t>Statistical analysis</w:t>
      </w:r>
      <w:r w:rsidR="002B146F" w:rsidRPr="00326791">
        <w:rPr>
          <w:i/>
          <w:sz w:val="24"/>
          <w:szCs w:val="24"/>
          <w:lang w:val="en-GB"/>
        </w:rPr>
        <w:t>: pooled outcomes and meta-analyses</w:t>
      </w:r>
    </w:p>
    <w:p w14:paraId="5FDEFF7D" w14:textId="32F6422B" w:rsidR="008E5D27" w:rsidRPr="00326791" w:rsidRDefault="008E5D27" w:rsidP="008E5D27">
      <w:pPr>
        <w:spacing w:line="480" w:lineRule="auto"/>
        <w:rPr>
          <w:sz w:val="24"/>
          <w:szCs w:val="24"/>
          <w:lang w:val="en-GB"/>
        </w:rPr>
      </w:pPr>
      <w:r w:rsidRPr="00326791">
        <w:rPr>
          <w:sz w:val="24"/>
          <w:szCs w:val="24"/>
          <w:lang w:val="en-GB"/>
        </w:rPr>
        <w:t xml:space="preserve">Outcome data analyses were performed for each subtype of </w:t>
      </w:r>
      <w:r w:rsidR="002056DE" w:rsidRPr="00326791">
        <w:rPr>
          <w:sz w:val="24"/>
          <w:szCs w:val="24"/>
          <w:lang w:val="en-GB"/>
        </w:rPr>
        <w:t xml:space="preserve">LRT </w:t>
      </w:r>
      <w:r w:rsidRPr="00326791">
        <w:rPr>
          <w:sz w:val="24"/>
          <w:szCs w:val="24"/>
          <w:lang w:val="en-GB"/>
        </w:rPr>
        <w:t>separately; in addition, outcome data jointly for</w:t>
      </w:r>
      <w:r w:rsidR="009E2030" w:rsidRPr="00326791">
        <w:rPr>
          <w:sz w:val="24"/>
          <w:szCs w:val="24"/>
          <w:lang w:val="en-GB"/>
        </w:rPr>
        <w:t xml:space="preserve"> IAT</w:t>
      </w:r>
      <w:r w:rsidRPr="00326791">
        <w:rPr>
          <w:sz w:val="24"/>
          <w:szCs w:val="24"/>
          <w:lang w:val="en-GB"/>
        </w:rPr>
        <w:t xml:space="preserve"> </w:t>
      </w:r>
      <w:r w:rsidR="009E2030" w:rsidRPr="00326791">
        <w:rPr>
          <w:sz w:val="24"/>
          <w:szCs w:val="24"/>
          <w:lang w:val="en-GB"/>
        </w:rPr>
        <w:t>(</w:t>
      </w:r>
      <w:r w:rsidRPr="00326791">
        <w:rPr>
          <w:sz w:val="24"/>
          <w:szCs w:val="24"/>
          <w:lang w:val="en-GB"/>
        </w:rPr>
        <w:t>SIRT, TACE and HAI</w:t>
      </w:r>
      <w:r w:rsidR="009E2030" w:rsidRPr="00326791">
        <w:rPr>
          <w:sz w:val="24"/>
          <w:szCs w:val="24"/>
          <w:lang w:val="en-GB"/>
        </w:rPr>
        <w:t>)</w:t>
      </w:r>
      <w:r w:rsidRPr="00326791">
        <w:rPr>
          <w:sz w:val="24"/>
          <w:szCs w:val="24"/>
          <w:lang w:val="en-GB"/>
        </w:rPr>
        <w:t xml:space="preserve"> </w:t>
      </w:r>
      <w:r w:rsidR="00A07F98">
        <w:rPr>
          <w:sz w:val="24"/>
          <w:szCs w:val="24"/>
          <w:lang w:val="en-GB"/>
        </w:rPr>
        <w:t>were</w:t>
      </w:r>
      <w:r w:rsidR="00A07F98" w:rsidRPr="00326791">
        <w:rPr>
          <w:sz w:val="24"/>
          <w:szCs w:val="24"/>
          <w:lang w:val="en-GB"/>
        </w:rPr>
        <w:t xml:space="preserve"> </w:t>
      </w:r>
      <w:r w:rsidRPr="00326791">
        <w:rPr>
          <w:sz w:val="24"/>
          <w:szCs w:val="24"/>
          <w:lang w:val="en-GB"/>
        </w:rPr>
        <w:t>also analysed.</w:t>
      </w:r>
      <w:r w:rsidR="002056DE" w:rsidRPr="00326791">
        <w:rPr>
          <w:sz w:val="24"/>
          <w:szCs w:val="24"/>
          <w:lang w:val="en-GB"/>
        </w:rPr>
        <w:t xml:space="preserve"> </w:t>
      </w:r>
      <w:r w:rsidR="004476DA">
        <w:rPr>
          <w:sz w:val="24"/>
          <w:szCs w:val="24"/>
          <w:lang w:val="en-GB"/>
        </w:rPr>
        <w:t>Studies using a combination of 2 LRT in the same cohort of patients were not pooled</w:t>
      </w:r>
      <w:r w:rsidR="003A3234">
        <w:rPr>
          <w:sz w:val="24"/>
          <w:szCs w:val="24"/>
          <w:lang w:val="en-GB"/>
        </w:rPr>
        <w:t>, but results are presented in the descriptive analysis</w:t>
      </w:r>
      <w:r w:rsidR="004476DA">
        <w:rPr>
          <w:sz w:val="24"/>
          <w:szCs w:val="24"/>
          <w:lang w:val="en-GB"/>
        </w:rPr>
        <w:t xml:space="preserve">. </w:t>
      </w:r>
      <w:r w:rsidRPr="00326791">
        <w:rPr>
          <w:sz w:val="24"/>
          <w:szCs w:val="24"/>
          <w:lang w:val="en-GB"/>
        </w:rPr>
        <w:t>Statistical analysis was performed using STATA v.12 software</w:t>
      </w:r>
      <w:r w:rsidR="00A07F98">
        <w:rPr>
          <w:sz w:val="24"/>
          <w:szCs w:val="24"/>
          <w:lang w:val="en-GB"/>
        </w:rPr>
        <w:t xml:space="preserve"> </w:t>
      </w:r>
      <w:r w:rsidR="00A07F98" w:rsidRPr="00AE48B6">
        <w:rPr>
          <w:rFonts w:ascii="Arial" w:hAnsi="Arial" w:cs="Arial"/>
          <w:lang w:val="en-US"/>
        </w:rPr>
        <w:t>(Stata corporation, College Station, TX, USA)</w:t>
      </w:r>
      <w:r w:rsidRPr="00326791">
        <w:rPr>
          <w:sz w:val="24"/>
          <w:szCs w:val="24"/>
          <w:lang w:val="en-GB"/>
        </w:rPr>
        <w:t xml:space="preserve">. </w:t>
      </w:r>
      <w:r w:rsidR="00FF67FF" w:rsidRPr="00326791">
        <w:rPr>
          <w:sz w:val="24"/>
          <w:szCs w:val="24"/>
          <w:lang w:val="en-GB"/>
        </w:rPr>
        <w:t>Meta-analysis of proportions was used for estimation of pooled weighted frequency (percentage (%)) (</w:t>
      </w:r>
      <w:proofErr w:type="spellStart"/>
      <w:r w:rsidR="00FF67FF" w:rsidRPr="00326791">
        <w:rPr>
          <w:sz w:val="24"/>
          <w:szCs w:val="24"/>
          <w:lang w:val="en-GB"/>
        </w:rPr>
        <w:t>metaprop</w:t>
      </w:r>
      <w:proofErr w:type="spellEnd"/>
      <w:r w:rsidR="00FF67FF" w:rsidRPr="00326791">
        <w:rPr>
          <w:sz w:val="24"/>
          <w:szCs w:val="24"/>
          <w:lang w:val="en-GB"/>
        </w:rPr>
        <w:t xml:space="preserve"> command, Stata v.12), employing random effects model, rather than fixed effects model, since heterogeneity between studies was expected to be present.  Heterogeneity, in the form of the inconsistency (I</w:t>
      </w:r>
      <w:r w:rsidR="00FF67FF" w:rsidRPr="00AE48B6">
        <w:rPr>
          <w:sz w:val="24"/>
          <w:szCs w:val="24"/>
          <w:vertAlign w:val="superscript"/>
          <w:lang w:val="en-GB"/>
        </w:rPr>
        <w:t>2</w:t>
      </w:r>
      <w:r w:rsidR="00FF67FF" w:rsidRPr="00326791">
        <w:rPr>
          <w:sz w:val="24"/>
          <w:szCs w:val="24"/>
          <w:lang w:val="en-GB"/>
        </w:rPr>
        <w:t xml:space="preserve"> index) and p-value, was also reported; a statistically significant p-value &lt;0.05 </w:t>
      </w:r>
      <w:r w:rsidR="00FF67FF">
        <w:rPr>
          <w:sz w:val="24"/>
          <w:szCs w:val="24"/>
          <w:lang w:val="en-GB"/>
        </w:rPr>
        <w:t xml:space="preserve">being </w:t>
      </w:r>
      <w:r w:rsidR="00FF67FF" w:rsidRPr="00326791">
        <w:rPr>
          <w:sz w:val="24"/>
          <w:szCs w:val="24"/>
          <w:lang w:val="en-GB"/>
        </w:rPr>
        <w:t>indicat</w:t>
      </w:r>
      <w:r w:rsidR="00FF67FF">
        <w:rPr>
          <w:sz w:val="24"/>
          <w:szCs w:val="24"/>
          <w:lang w:val="en-GB"/>
        </w:rPr>
        <w:t>ive of</w:t>
      </w:r>
      <w:r w:rsidR="00FF67FF" w:rsidRPr="00326791">
        <w:rPr>
          <w:sz w:val="24"/>
          <w:szCs w:val="24"/>
          <w:lang w:val="en-GB"/>
        </w:rPr>
        <w:t xml:space="preserve"> a problem with heterogeneity. </w:t>
      </w:r>
      <w:r w:rsidR="00FF67FF">
        <w:rPr>
          <w:sz w:val="24"/>
          <w:szCs w:val="24"/>
          <w:lang w:val="en-GB"/>
        </w:rPr>
        <w:t xml:space="preserve">This </w:t>
      </w:r>
      <w:r w:rsidR="00FF67FF" w:rsidRPr="00326791">
        <w:rPr>
          <w:sz w:val="24"/>
          <w:szCs w:val="24"/>
          <w:lang w:val="en-GB"/>
        </w:rPr>
        <w:t>approach was used for calculation of pooled response rate, pooled complete response rate and pooled disease control rate using the number of response-evaluable patients in each study as the denominator. For the calculation of pooled secondary resection rate, the number of patients in each stu</w:t>
      </w:r>
      <w:r w:rsidR="00FF67FF">
        <w:rPr>
          <w:sz w:val="24"/>
          <w:szCs w:val="24"/>
          <w:lang w:val="en-GB"/>
        </w:rPr>
        <w:t xml:space="preserve">dy was used as the denominator. </w:t>
      </w:r>
      <w:r w:rsidRPr="00326791">
        <w:rPr>
          <w:sz w:val="24"/>
          <w:szCs w:val="24"/>
          <w:lang w:val="en-GB"/>
        </w:rPr>
        <w:t xml:space="preserve">Pooled weighted mean and 95% CI were calculated for </w:t>
      </w:r>
      <w:r w:rsidR="004476DA">
        <w:rPr>
          <w:sz w:val="24"/>
          <w:szCs w:val="24"/>
          <w:lang w:val="en-GB"/>
        </w:rPr>
        <w:t>PFS,</w:t>
      </w:r>
      <w:r w:rsidR="004476DA" w:rsidRPr="00326791">
        <w:rPr>
          <w:sz w:val="24"/>
          <w:szCs w:val="24"/>
          <w:lang w:val="en-GB"/>
        </w:rPr>
        <w:t xml:space="preserve"> liver PFS</w:t>
      </w:r>
      <w:r w:rsidR="004476DA">
        <w:rPr>
          <w:sz w:val="24"/>
          <w:szCs w:val="24"/>
          <w:lang w:val="en-GB"/>
        </w:rPr>
        <w:t xml:space="preserve"> and </w:t>
      </w:r>
      <w:r w:rsidRPr="00326791">
        <w:rPr>
          <w:sz w:val="24"/>
          <w:szCs w:val="24"/>
          <w:lang w:val="en-GB"/>
        </w:rPr>
        <w:t xml:space="preserve">OS, weighted according to the number of patients with </w:t>
      </w:r>
      <w:proofErr w:type="spellStart"/>
      <w:r w:rsidR="004B21A6">
        <w:rPr>
          <w:sz w:val="24"/>
          <w:szCs w:val="24"/>
          <w:lang w:val="en-GB"/>
        </w:rPr>
        <w:t>i</w:t>
      </w:r>
      <w:r w:rsidRPr="00326791">
        <w:rPr>
          <w:sz w:val="24"/>
          <w:szCs w:val="24"/>
          <w:lang w:val="en-GB"/>
        </w:rPr>
        <w:t>CC</w:t>
      </w:r>
      <w:proofErr w:type="spellEnd"/>
      <w:r w:rsidRPr="00326791">
        <w:rPr>
          <w:sz w:val="24"/>
          <w:szCs w:val="24"/>
          <w:lang w:val="en-GB"/>
        </w:rPr>
        <w:t xml:space="preserve"> included in each study (analytical weighting). </w:t>
      </w:r>
      <w:r w:rsidR="004B21A6">
        <w:rPr>
          <w:sz w:val="24"/>
          <w:szCs w:val="24"/>
          <w:lang w:val="en-GB"/>
        </w:rPr>
        <w:t>The s</w:t>
      </w:r>
      <w:r w:rsidRPr="00326791">
        <w:rPr>
          <w:sz w:val="24"/>
          <w:szCs w:val="24"/>
          <w:lang w:val="en-GB"/>
        </w:rPr>
        <w:t xml:space="preserve">ame approach was used for calculation of pooled weighted mean and 95% CI for 2-year control rate for EBRT and ablation groups. </w:t>
      </w:r>
    </w:p>
    <w:p w14:paraId="4F209FC2" w14:textId="03770D80" w:rsidR="00443B09" w:rsidRPr="00AD70F1" w:rsidRDefault="008E5D27" w:rsidP="009E2030">
      <w:pPr>
        <w:spacing w:line="480" w:lineRule="auto"/>
        <w:rPr>
          <w:sz w:val="24"/>
          <w:szCs w:val="24"/>
          <w:lang w:val="en-GB"/>
        </w:rPr>
      </w:pPr>
      <w:r w:rsidRPr="00326791">
        <w:rPr>
          <w:sz w:val="24"/>
          <w:szCs w:val="24"/>
          <w:lang w:val="en-GB"/>
        </w:rPr>
        <w:lastRenderedPageBreak/>
        <w:t xml:space="preserve">Subgroup analyses for data on patients </w:t>
      </w:r>
      <w:r w:rsidR="009E2030" w:rsidRPr="00AE48B6">
        <w:rPr>
          <w:rFonts w:cs="Calibri"/>
          <w:sz w:val="24"/>
          <w:szCs w:val="24"/>
          <w:lang w:val="en-GB"/>
        </w:rPr>
        <w:t xml:space="preserve">with liver-only disease, patients treated without previous systemic chemotherapy, and patients treated with concomitant chemotherapy were </w:t>
      </w:r>
      <w:r w:rsidR="0061778B">
        <w:rPr>
          <w:rFonts w:cs="Calibri"/>
          <w:sz w:val="24"/>
          <w:szCs w:val="24"/>
          <w:lang w:val="en-GB"/>
        </w:rPr>
        <w:t xml:space="preserve">initially </w:t>
      </w:r>
      <w:r w:rsidR="00A07F98">
        <w:rPr>
          <w:rFonts w:cs="Calibri"/>
          <w:sz w:val="24"/>
          <w:szCs w:val="24"/>
          <w:lang w:val="en-GB"/>
        </w:rPr>
        <w:t>p</w:t>
      </w:r>
      <w:r w:rsidR="0061778B">
        <w:rPr>
          <w:rFonts w:cs="Calibri"/>
          <w:sz w:val="24"/>
          <w:szCs w:val="24"/>
          <w:lang w:val="en-GB"/>
        </w:rPr>
        <w:t>lanned</w:t>
      </w:r>
      <w:r w:rsidR="009E2030" w:rsidRPr="00AE48B6">
        <w:rPr>
          <w:rFonts w:cs="Calibri"/>
          <w:sz w:val="24"/>
          <w:szCs w:val="24"/>
          <w:lang w:val="en-GB"/>
        </w:rPr>
        <w:t xml:space="preserve">. </w:t>
      </w:r>
      <w:r w:rsidR="00443B09" w:rsidRPr="00AD70F1">
        <w:rPr>
          <w:sz w:val="24"/>
          <w:szCs w:val="24"/>
          <w:lang w:val="en-GB"/>
        </w:rPr>
        <w:br w:type="page"/>
      </w:r>
    </w:p>
    <w:p w14:paraId="319DB024" w14:textId="77777777" w:rsidR="00443B09" w:rsidRPr="00326791" w:rsidRDefault="00443B09" w:rsidP="008E5D27">
      <w:pPr>
        <w:spacing w:line="480" w:lineRule="auto"/>
        <w:rPr>
          <w:b/>
          <w:sz w:val="24"/>
          <w:szCs w:val="24"/>
          <w:lang w:val="en-GB"/>
        </w:rPr>
      </w:pPr>
      <w:r w:rsidRPr="00AD70F1">
        <w:rPr>
          <w:b/>
          <w:sz w:val="24"/>
          <w:szCs w:val="24"/>
          <w:lang w:val="en-GB"/>
        </w:rPr>
        <w:lastRenderedPageBreak/>
        <w:t>Results</w:t>
      </w:r>
    </w:p>
    <w:p w14:paraId="097B26AE" w14:textId="77777777" w:rsidR="00443B09" w:rsidRPr="00326791" w:rsidRDefault="008D461F" w:rsidP="008E5D27">
      <w:pPr>
        <w:spacing w:line="480" w:lineRule="auto"/>
        <w:rPr>
          <w:i/>
          <w:sz w:val="24"/>
          <w:szCs w:val="24"/>
          <w:lang w:val="en-GB"/>
        </w:rPr>
      </w:pPr>
      <w:r w:rsidRPr="00326791">
        <w:rPr>
          <w:i/>
          <w:sz w:val="24"/>
          <w:szCs w:val="24"/>
          <w:lang w:val="en-GB"/>
        </w:rPr>
        <w:t>Selection and d</w:t>
      </w:r>
      <w:r w:rsidR="00DA3085" w:rsidRPr="00326791">
        <w:rPr>
          <w:i/>
          <w:sz w:val="24"/>
          <w:szCs w:val="24"/>
          <w:lang w:val="en-GB"/>
        </w:rPr>
        <w:t>escription of studies</w:t>
      </w:r>
    </w:p>
    <w:p w14:paraId="54878D45" w14:textId="27B1E48B" w:rsidR="00DA3085" w:rsidRPr="00326791" w:rsidRDefault="00DA3085" w:rsidP="008E5D27">
      <w:pPr>
        <w:spacing w:line="480" w:lineRule="auto"/>
        <w:rPr>
          <w:sz w:val="24"/>
          <w:szCs w:val="24"/>
          <w:lang w:val="en-GB"/>
        </w:rPr>
      </w:pPr>
      <w:r w:rsidRPr="00326791">
        <w:rPr>
          <w:sz w:val="24"/>
          <w:szCs w:val="24"/>
          <w:lang w:val="en-GB"/>
        </w:rPr>
        <w:t>The Pub</w:t>
      </w:r>
      <w:r w:rsidR="004B21A6">
        <w:rPr>
          <w:sz w:val="24"/>
          <w:szCs w:val="24"/>
          <w:lang w:val="en-GB"/>
        </w:rPr>
        <w:t>M</w:t>
      </w:r>
      <w:r w:rsidRPr="00326791">
        <w:rPr>
          <w:sz w:val="24"/>
          <w:szCs w:val="24"/>
          <w:lang w:val="en-GB"/>
        </w:rPr>
        <w:t xml:space="preserve">ed search identified 1688 abstracts, the </w:t>
      </w:r>
      <w:proofErr w:type="spellStart"/>
      <w:r w:rsidRPr="00326791">
        <w:rPr>
          <w:sz w:val="24"/>
          <w:szCs w:val="24"/>
          <w:lang w:val="en-GB"/>
        </w:rPr>
        <w:t>Embase</w:t>
      </w:r>
      <w:proofErr w:type="spellEnd"/>
      <w:r w:rsidRPr="00326791">
        <w:rPr>
          <w:sz w:val="24"/>
          <w:szCs w:val="24"/>
          <w:lang w:val="en-GB"/>
        </w:rPr>
        <w:t xml:space="preserve"> search identified 4637 abstracts, of which 93 entries were finally selected after review of full content (Figure 1). The main reasons for exclusion were studies outside </w:t>
      </w:r>
      <w:r w:rsidR="004B21A6">
        <w:rPr>
          <w:sz w:val="24"/>
          <w:szCs w:val="24"/>
          <w:lang w:val="en-GB"/>
        </w:rPr>
        <w:t>of the</w:t>
      </w:r>
      <w:r w:rsidR="004B21A6" w:rsidRPr="00326791">
        <w:rPr>
          <w:sz w:val="24"/>
          <w:szCs w:val="24"/>
          <w:lang w:val="en-GB"/>
        </w:rPr>
        <w:t xml:space="preserve"> </w:t>
      </w:r>
      <w:r w:rsidR="009B54CF">
        <w:rPr>
          <w:sz w:val="24"/>
          <w:szCs w:val="24"/>
          <w:lang w:val="en-GB"/>
        </w:rPr>
        <w:t xml:space="preserve">scope, duplicates, reviews, </w:t>
      </w:r>
      <w:r w:rsidRPr="00326791">
        <w:rPr>
          <w:sz w:val="24"/>
          <w:szCs w:val="24"/>
          <w:lang w:val="en-GB"/>
        </w:rPr>
        <w:t>number of patients</w:t>
      </w:r>
      <w:r w:rsidR="009B54CF">
        <w:rPr>
          <w:sz w:val="24"/>
          <w:szCs w:val="24"/>
          <w:lang w:val="en-GB"/>
        </w:rPr>
        <w:t xml:space="preserve"> less than 10</w:t>
      </w:r>
      <w:r w:rsidRPr="00326791">
        <w:rPr>
          <w:sz w:val="24"/>
          <w:szCs w:val="24"/>
          <w:lang w:val="en-GB"/>
        </w:rPr>
        <w:t xml:space="preserve"> and the absence of specific data on </w:t>
      </w:r>
      <w:proofErr w:type="spellStart"/>
      <w:r w:rsidRPr="00326791">
        <w:rPr>
          <w:sz w:val="24"/>
          <w:szCs w:val="24"/>
          <w:lang w:val="en-GB"/>
        </w:rPr>
        <w:t>iCC</w:t>
      </w:r>
      <w:proofErr w:type="spellEnd"/>
      <w:r w:rsidRPr="00326791">
        <w:rPr>
          <w:sz w:val="24"/>
          <w:szCs w:val="24"/>
          <w:lang w:val="en-GB"/>
        </w:rPr>
        <w:t>, treatment modalities or outcomes.</w:t>
      </w:r>
    </w:p>
    <w:p w14:paraId="072347E4" w14:textId="5E4670F6" w:rsidR="00DA3085" w:rsidRPr="00AD70F1" w:rsidRDefault="008D461F" w:rsidP="008E5D27">
      <w:pPr>
        <w:spacing w:line="480" w:lineRule="auto"/>
        <w:rPr>
          <w:sz w:val="24"/>
          <w:szCs w:val="24"/>
          <w:lang w:val="en-GB"/>
        </w:rPr>
      </w:pPr>
      <w:r w:rsidRPr="00326791">
        <w:rPr>
          <w:sz w:val="24"/>
          <w:szCs w:val="24"/>
          <w:lang w:val="en-GB"/>
        </w:rPr>
        <w:t>Finally, 93 studies corresponding to 101 cohorts (some studies including d</w:t>
      </w:r>
      <w:r w:rsidR="009E2030" w:rsidRPr="00326791">
        <w:rPr>
          <w:sz w:val="24"/>
          <w:szCs w:val="24"/>
          <w:lang w:val="en-GB"/>
        </w:rPr>
        <w:t xml:space="preserve">ifferent cohorts of patients) </w:t>
      </w:r>
      <w:r w:rsidR="002B146F" w:rsidRPr="00326791">
        <w:rPr>
          <w:sz w:val="24"/>
          <w:szCs w:val="24"/>
          <w:lang w:val="en-GB"/>
        </w:rPr>
        <w:t xml:space="preserve">reporting data on </w:t>
      </w:r>
      <w:r w:rsidRPr="00326791">
        <w:rPr>
          <w:sz w:val="24"/>
          <w:szCs w:val="24"/>
          <w:lang w:val="en-GB"/>
        </w:rPr>
        <w:t xml:space="preserve">a total of 3990 patients were </w:t>
      </w:r>
      <w:r w:rsidR="002B146F" w:rsidRPr="00326791">
        <w:rPr>
          <w:sz w:val="24"/>
          <w:szCs w:val="24"/>
          <w:lang w:val="en-GB"/>
        </w:rPr>
        <w:t xml:space="preserve">deemed eligible and </w:t>
      </w:r>
      <w:r w:rsidRPr="00326791">
        <w:rPr>
          <w:sz w:val="24"/>
          <w:szCs w:val="24"/>
          <w:lang w:val="en-GB"/>
        </w:rPr>
        <w:t>included</w:t>
      </w:r>
      <w:r w:rsidR="002B146F" w:rsidRPr="00326791">
        <w:rPr>
          <w:sz w:val="24"/>
          <w:szCs w:val="24"/>
          <w:lang w:val="en-GB"/>
        </w:rPr>
        <w:t xml:space="preserve"> in the </w:t>
      </w:r>
      <w:r w:rsidR="004476DA">
        <w:rPr>
          <w:sz w:val="24"/>
          <w:szCs w:val="24"/>
          <w:lang w:val="en-GB"/>
        </w:rPr>
        <w:t>descriptive analysis</w:t>
      </w:r>
      <w:r w:rsidR="002B146F" w:rsidRPr="00AD70F1">
        <w:rPr>
          <w:sz w:val="24"/>
          <w:szCs w:val="24"/>
          <w:lang w:val="en-GB"/>
        </w:rPr>
        <w:t>. Of these, data on 90 studies were utilised for estimation of pooled outcomes and meta-analyses</w:t>
      </w:r>
      <w:r w:rsidR="002B146F" w:rsidRPr="00326791">
        <w:rPr>
          <w:sz w:val="24"/>
          <w:szCs w:val="24"/>
          <w:lang w:val="en-GB"/>
        </w:rPr>
        <w:t xml:space="preserve"> of proportions</w:t>
      </w:r>
      <w:r w:rsidRPr="00326791">
        <w:rPr>
          <w:sz w:val="24"/>
          <w:szCs w:val="24"/>
          <w:lang w:val="en-GB"/>
        </w:rPr>
        <w:t xml:space="preserve">. </w:t>
      </w:r>
      <w:r w:rsidR="003C5459" w:rsidRPr="00326791">
        <w:rPr>
          <w:sz w:val="24"/>
          <w:szCs w:val="24"/>
          <w:lang w:val="en-GB"/>
        </w:rPr>
        <w:t>Three</w:t>
      </w:r>
      <w:r w:rsidRPr="00326791">
        <w:rPr>
          <w:sz w:val="24"/>
          <w:szCs w:val="24"/>
          <w:lang w:val="en-GB"/>
        </w:rPr>
        <w:t xml:space="preserve"> cohorts were included</w:t>
      </w:r>
      <w:r w:rsidR="009E2030" w:rsidRPr="00326791">
        <w:rPr>
          <w:sz w:val="24"/>
          <w:szCs w:val="24"/>
          <w:lang w:val="en-GB"/>
        </w:rPr>
        <w:t xml:space="preserve"> in the systematic review</w:t>
      </w:r>
      <w:r w:rsidRPr="00326791">
        <w:rPr>
          <w:sz w:val="24"/>
          <w:szCs w:val="24"/>
          <w:lang w:val="en-GB"/>
        </w:rPr>
        <w:t>, but results could not be pooled</w:t>
      </w:r>
      <w:r w:rsidR="003A2091" w:rsidRPr="00326791">
        <w:rPr>
          <w:sz w:val="24"/>
          <w:szCs w:val="24"/>
          <w:lang w:val="en-GB"/>
        </w:rPr>
        <w:t xml:space="preserve"> with other LRT</w:t>
      </w:r>
      <w:r w:rsidR="002B146F" w:rsidRPr="00326791">
        <w:rPr>
          <w:sz w:val="24"/>
          <w:szCs w:val="24"/>
          <w:lang w:val="en-GB"/>
        </w:rPr>
        <w:t xml:space="preserve"> for </w:t>
      </w:r>
      <w:r w:rsidR="004476DA">
        <w:rPr>
          <w:sz w:val="24"/>
          <w:szCs w:val="24"/>
          <w:lang w:val="en-GB"/>
        </w:rPr>
        <w:t xml:space="preserve">pooled </w:t>
      </w:r>
      <w:r w:rsidR="002B146F" w:rsidRPr="00326791">
        <w:rPr>
          <w:sz w:val="24"/>
          <w:szCs w:val="24"/>
          <w:lang w:val="en-GB"/>
        </w:rPr>
        <w:t>analyses</w:t>
      </w:r>
      <w:r w:rsidRPr="00326791">
        <w:rPr>
          <w:sz w:val="24"/>
          <w:szCs w:val="24"/>
          <w:lang w:val="en-GB"/>
        </w:rPr>
        <w:t>: 2 cohorts w</w:t>
      </w:r>
      <w:r w:rsidR="003C5459" w:rsidRPr="00326791">
        <w:rPr>
          <w:sz w:val="24"/>
          <w:szCs w:val="24"/>
          <w:lang w:val="en-GB"/>
        </w:rPr>
        <w:t>ith</w:t>
      </w:r>
      <w:r w:rsidRPr="00326791">
        <w:rPr>
          <w:sz w:val="24"/>
          <w:szCs w:val="24"/>
          <w:lang w:val="en-GB"/>
        </w:rPr>
        <w:t xml:space="preserve"> </w:t>
      </w:r>
      <w:r w:rsidR="003C5459" w:rsidRPr="00326791">
        <w:rPr>
          <w:sz w:val="24"/>
          <w:szCs w:val="24"/>
          <w:lang w:val="en-GB"/>
        </w:rPr>
        <w:t>co</w:t>
      </w:r>
      <w:r w:rsidR="004476DA">
        <w:rPr>
          <w:sz w:val="24"/>
          <w:szCs w:val="24"/>
          <w:lang w:val="en-GB"/>
        </w:rPr>
        <w:t>mbined</w:t>
      </w:r>
      <w:r w:rsidR="003A2091" w:rsidRPr="00326791">
        <w:rPr>
          <w:sz w:val="24"/>
          <w:szCs w:val="24"/>
          <w:lang w:val="en-GB"/>
        </w:rPr>
        <w:t xml:space="preserve"> </w:t>
      </w:r>
      <w:r w:rsidRPr="00326791">
        <w:rPr>
          <w:sz w:val="24"/>
          <w:szCs w:val="24"/>
          <w:lang w:val="en-GB"/>
        </w:rPr>
        <w:t>treat</w:t>
      </w:r>
      <w:r w:rsidR="003C5459" w:rsidRPr="00326791">
        <w:rPr>
          <w:sz w:val="24"/>
          <w:szCs w:val="24"/>
          <w:lang w:val="en-GB"/>
        </w:rPr>
        <w:t>ment</w:t>
      </w:r>
      <w:r w:rsidRPr="00326791">
        <w:rPr>
          <w:sz w:val="24"/>
          <w:szCs w:val="24"/>
          <w:lang w:val="en-GB"/>
        </w:rPr>
        <w:t xml:space="preserve"> with 2 </w:t>
      </w:r>
      <w:r w:rsidR="009F4BB6" w:rsidRPr="00326791">
        <w:rPr>
          <w:sz w:val="24"/>
          <w:szCs w:val="24"/>
          <w:lang w:val="en-GB"/>
        </w:rPr>
        <w:t xml:space="preserve">different </w:t>
      </w:r>
      <w:r w:rsidRPr="00326791">
        <w:rPr>
          <w:sz w:val="24"/>
          <w:szCs w:val="24"/>
          <w:lang w:val="en-GB"/>
        </w:rPr>
        <w:t>LRT (TACE and EBRT for one, and HAI and EBRT for the other), and 1 cohort treated with brachytherapy.</w:t>
      </w:r>
      <w:r w:rsidR="003A2091" w:rsidRPr="00326791">
        <w:rPr>
          <w:sz w:val="24"/>
          <w:szCs w:val="24"/>
          <w:lang w:val="en-GB"/>
        </w:rPr>
        <w:t xml:space="preserve"> </w:t>
      </w:r>
      <w:r w:rsidR="003A2091" w:rsidRPr="00AD70F1">
        <w:rPr>
          <w:sz w:val="24"/>
          <w:szCs w:val="24"/>
          <w:lang w:val="en-GB"/>
        </w:rPr>
        <w:t xml:space="preserve">The list of the </w:t>
      </w:r>
      <w:r w:rsidR="000158D2" w:rsidRPr="00AD70F1">
        <w:rPr>
          <w:sz w:val="24"/>
          <w:szCs w:val="24"/>
          <w:lang w:val="en-GB"/>
        </w:rPr>
        <w:t xml:space="preserve">included </w:t>
      </w:r>
      <w:r w:rsidR="003A2091" w:rsidRPr="00AD70F1">
        <w:rPr>
          <w:sz w:val="24"/>
          <w:szCs w:val="24"/>
          <w:lang w:val="en-GB"/>
        </w:rPr>
        <w:t xml:space="preserve">studies </w:t>
      </w:r>
      <w:r w:rsidR="004476DA">
        <w:rPr>
          <w:sz w:val="24"/>
          <w:szCs w:val="24"/>
          <w:lang w:val="en-GB"/>
        </w:rPr>
        <w:t xml:space="preserve">in the descriptive analysis </w:t>
      </w:r>
      <w:r w:rsidR="000158D2" w:rsidRPr="00AD70F1">
        <w:rPr>
          <w:sz w:val="24"/>
          <w:szCs w:val="24"/>
          <w:lang w:val="en-GB"/>
        </w:rPr>
        <w:t>with their evaluation of risk of bias</w:t>
      </w:r>
      <w:r w:rsidR="003A2091" w:rsidRPr="00326791">
        <w:rPr>
          <w:sz w:val="24"/>
          <w:szCs w:val="24"/>
          <w:lang w:val="en-GB"/>
        </w:rPr>
        <w:t xml:space="preserve"> are presented as supplementary </w:t>
      </w:r>
      <w:r w:rsidR="009B54CF">
        <w:rPr>
          <w:sz w:val="24"/>
          <w:szCs w:val="24"/>
          <w:lang w:val="en-GB"/>
        </w:rPr>
        <w:t>table 2</w:t>
      </w:r>
      <w:r w:rsidR="003A2091" w:rsidRPr="00AD70F1">
        <w:rPr>
          <w:sz w:val="24"/>
          <w:szCs w:val="24"/>
          <w:lang w:val="en-GB"/>
        </w:rPr>
        <w:t>.</w:t>
      </w:r>
      <w:r w:rsidR="00AE652C" w:rsidRPr="00AD70F1">
        <w:rPr>
          <w:sz w:val="24"/>
          <w:szCs w:val="24"/>
          <w:lang w:val="en-GB"/>
        </w:rPr>
        <w:t xml:space="preserve"> There was </w:t>
      </w:r>
      <w:r w:rsidR="00956018">
        <w:rPr>
          <w:sz w:val="24"/>
          <w:szCs w:val="24"/>
          <w:lang w:val="en-GB"/>
        </w:rPr>
        <w:t xml:space="preserve">an </w:t>
      </w:r>
      <w:r w:rsidR="00AE652C" w:rsidRPr="00AD70F1">
        <w:rPr>
          <w:sz w:val="24"/>
          <w:szCs w:val="24"/>
          <w:lang w:val="en-GB"/>
        </w:rPr>
        <w:t xml:space="preserve">increasing number of studies </w:t>
      </w:r>
      <w:r w:rsidR="003A3234">
        <w:rPr>
          <w:sz w:val="24"/>
          <w:szCs w:val="24"/>
          <w:lang w:val="en-GB"/>
        </w:rPr>
        <w:t xml:space="preserve">from 2014, with more than 10 studies per year </w:t>
      </w:r>
      <w:r w:rsidR="009B54CF">
        <w:rPr>
          <w:sz w:val="24"/>
          <w:szCs w:val="24"/>
          <w:lang w:val="en-GB"/>
        </w:rPr>
        <w:t>in 2019 and 2020,</w:t>
      </w:r>
      <w:r w:rsidR="00AE652C" w:rsidRPr="00AD70F1">
        <w:rPr>
          <w:sz w:val="24"/>
          <w:szCs w:val="24"/>
          <w:lang w:val="en-GB"/>
        </w:rPr>
        <w:t xml:space="preserve"> </w:t>
      </w:r>
      <w:r w:rsidR="003A3234">
        <w:rPr>
          <w:sz w:val="24"/>
          <w:szCs w:val="24"/>
          <w:lang w:val="en-GB"/>
        </w:rPr>
        <w:t xml:space="preserve">as compared to 0 to 3 from 2000 to 2009 </w:t>
      </w:r>
      <w:r w:rsidR="00AE652C" w:rsidRPr="00AD70F1">
        <w:rPr>
          <w:sz w:val="24"/>
          <w:szCs w:val="24"/>
          <w:lang w:val="en-GB"/>
        </w:rPr>
        <w:t>(Supplementary figure 1).</w:t>
      </w:r>
    </w:p>
    <w:p w14:paraId="6F899F1C" w14:textId="653BBE55" w:rsidR="003A2091" w:rsidRPr="00326791" w:rsidRDefault="003A2091" w:rsidP="008E5D27">
      <w:pPr>
        <w:spacing w:line="480" w:lineRule="auto"/>
        <w:rPr>
          <w:sz w:val="24"/>
          <w:szCs w:val="24"/>
          <w:lang w:val="en-GB"/>
        </w:rPr>
      </w:pPr>
      <w:r w:rsidRPr="00AD70F1">
        <w:rPr>
          <w:sz w:val="24"/>
          <w:szCs w:val="24"/>
          <w:lang w:val="en-GB"/>
        </w:rPr>
        <w:t xml:space="preserve">The studies included </w:t>
      </w:r>
      <w:r w:rsidR="003A3234">
        <w:rPr>
          <w:sz w:val="24"/>
          <w:szCs w:val="24"/>
          <w:lang w:val="en-GB"/>
        </w:rPr>
        <w:t xml:space="preserve">in the descriptive analysis </w:t>
      </w:r>
      <w:r w:rsidRPr="00AD70F1">
        <w:rPr>
          <w:sz w:val="24"/>
          <w:szCs w:val="24"/>
          <w:lang w:val="en-GB"/>
        </w:rPr>
        <w:t>are presented in Table 1. Of the 93 studies, 69 (74%) were retrospective, 70 (75%) were single-</w:t>
      </w:r>
      <w:r w:rsidR="009E2030" w:rsidRPr="00AD70F1">
        <w:rPr>
          <w:sz w:val="24"/>
          <w:szCs w:val="24"/>
          <w:lang w:val="en-GB"/>
        </w:rPr>
        <w:t>centre</w:t>
      </w:r>
      <w:r w:rsidRPr="00326791">
        <w:rPr>
          <w:sz w:val="24"/>
          <w:szCs w:val="24"/>
          <w:lang w:val="en-GB"/>
        </w:rPr>
        <w:t xml:space="preserve">, 86 (93%) did not have an adequate control, and 18 (19%) were available only </w:t>
      </w:r>
      <w:r w:rsidR="00DB602A">
        <w:rPr>
          <w:sz w:val="24"/>
          <w:szCs w:val="24"/>
          <w:lang w:val="en-GB"/>
        </w:rPr>
        <w:t>in</w:t>
      </w:r>
      <w:r w:rsidRPr="00326791">
        <w:rPr>
          <w:sz w:val="24"/>
          <w:szCs w:val="24"/>
          <w:lang w:val="en-GB"/>
        </w:rPr>
        <w:t xml:space="preserve"> abstract</w:t>
      </w:r>
      <w:r w:rsidR="00DB602A">
        <w:rPr>
          <w:sz w:val="24"/>
          <w:szCs w:val="24"/>
          <w:lang w:val="en-GB"/>
        </w:rPr>
        <w:t xml:space="preserve"> form</w:t>
      </w:r>
      <w:r w:rsidRPr="00326791">
        <w:rPr>
          <w:sz w:val="24"/>
          <w:szCs w:val="24"/>
          <w:lang w:val="en-GB"/>
        </w:rPr>
        <w:t xml:space="preserve">. </w:t>
      </w:r>
      <w:r w:rsidR="0044687E" w:rsidRPr="00326791">
        <w:rPr>
          <w:sz w:val="24"/>
          <w:szCs w:val="24"/>
          <w:lang w:val="en-GB"/>
        </w:rPr>
        <w:t>Only 1 study was a randomi</w:t>
      </w:r>
      <w:r w:rsidR="004B21A6">
        <w:rPr>
          <w:sz w:val="24"/>
          <w:szCs w:val="24"/>
          <w:lang w:val="en-GB"/>
        </w:rPr>
        <w:t>s</w:t>
      </w:r>
      <w:r w:rsidR="0044687E" w:rsidRPr="00326791">
        <w:rPr>
          <w:sz w:val="24"/>
          <w:szCs w:val="24"/>
          <w:lang w:val="en-GB"/>
        </w:rPr>
        <w:t>ed control trial, b</w:t>
      </w:r>
      <w:r w:rsidR="009E2030" w:rsidRPr="00326791">
        <w:rPr>
          <w:sz w:val="24"/>
          <w:szCs w:val="24"/>
          <w:lang w:val="en-GB"/>
        </w:rPr>
        <w:t>ut results were available only in</w:t>
      </w:r>
      <w:r w:rsidR="0044687E" w:rsidRPr="00326791">
        <w:rPr>
          <w:sz w:val="24"/>
          <w:szCs w:val="24"/>
          <w:lang w:val="en-GB"/>
        </w:rPr>
        <w:t xml:space="preserve"> abstract</w:t>
      </w:r>
      <w:r w:rsidR="009E2030" w:rsidRPr="00326791">
        <w:rPr>
          <w:sz w:val="24"/>
          <w:szCs w:val="24"/>
          <w:lang w:val="en-GB"/>
        </w:rPr>
        <w:t xml:space="preserve"> form</w:t>
      </w:r>
      <w:r w:rsidR="0044687E" w:rsidRPr="00326791">
        <w:rPr>
          <w:sz w:val="24"/>
          <w:szCs w:val="24"/>
          <w:lang w:val="en-GB"/>
        </w:rPr>
        <w:t xml:space="preserve">. </w:t>
      </w:r>
      <w:r w:rsidRPr="00326791">
        <w:rPr>
          <w:sz w:val="24"/>
          <w:szCs w:val="24"/>
          <w:lang w:val="en-GB"/>
        </w:rPr>
        <w:t>Overall, 79 (85%) were classified as having a high risk of bias, 14 (15%) as having</w:t>
      </w:r>
      <w:r w:rsidR="0044687E" w:rsidRPr="00326791">
        <w:rPr>
          <w:sz w:val="24"/>
          <w:szCs w:val="24"/>
          <w:lang w:val="en-GB"/>
        </w:rPr>
        <w:t xml:space="preserve"> intermediate risk of bias, and </w:t>
      </w:r>
      <w:r w:rsidR="0044687E" w:rsidRPr="00326791">
        <w:rPr>
          <w:sz w:val="24"/>
          <w:szCs w:val="24"/>
          <w:lang w:val="en-GB"/>
        </w:rPr>
        <w:lastRenderedPageBreak/>
        <w:t xml:space="preserve">none as having </w:t>
      </w:r>
      <w:r w:rsidR="00DB602A">
        <w:rPr>
          <w:sz w:val="24"/>
          <w:szCs w:val="24"/>
          <w:lang w:val="en-GB"/>
        </w:rPr>
        <w:t xml:space="preserve">a </w:t>
      </w:r>
      <w:r w:rsidR="0044687E" w:rsidRPr="00326791">
        <w:rPr>
          <w:sz w:val="24"/>
          <w:szCs w:val="24"/>
          <w:lang w:val="en-GB"/>
        </w:rPr>
        <w:t xml:space="preserve">low risk of bias. The </w:t>
      </w:r>
      <w:r w:rsidR="009F4BB6" w:rsidRPr="00326791">
        <w:rPr>
          <w:sz w:val="24"/>
          <w:szCs w:val="24"/>
          <w:lang w:val="en-GB"/>
        </w:rPr>
        <w:t>risk of bias</w:t>
      </w:r>
      <w:r w:rsidR="0044687E" w:rsidRPr="00326791">
        <w:rPr>
          <w:sz w:val="24"/>
          <w:szCs w:val="24"/>
          <w:lang w:val="en-GB"/>
        </w:rPr>
        <w:t xml:space="preserve"> did not clearly </w:t>
      </w:r>
      <w:r w:rsidR="009F4BB6" w:rsidRPr="00326791">
        <w:rPr>
          <w:sz w:val="24"/>
          <w:szCs w:val="24"/>
          <w:lang w:val="en-GB"/>
        </w:rPr>
        <w:t>differ</w:t>
      </w:r>
      <w:r w:rsidR="0044687E" w:rsidRPr="00326791">
        <w:rPr>
          <w:sz w:val="24"/>
          <w:szCs w:val="24"/>
          <w:lang w:val="en-GB"/>
        </w:rPr>
        <w:t xml:space="preserve"> between treatment modalities, albeit HAI studies were more frequently prospective trials (7 of 14 studies, 50%).</w:t>
      </w:r>
    </w:p>
    <w:p w14:paraId="0DA9F899" w14:textId="77777777" w:rsidR="0044687E" w:rsidRPr="00326791" w:rsidRDefault="0044687E" w:rsidP="008E5D27">
      <w:pPr>
        <w:spacing w:line="480" w:lineRule="auto"/>
        <w:rPr>
          <w:i/>
          <w:sz w:val="24"/>
          <w:szCs w:val="24"/>
          <w:lang w:val="en-GB"/>
        </w:rPr>
      </w:pPr>
    </w:p>
    <w:p w14:paraId="4CB2D023" w14:textId="77777777" w:rsidR="0044687E" w:rsidRPr="00326791" w:rsidRDefault="0044687E" w:rsidP="008E5D27">
      <w:pPr>
        <w:spacing w:line="480" w:lineRule="auto"/>
        <w:rPr>
          <w:i/>
          <w:sz w:val="24"/>
          <w:szCs w:val="24"/>
          <w:lang w:val="en-GB"/>
        </w:rPr>
      </w:pPr>
      <w:r w:rsidRPr="00326791">
        <w:rPr>
          <w:i/>
          <w:sz w:val="24"/>
          <w:szCs w:val="24"/>
          <w:lang w:val="en-GB"/>
        </w:rPr>
        <w:t>Description of the cohorts of patients included</w:t>
      </w:r>
    </w:p>
    <w:p w14:paraId="0AB052FB" w14:textId="1EE5ACD3" w:rsidR="00AF54B4" w:rsidRPr="00AD70F1" w:rsidRDefault="0044687E" w:rsidP="008E5D27">
      <w:pPr>
        <w:spacing w:line="480" w:lineRule="auto"/>
        <w:rPr>
          <w:sz w:val="24"/>
          <w:szCs w:val="24"/>
          <w:lang w:val="en-GB"/>
        </w:rPr>
      </w:pPr>
      <w:r w:rsidRPr="00326791">
        <w:rPr>
          <w:sz w:val="24"/>
          <w:szCs w:val="24"/>
          <w:lang w:val="en-GB"/>
        </w:rPr>
        <w:t xml:space="preserve">Data provided </w:t>
      </w:r>
      <w:r w:rsidR="0068347C">
        <w:rPr>
          <w:sz w:val="24"/>
          <w:szCs w:val="24"/>
          <w:lang w:val="en-GB"/>
        </w:rPr>
        <w:t xml:space="preserve">by individual </w:t>
      </w:r>
      <w:r w:rsidR="00A97E96">
        <w:rPr>
          <w:sz w:val="24"/>
          <w:szCs w:val="24"/>
          <w:lang w:val="en-GB"/>
        </w:rPr>
        <w:t>studies</w:t>
      </w:r>
      <w:r w:rsidR="0068347C">
        <w:rPr>
          <w:sz w:val="24"/>
          <w:szCs w:val="24"/>
          <w:lang w:val="en-GB"/>
        </w:rPr>
        <w:t xml:space="preserve"> </w:t>
      </w:r>
      <w:r w:rsidRPr="00326791">
        <w:rPr>
          <w:sz w:val="24"/>
          <w:szCs w:val="24"/>
          <w:lang w:val="en-GB"/>
        </w:rPr>
        <w:t>descri</w:t>
      </w:r>
      <w:r w:rsidR="0068347C">
        <w:rPr>
          <w:sz w:val="24"/>
          <w:szCs w:val="24"/>
          <w:lang w:val="en-GB"/>
        </w:rPr>
        <w:t>bing</w:t>
      </w:r>
      <w:r w:rsidRPr="00326791">
        <w:rPr>
          <w:sz w:val="24"/>
          <w:szCs w:val="24"/>
          <w:lang w:val="en-GB"/>
        </w:rPr>
        <w:t xml:space="preserve"> the </w:t>
      </w:r>
      <w:r w:rsidR="0068347C">
        <w:rPr>
          <w:sz w:val="24"/>
          <w:szCs w:val="24"/>
          <w:lang w:val="en-GB"/>
        </w:rPr>
        <w:t>patient</w:t>
      </w:r>
      <w:r w:rsidR="009B54CF">
        <w:rPr>
          <w:sz w:val="24"/>
          <w:szCs w:val="24"/>
          <w:lang w:val="en-GB"/>
        </w:rPr>
        <w:t>s’</w:t>
      </w:r>
      <w:r w:rsidR="0068347C">
        <w:rPr>
          <w:sz w:val="24"/>
          <w:szCs w:val="24"/>
          <w:lang w:val="en-GB"/>
        </w:rPr>
        <w:t xml:space="preserve"> </w:t>
      </w:r>
      <w:r w:rsidRPr="00326791">
        <w:rPr>
          <w:sz w:val="24"/>
          <w:szCs w:val="24"/>
          <w:lang w:val="en-GB"/>
        </w:rPr>
        <w:t xml:space="preserve">cohorts varied </w:t>
      </w:r>
      <w:r w:rsidR="0068347C">
        <w:rPr>
          <w:sz w:val="24"/>
          <w:szCs w:val="24"/>
          <w:lang w:val="en-GB"/>
        </w:rPr>
        <w:t xml:space="preserve">markedly </w:t>
      </w:r>
      <w:r w:rsidRPr="00326791">
        <w:rPr>
          <w:sz w:val="24"/>
          <w:szCs w:val="24"/>
          <w:lang w:val="en-GB"/>
        </w:rPr>
        <w:t>between studies</w:t>
      </w:r>
      <w:r w:rsidR="005D1C8E" w:rsidRPr="00326791">
        <w:rPr>
          <w:sz w:val="24"/>
          <w:szCs w:val="24"/>
          <w:lang w:val="en-GB"/>
        </w:rPr>
        <w:t xml:space="preserve"> (Table 2)</w:t>
      </w:r>
      <w:r w:rsidR="000D4365">
        <w:rPr>
          <w:sz w:val="24"/>
          <w:szCs w:val="24"/>
          <w:lang w:val="en-GB"/>
        </w:rPr>
        <w:t>, with many variables such as performance status, cirrhosis and previous biliary drainage reported in less than half of the studies and patients</w:t>
      </w:r>
      <w:r w:rsidRPr="00326791">
        <w:rPr>
          <w:sz w:val="24"/>
          <w:szCs w:val="24"/>
          <w:lang w:val="en-GB"/>
        </w:rPr>
        <w:t xml:space="preserve">. There was also heterogeneity between modalities </w:t>
      </w:r>
      <w:r w:rsidR="0068347C">
        <w:rPr>
          <w:sz w:val="24"/>
          <w:szCs w:val="24"/>
          <w:lang w:val="en-GB"/>
        </w:rPr>
        <w:t>when</w:t>
      </w:r>
      <w:r w:rsidRPr="00326791">
        <w:rPr>
          <w:sz w:val="24"/>
          <w:szCs w:val="24"/>
          <w:lang w:val="en-GB"/>
        </w:rPr>
        <w:t xml:space="preserve"> reporting.</w:t>
      </w:r>
      <w:r w:rsidR="00A865D6">
        <w:rPr>
          <w:sz w:val="24"/>
          <w:szCs w:val="24"/>
          <w:lang w:val="en-GB"/>
        </w:rPr>
        <w:t xml:space="preserve"> </w:t>
      </w:r>
      <w:r w:rsidR="00AF54B4" w:rsidRPr="00326791">
        <w:rPr>
          <w:sz w:val="24"/>
          <w:szCs w:val="24"/>
          <w:lang w:val="en-GB"/>
        </w:rPr>
        <w:t xml:space="preserve">The median </w:t>
      </w:r>
      <w:r w:rsidR="00AF54B4" w:rsidRPr="00AD70F1">
        <w:rPr>
          <w:sz w:val="24"/>
          <w:szCs w:val="24"/>
          <w:lang w:val="en-GB"/>
        </w:rPr>
        <w:t>number of patients</w:t>
      </w:r>
      <w:r w:rsidR="003A3234">
        <w:rPr>
          <w:sz w:val="24"/>
          <w:szCs w:val="24"/>
          <w:lang w:val="en-GB"/>
        </w:rPr>
        <w:t xml:space="preserve"> per cohorts</w:t>
      </w:r>
      <w:r w:rsidR="00AF54B4" w:rsidRPr="00AD70F1">
        <w:rPr>
          <w:sz w:val="24"/>
          <w:szCs w:val="24"/>
          <w:lang w:val="en-GB"/>
        </w:rPr>
        <w:t xml:space="preserve"> included was 25, and ranged from 10 to 183 patients. </w:t>
      </w:r>
      <w:r w:rsidR="00A97E96">
        <w:rPr>
          <w:sz w:val="24"/>
          <w:szCs w:val="24"/>
          <w:lang w:val="en-GB"/>
        </w:rPr>
        <w:t>There were</w:t>
      </w:r>
      <w:r w:rsidR="00A97E96" w:rsidRPr="00A97E96">
        <w:rPr>
          <w:sz w:val="24"/>
          <w:szCs w:val="24"/>
          <w:lang w:val="en-GB"/>
        </w:rPr>
        <w:t xml:space="preserve"> differences in the characteristics of the population included between the different treatment modalities, notably regarding the use of previous chemotherapy, previous surgery, tumour size, multifocality of the dis</w:t>
      </w:r>
      <w:r w:rsidR="00A97E96">
        <w:rPr>
          <w:sz w:val="24"/>
          <w:szCs w:val="24"/>
          <w:lang w:val="en-GB"/>
        </w:rPr>
        <w:t>ease, macrovascular invas</w:t>
      </w:r>
      <w:r w:rsidR="00A97E96" w:rsidRPr="00A97E96">
        <w:rPr>
          <w:sz w:val="24"/>
          <w:szCs w:val="24"/>
          <w:lang w:val="en-GB"/>
        </w:rPr>
        <w:t>ion and extrahepatic spread.</w:t>
      </w:r>
      <w:r w:rsidR="00A97E96" w:rsidRPr="00AD70F1">
        <w:rPr>
          <w:sz w:val="24"/>
          <w:szCs w:val="24"/>
          <w:lang w:val="en-GB"/>
        </w:rPr>
        <w:t xml:space="preserve"> </w:t>
      </w:r>
    </w:p>
    <w:p w14:paraId="4B77C701" w14:textId="1BF0BB82" w:rsidR="00C55139" w:rsidRPr="00326791" w:rsidRDefault="00C55139" w:rsidP="00B85F08">
      <w:pPr>
        <w:spacing w:line="480" w:lineRule="auto"/>
        <w:rPr>
          <w:i/>
          <w:sz w:val="24"/>
          <w:szCs w:val="24"/>
          <w:lang w:val="en-GB"/>
        </w:rPr>
      </w:pPr>
      <w:r w:rsidRPr="00AD70F1">
        <w:rPr>
          <w:i/>
          <w:sz w:val="24"/>
          <w:szCs w:val="24"/>
          <w:lang w:val="en-GB"/>
        </w:rPr>
        <w:t>Description of the treatment applied</w:t>
      </w:r>
    </w:p>
    <w:p w14:paraId="3195A197" w14:textId="674FF033" w:rsidR="00B85F08" w:rsidRPr="00326791" w:rsidRDefault="00B85F08" w:rsidP="00B85F08">
      <w:pPr>
        <w:spacing w:line="480" w:lineRule="auto"/>
        <w:rPr>
          <w:sz w:val="24"/>
          <w:szCs w:val="24"/>
          <w:lang w:val="en-GB"/>
        </w:rPr>
      </w:pPr>
      <w:r w:rsidRPr="00326791">
        <w:rPr>
          <w:sz w:val="24"/>
          <w:szCs w:val="24"/>
          <w:lang w:val="en-GB"/>
        </w:rPr>
        <w:t xml:space="preserve">In the ablation group, radiofrequency ablation was </w:t>
      </w:r>
      <w:r w:rsidR="00B54413">
        <w:rPr>
          <w:sz w:val="24"/>
          <w:szCs w:val="24"/>
          <w:lang w:val="en-GB"/>
        </w:rPr>
        <w:t>the LRT of choice</w:t>
      </w:r>
      <w:r w:rsidR="00B54413" w:rsidRPr="00326791">
        <w:rPr>
          <w:sz w:val="24"/>
          <w:szCs w:val="24"/>
          <w:lang w:val="en-GB"/>
        </w:rPr>
        <w:t xml:space="preserve"> </w:t>
      </w:r>
      <w:r w:rsidRPr="00326791">
        <w:rPr>
          <w:sz w:val="24"/>
          <w:szCs w:val="24"/>
          <w:lang w:val="en-GB"/>
        </w:rPr>
        <w:t>in 7 of 15 cohorts, microwave ablation in 4, and mixed</w:t>
      </w:r>
      <w:r w:rsidR="00C55139" w:rsidRPr="00326791">
        <w:rPr>
          <w:sz w:val="24"/>
          <w:szCs w:val="24"/>
          <w:lang w:val="en-GB"/>
        </w:rPr>
        <w:t xml:space="preserve"> modalities</w:t>
      </w:r>
      <w:r w:rsidRPr="00326791">
        <w:rPr>
          <w:sz w:val="24"/>
          <w:szCs w:val="24"/>
          <w:lang w:val="en-GB"/>
        </w:rPr>
        <w:t xml:space="preserve"> in 4. No concomitant </w:t>
      </w:r>
      <w:r w:rsidR="005E0183" w:rsidRPr="00326791">
        <w:rPr>
          <w:sz w:val="24"/>
          <w:szCs w:val="24"/>
          <w:lang w:val="en-GB"/>
        </w:rPr>
        <w:t xml:space="preserve">systemic </w:t>
      </w:r>
      <w:r w:rsidRPr="00326791">
        <w:rPr>
          <w:sz w:val="24"/>
          <w:szCs w:val="24"/>
          <w:lang w:val="en-GB"/>
        </w:rPr>
        <w:t>chemotherapy was used. In the EBRT group,</w:t>
      </w:r>
      <w:r w:rsidR="00C55139" w:rsidRPr="00326791">
        <w:rPr>
          <w:sz w:val="24"/>
          <w:szCs w:val="24"/>
          <w:lang w:val="en-GB"/>
        </w:rPr>
        <w:t xml:space="preserve"> s</w:t>
      </w:r>
      <w:r w:rsidRPr="00326791">
        <w:rPr>
          <w:sz w:val="24"/>
          <w:szCs w:val="24"/>
          <w:lang w:val="en-GB"/>
        </w:rPr>
        <w:t xml:space="preserve">tereotactic radiation was </w:t>
      </w:r>
      <w:r w:rsidR="00B54413">
        <w:rPr>
          <w:sz w:val="24"/>
          <w:szCs w:val="24"/>
          <w:lang w:val="en-GB"/>
        </w:rPr>
        <w:t>performed</w:t>
      </w:r>
      <w:r w:rsidR="00B54413" w:rsidRPr="00326791">
        <w:rPr>
          <w:sz w:val="24"/>
          <w:szCs w:val="24"/>
          <w:lang w:val="en-GB"/>
        </w:rPr>
        <w:t xml:space="preserve"> </w:t>
      </w:r>
      <w:r w:rsidRPr="00326791">
        <w:rPr>
          <w:sz w:val="24"/>
          <w:szCs w:val="24"/>
          <w:lang w:val="en-GB"/>
        </w:rPr>
        <w:t>in 8 of 17 cohorts, conformational in 3, proton beam in 4, carbon-ion in 1 and mixed</w:t>
      </w:r>
      <w:r w:rsidR="00C55139" w:rsidRPr="00326791">
        <w:rPr>
          <w:sz w:val="24"/>
          <w:szCs w:val="24"/>
          <w:lang w:val="en-GB"/>
        </w:rPr>
        <w:t xml:space="preserve"> modalities</w:t>
      </w:r>
      <w:r w:rsidRPr="00326791">
        <w:rPr>
          <w:sz w:val="24"/>
          <w:szCs w:val="24"/>
          <w:lang w:val="en-GB"/>
        </w:rPr>
        <w:t xml:space="preserve"> in 1. The median dose was 50Gy (range: 30-72) in 5 to 15 fractions. Concomitant </w:t>
      </w:r>
      <w:r w:rsidR="005E0183" w:rsidRPr="00326791">
        <w:rPr>
          <w:sz w:val="24"/>
          <w:szCs w:val="24"/>
          <w:lang w:val="en-GB"/>
        </w:rPr>
        <w:t xml:space="preserve">systemic </w:t>
      </w:r>
      <w:r w:rsidRPr="00326791">
        <w:rPr>
          <w:sz w:val="24"/>
          <w:szCs w:val="24"/>
          <w:lang w:val="en-GB"/>
        </w:rPr>
        <w:t xml:space="preserve">chemotherapy was delivered in 158 of 217 (72.8%) patients (data from 6 </w:t>
      </w:r>
      <w:r w:rsidR="00C55139" w:rsidRPr="00326791">
        <w:rPr>
          <w:sz w:val="24"/>
          <w:szCs w:val="24"/>
          <w:lang w:val="en-GB"/>
        </w:rPr>
        <w:t>cohorts</w:t>
      </w:r>
      <w:r w:rsidRPr="00326791">
        <w:rPr>
          <w:sz w:val="24"/>
          <w:szCs w:val="24"/>
          <w:lang w:val="en-GB"/>
        </w:rPr>
        <w:t>). In the SIRT group, glass-microspheres were used in 7 of</w:t>
      </w:r>
      <w:r w:rsidR="00C55139" w:rsidRPr="00326791">
        <w:rPr>
          <w:sz w:val="24"/>
          <w:szCs w:val="24"/>
          <w:lang w:val="en-GB"/>
        </w:rPr>
        <w:t xml:space="preserve"> </w:t>
      </w:r>
      <w:r w:rsidRPr="00326791">
        <w:rPr>
          <w:sz w:val="24"/>
          <w:szCs w:val="24"/>
          <w:lang w:val="en-GB"/>
        </w:rPr>
        <w:t xml:space="preserve">24 cohorts, resin-microspheres in 12, and mixed in 5. A mean of 1.3 sessions were performed (data from 12 cohorts). </w:t>
      </w:r>
      <w:r w:rsidR="0068347C">
        <w:rPr>
          <w:sz w:val="24"/>
          <w:szCs w:val="24"/>
          <w:lang w:val="en-GB"/>
        </w:rPr>
        <w:t>Radioactive a</w:t>
      </w:r>
      <w:r w:rsidRPr="00326791">
        <w:rPr>
          <w:sz w:val="24"/>
          <w:szCs w:val="24"/>
          <w:lang w:val="en-GB"/>
        </w:rPr>
        <w:t>ctivity data were provided for 12 cohorts, but tumour dose only in 4. Concomitant systemic chemo</w:t>
      </w:r>
      <w:r w:rsidR="005E0183" w:rsidRPr="00326791">
        <w:rPr>
          <w:sz w:val="24"/>
          <w:szCs w:val="24"/>
          <w:lang w:val="en-GB"/>
        </w:rPr>
        <w:t>therapy</w:t>
      </w:r>
      <w:r w:rsidRPr="00326791">
        <w:rPr>
          <w:sz w:val="24"/>
          <w:szCs w:val="24"/>
          <w:lang w:val="en-GB"/>
        </w:rPr>
        <w:t xml:space="preserve"> was delivered in 63 of 221 (29.9%) patients (data from 4 cohorts). In the TACE </w:t>
      </w:r>
      <w:r w:rsidRPr="00326791">
        <w:rPr>
          <w:sz w:val="24"/>
          <w:szCs w:val="24"/>
          <w:lang w:val="en-GB"/>
        </w:rPr>
        <w:lastRenderedPageBreak/>
        <w:t xml:space="preserve">group, lipiodol </w:t>
      </w:r>
      <w:r w:rsidR="00AE7791">
        <w:rPr>
          <w:sz w:val="24"/>
          <w:szCs w:val="24"/>
          <w:lang w:val="en-GB"/>
        </w:rPr>
        <w:t>(</w:t>
      </w:r>
      <w:proofErr w:type="spellStart"/>
      <w:r w:rsidR="00AE7791">
        <w:rPr>
          <w:sz w:val="24"/>
          <w:szCs w:val="24"/>
          <w:lang w:val="en-GB"/>
        </w:rPr>
        <w:t>ie</w:t>
      </w:r>
      <w:proofErr w:type="spellEnd"/>
      <w:r w:rsidR="00AE7791">
        <w:rPr>
          <w:sz w:val="24"/>
          <w:szCs w:val="24"/>
          <w:lang w:val="en-GB"/>
        </w:rPr>
        <w:t xml:space="preserve">, conventional TACE) </w:t>
      </w:r>
      <w:r w:rsidRPr="00326791">
        <w:rPr>
          <w:sz w:val="24"/>
          <w:szCs w:val="24"/>
          <w:lang w:val="en-GB"/>
        </w:rPr>
        <w:t>was used in 7 of 19, drug-eluting beads in 6, other or mixed in 6. Emboli</w:t>
      </w:r>
      <w:r w:rsidR="003E6E26">
        <w:rPr>
          <w:sz w:val="24"/>
          <w:szCs w:val="24"/>
          <w:lang w:val="en-GB"/>
        </w:rPr>
        <w:t>s</w:t>
      </w:r>
      <w:r w:rsidRPr="00326791">
        <w:rPr>
          <w:sz w:val="24"/>
          <w:szCs w:val="24"/>
          <w:lang w:val="en-GB"/>
        </w:rPr>
        <w:t xml:space="preserve">ation was </w:t>
      </w:r>
      <w:r w:rsidR="003E6E26">
        <w:rPr>
          <w:sz w:val="24"/>
          <w:szCs w:val="24"/>
          <w:lang w:val="en-GB"/>
        </w:rPr>
        <w:t>performed</w:t>
      </w:r>
      <w:r w:rsidR="003E6E26" w:rsidRPr="00326791">
        <w:rPr>
          <w:sz w:val="24"/>
          <w:szCs w:val="24"/>
          <w:lang w:val="en-GB"/>
        </w:rPr>
        <w:t xml:space="preserve"> </w:t>
      </w:r>
      <w:r w:rsidRPr="00326791">
        <w:rPr>
          <w:sz w:val="24"/>
          <w:szCs w:val="24"/>
          <w:lang w:val="en-GB"/>
        </w:rPr>
        <w:t xml:space="preserve">without chemotherapy in 2 of 22 cohorts, </w:t>
      </w:r>
      <w:proofErr w:type="spellStart"/>
      <w:r w:rsidRPr="00326791">
        <w:rPr>
          <w:sz w:val="24"/>
          <w:szCs w:val="24"/>
          <w:lang w:val="en-GB"/>
        </w:rPr>
        <w:t>anthracyclin</w:t>
      </w:r>
      <w:r w:rsidR="008D456D">
        <w:rPr>
          <w:sz w:val="24"/>
          <w:szCs w:val="24"/>
          <w:lang w:val="en-GB"/>
        </w:rPr>
        <w:t>e</w:t>
      </w:r>
      <w:proofErr w:type="spellEnd"/>
      <w:r w:rsidRPr="00326791">
        <w:rPr>
          <w:sz w:val="24"/>
          <w:szCs w:val="24"/>
          <w:lang w:val="en-GB"/>
        </w:rPr>
        <w:t xml:space="preserve"> single-agent in 3; platinum single</w:t>
      </w:r>
      <w:r w:rsidR="00C55139" w:rsidRPr="00326791">
        <w:rPr>
          <w:sz w:val="24"/>
          <w:szCs w:val="24"/>
          <w:lang w:val="en-GB"/>
        </w:rPr>
        <w:t>-</w:t>
      </w:r>
      <w:r w:rsidRPr="00326791">
        <w:rPr>
          <w:sz w:val="24"/>
          <w:szCs w:val="24"/>
          <w:lang w:val="en-GB"/>
        </w:rPr>
        <w:t xml:space="preserve">agent in 2, multidrug in 6, </w:t>
      </w:r>
      <w:r w:rsidR="009B54CF">
        <w:rPr>
          <w:sz w:val="24"/>
          <w:szCs w:val="24"/>
          <w:lang w:val="en-GB"/>
        </w:rPr>
        <w:t>mixed regimen</w:t>
      </w:r>
      <w:r w:rsidRPr="00326791">
        <w:rPr>
          <w:sz w:val="24"/>
          <w:szCs w:val="24"/>
          <w:lang w:val="en-GB"/>
        </w:rPr>
        <w:t xml:space="preserve"> in 9. A mean of 3.0 sessions was delivered. Concomitant systemic chemotherapy was delivered in 29 of 39 (74.4%) patients (data only from 2 cohorts). In the HAI group, </w:t>
      </w:r>
      <w:proofErr w:type="spellStart"/>
      <w:r w:rsidRPr="00326791">
        <w:rPr>
          <w:sz w:val="24"/>
          <w:szCs w:val="24"/>
          <w:lang w:val="en-GB"/>
        </w:rPr>
        <w:t>floxuridine</w:t>
      </w:r>
      <w:proofErr w:type="spellEnd"/>
      <w:r w:rsidRPr="00326791">
        <w:rPr>
          <w:sz w:val="24"/>
          <w:szCs w:val="24"/>
          <w:lang w:val="en-GB"/>
        </w:rPr>
        <w:t xml:space="preserve"> (FUDR) was used in 2 of 13 cohorts, gemcitabine-based in 3, platinum-based in 4, mixed in 4. A mean of 9.3 cycles were delivered (data from 10 cohorts). </w:t>
      </w:r>
      <w:commentRangeStart w:id="7"/>
      <w:commentRangeStart w:id="8"/>
      <w:r w:rsidRPr="00326791">
        <w:rPr>
          <w:sz w:val="24"/>
          <w:szCs w:val="24"/>
          <w:lang w:val="en-GB"/>
        </w:rPr>
        <w:t xml:space="preserve">Concomitant </w:t>
      </w:r>
      <w:r w:rsidR="005E0183" w:rsidRPr="00326791">
        <w:rPr>
          <w:sz w:val="24"/>
          <w:szCs w:val="24"/>
          <w:lang w:val="en-GB"/>
        </w:rPr>
        <w:t xml:space="preserve">systemic </w:t>
      </w:r>
      <w:r w:rsidRPr="00326791">
        <w:rPr>
          <w:sz w:val="24"/>
          <w:szCs w:val="24"/>
          <w:lang w:val="en-GB"/>
        </w:rPr>
        <w:t>chemotherapy was delivered in 193 of 201 (96.0%) patients (data from 8 cohorts)</w:t>
      </w:r>
      <w:commentRangeEnd w:id="7"/>
      <w:r w:rsidR="0052434C">
        <w:rPr>
          <w:rStyle w:val="Marquedecommentaire"/>
        </w:rPr>
        <w:commentReference w:id="7"/>
      </w:r>
      <w:commentRangeEnd w:id="8"/>
      <w:r w:rsidR="00A97E96">
        <w:rPr>
          <w:rStyle w:val="Marquedecommentaire"/>
        </w:rPr>
        <w:commentReference w:id="8"/>
      </w:r>
      <w:r w:rsidRPr="00326791">
        <w:rPr>
          <w:sz w:val="24"/>
          <w:szCs w:val="24"/>
          <w:lang w:val="en-GB"/>
        </w:rPr>
        <w:t>.</w:t>
      </w:r>
    </w:p>
    <w:p w14:paraId="3E0E0577" w14:textId="77777777" w:rsidR="00B85F08" w:rsidRPr="00326791" w:rsidRDefault="00B85F08" w:rsidP="00B85F08">
      <w:pPr>
        <w:spacing w:line="480" w:lineRule="auto"/>
        <w:rPr>
          <w:i/>
          <w:sz w:val="24"/>
          <w:szCs w:val="24"/>
          <w:lang w:val="en-GB"/>
        </w:rPr>
      </w:pPr>
      <w:r w:rsidRPr="00326791">
        <w:rPr>
          <w:i/>
          <w:sz w:val="24"/>
          <w:szCs w:val="24"/>
          <w:lang w:val="en-GB"/>
        </w:rPr>
        <w:t>Outcomes</w:t>
      </w:r>
    </w:p>
    <w:p w14:paraId="500A6DE9" w14:textId="5C6F11DD" w:rsidR="00597B4D" w:rsidRPr="00AE48B6" w:rsidRDefault="008F28EC" w:rsidP="00AE48B6">
      <w:pPr>
        <w:spacing w:line="480" w:lineRule="auto"/>
        <w:rPr>
          <w:sz w:val="24"/>
          <w:szCs w:val="24"/>
          <w:lang w:val="en-GB"/>
        </w:rPr>
      </w:pPr>
      <w:r w:rsidRPr="00AE48B6">
        <w:rPr>
          <w:sz w:val="24"/>
          <w:szCs w:val="24"/>
          <w:lang w:val="en-GB"/>
        </w:rPr>
        <w:t>P</w:t>
      </w:r>
      <w:r w:rsidR="00645E43" w:rsidRPr="00AE48B6">
        <w:rPr>
          <w:sz w:val="24"/>
          <w:szCs w:val="24"/>
          <w:lang w:val="en-GB"/>
        </w:rPr>
        <w:t>ooled outcomes are presented on Table 3</w:t>
      </w:r>
      <w:r w:rsidRPr="00AE48B6">
        <w:rPr>
          <w:sz w:val="24"/>
          <w:szCs w:val="24"/>
          <w:lang w:val="en-GB"/>
        </w:rPr>
        <w:t>, and main results are summari</w:t>
      </w:r>
      <w:r w:rsidR="00473097">
        <w:rPr>
          <w:sz w:val="24"/>
          <w:szCs w:val="24"/>
          <w:lang w:val="en-GB"/>
        </w:rPr>
        <w:t>s</w:t>
      </w:r>
      <w:r w:rsidRPr="00AE48B6">
        <w:rPr>
          <w:sz w:val="24"/>
          <w:szCs w:val="24"/>
          <w:lang w:val="en-GB"/>
        </w:rPr>
        <w:t xml:space="preserve">ed </w:t>
      </w:r>
      <w:r w:rsidR="008D456D">
        <w:rPr>
          <w:sz w:val="24"/>
          <w:szCs w:val="24"/>
          <w:lang w:val="en-GB"/>
        </w:rPr>
        <w:t>in</w:t>
      </w:r>
      <w:r w:rsidR="008D456D" w:rsidRPr="00AE48B6">
        <w:rPr>
          <w:sz w:val="24"/>
          <w:szCs w:val="24"/>
          <w:lang w:val="en-GB"/>
        </w:rPr>
        <w:t xml:space="preserve"> </w:t>
      </w:r>
      <w:r w:rsidRPr="00AE48B6">
        <w:rPr>
          <w:sz w:val="24"/>
          <w:szCs w:val="24"/>
          <w:lang w:val="en-GB"/>
        </w:rPr>
        <w:t>Figure 2</w:t>
      </w:r>
      <w:r w:rsidR="00645E43" w:rsidRPr="00AE48B6">
        <w:rPr>
          <w:sz w:val="24"/>
          <w:szCs w:val="24"/>
          <w:lang w:val="en-GB"/>
        </w:rPr>
        <w:t>.</w:t>
      </w:r>
      <w:r w:rsidRPr="00AE48B6">
        <w:rPr>
          <w:sz w:val="24"/>
          <w:szCs w:val="24"/>
          <w:lang w:val="en-GB"/>
        </w:rPr>
        <w:t xml:space="preserve"> </w:t>
      </w:r>
    </w:p>
    <w:p w14:paraId="3B275F35" w14:textId="583A1C11" w:rsidR="00897412" w:rsidRPr="00AE48B6" w:rsidRDefault="00897412" w:rsidP="00597B4D">
      <w:pPr>
        <w:spacing w:line="480" w:lineRule="auto"/>
        <w:rPr>
          <w:sz w:val="24"/>
          <w:szCs w:val="24"/>
          <w:lang w:val="en-GB"/>
        </w:rPr>
      </w:pPr>
      <w:r w:rsidRPr="00AE48B6">
        <w:rPr>
          <w:sz w:val="24"/>
          <w:szCs w:val="24"/>
          <w:lang w:val="en-GB"/>
        </w:rPr>
        <w:t>Forest-plot of</w:t>
      </w:r>
      <w:r w:rsidR="002B146F" w:rsidRPr="00AE48B6">
        <w:rPr>
          <w:sz w:val="24"/>
          <w:szCs w:val="24"/>
          <w:lang w:val="en-GB"/>
        </w:rPr>
        <w:t xml:space="preserve"> meta-analyses of proportions </w:t>
      </w:r>
      <w:r w:rsidR="002B146F" w:rsidRPr="00E636FA">
        <w:rPr>
          <w:sz w:val="24"/>
          <w:szCs w:val="24"/>
          <w:lang w:val="en-GB"/>
        </w:rPr>
        <w:t>estimating pooled</w:t>
      </w:r>
      <w:r w:rsidRPr="00E636FA">
        <w:rPr>
          <w:sz w:val="24"/>
          <w:szCs w:val="24"/>
          <w:lang w:val="en-GB"/>
        </w:rPr>
        <w:t xml:space="preserve"> </w:t>
      </w:r>
      <w:commentRangeStart w:id="9"/>
      <w:commentRangeStart w:id="10"/>
      <w:commentRangeStart w:id="11"/>
      <w:r w:rsidRPr="00E636FA">
        <w:rPr>
          <w:sz w:val="24"/>
          <w:szCs w:val="24"/>
          <w:lang w:val="en-GB"/>
        </w:rPr>
        <w:t>response</w:t>
      </w:r>
      <w:commentRangeEnd w:id="9"/>
      <w:r w:rsidR="002B146F" w:rsidRPr="00E636FA">
        <w:rPr>
          <w:rStyle w:val="Marquedecommentaire"/>
          <w:lang w:val="en-GB"/>
        </w:rPr>
        <w:commentReference w:id="9"/>
      </w:r>
      <w:commentRangeEnd w:id="10"/>
      <w:r w:rsidR="0061778B" w:rsidRPr="00E636FA">
        <w:rPr>
          <w:rStyle w:val="Marquedecommentaire"/>
        </w:rPr>
        <w:commentReference w:id="10"/>
      </w:r>
      <w:commentRangeEnd w:id="11"/>
      <w:r w:rsidR="00FF67FF" w:rsidRPr="00E636FA">
        <w:rPr>
          <w:rStyle w:val="Marquedecommentaire"/>
        </w:rPr>
        <w:commentReference w:id="11"/>
      </w:r>
      <w:r w:rsidRPr="00E636FA">
        <w:rPr>
          <w:sz w:val="24"/>
          <w:szCs w:val="24"/>
          <w:lang w:val="en-GB"/>
        </w:rPr>
        <w:t xml:space="preserve"> rates across the different group</w:t>
      </w:r>
      <w:r w:rsidR="000D4365">
        <w:rPr>
          <w:sz w:val="24"/>
          <w:szCs w:val="24"/>
          <w:lang w:val="en-GB"/>
        </w:rPr>
        <w:t>s</w:t>
      </w:r>
      <w:r w:rsidRPr="00E636FA">
        <w:rPr>
          <w:sz w:val="24"/>
          <w:szCs w:val="24"/>
          <w:lang w:val="en-GB"/>
        </w:rPr>
        <w:t xml:space="preserve"> are pr</w:t>
      </w:r>
      <w:r w:rsidR="00AE652C" w:rsidRPr="00E636FA">
        <w:rPr>
          <w:sz w:val="24"/>
          <w:szCs w:val="24"/>
          <w:lang w:val="en-GB"/>
        </w:rPr>
        <w:t>esented in Supplementary Figure 2</w:t>
      </w:r>
      <w:r w:rsidRPr="00E636FA">
        <w:rPr>
          <w:sz w:val="24"/>
          <w:szCs w:val="24"/>
          <w:lang w:val="en-GB"/>
        </w:rPr>
        <w:t>.</w:t>
      </w:r>
      <w:r w:rsidR="00E636FA" w:rsidRPr="00E636FA">
        <w:rPr>
          <w:sz w:val="24"/>
          <w:szCs w:val="24"/>
          <w:lang w:val="en-GB"/>
        </w:rPr>
        <w:t xml:space="preserve"> Regarding pooled response rates,</w:t>
      </w:r>
      <w:r w:rsidR="00E636FA" w:rsidRPr="00AE48B6">
        <w:rPr>
          <w:sz w:val="24"/>
          <w:szCs w:val="24"/>
          <w:lang w:val="en-GB"/>
        </w:rPr>
        <w:t xml:space="preserve"> every estimate </w:t>
      </w:r>
      <w:r w:rsidR="00E636FA">
        <w:rPr>
          <w:sz w:val="24"/>
          <w:szCs w:val="24"/>
          <w:lang w:val="en-GB"/>
        </w:rPr>
        <w:t>demonstrated</w:t>
      </w:r>
      <w:r w:rsidR="00E636FA" w:rsidRPr="00AE48B6">
        <w:rPr>
          <w:sz w:val="24"/>
          <w:szCs w:val="24"/>
          <w:lang w:val="en-GB"/>
        </w:rPr>
        <w:t xml:space="preserve"> significant evidence of heterogeneity, except for complete response rate after ablation. </w:t>
      </w:r>
    </w:p>
    <w:p w14:paraId="707C4CBE" w14:textId="0F5CED9B" w:rsidR="00597B4D" w:rsidRPr="00AE48B6" w:rsidRDefault="00597B4D" w:rsidP="00597B4D">
      <w:pPr>
        <w:spacing w:line="480" w:lineRule="auto"/>
        <w:rPr>
          <w:rFonts w:cs="Calibri"/>
          <w:sz w:val="24"/>
          <w:szCs w:val="24"/>
          <w:lang w:val="en-GB"/>
        </w:rPr>
      </w:pPr>
      <w:r w:rsidRPr="00AE48B6">
        <w:rPr>
          <w:sz w:val="24"/>
          <w:szCs w:val="24"/>
          <w:lang w:val="en-GB"/>
        </w:rPr>
        <w:t xml:space="preserve">Ablation was associated </w:t>
      </w:r>
      <w:r w:rsidR="00E636FA" w:rsidRPr="00AE48B6">
        <w:rPr>
          <w:rFonts w:cs="Calibri"/>
          <w:sz w:val="24"/>
          <w:szCs w:val="24"/>
          <w:lang w:val="en-GB"/>
        </w:rPr>
        <w:t>a pooled complete response rate of 93.9%, without evidence of heterogeneity</w:t>
      </w:r>
      <w:r w:rsidR="000D4365">
        <w:rPr>
          <w:rFonts w:cs="Calibri"/>
          <w:sz w:val="24"/>
          <w:szCs w:val="24"/>
          <w:lang w:val="en-GB"/>
        </w:rPr>
        <w:t>,</w:t>
      </w:r>
      <w:r w:rsidR="00E636FA" w:rsidRPr="00AE48B6">
        <w:rPr>
          <w:sz w:val="24"/>
          <w:szCs w:val="24"/>
          <w:lang w:val="en-GB"/>
        </w:rPr>
        <w:t xml:space="preserve"> </w:t>
      </w:r>
      <w:r w:rsidR="00E636FA" w:rsidRPr="00AE48B6">
        <w:rPr>
          <w:rFonts w:cs="Calibri"/>
          <w:sz w:val="24"/>
          <w:szCs w:val="24"/>
          <w:lang w:val="en-GB"/>
        </w:rPr>
        <w:t>and</w:t>
      </w:r>
      <w:r w:rsidR="00E636FA" w:rsidRPr="00AE48B6">
        <w:rPr>
          <w:sz w:val="24"/>
          <w:szCs w:val="24"/>
          <w:lang w:val="en-GB"/>
        </w:rPr>
        <w:t xml:space="preserve"> </w:t>
      </w:r>
      <w:r w:rsidRPr="00AE48B6">
        <w:rPr>
          <w:sz w:val="24"/>
          <w:szCs w:val="24"/>
          <w:lang w:val="en-GB"/>
        </w:rPr>
        <w:t xml:space="preserve">with a pooled weighted </w:t>
      </w:r>
      <w:r w:rsidR="002B146F" w:rsidRPr="00AE48B6">
        <w:rPr>
          <w:sz w:val="24"/>
          <w:szCs w:val="24"/>
          <w:lang w:val="en-GB"/>
        </w:rPr>
        <w:t xml:space="preserve">mean </w:t>
      </w:r>
      <w:r w:rsidRPr="00AE48B6">
        <w:rPr>
          <w:sz w:val="24"/>
          <w:szCs w:val="24"/>
          <w:lang w:val="en-GB"/>
        </w:rPr>
        <w:t xml:space="preserve">OS of </w:t>
      </w:r>
      <w:r w:rsidRPr="00AE48B6">
        <w:rPr>
          <w:rFonts w:cs="Calibri"/>
          <w:sz w:val="24"/>
          <w:szCs w:val="24"/>
          <w:lang w:val="en-GB"/>
        </w:rPr>
        <w:t xml:space="preserve">30.2 months (95% CI: 21.8-38.6). EBRT was associated with a </w:t>
      </w:r>
      <w:r w:rsidR="00E636FA" w:rsidRPr="00AE48B6">
        <w:rPr>
          <w:rFonts w:cs="Calibri"/>
          <w:sz w:val="24"/>
          <w:szCs w:val="24"/>
          <w:lang w:val="en-GB"/>
        </w:rPr>
        <w:t>weighted mean 2-years local control rate was 69.1% (95% CI: 48.1-90.2)</w:t>
      </w:r>
      <w:r w:rsidR="00E636FA">
        <w:rPr>
          <w:rFonts w:cs="Calibri"/>
          <w:sz w:val="24"/>
          <w:szCs w:val="24"/>
          <w:lang w:val="en-GB"/>
        </w:rPr>
        <w:t xml:space="preserve">, a </w:t>
      </w:r>
      <w:r w:rsidR="00E636FA" w:rsidRPr="00AE48B6">
        <w:rPr>
          <w:sz w:val="24"/>
          <w:szCs w:val="24"/>
          <w:lang w:val="en-GB"/>
        </w:rPr>
        <w:t>pooled weighted mean</w:t>
      </w:r>
      <w:r w:rsidR="00E636FA">
        <w:rPr>
          <w:rFonts w:cs="Calibri"/>
          <w:sz w:val="24"/>
          <w:szCs w:val="24"/>
          <w:lang w:val="en-GB"/>
        </w:rPr>
        <w:t xml:space="preserve"> </w:t>
      </w:r>
      <w:r w:rsidR="000D4365">
        <w:rPr>
          <w:rFonts w:cs="Calibri"/>
          <w:sz w:val="24"/>
          <w:szCs w:val="24"/>
          <w:lang w:val="en-GB"/>
        </w:rPr>
        <w:t xml:space="preserve">PFS </w:t>
      </w:r>
      <w:r w:rsidR="00E636FA">
        <w:rPr>
          <w:rFonts w:cs="Calibri"/>
          <w:sz w:val="24"/>
          <w:szCs w:val="24"/>
          <w:lang w:val="en-GB"/>
        </w:rPr>
        <w:t xml:space="preserve">of 15.6 months </w:t>
      </w:r>
      <w:r w:rsidR="00E636FA" w:rsidRPr="00AE48B6">
        <w:rPr>
          <w:rFonts w:cs="Calibri"/>
          <w:sz w:val="24"/>
          <w:szCs w:val="24"/>
          <w:lang w:val="en-GB"/>
        </w:rPr>
        <w:t xml:space="preserve">(95% </w:t>
      </w:r>
      <w:r w:rsidR="00E636FA">
        <w:rPr>
          <w:rFonts w:cs="Calibri"/>
          <w:sz w:val="24"/>
          <w:szCs w:val="24"/>
          <w:lang w:val="en-GB"/>
        </w:rPr>
        <w:t xml:space="preserve">CI: 5.4-24.7), and a </w:t>
      </w:r>
      <w:r w:rsidRPr="00AE48B6">
        <w:rPr>
          <w:sz w:val="24"/>
          <w:szCs w:val="24"/>
          <w:lang w:val="en-GB"/>
        </w:rPr>
        <w:t xml:space="preserve">pooled weighted </w:t>
      </w:r>
      <w:r w:rsidR="002B146F" w:rsidRPr="00AE48B6">
        <w:rPr>
          <w:sz w:val="24"/>
          <w:szCs w:val="24"/>
          <w:lang w:val="en-GB"/>
        </w:rPr>
        <w:t xml:space="preserve">mean </w:t>
      </w:r>
      <w:r w:rsidR="00BB39EC">
        <w:rPr>
          <w:sz w:val="24"/>
          <w:szCs w:val="24"/>
          <w:lang w:val="en-GB"/>
        </w:rPr>
        <w:t xml:space="preserve">OS </w:t>
      </w:r>
      <w:r w:rsidRPr="00AE48B6">
        <w:rPr>
          <w:sz w:val="24"/>
          <w:szCs w:val="24"/>
          <w:lang w:val="en-GB"/>
        </w:rPr>
        <w:t xml:space="preserve">of </w:t>
      </w:r>
      <w:r w:rsidRPr="00AE48B6">
        <w:rPr>
          <w:rFonts w:cs="Calibri"/>
          <w:sz w:val="24"/>
          <w:szCs w:val="24"/>
          <w:lang w:val="en-GB"/>
        </w:rPr>
        <w:t>18.9 months (95%</w:t>
      </w:r>
      <w:r w:rsidR="005E0183" w:rsidRPr="00AE48B6">
        <w:rPr>
          <w:rFonts w:cs="Calibri"/>
          <w:sz w:val="24"/>
          <w:szCs w:val="24"/>
          <w:lang w:val="en-GB"/>
        </w:rPr>
        <w:t xml:space="preserve"> </w:t>
      </w:r>
      <w:r w:rsidR="00E636FA">
        <w:rPr>
          <w:rFonts w:cs="Calibri"/>
          <w:sz w:val="24"/>
          <w:szCs w:val="24"/>
          <w:lang w:val="en-GB"/>
        </w:rPr>
        <w:t>CI: 14.2-23.5)</w:t>
      </w:r>
      <w:r w:rsidRPr="00AE48B6">
        <w:rPr>
          <w:rFonts w:cs="Calibri"/>
          <w:sz w:val="24"/>
          <w:szCs w:val="24"/>
          <w:lang w:val="en-GB"/>
        </w:rPr>
        <w:t xml:space="preserve">. For IAT, </w:t>
      </w:r>
      <w:r w:rsidR="00E636FA" w:rsidRPr="00AE48B6">
        <w:rPr>
          <w:rFonts w:cs="Calibri"/>
          <w:sz w:val="24"/>
          <w:szCs w:val="24"/>
          <w:lang w:val="en-GB"/>
        </w:rPr>
        <w:t xml:space="preserve">pooled response rates </w:t>
      </w:r>
      <w:r w:rsidR="009B54CF">
        <w:rPr>
          <w:rFonts w:cs="Calibri"/>
          <w:sz w:val="24"/>
          <w:szCs w:val="24"/>
          <w:lang w:val="en-GB"/>
        </w:rPr>
        <w:t xml:space="preserve">ranged </w:t>
      </w:r>
      <w:r w:rsidR="00E636FA" w:rsidRPr="00AE48B6">
        <w:rPr>
          <w:rFonts w:cs="Calibri"/>
          <w:sz w:val="24"/>
          <w:szCs w:val="24"/>
          <w:lang w:val="en-GB"/>
        </w:rPr>
        <w:t xml:space="preserve">between 23.4% </w:t>
      </w:r>
      <w:r w:rsidR="00E636FA">
        <w:rPr>
          <w:rFonts w:cs="Calibri"/>
          <w:sz w:val="24"/>
          <w:szCs w:val="24"/>
          <w:lang w:val="en-GB"/>
        </w:rPr>
        <w:t>and</w:t>
      </w:r>
      <w:r w:rsidR="00E636FA" w:rsidRPr="00AE48B6">
        <w:rPr>
          <w:rFonts w:cs="Calibri"/>
          <w:sz w:val="24"/>
          <w:szCs w:val="24"/>
          <w:lang w:val="en-GB"/>
        </w:rPr>
        <w:t xml:space="preserve"> 41.3%, in every case with strong evidence for heterogeneity within each modality</w:t>
      </w:r>
      <w:r w:rsidR="00E636FA">
        <w:rPr>
          <w:rFonts w:cs="Calibri"/>
          <w:sz w:val="24"/>
          <w:szCs w:val="24"/>
          <w:lang w:val="en-GB"/>
        </w:rPr>
        <w:t xml:space="preserve">, </w:t>
      </w:r>
      <w:r w:rsidR="00E636FA" w:rsidRPr="00AE48B6">
        <w:rPr>
          <w:rFonts w:cs="Calibri"/>
          <w:sz w:val="24"/>
          <w:szCs w:val="24"/>
          <w:lang w:val="en-GB"/>
        </w:rPr>
        <w:t xml:space="preserve">with pooled weighted mean </w:t>
      </w:r>
      <w:r w:rsidR="00E636FA">
        <w:rPr>
          <w:rFonts w:cs="Calibri"/>
          <w:sz w:val="24"/>
          <w:szCs w:val="24"/>
          <w:lang w:val="en-GB"/>
        </w:rPr>
        <w:t>PFS ranging from 7.8 to 10.1 months, and</w:t>
      </w:r>
      <w:r w:rsidR="00E636FA" w:rsidRPr="00AE48B6">
        <w:rPr>
          <w:rFonts w:cs="Calibri"/>
          <w:sz w:val="24"/>
          <w:szCs w:val="24"/>
          <w:lang w:val="en-GB"/>
        </w:rPr>
        <w:t xml:space="preserve"> </w:t>
      </w:r>
      <w:r w:rsidRPr="00AE48B6">
        <w:rPr>
          <w:rFonts w:cs="Calibri"/>
          <w:sz w:val="24"/>
          <w:szCs w:val="24"/>
          <w:lang w:val="en-GB"/>
        </w:rPr>
        <w:t xml:space="preserve">pooled </w:t>
      </w:r>
      <w:r w:rsidR="002B146F" w:rsidRPr="00AE48B6">
        <w:rPr>
          <w:rFonts w:cs="Calibri"/>
          <w:sz w:val="24"/>
          <w:szCs w:val="24"/>
          <w:lang w:val="en-GB"/>
        </w:rPr>
        <w:t xml:space="preserve">weighted </w:t>
      </w:r>
      <w:r w:rsidRPr="00AE48B6">
        <w:rPr>
          <w:rFonts w:cs="Calibri"/>
          <w:sz w:val="24"/>
          <w:szCs w:val="24"/>
          <w:lang w:val="en-GB"/>
        </w:rPr>
        <w:t>m</w:t>
      </w:r>
      <w:r w:rsidR="00E636FA">
        <w:rPr>
          <w:rFonts w:cs="Calibri"/>
          <w:sz w:val="24"/>
          <w:szCs w:val="24"/>
          <w:lang w:val="en-GB"/>
        </w:rPr>
        <w:t>ean OS ranged from 14.1 to 21.3 months</w:t>
      </w:r>
      <w:r w:rsidRPr="00AE48B6">
        <w:rPr>
          <w:rFonts w:cs="Calibri"/>
          <w:sz w:val="24"/>
          <w:szCs w:val="24"/>
          <w:lang w:val="en-GB"/>
        </w:rPr>
        <w:t>.</w:t>
      </w:r>
    </w:p>
    <w:p w14:paraId="6B9902B7" w14:textId="6AEAC9E5" w:rsidR="00597B4D" w:rsidRPr="00AE48B6" w:rsidRDefault="009B54CF" w:rsidP="00597B4D">
      <w:pPr>
        <w:spacing w:line="480" w:lineRule="auto"/>
        <w:rPr>
          <w:rFonts w:cs="Calibri"/>
          <w:sz w:val="24"/>
          <w:szCs w:val="24"/>
          <w:lang w:val="en-GB"/>
        </w:rPr>
      </w:pPr>
      <w:r>
        <w:rPr>
          <w:rFonts w:cs="Calibri"/>
          <w:sz w:val="24"/>
          <w:szCs w:val="24"/>
          <w:lang w:val="en-GB"/>
        </w:rPr>
        <w:lastRenderedPageBreak/>
        <w:t>T</w:t>
      </w:r>
      <w:r w:rsidR="0090418F">
        <w:rPr>
          <w:rFonts w:cs="Calibri"/>
          <w:sz w:val="24"/>
          <w:szCs w:val="24"/>
          <w:lang w:val="en-GB"/>
        </w:rPr>
        <w:t xml:space="preserve">he </w:t>
      </w:r>
      <w:r w:rsidR="00597B4D" w:rsidRPr="00AE48B6">
        <w:rPr>
          <w:rFonts w:cs="Calibri"/>
          <w:sz w:val="24"/>
          <w:szCs w:val="24"/>
          <w:lang w:val="en-GB"/>
        </w:rPr>
        <w:t xml:space="preserve">number of studies reporting </w:t>
      </w:r>
      <w:r w:rsidRPr="00AE48B6">
        <w:rPr>
          <w:rFonts w:cs="Calibri"/>
          <w:sz w:val="24"/>
          <w:szCs w:val="24"/>
          <w:lang w:val="en-GB"/>
        </w:rPr>
        <w:t>sub-groups of patients with liver-only disease, patients treated previous</w:t>
      </w:r>
      <w:r w:rsidR="000D4365">
        <w:rPr>
          <w:rFonts w:cs="Calibri"/>
          <w:sz w:val="24"/>
          <w:szCs w:val="24"/>
          <w:lang w:val="en-GB"/>
        </w:rPr>
        <w:t>ly with</w:t>
      </w:r>
      <w:r w:rsidRPr="00AE48B6">
        <w:rPr>
          <w:rFonts w:cs="Calibri"/>
          <w:sz w:val="24"/>
          <w:szCs w:val="24"/>
          <w:lang w:val="en-GB"/>
        </w:rPr>
        <w:t xml:space="preserve"> systemic chemotherapy </w:t>
      </w:r>
      <w:r w:rsidR="00597B4D" w:rsidRPr="00AE48B6">
        <w:rPr>
          <w:rFonts w:cs="Calibri"/>
          <w:sz w:val="24"/>
          <w:szCs w:val="24"/>
          <w:lang w:val="en-GB"/>
        </w:rPr>
        <w:t xml:space="preserve">were insufficient to pool, and </w:t>
      </w:r>
      <w:r w:rsidR="0090418F">
        <w:rPr>
          <w:rFonts w:cs="Calibri"/>
          <w:sz w:val="24"/>
          <w:szCs w:val="24"/>
          <w:lang w:val="en-GB"/>
        </w:rPr>
        <w:t xml:space="preserve">the </w:t>
      </w:r>
      <w:r w:rsidR="00712F2E" w:rsidRPr="00AE48B6">
        <w:rPr>
          <w:rFonts w:cs="Calibri"/>
          <w:sz w:val="24"/>
          <w:szCs w:val="24"/>
          <w:lang w:val="en-GB"/>
        </w:rPr>
        <w:t>number of studies reporting results</w:t>
      </w:r>
      <w:r w:rsidR="00597B4D" w:rsidRPr="00AE48B6">
        <w:rPr>
          <w:rFonts w:cs="Calibri"/>
          <w:sz w:val="24"/>
          <w:szCs w:val="24"/>
          <w:lang w:val="en-GB"/>
        </w:rPr>
        <w:t xml:space="preserve"> for patients with first-line and </w:t>
      </w:r>
      <w:r w:rsidR="00E636FA">
        <w:rPr>
          <w:rFonts w:cs="Calibri"/>
          <w:sz w:val="24"/>
          <w:szCs w:val="24"/>
          <w:lang w:val="en-GB"/>
        </w:rPr>
        <w:t xml:space="preserve">in first-line </w:t>
      </w:r>
      <w:r w:rsidR="00597B4D" w:rsidRPr="00AE48B6">
        <w:rPr>
          <w:rFonts w:cs="Calibri"/>
          <w:sz w:val="24"/>
          <w:szCs w:val="24"/>
          <w:lang w:val="en-GB"/>
        </w:rPr>
        <w:t xml:space="preserve">with </w:t>
      </w:r>
      <w:r w:rsidR="0043248D">
        <w:rPr>
          <w:rFonts w:cs="Calibri"/>
          <w:sz w:val="24"/>
          <w:szCs w:val="24"/>
          <w:lang w:val="en-GB"/>
        </w:rPr>
        <w:t xml:space="preserve">systemic treatment </w:t>
      </w:r>
      <w:r w:rsidR="00712F2E" w:rsidRPr="00AE48B6">
        <w:rPr>
          <w:rFonts w:cs="Calibri"/>
          <w:sz w:val="24"/>
          <w:szCs w:val="24"/>
          <w:lang w:val="en-GB"/>
        </w:rPr>
        <w:t xml:space="preserve">could only be pooled </w:t>
      </w:r>
      <w:r w:rsidR="00C55139" w:rsidRPr="00AE48B6">
        <w:rPr>
          <w:rFonts w:cs="Calibri"/>
          <w:sz w:val="24"/>
          <w:szCs w:val="24"/>
          <w:lang w:val="en-GB"/>
        </w:rPr>
        <w:t>when combining</w:t>
      </w:r>
      <w:r w:rsidR="00712F2E" w:rsidRPr="00AE48B6">
        <w:rPr>
          <w:rFonts w:cs="Calibri"/>
          <w:sz w:val="24"/>
          <w:szCs w:val="24"/>
          <w:lang w:val="en-GB"/>
        </w:rPr>
        <w:t xml:space="preserve"> all IAT. Results of pooled analysis of IAT are presented </w:t>
      </w:r>
      <w:r w:rsidR="0043248D">
        <w:rPr>
          <w:rFonts w:cs="Calibri"/>
          <w:sz w:val="24"/>
          <w:szCs w:val="24"/>
          <w:lang w:val="en-GB"/>
        </w:rPr>
        <w:t>i</w:t>
      </w:r>
      <w:r w:rsidR="00712F2E" w:rsidRPr="00AE48B6">
        <w:rPr>
          <w:rFonts w:cs="Calibri"/>
          <w:sz w:val="24"/>
          <w:szCs w:val="24"/>
          <w:lang w:val="en-GB"/>
        </w:rPr>
        <w:t>n Table 4 and Figure 3. OS and response rates seem</w:t>
      </w:r>
      <w:r w:rsidR="00F95243" w:rsidRPr="00AE48B6">
        <w:rPr>
          <w:rFonts w:cs="Calibri"/>
          <w:sz w:val="24"/>
          <w:szCs w:val="24"/>
          <w:lang w:val="en-GB"/>
        </w:rPr>
        <w:t>ed</w:t>
      </w:r>
      <w:r w:rsidR="00712F2E" w:rsidRPr="00AE48B6">
        <w:rPr>
          <w:rFonts w:cs="Calibri"/>
          <w:sz w:val="24"/>
          <w:szCs w:val="24"/>
          <w:lang w:val="en-GB"/>
        </w:rPr>
        <w:t xml:space="preserve"> </w:t>
      </w:r>
      <w:r w:rsidR="00E636FA">
        <w:rPr>
          <w:rFonts w:cs="Calibri"/>
          <w:sz w:val="24"/>
          <w:szCs w:val="24"/>
          <w:lang w:val="en-GB"/>
        </w:rPr>
        <w:t>better in patients treated in</w:t>
      </w:r>
      <w:r w:rsidR="00712F2E" w:rsidRPr="00AE48B6">
        <w:rPr>
          <w:rFonts w:cs="Calibri"/>
          <w:sz w:val="24"/>
          <w:szCs w:val="24"/>
          <w:lang w:val="en-GB"/>
        </w:rPr>
        <w:t xml:space="preserve"> first-line with systemic chemotherapy</w:t>
      </w:r>
      <w:r w:rsidR="00E636FA">
        <w:rPr>
          <w:rFonts w:cs="Calibri"/>
          <w:sz w:val="24"/>
          <w:szCs w:val="24"/>
          <w:lang w:val="en-GB"/>
        </w:rPr>
        <w:t>, as compared both with patients treated in first-line with or without systemic chemotherapy, and as compared to the overall population</w:t>
      </w:r>
      <w:r w:rsidR="00712F2E" w:rsidRPr="00AE48B6">
        <w:rPr>
          <w:rFonts w:cs="Calibri"/>
          <w:sz w:val="24"/>
          <w:szCs w:val="24"/>
          <w:lang w:val="en-GB"/>
        </w:rPr>
        <w:t>.</w:t>
      </w:r>
      <w:r w:rsidR="00E636FA">
        <w:rPr>
          <w:rFonts w:cs="Calibri"/>
          <w:sz w:val="24"/>
          <w:szCs w:val="24"/>
          <w:lang w:val="en-GB"/>
        </w:rPr>
        <w:t xml:space="preserve"> In the former</w:t>
      </w:r>
      <w:r w:rsidR="00897412" w:rsidRPr="00AE48B6">
        <w:rPr>
          <w:rFonts w:cs="Calibri"/>
          <w:sz w:val="24"/>
          <w:szCs w:val="24"/>
          <w:lang w:val="en-GB"/>
        </w:rPr>
        <w:t xml:space="preserve"> subgroup, there was also less evidence of heterogeneity between studies.</w:t>
      </w:r>
    </w:p>
    <w:p w14:paraId="680A23AF" w14:textId="77777777" w:rsidR="00897412" w:rsidRPr="00AD70F1" w:rsidRDefault="00897412" w:rsidP="00B75D6C">
      <w:pPr>
        <w:spacing w:line="480" w:lineRule="auto"/>
        <w:rPr>
          <w:b/>
          <w:sz w:val="24"/>
          <w:szCs w:val="24"/>
          <w:lang w:val="en-GB"/>
        </w:rPr>
      </w:pPr>
      <w:r w:rsidRPr="00AD70F1">
        <w:rPr>
          <w:b/>
          <w:sz w:val="24"/>
          <w:szCs w:val="24"/>
          <w:lang w:val="en-GB"/>
        </w:rPr>
        <w:br w:type="page"/>
      </w:r>
      <w:r w:rsidRPr="00AD70F1">
        <w:rPr>
          <w:b/>
          <w:sz w:val="24"/>
          <w:szCs w:val="24"/>
          <w:lang w:val="en-GB"/>
        </w:rPr>
        <w:lastRenderedPageBreak/>
        <w:t>Discussion</w:t>
      </w:r>
    </w:p>
    <w:p w14:paraId="223A9801" w14:textId="1EBAAB1A" w:rsidR="00ED764B" w:rsidRDefault="004509BB" w:rsidP="00315710">
      <w:pPr>
        <w:spacing w:line="480" w:lineRule="auto"/>
        <w:rPr>
          <w:sz w:val="24"/>
          <w:szCs w:val="24"/>
          <w:lang w:val="en-GB"/>
        </w:rPr>
      </w:pPr>
      <w:r w:rsidRPr="00AD70F1">
        <w:rPr>
          <w:sz w:val="24"/>
          <w:szCs w:val="24"/>
          <w:lang w:val="en-GB"/>
        </w:rPr>
        <w:t>Th</w:t>
      </w:r>
      <w:r w:rsidR="00F95243" w:rsidRPr="00326791">
        <w:rPr>
          <w:sz w:val="24"/>
          <w:szCs w:val="24"/>
          <w:lang w:val="en-GB"/>
        </w:rPr>
        <w:t>is</w:t>
      </w:r>
      <w:r w:rsidRPr="00326791">
        <w:rPr>
          <w:sz w:val="24"/>
          <w:szCs w:val="24"/>
          <w:lang w:val="en-GB"/>
        </w:rPr>
        <w:t xml:space="preserve"> systematic review identified </w:t>
      </w:r>
      <w:r w:rsidR="002A68FC">
        <w:rPr>
          <w:sz w:val="24"/>
          <w:szCs w:val="24"/>
          <w:lang w:val="en-GB"/>
        </w:rPr>
        <w:t xml:space="preserve">extensive </w:t>
      </w:r>
      <w:r w:rsidR="00F95243" w:rsidRPr="00326791">
        <w:rPr>
          <w:sz w:val="24"/>
          <w:szCs w:val="24"/>
          <w:lang w:val="en-GB"/>
        </w:rPr>
        <w:t>l</w:t>
      </w:r>
      <w:r w:rsidRPr="00326791">
        <w:rPr>
          <w:sz w:val="24"/>
          <w:szCs w:val="24"/>
          <w:lang w:val="en-GB"/>
        </w:rPr>
        <w:t xml:space="preserve">iterature </w:t>
      </w:r>
      <w:r w:rsidR="002A68FC">
        <w:rPr>
          <w:sz w:val="24"/>
          <w:szCs w:val="24"/>
          <w:lang w:val="en-GB"/>
        </w:rPr>
        <w:t>focusing on</w:t>
      </w:r>
      <w:r w:rsidR="002A68FC" w:rsidRPr="00326791">
        <w:rPr>
          <w:sz w:val="24"/>
          <w:szCs w:val="24"/>
          <w:lang w:val="en-GB"/>
        </w:rPr>
        <w:t xml:space="preserve"> </w:t>
      </w:r>
      <w:r w:rsidR="002E6E29">
        <w:rPr>
          <w:sz w:val="24"/>
          <w:szCs w:val="24"/>
          <w:lang w:val="en-GB"/>
        </w:rPr>
        <w:t xml:space="preserve">the use of </w:t>
      </w:r>
      <w:r w:rsidRPr="00326791">
        <w:rPr>
          <w:sz w:val="24"/>
          <w:szCs w:val="24"/>
          <w:lang w:val="en-GB"/>
        </w:rPr>
        <w:t xml:space="preserve">LRT </w:t>
      </w:r>
      <w:r w:rsidR="002E6E29">
        <w:rPr>
          <w:sz w:val="24"/>
          <w:szCs w:val="24"/>
          <w:lang w:val="en-GB"/>
        </w:rPr>
        <w:t>for the treatment of patients with</w:t>
      </w:r>
      <w:r w:rsidR="002E6E29" w:rsidRPr="00326791">
        <w:rPr>
          <w:sz w:val="24"/>
          <w:szCs w:val="24"/>
          <w:lang w:val="en-GB"/>
        </w:rPr>
        <w:t xml:space="preserve"> </w:t>
      </w:r>
      <w:proofErr w:type="spellStart"/>
      <w:r w:rsidRPr="00326791">
        <w:rPr>
          <w:sz w:val="24"/>
          <w:szCs w:val="24"/>
          <w:lang w:val="en-GB"/>
        </w:rPr>
        <w:t>iCC</w:t>
      </w:r>
      <w:proofErr w:type="spellEnd"/>
      <w:r w:rsidRPr="00326791">
        <w:rPr>
          <w:sz w:val="24"/>
          <w:szCs w:val="24"/>
          <w:lang w:val="en-GB"/>
        </w:rPr>
        <w:t xml:space="preserve">. This clearly demonstrates that the </w:t>
      </w:r>
      <w:r w:rsidR="002A68FC">
        <w:rPr>
          <w:sz w:val="24"/>
          <w:szCs w:val="24"/>
          <w:lang w:val="en-GB"/>
        </w:rPr>
        <w:t xml:space="preserve">patient </w:t>
      </w:r>
      <w:r w:rsidRPr="00326791">
        <w:rPr>
          <w:sz w:val="24"/>
          <w:szCs w:val="24"/>
          <w:lang w:val="en-GB"/>
        </w:rPr>
        <w:t>population exist</w:t>
      </w:r>
      <w:r w:rsidR="005E0183" w:rsidRPr="00326791">
        <w:rPr>
          <w:sz w:val="24"/>
          <w:szCs w:val="24"/>
          <w:lang w:val="en-GB"/>
        </w:rPr>
        <w:t>s</w:t>
      </w:r>
      <w:r w:rsidRPr="00326791">
        <w:rPr>
          <w:sz w:val="24"/>
          <w:szCs w:val="24"/>
          <w:lang w:val="en-GB"/>
        </w:rPr>
        <w:t xml:space="preserve"> and is of interest to many research groups worldwide.</w:t>
      </w:r>
      <w:r w:rsidR="00315710" w:rsidRPr="00AD70F1">
        <w:rPr>
          <w:sz w:val="24"/>
          <w:szCs w:val="24"/>
          <w:lang w:val="en-GB"/>
        </w:rPr>
        <w:t xml:space="preserve"> </w:t>
      </w:r>
      <w:r w:rsidR="00E636FA">
        <w:rPr>
          <w:sz w:val="24"/>
          <w:szCs w:val="24"/>
          <w:lang w:val="en-GB"/>
        </w:rPr>
        <w:t>However, the quality of the studies was overall insufficient to derive strong recommendations</w:t>
      </w:r>
      <w:r w:rsidR="00ED764B">
        <w:rPr>
          <w:sz w:val="24"/>
          <w:szCs w:val="24"/>
          <w:lang w:val="en-GB"/>
        </w:rPr>
        <w:t xml:space="preserve"> (with the exception of </w:t>
      </w:r>
      <w:r w:rsidR="00222B1C">
        <w:rPr>
          <w:sz w:val="24"/>
          <w:szCs w:val="24"/>
          <w:lang w:val="en-GB"/>
        </w:rPr>
        <w:t>consistent</w:t>
      </w:r>
      <w:r w:rsidR="00ED764B">
        <w:rPr>
          <w:sz w:val="24"/>
          <w:szCs w:val="24"/>
          <w:lang w:val="en-GB"/>
        </w:rPr>
        <w:t xml:space="preserve"> </w:t>
      </w:r>
      <w:r w:rsidR="00A865D6">
        <w:rPr>
          <w:sz w:val="24"/>
          <w:szCs w:val="24"/>
          <w:lang w:val="en-GB"/>
        </w:rPr>
        <w:t>good outcomes</w:t>
      </w:r>
      <w:r w:rsidR="00ED764B">
        <w:rPr>
          <w:sz w:val="24"/>
          <w:szCs w:val="24"/>
          <w:lang w:val="en-GB"/>
        </w:rPr>
        <w:t xml:space="preserve"> for ablation)</w:t>
      </w:r>
      <w:r w:rsidR="00E636FA">
        <w:rPr>
          <w:sz w:val="24"/>
          <w:szCs w:val="24"/>
          <w:lang w:val="en-GB"/>
        </w:rPr>
        <w:t xml:space="preserve">. </w:t>
      </w:r>
      <w:r w:rsidR="00ED764B">
        <w:rPr>
          <w:sz w:val="24"/>
          <w:szCs w:val="24"/>
          <w:lang w:val="en-GB"/>
        </w:rPr>
        <w:t>Despite this, the pooled results presented here establish benchmarks to design future clinical trials, that are still needed.</w:t>
      </w:r>
    </w:p>
    <w:p w14:paraId="5B995B77" w14:textId="46473076" w:rsidR="00ED764B" w:rsidRPr="00326791" w:rsidRDefault="00ED764B" w:rsidP="00ED764B">
      <w:pPr>
        <w:spacing w:line="480" w:lineRule="auto"/>
        <w:rPr>
          <w:sz w:val="24"/>
          <w:szCs w:val="24"/>
          <w:lang w:val="en-GB"/>
        </w:rPr>
      </w:pPr>
      <w:r w:rsidRPr="00AD70F1">
        <w:rPr>
          <w:sz w:val="24"/>
          <w:szCs w:val="24"/>
          <w:lang w:val="en-GB"/>
        </w:rPr>
        <w:t xml:space="preserve">A first goal of </w:t>
      </w:r>
      <w:r>
        <w:rPr>
          <w:sz w:val="24"/>
          <w:szCs w:val="24"/>
          <w:lang w:val="en-GB"/>
        </w:rPr>
        <w:t>this</w:t>
      </w:r>
      <w:r w:rsidRPr="00AD70F1">
        <w:rPr>
          <w:sz w:val="24"/>
          <w:szCs w:val="24"/>
          <w:lang w:val="en-GB"/>
        </w:rPr>
        <w:t xml:space="preserve"> systematic review was to assess whether recommendations could be </w:t>
      </w:r>
      <w:r>
        <w:rPr>
          <w:sz w:val="24"/>
          <w:szCs w:val="24"/>
          <w:lang w:val="en-GB"/>
        </w:rPr>
        <w:t>made</w:t>
      </w:r>
      <w:r w:rsidRPr="00AD70F1">
        <w:rPr>
          <w:sz w:val="24"/>
          <w:szCs w:val="24"/>
          <w:lang w:val="en-GB"/>
        </w:rPr>
        <w:t xml:space="preserve"> based on the current literature (Figure </w:t>
      </w:r>
      <w:r w:rsidRPr="00326791">
        <w:rPr>
          <w:sz w:val="24"/>
          <w:szCs w:val="24"/>
          <w:lang w:val="en-GB"/>
        </w:rPr>
        <w:t xml:space="preserve">4). For ablation, the identified studies </w:t>
      </w:r>
      <w:r>
        <w:rPr>
          <w:sz w:val="24"/>
          <w:szCs w:val="24"/>
          <w:lang w:val="en-GB"/>
        </w:rPr>
        <w:t>demonstrated</w:t>
      </w:r>
      <w:r w:rsidRPr="00326791">
        <w:rPr>
          <w:sz w:val="24"/>
          <w:szCs w:val="24"/>
          <w:lang w:val="en-GB"/>
        </w:rPr>
        <w:t xml:space="preserve"> consistent results, with a non-heterogeneous complete response rate of 93.9%, and a median </w:t>
      </w:r>
      <w:r>
        <w:rPr>
          <w:sz w:val="24"/>
          <w:szCs w:val="24"/>
          <w:lang w:val="en-GB"/>
        </w:rPr>
        <w:t>OS</w:t>
      </w:r>
      <w:r w:rsidRPr="00326791">
        <w:rPr>
          <w:sz w:val="24"/>
          <w:szCs w:val="24"/>
          <w:lang w:val="en-GB"/>
        </w:rPr>
        <w:t xml:space="preserve"> of 30.2 months (95% CI: 21.8-38.6), results that could appear similar to surgical series (</w:t>
      </w:r>
      <w:r>
        <w:rPr>
          <w:sz w:val="24"/>
          <w:szCs w:val="24"/>
          <w:lang w:val="en-GB"/>
        </w:rPr>
        <w:t>bearing</w:t>
      </w:r>
      <w:r w:rsidRPr="00326791">
        <w:rPr>
          <w:sz w:val="24"/>
          <w:szCs w:val="24"/>
          <w:lang w:val="en-GB"/>
        </w:rPr>
        <w:t xml:space="preserve"> in mind the very different populations included in ablation vs surgical series: smaller tumours, but more frequently recurring after previous surgery (51.2%) and more frequently </w:t>
      </w:r>
      <w:r>
        <w:rPr>
          <w:sz w:val="24"/>
          <w:szCs w:val="24"/>
          <w:lang w:val="en-GB"/>
        </w:rPr>
        <w:t>i</w:t>
      </w:r>
      <w:r w:rsidRPr="00326791">
        <w:rPr>
          <w:sz w:val="24"/>
          <w:szCs w:val="24"/>
          <w:lang w:val="en-GB"/>
        </w:rPr>
        <w:t xml:space="preserve">n a cirrhotic liver (31.1%), due to the inclusion of patients deemed </w:t>
      </w:r>
      <w:r>
        <w:rPr>
          <w:sz w:val="24"/>
          <w:szCs w:val="24"/>
          <w:lang w:val="en-GB"/>
        </w:rPr>
        <w:t xml:space="preserve">unsuitable </w:t>
      </w:r>
      <w:r w:rsidRPr="00326791">
        <w:rPr>
          <w:sz w:val="24"/>
          <w:szCs w:val="24"/>
          <w:lang w:val="en-GB"/>
        </w:rPr>
        <w:t>candidate</w:t>
      </w:r>
      <w:r>
        <w:rPr>
          <w:sz w:val="24"/>
          <w:szCs w:val="24"/>
          <w:lang w:val="en-GB"/>
        </w:rPr>
        <w:t>s</w:t>
      </w:r>
      <w:r w:rsidRPr="00326791">
        <w:rPr>
          <w:sz w:val="24"/>
          <w:szCs w:val="24"/>
          <w:lang w:val="en-GB"/>
        </w:rPr>
        <w:t xml:space="preserve"> </w:t>
      </w:r>
      <w:r>
        <w:rPr>
          <w:sz w:val="24"/>
          <w:szCs w:val="24"/>
          <w:lang w:val="en-GB"/>
        </w:rPr>
        <w:t>for</w:t>
      </w:r>
      <w:r w:rsidRPr="00326791">
        <w:rPr>
          <w:sz w:val="24"/>
          <w:szCs w:val="24"/>
          <w:lang w:val="en-GB"/>
        </w:rPr>
        <w:t xml:space="preserve"> surgery) </w:t>
      </w:r>
      <w:r w:rsidRPr="00AD70F1">
        <w:rPr>
          <w:sz w:val="24"/>
          <w:szCs w:val="24"/>
          <w:lang w:val="en-GB"/>
        </w:rPr>
        <w:fldChar w:fldCharType="begin"/>
      </w:r>
      <w:r w:rsidR="0056133B">
        <w:rPr>
          <w:sz w:val="24"/>
          <w:szCs w:val="24"/>
          <w:lang w:val="en-GB"/>
        </w:rPr>
        <w:instrText xml:space="preserve"> ADDIN ZOTERO_ITEM CSL_CITATION {"citationID":"SrgAGsLn","properties":{"formattedCitation":"[11]","plainCitation":"[11]","noteIndex":0},"citationItems":[{"id":4710,"uris":["http://zotero.org/users/587498/items/ZXE4ZXTR"],"uri":["http://zotero.org/users/587498/items/ZXE4ZXTR"],"itemData":{"id":4710,"type":"article-journal","title":"Surgery for cholangiocarcinoma.","container-title":"Liver international : official journal of the International Association for the Study of the Liver","page":"143-155","volume":"39 Suppl 1","issue":"Suppl Suppl 1","abstract":"Surgical resection is the only potentially curative treatment for patients with cholangiocarcinoma. For both perihilar cholangiocarcinoma (pCCA) and intrahepatic  cholangiocarcinoma (iCCA), 5-year overall survival of about 30% has been reported in  large series. This review addresses several challenges in surgical management of  cholangiocarcinoma. The first challenge is diagnosis: a biopsy is typically avoided  because of the risk of seeding metastases and the low yield of a brush of the bile  duct. However, about 15% of patients with suspected pCCA are found to have a benign  diagnosis after resection. The second challenge is staging; even with the best  preoperative imaging, a substantial percentage of patients has occult metastatic  disease detected at staging laparoscopy or early recurrence after resection. The  third challenge is an adequate volume and function of the future liver remnant,  which may require preoperative biliary drainage and portal vein embolization. The  fourth challenge is a complete resection: a positive bile duct margin is not  uncommon because the microscopic biliary extent of disease may be more extensive  than perceived on imaging. The fifth challenge is the high post-operative mortality  that has decreased in very high volume Asian centres, but remains about 10% in many  Western referral centres. The sixth challenge is that even after a complete  resection most patients develop recurrent disease. Recent randomized controlled  trials found conflicting results regarding the benefit of adjuvant chemotherapy. The  final challenge is to determine which patients with cholangiocarcinoma should  undergo liver transplantation rather than resection.","DOI":"10.1111/liv.14089","ISSN":"1478-3231 1478-3223","note":"PMID: 30843343 \nPMCID: PMC6563077","journalAbbreviation":"Liver Int","language":"eng","author":[{"family":"Cillo","given":"Umberto"},{"family":"Fondevila","given":"Constantino"},{"family":"Donadon","given":"Matteo"},{"family":"Gringeri","given":"Enrico"},{"family":"Mocchegiani","given":"Federico"},{"family":"Schlitt","given":"Hans J."},{"family":"Ijzermans","given":"Jan N. M."},{"family":"Vivarelli","given":"Marco"},{"family":"Zieniewicz","given":"Krzysztof"},{"family":"Olde Damink","given":"Steven W. M."},{"family":"Groot Koerkamp","given":"Bas"}],"issued":{"date-parts":[["2019",5]]}}}],"schema":"https://github.com/citation-style-language/schema/raw/master/csl-citation.json"}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rPr>
        <w:t>[11]</w:t>
      </w:r>
      <w:r w:rsidRPr="00AD70F1">
        <w:rPr>
          <w:sz w:val="24"/>
          <w:szCs w:val="24"/>
          <w:lang w:val="en-GB"/>
        </w:rPr>
        <w:fldChar w:fldCharType="end"/>
      </w:r>
      <w:r w:rsidRPr="00AD70F1">
        <w:rPr>
          <w:sz w:val="24"/>
          <w:szCs w:val="24"/>
          <w:lang w:val="en-GB"/>
        </w:rPr>
        <w:t xml:space="preserve">. Despite the retrospective nature of the data available, the consistency of </w:t>
      </w:r>
      <w:r w:rsidRPr="00326791">
        <w:rPr>
          <w:sz w:val="24"/>
          <w:szCs w:val="24"/>
          <w:lang w:val="en-GB"/>
        </w:rPr>
        <w:t>good outcomes justif</w:t>
      </w:r>
      <w:r>
        <w:rPr>
          <w:sz w:val="24"/>
          <w:szCs w:val="24"/>
          <w:lang w:val="en-GB"/>
        </w:rPr>
        <w:t>ies</w:t>
      </w:r>
      <w:r w:rsidRPr="00326791">
        <w:rPr>
          <w:sz w:val="24"/>
          <w:szCs w:val="24"/>
          <w:lang w:val="en-GB"/>
        </w:rPr>
        <w:t xml:space="preserve"> a strong recommendation based on </w:t>
      </w:r>
      <w:r w:rsidR="00A865D6">
        <w:rPr>
          <w:sz w:val="24"/>
          <w:szCs w:val="24"/>
          <w:lang w:val="en-GB"/>
        </w:rPr>
        <w:t xml:space="preserve">a </w:t>
      </w:r>
      <w:r w:rsidRPr="00326791">
        <w:rPr>
          <w:sz w:val="24"/>
          <w:szCs w:val="24"/>
          <w:lang w:val="en-GB"/>
        </w:rPr>
        <w:t xml:space="preserve">moderate level of evidence, for patients </w:t>
      </w:r>
      <w:r>
        <w:rPr>
          <w:sz w:val="24"/>
          <w:szCs w:val="24"/>
          <w:lang w:val="en-GB"/>
        </w:rPr>
        <w:t xml:space="preserve">who are </w:t>
      </w:r>
      <w:r w:rsidRPr="00326791">
        <w:rPr>
          <w:sz w:val="24"/>
          <w:szCs w:val="24"/>
          <w:lang w:val="en-GB"/>
        </w:rPr>
        <w:t>not candidate</w:t>
      </w:r>
      <w:r>
        <w:rPr>
          <w:sz w:val="24"/>
          <w:szCs w:val="24"/>
          <w:lang w:val="en-GB"/>
        </w:rPr>
        <w:t>s</w:t>
      </w:r>
      <w:r w:rsidRPr="00326791">
        <w:rPr>
          <w:sz w:val="24"/>
          <w:szCs w:val="24"/>
          <w:lang w:val="en-GB"/>
        </w:rPr>
        <w:t xml:space="preserve"> for resection.</w:t>
      </w:r>
    </w:p>
    <w:p w14:paraId="2556CE68" w14:textId="50ABE6BB" w:rsidR="00ED764B" w:rsidRDefault="00ED764B" w:rsidP="00ED764B">
      <w:pPr>
        <w:spacing w:line="480" w:lineRule="auto"/>
        <w:rPr>
          <w:sz w:val="24"/>
          <w:szCs w:val="24"/>
          <w:lang w:val="en-GB"/>
        </w:rPr>
      </w:pPr>
      <w:r w:rsidRPr="00326791">
        <w:rPr>
          <w:sz w:val="24"/>
          <w:szCs w:val="24"/>
          <w:lang w:val="en-GB"/>
        </w:rPr>
        <w:t>In contrast to ablation, results of EBRT and IAT suffered from high heterogeneity of the results and unclear superiority of outcomes</w:t>
      </w:r>
      <w:r>
        <w:rPr>
          <w:sz w:val="24"/>
          <w:szCs w:val="24"/>
          <w:lang w:val="en-GB"/>
        </w:rPr>
        <w:t>,</w:t>
      </w:r>
      <w:r w:rsidRPr="00326791">
        <w:rPr>
          <w:sz w:val="24"/>
          <w:szCs w:val="24"/>
          <w:lang w:val="en-GB"/>
        </w:rPr>
        <w:t xml:space="preserve"> as compared with</w:t>
      </w:r>
      <w:r w:rsidR="00A865D6">
        <w:rPr>
          <w:sz w:val="24"/>
          <w:szCs w:val="24"/>
          <w:lang w:val="en-GB"/>
        </w:rPr>
        <w:t xml:space="preserve"> what could be expected from</w:t>
      </w:r>
      <w:r w:rsidRPr="00326791">
        <w:rPr>
          <w:sz w:val="24"/>
          <w:szCs w:val="24"/>
          <w:lang w:val="en-GB"/>
        </w:rPr>
        <w:t xml:space="preserve"> systemic chemotherapy in liver-only </w:t>
      </w:r>
      <w:proofErr w:type="spellStart"/>
      <w:r w:rsidRPr="00326791">
        <w:rPr>
          <w:sz w:val="24"/>
          <w:szCs w:val="24"/>
          <w:lang w:val="en-GB"/>
        </w:rPr>
        <w:t>iCC</w:t>
      </w:r>
      <w:proofErr w:type="spellEnd"/>
      <w:r w:rsidRPr="00326791">
        <w:rPr>
          <w:sz w:val="24"/>
          <w:szCs w:val="24"/>
          <w:lang w:val="en-GB"/>
        </w:rPr>
        <w:t xml:space="preserve"> (pooled objective response rates of 23.4% to 41.3%</w:t>
      </w:r>
      <w:r>
        <w:rPr>
          <w:sz w:val="24"/>
          <w:szCs w:val="24"/>
          <w:lang w:val="en-GB"/>
        </w:rPr>
        <w:t>;</w:t>
      </w:r>
      <w:r w:rsidRPr="00326791">
        <w:rPr>
          <w:sz w:val="24"/>
          <w:szCs w:val="24"/>
          <w:lang w:val="en-GB"/>
        </w:rPr>
        <w:t xml:space="preserve"> and</w:t>
      </w:r>
      <w:r w:rsidRPr="00ED764B">
        <w:rPr>
          <w:sz w:val="24"/>
          <w:szCs w:val="24"/>
          <w:lang w:val="en-GB"/>
        </w:rPr>
        <w:t xml:space="preserve"> </w:t>
      </w:r>
      <w:r w:rsidRPr="00326791">
        <w:rPr>
          <w:sz w:val="24"/>
          <w:szCs w:val="24"/>
          <w:lang w:val="en-GB"/>
        </w:rPr>
        <w:t xml:space="preserve">pooled mean OS </w:t>
      </w:r>
      <w:r>
        <w:rPr>
          <w:sz w:val="24"/>
          <w:szCs w:val="24"/>
          <w:lang w:val="en-GB"/>
        </w:rPr>
        <w:t xml:space="preserve">ranging </w:t>
      </w:r>
      <w:r w:rsidRPr="00326791">
        <w:rPr>
          <w:sz w:val="24"/>
          <w:szCs w:val="24"/>
          <w:lang w:val="en-GB"/>
        </w:rPr>
        <w:t xml:space="preserve">between 14.1 </w:t>
      </w:r>
      <w:r>
        <w:rPr>
          <w:sz w:val="24"/>
          <w:szCs w:val="24"/>
          <w:lang w:val="en-GB"/>
        </w:rPr>
        <w:t>and</w:t>
      </w:r>
      <w:r w:rsidRPr="00326791">
        <w:rPr>
          <w:sz w:val="24"/>
          <w:szCs w:val="24"/>
          <w:lang w:val="en-GB"/>
        </w:rPr>
        <w:t xml:space="preserve"> 21.3 months with wide confidence intervals). </w:t>
      </w:r>
      <w:r>
        <w:rPr>
          <w:sz w:val="24"/>
          <w:szCs w:val="24"/>
          <w:lang w:val="en-GB"/>
        </w:rPr>
        <w:t>T</w:t>
      </w:r>
      <w:r w:rsidRPr="00326791">
        <w:rPr>
          <w:sz w:val="24"/>
          <w:szCs w:val="24"/>
          <w:lang w:val="en-GB"/>
        </w:rPr>
        <w:t xml:space="preserve">hese results do not allow </w:t>
      </w:r>
      <w:r>
        <w:rPr>
          <w:sz w:val="24"/>
          <w:szCs w:val="24"/>
          <w:lang w:val="en-GB"/>
        </w:rPr>
        <w:t xml:space="preserve">for </w:t>
      </w:r>
      <w:r w:rsidRPr="00326791">
        <w:rPr>
          <w:sz w:val="24"/>
          <w:szCs w:val="24"/>
          <w:lang w:val="en-GB"/>
        </w:rPr>
        <w:t>strong recommendation</w:t>
      </w:r>
      <w:r>
        <w:rPr>
          <w:sz w:val="24"/>
          <w:szCs w:val="24"/>
          <w:lang w:val="en-GB"/>
        </w:rPr>
        <w:t>s</w:t>
      </w:r>
      <w:r w:rsidRPr="00326791">
        <w:rPr>
          <w:sz w:val="24"/>
          <w:szCs w:val="24"/>
          <w:lang w:val="en-GB"/>
        </w:rPr>
        <w:t xml:space="preserve">, especially in the context of the efficacy demonstrated in phase III trials with systemic chemotherapy </w:t>
      </w:r>
      <w:r w:rsidRPr="00AD70F1">
        <w:rPr>
          <w:sz w:val="24"/>
          <w:szCs w:val="24"/>
          <w:lang w:val="en-GB"/>
        </w:rPr>
        <w:fldChar w:fldCharType="begin"/>
      </w:r>
      <w:r w:rsidR="0056133B">
        <w:rPr>
          <w:sz w:val="24"/>
          <w:szCs w:val="24"/>
          <w:lang w:val="en-GB"/>
        </w:rPr>
        <w:instrText xml:space="preserve"> ADDIN ZOTERO_ITEM CSL_CITATION {"citationID":"iTcQDD3V","properties":{"formattedCitation":"[3,12]","plainCitation":"[3,12]","noteIndex":0},"citationItems":[{"id":1091,"uris":["http://zotero.org/users/587498/items/UR23XEAK"],"uri":["http://zotero.org/users/587498/items/UR23XEAK"],"itemData":{"id":1091,"type":"article-journal","title":"Cisplatin plus gemcitabine versus gemcitabine for biliary tract cancer","container-title":"The New England journal of medicine","page":"1273-1281","volume":"362","issue":"14","source":"NCBI PubMed","abstract":"BACKGROUND: There is no established standard chemotherapy for patients with locally advanced or metastatic biliary tract cancer. We initially conducted a randomized, phase 2 study involving 86 patients to compare cisplatin plus gemcitabine with gemcitabine alone. After we found an improvement in progression-free survival, the trial was extended to the phase 3 trial reported here.\nMETHODS: We randomly assigned 410 patients with locally advanced or metastatic cholangiocarcinoma, gallbladder cancer, or ampullary cancer to receive either cisplatin (25 mg per square meter of body-surface area) followed by gemcitabine (1000 mg per square meter on days 1 and 8, every 3 weeks for eight cycles) or gemcitabine alone (1000 mg per square meter on days 1, 8, and 15, every 4 weeks for six cycles) for up to 24 weeks. The primary end point was overall survival.\nRESULTS: After a median follow-up of 8.2 months and 327 deaths, the median overall survival was 11.7 months among the 204 patients in the cisplatin-gemcitabine group and 8.1 months among the 206 patients in the gemcitabine group (hazard ratio, 0.64; 95% confidence interval, 0.52 to 0.80; P&lt;0.001). The median progression-free survival was 8.0 months in the cisplatin-gemcitabine group and 5.0 months in the gemcitabine-only group (P&lt;0.001). In addition, the rate of tumor control among patients in the cisplatin-gemcitabine group was significantly increased (81.4% vs. 71.8%, P=0.049). Adverse events were similar in the two groups, with the exception of more neutropenia in the cisplatin-gemcitabine group; the number of neutropenia-associated infections was similar in the two groups.\nCONCLUSIONS: As compared with gemcitabine alone, cisplatin plus gemcitabine was associated with a significant survival advantage without the addition of substantial toxicity. Cisplatin plus gemcitabine is an appropriate option for the treatment of patients with advanced biliary cancer. (ClinicalTrials.gov number, NCT00262769.)","DOI":"10.1056/NEJMoa0908721","ISSN":"1533-4406","note":"PMID: 20375404","journalAbbreviation":"N. Engl. J. Med.","language":"eng","author":[{"family":"Valle","given":"Juan"},{"family":"Wasan","given":"Harpreet"},{"family":"Palmer","given":"Daniel H"},{"family":"Cunningham","given":"David"},{"family":"Anthoney","given":"Alan"},{"family":"Maraveyas","given":"Anthony"},{"family":"Madhusudan","given":"Srinivasan"},{"family":"Iveson","given":"Tim"},{"family":"Hughes","given":"Sharon"},{"family":"Pereira","given":"Stephen P"},{"family":"Roughton","given":"Michael"},{"family":"Bridgewater","given":"John"},{"literal":"ABC-02 Trial Investigators"}],"issued":{"date-parts":[["2010",4,8]]}}},{"id":3531,"uris":["http://zotero.org/users/587498/items/WEWMSX3L"],"uri":["http://zotero.org/users/587498/items/WEWMSX3L"],"itemData":{"id":3531,"type":"article-journal","title":"ABC-06 | A randomised phase III, multi-centre, open-label study of Active Symptom Control (ASC) alone or ASC with oxaliplatin / 5-FU chemotherapy (ASC+mFOLFOX) for patients (pts) with locally advanced / metastatic biliary tract cancers (ABC) previously-treated with cisplatin/gemcitabine (CisGem) chemotherapy","container-title":"J Clin Oncol","page":"abst 4003","volume":"37","issue":"Suppl","author":[{"family":"Lamarca","given":"Angela"}],"issued":{"date-parts":[["2019"]]}}}],"schema":"https://github.com/citation-style-language/schema/raw/master/csl-citation.json"}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rPr>
        <w:t>[3,12]</w:t>
      </w:r>
      <w:r w:rsidRPr="00AD70F1">
        <w:rPr>
          <w:sz w:val="24"/>
          <w:szCs w:val="24"/>
          <w:lang w:val="en-GB"/>
        </w:rPr>
        <w:fldChar w:fldCharType="end"/>
      </w:r>
      <w:r w:rsidRPr="00AD70F1">
        <w:rPr>
          <w:sz w:val="24"/>
          <w:szCs w:val="24"/>
          <w:lang w:val="en-GB"/>
        </w:rPr>
        <w:t xml:space="preserve">. </w:t>
      </w:r>
      <w:r w:rsidRPr="00AD70F1">
        <w:rPr>
          <w:sz w:val="24"/>
          <w:szCs w:val="24"/>
          <w:lang w:val="en-GB"/>
        </w:rPr>
        <w:lastRenderedPageBreak/>
        <w:t xml:space="preserve">Comparison </w:t>
      </w:r>
      <w:r>
        <w:rPr>
          <w:sz w:val="24"/>
          <w:szCs w:val="24"/>
          <w:lang w:val="en-GB"/>
        </w:rPr>
        <w:t xml:space="preserve">of efficacy </w:t>
      </w:r>
      <w:r w:rsidRPr="00AD70F1">
        <w:rPr>
          <w:sz w:val="24"/>
          <w:szCs w:val="24"/>
          <w:lang w:val="en-GB"/>
        </w:rPr>
        <w:t xml:space="preserve">between the three IAT modalities would prove difficult as </w:t>
      </w:r>
      <w:r>
        <w:rPr>
          <w:sz w:val="24"/>
          <w:szCs w:val="24"/>
          <w:lang w:val="en-GB"/>
        </w:rPr>
        <w:t xml:space="preserve">the </w:t>
      </w:r>
      <w:r w:rsidRPr="00AD70F1">
        <w:rPr>
          <w:sz w:val="24"/>
          <w:szCs w:val="24"/>
          <w:lang w:val="en-GB"/>
        </w:rPr>
        <w:t>population</w:t>
      </w:r>
      <w:r>
        <w:rPr>
          <w:sz w:val="24"/>
          <w:szCs w:val="24"/>
          <w:lang w:val="en-GB"/>
        </w:rPr>
        <w:t>s</w:t>
      </w:r>
      <w:r w:rsidRPr="00AD70F1">
        <w:rPr>
          <w:sz w:val="24"/>
          <w:szCs w:val="24"/>
          <w:lang w:val="en-GB"/>
        </w:rPr>
        <w:t xml:space="preserve"> included differed</w:t>
      </w:r>
      <w:r w:rsidRPr="00326791">
        <w:rPr>
          <w:sz w:val="24"/>
          <w:szCs w:val="24"/>
          <w:lang w:val="en-GB"/>
        </w:rPr>
        <w:t xml:space="preserve">. However, based on the subgroup analysis of IAT in </w:t>
      </w:r>
      <w:r>
        <w:rPr>
          <w:sz w:val="24"/>
          <w:szCs w:val="24"/>
          <w:lang w:val="en-GB"/>
        </w:rPr>
        <w:t xml:space="preserve">the </w:t>
      </w:r>
      <w:r w:rsidRPr="00326791">
        <w:rPr>
          <w:sz w:val="24"/>
          <w:szCs w:val="24"/>
          <w:lang w:val="en-GB"/>
        </w:rPr>
        <w:t xml:space="preserve">first-line </w:t>
      </w:r>
      <w:r>
        <w:rPr>
          <w:sz w:val="24"/>
          <w:szCs w:val="24"/>
          <w:lang w:val="en-GB"/>
        </w:rPr>
        <w:t xml:space="preserve">setting </w:t>
      </w:r>
      <w:r w:rsidRPr="00326791">
        <w:rPr>
          <w:sz w:val="24"/>
          <w:szCs w:val="24"/>
          <w:lang w:val="en-GB"/>
        </w:rPr>
        <w:t xml:space="preserve">with concomitant systemic chemotherapy, and the overall results of IAT that appears promising in contrast to second-line systemic chemotherapy, IAT </w:t>
      </w:r>
      <w:r>
        <w:rPr>
          <w:sz w:val="24"/>
          <w:szCs w:val="24"/>
          <w:lang w:val="en-GB"/>
        </w:rPr>
        <w:t xml:space="preserve">may be considered </w:t>
      </w:r>
      <w:r w:rsidRPr="00326791">
        <w:rPr>
          <w:sz w:val="24"/>
          <w:szCs w:val="24"/>
          <w:lang w:val="en-GB"/>
        </w:rPr>
        <w:t xml:space="preserve">in </w:t>
      </w:r>
      <w:r>
        <w:rPr>
          <w:sz w:val="24"/>
          <w:szCs w:val="24"/>
          <w:lang w:val="en-GB"/>
        </w:rPr>
        <w:t xml:space="preserve">the </w:t>
      </w:r>
      <w:r w:rsidRPr="00326791">
        <w:rPr>
          <w:sz w:val="24"/>
          <w:szCs w:val="24"/>
          <w:lang w:val="en-GB"/>
        </w:rPr>
        <w:t xml:space="preserve">first-line </w:t>
      </w:r>
      <w:r>
        <w:rPr>
          <w:sz w:val="24"/>
          <w:szCs w:val="24"/>
          <w:lang w:val="en-GB"/>
        </w:rPr>
        <w:t xml:space="preserve">setting </w:t>
      </w:r>
      <w:r w:rsidRPr="00326791">
        <w:rPr>
          <w:sz w:val="24"/>
          <w:szCs w:val="24"/>
          <w:lang w:val="en-GB"/>
        </w:rPr>
        <w:t xml:space="preserve">when combined with systemic chemotherapy or in chemo-refractory patients. Moreover, EBRT </w:t>
      </w:r>
      <w:r>
        <w:rPr>
          <w:sz w:val="24"/>
          <w:szCs w:val="24"/>
          <w:lang w:val="en-GB"/>
        </w:rPr>
        <w:t xml:space="preserve">could be considered </w:t>
      </w:r>
      <w:r w:rsidRPr="00326791">
        <w:rPr>
          <w:sz w:val="24"/>
          <w:szCs w:val="24"/>
          <w:lang w:val="en-GB"/>
        </w:rPr>
        <w:t xml:space="preserve">in selected cases of </w:t>
      </w:r>
      <w:proofErr w:type="spellStart"/>
      <w:r w:rsidRPr="00326791">
        <w:rPr>
          <w:sz w:val="24"/>
          <w:szCs w:val="24"/>
          <w:lang w:val="en-GB"/>
        </w:rPr>
        <w:t>unresectability</w:t>
      </w:r>
      <w:proofErr w:type="spellEnd"/>
      <w:r w:rsidRPr="00326791">
        <w:rPr>
          <w:sz w:val="24"/>
          <w:szCs w:val="24"/>
          <w:lang w:val="en-GB"/>
        </w:rPr>
        <w:t xml:space="preserve"> and when ablation is not feasible.</w:t>
      </w:r>
      <w:r w:rsidR="00795AF6">
        <w:rPr>
          <w:sz w:val="24"/>
          <w:szCs w:val="24"/>
          <w:lang w:val="en-GB"/>
        </w:rPr>
        <w:t xml:space="preserve"> </w:t>
      </w:r>
    </w:p>
    <w:p w14:paraId="06142F97" w14:textId="773481D8" w:rsidR="00B930F4" w:rsidRPr="00326791" w:rsidRDefault="00B930F4" w:rsidP="00B930F4">
      <w:pPr>
        <w:spacing w:line="480" w:lineRule="auto"/>
        <w:rPr>
          <w:rFonts w:cstheme="minorHAnsi"/>
          <w:sz w:val="24"/>
          <w:szCs w:val="24"/>
          <w:lang w:val="en-GB"/>
        </w:rPr>
      </w:pPr>
      <w:r w:rsidRPr="00326791">
        <w:rPr>
          <w:sz w:val="24"/>
          <w:szCs w:val="24"/>
          <w:lang w:val="en-GB"/>
        </w:rPr>
        <w:t>Importantly, this systematic review should serve</w:t>
      </w:r>
      <w:r w:rsidRPr="00AD70F1">
        <w:rPr>
          <w:sz w:val="24"/>
          <w:szCs w:val="24"/>
          <w:lang w:val="en-GB"/>
        </w:rPr>
        <w:t xml:space="preserve"> as benchmark for the design of future studies</w:t>
      </w:r>
      <w:r w:rsidRPr="00326791">
        <w:rPr>
          <w:sz w:val="24"/>
          <w:szCs w:val="24"/>
          <w:lang w:val="en-GB"/>
        </w:rPr>
        <w:t xml:space="preserve">. </w:t>
      </w:r>
      <w:r w:rsidRPr="00326791">
        <w:rPr>
          <w:rFonts w:cstheme="minorHAnsi"/>
          <w:sz w:val="24"/>
          <w:szCs w:val="24"/>
          <w:lang w:val="en-GB"/>
        </w:rPr>
        <w:t>The results of the only randomi</w:t>
      </w:r>
      <w:r>
        <w:rPr>
          <w:rFonts w:cstheme="minorHAnsi"/>
          <w:sz w:val="24"/>
          <w:szCs w:val="24"/>
          <w:lang w:val="en-GB"/>
        </w:rPr>
        <w:t>s</w:t>
      </w:r>
      <w:r w:rsidRPr="00326791">
        <w:rPr>
          <w:rFonts w:cstheme="minorHAnsi"/>
          <w:sz w:val="24"/>
          <w:szCs w:val="24"/>
          <w:lang w:val="en-GB"/>
        </w:rPr>
        <w:t xml:space="preserve">ed trial included in this systematic review, comparing gemcitabine-cisplatin combined with TACE using </w:t>
      </w:r>
      <w:proofErr w:type="spellStart"/>
      <w:r w:rsidRPr="00326791">
        <w:rPr>
          <w:rFonts w:cstheme="minorHAnsi"/>
          <w:sz w:val="24"/>
          <w:szCs w:val="24"/>
          <w:lang w:val="en-GB"/>
        </w:rPr>
        <w:t>irinotecan</w:t>
      </w:r>
      <w:proofErr w:type="spellEnd"/>
      <w:r w:rsidRPr="00326791">
        <w:rPr>
          <w:rFonts w:cstheme="minorHAnsi"/>
          <w:sz w:val="24"/>
          <w:szCs w:val="24"/>
          <w:lang w:val="en-GB"/>
        </w:rPr>
        <w:t xml:space="preserve">-loaded drug-eluting beads with gemcitabine-cisplatin alone are promising: there was significantly more downsizing to resection/ablation in the TACE arm (25% vs 8%, P&lt;005), and improved </w:t>
      </w:r>
      <w:r>
        <w:rPr>
          <w:rFonts w:cstheme="minorHAnsi"/>
          <w:sz w:val="24"/>
          <w:szCs w:val="24"/>
          <w:lang w:val="en-GB"/>
        </w:rPr>
        <w:t>OS</w:t>
      </w:r>
      <w:r w:rsidRPr="00326791">
        <w:rPr>
          <w:rFonts w:cstheme="minorHAnsi"/>
          <w:sz w:val="24"/>
          <w:szCs w:val="24"/>
          <w:lang w:val="en-GB"/>
        </w:rPr>
        <w:t xml:space="preserve"> (33.7 vs 12.6 months, p=0.048) </w:t>
      </w:r>
      <w:r w:rsidRPr="00AD70F1">
        <w:rPr>
          <w:rFonts w:cstheme="minorHAnsi"/>
          <w:sz w:val="24"/>
          <w:szCs w:val="24"/>
          <w:lang w:val="en-GB"/>
        </w:rPr>
        <w:fldChar w:fldCharType="begin"/>
      </w:r>
      <w:r w:rsidR="0056133B">
        <w:rPr>
          <w:rFonts w:cstheme="minorHAnsi"/>
          <w:sz w:val="24"/>
          <w:szCs w:val="24"/>
          <w:lang w:val="en-GB"/>
        </w:rPr>
        <w:instrText xml:space="preserve"> ADDIN ZOTERO_ITEM CSL_CITATION {"citationID":"mQ5CYN7N","properties":{"formattedCitation":"[13]","plainCitation":"[13]","noteIndex":0},"citationItems":[{"id":4705,"uris":["http://zotero.org/users/587498/items/TNSVDZ4P"],"uri":["http://zotero.org/users/587498/items/TNSVDZ4P"],"itemData":{"id":4705,"type":"paper-conference","title":"Drug-Eluting Bead, Irinotecan (DEBIRI) Therapy of Unresectable Intrahepatic Cholangiocarcinoma (ICC) with Concomitant Systemic Gemcitabine and Cisplatin (Gem-Cis)","container-title":"ANNALS OF SURGICAL ONCOLOGY","publisher":"SPRINGER ONE NEW YORK PLAZA, SUITE 4600, NEW YORK, NY, UNITED STATES","page":"S21-S21","volume":"27","ISBN":"1068-9265","author":[{"family":"Martin","given":"R. C."},{"family":"Rocha","given":"F."},{"family":"Simo","given":"K."},{"family":"Crocenzi","given":"T."},{"family":"Scoggins","given":"C. R."}],"issued":{"date-parts":[["2020"]]}}}],"schema":"https://github.com/citation-style-language/schema/raw/master/csl-citation.json"} </w:instrText>
      </w:r>
      <w:r w:rsidRPr="00AD70F1">
        <w:rPr>
          <w:rFonts w:cstheme="minorHAnsi"/>
          <w:sz w:val="24"/>
          <w:szCs w:val="24"/>
          <w:lang w:val="en-GB"/>
        </w:rPr>
        <w:fldChar w:fldCharType="separate"/>
      </w:r>
      <w:r w:rsidR="0056133B" w:rsidRPr="0056133B">
        <w:rPr>
          <w:rFonts w:ascii="Calibri" w:hAnsi="Calibri" w:cs="Calibri"/>
          <w:sz w:val="24"/>
          <w:lang w:val="en-US"/>
        </w:rPr>
        <w:t>[13]</w:t>
      </w:r>
      <w:r w:rsidRPr="00AD70F1">
        <w:rPr>
          <w:rFonts w:cstheme="minorHAnsi"/>
          <w:sz w:val="24"/>
          <w:szCs w:val="24"/>
          <w:lang w:val="en-GB"/>
        </w:rPr>
        <w:fldChar w:fldCharType="end"/>
      </w:r>
      <w:r w:rsidRPr="00AD70F1">
        <w:rPr>
          <w:rFonts w:cstheme="minorHAnsi"/>
          <w:sz w:val="24"/>
          <w:szCs w:val="24"/>
          <w:lang w:val="en-GB"/>
        </w:rPr>
        <w:t xml:space="preserve">. However, the limited number of patients included (n=48) will not be sufficient to derive </w:t>
      </w:r>
      <w:r>
        <w:rPr>
          <w:rFonts w:cstheme="minorHAnsi"/>
          <w:sz w:val="24"/>
          <w:szCs w:val="24"/>
          <w:lang w:val="en-GB"/>
        </w:rPr>
        <w:t xml:space="preserve">a </w:t>
      </w:r>
      <w:r w:rsidRPr="00AD70F1">
        <w:rPr>
          <w:rFonts w:cstheme="minorHAnsi"/>
          <w:sz w:val="24"/>
          <w:szCs w:val="24"/>
          <w:lang w:val="en-GB"/>
        </w:rPr>
        <w:t xml:space="preserve">strong recommendation. </w:t>
      </w:r>
      <w:r w:rsidR="003F2FD8">
        <w:rPr>
          <w:rFonts w:cstheme="minorHAnsi"/>
          <w:sz w:val="24"/>
          <w:szCs w:val="24"/>
          <w:lang w:val="en-GB"/>
        </w:rPr>
        <w:t>Results of randomised trials for SIRT (</w:t>
      </w:r>
      <w:r w:rsidRPr="00AD70F1">
        <w:rPr>
          <w:rFonts w:cstheme="minorHAnsi"/>
          <w:sz w:val="24"/>
          <w:szCs w:val="24"/>
          <w:lang w:val="en-GB"/>
        </w:rPr>
        <w:t xml:space="preserve">SIRCCA phase </w:t>
      </w:r>
      <w:r w:rsidRPr="00326791">
        <w:rPr>
          <w:rFonts w:cstheme="minorHAnsi"/>
          <w:sz w:val="24"/>
          <w:szCs w:val="24"/>
          <w:lang w:val="en-GB"/>
        </w:rPr>
        <w:t>III trial</w:t>
      </w:r>
      <w:r w:rsidR="003F2FD8">
        <w:rPr>
          <w:rFonts w:cstheme="minorHAnsi"/>
          <w:sz w:val="24"/>
          <w:szCs w:val="24"/>
          <w:lang w:val="en-GB"/>
        </w:rPr>
        <w:t>,</w:t>
      </w:r>
      <w:r w:rsidRPr="00326791">
        <w:rPr>
          <w:rFonts w:cstheme="minorHAnsi"/>
          <w:sz w:val="24"/>
          <w:szCs w:val="24"/>
          <w:lang w:val="en-GB"/>
        </w:rPr>
        <w:t xml:space="preserve"> clinicaltrials.gov identifier NCT02807181) </w:t>
      </w:r>
      <w:r w:rsidR="003F2FD8">
        <w:rPr>
          <w:rFonts w:cstheme="minorHAnsi"/>
          <w:sz w:val="24"/>
          <w:szCs w:val="24"/>
          <w:lang w:val="en-GB"/>
        </w:rPr>
        <w:t>and for EBRT</w:t>
      </w:r>
      <w:r w:rsidRPr="00326791">
        <w:rPr>
          <w:rFonts w:cstheme="minorHAnsi"/>
          <w:sz w:val="24"/>
          <w:szCs w:val="24"/>
          <w:lang w:val="en-GB"/>
        </w:rPr>
        <w:t xml:space="preserve"> </w:t>
      </w:r>
      <w:r w:rsidR="003F2FD8">
        <w:rPr>
          <w:rFonts w:cstheme="minorHAnsi"/>
          <w:sz w:val="24"/>
          <w:szCs w:val="24"/>
          <w:lang w:val="en-GB"/>
        </w:rPr>
        <w:t xml:space="preserve">(ABC-07 phase II trial, </w:t>
      </w:r>
      <w:r w:rsidRPr="00326791">
        <w:rPr>
          <w:rFonts w:cstheme="minorHAnsi"/>
          <w:sz w:val="24"/>
          <w:szCs w:val="24"/>
          <w:lang w:val="en-GB"/>
        </w:rPr>
        <w:t xml:space="preserve">ISRCTN identifier 10639376) </w:t>
      </w:r>
      <w:r w:rsidR="003F2FD8">
        <w:rPr>
          <w:rFonts w:cstheme="minorHAnsi"/>
          <w:sz w:val="24"/>
          <w:szCs w:val="24"/>
          <w:lang w:val="en-GB"/>
        </w:rPr>
        <w:t>are awaited, but the early closure of SIRCCA might lead to insufficient power.</w:t>
      </w:r>
      <w:r w:rsidRPr="00326791">
        <w:rPr>
          <w:rFonts w:cstheme="minorHAnsi"/>
          <w:sz w:val="24"/>
          <w:szCs w:val="24"/>
          <w:lang w:val="en-GB"/>
        </w:rPr>
        <w:t xml:space="preserve"> </w:t>
      </w:r>
      <w:r>
        <w:rPr>
          <w:rFonts w:cstheme="minorHAnsi"/>
          <w:sz w:val="24"/>
          <w:szCs w:val="24"/>
          <w:lang w:val="en-GB"/>
        </w:rPr>
        <w:t>This</w:t>
      </w:r>
      <w:r w:rsidRPr="00326791">
        <w:rPr>
          <w:rFonts w:cstheme="minorHAnsi"/>
          <w:sz w:val="24"/>
          <w:szCs w:val="24"/>
          <w:lang w:val="en-GB"/>
        </w:rPr>
        <w:t xml:space="preserve"> </w:t>
      </w:r>
      <w:r>
        <w:rPr>
          <w:rFonts w:cstheme="minorHAnsi"/>
          <w:sz w:val="24"/>
          <w:szCs w:val="24"/>
          <w:lang w:val="en-GB"/>
        </w:rPr>
        <w:t xml:space="preserve">systematic </w:t>
      </w:r>
      <w:r w:rsidRPr="00326791">
        <w:rPr>
          <w:rFonts w:cstheme="minorHAnsi"/>
          <w:sz w:val="24"/>
          <w:szCs w:val="24"/>
          <w:lang w:val="en-GB"/>
        </w:rPr>
        <w:t xml:space="preserve">review </w:t>
      </w:r>
      <w:r>
        <w:rPr>
          <w:rFonts w:cstheme="minorHAnsi"/>
          <w:sz w:val="24"/>
          <w:szCs w:val="24"/>
          <w:lang w:val="en-GB"/>
        </w:rPr>
        <w:t>will</w:t>
      </w:r>
      <w:r w:rsidRPr="00326791">
        <w:rPr>
          <w:rFonts w:cstheme="minorHAnsi"/>
          <w:sz w:val="24"/>
          <w:szCs w:val="24"/>
          <w:lang w:val="en-GB"/>
        </w:rPr>
        <w:t xml:space="preserve"> help to define statistical hypothesis better </w:t>
      </w:r>
      <w:r>
        <w:rPr>
          <w:rFonts w:cstheme="minorHAnsi"/>
          <w:sz w:val="24"/>
          <w:szCs w:val="24"/>
          <w:lang w:val="en-GB"/>
        </w:rPr>
        <w:t>and</w:t>
      </w:r>
      <w:r w:rsidRPr="00326791">
        <w:rPr>
          <w:rFonts w:cstheme="minorHAnsi"/>
          <w:sz w:val="24"/>
          <w:szCs w:val="24"/>
          <w:lang w:val="en-GB"/>
        </w:rPr>
        <w:t xml:space="preserve"> help </w:t>
      </w:r>
      <w:r>
        <w:rPr>
          <w:rFonts w:cstheme="minorHAnsi"/>
          <w:sz w:val="24"/>
          <w:szCs w:val="24"/>
          <w:lang w:val="en-GB"/>
        </w:rPr>
        <w:t xml:space="preserve">to </w:t>
      </w:r>
      <w:r w:rsidRPr="00326791">
        <w:rPr>
          <w:rFonts w:cstheme="minorHAnsi"/>
          <w:sz w:val="24"/>
          <w:szCs w:val="24"/>
          <w:lang w:val="en-GB"/>
        </w:rPr>
        <w:t>plan future phase III randomi</w:t>
      </w:r>
      <w:r>
        <w:rPr>
          <w:rFonts w:cstheme="minorHAnsi"/>
          <w:sz w:val="24"/>
          <w:szCs w:val="24"/>
          <w:lang w:val="en-GB"/>
        </w:rPr>
        <w:t>s</w:t>
      </w:r>
      <w:r w:rsidRPr="00326791">
        <w:rPr>
          <w:rFonts w:cstheme="minorHAnsi"/>
          <w:sz w:val="24"/>
          <w:szCs w:val="24"/>
          <w:lang w:val="en-GB"/>
        </w:rPr>
        <w:t xml:space="preserve">ed trials that are </w:t>
      </w:r>
      <w:r w:rsidR="00D25743">
        <w:rPr>
          <w:rFonts w:cstheme="minorHAnsi"/>
          <w:sz w:val="24"/>
          <w:szCs w:val="24"/>
          <w:lang w:val="en-GB"/>
        </w:rPr>
        <w:t xml:space="preserve">still </w:t>
      </w:r>
      <w:r w:rsidRPr="00326791">
        <w:rPr>
          <w:rFonts w:cstheme="minorHAnsi"/>
          <w:sz w:val="24"/>
          <w:szCs w:val="24"/>
          <w:lang w:val="en-GB"/>
        </w:rPr>
        <w:t>clearly needed.</w:t>
      </w:r>
    </w:p>
    <w:p w14:paraId="0E392E05" w14:textId="474B9E00" w:rsidR="00ED764B" w:rsidRPr="00326791" w:rsidRDefault="00ED764B" w:rsidP="00ED764B">
      <w:pPr>
        <w:spacing w:line="480" w:lineRule="auto"/>
        <w:rPr>
          <w:sz w:val="24"/>
          <w:szCs w:val="24"/>
          <w:lang w:val="en-GB"/>
        </w:rPr>
      </w:pPr>
      <w:r w:rsidRPr="00AD70F1">
        <w:rPr>
          <w:sz w:val="24"/>
          <w:szCs w:val="24"/>
          <w:lang w:val="en-GB"/>
        </w:rPr>
        <w:t>Interestingly, different publication</w:t>
      </w:r>
      <w:r w:rsidRPr="00326791">
        <w:rPr>
          <w:sz w:val="24"/>
          <w:szCs w:val="24"/>
          <w:lang w:val="en-GB"/>
        </w:rPr>
        <w:t xml:space="preserve">s reported secondary resection following downsizing with IAT of initially unresectable </w:t>
      </w:r>
      <w:proofErr w:type="spellStart"/>
      <w:r w:rsidRPr="00326791">
        <w:rPr>
          <w:sz w:val="24"/>
          <w:szCs w:val="24"/>
          <w:lang w:val="en-GB"/>
        </w:rPr>
        <w:t>iCC</w:t>
      </w:r>
      <w:proofErr w:type="spellEnd"/>
      <w:r w:rsidR="00533C6D">
        <w:rPr>
          <w:sz w:val="24"/>
          <w:szCs w:val="24"/>
          <w:lang w:val="en-GB"/>
        </w:rPr>
        <w:t xml:space="preserve">, </w:t>
      </w:r>
      <w:r w:rsidR="003F2FD8">
        <w:rPr>
          <w:sz w:val="24"/>
          <w:szCs w:val="24"/>
          <w:lang w:val="en-GB"/>
        </w:rPr>
        <w:t>evaluated</w:t>
      </w:r>
      <w:r w:rsidR="00533C6D" w:rsidRPr="00AD70F1">
        <w:rPr>
          <w:sz w:val="24"/>
          <w:szCs w:val="24"/>
          <w:lang w:val="en-GB"/>
        </w:rPr>
        <w:t xml:space="preserve"> </w:t>
      </w:r>
      <w:r w:rsidR="003F2FD8">
        <w:rPr>
          <w:sz w:val="24"/>
          <w:szCs w:val="24"/>
          <w:lang w:val="en-GB"/>
        </w:rPr>
        <w:t xml:space="preserve">in the pooled </w:t>
      </w:r>
      <w:r w:rsidR="003F2FD8">
        <w:rPr>
          <w:sz w:val="24"/>
          <w:szCs w:val="24"/>
          <w:lang w:val="en-GB"/>
        </w:rPr>
        <w:t>analysis</w:t>
      </w:r>
      <w:r w:rsidR="003F2FD8" w:rsidRPr="00AD70F1">
        <w:rPr>
          <w:sz w:val="24"/>
          <w:szCs w:val="24"/>
          <w:lang w:val="en-GB"/>
        </w:rPr>
        <w:t xml:space="preserve"> </w:t>
      </w:r>
      <w:r w:rsidR="003F2FD8">
        <w:rPr>
          <w:sz w:val="24"/>
          <w:szCs w:val="24"/>
          <w:lang w:val="en-GB"/>
        </w:rPr>
        <w:t xml:space="preserve">as </w:t>
      </w:r>
      <w:r w:rsidR="00533C6D" w:rsidRPr="00AD70F1">
        <w:rPr>
          <w:sz w:val="24"/>
          <w:szCs w:val="24"/>
          <w:lang w:val="en-GB"/>
        </w:rPr>
        <w:t xml:space="preserve">14.6% </w:t>
      </w:r>
      <w:r w:rsidR="003F2FD8">
        <w:rPr>
          <w:sz w:val="24"/>
          <w:szCs w:val="24"/>
          <w:lang w:val="en-GB"/>
        </w:rPr>
        <w:t xml:space="preserve">of patients </w:t>
      </w:r>
      <w:r w:rsidR="003F2FD8" w:rsidRPr="00AD70F1">
        <w:rPr>
          <w:sz w:val="24"/>
          <w:szCs w:val="24"/>
          <w:lang w:val="en-GB"/>
        </w:rPr>
        <w:t xml:space="preserve">treated with systemic chemotherapy in </w:t>
      </w:r>
      <w:r w:rsidR="003F2FD8">
        <w:rPr>
          <w:sz w:val="24"/>
          <w:szCs w:val="24"/>
          <w:lang w:val="en-GB"/>
        </w:rPr>
        <w:t xml:space="preserve">the </w:t>
      </w:r>
      <w:r w:rsidR="003F2FD8" w:rsidRPr="00AD70F1">
        <w:rPr>
          <w:sz w:val="24"/>
          <w:szCs w:val="24"/>
          <w:lang w:val="en-GB"/>
        </w:rPr>
        <w:t>first-line</w:t>
      </w:r>
      <w:r w:rsidR="003F2FD8">
        <w:rPr>
          <w:sz w:val="24"/>
          <w:szCs w:val="24"/>
          <w:lang w:val="en-GB"/>
        </w:rPr>
        <w:t xml:space="preserve"> setting</w:t>
      </w:r>
      <w:r w:rsidR="003F2FD8">
        <w:rPr>
          <w:sz w:val="24"/>
          <w:szCs w:val="24"/>
          <w:lang w:val="en-GB"/>
        </w:rPr>
        <w:t xml:space="preserve"> </w:t>
      </w:r>
      <w:r w:rsidRPr="00AD70F1">
        <w:rPr>
          <w:sz w:val="24"/>
          <w:szCs w:val="24"/>
          <w:lang w:val="en-GB"/>
        </w:rPr>
        <w:fldChar w:fldCharType="begin"/>
      </w:r>
      <w:r w:rsidR="0056133B">
        <w:rPr>
          <w:sz w:val="24"/>
          <w:szCs w:val="24"/>
          <w:lang w:val="en-GB"/>
        </w:rPr>
        <w:instrText xml:space="preserve"> ADDIN ZOTERO_ITEM CSL_CITATION {"citationID":"dn3C3lsz","properties":{"formattedCitation":"[14\\uc0\\u8211{}20]","plainCitation":"[14–20]","noteIndex":0},"citationItems":[{"id":4363,"uris":["http://zotero.org/users/587498/items/6XTPF8L5"],"uri":["http://zotero.org/users/587498/items/6XTPF8L5"],"itemData":{"id":4363,"type":"article-journal","title":"Radioembolization Plus Chemotherapy for First-line Treatment of Locally Advanced Intrahepatic Cholangiocarcinoma: A Phase 2 Clinical Trial","container-title":"JAMA Oncology","page":"51","volume":"6","issue":"1","source":"Crossref","abstract":"OBJECTIVE To determine the response rate after SIRT combined with chemotherapy in patients with unresectable ICC. DESIGN, SETTING, AND PARTICIPANTS This phase 2 clinical trial, the Yttrium-90 Microspheres in Cholangiocarcinoma (MISPHEC) trial, included patients with unresectable ICC who have never received chemotherapy or intra-arterial therapy and were treated at 7 centers which had experience with SIRT between November 12, 2013, and June 21, 2016. Statistical analysis was performed from March 31, 2017, to June 17, 2019. INTERVENTIONS Concomitant first-line chemotherapy with cisplatin, 25 mg/m2, and gemcitabine, 1000 mg/m2 (gemcitabine reduced to 300 mg/m2 for the cycles just before and after SIRT), on days 1 and 8 of a 21-day cycle for 8 cycles. Selective internal radiotherapy was administered during cycle 1 (1 hemiliver disease) or cycles 1 and 3 (disease involving both hemilivers) using glass Y90 microspheres. MAIN OUTCOMES AND MEASURES Response rate at 3 months according to Response Evaluation Criteria in Solid Tumors (RECIST) 1.1. Secondary end points were toxic effects, progression-free survival, overall survival, disease control rate, and response rate according to Choi criteria.\nRESULTS Of 41 patients included in the study, 26 (63%) were male, with a mean (SD) age of 64.0 (10.7) years. Response rate according to RECIST was 39% (90% CI, 26%-53%) at 3 months according to local review and was confirmed at 41% as best response by central review; disease control rate was 98%. According to Choi criteria, the response rate was 93%. After a median follow-up of 36 months (95% CI, 26-52 months), median progression-free survival was 14 months (95% CI, 8-17 months), with progression-free survival rates of 55% at 12 months and 30% at 24 months. Median overall survival was 22 months (95% CI, 14-52 months), with overall survival rates of 75% at 12 months and 45% at 24 months. Of 41 patients, 29 (71%) had grades 3 to 4 toxic effects; 9 patients (22%) could be downstaged to surgical intervention, with 8 (20%) achieving R0 (microscopic-free margins) surgical resection. After a median of 46 months (95% CI, 31 months to not reached) after surgery, median relapse-free survival was not reached among patients who underwent resection.\nCONCLUSIONS AND RELEVANCE Combination chemotherapy and SIRT had antitumor activity as first-line treatment of unresectable ICC, and a significant proportion of patients were downstaged to surgical intervention. A phase 3 trial is ongoing.","DOI":"10.1001/jamaoncol.2019.3702","ISSN":"2374-2437","shortTitle":"Radioembolization Plus Chemotherapy for First-line Treatment of Locally Advanced Intrahepatic Cholangiocarcinoma","language":"en","author":[{"family":"Edeline","given":"Julien"},{"family":"Touchefeu","given":"Yann"},{"family":"Guiu","given":"Boris"},{"family":"Farge","given":"Olivier"},{"family":"Tougeron","given":"David"},{"family":"Baumgaertner","given":"Isabelle"},{"family":"Ayav","given":"Ahmet"},{"family":"Campillo-Gimenez","given":"Boris"},{"family":"Beuzit","given":"Luc"},{"family":"Pracht","given":"Marc"},{"family":"Lièvre","given":"Astrid"},{"family":"Le Sourd","given":"Samuel"},{"family":"Boudjema","given":"Karim"},{"family":"Rolland","given":"Yan"},{"family":"Boucher","given":"Eveline"},{"family":"Garin","given":"Etienne"}],"issued":{"date-parts":[["2020",1,1]]}}},{"id":4372,"uris":["http://zotero.org/users/587498/items/GFPF7Y8U"],"uri":["http://zotero.org/users/587498/items/GFPF7Y8U"],"itemData":{"id":4372,"type":"article-journal","title":"Assessment of Hepatic Arterial Infusion of Floxuridine in Combination With Systemic Gemcitabine and Oxaliplatin in Patients With Unresectable Intrahepatic Cholangiocarcinoma: A Phase 2 Clinical Trial","container-title":"JAMA Oncology","page":"60","volume":"6","issue":"1","source":"Crossref","abstract":"OBJECTIVE To evaluate clinical outcomes when HAI chemotherapy is combined with systemic chemotherapy in patients with unresectable IHC. DESIGN, SETTING, AND PARTICIPANTS A single-institution, phase 2 clinical trial including 38 patients was conducted with HAI floxuridine plus systemic gemcitabine and oxaliplatin in patients with unresectable IHC at Memorial Sloan Kettering Cancer Center between May 20, 2013, and June 27, 2019. A confirmatory phase 1/2 study using the same therapy was conducted during the same time period at Washington University in St Louis. Patients with histologically confirmed, unresectable IHC were eligible. Resectable metastatic disease to regional lymph nodes and prior systemic therapy were permitted. Patients with distant metastatic disease were excluded. INTERVENTIONS Hepatic arterial infusion of floxuridine and systemic administration of gemcitabine and oxaliplatin. MAIN OUTCOMES AND MEASURES The primary outcome was progression-free survival (PFS) of 80% at 6 months.\nRESULTS For the phase 2 clinical trial at Memorial Sloan Kettering Cancer Center, 42 patients with unresectable IHC were included and, of these, 38 patients were treated (13 [34%] men; median [range] age at diagnosis, 64 [39-81] years). The median follow-up was 30.5 months. Twenty-two patients (58%) achieved a partial radiographic response, and 32 patients (84%) achieved disease control at 6 months. Four patients had sufficient response to undergo resection, and 1 patient had a complete pathologic response. The median PFS was 11.8 months (1-sided 90% CI, 11.1) with a 6-month PFS rate of 84.1% (90% CI, 74.8%-infinity), thereby meeting the primary end point (6-month PFS rate, 80%). The median OS was 25.0 months (95% CI, 20.6-not reached), and the 1-year OS rate was 89.5% (95% CI, 80.2%-99.8%). Patients with resectable regional lymph nodes (18 [47%]) showed no difference in OS compared with patients with node-negative disease (24-month OS: lymph node negative: 60%; 95% CI, 40%-91% vs lymph node positive: 50%; 95% CI, 30%-83%; P = .66). Four patients (11%) had grade 4 toxic effects requiring removal from the study (1 portal hypertension, 2 gastroduodenal artery aneurysms, 1 infection in the pump pocket). Subgroup analysis showed significant improvement in survival in patients with IDH1/2 mutated tumors (2-year OS, 90%; 95% CI, 73%-99%) vs wild-type (2-year OS, 33%; 95% CI, 18%-63%) (P = .01). In the Washington University in St Louis confirmatory cohort, 9 patients (90%) achieved disease control at 6 months; the most common grade 3 toxic effect was elevated results of liver function tests, and median PFS was 12.8 months (1-sided 90% CI, 6.4).\nCONCLUSIONS AND RELEVANCE Hepatic arterial infusion plus systemic chemotherapy appears to be highly active and tolerable in patients with unresectable IHC; further evaluation is warranted.","DOI":"10.1001/jamaoncol.2019.3718","ISSN":"2374-2437","shortTitle":"Assessment of Hepatic Arterial Infusion of Floxuridine in Combination With Systemic Gemcitabine and Oxaliplatin in Patients With Unresectable Intrahepatic Cholangiocarcinoma","language":"en","author":[{"family":"Cercek","given":"Andrea"},{"family":"Boerner","given":"Thomas"},{"family":"Tan","given":"Benjamin R."},{"family":"Chou","given":"Joanne F."},{"family":"Gönen","given":"Mithat"},{"family":"Boucher","given":"Taryn M."},{"family":"Hauser","given":"Haley F."},{"family":"Do","given":"Richard K. G."},{"family":"Lowery","given":"Maeve A."},{"family":"Harding","given":"James J."},{"family":"Varghese","given":"Anna M."},{"family":"Reidy-Lagunes","given":"Diane"},{"family":"Saltz","given":"Leonard"},{"family":"Schultz","given":"Nikolaus"},{"family":"Kingham","given":"T. Peter"},{"family":"D’Angelica","given":"Michael I."},{"family":"DeMatteo","given":"Ronald P."},{"family":"Drebin","given":"Jeffrey A."},{"family":"Allen","given":"Peter J."},{"family":"Balachandran","given":"Vinod P."},{"family":"Lim","given":"Kian-Huat"},{"family":"Sanchez-Vega","given":"Francisco"},{"family":"Vachharajani","given":"Neeta"},{"family":"Majella Doyle","given":"Maria B."},{"family":"Fields","given":"Ryan C."},{"family":"Hawkins","given":"William G."},{"family":"Strasberg","given":"Steven M."},{"family":"Chapman","given":"William C."},{"family":"Diaz","given":"Luis A."},{"family":"Kemeny","given":"Nancy E."},{"family":"Jarnagin","given":"William R."}],"issued":{"date-parts":[["2020",1,1]]}}},{"id":4712,"uris":["http://zotero.org/users/587498/items/K3Z8IRR8"],"uri":["http://zotero.org/users/587498/items/K3Z8IRR8"],"itemData":{"id":4712,"type":"article-journal","title":"Clinical Application of Trans-Arterial Radioembolization in Hepatic Malignancies in Europe: First Results from the Prospective Multicentre Observational Study CIRSE Registry for SIR-Spheres Therapy (CIRT)","container-title":"CardioVascular and Interventional Radiology","page":"21-35","volume":"44","issue":"1","source":"Crossref","abstract":"Purpose To address the lack of prospective data on the real-life clinical application of trans-arterial radioembolization (TARE) in Europe, the Cardiovascular and Interventional Radiological Society of Europe (CIRSE) initiated the prospective observational study CIRSE Registry for SIR-SpheresÒ Therapy (CIRT).","DOI":"10.1007/s00270-020-02642-y","ISSN":"0174-1551, 1432-086X","shortTitle":"Clinical Application of Trans-Arterial Radioembolization in Hepatic Malignancies in Europe","language":"en","author":[{"literal":"On behalf of the CIRT Steering Committee"},{"literal":"On behalf of the CIRT Principal Investigators"},{"family":"Helmberger","given":"Thomas"},{"family":"Golfieri","given":"Rita"},{"family":"Pech","given":"Maciej"},{"family":"Pfammatter","given":"Thomas"},{"family":"Arnold","given":"Dirk"},{"family":"Cianni","given":"Roberto"},{"family":"Maleux","given":"Geert"},{"family":"Munneke","given":"Graham"},{"family":"Pellerin","given":"Olivier"},{"family":"Peynircioglu","given":"Bora"},{"family":"Sangro","given":"Bruno"},{"family":"Schaefer","given":"Niklaus"},{"family":"Jong","given":"Niels","non-dropping-particle":"de"},{"family":"Bilbao","given":"José Ignacio"}],"issued":{"date-parts":[["2021",1]]}}},{"id":4716,"uris":["http://zotero.org/users/587498/items/DVLRUIVJ"],"uri":["http://zotero.org/users/587498/items/DVLRUIVJ"],"itemData":{"id":4716,"type":"article-journal","title":"Yttrium-90 Radioembolization in Intrahepatic Cholangiocarcinoma: A Multicenter Retrospective Analysis","container-title":"Journal of Vascular and Interventional Radiology","page":"1035-1043.e2","volume":"31","issue":"7","source":"Crossref","abstract":"Purpose: To report outcomes of yttrium-90 (90Y) radioembolization in patients with unresectable intrahepatic cholangiocarcinoma (ICC). Materials and Methods: Retrospective review was performed of 115 patients at 6 tertiary care centers; 92 were treated with resin microspheres (80%), 22 were treated with glass microspheres (19%), and 1 was treated with both. Postintervention outcomes were compared between groups with c2 tests. Survival after diagnosis and after treatment was assessed by Kaplan–Meier method.\nResults: Grade 3 laboratory toxicity was observed in 4 patients (4%); no difference in toxicity proﬁle between resin and glass microspheres was observed (P ¼ .350). Clinical toxicity per Society of Interventional Radiology criteria was noted in 29 patients (25%). Partial response per Response Evaluation Criteria In Solid Tumors 1.1 was noted in 25% of patients who underwent embolization with glass microspheres and 3% of patients who were treated with resin microspheres (P ¼ .008). Median overall survival (OS) from ﬁrst diagnosis was 29 months (95% conﬁdence interval [CI], 21–37 mo) for all patients, and 1-, 3-, and 5-year OS rates were 85%, 31%, and 8%, respectively. Median OS after treatment was 11 months (95% CI, 8–13 mo), and 1- and 3-year OS rates were 44% and 4%, respectively. These estimates were not signiﬁcantly different between resin and glass microspheres (P ¼ .730 and P ¼ .475, respectively). Five patients were able to undergo curative-intent resection after 90Y radioembolization (4%).\nConclusions: This study provides observational data of treatment outcomes after 90Y radioembolization in patients with unresectable ICC.","DOI":"10.1016/j.jvir.2020.02.008","ISSN":"10510443","shortTitle":"Yttrium-90 Radioembolization in Intrahepatic Cholangiocarcinoma","language":"en","author":[{"family":"Buettner","given":"Stefan"},{"family":"Braat","given":"Arthur J.A.T."},{"family":"Margonis","given":"Georgios Antonios"},{"family":"Brown","given":"Daniel B."},{"family":"Taylor","given":"Kevin B."},{"family":"Borgmann","given":"Anthony J."},{"family":"Kappadath","given":"S. Cheenu"},{"family":"Mahvash","given":"Armeen"},{"family":"IJzermans","given":"Jan N.M."},{"family":"Weiss","given":"Matthew J."},{"family":"Lamarca","given":"Angela"},{"family":"Bell","given":"Jon K."},{"family":"Valle","given":"Juan W."},{"family":"Hagendoorn","given":"Jeroen"},{"family":"Koerkamp","given":"Bas Groot"},{"family":"Sze","given":"Daniel Y."},{"family":"Lam","given":"Marnix G.E.H."}],"issued":{"date-parts":[["2020",7]]}}},{"id":4381,"uris":["http://zotero.org/users/587498/items/5CNDK9JN"],"uri":["http://zotero.org/users/587498/items/5CNDK9JN"],"itemData":{"id":4381,"type":"article-journal","title":"Yttrium-90 glass microspheres radioembolization (RE) for biliary tract cancer: a large single-center experience","container-title":"European Journal of Nuclear Medicine and Molecular Imaging","page":"669-676","volume":"46","issue":"3","source":"Crossref","abstract":"Purpose Radioembolization (RE) is a promising treatment option for biliary tract cancers (BTC). We report here the largest series to date using this treatment modality.\nMethods We retrospectively studied data from 64 patients treated outside prospective clinical trial at our institution. We studied baseline characteristics as potential prognostic factors. We studied dose delivered to the tumor as predictive factors of outcomes in patients not receiving concomitant chemotherapy.\nResults The Progression-Free Survival and Overall Survival (OS) were 7.6 months [95% Confidence Interval (CI): 4.6–10.6] and 16.4 months [95% CI: 7.8–25.0] in the whole cohort. The factors independently associated with OS in multivariable analysis were the primary localization of ICC (HR = 0.27, 95% CI: 0.11–0.68, p = 0.005) and a PS &gt; 0 (HR = 2.21, 95% CI: 1.11–4.38, p = 0.024). During follow-up, 12 patients (19%) underwent surgery following downstaging, with a median OS of 51.9 months. In patients not treated with concomitant chemotherapy (n = 31), OS was significantly higher in patients with a dose delivered to the tumor 260Gy or higher than in patients with a dose delivered to the tumor lower than 260Gy (median 28.2 vs 11.4 months, logrank p = 0.019).\nConclusion Our results confirm that RE is a promising treatment modality in BTC. A high proportion of patients could be downstaged to surgery, with promising long-term survival. Dose delivered to the tumor correlated with clinical outcomes when chemotherapy was not used concomitantly.","DOI":"10.1007/s00259-018-4199-5","ISSN":"1619-7070, 1619-7089","shortTitle":"Yttrium-90 glass microspheres radioembolization (RE) for biliary tract cancer","language":"en","author":[{"family":"Bourien","given":"Héloïse"},{"family":"Palard","given":"Xavier"},{"family":"Rolland","given":"Yan"},{"family":"Le Du","given":"Fanny"},{"family":"Beuzit","given":"Luc"},{"family":"Uguen","given":"Thomas"},{"family":"Le Sourd","given":"Samuel"},{"family":"Pracht","given":"Marc"},{"family":"Manceau","given":"Vincent"},{"family":"Lièvre","given":"Astrid"},{"family":"Boudjema","given":"Karim"},{"family":"Garin","given":"Etienne"},{"family":"Edeline","given":"Julien"}],"issued":{"date-parts":[["2019",3]]}}},{"id":3702,"uris":["http://zotero.org/users/587498/items/5DT9YGWZ"],"uri":["http://zotero.org/users/587498/items/5DT9YGWZ"],"itemData":{"id":3702,"type":"article-journal","title":"Intra-arterial yttrium-90 radioembolization combined with systemic chemotherapy is a  promising method for downstaging unresectable huge intrahepatic cholangiocarcinoma  to surgical treatment.","container-title":"Annals of surgical oncology","page":"3102-3108","volume":"22","issue":"9","abstract":"PURPOSE: To evaluate the downstaging efficacy of yttrium-90 radioembolization  (Ytt-90)-associated with chemotherapy and the results of surgery for initially  unresectable huge intrahepatic cholangiocarcinoma (ICC). METHODS: Between January  2008 and October 2013, unresectable ICC were treated with chemotherapy and Ytt-90.  Patients with unique tumors localized to noncirrhotic livers and without  extrahepatic metastasis were considered to be potentially resectable and were  evaluated every 2 months for possible secondary resection. RESULTS: Forty-five  patients were treated for unresectable ICCs; ten had potentially resectable tumors,  and eight underwent surgery. Initial unresectability was due to the involvement of  the hepatic veins or portal vein of the future liver remnant in seven and one cases,  respectively. Preoperative treatment induced significant decreases in tumor volume  (295 vs. 168 ml, p = 0.02) and allowed for R0 resection in all cases. Three patients  (37.5 %) had Clavien-Dindo grade three or higher complications, including two  postoperative deaths. The median follow-ups were 15.6 [range 4-40.7] months after  medical treatment initiation and 7.2 [0.13-36.4] months after surgery. At the end of  the study period, five patients were still alive, with one patient still alive 40  months after medical treatment initiation (36.4 months after surgery); two patients  experienced recurrences. CONCLUSIONS: For initially unresectable huge ICCs,  chemotherapy with Ytt-90 radioembolization is an effective downstaging method that  allows for secondary resectability.","DOI":"10.1245/s10434-014-4365-3","ISSN":"1534-4681 1068-9265","note":"PMID: 25623598","journalAbbreviation":"Ann Surg Oncol","language":"eng","author":[{"family":"Rayar","given":"M."},{"family":"Sulpice","given":"L."},{"family":"Edeline","given":"J."},{"family":"Garin","given":"E."},{"family":"Levi Sandri","given":"G. B."},{"family":"Meunier","given":"B."},{"family":"Boucher","given":"E."},{"family":"Boudjema","given":"K."}],"issued":{"date-parts":[["2015",9]]}}},{"id":4720,"uris":["http://zotero.org/users/587498/items/D4QSNBB3"],"uri":["http://zotero.org/users/587498/items/D4QSNBB3"],"itemData":{"id":4720,"type":"article-journal","title":"Improved oncologic outcome with chemoradiotherapy followed by surgery in unresectable intrahepatic cholangiocarcinoma","container-title":"Strahlentherapie und Onkologie","page":"620-629","volume":"193","issue":"8","source":"Crossref","abstract":"Purpose To investigate the ability of chemoradiotherapy (CRT) to down-stage unresectable intrahepatic cholangiocarcinoma (IHCC) to resectable lesions, as well as the factors associated with achieving such down-staging.\nMethods The study cohort comprised 120 patients diagnosed with stage I–IVA IHCC between 2001 and 2012. Of these patients, 56 underwent surgery and 64 received CRT as their initial treatment. The rate of curative resections for patients who received CRT was assessed, and the locoregional failure-free survival (LRFFS) and overall survival (OS) rates of these patients were compared to those of patients who underwent CRT alone.\nResults Median follow-up was 36 months. A partial response after CRT was observed in 25% of patients, whereas a biologic response (a &gt;70% decrease of CA19-9) was observed in 35%. Eight patients (12.5%) received curative resection after CRT and showed signiﬁcantly improved LRFFS and OS compared to those treated with CRT alone (3-year LRFFS: 50 vs. 15.7%, respectively, p = 0.03; 3-year OS: 50 vs. 11.2%, respectively, p = 0.012); these rates were comparable to those of patients who received initial surgery. Factors associated with curative surgery after CRT were gemcitabine administration, higher radiotherapy dose (biological effective dose ≥55 Gy with α/β = 10), and a &gt;70% reduction of CA19-9.\nConclusion Upfront CRT could produce favorable outcomes by converting unresectable lesions to resectable tu-","DOI":"10.1007/s00066-017-1128-7","ISSN":"0179-7158, 1439-099X","language":"en","author":[{"family":"Cho","given":"Yeona"},{"family":"Kim","given":"Tae Hyung"},{"family":"Seong","given":"Jinsil"}],"issued":{"date-parts":[["2017",8]]}}}],"schema":"https://github.com/citation-style-language/schema/raw/master/csl-citation.json"}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szCs w:val="24"/>
          <w:lang w:val="en-US"/>
        </w:rPr>
        <w:t>[14–20]</w:t>
      </w:r>
      <w:r w:rsidRPr="00AD70F1">
        <w:rPr>
          <w:sz w:val="24"/>
          <w:szCs w:val="24"/>
          <w:lang w:val="en-GB"/>
        </w:rPr>
        <w:fldChar w:fldCharType="end"/>
      </w:r>
      <w:r w:rsidR="004F490F">
        <w:rPr>
          <w:sz w:val="24"/>
          <w:szCs w:val="24"/>
          <w:lang w:val="en-GB"/>
        </w:rPr>
        <w:t xml:space="preserve">, with </w:t>
      </w:r>
      <w:r w:rsidR="003F2FD8">
        <w:rPr>
          <w:sz w:val="24"/>
          <w:szCs w:val="24"/>
          <w:lang w:val="en-GB"/>
        </w:rPr>
        <w:t xml:space="preserve">a </w:t>
      </w:r>
      <w:r w:rsidR="004F490F">
        <w:rPr>
          <w:sz w:val="24"/>
          <w:szCs w:val="24"/>
          <w:lang w:val="en-GB"/>
        </w:rPr>
        <w:t>potential for long-term survival</w:t>
      </w:r>
      <w:r w:rsidR="003F2FD8">
        <w:rPr>
          <w:sz w:val="24"/>
          <w:szCs w:val="24"/>
          <w:lang w:val="en-GB"/>
        </w:rPr>
        <w:t xml:space="preserve"> for this downsized patients</w:t>
      </w:r>
      <w:r w:rsidRPr="00326791">
        <w:rPr>
          <w:sz w:val="24"/>
          <w:szCs w:val="24"/>
          <w:lang w:val="en-GB"/>
        </w:rPr>
        <w:t xml:space="preserve"> </w:t>
      </w:r>
      <w:r w:rsidRPr="00AD70F1">
        <w:rPr>
          <w:sz w:val="24"/>
          <w:szCs w:val="24"/>
          <w:lang w:val="en-GB"/>
        </w:rPr>
        <w:fldChar w:fldCharType="begin"/>
      </w:r>
      <w:r w:rsidR="0056133B">
        <w:rPr>
          <w:sz w:val="24"/>
          <w:szCs w:val="24"/>
          <w:lang w:val="en-GB"/>
        </w:rPr>
        <w:instrText xml:space="preserve"> ADDIN ZOTERO_ITEM CSL_CITATION {"citationID":"l4i7xXBo","properties":{"formattedCitation":"[21]","plainCitation":"[21]","noteIndex":0},"citationItems":[{"id":4793,"uris":["http://zotero.org/users/587498/items/YQ5CVRVK"],"uri":["http://zotero.org/users/587498/items/YQ5CVRVK"],"itemData":{"id":4793,"type":"article-journal","title":"Downstaging with Radioembolization or Chemotherapy for Initially Unresectable Intrahepatic Cholangiocarcinoma.","container-title":"Annals of surgical oncology","page":"3729-3737","volume":"27","issue":"10","abstract":"OBJECTIVE: The aim of this retrospective study was to compare the outcomes of patients resected for intrahepatic cholangiocarcinoma (ICC) with upfront surgery or  after downstaging treatment. METHODS: All consecutive patients with ICC between  January 1997 and November 2017 were included in a single-center database and  retrospectively reviewed. Patients were divided into two groups: upfront resection  or resection after downstaging using either chemotherapy alone or selective internal  radiation therapy (SIRT) combined with chemotherapy. Survival rates of patients who  underwent upfront surgery for ICC were compared with those of patients who underwent  surgery after downstaging therapy. RESULTS: A total of 169 patients resected for ICC  were included: 137 underwent upfront surgery and 32 received downstaging treatment  because their tumor was initially unresectable (13 received chemotherapy, 19  received SIRT). Median OS was not different between the two groups: 32.3 months [95%  confidence interval (CI) 23.9-40.7] with primary surgery versus 45.9 months (95% CI  32.3-59.4) with downstaging treatment (p = 0.54, log-rank test). In a multivariable  Cox regression model, downstaging treatment was not associated with a better or  worse prognosis; however, delivery of SIRT as a downstaging treatment was associated  with a significant benefit in multivariable analysis (hazard ratio 0.34, 95% CI  0.14-0.84; p = 0.019). CONCLUSIONS: Overall survival of patients resected after  downstaging treatment was not different compared with the OS of patients resected  upfront. Patients should therefore again be discussed with the surgeon following  medical treatment. SIRT may be an efficient neoadjuvant therapy in patients with  resectable ICC, in order to improve surgical results.","DOI":"10.1245/s10434-020-08486-7","ISSN":"1534-4681 1068-9265","note":"PMID: 32472411","journalAbbreviation":"Ann Surg Oncol","language":"eng","author":[{"family":"Riby","given":"Diane"},{"family":"Mazzotta","given":"Alessandro D."},{"family":"Bergeat","given":"Damien"},{"family":"Verdure","given":"Lucas"},{"family":"Sulpice","given":"Laurent"},{"family":"Bourien","given":"Heloise"},{"family":"Lièvre","given":"Astrid"},{"family":"Rolland","given":"Yan"},{"family":"Garin","given":"Etienne"},{"family":"Boudjema","given":"Karim"},{"family":"Edeline","given":"Julien"}],"issued":{"date-parts":[["2020",10]]}}}],"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lang w:val="en-US"/>
        </w:rPr>
        <w:t>[21]</w:t>
      </w:r>
      <w:r w:rsidRPr="00AD70F1">
        <w:rPr>
          <w:sz w:val="24"/>
          <w:szCs w:val="24"/>
          <w:lang w:val="en-GB"/>
        </w:rPr>
        <w:fldChar w:fldCharType="end"/>
      </w:r>
      <w:r w:rsidRPr="00AD70F1">
        <w:rPr>
          <w:sz w:val="24"/>
          <w:szCs w:val="24"/>
          <w:lang w:val="en-GB"/>
        </w:rPr>
        <w:t xml:space="preserve">. </w:t>
      </w:r>
      <w:r w:rsidR="00795AF6">
        <w:rPr>
          <w:sz w:val="24"/>
          <w:szCs w:val="24"/>
          <w:lang w:val="en-GB"/>
        </w:rPr>
        <w:t xml:space="preserve">Analysis of landmark survival of patients </w:t>
      </w:r>
      <w:r w:rsidR="004F490F">
        <w:rPr>
          <w:sz w:val="24"/>
          <w:szCs w:val="24"/>
          <w:lang w:val="en-GB"/>
        </w:rPr>
        <w:t xml:space="preserve">with BTC </w:t>
      </w:r>
      <w:r w:rsidR="00795AF6">
        <w:rPr>
          <w:sz w:val="24"/>
          <w:szCs w:val="24"/>
          <w:lang w:val="en-GB"/>
        </w:rPr>
        <w:lastRenderedPageBreak/>
        <w:t xml:space="preserve">treated with systemic </w:t>
      </w:r>
      <w:r w:rsidR="004F490F">
        <w:rPr>
          <w:sz w:val="24"/>
          <w:szCs w:val="24"/>
          <w:lang w:val="en-GB"/>
        </w:rPr>
        <w:t>chemotherapy</w:t>
      </w:r>
      <w:r w:rsidR="00795AF6">
        <w:rPr>
          <w:sz w:val="24"/>
          <w:szCs w:val="24"/>
          <w:lang w:val="en-GB"/>
        </w:rPr>
        <w:t xml:space="preserve"> suggested that </w:t>
      </w:r>
      <w:r w:rsidR="004F490F">
        <w:rPr>
          <w:sz w:val="24"/>
          <w:szCs w:val="24"/>
          <w:lang w:val="en-GB"/>
        </w:rPr>
        <w:t xml:space="preserve">patients treated with </w:t>
      </w:r>
      <w:r w:rsidR="00795AF6">
        <w:rPr>
          <w:sz w:val="24"/>
          <w:szCs w:val="24"/>
          <w:lang w:val="en-GB"/>
        </w:rPr>
        <w:t>combination therapy,</w:t>
      </w:r>
      <w:r w:rsidR="004F490F">
        <w:rPr>
          <w:sz w:val="24"/>
          <w:szCs w:val="24"/>
          <w:lang w:val="en-GB"/>
        </w:rPr>
        <w:t xml:space="preserve"> for</w:t>
      </w:r>
      <w:r w:rsidR="00795AF6">
        <w:rPr>
          <w:sz w:val="24"/>
          <w:szCs w:val="24"/>
          <w:lang w:val="en-GB"/>
        </w:rPr>
        <w:t xml:space="preserve"> </w:t>
      </w:r>
      <w:proofErr w:type="spellStart"/>
      <w:r w:rsidR="00795AF6">
        <w:rPr>
          <w:sz w:val="24"/>
          <w:szCs w:val="24"/>
          <w:lang w:val="en-GB"/>
        </w:rPr>
        <w:t>iCC</w:t>
      </w:r>
      <w:proofErr w:type="spellEnd"/>
      <w:r w:rsidR="00795AF6">
        <w:rPr>
          <w:sz w:val="24"/>
          <w:szCs w:val="24"/>
          <w:lang w:val="en-GB"/>
        </w:rPr>
        <w:t xml:space="preserve"> and </w:t>
      </w:r>
      <w:r w:rsidR="004F490F">
        <w:rPr>
          <w:sz w:val="24"/>
          <w:szCs w:val="24"/>
          <w:lang w:val="en-GB"/>
        </w:rPr>
        <w:t xml:space="preserve">with </w:t>
      </w:r>
      <w:r w:rsidR="00795AF6">
        <w:rPr>
          <w:sz w:val="24"/>
          <w:szCs w:val="24"/>
          <w:lang w:val="en-GB"/>
        </w:rPr>
        <w:t xml:space="preserve">locally-advanced disease had higher probability of further survival </w:t>
      </w:r>
      <w:r w:rsidR="00795AF6">
        <w:rPr>
          <w:sz w:val="24"/>
          <w:szCs w:val="24"/>
          <w:lang w:val="en-GB"/>
        </w:rPr>
        <w:fldChar w:fldCharType="begin"/>
      </w:r>
      <w:r w:rsidR="0056133B">
        <w:rPr>
          <w:sz w:val="24"/>
          <w:szCs w:val="24"/>
          <w:lang w:val="en-GB"/>
        </w:rPr>
        <w:instrText xml:space="preserve"> ADDIN ZOTERO_ITEM CSL_CITATION {"citationID":"3tmVWIMn","properties":{"formattedCitation":"[22]","plainCitation":"[22]","noteIndex":0},"citationItems":[{"id":4869,"uris":["http://zotero.org/users/587498/items/NZ9P2FIW"],"uri":["http://zotero.org/users/587498/items/NZ9P2FIW"],"itemData":{"id":4869,"type":"article-journal","title":"Landmark survival analysis and impact of anatomic site of origin in prospective clinical trials of biliary tract cancer","container-title":"Journal of Hepatology","page":"1109-1117","volume":"73","issue":"5","source":"Crossref","DOI":"10.1016/j.jhep.2020.05.014","ISSN":"01688278","language":"en","author":[{"family":"McNamara","given":"Mairéad Geraldine"},{"family":"Lopes","given":"Andre"},{"family":"Wasan","given":"Harpreet"},{"family":"Malka","given":"David"},{"family":"Goldstein","given":"David"},{"family":"Shannon","given":"Jenny"},{"family":"Okusaka","given":"Takuji"},{"family":"Knox","given":"Jennifer J."},{"family":"Wagner","given":"Anna Dorothea"},{"family":"André","given":"Thierry"},{"family":"Cunningham","given":"David"},{"family":"Moehler","given":"Markus"},{"family":"Jensen","given":"Lars Henrik"},{"family":"Koeberle","given":"Dieter"},{"family":"Bekaii-Saab","given":"Tanios"},{"family":"Bridgewater","given":"John"},{"family":"Valle","given":"Juan W."}],"issued":{"date-parts":[["2020",11]]}}}],"schema":"https://github.com/citation-style-language/schema/raw/master/csl-citation.json"} </w:instrText>
      </w:r>
      <w:r w:rsidR="00795AF6">
        <w:rPr>
          <w:sz w:val="24"/>
          <w:szCs w:val="24"/>
          <w:lang w:val="en-GB"/>
        </w:rPr>
        <w:fldChar w:fldCharType="separate"/>
      </w:r>
      <w:r w:rsidR="0056133B" w:rsidRPr="0056133B">
        <w:rPr>
          <w:rFonts w:ascii="Calibri" w:hAnsi="Calibri" w:cs="Calibri"/>
          <w:sz w:val="24"/>
          <w:lang w:val="en-US"/>
        </w:rPr>
        <w:t>[22]</w:t>
      </w:r>
      <w:r w:rsidR="00795AF6">
        <w:rPr>
          <w:sz w:val="24"/>
          <w:szCs w:val="24"/>
          <w:lang w:val="en-GB"/>
        </w:rPr>
        <w:fldChar w:fldCharType="end"/>
      </w:r>
      <w:r w:rsidR="00795AF6">
        <w:rPr>
          <w:sz w:val="24"/>
          <w:szCs w:val="24"/>
          <w:lang w:val="en-GB"/>
        </w:rPr>
        <w:t>.</w:t>
      </w:r>
      <w:r w:rsidRPr="00AD70F1">
        <w:rPr>
          <w:sz w:val="24"/>
          <w:szCs w:val="24"/>
          <w:lang w:val="en-GB"/>
        </w:rPr>
        <w:t xml:space="preserve"> </w:t>
      </w:r>
      <w:r w:rsidR="00795AF6">
        <w:rPr>
          <w:sz w:val="24"/>
          <w:szCs w:val="24"/>
          <w:lang w:val="en-GB"/>
        </w:rPr>
        <w:t xml:space="preserve">Another important point to consider in </w:t>
      </w:r>
      <w:proofErr w:type="spellStart"/>
      <w:r w:rsidR="00795AF6">
        <w:rPr>
          <w:sz w:val="24"/>
          <w:szCs w:val="24"/>
          <w:lang w:val="en-GB"/>
        </w:rPr>
        <w:t>iCC</w:t>
      </w:r>
      <w:proofErr w:type="spellEnd"/>
      <w:r w:rsidR="00795AF6">
        <w:rPr>
          <w:sz w:val="24"/>
          <w:szCs w:val="24"/>
          <w:lang w:val="en-GB"/>
        </w:rPr>
        <w:t xml:space="preserve"> is the need to search for targetable alterations, with good outcomes presented after targeted treatment for patients with </w:t>
      </w:r>
      <w:r w:rsidR="00795AF6" w:rsidRPr="00FE3C3E">
        <w:rPr>
          <w:i/>
          <w:sz w:val="24"/>
          <w:szCs w:val="24"/>
          <w:lang w:val="en-GB"/>
        </w:rPr>
        <w:t>IDH1</w:t>
      </w:r>
      <w:r w:rsidR="00795AF6">
        <w:rPr>
          <w:sz w:val="24"/>
          <w:szCs w:val="24"/>
          <w:lang w:val="en-GB"/>
        </w:rPr>
        <w:t xml:space="preserve"> mutations, </w:t>
      </w:r>
      <w:r w:rsidR="00795AF6" w:rsidRPr="00FE3C3E">
        <w:rPr>
          <w:i/>
          <w:sz w:val="24"/>
          <w:szCs w:val="24"/>
          <w:lang w:val="en-GB"/>
        </w:rPr>
        <w:t>FGFR2</w:t>
      </w:r>
      <w:r w:rsidR="00795AF6">
        <w:rPr>
          <w:sz w:val="24"/>
          <w:szCs w:val="24"/>
          <w:lang w:val="en-GB"/>
        </w:rPr>
        <w:t xml:space="preserve"> fusions or </w:t>
      </w:r>
      <w:r w:rsidR="00795AF6" w:rsidRPr="00FE3C3E">
        <w:rPr>
          <w:i/>
          <w:sz w:val="24"/>
          <w:szCs w:val="24"/>
          <w:lang w:val="en-GB"/>
        </w:rPr>
        <w:t>BRAF</w:t>
      </w:r>
      <w:r w:rsidR="00795AF6">
        <w:rPr>
          <w:sz w:val="24"/>
          <w:szCs w:val="24"/>
          <w:lang w:val="en-GB"/>
        </w:rPr>
        <w:t xml:space="preserve"> V600 mutations </w:t>
      </w:r>
      <w:r w:rsidR="00795AF6">
        <w:rPr>
          <w:sz w:val="24"/>
          <w:szCs w:val="24"/>
          <w:lang w:val="en-GB"/>
        </w:rPr>
        <w:fldChar w:fldCharType="begin"/>
      </w:r>
      <w:r w:rsidR="0056133B">
        <w:rPr>
          <w:sz w:val="24"/>
          <w:szCs w:val="24"/>
          <w:lang w:val="en-GB"/>
        </w:rPr>
        <w:instrText xml:space="preserve"> ADDIN ZOTERO_ITEM CSL_CITATION {"citationID":"Lbm4Mbpd","properties":{"formattedCitation":"[23]","plainCitation":"[23]","noteIndex":0},"citationItems":[{"id":4461,"uris":["http://zotero.org/users/587498/items/XY9UBDE9"],"uri":["http://zotero.org/users/587498/items/XY9UBDE9"],"itemData":{"id":4461,"type":"article-journal","title":"Molecular targeted therapies: Ready for \"prime time\" in biliary tract cancer.","container-title":"Journal of hepatology","page":"170-185","volume":"73","issue":"1","abstract":"The prognosis for patients with biliary tract cancers (cholangiocarcinoma and  gallbladder cancer) is poor, while the incidence of these cancers is increasing.  Most patients are diagnosed with advanced disease when treatment options are limited  to palliative approaches, mainly focused on chemotherapy. In recent years, novel  treatment targets of relevance to biliary tract cancers, mainly present in patients  with intrahepatic cholangiocarcinoma, have been identified and are rapidly changing  the field. These include fibroblast growth factor receptor (FGFR) fusions and  isocitrate dehydrogenase (IDH)-1 and -2 mutations which are each present in around  10-20% of patients with intrahepatic cholangiocarcinoma. In addition, inhibition of  other pathways/molecules is currently being explored, including human epidermal  growth factor receptor (HER) family members, the Wnt pathway, neurotropic tyrosine  kinase receptor (NTRK) fusions and BRAF mutations. The IDH1 inhibitor ivosidenib has  already been tested in a phase III clinical trial in pretreated cholangiocarcinoma  and showed benefit in terms of progression-free survival. Multiple FGFR inhibitors  have consistently shown high response rates in phase II/III trials, especially for  patients harbouring FGFR2 fusions. Herein, we provide an overview of the status of  targeted therapies in biliary tract cancers, discussing the current clinical  development of IDH and FGFR inhibitors in detail, as well as reviewing current  caveats and future steps.","DOI":"10.1016/j.jhep.2020.03.007","ISSN":"1600-0641 0168-8278","note":"PMID: 32171892","journalAbbreviation":"J Hepatol","language":"eng","author":[{"family":"Lamarca","given":"Angela"},{"family":"Barriuso","given":"Jorge"},{"family":"McNamara","given":"Mairéad G."},{"family":"Valle","given":"Juan W."}],"issued":{"date-parts":[["2020",7]]}}}],"schema":"https://github.com/citation-style-language/schema/raw/master/csl-citation.json"} </w:instrText>
      </w:r>
      <w:r w:rsidR="00795AF6">
        <w:rPr>
          <w:sz w:val="24"/>
          <w:szCs w:val="24"/>
          <w:lang w:val="en-GB"/>
        </w:rPr>
        <w:fldChar w:fldCharType="separate"/>
      </w:r>
      <w:r w:rsidR="0056133B" w:rsidRPr="0056133B">
        <w:rPr>
          <w:rFonts w:ascii="Calibri" w:hAnsi="Calibri" w:cs="Calibri"/>
          <w:sz w:val="24"/>
        </w:rPr>
        <w:t>[23]</w:t>
      </w:r>
      <w:r w:rsidR="00795AF6">
        <w:rPr>
          <w:sz w:val="24"/>
          <w:szCs w:val="24"/>
          <w:lang w:val="en-GB"/>
        </w:rPr>
        <w:fldChar w:fldCharType="end"/>
      </w:r>
      <w:r w:rsidR="00795AF6">
        <w:rPr>
          <w:sz w:val="24"/>
          <w:szCs w:val="24"/>
          <w:lang w:val="en-GB"/>
        </w:rPr>
        <w:t>.</w:t>
      </w:r>
    </w:p>
    <w:p w14:paraId="6807DE7E" w14:textId="735A5935" w:rsidR="004509BB" w:rsidRPr="00AD70F1" w:rsidRDefault="00315710" w:rsidP="00315710">
      <w:pPr>
        <w:spacing w:line="480" w:lineRule="auto"/>
        <w:rPr>
          <w:sz w:val="24"/>
          <w:szCs w:val="24"/>
          <w:lang w:val="en-GB"/>
        </w:rPr>
      </w:pPr>
      <w:r w:rsidRPr="00AD70F1">
        <w:rPr>
          <w:sz w:val="24"/>
          <w:szCs w:val="24"/>
          <w:lang w:val="en-GB"/>
        </w:rPr>
        <w:t xml:space="preserve">Most of the studies </w:t>
      </w:r>
      <w:r w:rsidR="00533C6D">
        <w:rPr>
          <w:sz w:val="24"/>
          <w:szCs w:val="24"/>
          <w:lang w:val="en-GB"/>
        </w:rPr>
        <w:t>included</w:t>
      </w:r>
      <w:r w:rsidRPr="00AD70F1">
        <w:rPr>
          <w:sz w:val="24"/>
          <w:szCs w:val="24"/>
          <w:lang w:val="en-GB"/>
        </w:rPr>
        <w:t xml:space="preserve"> were single-centre retrospective studies. Only one randomi</w:t>
      </w:r>
      <w:r w:rsidR="002E6E29">
        <w:rPr>
          <w:sz w:val="24"/>
          <w:szCs w:val="24"/>
          <w:lang w:val="en-GB"/>
        </w:rPr>
        <w:t>s</w:t>
      </w:r>
      <w:r w:rsidRPr="00AD70F1">
        <w:rPr>
          <w:sz w:val="24"/>
          <w:szCs w:val="24"/>
          <w:lang w:val="en-GB"/>
        </w:rPr>
        <w:t>ed control</w:t>
      </w:r>
      <w:r w:rsidR="00D25743">
        <w:rPr>
          <w:sz w:val="24"/>
          <w:szCs w:val="24"/>
          <w:lang w:val="en-GB"/>
        </w:rPr>
        <w:t>led</w:t>
      </w:r>
      <w:r w:rsidRPr="00AD70F1">
        <w:rPr>
          <w:sz w:val="24"/>
          <w:szCs w:val="24"/>
          <w:lang w:val="en-GB"/>
        </w:rPr>
        <w:t xml:space="preserve"> study was identified </w:t>
      </w:r>
      <w:r w:rsidRPr="00AD70F1">
        <w:rPr>
          <w:sz w:val="24"/>
          <w:szCs w:val="24"/>
          <w:lang w:val="en-GB"/>
        </w:rPr>
        <w:fldChar w:fldCharType="begin"/>
      </w:r>
      <w:r w:rsidR="0056133B">
        <w:rPr>
          <w:sz w:val="24"/>
          <w:szCs w:val="24"/>
          <w:lang w:val="en-GB"/>
        </w:rPr>
        <w:instrText xml:space="preserve"> ADDIN ZOTERO_ITEM CSL_CITATION {"citationID":"BlnwlJvd","properties":{"formattedCitation":"[13]","plainCitation":"[13]","noteIndex":0},"citationItems":[{"id":4705,"uris":["http://zotero.org/users/587498/items/TNSVDZ4P"],"uri":["http://zotero.org/users/587498/items/TNSVDZ4P"],"itemData":{"id":4705,"type":"paper-conference","title":"Drug-Eluting Bead, Irinotecan (DEBIRI) Therapy of Unresectable Intrahepatic Cholangiocarcinoma (ICC) with Concomitant Systemic Gemcitabine and Cisplatin (Gem-Cis)","container-title":"ANNALS OF SURGICAL ONCOLOGY","publisher":"SPRINGER ONE NEW YORK PLAZA, SUITE 4600, NEW YORK, NY, UNITED STATES","page":"S21-S21","volume":"27","ISBN":"1068-9265","author":[{"family":"Martin","given":"R. C."},{"family":"Rocha","given":"F."},{"family":"Simo","given":"K."},{"family":"Crocenzi","given":"T."},{"family":"Scoggins","given":"C. R."}],"issued":{"date-parts":[["2020"]]}}}],"schema":"https://github.com/citation-style-language/schema/raw/master/csl-citation.json"}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lang w:val="en-US"/>
        </w:rPr>
        <w:t>[13]</w:t>
      </w:r>
      <w:r w:rsidRPr="00AD70F1">
        <w:rPr>
          <w:sz w:val="24"/>
          <w:szCs w:val="24"/>
          <w:lang w:val="en-GB"/>
        </w:rPr>
        <w:fldChar w:fldCharType="end"/>
      </w:r>
      <w:r w:rsidRPr="00AD70F1">
        <w:rPr>
          <w:sz w:val="24"/>
          <w:szCs w:val="24"/>
          <w:lang w:val="en-GB"/>
        </w:rPr>
        <w:t xml:space="preserve">, currently published only in abstract form, and thus none of the </w:t>
      </w:r>
      <w:r w:rsidR="002A68FC">
        <w:rPr>
          <w:sz w:val="24"/>
          <w:szCs w:val="24"/>
          <w:lang w:val="en-GB"/>
        </w:rPr>
        <w:t>studies</w:t>
      </w:r>
      <w:r w:rsidR="002A68FC" w:rsidRPr="00AD70F1">
        <w:rPr>
          <w:sz w:val="24"/>
          <w:szCs w:val="24"/>
          <w:lang w:val="en-GB"/>
        </w:rPr>
        <w:t xml:space="preserve"> </w:t>
      </w:r>
      <w:r w:rsidRPr="00AD70F1">
        <w:rPr>
          <w:sz w:val="24"/>
          <w:szCs w:val="24"/>
          <w:lang w:val="en-GB"/>
        </w:rPr>
        <w:t>qualified as low risk of bias, and only 15% were considered as intermediate risk of bias (corresponding mostly to well-design</w:t>
      </w:r>
      <w:r w:rsidR="00F95243" w:rsidRPr="00AD70F1">
        <w:rPr>
          <w:sz w:val="24"/>
          <w:szCs w:val="24"/>
          <w:lang w:val="en-GB"/>
        </w:rPr>
        <w:t>ed</w:t>
      </w:r>
      <w:r w:rsidRPr="00326791">
        <w:rPr>
          <w:sz w:val="24"/>
          <w:szCs w:val="24"/>
          <w:lang w:val="en-GB"/>
        </w:rPr>
        <w:t xml:space="preserve"> prospective single-arm clinical trials). Moreover, there </w:t>
      </w:r>
      <w:r w:rsidR="00641093" w:rsidRPr="00326791">
        <w:rPr>
          <w:sz w:val="24"/>
          <w:szCs w:val="24"/>
          <w:lang w:val="en-GB"/>
        </w:rPr>
        <w:t xml:space="preserve">were </w:t>
      </w:r>
      <w:r w:rsidRPr="00326791">
        <w:rPr>
          <w:sz w:val="24"/>
          <w:szCs w:val="24"/>
          <w:lang w:val="en-GB"/>
        </w:rPr>
        <w:t xml:space="preserve">important inconsistencies in the reporting of the data. </w:t>
      </w:r>
      <w:r w:rsidR="003F2FD8" w:rsidRPr="00AD70F1">
        <w:rPr>
          <w:sz w:val="24"/>
          <w:szCs w:val="24"/>
          <w:lang w:val="en-GB"/>
        </w:rPr>
        <w:t xml:space="preserve">Apart from gender and age, none of the parameters were reported in more than half of the studies. </w:t>
      </w:r>
      <w:r w:rsidR="003F2FD8">
        <w:rPr>
          <w:sz w:val="24"/>
          <w:szCs w:val="24"/>
          <w:lang w:val="en-GB"/>
        </w:rPr>
        <w:t>W</w:t>
      </w:r>
      <w:r w:rsidRPr="00326791">
        <w:rPr>
          <w:sz w:val="24"/>
          <w:szCs w:val="24"/>
          <w:lang w:val="en-GB"/>
        </w:rPr>
        <w:t xml:space="preserve">hile cirrhosis is a known risk factor </w:t>
      </w:r>
      <w:r w:rsidR="004C50EF">
        <w:rPr>
          <w:sz w:val="24"/>
          <w:szCs w:val="24"/>
          <w:lang w:val="en-GB"/>
        </w:rPr>
        <w:t xml:space="preserve">for of </w:t>
      </w:r>
      <w:proofErr w:type="spellStart"/>
      <w:r w:rsidRPr="00326791">
        <w:rPr>
          <w:sz w:val="24"/>
          <w:szCs w:val="24"/>
          <w:lang w:val="en-GB"/>
        </w:rPr>
        <w:t>iCC</w:t>
      </w:r>
      <w:proofErr w:type="spellEnd"/>
      <w:r w:rsidRPr="00326791">
        <w:rPr>
          <w:sz w:val="24"/>
          <w:szCs w:val="24"/>
          <w:lang w:val="en-GB"/>
        </w:rPr>
        <w:t xml:space="preserve"> and was associated with increase</w:t>
      </w:r>
      <w:r w:rsidR="00F95243" w:rsidRPr="00326791">
        <w:rPr>
          <w:sz w:val="24"/>
          <w:szCs w:val="24"/>
          <w:lang w:val="en-GB"/>
        </w:rPr>
        <w:t>d</w:t>
      </w:r>
      <w:r w:rsidRPr="00326791">
        <w:rPr>
          <w:sz w:val="24"/>
          <w:szCs w:val="24"/>
          <w:lang w:val="en-GB"/>
        </w:rPr>
        <w:t xml:space="preserve"> toxicity in a previous trial of SIRT </w:t>
      </w:r>
      <w:r w:rsidRPr="00AD70F1">
        <w:rPr>
          <w:sz w:val="24"/>
          <w:szCs w:val="24"/>
          <w:lang w:val="en-GB"/>
        </w:rPr>
        <w:fldChar w:fldCharType="begin"/>
      </w:r>
      <w:r w:rsidR="0056133B">
        <w:rPr>
          <w:sz w:val="24"/>
          <w:szCs w:val="24"/>
          <w:lang w:val="en-GB"/>
        </w:rPr>
        <w:instrText xml:space="preserve"> ADDIN ZOTERO_ITEM CSL_CITATION {"citationID":"ZpIM84jm","properties":{"formattedCitation":"[14]","plainCitation":"[14]","noteIndex":0},"citationItems":[{"id":4363,"uris":["http://zotero.org/users/587498/items/6XTPF8L5"],"uri":["http://zotero.org/users/587498/items/6XTPF8L5"],"itemData":{"id":4363,"type":"article-journal","title":"Radioembolization Plus Chemotherapy for First-line Treatment of Locally Advanced Intrahepatic Cholangiocarcinoma: A Phase 2 Clinical Trial","container-title":"JAMA Oncology","page":"51","volume":"6","issue":"1","source":"Crossref","abstract":"OBJECTIVE To determine the response rate after SIRT combined with chemotherapy in patients with unresectable ICC. DESIGN, SETTING, AND PARTICIPANTS This phase 2 clinical trial, the Yttrium-90 Microspheres in Cholangiocarcinoma (MISPHEC) trial, included patients with unresectable ICC who have never received chemotherapy or intra-arterial therapy and were treated at 7 centers which had experience with SIRT between November 12, 2013, and June 21, 2016. Statistical analysis was performed from March 31, 2017, to June 17, 2019. INTERVENTIONS Concomitant first-line chemotherapy with cisplatin, 25 mg/m2, and gemcitabine, 1000 mg/m2 (gemcitabine reduced to 300 mg/m2 for the cycles just before and after SIRT), on days 1 and 8 of a 21-day cycle for 8 cycles. Selective internal radiotherapy was administered during cycle 1 (1 hemiliver disease) or cycles 1 and 3 (disease involving both hemilivers) using glass Y90 microspheres. MAIN OUTCOMES AND MEASURES Response rate at 3 months according to Response Evaluation Criteria in Solid Tumors (RECIST) 1.1. Secondary end points were toxic effects, progression-free survival, overall survival, disease control rate, and response rate according to Choi criteria.\nRESULTS Of 41 patients included in the study, 26 (63%) were male, with a mean (SD) age of 64.0 (10.7) years. Response rate according to RECIST was 39% (90% CI, 26%-53%) at 3 months according to local review and was confirmed at 41% as best response by central review; disease control rate was 98%. According to Choi criteria, the response rate was 93%. After a median follow-up of 36 months (95% CI, 26-52 months), median progression-free survival was 14 months (95% CI, 8-17 months), with progression-free survival rates of 55% at 12 months and 30% at 24 months. Median overall survival was 22 months (95% CI, 14-52 months), with overall survival rates of 75% at 12 months and 45% at 24 months. Of 41 patients, 29 (71%) had grades 3 to 4 toxic effects; 9 patients (22%) could be downstaged to surgical intervention, with 8 (20%) achieving R0 (microscopic-free margins) surgical resection. After a median of 46 months (95% CI, 31 months to not reached) after surgery, median relapse-free survival was not reached among patients who underwent resection.\nCONCLUSIONS AND RELEVANCE Combination chemotherapy and SIRT had antitumor activity as first-line treatment of unresectable ICC, and a significant proportion of patients were downstaged to surgical intervention. A phase 3 trial is ongoing.","DOI":"10.1001/jamaoncol.2019.3702","ISSN":"2374-2437","shortTitle":"Radioembolization Plus Chemotherapy for First-line Treatment of Locally Advanced Intrahepatic Cholangiocarcinoma","language":"en","author":[{"family":"Edeline","given":"Julien"},{"family":"Touchefeu","given":"Yann"},{"family":"Guiu","given":"Boris"},{"family":"Farge","given":"Olivier"},{"family":"Tougeron","given":"David"},{"family":"Baumgaertner","given":"Isabelle"},{"family":"Ayav","given":"Ahmet"},{"family":"Campillo-Gimenez","given":"Boris"},{"family":"Beuzit","given":"Luc"},{"family":"Pracht","given":"Marc"},{"family":"Lièvre","given":"Astrid"},{"family":"Le Sourd","given":"Samuel"},{"family":"Boudjema","given":"Karim"},{"family":"Rolland","given":"Yan"},{"family":"Boucher","given":"Eveline"},{"family":"Garin","given":"Etienne"}],"issued":{"date-parts":[["2020",1,1]]}}}],"schema":"https://github.com/citation-style-language/schema/raw/master/csl-citation.json"} </w:instrText>
      </w:r>
      <w:r w:rsidRPr="00AD70F1">
        <w:rPr>
          <w:sz w:val="24"/>
          <w:szCs w:val="24"/>
          <w:lang w:val="en-GB"/>
        </w:rPr>
        <w:fldChar w:fldCharType="separate"/>
      </w:r>
      <w:r w:rsidR="0056133B" w:rsidRPr="0056133B">
        <w:rPr>
          <w:rFonts w:ascii="Calibri" w:hAnsi="Calibri" w:cs="Calibri"/>
          <w:sz w:val="24"/>
          <w:lang w:val="en-US"/>
        </w:rPr>
        <w:t>[14]</w:t>
      </w:r>
      <w:r w:rsidRPr="00AD70F1">
        <w:rPr>
          <w:sz w:val="24"/>
          <w:szCs w:val="24"/>
          <w:lang w:val="en-GB"/>
        </w:rPr>
        <w:fldChar w:fldCharType="end"/>
      </w:r>
      <w:r w:rsidRPr="00AD70F1">
        <w:rPr>
          <w:sz w:val="24"/>
          <w:szCs w:val="24"/>
          <w:lang w:val="en-GB"/>
        </w:rPr>
        <w:t xml:space="preserve">, only 23 out of 101 cohorts reported the frequency of cirrhosis in their population. Some parameters representing similar characteristics were reported differently: </w:t>
      </w:r>
      <w:r w:rsidR="002A68FC">
        <w:rPr>
          <w:sz w:val="24"/>
          <w:szCs w:val="24"/>
          <w:lang w:val="en-GB"/>
        </w:rPr>
        <w:t xml:space="preserve">the </w:t>
      </w:r>
      <w:r w:rsidR="00F95243" w:rsidRPr="00326791">
        <w:rPr>
          <w:sz w:val="24"/>
          <w:szCs w:val="24"/>
          <w:lang w:val="en-GB"/>
        </w:rPr>
        <w:t>extent of the disease was</w:t>
      </w:r>
      <w:r w:rsidRPr="00326791">
        <w:rPr>
          <w:sz w:val="24"/>
          <w:szCs w:val="24"/>
          <w:lang w:val="en-GB"/>
        </w:rPr>
        <w:t xml:space="preserve"> </w:t>
      </w:r>
      <w:r w:rsidR="002A68FC">
        <w:rPr>
          <w:sz w:val="24"/>
          <w:szCs w:val="24"/>
          <w:lang w:val="en-GB"/>
        </w:rPr>
        <w:t>provided</w:t>
      </w:r>
      <w:r w:rsidR="002A68FC" w:rsidRPr="00326791">
        <w:rPr>
          <w:sz w:val="24"/>
          <w:szCs w:val="24"/>
          <w:lang w:val="en-GB"/>
        </w:rPr>
        <w:t xml:space="preserve"> </w:t>
      </w:r>
      <w:r w:rsidR="005E0183" w:rsidRPr="00326791">
        <w:rPr>
          <w:sz w:val="24"/>
          <w:szCs w:val="24"/>
          <w:lang w:val="en-GB"/>
        </w:rPr>
        <w:t xml:space="preserve">either </w:t>
      </w:r>
      <w:r w:rsidRPr="00326791">
        <w:rPr>
          <w:sz w:val="24"/>
          <w:szCs w:val="24"/>
          <w:lang w:val="en-GB"/>
        </w:rPr>
        <w:t>b</w:t>
      </w:r>
      <w:r w:rsidR="00255C0F" w:rsidRPr="00326791">
        <w:rPr>
          <w:sz w:val="24"/>
          <w:szCs w:val="24"/>
          <w:lang w:val="en-GB"/>
        </w:rPr>
        <w:t>y tumo</w:t>
      </w:r>
      <w:r w:rsidR="002A68FC">
        <w:rPr>
          <w:sz w:val="24"/>
          <w:szCs w:val="24"/>
          <w:lang w:val="en-GB"/>
        </w:rPr>
        <w:t>u</w:t>
      </w:r>
      <w:r w:rsidR="00255C0F" w:rsidRPr="00326791">
        <w:rPr>
          <w:sz w:val="24"/>
          <w:szCs w:val="24"/>
          <w:lang w:val="en-GB"/>
        </w:rPr>
        <w:t xml:space="preserve">r size, bilobar involvement, multifocality and/or involvement of 50% the liver. </w:t>
      </w:r>
      <w:r w:rsidR="002A68FC">
        <w:rPr>
          <w:sz w:val="24"/>
          <w:szCs w:val="24"/>
          <w:lang w:val="en-GB"/>
        </w:rPr>
        <w:t>Development of consistency in the</w:t>
      </w:r>
      <w:r w:rsidR="00255C0F" w:rsidRPr="00326791">
        <w:rPr>
          <w:sz w:val="24"/>
          <w:szCs w:val="24"/>
          <w:lang w:val="en-GB"/>
        </w:rPr>
        <w:t xml:space="preserve"> reporting of results of LRT for </w:t>
      </w:r>
      <w:proofErr w:type="spellStart"/>
      <w:r w:rsidR="00255C0F" w:rsidRPr="00326791">
        <w:rPr>
          <w:sz w:val="24"/>
          <w:szCs w:val="24"/>
          <w:lang w:val="en-GB"/>
        </w:rPr>
        <w:t>iCC</w:t>
      </w:r>
      <w:proofErr w:type="spellEnd"/>
      <w:r w:rsidR="00255C0F" w:rsidRPr="00326791">
        <w:rPr>
          <w:sz w:val="24"/>
          <w:szCs w:val="24"/>
          <w:lang w:val="en-GB"/>
        </w:rPr>
        <w:t xml:space="preserve"> </w:t>
      </w:r>
      <w:r w:rsidR="002A68FC">
        <w:rPr>
          <w:sz w:val="24"/>
          <w:szCs w:val="24"/>
          <w:lang w:val="en-GB"/>
        </w:rPr>
        <w:t>would</w:t>
      </w:r>
      <w:r w:rsidR="002A68FC" w:rsidRPr="00326791">
        <w:rPr>
          <w:sz w:val="24"/>
          <w:szCs w:val="24"/>
          <w:lang w:val="en-GB"/>
        </w:rPr>
        <w:t xml:space="preserve"> </w:t>
      </w:r>
      <w:r w:rsidR="00255C0F" w:rsidRPr="00326791">
        <w:rPr>
          <w:sz w:val="24"/>
          <w:szCs w:val="24"/>
          <w:lang w:val="en-GB"/>
        </w:rPr>
        <w:t xml:space="preserve">be useful, as was for example previously </w:t>
      </w:r>
      <w:r w:rsidR="003F2FD8">
        <w:rPr>
          <w:sz w:val="24"/>
          <w:szCs w:val="24"/>
          <w:lang w:val="en-GB"/>
        </w:rPr>
        <w:t>proposed</w:t>
      </w:r>
      <w:r w:rsidR="00255C0F" w:rsidRPr="00326791">
        <w:rPr>
          <w:sz w:val="24"/>
          <w:szCs w:val="24"/>
          <w:lang w:val="en-GB"/>
        </w:rPr>
        <w:t xml:space="preserve"> for SIRT </w:t>
      </w:r>
      <w:r w:rsidR="00255C0F" w:rsidRPr="00AD70F1">
        <w:rPr>
          <w:sz w:val="24"/>
          <w:szCs w:val="24"/>
          <w:lang w:val="en-GB"/>
        </w:rPr>
        <w:fldChar w:fldCharType="begin"/>
      </w:r>
      <w:r w:rsidR="0056133B">
        <w:rPr>
          <w:sz w:val="24"/>
          <w:szCs w:val="24"/>
          <w:lang w:val="en-GB"/>
        </w:rPr>
        <w:instrText xml:space="preserve"> ADDIN ZOTERO_ITEM CSL_CITATION {"citationID":"85artSIA","properties":{"formattedCitation":"[24]","plainCitation":"[24]","noteIndex":0},"citationItems":[{"id":905,"uris":["http://zotero.org/users/587498/items/QGEEVZKE"],"uri":["http://zotero.org/users/587498/items/QGEEVZKE"],"itemData":{"id":905,"type":"article-journal","title":"Research reporting standards for radioembolization of hepatic malignancies","container-title":"Journal of vascular and interventional radiology: JVIR","page":"265-278","volume":"22","issue":"3","source":"NCBI PubMed","DOI":"10.1016/j.jvir.2010.10.029","ISSN":"1535-7732","note":"PMID: 21353979","journalAbbreviation":"J Vasc Interv Radiol","language":"eng","author":[{"family":"Salem","given":"Riad"},{"family":"Lewandowski","given":"Robert J."},{"family":"Gates","given":"Vanessa L."},{"family":"Nutting","given":"Charles W."},{"family":"Murthy","given":"Ravi"},{"family":"Rose","given":"Steven C."},{"family":"Soulen","given":"Michael C."},{"family":"Geschwind","given":"Jean-Francois H."},{"family":"Kulik","given":"Laura"},{"family":"Kim","given":"Yun Hwan"},{"family":"Spreafico","given":"Carlo"},{"family":"Maccauro","given":"Marco"},{"family":"Bester","given":"Lourens"},{"family":"Brown","given":"Daniel B."},{"family":"Ryu","given":"Robert K. W."},{"family":"Sze","given":"Daniel Y."},{"family":"Rilling","given":"William S."},{"family":"Sato","given":"Kent T."},{"family":"Sangro","given":"Bruno"},{"family":"Bilbao","given":"Jose Ignacio"},{"family":"Jakobs","given":"Tobias F."},{"family":"Ezziddin","given":"Samer"},{"family":"Kulkarni","given":"Suyash"},{"family":"Kulkarni","given":"Aniruddha"},{"family":"Liu","given":"David M."},{"family":"Valenti","given":"David"},{"family":"Hilgard","given":"Philip"},{"family":"Antoch","given":"Gerald"},{"family":"Muller","given":"Stefan P."},{"family":"Alsuhaibani","given":"Hamad"},{"family":"Mulcahy","given":"Mary F."},{"family":"Burrel","given":"Marta"},{"family":"Real","given":"Maria Isabel"},{"family":"Spies","given":"Stewart"},{"family":"Esmail","given":"Abdulredha A."},{"family":"Raoul","given":"Jean-Luc"},{"family":"Garin","given":"Etienne"},{"family":"Johnson","given":"Mathew S."},{"family":"Benson","given":"Al B."},{"family":"Sharma","given":"Ricky A."},{"family":"Wasan","given":"Harpreet"},{"family":"Lambert","given":"Bieke"},{"family":"Memon","given":"Khairuddin"},{"family":"Kennedy","given":"Andrew S."},{"family":"Riaz","given":"Ahsun"},{"literal":"Technology Assessment Committee"},{"literal":"Interventional Oncology Task Force of the Society of Interventional Radiology"}],"issued":{"date-parts":[["2011",3]]}}}],"schema":"https://github.com/citation-style-language/schema/raw/master/csl-citation.json"} </w:instrText>
      </w:r>
      <w:r w:rsidR="00255C0F" w:rsidRPr="00AD70F1">
        <w:rPr>
          <w:sz w:val="24"/>
          <w:szCs w:val="24"/>
          <w:lang w:val="en-GB"/>
        </w:rPr>
        <w:fldChar w:fldCharType="separate"/>
      </w:r>
      <w:r w:rsidR="0056133B" w:rsidRPr="0056133B">
        <w:rPr>
          <w:rFonts w:ascii="Calibri" w:hAnsi="Calibri" w:cs="Calibri"/>
          <w:sz w:val="24"/>
        </w:rPr>
        <w:t>[24]</w:t>
      </w:r>
      <w:r w:rsidR="00255C0F" w:rsidRPr="00AD70F1">
        <w:rPr>
          <w:sz w:val="24"/>
          <w:szCs w:val="24"/>
          <w:lang w:val="en-GB"/>
        </w:rPr>
        <w:fldChar w:fldCharType="end"/>
      </w:r>
      <w:r w:rsidR="00255C0F" w:rsidRPr="00AD70F1">
        <w:rPr>
          <w:sz w:val="24"/>
          <w:szCs w:val="24"/>
          <w:lang w:val="en-GB"/>
        </w:rPr>
        <w:t>.</w:t>
      </w:r>
    </w:p>
    <w:p w14:paraId="10EF7386" w14:textId="1960C989" w:rsidR="00255C0F" w:rsidRPr="00AD70F1" w:rsidRDefault="00B930F4" w:rsidP="00315710">
      <w:pPr>
        <w:spacing w:line="480" w:lineRule="auto"/>
        <w:rPr>
          <w:sz w:val="24"/>
          <w:szCs w:val="24"/>
          <w:lang w:val="en-GB"/>
        </w:rPr>
      </w:pPr>
      <w:r>
        <w:rPr>
          <w:sz w:val="24"/>
          <w:szCs w:val="24"/>
          <w:lang w:val="en-GB"/>
        </w:rPr>
        <w:t xml:space="preserve">The interpretation of this </w:t>
      </w:r>
      <w:r w:rsidR="00D25743">
        <w:rPr>
          <w:sz w:val="24"/>
          <w:szCs w:val="24"/>
          <w:lang w:val="en-GB"/>
        </w:rPr>
        <w:t>pooled analysis</w:t>
      </w:r>
      <w:r>
        <w:rPr>
          <w:sz w:val="24"/>
          <w:szCs w:val="24"/>
          <w:lang w:val="en-GB"/>
        </w:rPr>
        <w:t xml:space="preserve"> is limited by </w:t>
      </w:r>
      <w:r w:rsidR="00255C0F" w:rsidRPr="00AD70F1">
        <w:rPr>
          <w:sz w:val="24"/>
          <w:szCs w:val="24"/>
          <w:lang w:val="en-GB"/>
        </w:rPr>
        <w:t>the large heterogeneity of the results, illustrated by wide confidence intervals and signi</w:t>
      </w:r>
      <w:r w:rsidR="00F95243" w:rsidRPr="00326791">
        <w:rPr>
          <w:sz w:val="24"/>
          <w:szCs w:val="24"/>
          <w:lang w:val="en-GB"/>
        </w:rPr>
        <w:t>ficant test</w:t>
      </w:r>
      <w:r w:rsidR="003D66C9" w:rsidRPr="00326791">
        <w:rPr>
          <w:sz w:val="24"/>
          <w:szCs w:val="24"/>
          <w:lang w:val="en-GB"/>
        </w:rPr>
        <w:t>s</w:t>
      </w:r>
      <w:r w:rsidR="00F95243" w:rsidRPr="00326791">
        <w:rPr>
          <w:sz w:val="24"/>
          <w:szCs w:val="24"/>
          <w:lang w:val="en-GB"/>
        </w:rPr>
        <w:t xml:space="preserve"> for heterogeneity </w:t>
      </w:r>
      <w:r w:rsidR="00255C0F" w:rsidRPr="00326791">
        <w:rPr>
          <w:sz w:val="24"/>
          <w:szCs w:val="24"/>
          <w:lang w:val="en-GB"/>
        </w:rPr>
        <w:t>(</w:t>
      </w:r>
      <w:r w:rsidR="00D45825">
        <w:rPr>
          <w:sz w:val="24"/>
          <w:szCs w:val="24"/>
          <w:lang w:val="en-GB"/>
        </w:rPr>
        <w:t>with the notable exception of</w:t>
      </w:r>
      <w:r w:rsidR="00255C0F" w:rsidRPr="00326791">
        <w:rPr>
          <w:sz w:val="24"/>
          <w:szCs w:val="24"/>
          <w:lang w:val="en-GB"/>
        </w:rPr>
        <w:t xml:space="preserve"> complete response rate</w:t>
      </w:r>
      <w:r w:rsidR="00AC3CEA" w:rsidRPr="00326791">
        <w:rPr>
          <w:sz w:val="24"/>
          <w:szCs w:val="24"/>
          <w:lang w:val="en-GB"/>
        </w:rPr>
        <w:t>s</w:t>
      </w:r>
      <w:r w:rsidR="00255C0F" w:rsidRPr="00326791">
        <w:rPr>
          <w:sz w:val="24"/>
          <w:szCs w:val="24"/>
          <w:lang w:val="en-GB"/>
        </w:rPr>
        <w:t xml:space="preserve"> </w:t>
      </w:r>
      <w:r w:rsidR="00D45825">
        <w:rPr>
          <w:sz w:val="24"/>
          <w:szCs w:val="24"/>
          <w:lang w:val="en-GB"/>
        </w:rPr>
        <w:t>after</w:t>
      </w:r>
      <w:r w:rsidR="00255C0F" w:rsidRPr="00326791">
        <w:rPr>
          <w:sz w:val="24"/>
          <w:szCs w:val="24"/>
          <w:lang w:val="en-GB"/>
        </w:rPr>
        <w:t xml:space="preserve"> ablation). This might be related to the heterogeneity of the population </w:t>
      </w:r>
      <w:r w:rsidR="00641093" w:rsidRPr="00326791">
        <w:rPr>
          <w:sz w:val="24"/>
          <w:szCs w:val="24"/>
          <w:lang w:val="en-GB"/>
        </w:rPr>
        <w:t>targeted between studies, thus accounting for inter-study heterogeneity</w:t>
      </w:r>
      <w:r w:rsidR="00533C6D">
        <w:rPr>
          <w:sz w:val="24"/>
          <w:szCs w:val="24"/>
          <w:lang w:val="en-GB"/>
        </w:rPr>
        <w:t>. A</w:t>
      </w:r>
      <w:r w:rsidR="00255C0F" w:rsidRPr="00AD70F1">
        <w:rPr>
          <w:sz w:val="24"/>
          <w:szCs w:val="24"/>
          <w:lang w:val="en-GB"/>
        </w:rPr>
        <w:t>ll treatment modalities are not applied to similar populations</w:t>
      </w:r>
      <w:r w:rsidR="00A865D6">
        <w:rPr>
          <w:sz w:val="24"/>
          <w:szCs w:val="24"/>
          <w:lang w:val="en-GB"/>
        </w:rPr>
        <w:t xml:space="preserve">, depending on </w:t>
      </w:r>
      <w:r w:rsidR="00A865D6">
        <w:rPr>
          <w:sz w:val="24"/>
          <w:szCs w:val="24"/>
          <w:lang w:val="en-GB"/>
        </w:rPr>
        <w:lastRenderedPageBreak/>
        <w:t>tumour burden</w:t>
      </w:r>
      <w:r w:rsidR="00255C0F" w:rsidRPr="00AD70F1">
        <w:rPr>
          <w:sz w:val="24"/>
          <w:szCs w:val="24"/>
          <w:lang w:val="en-GB"/>
        </w:rPr>
        <w:t xml:space="preserve">. </w:t>
      </w:r>
      <w:r w:rsidR="002A68FC">
        <w:rPr>
          <w:sz w:val="24"/>
          <w:szCs w:val="24"/>
          <w:lang w:val="en-GB"/>
        </w:rPr>
        <w:t xml:space="preserve">For this reason, </w:t>
      </w:r>
      <w:r w:rsidR="00AC3CEA" w:rsidRPr="00AD70F1">
        <w:rPr>
          <w:sz w:val="24"/>
          <w:szCs w:val="24"/>
          <w:lang w:val="en-GB"/>
        </w:rPr>
        <w:t xml:space="preserve">results </w:t>
      </w:r>
      <w:r w:rsidR="00176483">
        <w:rPr>
          <w:sz w:val="24"/>
          <w:szCs w:val="24"/>
          <w:lang w:val="en-GB"/>
        </w:rPr>
        <w:t xml:space="preserve">have not been compared </w:t>
      </w:r>
      <w:r w:rsidR="00AC3CEA" w:rsidRPr="00AD70F1">
        <w:rPr>
          <w:sz w:val="24"/>
          <w:szCs w:val="24"/>
          <w:lang w:val="en-GB"/>
        </w:rPr>
        <w:t xml:space="preserve">between modalities. </w:t>
      </w:r>
      <w:r w:rsidR="00533C6D">
        <w:rPr>
          <w:sz w:val="24"/>
          <w:szCs w:val="24"/>
          <w:lang w:val="en-GB"/>
        </w:rPr>
        <w:t>Also</w:t>
      </w:r>
      <w:r w:rsidR="00255C0F" w:rsidRPr="00AD70F1">
        <w:rPr>
          <w:sz w:val="24"/>
          <w:szCs w:val="24"/>
          <w:lang w:val="en-GB"/>
        </w:rPr>
        <w:t>, within a same treatment modality, studies varied greatly in the population included</w:t>
      </w:r>
      <w:r w:rsidR="00255C0F" w:rsidRPr="00326791">
        <w:rPr>
          <w:sz w:val="24"/>
          <w:szCs w:val="24"/>
          <w:lang w:val="en-GB"/>
        </w:rPr>
        <w:t xml:space="preserve">. A meta-regression analysis of SIRT studies identified that </w:t>
      </w:r>
      <w:r w:rsidR="00D45825">
        <w:rPr>
          <w:sz w:val="24"/>
          <w:szCs w:val="24"/>
          <w:lang w:val="en-GB"/>
        </w:rPr>
        <w:t>series</w:t>
      </w:r>
      <w:r w:rsidR="00255C0F" w:rsidRPr="00326791">
        <w:rPr>
          <w:sz w:val="24"/>
          <w:szCs w:val="24"/>
          <w:lang w:val="en-GB"/>
        </w:rPr>
        <w:t xml:space="preserve"> including higher proportion</w:t>
      </w:r>
      <w:r w:rsidR="00176483">
        <w:rPr>
          <w:sz w:val="24"/>
          <w:szCs w:val="24"/>
          <w:lang w:val="en-GB"/>
        </w:rPr>
        <w:t>s</w:t>
      </w:r>
      <w:r w:rsidR="00255C0F" w:rsidRPr="00326791">
        <w:rPr>
          <w:sz w:val="24"/>
          <w:szCs w:val="24"/>
          <w:lang w:val="en-GB"/>
        </w:rPr>
        <w:t xml:space="preserve"> of treatment-</w:t>
      </w:r>
      <w:r w:rsidR="002A68FC">
        <w:rPr>
          <w:sz w:val="24"/>
          <w:szCs w:val="24"/>
          <w:lang w:val="en-GB"/>
        </w:rPr>
        <w:t>naïve</w:t>
      </w:r>
      <w:r w:rsidR="00176483">
        <w:rPr>
          <w:sz w:val="24"/>
          <w:szCs w:val="24"/>
          <w:lang w:val="en-GB"/>
        </w:rPr>
        <w:t xml:space="preserve"> patients</w:t>
      </w:r>
      <w:r w:rsidR="00255C0F" w:rsidRPr="00326791">
        <w:rPr>
          <w:sz w:val="24"/>
          <w:szCs w:val="24"/>
          <w:lang w:val="en-GB"/>
        </w:rPr>
        <w:t xml:space="preserve">, </w:t>
      </w:r>
      <w:r w:rsidR="00176483">
        <w:rPr>
          <w:sz w:val="24"/>
          <w:szCs w:val="24"/>
          <w:lang w:val="en-GB"/>
        </w:rPr>
        <w:t xml:space="preserve">with </w:t>
      </w:r>
      <w:r w:rsidR="00255C0F" w:rsidRPr="00326791">
        <w:rPr>
          <w:sz w:val="24"/>
          <w:szCs w:val="24"/>
          <w:lang w:val="en-GB"/>
        </w:rPr>
        <w:t>mass</w:t>
      </w:r>
      <w:r w:rsidR="002A68FC">
        <w:rPr>
          <w:sz w:val="24"/>
          <w:szCs w:val="24"/>
          <w:lang w:val="en-GB"/>
        </w:rPr>
        <w:t>-</w:t>
      </w:r>
      <w:r w:rsidR="00255C0F" w:rsidRPr="00326791">
        <w:rPr>
          <w:sz w:val="24"/>
          <w:szCs w:val="24"/>
          <w:lang w:val="en-GB"/>
        </w:rPr>
        <w:t>forming</w:t>
      </w:r>
      <w:r w:rsidR="00F95243" w:rsidRPr="00326791">
        <w:rPr>
          <w:sz w:val="24"/>
          <w:szCs w:val="24"/>
          <w:lang w:val="en-GB"/>
        </w:rPr>
        <w:t xml:space="preserve"> </w:t>
      </w:r>
      <w:proofErr w:type="spellStart"/>
      <w:r w:rsidR="00F95243" w:rsidRPr="00326791">
        <w:rPr>
          <w:sz w:val="24"/>
          <w:szCs w:val="24"/>
          <w:lang w:val="en-GB"/>
        </w:rPr>
        <w:t>iCC</w:t>
      </w:r>
      <w:proofErr w:type="spellEnd"/>
      <w:r w:rsidR="00255C0F" w:rsidRPr="00326791">
        <w:rPr>
          <w:sz w:val="24"/>
          <w:szCs w:val="24"/>
          <w:lang w:val="en-GB"/>
        </w:rPr>
        <w:t xml:space="preserve">, and concomitant chemotherapy </w:t>
      </w:r>
      <w:r w:rsidR="00AC3CEA" w:rsidRPr="00326791">
        <w:rPr>
          <w:sz w:val="24"/>
          <w:szCs w:val="24"/>
          <w:lang w:val="en-GB"/>
        </w:rPr>
        <w:t xml:space="preserve">reported </w:t>
      </w:r>
      <w:r w:rsidR="00255C0F" w:rsidRPr="00326791">
        <w:rPr>
          <w:sz w:val="24"/>
          <w:szCs w:val="24"/>
          <w:lang w:val="en-GB"/>
        </w:rPr>
        <w:t xml:space="preserve">better results </w:t>
      </w:r>
      <w:r w:rsidR="00255C0F" w:rsidRPr="00AD70F1">
        <w:rPr>
          <w:sz w:val="24"/>
          <w:szCs w:val="24"/>
          <w:lang w:val="en-GB"/>
        </w:rPr>
        <w:fldChar w:fldCharType="begin"/>
      </w:r>
      <w:r w:rsidR="0056133B">
        <w:rPr>
          <w:sz w:val="24"/>
          <w:szCs w:val="24"/>
          <w:lang w:val="en-GB"/>
        </w:rPr>
        <w:instrText xml:space="preserve"> ADDIN ZOTERO_ITEM CSL_CITATION {"citationID":"RZQjYYVj","properties":{"formattedCitation":"[25]","plainCitation":"[25]","noteIndex":0},"citationItems":[{"id":4707,"uris":["http://zotero.org/users/587498/items/NA7XWY7U"],"uri":["http://zotero.org/users/587498/items/NA7XWY7U"],"itemData":{"id":4707,"type":"article-journal","title":"Improving patient selection for selective internal radiation therapy of intra-hepatic cholangiocarcinoma: A meta-regression study","container-title":"Liver International","page":"1056-1064","volume":"37","issue":"7","source":"Crossref","abstract":"Background &amp; Aims: Selective internal radiation therapy (SIRT) is emerging as a potential therapy for unresectable intra-­hepatic cholangiocarcinoma (iCCA) able to prolong life-­expectancy. Aim of this study was to collect available literature meta-­analyse data and results and investigate sources of heterogeneity through a meta-­regression approach before suggesting SIRT as a valuable option.\nMethods: A systematic review of studies published until 1 September 2016 in PubMed and Scopus databases was performed. Patient survival was the primary outcome measure. Meta-a­ nalysis was performed using a random-­effects model. Meta-­ regression was applied to investigate relationships existing between clinical and tumour features and the primary outcome.\nResults: Nine observational studies were included in the analysis involving 224 patients. The 1-,­ 2-­ and 3-y­ ear pooled survival estimates were 55.7%, 33.1% and 20.2%. Clinical and tumour characteristics showed medium-­to-­considerable heterogeneity (I2&gt;50%). Meta-­regression analysis showed that determinants of best survivals were the presence of mass-­forming iCCA type (median survival=19.9 months vs 8.1 months for the infiltrative type; P=.002) that also accounted for most of the heterogeneity between included studies (residual I2=0); SIRT as first-­line therapy (median survival=24 months vs 11.5 months for non-­naïve patients; P=.048) and the adoption of concomitant chemotherapy (median survival 19.5 months vs 5.5 months in patients not receiving chemotherapy; P=.042).\nConclusions: There is considerable heterogeneity between studies highlighting that indications for SIRT are extremely varied. To ameliorate SIRT results naïve patients with mass-­forming iCCA should be selected as the best candidates with the possibility of adding concomitant standard chemotherapy.","DOI":"10.1111/liv.13382","ISSN":"14783223","shortTitle":"Improving patient selection for selective internal radiation therapy of intra-hepatic cholangiocarcinoma","language":"en","author":[{"family":"Cucchetti","given":"Alessandro"},{"family":"Cappelli","given":"Alberta"},{"family":"Mosconi","given":"Cristina"},{"family":"Zhong","given":"Jian-Hong"},{"family":"Cescon","given":"Matteo"},{"family":"Pinna","given":"Antonio D."},{"family":"Golfieri","given":"Rita"}],"issued":{"date-parts":[["2017",7]]}}}],"schema":"https://github.com/citation-style-language/schema/raw/master/csl-citation.json"} </w:instrText>
      </w:r>
      <w:r w:rsidR="00255C0F" w:rsidRPr="00AD70F1">
        <w:rPr>
          <w:sz w:val="24"/>
          <w:szCs w:val="24"/>
          <w:lang w:val="en-GB"/>
        </w:rPr>
        <w:fldChar w:fldCharType="separate"/>
      </w:r>
      <w:r w:rsidR="0056133B" w:rsidRPr="0056133B">
        <w:rPr>
          <w:rFonts w:ascii="Calibri" w:hAnsi="Calibri" w:cs="Calibri"/>
          <w:sz w:val="24"/>
        </w:rPr>
        <w:t>[25]</w:t>
      </w:r>
      <w:r w:rsidR="00255C0F" w:rsidRPr="00AD70F1">
        <w:rPr>
          <w:sz w:val="24"/>
          <w:szCs w:val="24"/>
          <w:lang w:val="en-GB"/>
        </w:rPr>
        <w:fldChar w:fldCharType="end"/>
      </w:r>
      <w:r w:rsidR="00255C0F" w:rsidRPr="00AD70F1">
        <w:rPr>
          <w:sz w:val="24"/>
          <w:szCs w:val="24"/>
          <w:lang w:val="en-GB"/>
        </w:rPr>
        <w:t>.</w:t>
      </w:r>
    </w:p>
    <w:p w14:paraId="5CB48961" w14:textId="3004AB6D" w:rsidR="007B3C92" w:rsidRPr="00326791" w:rsidRDefault="007B3C92" w:rsidP="00331E71">
      <w:pPr>
        <w:spacing w:line="480" w:lineRule="auto"/>
        <w:rPr>
          <w:rFonts w:cstheme="minorHAnsi"/>
          <w:sz w:val="24"/>
          <w:szCs w:val="24"/>
          <w:lang w:val="en-GB"/>
        </w:rPr>
      </w:pPr>
      <w:r w:rsidRPr="00326791">
        <w:rPr>
          <w:rFonts w:cstheme="minorHAnsi"/>
          <w:sz w:val="24"/>
          <w:szCs w:val="24"/>
          <w:lang w:val="en-GB"/>
        </w:rPr>
        <w:t>L</w:t>
      </w:r>
      <w:r w:rsidR="0000063F" w:rsidRPr="00326791">
        <w:rPr>
          <w:rFonts w:cstheme="minorHAnsi"/>
          <w:sz w:val="24"/>
          <w:szCs w:val="24"/>
          <w:lang w:val="en-GB"/>
        </w:rPr>
        <w:t>imitations of</w:t>
      </w:r>
      <w:r w:rsidR="0000063F" w:rsidRPr="00AD70F1">
        <w:rPr>
          <w:rFonts w:cstheme="minorHAnsi"/>
          <w:sz w:val="24"/>
          <w:szCs w:val="24"/>
          <w:lang w:val="en-GB"/>
        </w:rPr>
        <w:t xml:space="preserve"> the current work are</w:t>
      </w:r>
      <w:r w:rsidRPr="00AD70F1">
        <w:rPr>
          <w:rFonts w:cstheme="minorHAnsi"/>
          <w:sz w:val="24"/>
          <w:szCs w:val="24"/>
          <w:lang w:val="en-GB"/>
        </w:rPr>
        <w:t xml:space="preserve"> related to the quality of the literature </w:t>
      </w:r>
      <w:r w:rsidR="00F17513">
        <w:rPr>
          <w:rFonts w:cstheme="minorHAnsi"/>
          <w:sz w:val="24"/>
          <w:szCs w:val="24"/>
          <w:lang w:val="en-GB"/>
        </w:rPr>
        <w:t xml:space="preserve">which did </w:t>
      </w:r>
      <w:r w:rsidRPr="00AD70F1">
        <w:rPr>
          <w:rFonts w:cstheme="minorHAnsi"/>
          <w:sz w:val="24"/>
          <w:szCs w:val="24"/>
          <w:lang w:val="en-GB"/>
        </w:rPr>
        <w:t>not allow for assessment of all subgroups that we</w:t>
      </w:r>
      <w:r w:rsidR="00F17513">
        <w:rPr>
          <w:rFonts w:cstheme="minorHAnsi"/>
          <w:sz w:val="24"/>
          <w:szCs w:val="24"/>
          <w:lang w:val="en-GB"/>
        </w:rPr>
        <w:t>re</w:t>
      </w:r>
      <w:r w:rsidRPr="00AD70F1">
        <w:rPr>
          <w:rFonts w:cstheme="minorHAnsi"/>
          <w:sz w:val="24"/>
          <w:szCs w:val="24"/>
          <w:lang w:val="en-GB"/>
        </w:rPr>
        <w:t xml:space="preserve"> </w:t>
      </w:r>
      <w:r w:rsidR="00761DD7">
        <w:rPr>
          <w:rFonts w:cstheme="minorHAnsi"/>
          <w:sz w:val="24"/>
          <w:szCs w:val="24"/>
          <w:lang w:val="en-GB"/>
        </w:rPr>
        <w:t xml:space="preserve">initially </w:t>
      </w:r>
      <w:r w:rsidRPr="00AD70F1">
        <w:rPr>
          <w:rFonts w:cstheme="minorHAnsi"/>
          <w:sz w:val="24"/>
          <w:szCs w:val="24"/>
          <w:lang w:val="en-GB"/>
        </w:rPr>
        <w:t xml:space="preserve">planned. Moreover, due to </w:t>
      </w:r>
      <w:r w:rsidR="00F17513">
        <w:rPr>
          <w:rFonts w:cstheme="minorHAnsi"/>
          <w:sz w:val="24"/>
          <w:szCs w:val="24"/>
          <w:lang w:val="en-GB"/>
        </w:rPr>
        <w:t xml:space="preserve">the </w:t>
      </w:r>
      <w:r w:rsidRPr="00AD70F1">
        <w:rPr>
          <w:rFonts w:cstheme="minorHAnsi"/>
          <w:sz w:val="24"/>
          <w:szCs w:val="24"/>
          <w:lang w:val="en-GB"/>
        </w:rPr>
        <w:t xml:space="preserve">heterogeneity of reporting, </w:t>
      </w:r>
      <w:r w:rsidR="00F17513">
        <w:rPr>
          <w:rFonts w:cstheme="minorHAnsi"/>
          <w:sz w:val="24"/>
          <w:szCs w:val="24"/>
          <w:lang w:val="en-GB"/>
        </w:rPr>
        <w:t>it was not possible</w:t>
      </w:r>
      <w:r w:rsidRPr="00AD70F1">
        <w:rPr>
          <w:rFonts w:cstheme="minorHAnsi"/>
          <w:sz w:val="24"/>
          <w:szCs w:val="24"/>
          <w:lang w:val="en-GB"/>
        </w:rPr>
        <w:t xml:space="preserve"> to </w:t>
      </w:r>
      <w:r w:rsidR="00886404">
        <w:rPr>
          <w:rFonts w:cstheme="minorHAnsi"/>
          <w:sz w:val="24"/>
          <w:szCs w:val="24"/>
          <w:lang w:val="en-GB"/>
        </w:rPr>
        <w:t>precisely investigate</w:t>
      </w:r>
      <w:r w:rsidRPr="00326791">
        <w:rPr>
          <w:rFonts w:cstheme="minorHAnsi"/>
          <w:sz w:val="24"/>
          <w:szCs w:val="24"/>
          <w:lang w:val="en-GB"/>
        </w:rPr>
        <w:t xml:space="preserve"> the heterogeneity of the results </w:t>
      </w:r>
      <w:r w:rsidR="00886404">
        <w:rPr>
          <w:rFonts w:cstheme="minorHAnsi"/>
          <w:sz w:val="24"/>
          <w:szCs w:val="24"/>
          <w:lang w:val="en-GB"/>
        </w:rPr>
        <w:t>observed among</w:t>
      </w:r>
      <w:r w:rsidRPr="00326791">
        <w:rPr>
          <w:rFonts w:cstheme="minorHAnsi"/>
          <w:sz w:val="24"/>
          <w:szCs w:val="24"/>
          <w:lang w:val="en-GB"/>
        </w:rPr>
        <w:t xml:space="preserve"> studies. </w:t>
      </w:r>
      <w:r w:rsidR="00886404">
        <w:rPr>
          <w:rFonts w:cstheme="minorHAnsi"/>
          <w:sz w:val="24"/>
          <w:szCs w:val="24"/>
          <w:lang w:val="en-GB"/>
        </w:rPr>
        <w:t>Publication bias was not possible to assess</w:t>
      </w:r>
      <w:r w:rsidRPr="00326791">
        <w:rPr>
          <w:rFonts w:cstheme="minorHAnsi"/>
          <w:sz w:val="24"/>
          <w:szCs w:val="24"/>
          <w:lang w:val="en-GB"/>
        </w:rPr>
        <w:t xml:space="preserve"> as </w:t>
      </w:r>
      <w:r w:rsidR="00F17513">
        <w:rPr>
          <w:rFonts w:cstheme="minorHAnsi"/>
          <w:sz w:val="24"/>
          <w:szCs w:val="24"/>
          <w:lang w:val="en-GB"/>
        </w:rPr>
        <w:t xml:space="preserve">the </w:t>
      </w:r>
      <w:r w:rsidR="00886404">
        <w:rPr>
          <w:rFonts w:cstheme="minorHAnsi"/>
          <w:sz w:val="24"/>
          <w:szCs w:val="24"/>
          <w:lang w:val="en-GB"/>
        </w:rPr>
        <w:t xml:space="preserve">literature review mostly consisted </w:t>
      </w:r>
      <w:r w:rsidR="00F17513">
        <w:rPr>
          <w:rFonts w:cstheme="minorHAnsi"/>
          <w:sz w:val="24"/>
          <w:szCs w:val="24"/>
          <w:lang w:val="en-GB"/>
        </w:rPr>
        <w:t>of</w:t>
      </w:r>
      <w:r w:rsidRPr="00326791">
        <w:rPr>
          <w:rFonts w:cstheme="minorHAnsi"/>
          <w:sz w:val="24"/>
          <w:szCs w:val="24"/>
          <w:lang w:val="en-GB"/>
        </w:rPr>
        <w:t xml:space="preserve"> retrospective single-arm studies.</w:t>
      </w:r>
      <w:r w:rsidR="00B930F4">
        <w:rPr>
          <w:rFonts w:cstheme="minorHAnsi"/>
          <w:sz w:val="24"/>
          <w:szCs w:val="24"/>
          <w:lang w:val="en-GB"/>
        </w:rPr>
        <w:t xml:space="preserve"> Moreover, limited information was provided as regards to molecular alterations.</w:t>
      </w:r>
    </w:p>
    <w:p w14:paraId="5A4F8AB8" w14:textId="77777777" w:rsidR="00FE3C3E" w:rsidRDefault="00DB7A17" w:rsidP="00DB7A17">
      <w:pPr>
        <w:spacing w:line="480" w:lineRule="auto"/>
        <w:rPr>
          <w:rFonts w:cstheme="minorHAnsi"/>
          <w:sz w:val="24"/>
          <w:szCs w:val="24"/>
          <w:lang w:val="en-GB"/>
        </w:rPr>
      </w:pPr>
      <w:r w:rsidRPr="00326791">
        <w:rPr>
          <w:rFonts w:cstheme="minorHAnsi"/>
          <w:sz w:val="24"/>
          <w:szCs w:val="24"/>
          <w:lang w:val="en-GB"/>
        </w:rPr>
        <w:t xml:space="preserve">In conclusion, </w:t>
      </w:r>
      <w:r w:rsidR="00E100F1">
        <w:rPr>
          <w:rFonts w:cstheme="minorHAnsi"/>
          <w:sz w:val="24"/>
          <w:szCs w:val="24"/>
          <w:lang w:val="en-GB"/>
        </w:rPr>
        <w:t xml:space="preserve">prospective evidence for the use of </w:t>
      </w:r>
      <w:r w:rsidRPr="00326791">
        <w:rPr>
          <w:rFonts w:cstheme="minorHAnsi"/>
          <w:sz w:val="24"/>
          <w:szCs w:val="24"/>
          <w:lang w:val="en-GB"/>
        </w:rPr>
        <w:t xml:space="preserve">LRT </w:t>
      </w:r>
      <w:r w:rsidR="00E100F1">
        <w:rPr>
          <w:rFonts w:cstheme="minorHAnsi"/>
          <w:sz w:val="24"/>
          <w:szCs w:val="24"/>
          <w:lang w:val="en-GB"/>
        </w:rPr>
        <w:t>in</w:t>
      </w:r>
      <w:r w:rsidR="00E100F1" w:rsidRPr="00326791">
        <w:rPr>
          <w:rFonts w:cstheme="minorHAnsi"/>
          <w:sz w:val="24"/>
          <w:szCs w:val="24"/>
          <w:lang w:val="en-GB"/>
        </w:rPr>
        <w:t xml:space="preserve"> </w:t>
      </w:r>
      <w:r w:rsidR="00E100F1">
        <w:rPr>
          <w:rFonts w:cstheme="minorHAnsi"/>
          <w:sz w:val="24"/>
          <w:szCs w:val="24"/>
          <w:lang w:val="en-GB"/>
        </w:rPr>
        <w:t xml:space="preserve">the treatment of patients with </w:t>
      </w:r>
      <w:proofErr w:type="spellStart"/>
      <w:r w:rsidRPr="00326791">
        <w:rPr>
          <w:rFonts w:cstheme="minorHAnsi"/>
          <w:sz w:val="24"/>
          <w:szCs w:val="24"/>
          <w:lang w:val="en-GB"/>
        </w:rPr>
        <w:t>iCC</w:t>
      </w:r>
      <w:proofErr w:type="spellEnd"/>
      <w:r w:rsidRPr="00326791">
        <w:rPr>
          <w:rFonts w:cstheme="minorHAnsi"/>
          <w:sz w:val="24"/>
          <w:szCs w:val="24"/>
          <w:lang w:val="en-GB"/>
        </w:rPr>
        <w:t xml:space="preserve"> is an area </w:t>
      </w:r>
      <w:r w:rsidR="0000063F" w:rsidRPr="00326791">
        <w:rPr>
          <w:rFonts w:cstheme="minorHAnsi"/>
          <w:sz w:val="24"/>
          <w:szCs w:val="24"/>
          <w:lang w:val="en-GB"/>
        </w:rPr>
        <w:t xml:space="preserve">of </w:t>
      </w:r>
      <w:r w:rsidR="00E100F1">
        <w:rPr>
          <w:rFonts w:cstheme="minorHAnsi"/>
          <w:sz w:val="24"/>
          <w:szCs w:val="24"/>
          <w:lang w:val="en-GB"/>
        </w:rPr>
        <w:t>unmet need</w:t>
      </w:r>
      <w:r w:rsidR="00886404">
        <w:rPr>
          <w:rFonts w:cstheme="minorHAnsi"/>
          <w:sz w:val="24"/>
          <w:szCs w:val="24"/>
          <w:lang w:val="en-GB"/>
        </w:rPr>
        <w:t xml:space="preserve">, </w:t>
      </w:r>
      <w:r w:rsidR="00E100F1">
        <w:rPr>
          <w:rFonts w:cstheme="minorHAnsi"/>
          <w:sz w:val="24"/>
          <w:szCs w:val="24"/>
          <w:lang w:val="en-GB"/>
        </w:rPr>
        <w:t>and</w:t>
      </w:r>
      <w:r w:rsidR="00886404">
        <w:rPr>
          <w:rFonts w:cstheme="minorHAnsi"/>
          <w:sz w:val="24"/>
          <w:szCs w:val="24"/>
          <w:lang w:val="en-GB"/>
        </w:rPr>
        <w:t xml:space="preserve"> </w:t>
      </w:r>
      <w:r w:rsidR="00E100F1">
        <w:rPr>
          <w:rFonts w:cstheme="minorHAnsi"/>
          <w:sz w:val="24"/>
          <w:szCs w:val="24"/>
          <w:lang w:val="en-GB"/>
        </w:rPr>
        <w:t xml:space="preserve">future research </w:t>
      </w:r>
      <w:r w:rsidR="00886404">
        <w:rPr>
          <w:rFonts w:cstheme="minorHAnsi"/>
          <w:sz w:val="24"/>
          <w:szCs w:val="24"/>
          <w:lang w:val="en-GB"/>
        </w:rPr>
        <w:t xml:space="preserve">seems justified by </w:t>
      </w:r>
      <w:r w:rsidR="00E100F1">
        <w:rPr>
          <w:rFonts w:cstheme="minorHAnsi"/>
          <w:sz w:val="24"/>
          <w:szCs w:val="24"/>
          <w:lang w:val="en-GB"/>
        </w:rPr>
        <w:t xml:space="preserve">the </w:t>
      </w:r>
      <w:r w:rsidR="00886404">
        <w:rPr>
          <w:rFonts w:cstheme="minorHAnsi"/>
          <w:sz w:val="24"/>
          <w:szCs w:val="24"/>
          <w:lang w:val="en-GB"/>
        </w:rPr>
        <w:t>encouraging results</w:t>
      </w:r>
      <w:r w:rsidR="00E100F1">
        <w:rPr>
          <w:rFonts w:cstheme="minorHAnsi"/>
          <w:sz w:val="24"/>
          <w:szCs w:val="24"/>
          <w:lang w:val="en-GB"/>
        </w:rPr>
        <w:t xml:space="preserve"> presented here</w:t>
      </w:r>
      <w:r w:rsidRPr="00326791">
        <w:rPr>
          <w:rFonts w:cstheme="minorHAnsi"/>
          <w:sz w:val="24"/>
          <w:szCs w:val="24"/>
          <w:lang w:val="en-GB"/>
        </w:rPr>
        <w:t xml:space="preserve">. Future phase III clinical trials should be designed based on achievable goals. A collective academic effort is necessary to make </w:t>
      </w:r>
      <w:r w:rsidR="00F17513">
        <w:rPr>
          <w:rFonts w:cstheme="minorHAnsi"/>
          <w:sz w:val="24"/>
          <w:szCs w:val="24"/>
          <w:lang w:val="en-GB"/>
        </w:rPr>
        <w:t>these</w:t>
      </w:r>
      <w:r w:rsidR="00F17513" w:rsidRPr="00326791">
        <w:rPr>
          <w:rFonts w:cstheme="minorHAnsi"/>
          <w:sz w:val="24"/>
          <w:szCs w:val="24"/>
          <w:lang w:val="en-GB"/>
        </w:rPr>
        <w:t xml:space="preserve"> </w:t>
      </w:r>
      <w:r w:rsidRPr="00326791">
        <w:rPr>
          <w:rFonts w:cstheme="minorHAnsi"/>
          <w:sz w:val="24"/>
          <w:szCs w:val="24"/>
          <w:lang w:val="en-GB"/>
        </w:rPr>
        <w:t>trial</w:t>
      </w:r>
      <w:r w:rsidR="00761DD7">
        <w:rPr>
          <w:rFonts w:cstheme="minorHAnsi"/>
          <w:sz w:val="24"/>
          <w:szCs w:val="24"/>
          <w:lang w:val="en-GB"/>
        </w:rPr>
        <w:t>s</w:t>
      </w:r>
      <w:r w:rsidRPr="00326791">
        <w:rPr>
          <w:rFonts w:cstheme="minorHAnsi"/>
          <w:sz w:val="24"/>
          <w:szCs w:val="24"/>
          <w:lang w:val="en-GB"/>
        </w:rPr>
        <w:t xml:space="preserve"> possible.</w:t>
      </w:r>
    </w:p>
    <w:p w14:paraId="6127FDF6" w14:textId="77777777" w:rsidR="00FE3C3E" w:rsidRDefault="00FE3C3E">
      <w:pPr>
        <w:rPr>
          <w:rFonts w:cstheme="minorHAnsi"/>
          <w:sz w:val="24"/>
          <w:szCs w:val="24"/>
          <w:lang w:val="en-GB"/>
        </w:rPr>
      </w:pPr>
      <w:r>
        <w:rPr>
          <w:rFonts w:cstheme="minorHAnsi"/>
          <w:sz w:val="24"/>
          <w:szCs w:val="24"/>
          <w:lang w:val="en-GB"/>
        </w:rPr>
        <w:br w:type="page"/>
      </w:r>
    </w:p>
    <w:p w14:paraId="6291B79F" w14:textId="77777777" w:rsidR="00FE3C3E" w:rsidRPr="00FE3C3E" w:rsidRDefault="00FE3C3E" w:rsidP="00FE3C3E">
      <w:pPr>
        <w:rPr>
          <w:b/>
          <w:lang w:val="en-US"/>
        </w:rPr>
      </w:pPr>
      <w:r w:rsidRPr="00FE3C3E">
        <w:rPr>
          <w:b/>
          <w:lang w:val="en-US"/>
        </w:rPr>
        <w:lastRenderedPageBreak/>
        <w:t>Abbreviations</w:t>
      </w:r>
    </w:p>
    <w:p w14:paraId="0B3E49F3" w14:textId="77777777" w:rsidR="00FE3C3E" w:rsidRPr="00FE3C3E" w:rsidRDefault="00FE3C3E" w:rsidP="00FE3C3E">
      <w:pPr>
        <w:rPr>
          <w:lang w:val="en-US"/>
        </w:rPr>
      </w:pPr>
      <w:r w:rsidRPr="00FE3C3E">
        <w:rPr>
          <w:lang w:val="en-US"/>
        </w:rPr>
        <w:t>BTC – Biliary Tract Cancers</w:t>
      </w:r>
    </w:p>
    <w:p w14:paraId="6FA7AB11" w14:textId="77777777" w:rsidR="00FE3C3E" w:rsidRPr="00FE3C3E" w:rsidRDefault="00FE3C3E" w:rsidP="00FE3C3E">
      <w:pPr>
        <w:rPr>
          <w:lang w:val="en-US"/>
        </w:rPr>
      </w:pPr>
      <w:r w:rsidRPr="00FE3C3E">
        <w:rPr>
          <w:lang w:val="en-US"/>
        </w:rPr>
        <w:t>CI – Confidence Interval</w:t>
      </w:r>
    </w:p>
    <w:p w14:paraId="0E5AA96F" w14:textId="77777777" w:rsidR="00FE3C3E" w:rsidRPr="00FE3C3E" w:rsidRDefault="00FE3C3E" w:rsidP="00FE3C3E">
      <w:pPr>
        <w:rPr>
          <w:lang w:val="en-US"/>
        </w:rPr>
      </w:pPr>
      <w:r w:rsidRPr="00FE3C3E">
        <w:rPr>
          <w:lang w:val="en-US"/>
        </w:rPr>
        <w:t>EBRT – External beam Radiotherapy</w:t>
      </w:r>
    </w:p>
    <w:p w14:paraId="4722BD59" w14:textId="77777777" w:rsidR="00FE3C3E" w:rsidRPr="00FE3C3E" w:rsidRDefault="00FE3C3E" w:rsidP="00FE3C3E">
      <w:pPr>
        <w:rPr>
          <w:lang w:val="en-US"/>
        </w:rPr>
      </w:pPr>
      <w:r w:rsidRPr="00FE3C3E">
        <w:rPr>
          <w:lang w:val="en-US"/>
        </w:rPr>
        <w:t>HAI – Hepatic Arterial Infusion</w:t>
      </w:r>
    </w:p>
    <w:p w14:paraId="1AC6D7C0" w14:textId="77777777" w:rsidR="00FE3C3E" w:rsidRPr="00FE3C3E" w:rsidRDefault="00FE3C3E" w:rsidP="00FE3C3E">
      <w:pPr>
        <w:rPr>
          <w:lang w:val="en-US"/>
        </w:rPr>
      </w:pPr>
      <w:r w:rsidRPr="00FE3C3E">
        <w:rPr>
          <w:lang w:val="en-US"/>
        </w:rPr>
        <w:t>IAT – Intra-arterial Therapies</w:t>
      </w:r>
    </w:p>
    <w:p w14:paraId="594FA11D" w14:textId="77777777" w:rsidR="00FE3C3E" w:rsidRPr="00FE3C3E" w:rsidRDefault="00FE3C3E" w:rsidP="00FE3C3E">
      <w:pPr>
        <w:rPr>
          <w:lang w:val="en-US"/>
        </w:rPr>
      </w:pPr>
      <w:proofErr w:type="spellStart"/>
      <w:r w:rsidRPr="00FE3C3E">
        <w:rPr>
          <w:lang w:val="en-US"/>
        </w:rPr>
        <w:t>iCC</w:t>
      </w:r>
      <w:proofErr w:type="spellEnd"/>
      <w:r w:rsidRPr="00FE3C3E">
        <w:rPr>
          <w:lang w:val="en-US"/>
        </w:rPr>
        <w:t xml:space="preserve"> – Intrahepatic cholangiocarcinoma</w:t>
      </w:r>
    </w:p>
    <w:p w14:paraId="5EE4B07F" w14:textId="77777777" w:rsidR="00FE3C3E" w:rsidRPr="00FE3C3E" w:rsidRDefault="00FE3C3E" w:rsidP="00FE3C3E">
      <w:pPr>
        <w:rPr>
          <w:lang w:val="en-US"/>
        </w:rPr>
      </w:pPr>
      <w:r w:rsidRPr="00FE3C3E">
        <w:rPr>
          <w:lang w:val="en-US"/>
        </w:rPr>
        <w:t>LRT – Locoregional treatments</w:t>
      </w:r>
    </w:p>
    <w:p w14:paraId="0653E59C" w14:textId="77777777" w:rsidR="00FE3C3E" w:rsidRDefault="00FE3C3E" w:rsidP="00FE3C3E">
      <w:pPr>
        <w:rPr>
          <w:lang w:val="en-US"/>
        </w:rPr>
      </w:pPr>
      <w:proofErr w:type="spellStart"/>
      <w:r w:rsidRPr="009A6237">
        <w:rPr>
          <w:lang w:val="en-US"/>
        </w:rPr>
        <w:t>MeSH</w:t>
      </w:r>
      <w:proofErr w:type="spellEnd"/>
      <w:r w:rsidRPr="009A6237">
        <w:rPr>
          <w:lang w:val="en-US"/>
        </w:rPr>
        <w:t xml:space="preserve"> - Medical Subject Headings</w:t>
      </w:r>
    </w:p>
    <w:p w14:paraId="5B9C539B" w14:textId="77777777" w:rsidR="00FE3C3E" w:rsidRPr="009A6237" w:rsidRDefault="00FE3C3E" w:rsidP="00FE3C3E">
      <w:pPr>
        <w:rPr>
          <w:lang w:val="en-US"/>
        </w:rPr>
      </w:pPr>
      <w:r>
        <w:rPr>
          <w:lang w:val="en-US"/>
        </w:rPr>
        <w:t xml:space="preserve">NCI-CTCAE - </w:t>
      </w:r>
      <w:r w:rsidRPr="009A6237">
        <w:rPr>
          <w:lang w:val="en-US"/>
        </w:rPr>
        <w:t>National Cancer Institute – Common Terminology Criteria for Adverse Events</w:t>
      </w:r>
    </w:p>
    <w:p w14:paraId="17405B85" w14:textId="77777777" w:rsidR="00FE3C3E" w:rsidRDefault="00FE3C3E" w:rsidP="00FE3C3E">
      <w:pPr>
        <w:rPr>
          <w:lang w:val="en-US"/>
        </w:rPr>
      </w:pPr>
      <w:r w:rsidRPr="009A6237">
        <w:rPr>
          <w:lang w:val="en-US"/>
        </w:rPr>
        <w:t>OS – Overall Survival</w:t>
      </w:r>
    </w:p>
    <w:p w14:paraId="1B03BA9C" w14:textId="77777777" w:rsidR="00FE3C3E" w:rsidRDefault="00FE3C3E" w:rsidP="00FE3C3E">
      <w:pPr>
        <w:rPr>
          <w:lang w:val="en-US"/>
        </w:rPr>
      </w:pPr>
      <w:r>
        <w:rPr>
          <w:lang w:val="en-US"/>
        </w:rPr>
        <w:t>PFS – Progression-Free Survival</w:t>
      </w:r>
    </w:p>
    <w:p w14:paraId="791ABC79" w14:textId="77777777" w:rsidR="00FE3C3E" w:rsidRPr="009A6237" w:rsidRDefault="00FE3C3E" w:rsidP="00FE3C3E">
      <w:pPr>
        <w:rPr>
          <w:lang w:val="en-US"/>
        </w:rPr>
      </w:pPr>
      <w:r>
        <w:rPr>
          <w:lang w:val="en-US"/>
        </w:rPr>
        <w:t>RECIST – Response Evaluation Criteria in Solid Tumors</w:t>
      </w:r>
    </w:p>
    <w:p w14:paraId="11BD6AF1" w14:textId="77777777" w:rsidR="00FE3C3E" w:rsidRDefault="00FE3C3E" w:rsidP="00FE3C3E">
      <w:r>
        <w:t xml:space="preserve">SIRT – </w:t>
      </w:r>
      <w:proofErr w:type="spellStart"/>
      <w:r>
        <w:t>Selective</w:t>
      </w:r>
      <w:proofErr w:type="spellEnd"/>
      <w:r>
        <w:t xml:space="preserve"> </w:t>
      </w:r>
      <w:proofErr w:type="spellStart"/>
      <w:r>
        <w:t>Internal</w:t>
      </w:r>
      <w:proofErr w:type="spellEnd"/>
      <w:r>
        <w:t xml:space="preserve"> Radiation </w:t>
      </w:r>
      <w:proofErr w:type="spellStart"/>
      <w:r>
        <w:t>Therapy</w:t>
      </w:r>
      <w:proofErr w:type="spellEnd"/>
    </w:p>
    <w:p w14:paraId="2ABC5221" w14:textId="77777777" w:rsidR="00FE3C3E" w:rsidRDefault="00FE3C3E" w:rsidP="00FE3C3E">
      <w:r>
        <w:t xml:space="preserve">TACE – </w:t>
      </w:r>
      <w:proofErr w:type="spellStart"/>
      <w:r>
        <w:t>Trans-arterial</w:t>
      </w:r>
      <w:proofErr w:type="spellEnd"/>
      <w:r>
        <w:t xml:space="preserve"> (</w:t>
      </w:r>
      <w:proofErr w:type="spellStart"/>
      <w:r>
        <w:t>chemo</w:t>
      </w:r>
      <w:proofErr w:type="spellEnd"/>
      <w:r>
        <w:t>-)embolisation</w:t>
      </w:r>
    </w:p>
    <w:p w14:paraId="2E523C11" w14:textId="141E1568" w:rsidR="00712F2E" w:rsidRPr="00326791" w:rsidRDefault="00712F2E" w:rsidP="00DB7A17">
      <w:pPr>
        <w:spacing w:line="480" w:lineRule="auto"/>
        <w:rPr>
          <w:b/>
          <w:sz w:val="24"/>
          <w:szCs w:val="24"/>
          <w:lang w:val="en-GB"/>
        </w:rPr>
      </w:pPr>
      <w:r w:rsidRPr="00326791">
        <w:rPr>
          <w:b/>
          <w:sz w:val="24"/>
          <w:szCs w:val="24"/>
          <w:lang w:val="en-GB"/>
        </w:rPr>
        <w:br w:type="page"/>
      </w:r>
    </w:p>
    <w:p w14:paraId="23D715FE" w14:textId="77777777" w:rsidR="00712F2E" w:rsidRPr="00326791" w:rsidRDefault="00712F2E">
      <w:pPr>
        <w:rPr>
          <w:b/>
          <w:sz w:val="24"/>
          <w:szCs w:val="24"/>
          <w:lang w:val="en-GB"/>
        </w:rPr>
      </w:pPr>
    </w:p>
    <w:p w14:paraId="0D73857F" w14:textId="77777777" w:rsidR="00F02F42" w:rsidRPr="00326791" w:rsidRDefault="00F02F42" w:rsidP="00C11463">
      <w:pPr>
        <w:spacing w:line="480" w:lineRule="auto"/>
        <w:rPr>
          <w:b/>
          <w:sz w:val="24"/>
          <w:szCs w:val="24"/>
          <w:lang w:val="en-GB"/>
        </w:rPr>
      </w:pPr>
      <w:r w:rsidRPr="00326791">
        <w:rPr>
          <w:b/>
          <w:sz w:val="24"/>
          <w:szCs w:val="24"/>
          <w:lang w:val="en-GB"/>
        </w:rPr>
        <w:t>References</w:t>
      </w:r>
    </w:p>
    <w:commentRangeStart w:id="12"/>
    <w:commentRangeStart w:id="13"/>
    <w:p w14:paraId="7DFE2BED" w14:textId="77777777" w:rsidR="0056133B" w:rsidRPr="0056133B" w:rsidRDefault="00F02F42" w:rsidP="0056133B">
      <w:pPr>
        <w:pStyle w:val="Bibliographie"/>
        <w:rPr>
          <w:rFonts w:ascii="Calibri" w:hAnsi="Calibri" w:cs="Calibri"/>
          <w:sz w:val="24"/>
          <w:lang w:val="en-US"/>
        </w:rPr>
      </w:pPr>
      <w:r w:rsidRPr="00326791">
        <w:rPr>
          <w:lang w:val="en-GB"/>
        </w:rPr>
        <w:fldChar w:fldCharType="begin"/>
      </w:r>
      <w:r w:rsidR="0056133B">
        <w:rPr>
          <w:lang w:val="en-GB"/>
        </w:rPr>
        <w:instrText xml:space="preserve"> ADDIN ZOTERO_BIBL {"uncited":[],"omitted":[],"custom":[]} CSL_BIBLIOGRAPHY </w:instrText>
      </w:r>
      <w:r w:rsidRPr="00326791">
        <w:rPr>
          <w:lang w:val="en-GB"/>
        </w:rPr>
        <w:fldChar w:fldCharType="separate"/>
      </w:r>
      <w:r w:rsidR="0056133B" w:rsidRPr="0056133B">
        <w:rPr>
          <w:rFonts w:ascii="Calibri" w:hAnsi="Calibri" w:cs="Calibri"/>
          <w:sz w:val="24"/>
          <w:lang w:val="en-US"/>
        </w:rPr>
        <w:t>[1]</w:t>
      </w:r>
      <w:r w:rsidR="0056133B" w:rsidRPr="0056133B">
        <w:rPr>
          <w:rFonts w:ascii="Calibri" w:hAnsi="Calibri" w:cs="Calibri"/>
          <w:sz w:val="24"/>
          <w:lang w:val="en-US"/>
        </w:rPr>
        <w:tab/>
      </w:r>
      <w:proofErr w:type="spellStart"/>
      <w:r w:rsidR="0056133B" w:rsidRPr="0056133B">
        <w:rPr>
          <w:rFonts w:ascii="Calibri" w:hAnsi="Calibri" w:cs="Calibri"/>
          <w:sz w:val="24"/>
          <w:lang w:val="en-US"/>
        </w:rPr>
        <w:t>Saha</w:t>
      </w:r>
      <w:proofErr w:type="spellEnd"/>
      <w:r w:rsidR="0056133B" w:rsidRPr="0056133B">
        <w:rPr>
          <w:rFonts w:ascii="Calibri" w:hAnsi="Calibri" w:cs="Calibri"/>
          <w:sz w:val="24"/>
          <w:lang w:val="en-US"/>
        </w:rPr>
        <w:t xml:space="preserve"> SK, Zhu AX, Fuchs CS, Brooks GA. Forty-Year Trends in Cholangiocarcinoma Incidence in the U.S.: Intrahepatic Disease on the Rise. The Oncologist </w:t>
      </w:r>
      <w:proofErr w:type="gramStart"/>
      <w:r w:rsidR="0056133B" w:rsidRPr="0056133B">
        <w:rPr>
          <w:rFonts w:ascii="Calibri" w:hAnsi="Calibri" w:cs="Calibri"/>
          <w:sz w:val="24"/>
          <w:lang w:val="en-US"/>
        </w:rPr>
        <w:t>2016;21:594</w:t>
      </w:r>
      <w:proofErr w:type="gramEnd"/>
      <w:r w:rsidR="0056133B" w:rsidRPr="0056133B">
        <w:rPr>
          <w:rFonts w:ascii="Calibri" w:hAnsi="Calibri" w:cs="Calibri"/>
          <w:sz w:val="24"/>
          <w:lang w:val="en-US"/>
        </w:rPr>
        <w:t>–9. https://doi.org/10.1634/theoncologist.2015-0446.</w:t>
      </w:r>
    </w:p>
    <w:p w14:paraId="1AE8306A"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[2]</w:t>
      </w:r>
      <w:r w:rsidRPr="0056133B">
        <w:rPr>
          <w:rFonts w:ascii="Calibri" w:hAnsi="Calibri" w:cs="Calibri"/>
          <w:sz w:val="24"/>
          <w:lang w:val="en-US"/>
        </w:rPr>
        <w:tab/>
        <w:t xml:space="preserve">Adeva J, Sangro B, </w:t>
      </w:r>
      <w:proofErr w:type="spellStart"/>
      <w:r w:rsidRPr="0056133B">
        <w:rPr>
          <w:rFonts w:ascii="Calibri" w:hAnsi="Calibri" w:cs="Calibri"/>
          <w:sz w:val="24"/>
          <w:lang w:val="en-US"/>
        </w:rPr>
        <w:t>Salati</w:t>
      </w:r>
      <w:proofErr w:type="spellEnd"/>
      <w:r w:rsidRPr="0056133B">
        <w:rPr>
          <w:rFonts w:ascii="Calibri" w:hAnsi="Calibri" w:cs="Calibri"/>
          <w:sz w:val="24"/>
          <w:lang w:val="en-US"/>
        </w:rPr>
        <w:t xml:space="preserve"> M, Edeline J, La </w:t>
      </w:r>
      <w:proofErr w:type="spellStart"/>
      <w:r w:rsidRPr="0056133B">
        <w:rPr>
          <w:rFonts w:ascii="Calibri" w:hAnsi="Calibri" w:cs="Calibri"/>
          <w:sz w:val="24"/>
          <w:lang w:val="en-US"/>
        </w:rPr>
        <w:t>Casta</w:t>
      </w:r>
      <w:proofErr w:type="spellEnd"/>
      <w:r w:rsidRPr="0056133B">
        <w:rPr>
          <w:rFonts w:ascii="Calibri" w:hAnsi="Calibri" w:cs="Calibri"/>
          <w:sz w:val="24"/>
          <w:lang w:val="en-US"/>
        </w:rPr>
        <w:t xml:space="preserve"> A, </w:t>
      </w:r>
      <w:proofErr w:type="spellStart"/>
      <w:r w:rsidRPr="0056133B">
        <w:rPr>
          <w:rFonts w:ascii="Calibri" w:hAnsi="Calibri" w:cs="Calibri"/>
          <w:sz w:val="24"/>
          <w:lang w:val="en-US"/>
        </w:rPr>
        <w:t>Bittoni</w:t>
      </w:r>
      <w:proofErr w:type="spellEnd"/>
      <w:r w:rsidRPr="0056133B">
        <w:rPr>
          <w:rFonts w:ascii="Calibri" w:hAnsi="Calibri" w:cs="Calibri"/>
          <w:sz w:val="24"/>
          <w:lang w:val="en-US"/>
        </w:rPr>
        <w:t xml:space="preserve"> A, et al. Medical treatment for cholangiocarcinoma. Liver </w:t>
      </w:r>
      <w:proofErr w:type="spellStart"/>
      <w:r w:rsidRPr="0056133B">
        <w:rPr>
          <w:rFonts w:ascii="Calibri" w:hAnsi="Calibri" w:cs="Calibri"/>
          <w:sz w:val="24"/>
          <w:lang w:val="en-US"/>
        </w:rPr>
        <w:t>Int</w:t>
      </w:r>
      <w:proofErr w:type="spellEnd"/>
      <w:r w:rsidRPr="0056133B">
        <w:rPr>
          <w:rFonts w:ascii="Calibri" w:hAnsi="Calibri" w:cs="Calibri"/>
          <w:sz w:val="24"/>
          <w:lang w:val="en-US"/>
        </w:rPr>
        <w:t xml:space="preserve"> Off J </w:t>
      </w:r>
      <w:proofErr w:type="spellStart"/>
      <w:r w:rsidRPr="0056133B">
        <w:rPr>
          <w:rFonts w:ascii="Calibri" w:hAnsi="Calibri" w:cs="Calibri"/>
          <w:sz w:val="24"/>
          <w:lang w:val="en-US"/>
        </w:rPr>
        <w:t>Int</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Assoc</w:t>
      </w:r>
      <w:proofErr w:type="spellEnd"/>
      <w:r w:rsidRPr="0056133B">
        <w:rPr>
          <w:rFonts w:ascii="Calibri" w:hAnsi="Calibri" w:cs="Calibri"/>
          <w:sz w:val="24"/>
          <w:lang w:val="en-US"/>
        </w:rPr>
        <w:t xml:space="preserve"> Study Liver 2019;39 </w:t>
      </w:r>
      <w:proofErr w:type="spellStart"/>
      <w:r w:rsidRPr="0056133B">
        <w:rPr>
          <w:rFonts w:ascii="Calibri" w:hAnsi="Calibri" w:cs="Calibri"/>
          <w:sz w:val="24"/>
          <w:lang w:val="en-US"/>
        </w:rPr>
        <w:t>Suppl</w:t>
      </w:r>
      <w:proofErr w:type="spellEnd"/>
      <w:r w:rsidRPr="0056133B">
        <w:rPr>
          <w:rFonts w:ascii="Calibri" w:hAnsi="Calibri" w:cs="Calibri"/>
          <w:sz w:val="24"/>
          <w:lang w:val="en-US"/>
        </w:rPr>
        <w:t xml:space="preserve"> 1:123–42. https://doi.org/10.1111/liv.14100.</w:t>
      </w:r>
    </w:p>
    <w:p w14:paraId="58961C29"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[3]</w:t>
      </w:r>
      <w:r w:rsidRPr="0056133B">
        <w:rPr>
          <w:rFonts w:ascii="Calibri" w:hAnsi="Calibri" w:cs="Calibri"/>
          <w:sz w:val="24"/>
          <w:lang w:val="en-US"/>
        </w:rPr>
        <w:tab/>
        <w:t xml:space="preserve">Valle J, </w:t>
      </w:r>
      <w:proofErr w:type="spellStart"/>
      <w:r w:rsidRPr="0056133B">
        <w:rPr>
          <w:rFonts w:ascii="Calibri" w:hAnsi="Calibri" w:cs="Calibri"/>
          <w:sz w:val="24"/>
          <w:lang w:val="en-US"/>
        </w:rPr>
        <w:t>Wasan</w:t>
      </w:r>
      <w:proofErr w:type="spellEnd"/>
      <w:r w:rsidRPr="0056133B">
        <w:rPr>
          <w:rFonts w:ascii="Calibri" w:hAnsi="Calibri" w:cs="Calibri"/>
          <w:sz w:val="24"/>
          <w:lang w:val="en-US"/>
        </w:rPr>
        <w:t xml:space="preserve"> H, Palmer DH, Cunningham D, </w:t>
      </w:r>
      <w:proofErr w:type="spellStart"/>
      <w:r w:rsidRPr="0056133B">
        <w:rPr>
          <w:rFonts w:ascii="Calibri" w:hAnsi="Calibri" w:cs="Calibri"/>
          <w:sz w:val="24"/>
          <w:lang w:val="en-US"/>
        </w:rPr>
        <w:t>Anthoney</w:t>
      </w:r>
      <w:proofErr w:type="spellEnd"/>
      <w:r w:rsidRPr="0056133B">
        <w:rPr>
          <w:rFonts w:ascii="Calibri" w:hAnsi="Calibri" w:cs="Calibri"/>
          <w:sz w:val="24"/>
          <w:lang w:val="en-US"/>
        </w:rPr>
        <w:t xml:space="preserve"> A, </w:t>
      </w:r>
      <w:proofErr w:type="spellStart"/>
      <w:r w:rsidRPr="0056133B">
        <w:rPr>
          <w:rFonts w:ascii="Calibri" w:hAnsi="Calibri" w:cs="Calibri"/>
          <w:sz w:val="24"/>
          <w:lang w:val="en-US"/>
        </w:rPr>
        <w:t>Maraveyas</w:t>
      </w:r>
      <w:proofErr w:type="spellEnd"/>
      <w:r w:rsidRPr="0056133B">
        <w:rPr>
          <w:rFonts w:ascii="Calibri" w:hAnsi="Calibri" w:cs="Calibri"/>
          <w:sz w:val="24"/>
          <w:lang w:val="en-US"/>
        </w:rPr>
        <w:t xml:space="preserve"> A, et al. Cisplatin plus gemcitabine versus gemcitabine for biliary tract cancer. N </w:t>
      </w:r>
      <w:proofErr w:type="spellStart"/>
      <w:r w:rsidRPr="0056133B">
        <w:rPr>
          <w:rFonts w:ascii="Calibri" w:hAnsi="Calibri" w:cs="Calibri"/>
          <w:sz w:val="24"/>
          <w:lang w:val="en-US"/>
        </w:rPr>
        <w:t>Engl</w:t>
      </w:r>
      <w:proofErr w:type="spellEnd"/>
      <w:r w:rsidRPr="0056133B">
        <w:rPr>
          <w:rFonts w:ascii="Calibri" w:hAnsi="Calibri" w:cs="Calibri"/>
          <w:sz w:val="24"/>
          <w:lang w:val="en-US"/>
        </w:rPr>
        <w:t xml:space="preserve"> J Med </w:t>
      </w:r>
      <w:proofErr w:type="gramStart"/>
      <w:r w:rsidRPr="0056133B">
        <w:rPr>
          <w:rFonts w:ascii="Calibri" w:hAnsi="Calibri" w:cs="Calibri"/>
          <w:sz w:val="24"/>
          <w:lang w:val="en-US"/>
        </w:rPr>
        <w:t>2010;362:1273</w:t>
      </w:r>
      <w:proofErr w:type="gramEnd"/>
      <w:r w:rsidRPr="0056133B">
        <w:rPr>
          <w:rFonts w:ascii="Calibri" w:hAnsi="Calibri" w:cs="Calibri"/>
          <w:sz w:val="24"/>
          <w:lang w:val="en-US"/>
        </w:rPr>
        <w:t>–81. https://doi.org/10.1056/NEJMoa0908721.</w:t>
      </w:r>
    </w:p>
    <w:p w14:paraId="11C33FF1"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[4]</w:t>
      </w:r>
      <w:r w:rsidRPr="0056133B">
        <w:rPr>
          <w:rFonts w:ascii="Calibri" w:hAnsi="Calibri" w:cs="Calibri"/>
          <w:sz w:val="24"/>
          <w:lang w:val="en-US"/>
        </w:rPr>
        <w:tab/>
      </w:r>
      <w:proofErr w:type="spellStart"/>
      <w:r w:rsidRPr="0056133B">
        <w:rPr>
          <w:rFonts w:ascii="Calibri" w:hAnsi="Calibri" w:cs="Calibri"/>
          <w:sz w:val="24"/>
          <w:lang w:val="en-US"/>
        </w:rPr>
        <w:t>Lamarca</w:t>
      </w:r>
      <w:proofErr w:type="spellEnd"/>
      <w:r w:rsidRPr="0056133B">
        <w:rPr>
          <w:rFonts w:ascii="Calibri" w:hAnsi="Calibri" w:cs="Calibri"/>
          <w:sz w:val="24"/>
          <w:lang w:val="en-US"/>
        </w:rPr>
        <w:t xml:space="preserve"> A, Ross P, </w:t>
      </w:r>
      <w:proofErr w:type="spellStart"/>
      <w:r w:rsidRPr="0056133B">
        <w:rPr>
          <w:rFonts w:ascii="Calibri" w:hAnsi="Calibri" w:cs="Calibri"/>
          <w:sz w:val="24"/>
          <w:lang w:val="en-US"/>
        </w:rPr>
        <w:t>Wasan</w:t>
      </w:r>
      <w:proofErr w:type="spellEnd"/>
      <w:r w:rsidRPr="0056133B">
        <w:rPr>
          <w:rFonts w:ascii="Calibri" w:hAnsi="Calibri" w:cs="Calibri"/>
          <w:sz w:val="24"/>
          <w:lang w:val="en-US"/>
        </w:rPr>
        <w:t xml:space="preserve"> HS, Hubner RA, McNamara MG, Lopes A, et al. Advanced Intrahepatic Cholangiocarcinoma: Post Hoc Analysis of the ABC-01, -02, </w:t>
      </w:r>
      <w:proofErr w:type="gramStart"/>
      <w:r w:rsidRPr="0056133B">
        <w:rPr>
          <w:rFonts w:ascii="Calibri" w:hAnsi="Calibri" w:cs="Calibri"/>
          <w:sz w:val="24"/>
          <w:lang w:val="en-US"/>
        </w:rPr>
        <w:t>and  -</w:t>
      </w:r>
      <w:proofErr w:type="gramEnd"/>
      <w:r w:rsidRPr="0056133B">
        <w:rPr>
          <w:rFonts w:ascii="Calibri" w:hAnsi="Calibri" w:cs="Calibri"/>
          <w:sz w:val="24"/>
          <w:lang w:val="en-US"/>
        </w:rPr>
        <w:t xml:space="preserve">03 Clinical Trials. J Natl Cancer </w:t>
      </w:r>
      <w:proofErr w:type="spellStart"/>
      <w:r w:rsidRPr="0056133B">
        <w:rPr>
          <w:rFonts w:ascii="Calibri" w:hAnsi="Calibri" w:cs="Calibri"/>
          <w:sz w:val="24"/>
          <w:lang w:val="en-US"/>
        </w:rPr>
        <w:t>Inst</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2020;112:200</w:t>
      </w:r>
      <w:proofErr w:type="gramEnd"/>
      <w:r w:rsidRPr="0056133B">
        <w:rPr>
          <w:rFonts w:ascii="Calibri" w:hAnsi="Calibri" w:cs="Calibri"/>
          <w:sz w:val="24"/>
          <w:lang w:val="en-US"/>
        </w:rPr>
        <w:t>–10. https://doi.org/10.1093/jnci/djz071.</w:t>
      </w:r>
    </w:p>
    <w:p w14:paraId="0A78BB60" w14:textId="77777777" w:rsidR="0056133B" w:rsidRPr="0056133B" w:rsidRDefault="0056133B" w:rsidP="0056133B">
      <w:pPr>
        <w:pStyle w:val="Bibliographie"/>
        <w:rPr>
          <w:rFonts w:ascii="Calibri" w:hAnsi="Calibri" w:cs="Calibri"/>
          <w:sz w:val="24"/>
        </w:rPr>
      </w:pPr>
      <w:r w:rsidRPr="0056133B">
        <w:rPr>
          <w:rFonts w:ascii="Calibri" w:hAnsi="Calibri" w:cs="Calibri"/>
          <w:sz w:val="24"/>
          <w:lang w:val="en-US"/>
        </w:rPr>
        <w:t>[5]</w:t>
      </w:r>
      <w:r w:rsidRPr="0056133B">
        <w:rPr>
          <w:rFonts w:ascii="Calibri" w:hAnsi="Calibri" w:cs="Calibri"/>
          <w:sz w:val="24"/>
          <w:lang w:val="en-US"/>
        </w:rPr>
        <w:tab/>
      </w:r>
      <w:proofErr w:type="spellStart"/>
      <w:r w:rsidRPr="0056133B">
        <w:rPr>
          <w:rFonts w:ascii="Calibri" w:hAnsi="Calibri" w:cs="Calibri"/>
          <w:sz w:val="24"/>
          <w:lang w:val="en-US"/>
        </w:rPr>
        <w:t>Mosconi</w:t>
      </w:r>
      <w:proofErr w:type="spellEnd"/>
      <w:r w:rsidRPr="0056133B">
        <w:rPr>
          <w:rFonts w:ascii="Calibri" w:hAnsi="Calibri" w:cs="Calibri"/>
          <w:sz w:val="24"/>
          <w:lang w:val="en-US"/>
        </w:rPr>
        <w:t xml:space="preserve"> C, </w:t>
      </w:r>
      <w:proofErr w:type="spellStart"/>
      <w:r w:rsidRPr="0056133B">
        <w:rPr>
          <w:rFonts w:ascii="Calibri" w:hAnsi="Calibri" w:cs="Calibri"/>
          <w:sz w:val="24"/>
          <w:lang w:val="en-US"/>
        </w:rPr>
        <w:t>Calandri</w:t>
      </w:r>
      <w:proofErr w:type="spellEnd"/>
      <w:r w:rsidRPr="0056133B">
        <w:rPr>
          <w:rFonts w:ascii="Calibri" w:hAnsi="Calibri" w:cs="Calibri"/>
          <w:sz w:val="24"/>
          <w:lang w:val="en-US"/>
        </w:rPr>
        <w:t xml:space="preserve"> M, </w:t>
      </w:r>
      <w:proofErr w:type="spellStart"/>
      <w:r w:rsidRPr="0056133B">
        <w:rPr>
          <w:rFonts w:ascii="Calibri" w:hAnsi="Calibri" w:cs="Calibri"/>
          <w:sz w:val="24"/>
          <w:lang w:val="en-US"/>
        </w:rPr>
        <w:t>Javle</w:t>
      </w:r>
      <w:proofErr w:type="spellEnd"/>
      <w:r w:rsidRPr="0056133B">
        <w:rPr>
          <w:rFonts w:ascii="Calibri" w:hAnsi="Calibri" w:cs="Calibri"/>
          <w:sz w:val="24"/>
          <w:lang w:val="en-US"/>
        </w:rPr>
        <w:t xml:space="preserve"> M, </w:t>
      </w:r>
      <w:proofErr w:type="spellStart"/>
      <w:r w:rsidRPr="0056133B">
        <w:rPr>
          <w:rFonts w:ascii="Calibri" w:hAnsi="Calibri" w:cs="Calibri"/>
          <w:sz w:val="24"/>
          <w:lang w:val="en-US"/>
        </w:rPr>
        <w:t>Odisio</w:t>
      </w:r>
      <w:proofErr w:type="spellEnd"/>
      <w:r w:rsidRPr="0056133B">
        <w:rPr>
          <w:rFonts w:ascii="Calibri" w:hAnsi="Calibri" w:cs="Calibri"/>
          <w:sz w:val="24"/>
          <w:lang w:val="en-US"/>
        </w:rPr>
        <w:t xml:space="preserve"> BC. Interventional radiology approaches for intra-hepatic cholangiocarcinoma. </w:t>
      </w:r>
      <w:r w:rsidRPr="0056133B">
        <w:rPr>
          <w:rFonts w:ascii="Calibri" w:hAnsi="Calibri" w:cs="Calibri"/>
          <w:sz w:val="24"/>
        </w:rPr>
        <w:t xml:space="preserve">Chin Clin </w:t>
      </w:r>
      <w:proofErr w:type="spellStart"/>
      <w:r w:rsidRPr="0056133B">
        <w:rPr>
          <w:rFonts w:ascii="Calibri" w:hAnsi="Calibri" w:cs="Calibri"/>
          <w:sz w:val="24"/>
        </w:rPr>
        <w:t>Oncol</w:t>
      </w:r>
      <w:proofErr w:type="spellEnd"/>
      <w:r w:rsidRPr="0056133B">
        <w:rPr>
          <w:rFonts w:ascii="Calibri" w:hAnsi="Calibri" w:cs="Calibri"/>
          <w:sz w:val="24"/>
        </w:rPr>
        <w:t xml:space="preserve"> </w:t>
      </w:r>
      <w:proofErr w:type="gramStart"/>
      <w:r w:rsidRPr="0056133B">
        <w:rPr>
          <w:rFonts w:ascii="Calibri" w:hAnsi="Calibri" w:cs="Calibri"/>
          <w:sz w:val="24"/>
        </w:rPr>
        <w:t>2020;</w:t>
      </w:r>
      <w:proofErr w:type="gramEnd"/>
      <w:r w:rsidRPr="0056133B">
        <w:rPr>
          <w:rFonts w:ascii="Calibri" w:hAnsi="Calibri" w:cs="Calibri"/>
          <w:sz w:val="24"/>
        </w:rPr>
        <w:t>9:8–8. https://doi.org/10.21037/cco.2019.12.15.</w:t>
      </w:r>
    </w:p>
    <w:p w14:paraId="54B8F58A"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rPr>
        <w:t>[6]</w:t>
      </w:r>
      <w:r w:rsidRPr="0056133B">
        <w:rPr>
          <w:rFonts w:ascii="Calibri" w:hAnsi="Calibri" w:cs="Calibri"/>
          <w:sz w:val="24"/>
        </w:rPr>
        <w:tab/>
        <w:t xml:space="preserve">Bridgewater J, Galle PR, Khan SA, </w:t>
      </w:r>
      <w:proofErr w:type="spellStart"/>
      <w:r w:rsidRPr="0056133B">
        <w:rPr>
          <w:rFonts w:ascii="Calibri" w:hAnsi="Calibri" w:cs="Calibri"/>
          <w:sz w:val="24"/>
        </w:rPr>
        <w:t>Llovet</w:t>
      </w:r>
      <w:proofErr w:type="spellEnd"/>
      <w:r w:rsidRPr="0056133B">
        <w:rPr>
          <w:rFonts w:ascii="Calibri" w:hAnsi="Calibri" w:cs="Calibri"/>
          <w:sz w:val="24"/>
        </w:rPr>
        <w:t xml:space="preserve"> JM, Park J-W, Patel T, et al. </w:t>
      </w:r>
      <w:r w:rsidRPr="0056133B">
        <w:rPr>
          <w:rFonts w:ascii="Calibri" w:hAnsi="Calibri" w:cs="Calibri"/>
          <w:sz w:val="24"/>
          <w:lang w:val="en-US"/>
        </w:rPr>
        <w:t xml:space="preserve">Guidelines for the diagnosis and management of intrahepatic cholangiocarcinoma. J </w:t>
      </w:r>
      <w:proofErr w:type="spellStart"/>
      <w:r w:rsidRPr="0056133B">
        <w:rPr>
          <w:rFonts w:ascii="Calibri" w:hAnsi="Calibri" w:cs="Calibri"/>
          <w:sz w:val="24"/>
          <w:lang w:val="en-US"/>
        </w:rPr>
        <w:t>Hepatol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2014;60:1268</w:t>
      </w:r>
      <w:proofErr w:type="gramEnd"/>
      <w:r w:rsidRPr="0056133B">
        <w:rPr>
          <w:rFonts w:ascii="Calibri" w:hAnsi="Calibri" w:cs="Calibri"/>
          <w:sz w:val="24"/>
          <w:lang w:val="en-US"/>
        </w:rPr>
        <w:t>–89. https://doi.org/10.1016/j.jhep.2014.01.021.</w:t>
      </w:r>
    </w:p>
    <w:p w14:paraId="56B09AA7"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[7]</w:t>
      </w:r>
      <w:r w:rsidRPr="0056133B">
        <w:rPr>
          <w:rFonts w:ascii="Calibri" w:hAnsi="Calibri" w:cs="Calibri"/>
          <w:sz w:val="24"/>
          <w:lang w:val="en-US"/>
        </w:rPr>
        <w:tab/>
        <w:t xml:space="preserve">Valle JW, </w:t>
      </w:r>
      <w:proofErr w:type="spellStart"/>
      <w:r w:rsidRPr="0056133B">
        <w:rPr>
          <w:rFonts w:ascii="Calibri" w:hAnsi="Calibri" w:cs="Calibri"/>
          <w:sz w:val="24"/>
          <w:lang w:val="en-US"/>
        </w:rPr>
        <w:t>Borbath</w:t>
      </w:r>
      <w:proofErr w:type="spellEnd"/>
      <w:r w:rsidRPr="0056133B">
        <w:rPr>
          <w:rFonts w:ascii="Calibri" w:hAnsi="Calibri" w:cs="Calibri"/>
          <w:sz w:val="24"/>
          <w:lang w:val="en-US"/>
        </w:rPr>
        <w:t xml:space="preserve"> I, Khan SA, </w:t>
      </w:r>
      <w:proofErr w:type="spellStart"/>
      <w:r w:rsidRPr="0056133B">
        <w:rPr>
          <w:rFonts w:ascii="Calibri" w:hAnsi="Calibri" w:cs="Calibri"/>
          <w:sz w:val="24"/>
          <w:lang w:val="en-US"/>
        </w:rPr>
        <w:t>Huguet</w:t>
      </w:r>
      <w:proofErr w:type="spellEnd"/>
      <w:r w:rsidRPr="0056133B">
        <w:rPr>
          <w:rFonts w:ascii="Calibri" w:hAnsi="Calibri" w:cs="Calibri"/>
          <w:sz w:val="24"/>
          <w:lang w:val="en-US"/>
        </w:rPr>
        <w:t xml:space="preserve"> F, </w:t>
      </w:r>
      <w:proofErr w:type="spellStart"/>
      <w:r w:rsidRPr="0056133B">
        <w:rPr>
          <w:rFonts w:ascii="Calibri" w:hAnsi="Calibri" w:cs="Calibri"/>
          <w:sz w:val="24"/>
          <w:lang w:val="en-US"/>
        </w:rPr>
        <w:t>Gruenberger</w:t>
      </w:r>
      <w:proofErr w:type="spellEnd"/>
      <w:r w:rsidRPr="0056133B">
        <w:rPr>
          <w:rFonts w:ascii="Calibri" w:hAnsi="Calibri" w:cs="Calibri"/>
          <w:sz w:val="24"/>
          <w:lang w:val="en-US"/>
        </w:rPr>
        <w:t xml:space="preserve"> T, Arnold D. Biliary cancer: ESMO Clinical Practice Guidelines for diagnosis, treatment and follow-up. Ann </w:t>
      </w:r>
      <w:proofErr w:type="spellStart"/>
      <w:r w:rsidRPr="0056133B">
        <w:rPr>
          <w:rFonts w:ascii="Calibri" w:hAnsi="Calibri" w:cs="Calibri"/>
          <w:sz w:val="24"/>
          <w:lang w:val="en-US"/>
        </w:rPr>
        <w:t>Oncol</w:t>
      </w:r>
      <w:proofErr w:type="spellEnd"/>
      <w:r w:rsidRPr="0056133B">
        <w:rPr>
          <w:rFonts w:ascii="Calibri" w:hAnsi="Calibri" w:cs="Calibri"/>
          <w:sz w:val="24"/>
          <w:lang w:val="en-US"/>
        </w:rPr>
        <w:t xml:space="preserve"> Off J </w:t>
      </w:r>
      <w:proofErr w:type="spellStart"/>
      <w:r w:rsidRPr="0056133B">
        <w:rPr>
          <w:rFonts w:ascii="Calibri" w:hAnsi="Calibri" w:cs="Calibri"/>
          <w:sz w:val="24"/>
          <w:lang w:val="en-US"/>
        </w:rPr>
        <w:t>Eur</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Soc</w:t>
      </w:r>
      <w:proofErr w:type="spellEnd"/>
      <w:r w:rsidRPr="0056133B">
        <w:rPr>
          <w:rFonts w:ascii="Calibri" w:hAnsi="Calibri" w:cs="Calibri"/>
          <w:sz w:val="24"/>
          <w:lang w:val="en-US"/>
        </w:rPr>
        <w:t xml:space="preserve"> Med </w:t>
      </w:r>
      <w:proofErr w:type="spellStart"/>
      <w:r w:rsidRPr="0056133B">
        <w:rPr>
          <w:rFonts w:ascii="Calibri" w:hAnsi="Calibri" w:cs="Calibri"/>
          <w:sz w:val="24"/>
          <w:lang w:val="en-US"/>
        </w:rPr>
        <w:t>Oncol</w:t>
      </w:r>
      <w:proofErr w:type="spellEnd"/>
      <w:r w:rsidRPr="0056133B">
        <w:rPr>
          <w:rFonts w:ascii="Calibri" w:hAnsi="Calibri" w:cs="Calibri"/>
          <w:sz w:val="24"/>
          <w:lang w:val="en-US"/>
        </w:rPr>
        <w:t xml:space="preserve"> 2016;</w:t>
      </w:r>
      <w:proofErr w:type="gramStart"/>
      <w:r w:rsidRPr="0056133B">
        <w:rPr>
          <w:rFonts w:ascii="Calibri" w:hAnsi="Calibri" w:cs="Calibri"/>
          <w:sz w:val="24"/>
          <w:lang w:val="en-US"/>
        </w:rPr>
        <w:t>27:v</w:t>
      </w:r>
      <w:proofErr w:type="gramEnd"/>
      <w:r w:rsidRPr="0056133B">
        <w:rPr>
          <w:rFonts w:ascii="Calibri" w:hAnsi="Calibri" w:cs="Calibri"/>
          <w:sz w:val="24"/>
          <w:lang w:val="en-US"/>
        </w:rPr>
        <w:t>28–37. https://doi.org/10.1093/annonc/mdw324.</w:t>
      </w:r>
    </w:p>
    <w:p w14:paraId="5029EB9B"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[8]</w:t>
      </w:r>
      <w:r w:rsidRPr="0056133B">
        <w:rPr>
          <w:rFonts w:ascii="Calibri" w:hAnsi="Calibri" w:cs="Calibri"/>
          <w:sz w:val="24"/>
          <w:lang w:val="en-US"/>
        </w:rPr>
        <w:tab/>
        <w:t xml:space="preserve">Boehm LM, </w:t>
      </w:r>
      <w:proofErr w:type="spellStart"/>
      <w:r w:rsidRPr="0056133B">
        <w:rPr>
          <w:rFonts w:ascii="Calibri" w:hAnsi="Calibri" w:cs="Calibri"/>
          <w:sz w:val="24"/>
          <w:lang w:val="en-US"/>
        </w:rPr>
        <w:t>Jayakrishnan</w:t>
      </w:r>
      <w:proofErr w:type="spellEnd"/>
      <w:r w:rsidRPr="0056133B">
        <w:rPr>
          <w:rFonts w:ascii="Calibri" w:hAnsi="Calibri" w:cs="Calibri"/>
          <w:sz w:val="24"/>
          <w:lang w:val="en-US"/>
        </w:rPr>
        <w:t xml:space="preserve"> TT, Miura JT, Zacharias AJ, Johnston FM, </w:t>
      </w:r>
      <w:proofErr w:type="spellStart"/>
      <w:r w:rsidRPr="0056133B">
        <w:rPr>
          <w:rFonts w:ascii="Calibri" w:hAnsi="Calibri" w:cs="Calibri"/>
          <w:sz w:val="24"/>
          <w:lang w:val="en-US"/>
        </w:rPr>
        <w:t>Turaga</w:t>
      </w:r>
      <w:proofErr w:type="spellEnd"/>
      <w:r w:rsidRPr="0056133B">
        <w:rPr>
          <w:rFonts w:ascii="Calibri" w:hAnsi="Calibri" w:cs="Calibri"/>
          <w:sz w:val="24"/>
          <w:lang w:val="en-US"/>
        </w:rPr>
        <w:t xml:space="preserve"> KK, et al. Comparative effectiveness of hepatic artery based therapies for </w:t>
      </w:r>
      <w:proofErr w:type="gramStart"/>
      <w:r w:rsidRPr="0056133B">
        <w:rPr>
          <w:rFonts w:ascii="Calibri" w:hAnsi="Calibri" w:cs="Calibri"/>
          <w:sz w:val="24"/>
          <w:lang w:val="en-US"/>
        </w:rPr>
        <w:t>unresectable  intrahepatic</w:t>
      </w:r>
      <w:proofErr w:type="gramEnd"/>
      <w:r w:rsidRPr="0056133B">
        <w:rPr>
          <w:rFonts w:ascii="Calibri" w:hAnsi="Calibri" w:cs="Calibri"/>
          <w:sz w:val="24"/>
          <w:lang w:val="en-US"/>
        </w:rPr>
        <w:t xml:space="preserve"> cholangiocarcinoma. J </w:t>
      </w:r>
      <w:proofErr w:type="spellStart"/>
      <w:r w:rsidRPr="0056133B">
        <w:rPr>
          <w:rFonts w:ascii="Calibri" w:hAnsi="Calibri" w:cs="Calibri"/>
          <w:sz w:val="24"/>
          <w:lang w:val="en-US"/>
        </w:rPr>
        <w:t>Surg</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Oncol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2015;111:213</w:t>
      </w:r>
      <w:proofErr w:type="gramEnd"/>
      <w:r w:rsidRPr="0056133B">
        <w:rPr>
          <w:rFonts w:ascii="Calibri" w:hAnsi="Calibri" w:cs="Calibri"/>
          <w:sz w:val="24"/>
          <w:lang w:val="en-US"/>
        </w:rPr>
        <w:t>–20. https://doi.org/10.1002/jso.23781.</w:t>
      </w:r>
    </w:p>
    <w:p w14:paraId="73408B92"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[9]</w:t>
      </w:r>
      <w:r w:rsidRPr="0056133B">
        <w:rPr>
          <w:rFonts w:ascii="Calibri" w:hAnsi="Calibri" w:cs="Calibri"/>
          <w:sz w:val="24"/>
          <w:lang w:val="en-US"/>
        </w:rPr>
        <w:tab/>
      </w:r>
      <w:proofErr w:type="spellStart"/>
      <w:r w:rsidRPr="0056133B">
        <w:rPr>
          <w:rFonts w:ascii="Calibri" w:hAnsi="Calibri" w:cs="Calibri"/>
          <w:sz w:val="24"/>
          <w:lang w:val="en-US"/>
        </w:rPr>
        <w:t>Frakulli</w:t>
      </w:r>
      <w:proofErr w:type="spellEnd"/>
      <w:r w:rsidRPr="0056133B">
        <w:rPr>
          <w:rFonts w:ascii="Calibri" w:hAnsi="Calibri" w:cs="Calibri"/>
          <w:sz w:val="24"/>
          <w:lang w:val="en-US"/>
        </w:rPr>
        <w:t xml:space="preserve"> R, </w:t>
      </w:r>
      <w:proofErr w:type="spellStart"/>
      <w:r w:rsidRPr="0056133B">
        <w:rPr>
          <w:rFonts w:ascii="Calibri" w:hAnsi="Calibri" w:cs="Calibri"/>
          <w:sz w:val="24"/>
          <w:lang w:val="en-US"/>
        </w:rPr>
        <w:t>Buwenge</w:t>
      </w:r>
      <w:proofErr w:type="spellEnd"/>
      <w:r w:rsidRPr="0056133B">
        <w:rPr>
          <w:rFonts w:ascii="Calibri" w:hAnsi="Calibri" w:cs="Calibri"/>
          <w:sz w:val="24"/>
          <w:lang w:val="en-US"/>
        </w:rPr>
        <w:t xml:space="preserve"> M, </w:t>
      </w:r>
      <w:proofErr w:type="spellStart"/>
      <w:r w:rsidRPr="0056133B">
        <w:rPr>
          <w:rFonts w:ascii="Calibri" w:hAnsi="Calibri" w:cs="Calibri"/>
          <w:sz w:val="24"/>
          <w:lang w:val="en-US"/>
        </w:rPr>
        <w:t>Macchia</w:t>
      </w:r>
      <w:proofErr w:type="spellEnd"/>
      <w:r w:rsidRPr="0056133B">
        <w:rPr>
          <w:rFonts w:ascii="Calibri" w:hAnsi="Calibri" w:cs="Calibri"/>
          <w:sz w:val="24"/>
          <w:lang w:val="en-US"/>
        </w:rPr>
        <w:t xml:space="preserve"> G, </w:t>
      </w:r>
      <w:proofErr w:type="spellStart"/>
      <w:r w:rsidRPr="0056133B">
        <w:rPr>
          <w:rFonts w:ascii="Calibri" w:hAnsi="Calibri" w:cs="Calibri"/>
          <w:sz w:val="24"/>
          <w:lang w:val="en-US"/>
        </w:rPr>
        <w:t>Cammelli</w:t>
      </w:r>
      <w:proofErr w:type="spellEnd"/>
      <w:r w:rsidRPr="0056133B">
        <w:rPr>
          <w:rFonts w:ascii="Calibri" w:hAnsi="Calibri" w:cs="Calibri"/>
          <w:sz w:val="24"/>
          <w:lang w:val="en-US"/>
        </w:rPr>
        <w:t xml:space="preserve"> S, </w:t>
      </w:r>
      <w:proofErr w:type="spellStart"/>
      <w:r w:rsidRPr="0056133B">
        <w:rPr>
          <w:rFonts w:ascii="Calibri" w:hAnsi="Calibri" w:cs="Calibri"/>
          <w:sz w:val="24"/>
          <w:lang w:val="en-US"/>
        </w:rPr>
        <w:t>Deodato</w:t>
      </w:r>
      <w:proofErr w:type="spellEnd"/>
      <w:r w:rsidRPr="0056133B">
        <w:rPr>
          <w:rFonts w:ascii="Calibri" w:hAnsi="Calibri" w:cs="Calibri"/>
          <w:sz w:val="24"/>
          <w:lang w:val="en-US"/>
        </w:rPr>
        <w:t xml:space="preserve"> F, Cilla S, et al. Stereotactic body radiation therapy in cholangiocarcinoma: a systematic review. Br J </w:t>
      </w:r>
      <w:proofErr w:type="spellStart"/>
      <w:r w:rsidRPr="0056133B">
        <w:rPr>
          <w:rFonts w:ascii="Calibri" w:hAnsi="Calibri" w:cs="Calibri"/>
          <w:sz w:val="24"/>
          <w:lang w:val="en-US"/>
        </w:rPr>
        <w:t>Radiol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2019;92:20180688</w:t>
      </w:r>
      <w:proofErr w:type="gramEnd"/>
      <w:r w:rsidRPr="0056133B">
        <w:rPr>
          <w:rFonts w:ascii="Calibri" w:hAnsi="Calibri" w:cs="Calibri"/>
          <w:sz w:val="24"/>
          <w:lang w:val="en-US"/>
        </w:rPr>
        <w:t>. https://doi.org/10.1259/bjr.20180688.</w:t>
      </w:r>
    </w:p>
    <w:p w14:paraId="0E376052" w14:textId="77777777" w:rsidR="0056133B" w:rsidRPr="0056133B" w:rsidRDefault="0056133B" w:rsidP="0056133B">
      <w:pPr>
        <w:pStyle w:val="Bibliographie"/>
        <w:rPr>
          <w:rFonts w:ascii="Calibri" w:hAnsi="Calibri" w:cs="Calibri"/>
          <w:sz w:val="24"/>
        </w:rPr>
      </w:pPr>
      <w:r w:rsidRPr="0056133B">
        <w:rPr>
          <w:rFonts w:ascii="Calibri" w:hAnsi="Calibri" w:cs="Calibri"/>
          <w:sz w:val="24"/>
          <w:lang w:val="en-US"/>
        </w:rPr>
        <w:t>[10]</w:t>
      </w:r>
      <w:r w:rsidRPr="0056133B">
        <w:rPr>
          <w:rFonts w:ascii="Calibri" w:hAnsi="Calibri" w:cs="Calibri"/>
          <w:sz w:val="24"/>
          <w:lang w:val="en-US"/>
        </w:rPr>
        <w:tab/>
      </w:r>
      <w:proofErr w:type="spellStart"/>
      <w:r w:rsidRPr="0056133B">
        <w:rPr>
          <w:rFonts w:ascii="Calibri" w:hAnsi="Calibri" w:cs="Calibri"/>
          <w:sz w:val="24"/>
          <w:lang w:val="en-US"/>
        </w:rPr>
        <w:t>Yousaf</w:t>
      </w:r>
      <w:proofErr w:type="spellEnd"/>
      <w:r w:rsidRPr="0056133B">
        <w:rPr>
          <w:rFonts w:ascii="Calibri" w:hAnsi="Calibri" w:cs="Calibri"/>
          <w:sz w:val="24"/>
          <w:lang w:val="en-US"/>
        </w:rPr>
        <w:t xml:space="preserve"> A, Kim JU, </w:t>
      </w:r>
      <w:proofErr w:type="spellStart"/>
      <w:r w:rsidRPr="0056133B">
        <w:rPr>
          <w:rFonts w:ascii="Calibri" w:hAnsi="Calibri" w:cs="Calibri"/>
          <w:sz w:val="24"/>
          <w:lang w:val="en-US"/>
        </w:rPr>
        <w:t>Eliahoo</w:t>
      </w:r>
      <w:proofErr w:type="spellEnd"/>
      <w:r w:rsidRPr="0056133B">
        <w:rPr>
          <w:rFonts w:ascii="Calibri" w:hAnsi="Calibri" w:cs="Calibri"/>
          <w:sz w:val="24"/>
          <w:lang w:val="en-US"/>
        </w:rPr>
        <w:t xml:space="preserve"> J, Taylor-Robinson SD, Khan SA. Ablative Therapy for Unresectable Intrahepatic Cholangiocarcinoma: A Systematic Review and Meta-Analysis. </w:t>
      </w:r>
      <w:r w:rsidRPr="0056133B">
        <w:rPr>
          <w:rFonts w:ascii="Calibri" w:hAnsi="Calibri" w:cs="Calibri"/>
          <w:sz w:val="24"/>
        </w:rPr>
        <w:t xml:space="preserve">J Clin </w:t>
      </w:r>
      <w:proofErr w:type="spellStart"/>
      <w:r w:rsidRPr="0056133B">
        <w:rPr>
          <w:rFonts w:ascii="Calibri" w:hAnsi="Calibri" w:cs="Calibri"/>
          <w:sz w:val="24"/>
        </w:rPr>
        <w:t>Exp</w:t>
      </w:r>
      <w:proofErr w:type="spellEnd"/>
      <w:r w:rsidRPr="0056133B">
        <w:rPr>
          <w:rFonts w:ascii="Calibri" w:hAnsi="Calibri" w:cs="Calibri"/>
          <w:sz w:val="24"/>
        </w:rPr>
        <w:t xml:space="preserve"> </w:t>
      </w:r>
      <w:proofErr w:type="spellStart"/>
      <w:r w:rsidRPr="0056133B">
        <w:rPr>
          <w:rFonts w:ascii="Calibri" w:hAnsi="Calibri" w:cs="Calibri"/>
          <w:sz w:val="24"/>
        </w:rPr>
        <w:t>Hepatol</w:t>
      </w:r>
      <w:proofErr w:type="spellEnd"/>
      <w:r w:rsidRPr="0056133B">
        <w:rPr>
          <w:rFonts w:ascii="Calibri" w:hAnsi="Calibri" w:cs="Calibri"/>
          <w:sz w:val="24"/>
        </w:rPr>
        <w:t xml:space="preserve"> </w:t>
      </w:r>
      <w:proofErr w:type="gramStart"/>
      <w:r w:rsidRPr="0056133B">
        <w:rPr>
          <w:rFonts w:ascii="Calibri" w:hAnsi="Calibri" w:cs="Calibri"/>
          <w:sz w:val="24"/>
        </w:rPr>
        <w:t>2019;</w:t>
      </w:r>
      <w:proofErr w:type="gramEnd"/>
      <w:r w:rsidRPr="0056133B">
        <w:rPr>
          <w:rFonts w:ascii="Calibri" w:hAnsi="Calibri" w:cs="Calibri"/>
          <w:sz w:val="24"/>
        </w:rPr>
        <w:t>9:740–8. https://doi.org/10.1016/j.jceh.2019.08.001.</w:t>
      </w:r>
    </w:p>
    <w:p w14:paraId="7D76DC10"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rPr>
        <w:t>[11]</w:t>
      </w:r>
      <w:r w:rsidRPr="0056133B">
        <w:rPr>
          <w:rFonts w:ascii="Calibri" w:hAnsi="Calibri" w:cs="Calibri"/>
          <w:sz w:val="24"/>
        </w:rPr>
        <w:tab/>
      </w:r>
      <w:proofErr w:type="spellStart"/>
      <w:r w:rsidRPr="0056133B">
        <w:rPr>
          <w:rFonts w:ascii="Calibri" w:hAnsi="Calibri" w:cs="Calibri"/>
          <w:sz w:val="24"/>
        </w:rPr>
        <w:t>Cillo</w:t>
      </w:r>
      <w:proofErr w:type="spellEnd"/>
      <w:r w:rsidRPr="0056133B">
        <w:rPr>
          <w:rFonts w:ascii="Calibri" w:hAnsi="Calibri" w:cs="Calibri"/>
          <w:sz w:val="24"/>
        </w:rPr>
        <w:t xml:space="preserve"> U, </w:t>
      </w:r>
      <w:proofErr w:type="spellStart"/>
      <w:r w:rsidRPr="0056133B">
        <w:rPr>
          <w:rFonts w:ascii="Calibri" w:hAnsi="Calibri" w:cs="Calibri"/>
          <w:sz w:val="24"/>
        </w:rPr>
        <w:t>Fondevila</w:t>
      </w:r>
      <w:proofErr w:type="spellEnd"/>
      <w:r w:rsidRPr="0056133B">
        <w:rPr>
          <w:rFonts w:ascii="Calibri" w:hAnsi="Calibri" w:cs="Calibri"/>
          <w:sz w:val="24"/>
        </w:rPr>
        <w:t xml:space="preserve"> C, </w:t>
      </w:r>
      <w:proofErr w:type="spellStart"/>
      <w:r w:rsidRPr="0056133B">
        <w:rPr>
          <w:rFonts w:ascii="Calibri" w:hAnsi="Calibri" w:cs="Calibri"/>
          <w:sz w:val="24"/>
        </w:rPr>
        <w:t>Donadon</w:t>
      </w:r>
      <w:proofErr w:type="spellEnd"/>
      <w:r w:rsidRPr="0056133B">
        <w:rPr>
          <w:rFonts w:ascii="Calibri" w:hAnsi="Calibri" w:cs="Calibri"/>
          <w:sz w:val="24"/>
        </w:rPr>
        <w:t xml:space="preserve"> M, </w:t>
      </w:r>
      <w:proofErr w:type="spellStart"/>
      <w:r w:rsidRPr="0056133B">
        <w:rPr>
          <w:rFonts w:ascii="Calibri" w:hAnsi="Calibri" w:cs="Calibri"/>
          <w:sz w:val="24"/>
        </w:rPr>
        <w:t>Gringeri</w:t>
      </w:r>
      <w:proofErr w:type="spellEnd"/>
      <w:r w:rsidRPr="0056133B">
        <w:rPr>
          <w:rFonts w:ascii="Calibri" w:hAnsi="Calibri" w:cs="Calibri"/>
          <w:sz w:val="24"/>
        </w:rPr>
        <w:t xml:space="preserve"> E, </w:t>
      </w:r>
      <w:proofErr w:type="spellStart"/>
      <w:r w:rsidRPr="0056133B">
        <w:rPr>
          <w:rFonts w:ascii="Calibri" w:hAnsi="Calibri" w:cs="Calibri"/>
          <w:sz w:val="24"/>
        </w:rPr>
        <w:t>Mocchegiani</w:t>
      </w:r>
      <w:proofErr w:type="spellEnd"/>
      <w:r w:rsidRPr="0056133B">
        <w:rPr>
          <w:rFonts w:ascii="Calibri" w:hAnsi="Calibri" w:cs="Calibri"/>
          <w:sz w:val="24"/>
        </w:rPr>
        <w:t xml:space="preserve"> F, </w:t>
      </w:r>
      <w:proofErr w:type="spellStart"/>
      <w:r w:rsidRPr="0056133B">
        <w:rPr>
          <w:rFonts w:ascii="Calibri" w:hAnsi="Calibri" w:cs="Calibri"/>
          <w:sz w:val="24"/>
        </w:rPr>
        <w:t>Schlitt</w:t>
      </w:r>
      <w:proofErr w:type="spellEnd"/>
      <w:r w:rsidRPr="0056133B">
        <w:rPr>
          <w:rFonts w:ascii="Calibri" w:hAnsi="Calibri" w:cs="Calibri"/>
          <w:sz w:val="24"/>
        </w:rPr>
        <w:t xml:space="preserve"> HJ, et al. </w:t>
      </w:r>
      <w:r w:rsidRPr="0056133B">
        <w:rPr>
          <w:rFonts w:ascii="Calibri" w:hAnsi="Calibri" w:cs="Calibri"/>
          <w:sz w:val="24"/>
          <w:lang w:val="en-US"/>
        </w:rPr>
        <w:t xml:space="preserve">Surgery for cholangiocarcinoma. Liver </w:t>
      </w:r>
      <w:proofErr w:type="spellStart"/>
      <w:r w:rsidRPr="0056133B">
        <w:rPr>
          <w:rFonts w:ascii="Calibri" w:hAnsi="Calibri" w:cs="Calibri"/>
          <w:sz w:val="24"/>
          <w:lang w:val="en-US"/>
        </w:rPr>
        <w:t>Int</w:t>
      </w:r>
      <w:proofErr w:type="spellEnd"/>
      <w:r w:rsidRPr="0056133B">
        <w:rPr>
          <w:rFonts w:ascii="Calibri" w:hAnsi="Calibri" w:cs="Calibri"/>
          <w:sz w:val="24"/>
          <w:lang w:val="en-US"/>
        </w:rPr>
        <w:t xml:space="preserve"> Off J </w:t>
      </w:r>
      <w:proofErr w:type="spellStart"/>
      <w:r w:rsidRPr="0056133B">
        <w:rPr>
          <w:rFonts w:ascii="Calibri" w:hAnsi="Calibri" w:cs="Calibri"/>
          <w:sz w:val="24"/>
          <w:lang w:val="en-US"/>
        </w:rPr>
        <w:t>Int</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Assoc</w:t>
      </w:r>
      <w:proofErr w:type="spellEnd"/>
      <w:r w:rsidRPr="0056133B">
        <w:rPr>
          <w:rFonts w:ascii="Calibri" w:hAnsi="Calibri" w:cs="Calibri"/>
          <w:sz w:val="24"/>
          <w:lang w:val="en-US"/>
        </w:rPr>
        <w:t xml:space="preserve"> Study Liver 2019;39 </w:t>
      </w:r>
      <w:proofErr w:type="spellStart"/>
      <w:r w:rsidRPr="0056133B">
        <w:rPr>
          <w:rFonts w:ascii="Calibri" w:hAnsi="Calibri" w:cs="Calibri"/>
          <w:sz w:val="24"/>
          <w:lang w:val="en-US"/>
        </w:rPr>
        <w:t>Suppl</w:t>
      </w:r>
      <w:proofErr w:type="spellEnd"/>
      <w:r w:rsidRPr="0056133B">
        <w:rPr>
          <w:rFonts w:ascii="Calibri" w:hAnsi="Calibri" w:cs="Calibri"/>
          <w:sz w:val="24"/>
          <w:lang w:val="en-US"/>
        </w:rPr>
        <w:t xml:space="preserve"> 1:143–55. https://doi.org/10.1111/liv.14089.</w:t>
      </w:r>
    </w:p>
    <w:p w14:paraId="53E54D71"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[12]</w:t>
      </w:r>
      <w:r w:rsidRPr="0056133B">
        <w:rPr>
          <w:rFonts w:ascii="Calibri" w:hAnsi="Calibri" w:cs="Calibri"/>
          <w:sz w:val="24"/>
          <w:lang w:val="en-US"/>
        </w:rPr>
        <w:tab/>
      </w:r>
      <w:proofErr w:type="spellStart"/>
      <w:r w:rsidRPr="0056133B">
        <w:rPr>
          <w:rFonts w:ascii="Calibri" w:hAnsi="Calibri" w:cs="Calibri"/>
          <w:sz w:val="24"/>
          <w:lang w:val="en-US"/>
        </w:rPr>
        <w:t>Lamarca</w:t>
      </w:r>
      <w:proofErr w:type="spellEnd"/>
      <w:r w:rsidRPr="0056133B">
        <w:rPr>
          <w:rFonts w:ascii="Calibri" w:hAnsi="Calibri" w:cs="Calibri"/>
          <w:sz w:val="24"/>
          <w:lang w:val="en-US"/>
        </w:rPr>
        <w:t xml:space="preserve"> A. ABC-06 | A </w:t>
      </w:r>
      <w:proofErr w:type="spellStart"/>
      <w:r w:rsidRPr="0056133B">
        <w:rPr>
          <w:rFonts w:ascii="Calibri" w:hAnsi="Calibri" w:cs="Calibri"/>
          <w:sz w:val="24"/>
          <w:lang w:val="en-US"/>
        </w:rPr>
        <w:t>randomised</w:t>
      </w:r>
      <w:proofErr w:type="spellEnd"/>
      <w:r w:rsidRPr="0056133B">
        <w:rPr>
          <w:rFonts w:ascii="Calibri" w:hAnsi="Calibri" w:cs="Calibri"/>
          <w:sz w:val="24"/>
          <w:lang w:val="en-US"/>
        </w:rPr>
        <w:t xml:space="preserve"> phase III, multi-</w:t>
      </w:r>
      <w:proofErr w:type="spellStart"/>
      <w:r w:rsidRPr="0056133B">
        <w:rPr>
          <w:rFonts w:ascii="Calibri" w:hAnsi="Calibri" w:cs="Calibri"/>
          <w:sz w:val="24"/>
          <w:lang w:val="en-US"/>
        </w:rPr>
        <w:t>centre</w:t>
      </w:r>
      <w:proofErr w:type="spellEnd"/>
      <w:r w:rsidRPr="0056133B">
        <w:rPr>
          <w:rFonts w:ascii="Calibri" w:hAnsi="Calibri" w:cs="Calibri"/>
          <w:sz w:val="24"/>
          <w:lang w:val="en-US"/>
        </w:rPr>
        <w:t>, open-label study of Active Symptom Control (ASC) alone or ASC with oxaliplatin / 5-FU chemotherapy (</w:t>
      </w:r>
      <w:proofErr w:type="spellStart"/>
      <w:r w:rsidRPr="0056133B">
        <w:rPr>
          <w:rFonts w:ascii="Calibri" w:hAnsi="Calibri" w:cs="Calibri"/>
          <w:sz w:val="24"/>
          <w:lang w:val="en-US"/>
        </w:rPr>
        <w:t>ASC+mFOLFOX</w:t>
      </w:r>
      <w:proofErr w:type="spellEnd"/>
      <w:r w:rsidRPr="0056133B">
        <w:rPr>
          <w:rFonts w:ascii="Calibri" w:hAnsi="Calibri" w:cs="Calibri"/>
          <w:sz w:val="24"/>
          <w:lang w:val="en-US"/>
        </w:rPr>
        <w:t>) for patients (pts) with locally advanced / metastatic biliary tract cancers (ABC) previously-treated with cisplatin/gemcitabine (</w:t>
      </w:r>
      <w:proofErr w:type="spellStart"/>
      <w:r w:rsidRPr="0056133B">
        <w:rPr>
          <w:rFonts w:ascii="Calibri" w:hAnsi="Calibri" w:cs="Calibri"/>
          <w:sz w:val="24"/>
          <w:lang w:val="en-US"/>
        </w:rPr>
        <w:t>CisGem</w:t>
      </w:r>
      <w:proofErr w:type="spellEnd"/>
      <w:r w:rsidRPr="0056133B">
        <w:rPr>
          <w:rFonts w:ascii="Calibri" w:hAnsi="Calibri" w:cs="Calibri"/>
          <w:sz w:val="24"/>
          <w:lang w:val="en-US"/>
        </w:rPr>
        <w:t xml:space="preserve">) chemotherapy. J </w:t>
      </w:r>
      <w:proofErr w:type="spellStart"/>
      <w:r w:rsidRPr="0056133B">
        <w:rPr>
          <w:rFonts w:ascii="Calibri" w:hAnsi="Calibri" w:cs="Calibri"/>
          <w:sz w:val="24"/>
          <w:lang w:val="en-US"/>
        </w:rPr>
        <w:t>Clin</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Oncol</w:t>
      </w:r>
      <w:proofErr w:type="spellEnd"/>
      <w:r w:rsidRPr="0056133B">
        <w:rPr>
          <w:rFonts w:ascii="Calibri" w:hAnsi="Calibri" w:cs="Calibri"/>
          <w:sz w:val="24"/>
          <w:lang w:val="en-US"/>
        </w:rPr>
        <w:t xml:space="preserve"> 2019;</w:t>
      </w:r>
      <w:proofErr w:type="gramStart"/>
      <w:r w:rsidRPr="0056133B">
        <w:rPr>
          <w:rFonts w:ascii="Calibri" w:hAnsi="Calibri" w:cs="Calibri"/>
          <w:sz w:val="24"/>
          <w:lang w:val="en-US"/>
        </w:rPr>
        <w:t>37:abst</w:t>
      </w:r>
      <w:proofErr w:type="gramEnd"/>
      <w:r w:rsidRPr="0056133B">
        <w:rPr>
          <w:rFonts w:ascii="Calibri" w:hAnsi="Calibri" w:cs="Calibri"/>
          <w:sz w:val="24"/>
          <w:lang w:val="en-US"/>
        </w:rPr>
        <w:t xml:space="preserve"> 4003.</w:t>
      </w:r>
    </w:p>
    <w:p w14:paraId="1ED8DD2B"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[13]</w:t>
      </w:r>
      <w:r w:rsidRPr="0056133B">
        <w:rPr>
          <w:rFonts w:ascii="Calibri" w:hAnsi="Calibri" w:cs="Calibri"/>
          <w:sz w:val="24"/>
          <w:lang w:val="en-US"/>
        </w:rPr>
        <w:tab/>
        <w:t xml:space="preserve">Martin RC, Rocha F, Simo K, </w:t>
      </w:r>
      <w:proofErr w:type="spellStart"/>
      <w:r w:rsidRPr="0056133B">
        <w:rPr>
          <w:rFonts w:ascii="Calibri" w:hAnsi="Calibri" w:cs="Calibri"/>
          <w:sz w:val="24"/>
          <w:lang w:val="en-US"/>
        </w:rPr>
        <w:t>Crocenzi</w:t>
      </w:r>
      <w:proofErr w:type="spellEnd"/>
      <w:r w:rsidRPr="0056133B">
        <w:rPr>
          <w:rFonts w:ascii="Calibri" w:hAnsi="Calibri" w:cs="Calibri"/>
          <w:sz w:val="24"/>
          <w:lang w:val="en-US"/>
        </w:rPr>
        <w:t xml:space="preserve"> T, Scoggins CR. Drug-Eluting Bead, </w:t>
      </w:r>
      <w:proofErr w:type="spellStart"/>
      <w:r w:rsidRPr="0056133B">
        <w:rPr>
          <w:rFonts w:ascii="Calibri" w:hAnsi="Calibri" w:cs="Calibri"/>
          <w:sz w:val="24"/>
          <w:lang w:val="en-US"/>
        </w:rPr>
        <w:t>Irinotecan</w:t>
      </w:r>
      <w:proofErr w:type="spellEnd"/>
      <w:r w:rsidRPr="0056133B">
        <w:rPr>
          <w:rFonts w:ascii="Calibri" w:hAnsi="Calibri" w:cs="Calibri"/>
          <w:sz w:val="24"/>
          <w:lang w:val="en-US"/>
        </w:rPr>
        <w:t xml:space="preserve"> (DEBIRI) Therapy of Unresectable Intrahepatic Cholangiocarcinoma (ICC) with Concomitant Systemic Gemcitabine and Cisplatin (Gem-Cis). Ann. Surg. </w:t>
      </w:r>
      <w:proofErr w:type="spellStart"/>
      <w:r w:rsidRPr="0056133B">
        <w:rPr>
          <w:rFonts w:ascii="Calibri" w:hAnsi="Calibri" w:cs="Calibri"/>
          <w:sz w:val="24"/>
          <w:lang w:val="en-US"/>
        </w:rPr>
        <w:t>Oncol</w:t>
      </w:r>
      <w:proofErr w:type="spellEnd"/>
      <w:r w:rsidRPr="0056133B">
        <w:rPr>
          <w:rFonts w:ascii="Calibri" w:hAnsi="Calibri" w:cs="Calibri"/>
          <w:sz w:val="24"/>
          <w:lang w:val="en-US"/>
        </w:rPr>
        <w:t xml:space="preserve">., vol. 27, </w:t>
      </w:r>
      <w:r w:rsidRPr="0056133B">
        <w:rPr>
          <w:rFonts w:ascii="Calibri" w:hAnsi="Calibri" w:cs="Calibri"/>
          <w:sz w:val="24"/>
          <w:lang w:val="en-US"/>
        </w:rPr>
        <w:lastRenderedPageBreak/>
        <w:t>SPRINGER ONE NEW YORK PLAZA, SUITE 4600, NEW YORK, NY, UNITED STATES; 2020, p. S21–S21.</w:t>
      </w:r>
    </w:p>
    <w:p w14:paraId="00A96A6E" w14:textId="77777777" w:rsidR="0056133B" w:rsidRPr="0056133B" w:rsidRDefault="0056133B" w:rsidP="0056133B">
      <w:pPr>
        <w:pStyle w:val="Bibliographie"/>
        <w:rPr>
          <w:rFonts w:ascii="Calibri" w:hAnsi="Calibri" w:cs="Calibri"/>
          <w:sz w:val="24"/>
        </w:rPr>
      </w:pPr>
      <w:r w:rsidRPr="0056133B">
        <w:rPr>
          <w:rFonts w:ascii="Calibri" w:hAnsi="Calibri" w:cs="Calibri"/>
          <w:sz w:val="24"/>
        </w:rPr>
        <w:t>[14]</w:t>
      </w:r>
      <w:r w:rsidRPr="0056133B">
        <w:rPr>
          <w:rFonts w:ascii="Calibri" w:hAnsi="Calibri" w:cs="Calibri"/>
          <w:sz w:val="24"/>
        </w:rPr>
        <w:tab/>
        <w:t xml:space="preserve">Edeline J, </w:t>
      </w:r>
      <w:proofErr w:type="spellStart"/>
      <w:r w:rsidRPr="0056133B">
        <w:rPr>
          <w:rFonts w:ascii="Calibri" w:hAnsi="Calibri" w:cs="Calibri"/>
          <w:sz w:val="24"/>
        </w:rPr>
        <w:t>Touchefeu</w:t>
      </w:r>
      <w:proofErr w:type="spellEnd"/>
      <w:r w:rsidRPr="0056133B">
        <w:rPr>
          <w:rFonts w:ascii="Calibri" w:hAnsi="Calibri" w:cs="Calibri"/>
          <w:sz w:val="24"/>
        </w:rPr>
        <w:t xml:space="preserve"> Y, </w:t>
      </w:r>
      <w:proofErr w:type="spellStart"/>
      <w:r w:rsidRPr="0056133B">
        <w:rPr>
          <w:rFonts w:ascii="Calibri" w:hAnsi="Calibri" w:cs="Calibri"/>
          <w:sz w:val="24"/>
        </w:rPr>
        <w:t>Guiu</w:t>
      </w:r>
      <w:proofErr w:type="spellEnd"/>
      <w:r w:rsidRPr="0056133B">
        <w:rPr>
          <w:rFonts w:ascii="Calibri" w:hAnsi="Calibri" w:cs="Calibri"/>
          <w:sz w:val="24"/>
        </w:rPr>
        <w:t xml:space="preserve"> B, Farge O, Tougeron D, </w:t>
      </w:r>
      <w:proofErr w:type="spellStart"/>
      <w:r w:rsidRPr="0056133B">
        <w:rPr>
          <w:rFonts w:ascii="Calibri" w:hAnsi="Calibri" w:cs="Calibri"/>
          <w:sz w:val="24"/>
        </w:rPr>
        <w:t>Baumgaertner</w:t>
      </w:r>
      <w:proofErr w:type="spellEnd"/>
      <w:r w:rsidRPr="0056133B">
        <w:rPr>
          <w:rFonts w:ascii="Calibri" w:hAnsi="Calibri" w:cs="Calibri"/>
          <w:sz w:val="24"/>
        </w:rPr>
        <w:t xml:space="preserve"> I, et al. </w:t>
      </w:r>
      <w:r w:rsidRPr="0056133B">
        <w:rPr>
          <w:rFonts w:ascii="Calibri" w:hAnsi="Calibri" w:cs="Calibri"/>
          <w:sz w:val="24"/>
          <w:lang w:val="en-US"/>
        </w:rPr>
        <w:t xml:space="preserve">Radioembolization Plus Chemotherapy for First-line Treatment of Locally Advanced Intrahepatic Cholangiocarcinoma: A Phase 2 Clinical Trial. </w:t>
      </w:r>
      <w:r w:rsidRPr="0056133B">
        <w:rPr>
          <w:rFonts w:ascii="Calibri" w:hAnsi="Calibri" w:cs="Calibri"/>
          <w:sz w:val="24"/>
        </w:rPr>
        <w:t xml:space="preserve">JAMA </w:t>
      </w:r>
      <w:proofErr w:type="spellStart"/>
      <w:r w:rsidRPr="0056133B">
        <w:rPr>
          <w:rFonts w:ascii="Calibri" w:hAnsi="Calibri" w:cs="Calibri"/>
          <w:sz w:val="24"/>
        </w:rPr>
        <w:t>Oncol</w:t>
      </w:r>
      <w:proofErr w:type="spellEnd"/>
      <w:r w:rsidRPr="0056133B">
        <w:rPr>
          <w:rFonts w:ascii="Calibri" w:hAnsi="Calibri" w:cs="Calibri"/>
          <w:sz w:val="24"/>
        </w:rPr>
        <w:t xml:space="preserve"> </w:t>
      </w:r>
      <w:proofErr w:type="gramStart"/>
      <w:r w:rsidRPr="0056133B">
        <w:rPr>
          <w:rFonts w:ascii="Calibri" w:hAnsi="Calibri" w:cs="Calibri"/>
          <w:sz w:val="24"/>
        </w:rPr>
        <w:t>2020;</w:t>
      </w:r>
      <w:proofErr w:type="gramEnd"/>
      <w:r w:rsidRPr="0056133B">
        <w:rPr>
          <w:rFonts w:ascii="Calibri" w:hAnsi="Calibri" w:cs="Calibri"/>
          <w:sz w:val="24"/>
        </w:rPr>
        <w:t>6:51. https://doi.org/10.1001/jamaoncol.2019.3702.</w:t>
      </w:r>
    </w:p>
    <w:p w14:paraId="7E64AD16"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rPr>
        <w:t>[15]</w:t>
      </w:r>
      <w:r w:rsidRPr="0056133B">
        <w:rPr>
          <w:rFonts w:ascii="Calibri" w:hAnsi="Calibri" w:cs="Calibri"/>
          <w:sz w:val="24"/>
        </w:rPr>
        <w:tab/>
      </w:r>
      <w:proofErr w:type="spellStart"/>
      <w:r w:rsidRPr="0056133B">
        <w:rPr>
          <w:rFonts w:ascii="Calibri" w:hAnsi="Calibri" w:cs="Calibri"/>
          <w:sz w:val="24"/>
        </w:rPr>
        <w:t>Cercek</w:t>
      </w:r>
      <w:proofErr w:type="spellEnd"/>
      <w:r w:rsidRPr="0056133B">
        <w:rPr>
          <w:rFonts w:ascii="Calibri" w:hAnsi="Calibri" w:cs="Calibri"/>
          <w:sz w:val="24"/>
        </w:rPr>
        <w:t xml:space="preserve"> A, </w:t>
      </w:r>
      <w:proofErr w:type="spellStart"/>
      <w:r w:rsidRPr="0056133B">
        <w:rPr>
          <w:rFonts w:ascii="Calibri" w:hAnsi="Calibri" w:cs="Calibri"/>
          <w:sz w:val="24"/>
        </w:rPr>
        <w:t>Boerner</w:t>
      </w:r>
      <w:proofErr w:type="spellEnd"/>
      <w:r w:rsidRPr="0056133B">
        <w:rPr>
          <w:rFonts w:ascii="Calibri" w:hAnsi="Calibri" w:cs="Calibri"/>
          <w:sz w:val="24"/>
        </w:rPr>
        <w:t xml:space="preserve"> T, Tan BR, Chou JF, </w:t>
      </w:r>
      <w:proofErr w:type="spellStart"/>
      <w:r w:rsidRPr="0056133B">
        <w:rPr>
          <w:rFonts w:ascii="Calibri" w:hAnsi="Calibri" w:cs="Calibri"/>
          <w:sz w:val="24"/>
        </w:rPr>
        <w:t>Gönen</w:t>
      </w:r>
      <w:proofErr w:type="spellEnd"/>
      <w:r w:rsidRPr="0056133B">
        <w:rPr>
          <w:rFonts w:ascii="Calibri" w:hAnsi="Calibri" w:cs="Calibri"/>
          <w:sz w:val="24"/>
        </w:rPr>
        <w:t xml:space="preserve"> M, Boucher TM, et al. </w:t>
      </w:r>
      <w:r w:rsidRPr="0056133B">
        <w:rPr>
          <w:rFonts w:ascii="Calibri" w:hAnsi="Calibri" w:cs="Calibri"/>
          <w:sz w:val="24"/>
          <w:lang w:val="en-US"/>
        </w:rPr>
        <w:t xml:space="preserve">Assessment of Hepatic Arterial Infusion of </w:t>
      </w:r>
      <w:proofErr w:type="spellStart"/>
      <w:r w:rsidRPr="0056133B">
        <w:rPr>
          <w:rFonts w:ascii="Calibri" w:hAnsi="Calibri" w:cs="Calibri"/>
          <w:sz w:val="24"/>
          <w:lang w:val="en-US"/>
        </w:rPr>
        <w:t>Floxuridine</w:t>
      </w:r>
      <w:proofErr w:type="spellEnd"/>
      <w:r w:rsidRPr="0056133B">
        <w:rPr>
          <w:rFonts w:ascii="Calibri" w:hAnsi="Calibri" w:cs="Calibri"/>
          <w:sz w:val="24"/>
          <w:lang w:val="en-US"/>
        </w:rPr>
        <w:t xml:space="preserve"> in Combination </w:t>
      </w:r>
      <w:proofErr w:type="gramStart"/>
      <w:r w:rsidRPr="0056133B">
        <w:rPr>
          <w:rFonts w:ascii="Calibri" w:hAnsi="Calibri" w:cs="Calibri"/>
          <w:sz w:val="24"/>
          <w:lang w:val="en-US"/>
        </w:rPr>
        <w:t>With</w:t>
      </w:r>
      <w:proofErr w:type="gramEnd"/>
      <w:r w:rsidRPr="0056133B">
        <w:rPr>
          <w:rFonts w:ascii="Calibri" w:hAnsi="Calibri" w:cs="Calibri"/>
          <w:sz w:val="24"/>
          <w:lang w:val="en-US"/>
        </w:rPr>
        <w:t xml:space="preserve"> Systemic Gemcitabine and Oxaliplatin in Patients With Unresectable Intrahepatic Cholangiocarcinoma: A Phase 2 Clinical Trial. JAMA </w:t>
      </w:r>
      <w:proofErr w:type="spellStart"/>
      <w:r w:rsidRPr="0056133B">
        <w:rPr>
          <w:rFonts w:ascii="Calibri" w:hAnsi="Calibri" w:cs="Calibri"/>
          <w:sz w:val="24"/>
          <w:lang w:val="en-US"/>
        </w:rPr>
        <w:t>Oncol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2020;6:60</w:t>
      </w:r>
      <w:proofErr w:type="gramEnd"/>
      <w:r w:rsidRPr="0056133B">
        <w:rPr>
          <w:rFonts w:ascii="Calibri" w:hAnsi="Calibri" w:cs="Calibri"/>
          <w:sz w:val="24"/>
          <w:lang w:val="en-US"/>
        </w:rPr>
        <w:t>. https://doi.org/10.1001/jamaoncol.2019.3718.</w:t>
      </w:r>
    </w:p>
    <w:p w14:paraId="77512EDC"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[16]</w:t>
      </w:r>
      <w:r w:rsidRPr="0056133B">
        <w:rPr>
          <w:rFonts w:ascii="Calibri" w:hAnsi="Calibri" w:cs="Calibri"/>
          <w:sz w:val="24"/>
          <w:lang w:val="en-US"/>
        </w:rPr>
        <w:tab/>
        <w:t xml:space="preserve">On behalf of the CIRT Steering Committee, On behalf of the CIRT Principal Investigators, </w:t>
      </w:r>
      <w:proofErr w:type="spellStart"/>
      <w:r w:rsidRPr="0056133B">
        <w:rPr>
          <w:rFonts w:ascii="Calibri" w:hAnsi="Calibri" w:cs="Calibri"/>
          <w:sz w:val="24"/>
          <w:lang w:val="en-US"/>
        </w:rPr>
        <w:t>Helmberger</w:t>
      </w:r>
      <w:proofErr w:type="spellEnd"/>
      <w:r w:rsidRPr="0056133B">
        <w:rPr>
          <w:rFonts w:ascii="Calibri" w:hAnsi="Calibri" w:cs="Calibri"/>
          <w:sz w:val="24"/>
          <w:lang w:val="en-US"/>
        </w:rPr>
        <w:t xml:space="preserve"> T, </w:t>
      </w:r>
      <w:proofErr w:type="spellStart"/>
      <w:r w:rsidRPr="0056133B">
        <w:rPr>
          <w:rFonts w:ascii="Calibri" w:hAnsi="Calibri" w:cs="Calibri"/>
          <w:sz w:val="24"/>
          <w:lang w:val="en-US"/>
        </w:rPr>
        <w:t>Golfieri</w:t>
      </w:r>
      <w:proofErr w:type="spellEnd"/>
      <w:r w:rsidRPr="0056133B">
        <w:rPr>
          <w:rFonts w:ascii="Calibri" w:hAnsi="Calibri" w:cs="Calibri"/>
          <w:sz w:val="24"/>
          <w:lang w:val="en-US"/>
        </w:rPr>
        <w:t xml:space="preserve"> R, </w:t>
      </w:r>
      <w:proofErr w:type="spellStart"/>
      <w:r w:rsidRPr="0056133B">
        <w:rPr>
          <w:rFonts w:ascii="Calibri" w:hAnsi="Calibri" w:cs="Calibri"/>
          <w:sz w:val="24"/>
          <w:lang w:val="en-US"/>
        </w:rPr>
        <w:t>Pech</w:t>
      </w:r>
      <w:proofErr w:type="spellEnd"/>
      <w:r w:rsidRPr="0056133B">
        <w:rPr>
          <w:rFonts w:ascii="Calibri" w:hAnsi="Calibri" w:cs="Calibri"/>
          <w:sz w:val="24"/>
          <w:lang w:val="en-US"/>
        </w:rPr>
        <w:t xml:space="preserve"> M, </w:t>
      </w:r>
      <w:proofErr w:type="spellStart"/>
      <w:r w:rsidRPr="0056133B">
        <w:rPr>
          <w:rFonts w:ascii="Calibri" w:hAnsi="Calibri" w:cs="Calibri"/>
          <w:sz w:val="24"/>
          <w:lang w:val="en-US"/>
        </w:rPr>
        <w:t>Pfammatter</w:t>
      </w:r>
      <w:proofErr w:type="spellEnd"/>
      <w:r w:rsidRPr="0056133B">
        <w:rPr>
          <w:rFonts w:ascii="Calibri" w:hAnsi="Calibri" w:cs="Calibri"/>
          <w:sz w:val="24"/>
          <w:lang w:val="en-US"/>
        </w:rPr>
        <w:t xml:space="preserve"> T, et al. Clinical Application of Trans-Arterial Radioembolization in Hepatic Malignancies in Europe: First Results from the Prospective </w:t>
      </w:r>
      <w:proofErr w:type="spellStart"/>
      <w:r w:rsidRPr="0056133B">
        <w:rPr>
          <w:rFonts w:ascii="Calibri" w:hAnsi="Calibri" w:cs="Calibri"/>
          <w:sz w:val="24"/>
          <w:lang w:val="en-US"/>
        </w:rPr>
        <w:t>Multicentre</w:t>
      </w:r>
      <w:proofErr w:type="spellEnd"/>
      <w:r w:rsidRPr="0056133B">
        <w:rPr>
          <w:rFonts w:ascii="Calibri" w:hAnsi="Calibri" w:cs="Calibri"/>
          <w:sz w:val="24"/>
          <w:lang w:val="en-US"/>
        </w:rPr>
        <w:t xml:space="preserve"> Observational Study CIRSE Registry for SIR-Spheres Therapy (CIRT). </w:t>
      </w:r>
      <w:proofErr w:type="spellStart"/>
      <w:r w:rsidRPr="0056133B">
        <w:rPr>
          <w:rFonts w:ascii="Calibri" w:hAnsi="Calibri" w:cs="Calibri"/>
          <w:sz w:val="24"/>
          <w:lang w:val="en-US"/>
        </w:rPr>
        <w:t>Cardiovasc</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Intervent</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Radiol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2021;44:21</w:t>
      </w:r>
      <w:proofErr w:type="gramEnd"/>
      <w:r w:rsidRPr="0056133B">
        <w:rPr>
          <w:rFonts w:ascii="Calibri" w:hAnsi="Calibri" w:cs="Calibri"/>
          <w:sz w:val="24"/>
          <w:lang w:val="en-US"/>
        </w:rPr>
        <w:t>–35. https://doi.org/10.1007/s00270-020-02642-y.</w:t>
      </w:r>
    </w:p>
    <w:p w14:paraId="007F9BB2"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[17]</w:t>
      </w:r>
      <w:r w:rsidRPr="0056133B">
        <w:rPr>
          <w:rFonts w:ascii="Calibri" w:hAnsi="Calibri" w:cs="Calibri"/>
          <w:sz w:val="24"/>
          <w:lang w:val="en-US"/>
        </w:rPr>
        <w:tab/>
      </w:r>
      <w:proofErr w:type="spellStart"/>
      <w:r w:rsidRPr="0056133B">
        <w:rPr>
          <w:rFonts w:ascii="Calibri" w:hAnsi="Calibri" w:cs="Calibri"/>
          <w:sz w:val="24"/>
          <w:lang w:val="en-US"/>
        </w:rPr>
        <w:t>Buettner</w:t>
      </w:r>
      <w:proofErr w:type="spellEnd"/>
      <w:r w:rsidRPr="0056133B">
        <w:rPr>
          <w:rFonts w:ascii="Calibri" w:hAnsi="Calibri" w:cs="Calibri"/>
          <w:sz w:val="24"/>
          <w:lang w:val="en-US"/>
        </w:rPr>
        <w:t xml:space="preserve"> S, </w:t>
      </w:r>
      <w:proofErr w:type="spellStart"/>
      <w:r w:rsidRPr="0056133B">
        <w:rPr>
          <w:rFonts w:ascii="Calibri" w:hAnsi="Calibri" w:cs="Calibri"/>
          <w:sz w:val="24"/>
          <w:lang w:val="en-US"/>
        </w:rPr>
        <w:t>Braat</w:t>
      </w:r>
      <w:proofErr w:type="spellEnd"/>
      <w:r w:rsidRPr="0056133B">
        <w:rPr>
          <w:rFonts w:ascii="Calibri" w:hAnsi="Calibri" w:cs="Calibri"/>
          <w:sz w:val="24"/>
          <w:lang w:val="en-US"/>
        </w:rPr>
        <w:t xml:space="preserve"> AJAT, </w:t>
      </w:r>
      <w:proofErr w:type="spellStart"/>
      <w:r w:rsidRPr="0056133B">
        <w:rPr>
          <w:rFonts w:ascii="Calibri" w:hAnsi="Calibri" w:cs="Calibri"/>
          <w:sz w:val="24"/>
          <w:lang w:val="en-US"/>
        </w:rPr>
        <w:t>Margonis</w:t>
      </w:r>
      <w:proofErr w:type="spellEnd"/>
      <w:r w:rsidRPr="0056133B">
        <w:rPr>
          <w:rFonts w:ascii="Calibri" w:hAnsi="Calibri" w:cs="Calibri"/>
          <w:sz w:val="24"/>
          <w:lang w:val="en-US"/>
        </w:rPr>
        <w:t xml:space="preserve"> GA, Brown DB, Taylor KB, </w:t>
      </w:r>
      <w:proofErr w:type="spellStart"/>
      <w:r w:rsidRPr="0056133B">
        <w:rPr>
          <w:rFonts w:ascii="Calibri" w:hAnsi="Calibri" w:cs="Calibri"/>
          <w:sz w:val="24"/>
          <w:lang w:val="en-US"/>
        </w:rPr>
        <w:t>Borgmann</w:t>
      </w:r>
      <w:proofErr w:type="spellEnd"/>
      <w:r w:rsidRPr="0056133B">
        <w:rPr>
          <w:rFonts w:ascii="Calibri" w:hAnsi="Calibri" w:cs="Calibri"/>
          <w:sz w:val="24"/>
          <w:lang w:val="en-US"/>
        </w:rPr>
        <w:t xml:space="preserve"> AJ, et al. Yttrium-90 Radioembolization in Intrahepatic Cholangiocarcinoma: A Multicenter Retrospective Analysis. J </w:t>
      </w:r>
      <w:proofErr w:type="spellStart"/>
      <w:r w:rsidRPr="0056133B">
        <w:rPr>
          <w:rFonts w:ascii="Calibri" w:hAnsi="Calibri" w:cs="Calibri"/>
          <w:sz w:val="24"/>
          <w:lang w:val="en-US"/>
        </w:rPr>
        <w:t>Vasc</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Interv</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Radiol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2020;31:1035</w:t>
      </w:r>
      <w:proofErr w:type="gramEnd"/>
      <w:r w:rsidRPr="0056133B">
        <w:rPr>
          <w:rFonts w:ascii="Calibri" w:hAnsi="Calibri" w:cs="Calibri"/>
          <w:sz w:val="24"/>
          <w:lang w:val="en-US"/>
        </w:rPr>
        <w:t>-1043.e2. https://doi.org/10.1016/j.jvir.2020.02.008.</w:t>
      </w:r>
    </w:p>
    <w:p w14:paraId="3A84B330"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[18]</w:t>
      </w:r>
      <w:r w:rsidRPr="0056133B">
        <w:rPr>
          <w:rFonts w:ascii="Calibri" w:hAnsi="Calibri" w:cs="Calibri"/>
          <w:sz w:val="24"/>
          <w:lang w:val="en-US"/>
        </w:rPr>
        <w:tab/>
        <w:t xml:space="preserve">Bourien H, </w:t>
      </w:r>
      <w:proofErr w:type="spellStart"/>
      <w:r w:rsidRPr="0056133B">
        <w:rPr>
          <w:rFonts w:ascii="Calibri" w:hAnsi="Calibri" w:cs="Calibri"/>
          <w:sz w:val="24"/>
          <w:lang w:val="en-US"/>
        </w:rPr>
        <w:t>Palard</w:t>
      </w:r>
      <w:proofErr w:type="spellEnd"/>
      <w:r w:rsidRPr="0056133B">
        <w:rPr>
          <w:rFonts w:ascii="Calibri" w:hAnsi="Calibri" w:cs="Calibri"/>
          <w:sz w:val="24"/>
          <w:lang w:val="en-US"/>
        </w:rPr>
        <w:t xml:space="preserve"> X, Rolland Y, Le Du F, </w:t>
      </w:r>
      <w:proofErr w:type="spellStart"/>
      <w:r w:rsidRPr="0056133B">
        <w:rPr>
          <w:rFonts w:ascii="Calibri" w:hAnsi="Calibri" w:cs="Calibri"/>
          <w:sz w:val="24"/>
          <w:lang w:val="en-US"/>
        </w:rPr>
        <w:t>Beuzit</w:t>
      </w:r>
      <w:proofErr w:type="spellEnd"/>
      <w:r w:rsidRPr="0056133B">
        <w:rPr>
          <w:rFonts w:ascii="Calibri" w:hAnsi="Calibri" w:cs="Calibri"/>
          <w:sz w:val="24"/>
          <w:lang w:val="en-US"/>
        </w:rPr>
        <w:t xml:space="preserve"> L, Uguen T, et al. Yttrium-90 glass microspheres radioembolization (RE) for biliary tract cancer: a large single-center experience. </w:t>
      </w:r>
      <w:proofErr w:type="spellStart"/>
      <w:r w:rsidRPr="0056133B">
        <w:rPr>
          <w:rFonts w:ascii="Calibri" w:hAnsi="Calibri" w:cs="Calibri"/>
          <w:sz w:val="24"/>
          <w:lang w:val="en-US"/>
        </w:rPr>
        <w:t>Eur</w:t>
      </w:r>
      <w:proofErr w:type="spellEnd"/>
      <w:r w:rsidRPr="0056133B">
        <w:rPr>
          <w:rFonts w:ascii="Calibri" w:hAnsi="Calibri" w:cs="Calibri"/>
          <w:sz w:val="24"/>
          <w:lang w:val="en-US"/>
        </w:rPr>
        <w:t xml:space="preserve"> J </w:t>
      </w:r>
      <w:proofErr w:type="spellStart"/>
      <w:r w:rsidRPr="0056133B">
        <w:rPr>
          <w:rFonts w:ascii="Calibri" w:hAnsi="Calibri" w:cs="Calibri"/>
          <w:sz w:val="24"/>
          <w:lang w:val="en-US"/>
        </w:rPr>
        <w:t>Nucl</w:t>
      </w:r>
      <w:proofErr w:type="spellEnd"/>
      <w:r w:rsidRPr="0056133B">
        <w:rPr>
          <w:rFonts w:ascii="Calibri" w:hAnsi="Calibri" w:cs="Calibri"/>
          <w:sz w:val="24"/>
          <w:lang w:val="en-US"/>
        </w:rPr>
        <w:t xml:space="preserve"> Med </w:t>
      </w:r>
      <w:proofErr w:type="spellStart"/>
      <w:r w:rsidRPr="0056133B">
        <w:rPr>
          <w:rFonts w:ascii="Calibri" w:hAnsi="Calibri" w:cs="Calibri"/>
          <w:sz w:val="24"/>
          <w:lang w:val="en-US"/>
        </w:rPr>
        <w:t>Mol</w:t>
      </w:r>
      <w:proofErr w:type="spellEnd"/>
      <w:r w:rsidRPr="0056133B">
        <w:rPr>
          <w:rFonts w:ascii="Calibri" w:hAnsi="Calibri" w:cs="Calibri"/>
          <w:sz w:val="24"/>
          <w:lang w:val="en-US"/>
        </w:rPr>
        <w:t xml:space="preserve"> Imaging </w:t>
      </w:r>
      <w:proofErr w:type="gramStart"/>
      <w:r w:rsidRPr="0056133B">
        <w:rPr>
          <w:rFonts w:ascii="Calibri" w:hAnsi="Calibri" w:cs="Calibri"/>
          <w:sz w:val="24"/>
          <w:lang w:val="en-US"/>
        </w:rPr>
        <w:t>2019;46:669</w:t>
      </w:r>
      <w:proofErr w:type="gramEnd"/>
      <w:r w:rsidRPr="0056133B">
        <w:rPr>
          <w:rFonts w:ascii="Calibri" w:hAnsi="Calibri" w:cs="Calibri"/>
          <w:sz w:val="24"/>
          <w:lang w:val="en-US"/>
        </w:rPr>
        <w:t>–76. https://doi.org/10.1007/s00259-018-4199-5.</w:t>
      </w:r>
    </w:p>
    <w:p w14:paraId="0FDB02C5"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rPr>
        <w:t>[19]</w:t>
      </w:r>
      <w:r w:rsidRPr="0056133B">
        <w:rPr>
          <w:rFonts w:ascii="Calibri" w:hAnsi="Calibri" w:cs="Calibri"/>
          <w:sz w:val="24"/>
        </w:rPr>
        <w:tab/>
      </w:r>
      <w:proofErr w:type="spellStart"/>
      <w:r w:rsidRPr="0056133B">
        <w:rPr>
          <w:rFonts w:ascii="Calibri" w:hAnsi="Calibri" w:cs="Calibri"/>
          <w:sz w:val="24"/>
        </w:rPr>
        <w:t>Rayar</w:t>
      </w:r>
      <w:proofErr w:type="spellEnd"/>
      <w:r w:rsidRPr="0056133B">
        <w:rPr>
          <w:rFonts w:ascii="Calibri" w:hAnsi="Calibri" w:cs="Calibri"/>
          <w:sz w:val="24"/>
        </w:rPr>
        <w:t xml:space="preserve"> M, Sulpice L, Edeline J, Garin E, Levi </w:t>
      </w:r>
      <w:proofErr w:type="spellStart"/>
      <w:r w:rsidRPr="0056133B">
        <w:rPr>
          <w:rFonts w:ascii="Calibri" w:hAnsi="Calibri" w:cs="Calibri"/>
          <w:sz w:val="24"/>
        </w:rPr>
        <w:t>Sandri</w:t>
      </w:r>
      <w:proofErr w:type="spellEnd"/>
      <w:r w:rsidRPr="0056133B">
        <w:rPr>
          <w:rFonts w:ascii="Calibri" w:hAnsi="Calibri" w:cs="Calibri"/>
          <w:sz w:val="24"/>
        </w:rPr>
        <w:t xml:space="preserve"> GB, Meunier B, et al. </w:t>
      </w:r>
      <w:r w:rsidRPr="0056133B">
        <w:rPr>
          <w:rFonts w:ascii="Calibri" w:hAnsi="Calibri" w:cs="Calibri"/>
          <w:sz w:val="24"/>
          <w:lang w:val="en-US"/>
        </w:rPr>
        <w:t xml:space="preserve">Intra-arterial yttrium-90 radioembolization combined with systemic chemotherapy is </w:t>
      </w:r>
      <w:proofErr w:type="gramStart"/>
      <w:r w:rsidRPr="0056133B">
        <w:rPr>
          <w:rFonts w:ascii="Calibri" w:hAnsi="Calibri" w:cs="Calibri"/>
          <w:sz w:val="24"/>
          <w:lang w:val="en-US"/>
        </w:rPr>
        <w:t>a  promising</w:t>
      </w:r>
      <w:proofErr w:type="gramEnd"/>
      <w:r w:rsidRPr="0056133B">
        <w:rPr>
          <w:rFonts w:ascii="Calibri" w:hAnsi="Calibri" w:cs="Calibri"/>
          <w:sz w:val="24"/>
          <w:lang w:val="en-US"/>
        </w:rPr>
        <w:t xml:space="preserve"> method for downstaging unresectable huge intrahepatic cholangiocarcinoma  to surgical treatment. Ann </w:t>
      </w:r>
      <w:proofErr w:type="spellStart"/>
      <w:r w:rsidRPr="0056133B">
        <w:rPr>
          <w:rFonts w:ascii="Calibri" w:hAnsi="Calibri" w:cs="Calibri"/>
          <w:sz w:val="24"/>
          <w:lang w:val="en-US"/>
        </w:rPr>
        <w:t>Surg</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Oncol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2015;22:3102</w:t>
      </w:r>
      <w:proofErr w:type="gramEnd"/>
      <w:r w:rsidRPr="0056133B">
        <w:rPr>
          <w:rFonts w:ascii="Calibri" w:hAnsi="Calibri" w:cs="Calibri"/>
          <w:sz w:val="24"/>
          <w:lang w:val="en-US"/>
        </w:rPr>
        <w:t>–8. https://doi.org/10.1245/s10434-014-4365-3.</w:t>
      </w:r>
    </w:p>
    <w:p w14:paraId="600605B3"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[20]</w:t>
      </w:r>
      <w:r w:rsidRPr="0056133B">
        <w:rPr>
          <w:rFonts w:ascii="Calibri" w:hAnsi="Calibri" w:cs="Calibri"/>
          <w:sz w:val="24"/>
          <w:lang w:val="en-US"/>
        </w:rPr>
        <w:tab/>
        <w:t xml:space="preserve">Cho Y, Kim TH, </w:t>
      </w:r>
      <w:proofErr w:type="spellStart"/>
      <w:r w:rsidRPr="0056133B">
        <w:rPr>
          <w:rFonts w:ascii="Calibri" w:hAnsi="Calibri" w:cs="Calibri"/>
          <w:sz w:val="24"/>
          <w:lang w:val="en-US"/>
        </w:rPr>
        <w:t>Seong</w:t>
      </w:r>
      <w:proofErr w:type="spellEnd"/>
      <w:r w:rsidRPr="0056133B">
        <w:rPr>
          <w:rFonts w:ascii="Calibri" w:hAnsi="Calibri" w:cs="Calibri"/>
          <w:sz w:val="24"/>
          <w:lang w:val="en-US"/>
        </w:rPr>
        <w:t xml:space="preserve"> J. Improved oncologic outcome with </w:t>
      </w:r>
      <w:proofErr w:type="spellStart"/>
      <w:r w:rsidRPr="0056133B">
        <w:rPr>
          <w:rFonts w:ascii="Calibri" w:hAnsi="Calibri" w:cs="Calibri"/>
          <w:sz w:val="24"/>
          <w:lang w:val="en-US"/>
        </w:rPr>
        <w:t>chemoradiotherapy</w:t>
      </w:r>
      <w:proofErr w:type="spellEnd"/>
      <w:r w:rsidRPr="0056133B">
        <w:rPr>
          <w:rFonts w:ascii="Calibri" w:hAnsi="Calibri" w:cs="Calibri"/>
          <w:sz w:val="24"/>
          <w:lang w:val="en-US"/>
        </w:rPr>
        <w:t xml:space="preserve"> followed by surgery in unresectable intrahepatic cholangiocarcinoma. </w:t>
      </w:r>
      <w:proofErr w:type="spellStart"/>
      <w:r w:rsidRPr="0056133B">
        <w:rPr>
          <w:rFonts w:ascii="Calibri" w:hAnsi="Calibri" w:cs="Calibri"/>
          <w:sz w:val="24"/>
          <w:lang w:val="en-US"/>
        </w:rPr>
        <w:t>Strahlenther</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Onkol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2017;193:620</w:t>
      </w:r>
      <w:proofErr w:type="gramEnd"/>
      <w:r w:rsidRPr="0056133B">
        <w:rPr>
          <w:rFonts w:ascii="Calibri" w:hAnsi="Calibri" w:cs="Calibri"/>
          <w:sz w:val="24"/>
          <w:lang w:val="en-US"/>
        </w:rPr>
        <w:t>–9. https://doi.org/10.1007/s00066-017-1128-7.</w:t>
      </w:r>
    </w:p>
    <w:p w14:paraId="62157E77"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[21]</w:t>
      </w:r>
      <w:r w:rsidRPr="0056133B">
        <w:rPr>
          <w:rFonts w:ascii="Calibri" w:hAnsi="Calibri" w:cs="Calibri"/>
          <w:sz w:val="24"/>
          <w:lang w:val="en-US"/>
        </w:rPr>
        <w:tab/>
      </w:r>
      <w:proofErr w:type="spellStart"/>
      <w:r w:rsidRPr="0056133B">
        <w:rPr>
          <w:rFonts w:ascii="Calibri" w:hAnsi="Calibri" w:cs="Calibri"/>
          <w:sz w:val="24"/>
          <w:lang w:val="en-US"/>
        </w:rPr>
        <w:t>Riby</w:t>
      </w:r>
      <w:proofErr w:type="spellEnd"/>
      <w:r w:rsidRPr="0056133B">
        <w:rPr>
          <w:rFonts w:ascii="Calibri" w:hAnsi="Calibri" w:cs="Calibri"/>
          <w:sz w:val="24"/>
          <w:lang w:val="en-US"/>
        </w:rPr>
        <w:t xml:space="preserve"> D, Mazzotta AD, </w:t>
      </w:r>
      <w:proofErr w:type="spellStart"/>
      <w:r w:rsidRPr="0056133B">
        <w:rPr>
          <w:rFonts w:ascii="Calibri" w:hAnsi="Calibri" w:cs="Calibri"/>
          <w:sz w:val="24"/>
          <w:lang w:val="en-US"/>
        </w:rPr>
        <w:t>Bergeat</w:t>
      </w:r>
      <w:proofErr w:type="spellEnd"/>
      <w:r w:rsidRPr="0056133B">
        <w:rPr>
          <w:rFonts w:ascii="Calibri" w:hAnsi="Calibri" w:cs="Calibri"/>
          <w:sz w:val="24"/>
          <w:lang w:val="en-US"/>
        </w:rPr>
        <w:t xml:space="preserve"> D, Verdure L, </w:t>
      </w:r>
      <w:proofErr w:type="spellStart"/>
      <w:r w:rsidRPr="0056133B">
        <w:rPr>
          <w:rFonts w:ascii="Calibri" w:hAnsi="Calibri" w:cs="Calibri"/>
          <w:sz w:val="24"/>
          <w:lang w:val="en-US"/>
        </w:rPr>
        <w:t>Sulpice</w:t>
      </w:r>
      <w:proofErr w:type="spellEnd"/>
      <w:r w:rsidRPr="0056133B">
        <w:rPr>
          <w:rFonts w:ascii="Calibri" w:hAnsi="Calibri" w:cs="Calibri"/>
          <w:sz w:val="24"/>
          <w:lang w:val="en-US"/>
        </w:rPr>
        <w:t xml:space="preserve"> L, Bourien H, et al. Downstaging with Radioembolization or Chemotherapy for Initially Unresectable Intrahepatic Cholangiocarcinoma. Ann </w:t>
      </w:r>
      <w:proofErr w:type="spellStart"/>
      <w:r w:rsidRPr="0056133B">
        <w:rPr>
          <w:rFonts w:ascii="Calibri" w:hAnsi="Calibri" w:cs="Calibri"/>
          <w:sz w:val="24"/>
          <w:lang w:val="en-US"/>
        </w:rPr>
        <w:t>Surg</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Oncol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2020;27:3729</w:t>
      </w:r>
      <w:proofErr w:type="gramEnd"/>
      <w:r w:rsidRPr="0056133B">
        <w:rPr>
          <w:rFonts w:ascii="Calibri" w:hAnsi="Calibri" w:cs="Calibri"/>
          <w:sz w:val="24"/>
          <w:lang w:val="en-US"/>
        </w:rPr>
        <w:t>–37. https://doi.org/10.1245/s10434-020-08486-7.</w:t>
      </w:r>
    </w:p>
    <w:p w14:paraId="6DA17E49"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[22]</w:t>
      </w:r>
      <w:r w:rsidRPr="0056133B">
        <w:rPr>
          <w:rFonts w:ascii="Calibri" w:hAnsi="Calibri" w:cs="Calibri"/>
          <w:sz w:val="24"/>
          <w:lang w:val="en-US"/>
        </w:rPr>
        <w:tab/>
        <w:t xml:space="preserve">McNamara MG, Lopes A, </w:t>
      </w:r>
      <w:proofErr w:type="spellStart"/>
      <w:r w:rsidRPr="0056133B">
        <w:rPr>
          <w:rFonts w:ascii="Calibri" w:hAnsi="Calibri" w:cs="Calibri"/>
          <w:sz w:val="24"/>
          <w:lang w:val="en-US"/>
        </w:rPr>
        <w:t>Wasan</w:t>
      </w:r>
      <w:proofErr w:type="spellEnd"/>
      <w:r w:rsidRPr="0056133B">
        <w:rPr>
          <w:rFonts w:ascii="Calibri" w:hAnsi="Calibri" w:cs="Calibri"/>
          <w:sz w:val="24"/>
          <w:lang w:val="en-US"/>
        </w:rPr>
        <w:t xml:space="preserve"> H, Malka D, Goldstein D, Shannon J, et al. Landmark survival analysis and impact of anatomic site of origin in prospective clinical trials of biliary tract cancer. J </w:t>
      </w:r>
      <w:proofErr w:type="spellStart"/>
      <w:r w:rsidRPr="0056133B">
        <w:rPr>
          <w:rFonts w:ascii="Calibri" w:hAnsi="Calibri" w:cs="Calibri"/>
          <w:sz w:val="24"/>
          <w:lang w:val="en-US"/>
        </w:rPr>
        <w:t>Hepatol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2020;73:1109</w:t>
      </w:r>
      <w:proofErr w:type="gramEnd"/>
      <w:r w:rsidRPr="0056133B">
        <w:rPr>
          <w:rFonts w:ascii="Calibri" w:hAnsi="Calibri" w:cs="Calibri"/>
          <w:sz w:val="24"/>
          <w:lang w:val="en-US"/>
        </w:rPr>
        <w:t>–17. https://doi.org/10.1016/j.jhep.2020.05.014.</w:t>
      </w:r>
    </w:p>
    <w:p w14:paraId="6776954D"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[23]</w:t>
      </w:r>
      <w:r w:rsidRPr="0056133B">
        <w:rPr>
          <w:rFonts w:ascii="Calibri" w:hAnsi="Calibri" w:cs="Calibri"/>
          <w:sz w:val="24"/>
          <w:lang w:val="en-US"/>
        </w:rPr>
        <w:tab/>
      </w:r>
      <w:proofErr w:type="spellStart"/>
      <w:r w:rsidRPr="0056133B">
        <w:rPr>
          <w:rFonts w:ascii="Calibri" w:hAnsi="Calibri" w:cs="Calibri"/>
          <w:sz w:val="24"/>
          <w:lang w:val="en-US"/>
        </w:rPr>
        <w:t>Lamarca</w:t>
      </w:r>
      <w:proofErr w:type="spellEnd"/>
      <w:r w:rsidRPr="0056133B">
        <w:rPr>
          <w:rFonts w:ascii="Calibri" w:hAnsi="Calibri" w:cs="Calibri"/>
          <w:sz w:val="24"/>
          <w:lang w:val="en-US"/>
        </w:rPr>
        <w:t xml:space="preserve"> A, </w:t>
      </w:r>
      <w:proofErr w:type="spellStart"/>
      <w:r w:rsidRPr="0056133B">
        <w:rPr>
          <w:rFonts w:ascii="Calibri" w:hAnsi="Calibri" w:cs="Calibri"/>
          <w:sz w:val="24"/>
          <w:lang w:val="en-US"/>
        </w:rPr>
        <w:t>Barriuso</w:t>
      </w:r>
      <w:proofErr w:type="spellEnd"/>
      <w:r w:rsidRPr="0056133B">
        <w:rPr>
          <w:rFonts w:ascii="Calibri" w:hAnsi="Calibri" w:cs="Calibri"/>
          <w:sz w:val="24"/>
          <w:lang w:val="en-US"/>
        </w:rPr>
        <w:t xml:space="preserve"> J, McNamara MG, Valle JW. Molecular targeted therapies: Ready for “prime time” in biliary tract cancer. J </w:t>
      </w:r>
      <w:proofErr w:type="spellStart"/>
      <w:r w:rsidRPr="0056133B">
        <w:rPr>
          <w:rFonts w:ascii="Calibri" w:hAnsi="Calibri" w:cs="Calibri"/>
          <w:sz w:val="24"/>
          <w:lang w:val="en-US"/>
        </w:rPr>
        <w:t>Hepatol</w:t>
      </w:r>
      <w:proofErr w:type="spellEnd"/>
      <w:r w:rsidRPr="0056133B">
        <w:rPr>
          <w:rFonts w:ascii="Calibri" w:hAnsi="Calibri" w:cs="Calibri"/>
          <w:sz w:val="24"/>
          <w:lang w:val="en-US"/>
        </w:rPr>
        <w:t xml:space="preserve"> </w:t>
      </w:r>
      <w:proofErr w:type="gramStart"/>
      <w:r w:rsidRPr="0056133B">
        <w:rPr>
          <w:rFonts w:ascii="Calibri" w:hAnsi="Calibri" w:cs="Calibri"/>
          <w:sz w:val="24"/>
          <w:lang w:val="en-US"/>
        </w:rPr>
        <w:t>2020;73:170</w:t>
      </w:r>
      <w:proofErr w:type="gramEnd"/>
      <w:r w:rsidRPr="0056133B">
        <w:rPr>
          <w:rFonts w:ascii="Calibri" w:hAnsi="Calibri" w:cs="Calibri"/>
          <w:sz w:val="24"/>
          <w:lang w:val="en-US"/>
        </w:rPr>
        <w:t>–85. https://doi.org/10.1016/j.jhep.2020.03.007.</w:t>
      </w:r>
    </w:p>
    <w:p w14:paraId="4B4AA2A2" w14:textId="77777777" w:rsidR="0056133B" w:rsidRPr="0056133B" w:rsidRDefault="0056133B" w:rsidP="0056133B">
      <w:pPr>
        <w:pStyle w:val="Bibliographie"/>
        <w:rPr>
          <w:rFonts w:ascii="Calibri" w:hAnsi="Calibri" w:cs="Calibri"/>
          <w:sz w:val="24"/>
          <w:lang w:val="en-US"/>
        </w:rPr>
      </w:pPr>
      <w:r w:rsidRPr="0056133B">
        <w:rPr>
          <w:rFonts w:ascii="Calibri" w:hAnsi="Calibri" w:cs="Calibri"/>
          <w:sz w:val="24"/>
          <w:lang w:val="en-US"/>
        </w:rPr>
        <w:t>[24]</w:t>
      </w:r>
      <w:r w:rsidRPr="0056133B">
        <w:rPr>
          <w:rFonts w:ascii="Calibri" w:hAnsi="Calibri" w:cs="Calibri"/>
          <w:sz w:val="24"/>
          <w:lang w:val="en-US"/>
        </w:rPr>
        <w:tab/>
        <w:t xml:space="preserve">Salem R, Lewandowski RJ, Gates VL, Nutting CW, Murthy R, Rose SC, et al. Research reporting standards for radioembolization of hepatic malignancies. J </w:t>
      </w:r>
      <w:proofErr w:type="spellStart"/>
      <w:r w:rsidRPr="0056133B">
        <w:rPr>
          <w:rFonts w:ascii="Calibri" w:hAnsi="Calibri" w:cs="Calibri"/>
          <w:sz w:val="24"/>
          <w:lang w:val="en-US"/>
        </w:rPr>
        <w:t>Vasc</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Interv</w:t>
      </w:r>
      <w:proofErr w:type="spellEnd"/>
      <w:r w:rsidRPr="0056133B">
        <w:rPr>
          <w:rFonts w:ascii="Calibri" w:hAnsi="Calibri" w:cs="Calibri"/>
          <w:sz w:val="24"/>
          <w:lang w:val="en-US"/>
        </w:rPr>
        <w:t xml:space="preserve"> </w:t>
      </w:r>
      <w:proofErr w:type="spellStart"/>
      <w:r w:rsidRPr="0056133B">
        <w:rPr>
          <w:rFonts w:ascii="Calibri" w:hAnsi="Calibri" w:cs="Calibri"/>
          <w:sz w:val="24"/>
          <w:lang w:val="en-US"/>
        </w:rPr>
        <w:t>Radiol</w:t>
      </w:r>
      <w:proofErr w:type="spellEnd"/>
      <w:r w:rsidRPr="0056133B">
        <w:rPr>
          <w:rFonts w:ascii="Calibri" w:hAnsi="Calibri" w:cs="Calibri"/>
          <w:sz w:val="24"/>
          <w:lang w:val="en-US"/>
        </w:rPr>
        <w:t xml:space="preserve"> JVIR </w:t>
      </w:r>
      <w:proofErr w:type="gramStart"/>
      <w:r w:rsidRPr="0056133B">
        <w:rPr>
          <w:rFonts w:ascii="Calibri" w:hAnsi="Calibri" w:cs="Calibri"/>
          <w:sz w:val="24"/>
          <w:lang w:val="en-US"/>
        </w:rPr>
        <w:t>2011;22:265</w:t>
      </w:r>
      <w:proofErr w:type="gramEnd"/>
      <w:r w:rsidRPr="0056133B">
        <w:rPr>
          <w:rFonts w:ascii="Calibri" w:hAnsi="Calibri" w:cs="Calibri"/>
          <w:sz w:val="24"/>
          <w:lang w:val="en-US"/>
        </w:rPr>
        <w:t>–78. https://doi.org/10.1016/j.jvir.2010.10.029.</w:t>
      </w:r>
    </w:p>
    <w:p w14:paraId="094DFDC4" w14:textId="77777777" w:rsidR="0056133B" w:rsidRPr="0056133B" w:rsidRDefault="0056133B" w:rsidP="0056133B">
      <w:pPr>
        <w:pStyle w:val="Bibliographie"/>
        <w:rPr>
          <w:rFonts w:ascii="Calibri" w:hAnsi="Calibri" w:cs="Calibri"/>
          <w:sz w:val="24"/>
        </w:rPr>
      </w:pPr>
      <w:r w:rsidRPr="0056133B">
        <w:rPr>
          <w:rFonts w:ascii="Calibri" w:hAnsi="Calibri" w:cs="Calibri"/>
          <w:sz w:val="24"/>
          <w:lang w:val="en-US"/>
        </w:rPr>
        <w:lastRenderedPageBreak/>
        <w:t>[25]</w:t>
      </w:r>
      <w:r w:rsidRPr="0056133B">
        <w:rPr>
          <w:rFonts w:ascii="Calibri" w:hAnsi="Calibri" w:cs="Calibri"/>
          <w:sz w:val="24"/>
          <w:lang w:val="en-US"/>
        </w:rPr>
        <w:tab/>
        <w:t xml:space="preserve">Cucchetti A, Cappelli A, </w:t>
      </w:r>
      <w:proofErr w:type="spellStart"/>
      <w:r w:rsidRPr="0056133B">
        <w:rPr>
          <w:rFonts w:ascii="Calibri" w:hAnsi="Calibri" w:cs="Calibri"/>
          <w:sz w:val="24"/>
          <w:lang w:val="en-US"/>
        </w:rPr>
        <w:t>Mosconi</w:t>
      </w:r>
      <w:proofErr w:type="spellEnd"/>
      <w:r w:rsidRPr="0056133B">
        <w:rPr>
          <w:rFonts w:ascii="Calibri" w:hAnsi="Calibri" w:cs="Calibri"/>
          <w:sz w:val="24"/>
          <w:lang w:val="en-US"/>
        </w:rPr>
        <w:t xml:space="preserve"> C, Zhong J-H, </w:t>
      </w:r>
      <w:proofErr w:type="spellStart"/>
      <w:r w:rsidRPr="0056133B">
        <w:rPr>
          <w:rFonts w:ascii="Calibri" w:hAnsi="Calibri" w:cs="Calibri"/>
          <w:sz w:val="24"/>
          <w:lang w:val="en-US"/>
        </w:rPr>
        <w:t>Cescon</w:t>
      </w:r>
      <w:proofErr w:type="spellEnd"/>
      <w:r w:rsidRPr="0056133B">
        <w:rPr>
          <w:rFonts w:ascii="Calibri" w:hAnsi="Calibri" w:cs="Calibri"/>
          <w:sz w:val="24"/>
          <w:lang w:val="en-US"/>
        </w:rPr>
        <w:t xml:space="preserve"> M, Pinna AD, et al. Improving patient selection for selective internal radiation therapy of intra-hepatic cholangiocarcinoma: A meta-regression study. </w:t>
      </w:r>
      <w:proofErr w:type="spellStart"/>
      <w:r w:rsidRPr="0056133B">
        <w:rPr>
          <w:rFonts w:ascii="Calibri" w:hAnsi="Calibri" w:cs="Calibri"/>
          <w:sz w:val="24"/>
        </w:rPr>
        <w:t>Liver</w:t>
      </w:r>
      <w:proofErr w:type="spellEnd"/>
      <w:r w:rsidRPr="0056133B">
        <w:rPr>
          <w:rFonts w:ascii="Calibri" w:hAnsi="Calibri" w:cs="Calibri"/>
          <w:sz w:val="24"/>
        </w:rPr>
        <w:t xml:space="preserve"> Int </w:t>
      </w:r>
      <w:proofErr w:type="gramStart"/>
      <w:r w:rsidRPr="0056133B">
        <w:rPr>
          <w:rFonts w:ascii="Calibri" w:hAnsi="Calibri" w:cs="Calibri"/>
          <w:sz w:val="24"/>
        </w:rPr>
        <w:t>2017;</w:t>
      </w:r>
      <w:proofErr w:type="gramEnd"/>
      <w:r w:rsidRPr="0056133B">
        <w:rPr>
          <w:rFonts w:ascii="Calibri" w:hAnsi="Calibri" w:cs="Calibri"/>
          <w:sz w:val="24"/>
        </w:rPr>
        <w:t>37:1056–64. https://doi.org/10.1111/liv.13382.</w:t>
      </w:r>
    </w:p>
    <w:p w14:paraId="1B208E62" w14:textId="2C55BE09" w:rsidR="00F02F42" w:rsidRPr="00AD70F1" w:rsidRDefault="00F02F42" w:rsidP="00C11463">
      <w:pPr>
        <w:spacing w:line="480" w:lineRule="auto"/>
        <w:rPr>
          <w:sz w:val="24"/>
          <w:szCs w:val="24"/>
          <w:lang w:val="en-GB"/>
        </w:rPr>
      </w:pPr>
      <w:r w:rsidRPr="00326791">
        <w:rPr>
          <w:sz w:val="24"/>
          <w:szCs w:val="24"/>
          <w:lang w:val="en-GB"/>
        </w:rPr>
        <w:fldChar w:fldCharType="end"/>
      </w:r>
      <w:commentRangeEnd w:id="12"/>
      <w:r w:rsidR="002B146F" w:rsidRPr="00AE48B6">
        <w:rPr>
          <w:rStyle w:val="Marquedecommentaire"/>
          <w:lang w:val="en-GB"/>
        </w:rPr>
        <w:commentReference w:id="12"/>
      </w:r>
      <w:commentRangeEnd w:id="13"/>
      <w:r w:rsidR="00B930F4">
        <w:rPr>
          <w:rStyle w:val="Marquedecommentaire"/>
        </w:rPr>
        <w:commentReference w:id="13"/>
      </w:r>
    </w:p>
    <w:p w14:paraId="6A2EFAE6" w14:textId="77777777" w:rsidR="007B3C92" w:rsidRPr="00AD70F1" w:rsidRDefault="007B3C92" w:rsidP="008B291B">
      <w:pPr>
        <w:spacing w:line="480" w:lineRule="auto"/>
        <w:rPr>
          <w:sz w:val="24"/>
          <w:szCs w:val="24"/>
          <w:lang w:val="en-GB"/>
        </w:rPr>
      </w:pPr>
    </w:p>
    <w:p w14:paraId="4B030B36" w14:textId="77777777" w:rsidR="00645E43" w:rsidRPr="00326791" w:rsidRDefault="00645E43">
      <w:pPr>
        <w:rPr>
          <w:sz w:val="24"/>
          <w:szCs w:val="24"/>
          <w:lang w:val="en-GB"/>
        </w:rPr>
      </w:pPr>
      <w:r w:rsidRPr="00326791">
        <w:rPr>
          <w:sz w:val="24"/>
          <w:szCs w:val="24"/>
          <w:lang w:val="en-GB"/>
        </w:rPr>
        <w:br w:type="page"/>
      </w:r>
    </w:p>
    <w:p w14:paraId="4ED1E6A4" w14:textId="790FF51B" w:rsidR="00645E43" w:rsidRPr="00326791" w:rsidRDefault="00645E43" w:rsidP="00645E43">
      <w:pPr>
        <w:spacing w:line="480" w:lineRule="auto"/>
        <w:rPr>
          <w:sz w:val="24"/>
          <w:szCs w:val="24"/>
          <w:lang w:val="en-GB"/>
        </w:rPr>
      </w:pPr>
      <w:r w:rsidRPr="00326791">
        <w:rPr>
          <w:b/>
          <w:sz w:val="24"/>
          <w:szCs w:val="24"/>
          <w:lang w:val="en-GB"/>
        </w:rPr>
        <w:lastRenderedPageBreak/>
        <w:t>Table 1:</w:t>
      </w:r>
      <w:r w:rsidRPr="00326791">
        <w:rPr>
          <w:sz w:val="24"/>
          <w:szCs w:val="24"/>
          <w:lang w:val="en-GB"/>
        </w:rPr>
        <w:t xml:space="preserve"> </w:t>
      </w:r>
      <w:r w:rsidR="00761DD7">
        <w:rPr>
          <w:sz w:val="24"/>
          <w:szCs w:val="24"/>
          <w:lang w:val="en-GB"/>
        </w:rPr>
        <w:t>C</w:t>
      </w:r>
      <w:r w:rsidRPr="00326791">
        <w:rPr>
          <w:sz w:val="24"/>
          <w:szCs w:val="24"/>
          <w:lang w:val="en-GB"/>
        </w:rPr>
        <w:t>haracteristics of the studies included.</w:t>
      </w:r>
    </w:p>
    <w:tbl>
      <w:tblPr>
        <w:tblStyle w:val="Grilledutableau"/>
        <w:tblW w:w="9609" w:type="dxa"/>
        <w:tblLook w:val="0420" w:firstRow="1" w:lastRow="0" w:firstColumn="0" w:lastColumn="0" w:noHBand="0" w:noVBand="1"/>
      </w:tblPr>
      <w:tblGrid>
        <w:gridCol w:w="2078"/>
        <w:gridCol w:w="1385"/>
        <w:gridCol w:w="1139"/>
        <w:gridCol w:w="1256"/>
        <w:gridCol w:w="1256"/>
        <w:gridCol w:w="1241"/>
        <w:gridCol w:w="1254"/>
      </w:tblGrid>
      <w:tr w:rsidR="00645E43" w:rsidRPr="00AD70F1" w14:paraId="61ADEB37" w14:textId="77777777" w:rsidTr="00712F2E">
        <w:trPr>
          <w:trHeight w:val="659"/>
        </w:trPr>
        <w:tc>
          <w:tcPr>
            <w:tcW w:w="2078" w:type="dxa"/>
            <w:hideMark/>
          </w:tcPr>
          <w:p w14:paraId="6589FB1E" w14:textId="77777777" w:rsidR="00645E43" w:rsidRPr="00AE48B6" w:rsidRDefault="00645E43" w:rsidP="00712F2E">
            <w:pPr>
              <w:spacing w:line="360" w:lineRule="auto"/>
              <w:rPr>
                <w:lang w:val="en-GB"/>
              </w:rPr>
            </w:pPr>
          </w:p>
        </w:tc>
        <w:tc>
          <w:tcPr>
            <w:tcW w:w="1385" w:type="dxa"/>
            <w:hideMark/>
          </w:tcPr>
          <w:p w14:paraId="79738A0F" w14:textId="77777777" w:rsidR="00645E43" w:rsidRPr="00AE48B6" w:rsidRDefault="00645E43" w:rsidP="00712F2E">
            <w:pPr>
              <w:spacing w:line="360" w:lineRule="auto"/>
              <w:rPr>
                <w:lang w:val="en-GB"/>
              </w:rPr>
            </w:pPr>
            <w:r w:rsidRPr="00AE48B6">
              <w:rPr>
                <w:b/>
                <w:bCs/>
                <w:lang w:val="en-GB"/>
              </w:rPr>
              <w:t>All studies (n=93)</w:t>
            </w:r>
          </w:p>
        </w:tc>
        <w:tc>
          <w:tcPr>
            <w:tcW w:w="1139" w:type="dxa"/>
          </w:tcPr>
          <w:p w14:paraId="60844B52" w14:textId="77777777" w:rsidR="00645E43" w:rsidRPr="00AE48B6" w:rsidRDefault="00645E43" w:rsidP="00712F2E">
            <w:pPr>
              <w:spacing w:line="360" w:lineRule="auto"/>
              <w:rPr>
                <w:lang w:val="en-GB"/>
              </w:rPr>
            </w:pPr>
            <w:r w:rsidRPr="00AE48B6">
              <w:rPr>
                <w:b/>
                <w:bCs/>
                <w:lang w:val="en-GB"/>
              </w:rPr>
              <w:t xml:space="preserve">EBRT </w:t>
            </w:r>
          </w:p>
          <w:p w14:paraId="4E4A7BF4" w14:textId="77777777" w:rsidR="00645E43" w:rsidRPr="00AE48B6" w:rsidRDefault="00645E43" w:rsidP="00712F2E">
            <w:pPr>
              <w:spacing w:line="360" w:lineRule="auto"/>
              <w:rPr>
                <w:lang w:val="en-GB"/>
              </w:rPr>
            </w:pPr>
            <w:r w:rsidRPr="00AE48B6">
              <w:rPr>
                <w:b/>
                <w:bCs/>
                <w:lang w:val="en-GB"/>
              </w:rPr>
              <w:t>(n=17)</w:t>
            </w:r>
          </w:p>
        </w:tc>
        <w:tc>
          <w:tcPr>
            <w:tcW w:w="1256" w:type="dxa"/>
          </w:tcPr>
          <w:p w14:paraId="1A822073" w14:textId="77777777" w:rsidR="00645E43" w:rsidRPr="00AE48B6" w:rsidRDefault="00645E43" w:rsidP="00712F2E">
            <w:pPr>
              <w:spacing w:line="360" w:lineRule="auto"/>
              <w:rPr>
                <w:lang w:val="en-GB"/>
              </w:rPr>
            </w:pPr>
            <w:r w:rsidRPr="00AE48B6">
              <w:rPr>
                <w:b/>
                <w:bCs/>
                <w:lang w:val="en-GB"/>
              </w:rPr>
              <w:t>Ablation (n=14)</w:t>
            </w:r>
          </w:p>
        </w:tc>
        <w:tc>
          <w:tcPr>
            <w:tcW w:w="1256" w:type="dxa"/>
            <w:hideMark/>
          </w:tcPr>
          <w:p w14:paraId="0D23A955" w14:textId="77777777" w:rsidR="00645E43" w:rsidRPr="00AE48B6" w:rsidRDefault="00645E43" w:rsidP="00712F2E">
            <w:pPr>
              <w:spacing w:line="360" w:lineRule="auto"/>
              <w:rPr>
                <w:lang w:val="en-GB"/>
              </w:rPr>
            </w:pPr>
            <w:r w:rsidRPr="00AE48B6">
              <w:rPr>
                <w:b/>
                <w:bCs/>
                <w:lang w:val="en-GB"/>
              </w:rPr>
              <w:t xml:space="preserve">SIRT </w:t>
            </w:r>
          </w:p>
          <w:p w14:paraId="2C23D548" w14:textId="77777777" w:rsidR="00645E43" w:rsidRPr="00AE48B6" w:rsidRDefault="00645E43" w:rsidP="00712F2E">
            <w:pPr>
              <w:spacing w:line="360" w:lineRule="auto"/>
              <w:rPr>
                <w:lang w:val="en-GB"/>
              </w:rPr>
            </w:pPr>
            <w:r w:rsidRPr="00AE48B6">
              <w:rPr>
                <w:b/>
                <w:bCs/>
                <w:lang w:val="en-GB"/>
              </w:rPr>
              <w:t>(n=25)</w:t>
            </w:r>
          </w:p>
        </w:tc>
        <w:tc>
          <w:tcPr>
            <w:tcW w:w="1241" w:type="dxa"/>
            <w:hideMark/>
          </w:tcPr>
          <w:p w14:paraId="75B9F5DB" w14:textId="77777777" w:rsidR="00645E43" w:rsidRPr="00AE48B6" w:rsidRDefault="00645E43" w:rsidP="00712F2E">
            <w:pPr>
              <w:spacing w:line="360" w:lineRule="auto"/>
              <w:rPr>
                <w:b/>
                <w:bCs/>
                <w:lang w:val="en-GB"/>
              </w:rPr>
            </w:pPr>
            <w:r w:rsidRPr="00AE48B6">
              <w:rPr>
                <w:b/>
                <w:bCs/>
                <w:lang w:val="en-GB"/>
              </w:rPr>
              <w:t xml:space="preserve">TACE </w:t>
            </w:r>
          </w:p>
          <w:p w14:paraId="7A19D66E" w14:textId="77777777" w:rsidR="00645E43" w:rsidRPr="00AE48B6" w:rsidRDefault="00645E43" w:rsidP="00712F2E">
            <w:pPr>
              <w:spacing w:line="360" w:lineRule="auto"/>
              <w:rPr>
                <w:lang w:val="en-GB"/>
              </w:rPr>
            </w:pPr>
            <w:r w:rsidRPr="00AE48B6">
              <w:rPr>
                <w:b/>
                <w:bCs/>
                <w:lang w:val="en-GB"/>
              </w:rPr>
              <w:t>(n=20)</w:t>
            </w:r>
          </w:p>
        </w:tc>
        <w:tc>
          <w:tcPr>
            <w:tcW w:w="1254" w:type="dxa"/>
            <w:hideMark/>
          </w:tcPr>
          <w:p w14:paraId="4C442E2D" w14:textId="77777777" w:rsidR="00645E43" w:rsidRPr="00AE48B6" w:rsidRDefault="00645E43" w:rsidP="00712F2E">
            <w:pPr>
              <w:spacing w:line="360" w:lineRule="auto"/>
              <w:rPr>
                <w:lang w:val="en-GB"/>
              </w:rPr>
            </w:pPr>
            <w:r w:rsidRPr="00AE48B6">
              <w:rPr>
                <w:b/>
                <w:bCs/>
                <w:lang w:val="en-GB"/>
              </w:rPr>
              <w:t xml:space="preserve">HAI </w:t>
            </w:r>
          </w:p>
          <w:p w14:paraId="6EAC43B2" w14:textId="77777777" w:rsidR="00645E43" w:rsidRPr="00AE48B6" w:rsidRDefault="00645E43" w:rsidP="00712F2E">
            <w:pPr>
              <w:spacing w:line="360" w:lineRule="auto"/>
              <w:rPr>
                <w:lang w:val="en-GB"/>
              </w:rPr>
            </w:pPr>
            <w:r w:rsidRPr="00AE48B6">
              <w:rPr>
                <w:b/>
                <w:bCs/>
                <w:lang w:val="en-GB"/>
              </w:rPr>
              <w:t>(n=14)</w:t>
            </w:r>
          </w:p>
        </w:tc>
      </w:tr>
      <w:tr w:rsidR="00645E43" w:rsidRPr="00AD70F1" w14:paraId="2944786D" w14:textId="77777777" w:rsidTr="00712F2E">
        <w:trPr>
          <w:trHeight w:val="574"/>
        </w:trPr>
        <w:tc>
          <w:tcPr>
            <w:tcW w:w="2078" w:type="dxa"/>
            <w:hideMark/>
          </w:tcPr>
          <w:p w14:paraId="68257804" w14:textId="77777777" w:rsidR="00645E43" w:rsidRPr="00AE48B6" w:rsidRDefault="00645E43" w:rsidP="00712F2E">
            <w:pPr>
              <w:spacing w:line="360" w:lineRule="auto"/>
              <w:rPr>
                <w:lang w:val="en-GB"/>
              </w:rPr>
            </w:pPr>
            <w:r w:rsidRPr="00AE48B6">
              <w:rPr>
                <w:b/>
                <w:bCs/>
                <w:lang w:val="en-GB"/>
              </w:rPr>
              <w:t>Prospective trial</w:t>
            </w:r>
          </w:p>
        </w:tc>
        <w:tc>
          <w:tcPr>
            <w:tcW w:w="1385" w:type="dxa"/>
            <w:hideMark/>
          </w:tcPr>
          <w:p w14:paraId="007A25E5" w14:textId="77777777" w:rsidR="00645E43" w:rsidRPr="00AE48B6" w:rsidRDefault="00645E43" w:rsidP="00712F2E">
            <w:pPr>
              <w:spacing w:line="360" w:lineRule="auto"/>
              <w:rPr>
                <w:lang w:val="en-GB"/>
              </w:rPr>
            </w:pPr>
            <w:r w:rsidRPr="00AE48B6">
              <w:rPr>
                <w:b/>
                <w:bCs/>
                <w:lang w:val="en-GB"/>
              </w:rPr>
              <w:t>16 (17%)</w:t>
            </w:r>
          </w:p>
        </w:tc>
        <w:tc>
          <w:tcPr>
            <w:tcW w:w="1139" w:type="dxa"/>
          </w:tcPr>
          <w:p w14:paraId="690C8001" w14:textId="77777777" w:rsidR="00645E43" w:rsidRPr="00AE48B6" w:rsidRDefault="00645E43" w:rsidP="00712F2E">
            <w:pPr>
              <w:spacing w:line="360" w:lineRule="auto"/>
              <w:rPr>
                <w:lang w:val="en-GB"/>
              </w:rPr>
            </w:pPr>
            <w:r w:rsidRPr="00AE48B6">
              <w:rPr>
                <w:lang w:val="en-GB"/>
              </w:rPr>
              <w:t>3 (18%)</w:t>
            </w:r>
          </w:p>
        </w:tc>
        <w:tc>
          <w:tcPr>
            <w:tcW w:w="1256" w:type="dxa"/>
          </w:tcPr>
          <w:p w14:paraId="1F97A0F3" w14:textId="77777777" w:rsidR="00645E43" w:rsidRPr="00AE48B6" w:rsidRDefault="00645E43" w:rsidP="00712F2E">
            <w:pPr>
              <w:spacing w:line="360" w:lineRule="auto"/>
              <w:rPr>
                <w:lang w:val="en-GB"/>
              </w:rPr>
            </w:pPr>
            <w:r w:rsidRPr="00AE48B6">
              <w:rPr>
                <w:lang w:val="en-GB"/>
              </w:rPr>
              <w:t>0 (0%)</w:t>
            </w:r>
          </w:p>
        </w:tc>
        <w:tc>
          <w:tcPr>
            <w:tcW w:w="1256" w:type="dxa"/>
            <w:hideMark/>
          </w:tcPr>
          <w:p w14:paraId="17064F84" w14:textId="77777777" w:rsidR="00645E43" w:rsidRPr="00AE48B6" w:rsidRDefault="00645E43" w:rsidP="00712F2E">
            <w:pPr>
              <w:spacing w:line="360" w:lineRule="auto"/>
              <w:rPr>
                <w:lang w:val="en-GB"/>
              </w:rPr>
            </w:pPr>
            <w:r w:rsidRPr="00AE48B6">
              <w:rPr>
                <w:lang w:val="en-GB"/>
              </w:rPr>
              <w:t>2 (8%)</w:t>
            </w:r>
          </w:p>
        </w:tc>
        <w:tc>
          <w:tcPr>
            <w:tcW w:w="1241" w:type="dxa"/>
            <w:hideMark/>
          </w:tcPr>
          <w:p w14:paraId="68252822" w14:textId="77777777" w:rsidR="00645E43" w:rsidRPr="00AE48B6" w:rsidRDefault="00645E43" w:rsidP="00712F2E">
            <w:pPr>
              <w:spacing w:line="360" w:lineRule="auto"/>
              <w:rPr>
                <w:lang w:val="en-GB"/>
              </w:rPr>
            </w:pPr>
            <w:r w:rsidRPr="00AE48B6">
              <w:rPr>
                <w:lang w:val="en-GB"/>
              </w:rPr>
              <w:t>3 (15%)</w:t>
            </w:r>
          </w:p>
        </w:tc>
        <w:tc>
          <w:tcPr>
            <w:tcW w:w="1254" w:type="dxa"/>
            <w:hideMark/>
          </w:tcPr>
          <w:p w14:paraId="74818E7E" w14:textId="77777777" w:rsidR="00645E43" w:rsidRPr="00AE48B6" w:rsidRDefault="00645E43" w:rsidP="00712F2E">
            <w:pPr>
              <w:spacing w:line="360" w:lineRule="auto"/>
              <w:rPr>
                <w:lang w:val="en-GB"/>
              </w:rPr>
            </w:pPr>
            <w:r w:rsidRPr="00AE48B6">
              <w:rPr>
                <w:lang w:val="en-GB"/>
              </w:rPr>
              <w:t>7 (50%)</w:t>
            </w:r>
          </w:p>
        </w:tc>
      </w:tr>
      <w:tr w:rsidR="00645E43" w:rsidRPr="00AD70F1" w14:paraId="6EC2A240" w14:textId="77777777" w:rsidTr="00712F2E">
        <w:trPr>
          <w:trHeight w:val="574"/>
        </w:trPr>
        <w:tc>
          <w:tcPr>
            <w:tcW w:w="2078" w:type="dxa"/>
            <w:hideMark/>
          </w:tcPr>
          <w:p w14:paraId="42CCC2CB" w14:textId="77777777" w:rsidR="00645E43" w:rsidRPr="00AE48B6" w:rsidRDefault="00645E43" w:rsidP="00712F2E">
            <w:pPr>
              <w:spacing w:line="360" w:lineRule="auto"/>
              <w:rPr>
                <w:lang w:val="en-GB"/>
              </w:rPr>
            </w:pPr>
            <w:r w:rsidRPr="00AE48B6">
              <w:rPr>
                <w:b/>
                <w:bCs/>
                <w:lang w:val="en-GB"/>
              </w:rPr>
              <w:t>Prospective cohort</w:t>
            </w:r>
          </w:p>
        </w:tc>
        <w:tc>
          <w:tcPr>
            <w:tcW w:w="1385" w:type="dxa"/>
            <w:hideMark/>
          </w:tcPr>
          <w:p w14:paraId="4459AD61" w14:textId="77777777" w:rsidR="00645E43" w:rsidRPr="00AE48B6" w:rsidRDefault="00645E43" w:rsidP="00712F2E">
            <w:pPr>
              <w:spacing w:line="360" w:lineRule="auto"/>
              <w:rPr>
                <w:lang w:val="en-GB"/>
              </w:rPr>
            </w:pPr>
            <w:r w:rsidRPr="00AE48B6">
              <w:rPr>
                <w:b/>
                <w:bCs/>
                <w:lang w:val="en-GB"/>
              </w:rPr>
              <w:t>8 (9%)</w:t>
            </w:r>
          </w:p>
        </w:tc>
        <w:tc>
          <w:tcPr>
            <w:tcW w:w="1139" w:type="dxa"/>
          </w:tcPr>
          <w:p w14:paraId="3F5D2E97" w14:textId="77777777" w:rsidR="00645E43" w:rsidRPr="00AE48B6" w:rsidRDefault="00645E43" w:rsidP="00712F2E">
            <w:pPr>
              <w:spacing w:line="360" w:lineRule="auto"/>
              <w:rPr>
                <w:lang w:val="en-GB"/>
              </w:rPr>
            </w:pPr>
            <w:r w:rsidRPr="00AE48B6">
              <w:rPr>
                <w:lang w:val="en-GB"/>
              </w:rPr>
              <w:t>1 (6%)</w:t>
            </w:r>
          </w:p>
        </w:tc>
        <w:tc>
          <w:tcPr>
            <w:tcW w:w="1256" w:type="dxa"/>
          </w:tcPr>
          <w:p w14:paraId="74D13437" w14:textId="77777777" w:rsidR="00645E43" w:rsidRPr="00AE48B6" w:rsidRDefault="00645E43" w:rsidP="00712F2E">
            <w:pPr>
              <w:spacing w:line="360" w:lineRule="auto"/>
              <w:rPr>
                <w:lang w:val="en-GB"/>
              </w:rPr>
            </w:pPr>
            <w:r w:rsidRPr="00AE48B6">
              <w:rPr>
                <w:lang w:val="en-GB"/>
              </w:rPr>
              <w:t>2 (14%)</w:t>
            </w:r>
          </w:p>
        </w:tc>
        <w:tc>
          <w:tcPr>
            <w:tcW w:w="1256" w:type="dxa"/>
            <w:hideMark/>
          </w:tcPr>
          <w:p w14:paraId="18CD0843" w14:textId="77777777" w:rsidR="00645E43" w:rsidRPr="00AE48B6" w:rsidRDefault="00645E43" w:rsidP="00712F2E">
            <w:pPr>
              <w:spacing w:line="360" w:lineRule="auto"/>
              <w:rPr>
                <w:lang w:val="en-GB"/>
              </w:rPr>
            </w:pPr>
            <w:r w:rsidRPr="00AE48B6">
              <w:rPr>
                <w:lang w:val="en-GB"/>
              </w:rPr>
              <w:t>3 (12%)</w:t>
            </w:r>
          </w:p>
        </w:tc>
        <w:tc>
          <w:tcPr>
            <w:tcW w:w="1241" w:type="dxa"/>
            <w:hideMark/>
          </w:tcPr>
          <w:p w14:paraId="0CC2A392" w14:textId="77777777" w:rsidR="00645E43" w:rsidRPr="00AE48B6" w:rsidRDefault="00645E43" w:rsidP="00712F2E">
            <w:pPr>
              <w:spacing w:line="360" w:lineRule="auto"/>
              <w:rPr>
                <w:lang w:val="en-GB"/>
              </w:rPr>
            </w:pPr>
            <w:r w:rsidRPr="00AE48B6">
              <w:rPr>
                <w:lang w:val="en-GB"/>
              </w:rPr>
              <w:t>2 (10%)</w:t>
            </w:r>
          </w:p>
        </w:tc>
        <w:tc>
          <w:tcPr>
            <w:tcW w:w="1254" w:type="dxa"/>
            <w:hideMark/>
          </w:tcPr>
          <w:p w14:paraId="2209D87B" w14:textId="77777777" w:rsidR="00645E43" w:rsidRPr="00AE48B6" w:rsidRDefault="00645E43" w:rsidP="00712F2E">
            <w:pPr>
              <w:spacing w:line="360" w:lineRule="auto"/>
              <w:rPr>
                <w:lang w:val="en-GB"/>
              </w:rPr>
            </w:pPr>
            <w:r w:rsidRPr="00AE48B6">
              <w:rPr>
                <w:lang w:val="en-GB"/>
              </w:rPr>
              <w:t>0 (0%)</w:t>
            </w:r>
          </w:p>
        </w:tc>
      </w:tr>
      <w:tr w:rsidR="00645E43" w:rsidRPr="00AD70F1" w14:paraId="151BC2B0" w14:textId="77777777" w:rsidTr="00712F2E">
        <w:trPr>
          <w:trHeight w:val="574"/>
        </w:trPr>
        <w:tc>
          <w:tcPr>
            <w:tcW w:w="2078" w:type="dxa"/>
            <w:hideMark/>
          </w:tcPr>
          <w:p w14:paraId="3BD75A9A" w14:textId="77777777" w:rsidR="00645E43" w:rsidRPr="00AE48B6" w:rsidRDefault="00645E43" w:rsidP="00712F2E">
            <w:pPr>
              <w:spacing w:line="360" w:lineRule="auto"/>
              <w:rPr>
                <w:lang w:val="en-GB"/>
              </w:rPr>
            </w:pPr>
            <w:r w:rsidRPr="00AE48B6">
              <w:rPr>
                <w:b/>
                <w:bCs/>
                <w:lang w:val="en-GB"/>
              </w:rPr>
              <w:t>Retrospective study</w:t>
            </w:r>
          </w:p>
        </w:tc>
        <w:tc>
          <w:tcPr>
            <w:tcW w:w="1385" w:type="dxa"/>
            <w:hideMark/>
          </w:tcPr>
          <w:p w14:paraId="4FBB8868" w14:textId="77777777" w:rsidR="00645E43" w:rsidRPr="00AE48B6" w:rsidRDefault="00645E43" w:rsidP="00712F2E">
            <w:pPr>
              <w:spacing w:line="360" w:lineRule="auto"/>
              <w:rPr>
                <w:lang w:val="en-GB"/>
              </w:rPr>
            </w:pPr>
            <w:r w:rsidRPr="00AE48B6">
              <w:rPr>
                <w:b/>
                <w:bCs/>
                <w:lang w:val="en-GB"/>
              </w:rPr>
              <w:t>69 (74%)</w:t>
            </w:r>
          </w:p>
        </w:tc>
        <w:tc>
          <w:tcPr>
            <w:tcW w:w="1139" w:type="dxa"/>
          </w:tcPr>
          <w:p w14:paraId="686CDC0A" w14:textId="77777777" w:rsidR="00645E43" w:rsidRPr="00AE48B6" w:rsidRDefault="00645E43" w:rsidP="00712F2E">
            <w:pPr>
              <w:spacing w:line="360" w:lineRule="auto"/>
              <w:rPr>
                <w:lang w:val="en-GB"/>
              </w:rPr>
            </w:pPr>
            <w:r w:rsidRPr="00AE48B6">
              <w:rPr>
                <w:lang w:val="en-GB"/>
              </w:rPr>
              <w:t>13 (77%)</w:t>
            </w:r>
          </w:p>
        </w:tc>
        <w:tc>
          <w:tcPr>
            <w:tcW w:w="1256" w:type="dxa"/>
          </w:tcPr>
          <w:p w14:paraId="334258CE" w14:textId="77777777" w:rsidR="00645E43" w:rsidRPr="00AE48B6" w:rsidRDefault="00645E43" w:rsidP="00712F2E">
            <w:pPr>
              <w:spacing w:line="360" w:lineRule="auto"/>
              <w:rPr>
                <w:lang w:val="en-GB"/>
              </w:rPr>
            </w:pPr>
            <w:r w:rsidRPr="00AE48B6">
              <w:rPr>
                <w:lang w:val="en-GB"/>
              </w:rPr>
              <w:t>12 (86%)</w:t>
            </w:r>
          </w:p>
        </w:tc>
        <w:tc>
          <w:tcPr>
            <w:tcW w:w="1256" w:type="dxa"/>
            <w:hideMark/>
          </w:tcPr>
          <w:p w14:paraId="1355A344" w14:textId="77777777" w:rsidR="00645E43" w:rsidRPr="00AE48B6" w:rsidRDefault="00645E43" w:rsidP="00712F2E">
            <w:pPr>
              <w:spacing w:line="360" w:lineRule="auto"/>
              <w:rPr>
                <w:lang w:val="en-GB"/>
              </w:rPr>
            </w:pPr>
            <w:r w:rsidRPr="00AE48B6">
              <w:rPr>
                <w:lang w:val="en-GB"/>
              </w:rPr>
              <w:t>20 (80%)</w:t>
            </w:r>
          </w:p>
        </w:tc>
        <w:tc>
          <w:tcPr>
            <w:tcW w:w="1241" w:type="dxa"/>
            <w:hideMark/>
          </w:tcPr>
          <w:p w14:paraId="576525AB" w14:textId="77777777" w:rsidR="00645E43" w:rsidRPr="00AE48B6" w:rsidRDefault="00645E43" w:rsidP="00712F2E">
            <w:pPr>
              <w:spacing w:line="360" w:lineRule="auto"/>
              <w:rPr>
                <w:lang w:val="en-GB"/>
              </w:rPr>
            </w:pPr>
            <w:r w:rsidRPr="00AE48B6">
              <w:rPr>
                <w:lang w:val="en-GB"/>
              </w:rPr>
              <w:t>15 (75%)</w:t>
            </w:r>
          </w:p>
        </w:tc>
        <w:tc>
          <w:tcPr>
            <w:tcW w:w="1254" w:type="dxa"/>
            <w:hideMark/>
          </w:tcPr>
          <w:p w14:paraId="5E62F347" w14:textId="77777777" w:rsidR="00645E43" w:rsidRPr="00AE48B6" w:rsidRDefault="00645E43" w:rsidP="00712F2E">
            <w:pPr>
              <w:spacing w:line="360" w:lineRule="auto"/>
              <w:rPr>
                <w:lang w:val="en-GB"/>
              </w:rPr>
            </w:pPr>
            <w:r w:rsidRPr="00AE48B6">
              <w:rPr>
                <w:lang w:val="en-GB"/>
              </w:rPr>
              <w:t>7 (50%)</w:t>
            </w:r>
          </w:p>
        </w:tc>
      </w:tr>
      <w:tr w:rsidR="00645E43" w:rsidRPr="00AD70F1" w14:paraId="234CC791" w14:textId="77777777" w:rsidTr="00712F2E">
        <w:trPr>
          <w:trHeight w:val="574"/>
        </w:trPr>
        <w:tc>
          <w:tcPr>
            <w:tcW w:w="2078" w:type="dxa"/>
            <w:hideMark/>
          </w:tcPr>
          <w:p w14:paraId="65088FE2" w14:textId="743B08F6" w:rsidR="00645E43" w:rsidRPr="00AE48B6" w:rsidRDefault="00645E43" w:rsidP="00761DD7">
            <w:pPr>
              <w:spacing w:line="360" w:lineRule="auto"/>
              <w:rPr>
                <w:lang w:val="en-GB"/>
              </w:rPr>
            </w:pPr>
            <w:r w:rsidRPr="00AE48B6">
              <w:rPr>
                <w:b/>
                <w:bCs/>
                <w:lang w:val="en-GB"/>
              </w:rPr>
              <w:t>Multicent</w:t>
            </w:r>
            <w:r w:rsidR="00761DD7">
              <w:rPr>
                <w:b/>
                <w:bCs/>
                <w:lang w:val="en-GB"/>
              </w:rPr>
              <w:t>re</w:t>
            </w:r>
          </w:p>
        </w:tc>
        <w:tc>
          <w:tcPr>
            <w:tcW w:w="1385" w:type="dxa"/>
            <w:hideMark/>
          </w:tcPr>
          <w:p w14:paraId="1484C8EA" w14:textId="77777777" w:rsidR="00645E43" w:rsidRPr="00AE48B6" w:rsidRDefault="00645E43" w:rsidP="00712F2E">
            <w:pPr>
              <w:spacing w:line="360" w:lineRule="auto"/>
              <w:rPr>
                <w:lang w:val="en-GB"/>
              </w:rPr>
            </w:pPr>
            <w:r w:rsidRPr="00AE48B6">
              <w:rPr>
                <w:b/>
                <w:bCs/>
                <w:lang w:val="en-GB"/>
              </w:rPr>
              <w:t>23 (25%)</w:t>
            </w:r>
          </w:p>
        </w:tc>
        <w:tc>
          <w:tcPr>
            <w:tcW w:w="1139" w:type="dxa"/>
          </w:tcPr>
          <w:p w14:paraId="451C7D7E" w14:textId="77777777" w:rsidR="00645E43" w:rsidRPr="00AE48B6" w:rsidRDefault="00645E43" w:rsidP="00712F2E">
            <w:pPr>
              <w:spacing w:line="360" w:lineRule="auto"/>
              <w:rPr>
                <w:lang w:val="en-GB"/>
              </w:rPr>
            </w:pPr>
            <w:r w:rsidRPr="00AE48B6">
              <w:rPr>
                <w:lang w:val="en-GB"/>
              </w:rPr>
              <w:t>4 (24%)</w:t>
            </w:r>
          </w:p>
        </w:tc>
        <w:tc>
          <w:tcPr>
            <w:tcW w:w="1256" w:type="dxa"/>
          </w:tcPr>
          <w:p w14:paraId="7107255C" w14:textId="77777777" w:rsidR="00645E43" w:rsidRPr="00AE48B6" w:rsidRDefault="00645E43" w:rsidP="00712F2E">
            <w:pPr>
              <w:spacing w:line="360" w:lineRule="auto"/>
              <w:rPr>
                <w:lang w:val="en-GB"/>
              </w:rPr>
            </w:pPr>
            <w:r w:rsidRPr="00AE48B6">
              <w:rPr>
                <w:lang w:val="en-GB"/>
              </w:rPr>
              <w:t>1 (7%)</w:t>
            </w:r>
          </w:p>
        </w:tc>
        <w:tc>
          <w:tcPr>
            <w:tcW w:w="1256" w:type="dxa"/>
            <w:hideMark/>
          </w:tcPr>
          <w:p w14:paraId="3A312B6A" w14:textId="77777777" w:rsidR="00645E43" w:rsidRPr="00AE48B6" w:rsidRDefault="00645E43" w:rsidP="00712F2E">
            <w:pPr>
              <w:spacing w:line="360" w:lineRule="auto"/>
              <w:rPr>
                <w:lang w:val="en-GB"/>
              </w:rPr>
            </w:pPr>
            <w:r w:rsidRPr="00AE48B6">
              <w:rPr>
                <w:lang w:val="en-GB"/>
              </w:rPr>
              <w:t>6 (24%)</w:t>
            </w:r>
          </w:p>
        </w:tc>
        <w:tc>
          <w:tcPr>
            <w:tcW w:w="1241" w:type="dxa"/>
            <w:hideMark/>
          </w:tcPr>
          <w:p w14:paraId="0B5B580E" w14:textId="77777777" w:rsidR="00645E43" w:rsidRPr="00AE48B6" w:rsidRDefault="00645E43" w:rsidP="00712F2E">
            <w:pPr>
              <w:spacing w:line="360" w:lineRule="auto"/>
              <w:rPr>
                <w:lang w:val="en-GB"/>
              </w:rPr>
            </w:pPr>
            <w:r w:rsidRPr="00AE48B6">
              <w:rPr>
                <w:lang w:val="en-GB"/>
              </w:rPr>
              <w:t>9 (45%)</w:t>
            </w:r>
          </w:p>
        </w:tc>
        <w:tc>
          <w:tcPr>
            <w:tcW w:w="1254" w:type="dxa"/>
            <w:hideMark/>
          </w:tcPr>
          <w:p w14:paraId="4A4DBCB2" w14:textId="77777777" w:rsidR="00645E43" w:rsidRPr="00AE48B6" w:rsidRDefault="00645E43" w:rsidP="00712F2E">
            <w:pPr>
              <w:spacing w:line="360" w:lineRule="auto"/>
              <w:rPr>
                <w:lang w:val="en-GB"/>
              </w:rPr>
            </w:pPr>
            <w:r w:rsidRPr="00AE48B6">
              <w:rPr>
                <w:lang w:val="en-GB"/>
              </w:rPr>
              <w:t>3 (21%)</w:t>
            </w:r>
          </w:p>
        </w:tc>
      </w:tr>
      <w:tr w:rsidR="00645E43" w:rsidRPr="00AD70F1" w14:paraId="6917AB45" w14:textId="77777777" w:rsidTr="00712F2E">
        <w:trPr>
          <w:trHeight w:val="574"/>
        </w:trPr>
        <w:tc>
          <w:tcPr>
            <w:tcW w:w="2078" w:type="dxa"/>
            <w:hideMark/>
          </w:tcPr>
          <w:p w14:paraId="5390C36A" w14:textId="77777777" w:rsidR="00645E43" w:rsidRPr="00AE48B6" w:rsidRDefault="00645E43" w:rsidP="00712F2E">
            <w:pPr>
              <w:spacing w:line="360" w:lineRule="auto"/>
              <w:rPr>
                <w:lang w:val="en-GB"/>
              </w:rPr>
            </w:pPr>
            <w:r w:rsidRPr="00AE48B6">
              <w:rPr>
                <w:b/>
                <w:bCs/>
                <w:lang w:val="en-GB"/>
              </w:rPr>
              <w:t>No or inadequate control group</w:t>
            </w:r>
          </w:p>
        </w:tc>
        <w:tc>
          <w:tcPr>
            <w:tcW w:w="1385" w:type="dxa"/>
            <w:hideMark/>
          </w:tcPr>
          <w:p w14:paraId="73A5AD1F" w14:textId="77777777" w:rsidR="00645E43" w:rsidRPr="00AE48B6" w:rsidRDefault="00645E43" w:rsidP="00712F2E">
            <w:pPr>
              <w:spacing w:line="360" w:lineRule="auto"/>
              <w:rPr>
                <w:lang w:val="en-GB"/>
              </w:rPr>
            </w:pPr>
            <w:r w:rsidRPr="00AE48B6">
              <w:rPr>
                <w:b/>
                <w:bCs/>
                <w:lang w:val="en-GB"/>
              </w:rPr>
              <w:t>86 (93%)</w:t>
            </w:r>
          </w:p>
        </w:tc>
        <w:tc>
          <w:tcPr>
            <w:tcW w:w="1139" w:type="dxa"/>
          </w:tcPr>
          <w:p w14:paraId="35EF6284" w14:textId="77777777" w:rsidR="00645E43" w:rsidRPr="00AE48B6" w:rsidRDefault="00645E43" w:rsidP="00712F2E">
            <w:pPr>
              <w:spacing w:line="360" w:lineRule="auto"/>
              <w:rPr>
                <w:lang w:val="en-GB"/>
              </w:rPr>
            </w:pPr>
            <w:r w:rsidRPr="00AE48B6">
              <w:rPr>
                <w:lang w:val="en-GB"/>
              </w:rPr>
              <w:t>15 (88%)</w:t>
            </w:r>
          </w:p>
        </w:tc>
        <w:tc>
          <w:tcPr>
            <w:tcW w:w="1256" w:type="dxa"/>
          </w:tcPr>
          <w:p w14:paraId="3BA33D4B" w14:textId="77777777" w:rsidR="00645E43" w:rsidRPr="00AE48B6" w:rsidRDefault="00645E43" w:rsidP="00712F2E">
            <w:pPr>
              <w:spacing w:line="360" w:lineRule="auto"/>
              <w:rPr>
                <w:lang w:val="en-GB"/>
              </w:rPr>
            </w:pPr>
            <w:r w:rsidRPr="00AE48B6">
              <w:rPr>
                <w:lang w:val="en-GB"/>
              </w:rPr>
              <w:t>12 (86%)</w:t>
            </w:r>
          </w:p>
        </w:tc>
        <w:tc>
          <w:tcPr>
            <w:tcW w:w="1256" w:type="dxa"/>
            <w:hideMark/>
          </w:tcPr>
          <w:p w14:paraId="007329D6" w14:textId="77777777" w:rsidR="00645E43" w:rsidRPr="00AE48B6" w:rsidRDefault="00645E43" w:rsidP="00712F2E">
            <w:pPr>
              <w:spacing w:line="360" w:lineRule="auto"/>
              <w:rPr>
                <w:lang w:val="en-GB"/>
              </w:rPr>
            </w:pPr>
            <w:r w:rsidRPr="00AE48B6">
              <w:rPr>
                <w:lang w:val="en-GB"/>
              </w:rPr>
              <w:t>25 (100%)</w:t>
            </w:r>
          </w:p>
        </w:tc>
        <w:tc>
          <w:tcPr>
            <w:tcW w:w="1241" w:type="dxa"/>
            <w:hideMark/>
          </w:tcPr>
          <w:p w14:paraId="5D18A413" w14:textId="77777777" w:rsidR="00645E43" w:rsidRPr="00AE48B6" w:rsidRDefault="00645E43" w:rsidP="00712F2E">
            <w:pPr>
              <w:spacing w:line="360" w:lineRule="auto"/>
              <w:rPr>
                <w:lang w:val="en-GB"/>
              </w:rPr>
            </w:pPr>
            <w:r w:rsidRPr="00AE48B6">
              <w:rPr>
                <w:lang w:val="en-GB"/>
              </w:rPr>
              <w:t>18 (90%)</w:t>
            </w:r>
          </w:p>
        </w:tc>
        <w:tc>
          <w:tcPr>
            <w:tcW w:w="1254" w:type="dxa"/>
            <w:hideMark/>
          </w:tcPr>
          <w:p w14:paraId="155B42A0" w14:textId="77777777" w:rsidR="00645E43" w:rsidRPr="00AE48B6" w:rsidRDefault="00645E43" w:rsidP="00712F2E">
            <w:pPr>
              <w:spacing w:line="360" w:lineRule="auto"/>
              <w:rPr>
                <w:lang w:val="en-GB"/>
              </w:rPr>
            </w:pPr>
            <w:r w:rsidRPr="00AE48B6">
              <w:rPr>
                <w:lang w:val="en-GB"/>
              </w:rPr>
              <w:t>13 (93%)</w:t>
            </w:r>
          </w:p>
        </w:tc>
      </w:tr>
      <w:tr w:rsidR="00645E43" w:rsidRPr="00AD70F1" w14:paraId="1647EFE4" w14:textId="77777777" w:rsidTr="00712F2E">
        <w:trPr>
          <w:trHeight w:val="574"/>
        </w:trPr>
        <w:tc>
          <w:tcPr>
            <w:tcW w:w="2078" w:type="dxa"/>
            <w:hideMark/>
          </w:tcPr>
          <w:p w14:paraId="4C126A48" w14:textId="17D3C4D3" w:rsidR="00645E43" w:rsidRPr="00AE48B6" w:rsidRDefault="00645E43" w:rsidP="00712F2E">
            <w:pPr>
              <w:spacing w:line="360" w:lineRule="auto"/>
              <w:rPr>
                <w:lang w:val="en-GB"/>
              </w:rPr>
            </w:pPr>
            <w:r w:rsidRPr="00AE48B6">
              <w:rPr>
                <w:b/>
                <w:bCs/>
                <w:lang w:val="en-GB"/>
              </w:rPr>
              <w:t>Adequate not randomi</w:t>
            </w:r>
            <w:r w:rsidR="006C3226">
              <w:rPr>
                <w:b/>
                <w:bCs/>
                <w:lang w:val="en-GB"/>
              </w:rPr>
              <w:t>s</w:t>
            </w:r>
            <w:r w:rsidRPr="00AE48B6">
              <w:rPr>
                <w:b/>
                <w:bCs/>
                <w:lang w:val="en-GB"/>
              </w:rPr>
              <w:t>ed</w:t>
            </w:r>
          </w:p>
        </w:tc>
        <w:tc>
          <w:tcPr>
            <w:tcW w:w="1385" w:type="dxa"/>
            <w:hideMark/>
          </w:tcPr>
          <w:p w14:paraId="79841B6D" w14:textId="77777777" w:rsidR="00645E43" w:rsidRPr="00AE48B6" w:rsidRDefault="00645E43" w:rsidP="00712F2E">
            <w:pPr>
              <w:spacing w:line="360" w:lineRule="auto"/>
              <w:rPr>
                <w:lang w:val="en-GB"/>
              </w:rPr>
            </w:pPr>
            <w:r w:rsidRPr="00AE48B6">
              <w:rPr>
                <w:b/>
                <w:bCs/>
                <w:lang w:val="en-GB"/>
              </w:rPr>
              <w:t>6 (7%)</w:t>
            </w:r>
          </w:p>
        </w:tc>
        <w:tc>
          <w:tcPr>
            <w:tcW w:w="1139" w:type="dxa"/>
          </w:tcPr>
          <w:p w14:paraId="5C1D2B8B" w14:textId="77777777" w:rsidR="00645E43" w:rsidRPr="00AE48B6" w:rsidRDefault="00645E43" w:rsidP="00712F2E">
            <w:pPr>
              <w:spacing w:line="360" w:lineRule="auto"/>
              <w:rPr>
                <w:lang w:val="en-GB"/>
              </w:rPr>
            </w:pPr>
            <w:r w:rsidRPr="00AE48B6">
              <w:rPr>
                <w:lang w:val="en-GB"/>
              </w:rPr>
              <w:t>2 (12%)</w:t>
            </w:r>
          </w:p>
        </w:tc>
        <w:tc>
          <w:tcPr>
            <w:tcW w:w="1256" w:type="dxa"/>
          </w:tcPr>
          <w:p w14:paraId="661C5294" w14:textId="77777777" w:rsidR="00645E43" w:rsidRPr="00AE48B6" w:rsidRDefault="00645E43" w:rsidP="00712F2E">
            <w:pPr>
              <w:spacing w:line="360" w:lineRule="auto"/>
              <w:rPr>
                <w:lang w:val="en-GB"/>
              </w:rPr>
            </w:pPr>
            <w:r w:rsidRPr="00AE48B6">
              <w:rPr>
                <w:lang w:val="en-GB"/>
              </w:rPr>
              <w:t>2 (14%)</w:t>
            </w:r>
          </w:p>
        </w:tc>
        <w:tc>
          <w:tcPr>
            <w:tcW w:w="1256" w:type="dxa"/>
            <w:hideMark/>
          </w:tcPr>
          <w:p w14:paraId="6798E4DC" w14:textId="77777777" w:rsidR="00645E43" w:rsidRPr="00AE48B6" w:rsidRDefault="00645E43" w:rsidP="00712F2E">
            <w:pPr>
              <w:spacing w:line="360" w:lineRule="auto"/>
              <w:rPr>
                <w:lang w:val="en-GB"/>
              </w:rPr>
            </w:pPr>
            <w:r w:rsidRPr="00AE48B6">
              <w:rPr>
                <w:lang w:val="en-GB"/>
              </w:rPr>
              <w:t>0 (0%)</w:t>
            </w:r>
          </w:p>
        </w:tc>
        <w:tc>
          <w:tcPr>
            <w:tcW w:w="1241" w:type="dxa"/>
            <w:hideMark/>
          </w:tcPr>
          <w:p w14:paraId="6F90B7BE" w14:textId="77777777" w:rsidR="00645E43" w:rsidRPr="00AE48B6" w:rsidRDefault="00645E43" w:rsidP="00712F2E">
            <w:pPr>
              <w:spacing w:line="360" w:lineRule="auto"/>
              <w:rPr>
                <w:lang w:val="en-GB"/>
              </w:rPr>
            </w:pPr>
            <w:r w:rsidRPr="00AE48B6">
              <w:rPr>
                <w:lang w:val="en-GB"/>
              </w:rPr>
              <w:t>1 (5%)</w:t>
            </w:r>
          </w:p>
        </w:tc>
        <w:tc>
          <w:tcPr>
            <w:tcW w:w="1254" w:type="dxa"/>
            <w:hideMark/>
          </w:tcPr>
          <w:p w14:paraId="1DE5DC7A" w14:textId="77777777" w:rsidR="00645E43" w:rsidRPr="00AE48B6" w:rsidRDefault="00645E43" w:rsidP="00712F2E">
            <w:pPr>
              <w:spacing w:line="360" w:lineRule="auto"/>
              <w:rPr>
                <w:lang w:val="en-GB"/>
              </w:rPr>
            </w:pPr>
            <w:r w:rsidRPr="00AE48B6">
              <w:rPr>
                <w:lang w:val="en-GB"/>
              </w:rPr>
              <w:t>1 (7%)</w:t>
            </w:r>
          </w:p>
        </w:tc>
      </w:tr>
      <w:tr w:rsidR="00645E43" w:rsidRPr="00AD70F1" w14:paraId="3140EE17" w14:textId="77777777" w:rsidTr="00712F2E">
        <w:trPr>
          <w:trHeight w:val="574"/>
        </w:trPr>
        <w:tc>
          <w:tcPr>
            <w:tcW w:w="2078" w:type="dxa"/>
            <w:hideMark/>
          </w:tcPr>
          <w:p w14:paraId="60CAC0D0" w14:textId="32328515" w:rsidR="00645E43" w:rsidRPr="00AE48B6" w:rsidRDefault="00645E43" w:rsidP="00712F2E">
            <w:pPr>
              <w:spacing w:line="360" w:lineRule="auto"/>
              <w:rPr>
                <w:lang w:val="en-GB"/>
              </w:rPr>
            </w:pPr>
            <w:r w:rsidRPr="00AE48B6">
              <w:rPr>
                <w:b/>
                <w:bCs/>
                <w:lang w:val="en-GB"/>
              </w:rPr>
              <w:t>Randomi</w:t>
            </w:r>
            <w:r w:rsidR="006C3226">
              <w:rPr>
                <w:b/>
                <w:bCs/>
                <w:lang w:val="en-GB"/>
              </w:rPr>
              <w:t>s</w:t>
            </w:r>
            <w:r w:rsidRPr="00AE48B6">
              <w:rPr>
                <w:b/>
                <w:bCs/>
                <w:lang w:val="en-GB"/>
              </w:rPr>
              <w:t>ed</w:t>
            </w:r>
          </w:p>
        </w:tc>
        <w:tc>
          <w:tcPr>
            <w:tcW w:w="1385" w:type="dxa"/>
            <w:hideMark/>
          </w:tcPr>
          <w:p w14:paraId="5D53D43C" w14:textId="77777777" w:rsidR="00645E43" w:rsidRPr="00AE48B6" w:rsidRDefault="00645E43" w:rsidP="00712F2E">
            <w:pPr>
              <w:spacing w:line="360" w:lineRule="auto"/>
              <w:rPr>
                <w:lang w:val="en-GB"/>
              </w:rPr>
            </w:pPr>
            <w:r w:rsidRPr="00AE48B6">
              <w:rPr>
                <w:b/>
                <w:bCs/>
                <w:lang w:val="en-GB"/>
              </w:rPr>
              <w:t>1 (1%)</w:t>
            </w:r>
          </w:p>
        </w:tc>
        <w:tc>
          <w:tcPr>
            <w:tcW w:w="1139" w:type="dxa"/>
          </w:tcPr>
          <w:p w14:paraId="7401F87B" w14:textId="77777777" w:rsidR="00645E43" w:rsidRPr="00AE48B6" w:rsidRDefault="00645E43" w:rsidP="00712F2E">
            <w:pPr>
              <w:spacing w:line="360" w:lineRule="auto"/>
              <w:rPr>
                <w:lang w:val="en-GB"/>
              </w:rPr>
            </w:pPr>
            <w:r w:rsidRPr="00AE48B6">
              <w:rPr>
                <w:lang w:val="en-GB"/>
              </w:rPr>
              <w:t>0 (0%)</w:t>
            </w:r>
          </w:p>
        </w:tc>
        <w:tc>
          <w:tcPr>
            <w:tcW w:w="1256" w:type="dxa"/>
          </w:tcPr>
          <w:p w14:paraId="0AA67C1A" w14:textId="77777777" w:rsidR="00645E43" w:rsidRPr="00AE48B6" w:rsidRDefault="00645E43" w:rsidP="00712F2E">
            <w:pPr>
              <w:spacing w:line="360" w:lineRule="auto"/>
              <w:rPr>
                <w:lang w:val="en-GB"/>
              </w:rPr>
            </w:pPr>
            <w:r w:rsidRPr="00AE48B6">
              <w:rPr>
                <w:lang w:val="en-GB"/>
              </w:rPr>
              <w:t>0 (0%)</w:t>
            </w:r>
          </w:p>
        </w:tc>
        <w:tc>
          <w:tcPr>
            <w:tcW w:w="1256" w:type="dxa"/>
            <w:hideMark/>
          </w:tcPr>
          <w:p w14:paraId="2FF396D6" w14:textId="77777777" w:rsidR="00645E43" w:rsidRPr="00AE48B6" w:rsidRDefault="00645E43" w:rsidP="00712F2E">
            <w:pPr>
              <w:spacing w:line="360" w:lineRule="auto"/>
              <w:rPr>
                <w:lang w:val="en-GB"/>
              </w:rPr>
            </w:pPr>
            <w:r w:rsidRPr="00AE48B6">
              <w:rPr>
                <w:lang w:val="en-GB"/>
              </w:rPr>
              <w:t>0 (0%)</w:t>
            </w:r>
          </w:p>
        </w:tc>
        <w:tc>
          <w:tcPr>
            <w:tcW w:w="1241" w:type="dxa"/>
            <w:hideMark/>
          </w:tcPr>
          <w:p w14:paraId="2EEE5BB9" w14:textId="77777777" w:rsidR="00645E43" w:rsidRPr="00AE48B6" w:rsidRDefault="00645E43" w:rsidP="00712F2E">
            <w:pPr>
              <w:spacing w:line="360" w:lineRule="auto"/>
              <w:rPr>
                <w:lang w:val="en-GB"/>
              </w:rPr>
            </w:pPr>
            <w:r w:rsidRPr="00AE48B6">
              <w:rPr>
                <w:lang w:val="en-GB"/>
              </w:rPr>
              <w:t>1 (5%)</w:t>
            </w:r>
          </w:p>
        </w:tc>
        <w:tc>
          <w:tcPr>
            <w:tcW w:w="1254" w:type="dxa"/>
            <w:hideMark/>
          </w:tcPr>
          <w:p w14:paraId="094182BB" w14:textId="77777777" w:rsidR="00645E43" w:rsidRPr="00AE48B6" w:rsidRDefault="00645E43" w:rsidP="00712F2E">
            <w:pPr>
              <w:spacing w:line="360" w:lineRule="auto"/>
              <w:rPr>
                <w:lang w:val="en-GB"/>
              </w:rPr>
            </w:pPr>
            <w:r w:rsidRPr="00AE48B6">
              <w:rPr>
                <w:lang w:val="en-GB"/>
              </w:rPr>
              <w:t>0 (0%)</w:t>
            </w:r>
          </w:p>
        </w:tc>
      </w:tr>
      <w:tr w:rsidR="00645E43" w:rsidRPr="00AD70F1" w14:paraId="4A01B5D0" w14:textId="77777777" w:rsidTr="00712F2E">
        <w:trPr>
          <w:trHeight w:val="574"/>
        </w:trPr>
        <w:tc>
          <w:tcPr>
            <w:tcW w:w="2078" w:type="dxa"/>
            <w:hideMark/>
          </w:tcPr>
          <w:p w14:paraId="22FABE00" w14:textId="77777777" w:rsidR="00645E43" w:rsidRPr="00AE48B6" w:rsidRDefault="00645E43" w:rsidP="00712F2E">
            <w:pPr>
              <w:spacing w:line="360" w:lineRule="auto"/>
              <w:rPr>
                <w:lang w:val="en-GB"/>
              </w:rPr>
            </w:pPr>
            <w:r w:rsidRPr="00AE48B6">
              <w:rPr>
                <w:b/>
                <w:bCs/>
                <w:lang w:val="en-GB"/>
              </w:rPr>
              <w:t>Clearly Defined Inclusion/Exclusion criteria</w:t>
            </w:r>
          </w:p>
        </w:tc>
        <w:tc>
          <w:tcPr>
            <w:tcW w:w="1385" w:type="dxa"/>
            <w:hideMark/>
          </w:tcPr>
          <w:p w14:paraId="0857D115" w14:textId="77777777" w:rsidR="00645E43" w:rsidRPr="00AE48B6" w:rsidRDefault="00645E43" w:rsidP="00712F2E">
            <w:pPr>
              <w:spacing w:line="360" w:lineRule="auto"/>
              <w:rPr>
                <w:lang w:val="en-GB"/>
              </w:rPr>
            </w:pPr>
            <w:r w:rsidRPr="00AE48B6">
              <w:rPr>
                <w:b/>
                <w:bCs/>
                <w:lang w:val="en-GB"/>
              </w:rPr>
              <w:t>55 (59%)</w:t>
            </w:r>
          </w:p>
        </w:tc>
        <w:tc>
          <w:tcPr>
            <w:tcW w:w="1139" w:type="dxa"/>
          </w:tcPr>
          <w:p w14:paraId="2BFCC642" w14:textId="77777777" w:rsidR="00645E43" w:rsidRPr="00AE48B6" w:rsidRDefault="00645E43" w:rsidP="00712F2E">
            <w:pPr>
              <w:spacing w:line="360" w:lineRule="auto"/>
              <w:rPr>
                <w:lang w:val="en-GB"/>
              </w:rPr>
            </w:pPr>
            <w:r w:rsidRPr="00AE48B6">
              <w:rPr>
                <w:lang w:val="en-GB"/>
              </w:rPr>
              <w:t>9 (53%)</w:t>
            </w:r>
          </w:p>
        </w:tc>
        <w:tc>
          <w:tcPr>
            <w:tcW w:w="1256" w:type="dxa"/>
          </w:tcPr>
          <w:p w14:paraId="1B4E8B39" w14:textId="77777777" w:rsidR="00645E43" w:rsidRPr="00AE48B6" w:rsidRDefault="00645E43" w:rsidP="00712F2E">
            <w:pPr>
              <w:spacing w:line="360" w:lineRule="auto"/>
              <w:rPr>
                <w:lang w:val="en-GB"/>
              </w:rPr>
            </w:pPr>
            <w:r w:rsidRPr="00AE48B6">
              <w:rPr>
                <w:lang w:val="en-GB"/>
              </w:rPr>
              <w:t>10 (71%)</w:t>
            </w:r>
          </w:p>
        </w:tc>
        <w:tc>
          <w:tcPr>
            <w:tcW w:w="1256" w:type="dxa"/>
            <w:hideMark/>
          </w:tcPr>
          <w:p w14:paraId="2F3FDADB" w14:textId="77777777" w:rsidR="00645E43" w:rsidRPr="00AE48B6" w:rsidRDefault="00645E43" w:rsidP="00712F2E">
            <w:pPr>
              <w:spacing w:line="360" w:lineRule="auto"/>
              <w:rPr>
                <w:lang w:val="en-GB"/>
              </w:rPr>
            </w:pPr>
            <w:r w:rsidRPr="00AE48B6">
              <w:rPr>
                <w:lang w:val="en-GB"/>
              </w:rPr>
              <w:t>12 (48%)</w:t>
            </w:r>
          </w:p>
        </w:tc>
        <w:tc>
          <w:tcPr>
            <w:tcW w:w="1241" w:type="dxa"/>
            <w:hideMark/>
          </w:tcPr>
          <w:p w14:paraId="3FBBD289" w14:textId="77777777" w:rsidR="00645E43" w:rsidRPr="00AE48B6" w:rsidRDefault="00645E43" w:rsidP="00712F2E">
            <w:pPr>
              <w:spacing w:line="360" w:lineRule="auto"/>
              <w:rPr>
                <w:lang w:val="en-GB"/>
              </w:rPr>
            </w:pPr>
            <w:r w:rsidRPr="00AE48B6">
              <w:rPr>
                <w:lang w:val="en-GB"/>
              </w:rPr>
              <w:t>12 (60%)</w:t>
            </w:r>
          </w:p>
        </w:tc>
        <w:tc>
          <w:tcPr>
            <w:tcW w:w="1254" w:type="dxa"/>
            <w:hideMark/>
          </w:tcPr>
          <w:p w14:paraId="2388967B" w14:textId="77777777" w:rsidR="00645E43" w:rsidRPr="00AE48B6" w:rsidRDefault="00645E43" w:rsidP="00712F2E">
            <w:pPr>
              <w:spacing w:line="360" w:lineRule="auto"/>
              <w:rPr>
                <w:lang w:val="en-GB"/>
              </w:rPr>
            </w:pPr>
            <w:r w:rsidRPr="00AE48B6">
              <w:rPr>
                <w:lang w:val="en-GB"/>
              </w:rPr>
              <w:t>10 (71%)</w:t>
            </w:r>
          </w:p>
        </w:tc>
      </w:tr>
      <w:tr w:rsidR="00645E43" w:rsidRPr="00AD70F1" w14:paraId="04F4594E" w14:textId="77777777" w:rsidTr="00712F2E">
        <w:trPr>
          <w:trHeight w:val="574"/>
        </w:trPr>
        <w:tc>
          <w:tcPr>
            <w:tcW w:w="2078" w:type="dxa"/>
            <w:hideMark/>
          </w:tcPr>
          <w:p w14:paraId="3EA8D131" w14:textId="77777777" w:rsidR="00645E43" w:rsidRPr="00AE48B6" w:rsidRDefault="00645E43" w:rsidP="00712F2E">
            <w:pPr>
              <w:spacing w:line="360" w:lineRule="auto"/>
              <w:rPr>
                <w:lang w:val="en-GB"/>
              </w:rPr>
            </w:pPr>
            <w:r w:rsidRPr="00AE48B6">
              <w:rPr>
                <w:b/>
                <w:bCs/>
                <w:lang w:val="en-GB"/>
              </w:rPr>
              <w:t>Clear definition of outcomes</w:t>
            </w:r>
          </w:p>
        </w:tc>
        <w:tc>
          <w:tcPr>
            <w:tcW w:w="1385" w:type="dxa"/>
            <w:hideMark/>
          </w:tcPr>
          <w:p w14:paraId="6D6E1C77" w14:textId="77777777" w:rsidR="00645E43" w:rsidRPr="00AE48B6" w:rsidRDefault="00645E43" w:rsidP="00712F2E">
            <w:pPr>
              <w:spacing w:line="360" w:lineRule="auto"/>
              <w:rPr>
                <w:lang w:val="en-GB"/>
              </w:rPr>
            </w:pPr>
            <w:r w:rsidRPr="00AE48B6">
              <w:rPr>
                <w:b/>
                <w:bCs/>
                <w:lang w:val="en-GB"/>
              </w:rPr>
              <w:t>59 (63%)</w:t>
            </w:r>
          </w:p>
        </w:tc>
        <w:tc>
          <w:tcPr>
            <w:tcW w:w="1139" w:type="dxa"/>
          </w:tcPr>
          <w:p w14:paraId="3446EF00" w14:textId="77777777" w:rsidR="00645E43" w:rsidRPr="00AE48B6" w:rsidRDefault="00645E43" w:rsidP="00712F2E">
            <w:pPr>
              <w:spacing w:line="360" w:lineRule="auto"/>
              <w:rPr>
                <w:lang w:val="en-GB"/>
              </w:rPr>
            </w:pPr>
            <w:r w:rsidRPr="00AE48B6">
              <w:rPr>
                <w:lang w:val="en-GB"/>
              </w:rPr>
              <w:t>12 (71%)</w:t>
            </w:r>
          </w:p>
        </w:tc>
        <w:tc>
          <w:tcPr>
            <w:tcW w:w="1256" w:type="dxa"/>
          </w:tcPr>
          <w:p w14:paraId="204BB0E3" w14:textId="77777777" w:rsidR="00645E43" w:rsidRPr="00AE48B6" w:rsidRDefault="00645E43" w:rsidP="00712F2E">
            <w:pPr>
              <w:spacing w:line="360" w:lineRule="auto"/>
              <w:rPr>
                <w:lang w:val="en-GB"/>
              </w:rPr>
            </w:pPr>
            <w:r w:rsidRPr="00AE48B6">
              <w:rPr>
                <w:lang w:val="en-GB"/>
              </w:rPr>
              <w:t>11 (79%)</w:t>
            </w:r>
          </w:p>
        </w:tc>
        <w:tc>
          <w:tcPr>
            <w:tcW w:w="1256" w:type="dxa"/>
            <w:hideMark/>
          </w:tcPr>
          <w:p w14:paraId="12CDBECC" w14:textId="77777777" w:rsidR="00645E43" w:rsidRPr="00AE48B6" w:rsidRDefault="00645E43" w:rsidP="00712F2E">
            <w:pPr>
              <w:spacing w:line="360" w:lineRule="auto"/>
              <w:rPr>
                <w:lang w:val="en-GB"/>
              </w:rPr>
            </w:pPr>
            <w:r w:rsidRPr="00AE48B6">
              <w:rPr>
                <w:lang w:val="en-GB"/>
              </w:rPr>
              <w:t>12 (48%)</w:t>
            </w:r>
          </w:p>
        </w:tc>
        <w:tc>
          <w:tcPr>
            <w:tcW w:w="1241" w:type="dxa"/>
            <w:hideMark/>
          </w:tcPr>
          <w:p w14:paraId="7A1D52C6" w14:textId="77777777" w:rsidR="00645E43" w:rsidRPr="00AE48B6" w:rsidRDefault="00645E43" w:rsidP="00712F2E">
            <w:pPr>
              <w:spacing w:line="360" w:lineRule="auto"/>
              <w:rPr>
                <w:lang w:val="en-GB"/>
              </w:rPr>
            </w:pPr>
            <w:r w:rsidRPr="00AE48B6">
              <w:rPr>
                <w:lang w:val="en-GB"/>
              </w:rPr>
              <w:t>14 (70%)</w:t>
            </w:r>
          </w:p>
        </w:tc>
        <w:tc>
          <w:tcPr>
            <w:tcW w:w="1254" w:type="dxa"/>
            <w:hideMark/>
          </w:tcPr>
          <w:p w14:paraId="51FD7EBF" w14:textId="77777777" w:rsidR="00645E43" w:rsidRPr="00AE48B6" w:rsidRDefault="00645E43" w:rsidP="00712F2E">
            <w:pPr>
              <w:spacing w:line="360" w:lineRule="auto"/>
              <w:rPr>
                <w:lang w:val="en-GB"/>
              </w:rPr>
            </w:pPr>
            <w:r w:rsidRPr="00AE48B6">
              <w:rPr>
                <w:lang w:val="en-GB"/>
              </w:rPr>
              <w:t>8 (57%)</w:t>
            </w:r>
          </w:p>
        </w:tc>
      </w:tr>
      <w:tr w:rsidR="00645E43" w:rsidRPr="00AD70F1" w14:paraId="4074B97E" w14:textId="77777777" w:rsidTr="00712F2E">
        <w:trPr>
          <w:trHeight w:val="574"/>
        </w:trPr>
        <w:tc>
          <w:tcPr>
            <w:tcW w:w="2078" w:type="dxa"/>
            <w:hideMark/>
          </w:tcPr>
          <w:p w14:paraId="2D12B8BD" w14:textId="65B0EE2E" w:rsidR="00645E43" w:rsidRPr="00AE48B6" w:rsidRDefault="00D25743" w:rsidP="00712F2E">
            <w:pPr>
              <w:spacing w:line="360" w:lineRule="auto"/>
              <w:rPr>
                <w:lang w:val="en-GB"/>
              </w:rPr>
            </w:pPr>
            <w:r>
              <w:rPr>
                <w:b/>
                <w:bCs/>
                <w:lang w:val="en-GB"/>
              </w:rPr>
              <w:t>A</w:t>
            </w:r>
            <w:r w:rsidR="00645E43" w:rsidRPr="00AE48B6">
              <w:rPr>
                <w:b/>
                <w:bCs/>
                <w:lang w:val="en-GB"/>
              </w:rPr>
              <w:t>vailable</w:t>
            </w:r>
            <w:r w:rsidR="006C3226">
              <w:rPr>
                <w:b/>
                <w:bCs/>
                <w:lang w:val="en-GB"/>
              </w:rPr>
              <w:t xml:space="preserve"> only</w:t>
            </w:r>
            <w:r>
              <w:rPr>
                <w:b/>
                <w:bCs/>
                <w:lang w:val="en-GB"/>
              </w:rPr>
              <w:t xml:space="preserve"> as abstract</w:t>
            </w:r>
          </w:p>
        </w:tc>
        <w:tc>
          <w:tcPr>
            <w:tcW w:w="1385" w:type="dxa"/>
            <w:hideMark/>
          </w:tcPr>
          <w:p w14:paraId="4245F55D" w14:textId="77777777" w:rsidR="00645E43" w:rsidRPr="00AE48B6" w:rsidRDefault="00645E43" w:rsidP="00712F2E">
            <w:pPr>
              <w:spacing w:line="360" w:lineRule="auto"/>
              <w:rPr>
                <w:lang w:val="en-GB"/>
              </w:rPr>
            </w:pPr>
            <w:r w:rsidRPr="00AE48B6">
              <w:rPr>
                <w:b/>
                <w:bCs/>
                <w:lang w:val="en-GB"/>
              </w:rPr>
              <w:t>18 (19%)</w:t>
            </w:r>
          </w:p>
        </w:tc>
        <w:tc>
          <w:tcPr>
            <w:tcW w:w="1139" w:type="dxa"/>
          </w:tcPr>
          <w:p w14:paraId="10E2CE4D" w14:textId="77777777" w:rsidR="00645E43" w:rsidRPr="00AE48B6" w:rsidRDefault="00645E43" w:rsidP="00712F2E">
            <w:pPr>
              <w:spacing w:line="360" w:lineRule="auto"/>
              <w:rPr>
                <w:lang w:val="en-GB"/>
              </w:rPr>
            </w:pPr>
            <w:r w:rsidRPr="00AE48B6">
              <w:rPr>
                <w:lang w:val="en-GB"/>
              </w:rPr>
              <w:t>1 (6%)</w:t>
            </w:r>
          </w:p>
        </w:tc>
        <w:tc>
          <w:tcPr>
            <w:tcW w:w="1256" w:type="dxa"/>
          </w:tcPr>
          <w:p w14:paraId="68110775" w14:textId="77777777" w:rsidR="00645E43" w:rsidRPr="00AE48B6" w:rsidRDefault="00645E43" w:rsidP="00712F2E">
            <w:pPr>
              <w:spacing w:line="360" w:lineRule="auto"/>
              <w:rPr>
                <w:lang w:val="en-GB"/>
              </w:rPr>
            </w:pPr>
            <w:r w:rsidRPr="00AE48B6">
              <w:rPr>
                <w:lang w:val="en-GB"/>
              </w:rPr>
              <w:t>1 (7%)</w:t>
            </w:r>
          </w:p>
        </w:tc>
        <w:tc>
          <w:tcPr>
            <w:tcW w:w="1256" w:type="dxa"/>
            <w:hideMark/>
          </w:tcPr>
          <w:p w14:paraId="70580924" w14:textId="77777777" w:rsidR="00645E43" w:rsidRPr="00AE48B6" w:rsidRDefault="00645E43" w:rsidP="00712F2E">
            <w:pPr>
              <w:spacing w:line="360" w:lineRule="auto"/>
              <w:rPr>
                <w:lang w:val="en-GB"/>
              </w:rPr>
            </w:pPr>
            <w:r w:rsidRPr="00AE48B6">
              <w:rPr>
                <w:lang w:val="en-GB"/>
              </w:rPr>
              <w:t>9 (36%)</w:t>
            </w:r>
          </w:p>
        </w:tc>
        <w:tc>
          <w:tcPr>
            <w:tcW w:w="1241" w:type="dxa"/>
            <w:hideMark/>
          </w:tcPr>
          <w:p w14:paraId="7C638AA8" w14:textId="77777777" w:rsidR="00645E43" w:rsidRPr="00AE48B6" w:rsidRDefault="00645E43" w:rsidP="00712F2E">
            <w:pPr>
              <w:spacing w:line="360" w:lineRule="auto"/>
              <w:rPr>
                <w:lang w:val="en-GB"/>
              </w:rPr>
            </w:pPr>
            <w:r w:rsidRPr="00AE48B6">
              <w:rPr>
                <w:lang w:val="en-GB"/>
              </w:rPr>
              <w:t>5 (25%)</w:t>
            </w:r>
          </w:p>
        </w:tc>
        <w:tc>
          <w:tcPr>
            <w:tcW w:w="1254" w:type="dxa"/>
            <w:hideMark/>
          </w:tcPr>
          <w:p w14:paraId="11CB547B" w14:textId="77777777" w:rsidR="00645E43" w:rsidRPr="00AE48B6" w:rsidRDefault="00645E43" w:rsidP="00712F2E">
            <w:pPr>
              <w:spacing w:line="360" w:lineRule="auto"/>
              <w:rPr>
                <w:lang w:val="en-GB"/>
              </w:rPr>
            </w:pPr>
            <w:r w:rsidRPr="00AE48B6">
              <w:rPr>
                <w:lang w:val="en-GB"/>
              </w:rPr>
              <w:t>2 (14%)</w:t>
            </w:r>
          </w:p>
        </w:tc>
      </w:tr>
      <w:tr w:rsidR="00645E43" w:rsidRPr="00AD70F1" w14:paraId="3D0889FE" w14:textId="77777777" w:rsidTr="00712F2E">
        <w:trPr>
          <w:trHeight w:val="574"/>
        </w:trPr>
        <w:tc>
          <w:tcPr>
            <w:tcW w:w="2078" w:type="dxa"/>
            <w:hideMark/>
          </w:tcPr>
          <w:p w14:paraId="58FCE333" w14:textId="77777777" w:rsidR="00645E43" w:rsidRPr="00AE48B6" w:rsidRDefault="00645E43" w:rsidP="00712F2E">
            <w:pPr>
              <w:spacing w:line="360" w:lineRule="auto"/>
              <w:rPr>
                <w:lang w:val="en-GB"/>
              </w:rPr>
            </w:pPr>
            <w:r w:rsidRPr="00AE48B6">
              <w:rPr>
                <w:b/>
                <w:bCs/>
                <w:lang w:val="en-GB"/>
              </w:rPr>
              <w:t>Risk of bias Low</w:t>
            </w:r>
          </w:p>
        </w:tc>
        <w:tc>
          <w:tcPr>
            <w:tcW w:w="1385" w:type="dxa"/>
            <w:hideMark/>
          </w:tcPr>
          <w:p w14:paraId="78A4FFDA" w14:textId="77777777" w:rsidR="00645E43" w:rsidRPr="00AE48B6" w:rsidRDefault="00645E43" w:rsidP="00712F2E">
            <w:pPr>
              <w:spacing w:line="360" w:lineRule="auto"/>
              <w:rPr>
                <w:lang w:val="en-GB"/>
              </w:rPr>
            </w:pPr>
            <w:r w:rsidRPr="00AE48B6">
              <w:rPr>
                <w:b/>
                <w:bCs/>
                <w:lang w:val="en-GB"/>
              </w:rPr>
              <w:t>0 (0%)</w:t>
            </w:r>
          </w:p>
        </w:tc>
        <w:tc>
          <w:tcPr>
            <w:tcW w:w="1139" w:type="dxa"/>
          </w:tcPr>
          <w:p w14:paraId="6CF856B6" w14:textId="77777777" w:rsidR="00645E43" w:rsidRPr="00AE48B6" w:rsidRDefault="00645E43" w:rsidP="00712F2E">
            <w:pPr>
              <w:spacing w:line="360" w:lineRule="auto"/>
              <w:rPr>
                <w:lang w:val="en-GB"/>
              </w:rPr>
            </w:pPr>
            <w:r w:rsidRPr="00AE48B6">
              <w:rPr>
                <w:lang w:val="en-GB"/>
              </w:rPr>
              <w:t>0 (0%)</w:t>
            </w:r>
          </w:p>
        </w:tc>
        <w:tc>
          <w:tcPr>
            <w:tcW w:w="1256" w:type="dxa"/>
          </w:tcPr>
          <w:p w14:paraId="0E238286" w14:textId="77777777" w:rsidR="00645E43" w:rsidRPr="00AE48B6" w:rsidRDefault="00645E43" w:rsidP="00712F2E">
            <w:pPr>
              <w:spacing w:line="360" w:lineRule="auto"/>
              <w:rPr>
                <w:lang w:val="en-GB"/>
              </w:rPr>
            </w:pPr>
            <w:r w:rsidRPr="00AE48B6">
              <w:rPr>
                <w:lang w:val="en-GB"/>
              </w:rPr>
              <w:t>0 (0%)</w:t>
            </w:r>
          </w:p>
        </w:tc>
        <w:tc>
          <w:tcPr>
            <w:tcW w:w="1256" w:type="dxa"/>
            <w:hideMark/>
          </w:tcPr>
          <w:p w14:paraId="035312A5" w14:textId="77777777" w:rsidR="00645E43" w:rsidRPr="00AE48B6" w:rsidRDefault="00645E43" w:rsidP="00712F2E">
            <w:pPr>
              <w:spacing w:line="360" w:lineRule="auto"/>
              <w:rPr>
                <w:lang w:val="en-GB"/>
              </w:rPr>
            </w:pPr>
            <w:r w:rsidRPr="00AE48B6">
              <w:rPr>
                <w:lang w:val="en-GB"/>
              </w:rPr>
              <w:t>0 (0%)</w:t>
            </w:r>
          </w:p>
        </w:tc>
        <w:tc>
          <w:tcPr>
            <w:tcW w:w="1241" w:type="dxa"/>
            <w:hideMark/>
          </w:tcPr>
          <w:p w14:paraId="24FEEDC1" w14:textId="77777777" w:rsidR="00645E43" w:rsidRPr="00AE48B6" w:rsidRDefault="00645E43" w:rsidP="00712F2E">
            <w:pPr>
              <w:spacing w:line="360" w:lineRule="auto"/>
              <w:rPr>
                <w:lang w:val="en-GB"/>
              </w:rPr>
            </w:pPr>
            <w:r w:rsidRPr="00AE48B6">
              <w:rPr>
                <w:lang w:val="en-GB"/>
              </w:rPr>
              <w:t>0 (0%)</w:t>
            </w:r>
          </w:p>
        </w:tc>
        <w:tc>
          <w:tcPr>
            <w:tcW w:w="1254" w:type="dxa"/>
            <w:hideMark/>
          </w:tcPr>
          <w:p w14:paraId="62F3C63A" w14:textId="77777777" w:rsidR="00645E43" w:rsidRPr="00AE48B6" w:rsidRDefault="00645E43" w:rsidP="00712F2E">
            <w:pPr>
              <w:spacing w:line="360" w:lineRule="auto"/>
              <w:rPr>
                <w:lang w:val="en-GB"/>
              </w:rPr>
            </w:pPr>
            <w:r w:rsidRPr="00AE48B6">
              <w:rPr>
                <w:lang w:val="en-GB"/>
              </w:rPr>
              <w:t>0 (0%)</w:t>
            </w:r>
          </w:p>
        </w:tc>
      </w:tr>
      <w:tr w:rsidR="00645E43" w:rsidRPr="00AD70F1" w14:paraId="692110DD" w14:textId="77777777" w:rsidTr="00712F2E">
        <w:trPr>
          <w:trHeight w:val="574"/>
        </w:trPr>
        <w:tc>
          <w:tcPr>
            <w:tcW w:w="2078" w:type="dxa"/>
            <w:hideMark/>
          </w:tcPr>
          <w:p w14:paraId="0BA2B6D5" w14:textId="77777777" w:rsidR="00645E43" w:rsidRPr="00AE48B6" w:rsidRDefault="00645E43" w:rsidP="00712F2E">
            <w:pPr>
              <w:spacing w:line="360" w:lineRule="auto"/>
              <w:rPr>
                <w:lang w:val="en-GB"/>
              </w:rPr>
            </w:pPr>
            <w:r w:rsidRPr="00AE48B6">
              <w:rPr>
                <w:b/>
                <w:bCs/>
                <w:lang w:val="en-GB"/>
              </w:rPr>
              <w:t>Risk of bias Intermediate</w:t>
            </w:r>
          </w:p>
        </w:tc>
        <w:tc>
          <w:tcPr>
            <w:tcW w:w="1385" w:type="dxa"/>
            <w:hideMark/>
          </w:tcPr>
          <w:p w14:paraId="7C4CCFE2" w14:textId="77777777" w:rsidR="00645E43" w:rsidRPr="00AE48B6" w:rsidRDefault="00645E43" w:rsidP="00712F2E">
            <w:pPr>
              <w:spacing w:line="360" w:lineRule="auto"/>
              <w:rPr>
                <w:lang w:val="en-GB"/>
              </w:rPr>
            </w:pPr>
            <w:r w:rsidRPr="00AE48B6">
              <w:rPr>
                <w:b/>
                <w:bCs/>
                <w:lang w:val="en-GB"/>
              </w:rPr>
              <w:t>14 (15%)</w:t>
            </w:r>
          </w:p>
        </w:tc>
        <w:tc>
          <w:tcPr>
            <w:tcW w:w="1139" w:type="dxa"/>
          </w:tcPr>
          <w:p w14:paraId="29D00E62" w14:textId="77777777" w:rsidR="00645E43" w:rsidRPr="00AE48B6" w:rsidRDefault="00645E43" w:rsidP="00712F2E">
            <w:pPr>
              <w:spacing w:line="360" w:lineRule="auto"/>
              <w:rPr>
                <w:lang w:val="en-GB"/>
              </w:rPr>
            </w:pPr>
            <w:r w:rsidRPr="00AE48B6">
              <w:rPr>
                <w:lang w:val="en-GB"/>
              </w:rPr>
              <w:t>3 (18%)</w:t>
            </w:r>
          </w:p>
        </w:tc>
        <w:tc>
          <w:tcPr>
            <w:tcW w:w="1256" w:type="dxa"/>
          </w:tcPr>
          <w:p w14:paraId="2DC4940E" w14:textId="77777777" w:rsidR="00645E43" w:rsidRPr="00AE48B6" w:rsidRDefault="00645E43" w:rsidP="00712F2E">
            <w:pPr>
              <w:spacing w:line="360" w:lineRule="auto"/>
              <w:rPr>
                <w:lang w:val="en-GB"/>
              </w:rPr>
            </w:pPr>
            <w:r w:rsidRPr="00AE48B6">
              <w:rPr>
                <w:lang w:val="en-GB"/>
              </w:rPr>
              <w:t>0 (0%)</w:t>
            </w:r>
          </w:p>
        </w:tc>
        <w:tc>
          <w:tcPr>
            <w:tcW w:w="1256" w:type="dxa"/>
            <w:hideMark/>
          </w:tcPr>
          <w:p w14:paraId="69709761" w14:textId="77777777" w:rsidR="00645E43" w:rsidRPr="00AE48B6" w:rsidRDefault="00645E43" w:rsidP="00712F2E">
            <w:pPr>
              <w:spacing w:line="360" w:lineRule="auto"/>
              <w:rPr>
                <w:lang w:val="en-GB"/>
              </w:rPr>
            </w:pPr>
            <w:r w:rsidRPr="00AE48B6">
              <w:rPr>
                <w:lang w:val="en-GB"/>
              </w:rPr>
              <w:t>2 (8%)</w:t>
            </w:r>
          </w:p>
        </w:tc>
        <w:tc>
          <w:tcPr>
            <w:tcW w:w="1241" w:type="dxa"/>
            <w:hideMark/>
          </w:tcPr>
          <w:p w14:paraId="1F6C4A38" w14:textId="77777777" w:rsidR="00645E43" w:rsidRPr="00AE48B6" w:rsidRDefault="00645E43" w:rsidP="00712F2E">
            <w:pPr>
              <w:spacing w:line="360" w:lineRule="auto"/>
              <w:rPr>
                <w:lang w:val="en-GB"/>
              </w:rPr>
            </w:pPr>
            <w:r w:rsidRPr="00AE48B6">
              <w:rPr>
                <w:lang w:val="en-GB"/>
              </w:rPr>
              <w:t>3 (15%)</w:t>
            </w:r>
          </w:p>
        </w:tc>
        <w:tc>
          <w:tcPr>
            <w:tcW w:w="1254" w:type="dxa"/>
            <w:hideMark/>
          </w:tcPr>
          <w:p w14:paraId="186801FD" w14:textId="77777777" w:rsidR="00645E43" w:rsidRPr="00AE48B6" w:rsidRDefault="00645E43" w:rsidP="00712F2E">
            <w:pPr>
              <w:spacing w:line="360" w:lineRule="auto"/>
              <w:rPr>
                <w:lang w:val="en-GB"/>
              </w:rPr>
            </w:pPr>
            <w:r w:rsidRPr="00AE48B6">
              <w:rPr>
                <w:lang w:val="en-GB"/>
              </w:rPr>
              <w:t>5 (36%)</w:t>
            </w:r>
          </w:p>
        </w:tc>
      </w:tr>
      <w:tr w:rsidR="00645E43" w:rsidRPr="00AD70F1" w14:paraId="75541008" w14:textId="77777777" w:rsidTr="00712F2E">
        <w:trPr>
          <w:trHeight w:val="574"/>
        </w:trPr>
        <w:tc>
          <w:tcPr>
            <w:tcW w:w="2078" w:type="dxa"/>
            <w:hideMark/>
          </w:tcPr>
          <w:p w14:paraId="3490D2D7" w14:textId="77777777" w:rsidR="00645E43" w:rsidRPr="00AE48B6" w:rsidRDefault="00645E43" w:rsidP="00712F2E">
            <w:pPr>
              <w:spacing w:line="360" w:lineRule="auto"/>
              <w:rPr>
                <w:lang w:val="en-GB"/>
              </w:rPr>
            </w:pPr>
            <w:r w:rsidRPr="00AE48B6">
              <w:rPr>
                <w:b/>
                <w:bCs/>
                <w:lang w:val="en-GB"/>
              </w:rPr>
              <w:t>Risk of bias High</w:t>
            </w:r>
          </w:p>
        </w:tc>
        <w:tc>
          <w:tcPr>
            <w:tcW w:w="1385" w:type="dxa"/>
            <w:hideMark/>
          </w:tcPr>
          <w:p w14:paraId="32F552CE" w14:textId="77777777" w:rsidR="00645E43" w:rsidRPr="00AE48B6" w:rsidRDefault="00645E43" w:rsidP="00712F2E">
            <w:pPr>
              <w:spacing w:line="360" w:lineRule="auto"/>
              <w:rPr>
                <w:lang w:val="en-GB"/>
              </w:rPr>
            </w:pPr>
            <w:r w:rsidRPr="00AE48B6">
              <w:rPr>
                <w:b/>
                <w:bCs/>
                <w:lang w:val="en-GB"/>
              </w:rPr>
              <w:t>79 (85%)</w:t>
            </w:r>
          </w:p>
        </w:tc>
        <w:tc>
          <w:tcPr>
            <w:tcW w:w="1139" w:type="dxa"/>
          </w:tcPr>
          <w:p w14:paraId="0876745E" w14:textId="77777777" w:rsidR="00645E43" w:rsidRPr="00AE48B6" w:rsidRDefault="00315710" w:rsidP="00712F2E">
            <w:pPr>
              <w:spacing w:line="360" w:lineRule="auto"/>
              <w:rPr>
                <w:lang w:val="en-GB"/>
              </w:rPr>
            </w:pPr>
            <w:r w:rsidRPr="00AE48B6">
              <w:rPr>
                <w:lang w:val="en-GB"/>
              </w:rPr>
              <w:t>14 (82%)</w:t>
            </w:r>
          </w:p>
        </w:tc>
        <w:tc>
          <w:tcPr>
            <w:tcW w:w="1256" w:type="dxa"/>
          </w:tcPr>
          <w:p w14:paraId="435AF139" w14:textId="77777777" w:rsidR="00645E43" w:rsidRPr="00AE48B6" w:rsidRDefault="00645E43" w:rsidP="00712F2E">
            <w:pPr>
              <w:spacing w:line="360" w:lineRule="auto"/>
              <w:rPr>
                <w:lang w:val="en-GB"/>
              </w:rPr>
            </w:pPr>
            <w:r w:rsidRPr="00AE48B6">
              <w:rPr>
                <w:lang w:val="en-GB"/>
              </w:rPr>
              <w:t>14 (100%)</w:t>
            </w:r>
          </w:p>
        </w:tc>
        <w:tc>
          <w:tcPr>
            <w:tcW w:w="1256" w:type="dxa"/>
            <w:hideMark/>
          </w:tcPr>
          <w:p w14:paraId="12E4DE98" w14:textId="77777777" w:rsidR="00645E43" w:rsidRPr="00AE48B6" w:rsidRDefault="00645E43" w:rsidP="00712F2E">
            <w:pPr>
              <w:spacing w:line="360" w:lineRule="auto"/>
              <w:rPr>
                <w:lang w:val="en-GB"/>
              </w:rPr>
            </w:pPr>
            <w:r w:rsidRPr="00AE48B6">
              <w:rPr>
                <w:lang w:val="en-GB"/>
              </w:rPr>
              <w:t>23 (92%)</w:t>
            </w:r>
          </w:p>
        </w:tc>
        <w:tc>
          <w:tcPr>
            <w:tcW w:w="1241" w:type="dxa"/>
            <w:hideMark/>
          </w:tcPr>
          <w:p w14:paraId="713C1A3F" w14:textId="77777777" w:rsidR="00645E43" w:rsidRPr="00AE48B6" w:rsidRDefault="00645E43" w:rsidP="00712F2E">
            <w:pPr>
              <w:spacing w:line="360" w:lineRule="auto"/>
              <w:rPr>
                <w:lang w:val="en-GB"/>
              </w:rPr>
            </w:pPr>
            <w:r w:rsidRPr="00AE48B6">
              <w:rPr>
                <w:lang w:val="en-GB"/>
              </w:rPr>
              <w:t>17 (85%)</w:t>
            </w:r>
          </w:p>
        </w:tc>
        <w:tc>
          <w:tcPr>
            <w:tcW w:w="1254" w:type="dxa"/>
            <w:hideMark/>
          </w:tcPr>
          <w:p w14:paraId="29C7E976" w14:textId="77777777" w:rsidR="00645E43" w:rsidRPr="00AE48B6" w:rsidRDefault="00645E43" w:rsidP="00712F2E">
            <w:pPr>
              <w:spacing w:line="360" w:lineRule="auto"/>
              <w:rPr>
                <w:lang w:val="en-GB"/>
              </w:rPr>
            </w:pPr>
            <w:r w:rsidRPr="00AE48B6">
              <w:rPr>
                <w:lang w:val="en-GB"/>
              </w:rPr>
              <w:t>9 (64%)</w:t>
            </w:r>
          </w:p>
        </w:tc>
      </w:tr>
    </w:tbl>
    <w:p w14:paraId="34F7FDA4" w14:textId="3C4B6F51" w:rsidR="00645E43" w:rsidRPr="00AE48B6" w:rsidRDefault="00645E43" w:rsidP="00645E43">
      <w:pPr>
        <w:rPr>
          <w:sz w:val="24"/>
          <w:szCs w:val="24"/>
          <w:lang w:val="en-GB"/>
        </w:rPr>
      </w:pPr>
      <w:r w:rsidRPr="00AD70F1">
        <w:rPr>
          <w:sz w:val="24"/>
          <w:szCs w:val="24"/>
          <w:lang w:val="en-GB"/>
        </w:rPr>
        <w:t>EBRT: external beam radiotherapy, SIRT: selective internal radiation therapy, TACE: transarterial chemo-emboli</w:t>
      </w:r>
      <w:r w:rsidR="006C3226">
        <w:rPr>
          <w:sz w:val="24"/>
          <w:szCs w:val="24"/>
          <w:lang w:val="en-GB"/>
        </w:rPr>
        <w:t>s</w:t>
      </w:r>
      <w:r w:rsidRPr="00AD70F1">
        <w:rPr>
          <w:sz w:val="24"/>
          <w:szCs w:val="24"/>
          <w:lang w:val="en-GB"/>
        </w:rPr>
        <w:t>ation, HAI: Hepatic arterial infusion</w:t>
      </w:r>
      <w:r w:rsidRPr="00AE48B6">
        <w:rPr>
          <w:sz w:val="24"/>
          <w:szCs w:val="24"/>
          <w:lang w:val="en-GB"/>
        </w:rPr>
        <w:t xml:space="preserve"> </w:t>
      </w:r>
      <w:r w:rsidRPr="00AE48B6">
        <w:rPr>
          <w:sz w:val="24"/>
          <w:szCs w:val="24"/>
          <w:lang w:val="en-GB"/>
        </w:rPr>
        <w:br w:type="page"/>
      </w:r>
    </w:p>
    <w:p w14:paraId="28CA4470" w14:textId="77777777" w:rsidR="00645E43" w:rsidRPr="00AE48B6" w:rsidRDefault="00645E43" w:rsidP="00645E43">
      <w:pPr>
        <w:spacing w:after="0" w:line="360" w:lineRule="auto"/>
        <w:rPr>
          <w:lang w:val="en-GB"/>
        </w:rPr>
      </w:pPr>
      <w:r w:rsidRPr="00AE48B6">
        <w:rPr>
          <w:b/>
          <w:lang w:val="en-GB"/>
        </w:rPr>
        <w:lastRenderedPageBreak/>
        <w:t>Table 2:</w:t>
      </w:r>
      <w:r w:rsidRPr="00AE48B6">
        <w:rPr>
          <w:lang w:val="en-GB"/>
        </w:rPr>
        <w:t xml:space="preserve"> Description of population of patients included in the cohorts</w:t>
      </w:r>
    </w:p>
    <w:tbl>
      <w:tblPr>
        <w:tblStyle w:val="Grilledutableau"/>
        <w:tblW w:w="9949" w:type="dxa"/>
        <w:tblLook w:val="0420" w:firstRow="1" w:lastRow="0" w:firstColumn="0" w:lastColumn="0" w:noHBand="0" w:noVBand="1"/>
      </w:tblPr>
      <w:tblGrid>
        <w:gridCol w:w="2061"/>
        <w:gridCol w:w="1438"/>
        <w:gridCol w:w="1164"/>
        <w:gridCol w:w="1164"/>
        <w:gridCol w:w="1374"/>
        <w:gridCol w:w="1374"/>
        <w:gridCol w:w="1374"/>
      </w:tblGrid>
      <w:tr w:rsidR="00645E43" w:rsidRPr="00AD70F1" w14:paraId="091490FC" w14:textId="77777777" w:rsidTr="00712F2E">
        <w:trPr>
          <w:trHeight w:val="563"/>
        </w:trPr>
        <w:tc>
          <w:tcPr>
            <w:tcW w:w="2061" w:type="dxa"/>
            <w:hideMark/>
          </w:tcPr>
          <w:p w14:paraId="72B03794" w14:textId="77777777" w:rsidR="00645E43" w:rsidRPr="00AE48B6" w:rsidRDefault="00645E43" w:rsidP="00712F2E">
            <w:pPr>
              <w:spacing w:line="360" w:lineRule="auto"/>
              <w:rPr>
                <w:lang w:val="en-GB"/>
              </w:rPr>
            </w:pPr>
          </w:p>
        </w:tc>
        <w:tc>
          <w:tcPr>
            <w:tcW w:w="1438" w:type="dxa"/>
            <w:hideMark/>
          </w:tcPr>
          <w:p w14:paraId="6D512020" w14:textId="77777777" w:rsidR="00645E43" w:rsidRPr="00AE48B6" w:rsidRDefault="00645E43" w:rsidP="00712F2E">
            <w:pPr>
              <w:spacing w:line="360" w:lineRule="auto"/>
              <w:rPr>
                <w:lang w:val="en-GB"/>
              </w:rPr>
            </w:pPr>
            <w:r w:rsidRPr="00AE48B6">
              <w:rPr>
                <w:b/>
                <w:bCs/>
                <w:lang w:val="en-GB"/>
              </w:rPr>
              <w:t>All cohorts (n=101 cohorts, 3990 patients)</w:t>
            </w:r>
          </w:p>
        </w:tc>
        <w:tc>
          <w:tcPr>
            <w:tcW w:w="1164" w:type="dxa"/>
          </w:tcPr>
          <w:p w14:paraId="5C4A5319" w14:textId="77777777" w:rsidR="00645E43" w:rsidRPr="00AE48B6" w:rsidRDefault="00645E43" w:rsidP="00712F2E">
            <w:pPr>
              <w:spacing w:line="360" w:lineRule="auto"/>
              <w:rPr>
                <w:lang w:val="en-GB"/>
              </w:rPr>
            </w:pPr>
            <w:r w:rsidRPr="00AE48B6">
              <w:rPr>
                <w:b/>
                <w:bCs/>
                <w:lang w:val="en-GB"/>
              </w:rPr>
              <w:t>Ablation (n=15 cohorts, 645 patients)</w:t>
            </w:r>
          </w:p>
        </w:tc>
        <w:tc>
          <w:tcPr>
            <w:tcW w:w="1164" w:type="dxa"/>
          </w:tcPr>
          <w:p w14:paraId="2A62E071" w14:textId="77777777" w:rsidR="00645E43" w:rsidRPr="00AE48B6" w:rsidRDefault="00645E43" w:rsidP="00712F2E">
            <w:pPr>
              <w:spacing w:line="360" w:lineRule="auto"/>
              <w:rPr>
                <w:lang w:val="en-GB"/>
              </w:rPr>
            </w:pPr>
            <w:r w:rsidRPr="00AE48B6">
              <w:rPr>
                <w:b/>
                <w:bCs/>
                <w:lang w:val="en-GB"/>
              </w:rPr>
              <w:t xml:space="preserve">EBRT </w:t>
            </w:r>
          </w:p>
          <w:p w14:paraId="2E491A48" w14:textId="77777777" w:rsidR="00645E43" w:rsidRPr="00AE48B6" w:rsidRDefault="00645E43" w:rsidP="00712F2E">
            <w:pPr>
              <w:spacing w:line="360" w:lineRule="auto"/>
              <w:rPr>
                <w:lang w:val="en-GB"/>
              </w:rPr>
            </w:pPr>
            <w:r w:rsidRPr="00AE48B6">
              <w:rPr>
                <w:b/>
                <w:bCs/>
                <w:lang w:val="en-GB"/>
              </w:rPr>
              <w:t>(n=18 cohorts, 541 patients)</w:t>
            </w:r>
          </w:p>
        </w:tc>
        <w:tc>
          <w:tcPr>
            <w:tcW w:w="1374" w:type="dxa"/>
            <w:hideMark/>
          </w:tcPr>
          <w:p w14:paraId="4581FDB8" w14:textId="77777777" w:rsidR="00645E43" w:rsidRPr="00AE48B6" w:rsidRDefault="00645E43" w:rsidP="00712F2E">
            <w:pPr>
              <w:spacing w:line="360" w:lineRule="auto"/>
              <w:rPr>
                <w:b/>
                <w:bCs/>
                <w:lang w:val="en-GB"/>
              </w:rPr>
            </w:pPr>
            <w:r w:rsidRPr="00AE48B6">
              <w:rPr>
                <w:b/>
                <w:bCs/>
                <w:lang w:val="en-GB"/>
              </w:rPr>
              <w:t xml:space="preserve">SIRT </w:t>
            </w:r>
          </w:p>
          <w:p w14:paraId="26EF5336" w14:textId="77777777" w:rsidR="00645E43" w:rsidRPr="00AE48B6" w:rsidRDefault="00645E43" w:rsidP="00712F2E">
            <w:pPr>
              <w:spacing w:line="360" w:lineRule="auto"/>
              <w:rPr>
                <w:lang w:val="en-GB"/>
              </w:rPr>
            </w:pPr>
            <w:r w:rsidRPr="00AE48B6">
              <w:rPr>
                <w:b/>
                <w:bCs/>
                <w:lang w:val="en-GB"/>
              </w:rPr>
              <w:t>(n=27 cohorts, 1232 patients)</w:t>
            </w:r>
          </w:p>
        </w:tc>
        <w:tc>
          <w:tcPr>
            <w:tcW w:w="1374" w:type="dxa"/>
            <w:hideMark/>
          </w:tcPr>
          <w:p w14:paraId="46581084" w14:textId="77777777" w:rsidR="00645E43" w:rsidRPr="00AE48B6" w:rsidRDefault="00645E43" w:rsidP="00712F2E">
            <w:pPr>
              <w:spacing w:line="360" w:lineRule="auto"/>
              <w:rPr>
                <w:b/>
                <w:bCs/>
                <w:lang w:val="en-GB"/>
              </w:rPr>
            </w:pPr>
            <w:r w:rsidRPr="00AE48B6">
              <w:rPr>
                <w:b/>
                <w:bCs/>
                <w:lang w:val="en-GB"/>
              </w:rPr>
              <w:t xml:space="preserve">TACE </w:t>
            </w:r>
          </w:p>
          <w:p w14:paraId="3B7E5FE3" w14:textId="77777777" w:rsidR="00645E43" w:rsidRPr="00AE48B6" w:rsidRDefault="00645E43" w:rsidP="00712F2E">
            <w:pPr>
              <w:spacing w:line="360" w:lineRule="auto"/>
              <w:rPr>
                <w:lang w:val="en-GB"/>
              </w:rPr>
            </w:pPr>
            <w:r w:rsidRPr="00AE48B6">
              <w:rPr>
                <w:b/>
                <w:bCs/>
                <w:lang w:val="en-GB"/>
              </w:rPr>
              <w:t>(n=22 cohorts, 1145 patients)</w:t>
            </w:r>
          </w:p>
        </w:tc>
        <w:tc>
          <w:tcPr>
            <w:tcW w:w="1374" w:type="dxa"/>
            <w:hideMark/>
          </w:tcPr>
          <w:p w14:paraId="7A314953" w14:textId="77777777" w:rsidR="00645E43" w:rsidRPr="00AE48B6" w:rsidRDefault="00645E43" w:rsidP="00712F2E">
            <w:pPr>
              <w:spacing w:line="360" w:lineRule="auto"/>
              <w:rPr>
                <w:lang w:val="en-GB"/>
              </w:rPr>
            </w:pPr>
            <w:r w:rsidRPr="00AE48B6">
              <w:rPr>
                <w:b/>
                <w:bCs/>
                <w:lang w:val="en-GB"/>
              </w:rPr>
              <w:t xml:space="preserve">HAI </w:t>
            </w:r>
          </w:p>
          <w:p w14:paraId="4FD6E864" w14:textId="77777777" w:rsidR="00645E43" w:rsidRPr="00AE48B6" w:rsidRDefault="00645E43" w:rsidP="00712F2E">
            <w:pPr>
              <w:spacing w:line="360" w:lineRule="auto"/>
              <w:rPr>
                <w:b/>
                <w:bCs/>
                <w:lang w:val="en-GB"/>
              </w:rPr>
            </w:pPr>
            <w:r w:rsidRPr="00AE48B6">
              <w:rPr>
                <w:b/>
                <w:bCs/>
                <w:lang w:val="en-GB"/>
              </w:rPr>
              <w:t xml:space="preserve">(n=16 cohorts, </w:t>
            </w:r>
          </w:p>
          <w:p w14:paraId="029E2C42" w14:textId="77777777" w:rsidR="00645E43" w:rsidRPr="00AE48B6" w:rsidRDefault="00645E43" w:rsidP="00712F2E">
            <w:pPr>
              <w:spacing w:line="360" w:lineRule="auto"/>
              <w:rPr>
                <w:lang w:val="en-GB"/>
              </w:rPr>
            </w:pPr>
            <w:r w:rsidRPr="00AE48B6">
              <w:rPr>
                <w:b/>
                <w:bCs/>
                <w:lang w:val="en-GB"/>
              </w:rPr>
              <w:t>331 patients)</w:t>
            </w:r>
          </w:p>
        </w:tc>
      </w:tr>
      <w:tr w:rsidR="00645E43" w:rsidRPr="00AD70F1" w14:paraId="437F8244" w14:textId="77777777" w:rsidTr="00712F2E">
        <w:trPr>
          <w:trHeight w:val="468"/>
        </w:trPr>
        <w:tc>
          <w:tcPr>
            <w:tcW w:w="2061" w:type="dxa"/>
            <w:hideMark/>
          </w:tcPr>
          <w:p w14:paraId="750ABF14" w14:textId="77777777" w:rsidR="00645E43" w:rsidRPr="00AE48B6" w:rsidRDefault="00645E43" w:rsidP="00712F2E">
            <w:pPr>
              <w:spacing w:line="360" w:lineRule="auto"/>
              <w:rPr>
                <w:lang w:val="en-GB"/>
              </w:rPr>
            </w:pPr>
            <w:r w:rsidRPr="00AE48B6">
              <w:rPr>
                <w:lang w:val="en-GB"/>
              </w:rPr>
              <w:t>N patients per cohort, median (range) ; number of cohorts with data</w:t>
            </w:r>
          </w:p>
        </w:tc>
        <w:tc>
          <w:tcPr>
            <w:tcW w:w="1438" w:type="dxa"/>
            <w:hideMark/>
          </w:tcPr>
          <w:p w14:paraId="3851678E" w14:textId="77777777" w:rsidR="00645E43" w:rsidRPr="00AE48B6" w:rsidRDefault="00645E43" w:rsidP="00712F2E">
            <w:pPr>
              <w:spacing w:line="360" w:lineRule="auto"/>
              <w:rPr>
                <w:lang w:val="en-GB"/>
              </w:rPr>
            </w:pPr>
            <w:r w:rsidRPr="00AE48B6">
              <w:rPr>
                <w:lang w:val="en-GB"/>
              </w:rPr>
              <w:t>25 (10-183) ; 101</w:t>
            </w:r>
          </w:p>
        </w:tc>
        <w:tc>
          <w:tcPr>
            <w:tcW w:w="1164" w:type="dxa"/>
          </w:tcPr>
          <w:p w14:paraId="25FE8289" w14:textId="77777777" w:rsidR="00645E43" w:rsidRPr="00AE48B6" w:rsidRDefault="00645E43" w:rsidP="00712F2E">
            <w:pPr>
              <w:spacing w:line="360" w:lineRule="auto"/>
              <w:rPr>
                <w:lang w:val="en-GB"/>
              </w:rPr>
            </w:pPr>
            <w:r w:rsidRPr="00AE48B6">
              <w:rPr>
                <w:lang w:val="en-GB"/>
              </w:rPr>
              <w:t>27 (10-107) ; 15</w:t>
            </w:r>
          </w:p>
        </w:tc>
        <w:tc>
          <w:tcPr>
            <w:tcW w:w="1164" w:type="dxa"/>
          </w:tcPr>
          <w:p w14:paraId="2FE29458" w14:textId="77777777" w:rsidR="00645E43" w:rsidRPr="00AE48B6" w:rsidRDefault="00645E43" w:rsidP="00712F2E">
            <w:pPr>
              <w:spacing w:line="360" w:lineRule="auto"/>
              <w:rPr>
                <w:lang w:val="en-GB"/>
              </w:rPr>
            </w:pPr>
            <w:r w:rsidRPr="00AE48B6">
              <w:rPr>
                <w:lang w:val="en-GB"/>
              </w:rPr>
              <w:t>25 (10-79) ; 18</w:t>
            </w:r>
          </w:p>
        </w:tc>
        <w:tc>
          <w:tcPr>
            <w:tcW w:w="1374" w:type="dxa"/>
            <w:hideMark/>
          </w:tcPr>
          <w:p w14:paraId="2261ADE4" w14:textId="77777777" w:rsidR="00645E43" w:rsidRPr="00AE48B6" w:rsidRDefault="00645E43" w:rsidP="00712F2E">
            <w:pPr>
              <w:spacing w:line="360" w:lineRule="auto"/>
              <w:rPr>
                <w:lang w:val="en-GB"/>
              </w:rPr>
            </w:pPr>
            <w:r w:rsidRPr="00AE48B6">
              <w:rPr>
                <w:lang w:val="en-GB"/>
              </w:rPr>
              <w:t>29 (16-125) ; 27</w:t>
            </w:r>
          </w:p>
        </w:tc>
        <w:tc>
          <w:tcPr>
            <w:tcW w:w="1374" w:type="dxa"/>
            <w:hideMark/>
          </w:tcPr>
          <w:p w14:paraId="1858C6F7" w14:textId="77777777" w:rsidR="00645E43" w:rsidRPr="00AE48B6" w:rsidRDefault="00645E43" w:rsidP="00712F2E">
            <w:pPr>
              <w:spacing w:line="360" w:lineRule="auto"/>
              <w:rPr>
                <w:lang w:val="en-GB"/>
              </w:rPr>
            </w:pPr>
            <w:r w:rsidRPr="00AE48B6">
              <w:rPr>
                <w:lang w:val="en-GB"/>
              </w:rPr>
              <w:t>35 (11-183) ; 22</w:t>
            </w:r>
          </w:p>
        </w:tc>
        <w:tc>
          <w:tcPr>
            <w:tcW w:w="1374" w:type="dxa"/>
            <w:hideMark/>
          </w:tcPr>
          <w:p w14:paraId="20D5C1FB" w14:textId="77777777" w:rsidR="00645E43" w:rsidRPr="00AE48B6" w:rsidRDefault="00645E43" w:rsidP="00712F2E">
            <w:pPr>
              <w:spacing w:line="360" w:lineRule="auto"/>
              <w:rPr>
                <w:lang w:val="en-GB"/>
              </w:rPr>
            </w:pPr>
            <w:r w:rsidRPr="00AE48B6">
              <w:rPr>
                <w:lang w:val="en-GB"/>
              </w:rPr>
              <w:t>14 (10-78) ; 16</w:t>
            </w:r>
          </w:p>
        </w:tc>
      </w:tr>
      <w:tr w:rsidR="00645E43" w:rsidRPr="00AD70F1" w14:paraId="309B41A2" w14:textId="77777777" w:rsidTr="00712F2E">
        <w:trPr>
          <w:trHeight w:val="468"/>
        </w:trPr>
        <w:tc>
          <w:tcPr>
            <w:tcW w:w="2061" w:type="dxa"/>
            <w:hideMark/>
          </w:tcPr>
          <w:p w14:paraId="0DB53A81" w14:textId="34FA3F68" w:rsidR="00645E43" w:rsidRPr="00AE48B6" w:rsidRDefault="00645E43" w:rsidP="00712F2E">
            <w:pPr>
              <w:spacing w:line="360" w:lineRule="auto"/>
              <w:rPr>
                <w:lang w:val="en-GB"/>
              </w:rPr>
            </w:pPr>
            <w:r w:rsidRPr="00AE48B6">
              <w:rPr>
                <w:lang w:val="en-GB"/>
              </w:rPr>
              <w:t>N lesions, median (ra</w:t>
            </w:r>
            <w:r w:rsidR="0061420A">
              <w:rPr>
                <w:lang w:val="en-GB"/>
              </w:rPr>
              <w:t>ng</w:t>
            </w:r>
            <w:r w:rsidRPr="00AE48B6">
              <w:rPr>
                <w:lang w:val="en-GB"/>
              </w:rPr>
              <w:t xml:space="preserve">e) </w:t>
            </w:r>
          </w:p>
        </w:tc>
        <w:tc>
          <w:tcPr>
            <w:tcW w:w="1438" w:type="dxa"/>
            <w:hideMark/>
          </w:tcPr>
          <w:p w14:paraId="7C922B7F" w14:textId="77777777" w:rsidR="00645E43" w:rsidRPr="00AE48B6" w:rsidRDefault="00645E43" w:rsidP="00712F2E">
            <w:pPr>
              <w:spacing w:line="360" w:lineRule="auto"/>
              <w:rPr>
                <w:lang w:val="en-GB"/>
              </w:rPr>
            </w:pPr>
            <w:r w:rsidRPr="00AE48B6">
              <w:rPr>
                <w:lang w:val="en-GB"/>
              </w:rPr>
              <w:t>33 (10-171) ; 13</w:t>
            </w:r>
          </w:p>
        </w:tc>
        <w:tc>
          <w:tcPr>
            <w:tcW w:w="1164" w:type="dxa"/>
          </w:tcPr>
          <w:p w14:paraId="0E9B8FAA" w14:textId="77777777" w:rsidR="00645E43" w:rsidRPr="00AE48B6" w:rsidRDefault="00645E43" w:rsidP="00712F2E">
            <w:pPr>
              <w:spacing w:line="360" w:lineRule="auto"/>
              <w:rPr>
                <w:lang w:val="en-GB"/>
              </w:rPr>
            </w:pPr>
            <w:r w:rsidRPr="00AE48B6">
              <w:rPr>
                <w:lang w:val="en-GB"/>
              </w:rPr>
              <w:t>35 (10-171) ; 12</w:t>
            </w:r>
          </w:p>
        </w:tc>
        <w:tc>
          <w:tcPr>
            <w:tcW w:w="1164" w:type="dxa"/>
          </w:tcPr>
          <w:p w14:paraId="00E32F39" w14:textId="77777777" w:rsidR="00645E43" w:rsidRPr="00AE48B6" w:rsidRDefault="00645E43" w:rsidP="00712F2E">
            <w:pPr>
              <w:spacing w:line="360" w:lineRule="auto"/>
              <w:rPr>
                <w:lang w:val="en-GB"/>
              </w:rPr>
            </w:pPr>
            <w:r w:rsidRPr="00AE48B6">
              <w:rPr>
                <w:lang w:val="en-GB"/>
              </w:rPr>
              <w:t>NA</w:t>
            </w:r>
          </w:p>
        </w:tc>
        <w:tc>
          <w:tcPr>
            <w:tcW w:w="1374" w:type="dxa"/>
            <w:hideMark/>
          </w:tcPr>
          <w:p w14:paraId="2697559B" w14:textId="77777777" w:rsidR="00645E43" w:rsidRPr="00AE48B6" w:rsidRDefault="00645E43" w:rsidP="00712F2E">
            <w:pPr>
              <w:spacing w:line="360" w:lineRule="auto"/>
              <w:rPr>
                <w:lang w:val="en-GB"/>
              </w:rPr>
            </w:pPr>
            <w:r w:rsidRPr="00AE48B6">
              <w:rPr>
                <w:lang w:val="en-GB"/>
              </w:rPr>
              <w:t>NA</w:t>
            </w:r>
          </w:p>
        </w:tc>
        <w:tc>
          <w:tcPr>
            <w:tcW w:w="1374" w:type="dxa"/>
            <w:hideMark/>
          </w:tcPr>
          <w:p w14:paraId="16BBE21F" w14:textId="77777777" w:rsidR="00645E43" w:rsidRPr="00AE48B6" w:rsidRDefault="00645E43" w:rsidP="00712F2E">
            <w:pPr>
              <w:spacing w:line="360" w:lineRule="auto"/>
              <w:rPr>
                <w:lang w:val="en-GB"/>
              </w:rPr>
            </w:pPr>
            <w:r w:rsidRPr="00AE48B6">
              <w:rPr>
                <w:lang w:val="en-GB"/>
              </w:rPr>
              <w:t>NA</w:t>
            </w:r>
          </w:p>
        </w:tc>
        <w:tc>
          <w:tcPr>
            <w:tcW w:w="1374" w:type="dxa"/>
            <w:hideMark/>
          </w:tcPr>
          <w:p w14:paraId="40DE70D4" w14:textId="77777777" w:rsidR="00645E43" w:rsidRPr="00AE48B6" w:rsidRDefault="00645E43" w:rsidP="00712F2E">
            <w:pPr>
              <w:spacing w:line="360" w:lineRule="auto"/>
              <w:rPr>
                <w:lang w:val="en-GB"/>
              </w:rPr>
            </w:pPr>
            <w:r w:rsidRPr="00AE48B6">
              <w:rPr>
                <w:lang w:val="en-GB"/>
              </w:rPr>
              <w:t>NA</w:t>
            </w:r>
          </w:p>
        </w:tc>
      </w:tr>
      <w:tr w:rsidR="00645E43" w:rsidRPr="00AD70F1" w14:paraId="12DE8B4D" w14:textId="77777777" w:rsidTr="00712F2E">
        <w:trPr>
          <w:trHeight w:val="468"/>
        </w:trPr>
        <w:tc>
          <w:tcPr>
            <w:tcW w:w="2061" w:type="dxa"/>
            <w:hideMark/>
          </w:tcPr>
          <w:p w14:paraId="4F31A018" w14:textId="6025F478" w:rsidR="00645E43" w:rsidRPr="00AE48B6" w:rsidRDefault="00645E43" w:rsidP="00712F2E">
            <w:pPr>
              <w:spacing w:line="360" w:lineRule="auto"/>
              <w:rPr>
                <w:lang w:val="en-GB"/>
              </w:rPr>
            </w:pPr>
            <w:r w:rsidRPr="00AE48B6">
              <w:rPr>
                <w:lang w:val="en-GB"/>
              </w:rPr>
              <w:t xml:space="preserve">Age, </w:t>
            </w:r>
            <w:r w:rsidR="00B930F4">
              <w:rPr>
                <w:lang w:val="en-GB"/>
              </w:rPr>
              <w:t xml:space="preserve">in years, </w:t>
            </w:r>
            <w:r w:rsidRPr="00AE48B6">
              <w:rPr>
                <w:lang w:val="en-GB"/>
              </w:rPr>
              <w:t xml:space="preserve">mean (range of means of studies) </w:t>
            </w:r>
          </w:p>
        </w:tc>
        <w:tc>
          <w:tcPr>
            <w:tcW w:w="1438" w:type="dxa"/>
            <w:hideMark/>
          </w:tcPr>
          <w:p w14:paraId="3DD7940F" w14:textId="77777777" w:rsidR="00645E43" w:rsidRPr="00AE48B6" w:rsidRDefault="00645E43" w:rsidP="00712F2E">
            <w:pPr>
              <w:spacing w:line="360" w:lineRule="auto"/>
              <w:rPr>
                <w:lang w:val="en-GB"/>
              </w:rPr>
            </w:pPr>
            <w:r w:rsidRPr="00AE48B6">
              <w:rPr>
                <w:lang w:val="en-GB"/>
              </w:rPr>
              <w:t>64 (51-78) ; 69</w:t>
            </w:r>
          </w:p>
        </w:tc>
        <w:tc>
          <w:tcPr>
            <w:tcW w:w="1164" w:type="dxa"/>
          </w:tcPr>
          <w:p w14:paraId="1257C70A" w14:textId="77777777" w:rsidR="00645E43" w:rsidRPr="00AE48B6" w:rsidRDefault="00645E43" w:rsidP="00712F2E">
            <w:pPr>
              <w:spacing w:line="360" w:lineRule="auto"/>
              <w:rPr>
                <w:lang w:val="en-GB"/>
              </w:rPr>
            </w:pPr>
            <w:r w:rsidRPr="00AE48B6">
              <w:rPr>
                <w:lang w:val="en-GB"/>
              </w:rPr>
              <w:t>61 (51-73) ; 13</w:t>
            </w:r>
          </w:p>
        </w:tc>
        <w:tc>
          <w:tcPr>
            <w:tcW w:w="1164" w:type="dxa"/>
          </w:tcPr>
          <w:p w14:paraId="4C7B77F7" w14:textId="77777777" w:rsidR="00645E43" w:rsidRPr="00AE48B6" w:rsidRDefault="00645E43" w:rsidP="00712F2E">
            <w:pPr>
              <w:spacing w:line="360" w:lineRule="auto"/>
              <w:rPr>
                <w:lang w:val="en-GB"/>
              </w:rPr>
            </w:pPr>
            <w:r w:rsidRPr="00AE48B6">
              <w:rPr>
                <w:lang w:val="en-GB"/>
              </w:rPr>
              <w:t>66 (56-76) ; 12</w:t>
            </w:r>
          </w:p>
        </w:tc>
        <w:tc>
          <w:tcPr>
            <w:tcW w:w="1374" w:type="dxa"/>
            <w:hideMark/>
          </w:tcPr>
          <w:p w14:paraId="37B61473" w14:textId="77777777" w:rsidR="00645E43" w:rsidRPr="00AE48B6" w:rsidRDefault="00645E43" w:rsidP="00712F2E">
            <w:pPr>
              <w:spacing w:line="360" w:lineRule="auto"/>
              <w:rPr>
                <w:lang w:val="en-GB"/>
              </w:rPr>
            </w:pPr>
            <w:r w:rsidRPr="00AE48B6">
              <w:rPr>
                <w:lang w:val="en-GB"/>
              </w:rPr>
              <w:t>64 (55-76) ; 17</w:t>
            </w:r>
          </w:p>
        </w:tc>
        <w:tc>
          <w:tcPr>
            <w:tcW w:w="1374" w:type="dxa"/>
            <w:hideMark/>
          </w:tcPr>
          <w:p w14:paraId="5F3B51D2" w14:textId="77777777" w:rsidR="00645E43" w:rsidRPr="00AE48B6" w:rsidRDefault="00645E43" w:rsidP="00712F2E">
            <w:pPr>
              <w:spacing w:line="360" w:lineRule="auto"/>
              <w:rPr>
                <w:lang w:val="en-GB"/>
              </w:rPr>
            </w:pPr>
            <w:r w:rsidRPr="00AE48B6">
              <w:rPr>
                <w:lang w:val="en-GB"/>
              </w:rPr>
              <w:t>62 (59-75) ; 13</w:t>
            </w:r>
          </w:p>
        </w:tc>
        <w:tc>
          <w:tcPr>
            <w:tcW w:w="1374" w:type="dxa"/>
            <w:hideMark/>
          </w:tcPr>
          <w:p w14:paraId="01BEE186" w14:textId="77777777" w:rsidR="00645E43" w:rsidRPr="00AE48B6" w:rsidRDefault="00645E43" w:rsidP="00712F2E">
            <w:pPr>
              <w:spacing w:line="360" w:lineRule="auto"/>
              <w:rPr>
                <w:lang w:val="en-GB"/>
              </w:rPr>
            </w:pPr>
            <w:r w:rsidRPr="00AE48B6">
              <w:rPr>
                <w:lang w:val="en-GB"/>
              </w:rPr>
              <w:t>62 (57-78) ; 13</w:t>
            </w:r>
          </w:p>
        </w:tc>
      </w:tr>
      <w:tr w:rsidR="00645E43" w:rsidRPr="00AD70F1" w14:paraId="27AED33C" w14:textId="77777777" w:rsidTr="00712F2E">
        <w:trPr>
          <w:trHeight w:val="468"/>
        </w:trPr>
        <w:tc>
          <w:tcPr>
            <w:tcW w:w="2061" w:type="dxa"/>
            <w:hideMark/>
          </w:tcPr>
          <w:p w14:paraId="7E92D699" w14:textId="77777777" w:rsidR="00645E43" w:rsidRPr="00AE48B6" w:rsidRDefault="00645E43" w:rsidP="00712F2E">
            <w:pPr>
              <w:spacing w:line="360" w:lineRule="auto"/>
              <w:rPr>
                <w:lang w:val="en-GB"/>
              </w:rPr>
            </w:pPr>
            <w:r w:rsidRPr="00AE48B6">
              <w:rPr>
                <w:lang w:val="en-GB"/>
              </w:rPr>
              <w:t>Gender, male</w:t>
            </w:r>
          </w:p>
        </w:tc>
        <w:tc>
          <w:tcPr>
            <w:tcW w:w="1438" w:type="dxa"/>
            <w:hideMark/>
          </w:tcPr>
          <w:p w14:paraId="623FA351" w14:textId="77777777" w:rsidR="00645E43" w:rsidRPr="00AE48B6" w:rsidRDefault="00645E43" w:rsidP="00712F2E">
            <w:pPr>
              <w:spacing w:line="360" w:lineRule="auto"/>
              <w:rPr>
                <w:lang w:val="en-GB"/>
              </w:rPr>
            </w:pPr>
            <w:r w:rsidRPr="00AE48B6">
              <w:rPr>
                <w:lang w:val="en-GB"/>
              </w:rPr>
              <w:t>1791/3270 (54.8%) ; 74</w:t>
            </w:r>
          </w:p>
        </w:tc>
        <w:tc>
          <w:tcPr>
            <w:tcW w:w="1164" w:type="dxa"/>
          </w:tcPr>
          <w:p w14:paraId="3E693E75" w14:textId="77777777" w:rsidR="00645E43" w:rsidRPr="00AE48B6" w:rsidRDefault="00645E43" w:rsidP="00712F2E">
            <w:pPr>
              <w:spacing w:line="360" w:lineRule="auto"/>
              <w:rPr>
                <w:lang w:val="en-GB"/>
              </w:rPr>
            </w:pPr>
            <w:r w:rsidRPr="00AE48B6">
              <w:rPr>
                <w:lang w:val="en-GB"/>
              </w:rPr>
              <w:t>400/625 (64.0%) ; 14</w:t>
            </w:r>
          </w:p>
        </w:tc>
        <w:tc>
          <w:tcPr>
            <w:tcW w:w="1164" w:type="dxa"/>
          </w:tcPr>
          <w:p w14:paraId="668DD4C9" w14:textId="77777777" w:rsidR="00645E43" w:rsidRPr="00AE48B6" w:rsidRDefault="00645E43" w:rsidP="00712F2E">
            <w:pPr>
              <w:spacing w:line="360" w:lineRule="auto"/>
              <w:rPr>
                <w:lang w:val="en-GB"/>
              </w:rPr>
            </w:pPr>
            <w:r w:rsidRPr="00AE48B6">
              <w:rPr>
                <w:lang w:val="en-GB"/>
              </w:rPr>
              <w:t>209/396 (52.8%) ; 12</w:t>
            </w:r>
          </w:p>
        </w:tc>
        <w:tc>
          <w:tcPr>
            <w:tcW w:w="1374" w:type="dxa"/>
            <w:hideMark/>
          </w:tcPr>
          <w:p w14:paraId="6A290B64" w14:textId="77777777" w:rsidR="00645E43" w:rsidRPr="00AE48B6" w:rsidRDefault="00645E43" w:rsidP="00712F2E">
            <w:pPr>
              <w:spacing w:line="360" w:lineRule="auto"/>
              <w:rPr>
                <w:lang w:val="en-GB"/>
              </w:rPr>
            </w:pPr>
            <w:r w:rsidRPr="00AE48B6">
              <w:rPr>
                <w:lang w:val="en-GB"/>
              </w:rPr>
              <w:t>478/966 (49.4%) ; 21</w:t>
            </w:r>
          </w:p>
        </w:tc>
        <w:tc>
          <w:tcPr>
            <w:tcW w:w="1374" w:type="dxa"/>
            <w:hideMark/>
          </w:tcPr>
          <w:p w14:paraId="43A6FC81" w14:textId="77777777" w:rsidR="00645E43" w:rsidRPr="00AE48B6" w:rsidRDefault="00645E43" w:rsidP="00712F2E">
            <w:pPr>
              <w:spacing w:line="360" w:lineRule="auto"/>
              <w:rPr>
                <w:lang w:val="en-GB"/>
              </w:rPr>
            </w:pPr>
            <w:r w:rsidRPr="00AE48B6">
              <w:rPr>
                <w:lang w:val="en-GB"/>
              </w:rPr>
              <w:t>502/918 (54.7%) ; 15</w:t>
            </w:r>
          </w:p>
        </w:tc>
        <w:tc>
          <w:tcPr>
            <w:tcW w:w="1374" w:type="dxa"/>
            <w:hideMark/>
          </w:tcPr>
          <w:p w14:paraId="7831C065" w14:textId="77777777" w:rsidR="00645E43" w:rsidRPr="00AE48B6" w:rsidRDefault="00645E43" w:rsidP="00712F2E">
            <w:pPr>
              <w:spacing w:line="360" w:lineRule="auto"/>
              <w:rPr>
                <w:lang w:val="en-GB"/>
              </w:rPr>
            </w:pPr>
            <w:r w:rsidRPr="00AE48B6">
              <w:rPr>
                <w:lang w:val="en-GB"/>
              </w:rPr>
              <w:t>128/269 (47.6%) ; 12</w:t>
            </w:r>
          </w:p>
        </w:tc>
      </w:tr>
      <w:tr w:rsidR="00645E43" w:rsidRPr="00AD70F1" w14:paraId="5229F25B" w14:textId="77777777" w:rsidTr="00712F2E">
        <w:trPr>
          <w:trHeight w:val="468"/>
        </w:trPr>
        <w:tc>
          <w:tcPr>
            <w:tcW w:w="2061" w:type="dxa"/>
            <w:hideMark/>
          </w:tcPr>
          <w:p w14:paraId="78EA780A" w14:textId="77777777" w:rsidR="00645E43" w:rsidRPr="00AE48B6" w:rsidRDefault="00645E43" w:rsidP="00712F2E">
            <w:pPr>
              <w:spacing w:line="360" w:lineRule="auto"/>
              <w:rPr>
                <w:lang w:val="en-GB"/>
              </w:rPr>
            </w:pPr>
            <w:r w:rsidRPr="00AE48B6">
              <w:rPr>
                <w:lang w:val="en-GB"/>
              </w:rPr>
              <w:t>ECOG PS0</w:t>
            </w:r>
          </w:p>
        </w:tc>
        <w:tc>
          <w:tcPr>
            <w:tcW w:w="1438" w:type="dxa"/>
            <w:hideMark/>
          </w:tcPr>
          <w:p w14:paraId="560C1044" w14:textId="77777777" w:rsidR="00645E43" w:rsidRPr="00AE48B6" w:rsidRDefault="00645E43" w:rsidP="00712F2E">
            <w:pPr>
              <w:spacing w:line="360" w:lineRule="auto"/>
              <w:rPr>
                <w:lang w:val="en-GB"/>
              </w:rPr>
            </w:pPr>
            <w:r w:rsidRPr="00AE48B6">
              <w:rPr>
                <w:lang w:val="en-GB"/>
              </w:rPr>
              <w:t>614/1251 (49.1%) ; 29</w:t>
            </w:r>
          </w:p>
        </w:tc>
        <w:tc>
          <w:tcPr>
            <w:tcW w:w="1164" w:type="dxa"/>
          </w:tcPr>
          <w:p w14:paraId="27D8EBA1" w14:textId="77777777" w:rsidR="00645E43" w:rsidRPr="00AE48B6" w:rsidRDefault="00645E43" w:rsidP="00712F2E">
            <w:pPr>
              <w:spacing w:line="360" w:lineRule="auto"/>
              <w:rPr>
                <w:lang w:val="en-GB"/>
              </w:rPr>
            </w:pPr>
            <w:r w:rsidRPr="00AE48B6">
              <w:rPr>
                <w:lang w:val="en-GB"/>
              </w:rPr>
              <w:t>NA</w:t>
            </w:r>
          </w:p>
        </w:tc>
        <w:tc>
          <w:tcPr>
            <w:tcW w:w="1164" w:type="dxa"/>
          </w:tcPr>
          <w:p w14:paraId="47D43AAE" w14:textId="77777777" w:rsidR="00645E43" w:rsidRPr="00AE48B6" w:rsidRDefault="00645E43" w:rsidP="00712F2E">
            <w:pPr>
              <w:spacing w:line="360" w:lineRule="auto"/>
              <w:rPr>
                <w:lang w:val="en-GB"/>
              </w:rPr>
            </w:pPr>
            <w:r w:rsidRPr="00AE48B6">
              <w:rPr>
                <w:lang w:val="en-GB"/>
              </w:rPr>
              <w:t>125/284 (44.0%) ; 8</w:t>
            </w:r>
          </w:p>
        </w:tc>
        <w:tc>
          <w:tcPr>
            <w:tcW w:w="1374" w:type="dxa"/>
            <w:hideMark/>
          </w:tcPr>
          <w:p w14:paraId="33DC1215" w14:textId="77777777" w:rsidR="00645E43" w:rsidRPr="00AE48B6" w:rsidRDefault="00645E43" w:rsidP="00712F2E">
            <w:pPr>
              <w:spacing w:line="360" w:lineRule="auto"/>
              <w:rPr>
                <w:lang w:val="en-GB"/>
              </w:rPr>
            </w:pPr>
            <w:r w:rsidRPr="00AE48B6">
              <w:rPr>
                <w:lang w:val="en-GB"/>
              </w:rPr>
              <w:t>340/665 (51.1%) ; 12</w:t>
            </w:r>
          </w:p>
        </w:tc>
        <w:tc>
          <w:tcPr>
            <w:tcW w:w="1374" w:type="dxa"/>
            <w:hideMark/>
          </w:tcPr>
          <w:p w14:paraId="1CAE868C" w14:textId="77777777" w:rsidR="00645E43" w:rsidRPr="00AE48B6" w:rsidRDefault="00645E43" w:rsidP="00712F2E">
            <w:pPr>
              <w:spacing w:line="360" w:lineRule="auto"/>
              <w:rPr>
                <w:lang w:val="en-GB"/>
              </w:rPr>
            </w:pPr>
            <w:r w:rsidRPr="00AE48B6">
              <w:rPr>
                <w:lang w:val="en-GB"/>
              </w:rPr>
              <w:t>112/241 (46.5%) ; 5</w:t>
            </w:r>
          </w:p>
        </w:tc>
        <w:tc>
          <w:tcPr>
            <w:tcW w:w="1374" w:type="dxa"/>
            <w:hideMark/>
          </w:tcPr>
          <w:p w14:paraId="6E6C774F" w14:textId="77777777" w:rsidR="00645E43" w:rsidRPr="00AE48B6" w:rsidRDefault="00645E43" w:rsidP="00712F2E">
            <w:pPr>
              <w:spacing w:line="360" w:lineRule="auto"/>
              <w:rPr>
                <w:lang w:val="en-GB"/>
              </w:rPr>
            </w:pPr>
            <w:r w:rsidRPr="00AE48B6">
              <w:rPr>
                <w:lang w:val="en-GB"/>
              </w:rPr>
              <w:t>37/61 (60.7%) ; 4</w:t>
            </w:r>
          </w:p>
        </w:tc>
      </w:tr>
      <w:tr w:rsidR="00645E43" w:rsidRPr="00AD70F1" w14:paraId="57E43708" w14:textId="77777777" w:rsidTr="00712F2E">
        <w:trPr>
          <w:trHeight w:val="468"/>
        </w:trPr>
        <w:tc>
          <w:tcPr>
            <w:tcW w:w="2061" w:type="dxa"/>
            <w:hideMark/>
          </w:tcPr>
          <w:p w14:paraId="2E437330" w14:textId="77777777" w:rsidR="00645E43" w:rsidRPr="00AE48B6" w:rsidRDefault="00645E43" w:rsidP="00712F2E">
            <w:pPr>
              <w:spacing w:line="360" w:lineRule="auto"/>
              <w:rPr>
                <w:lang w:val="en-GB"/>
              </w:rPr>
            </w:pPr>
            <w:r w:rsidRPr="00AE48B6">
              <w:rPr>
                <w:lang w:val="en-GB"/>
              </w:rPr>
              <w:t>Underlying cirrhosis</w:t>
            </w:r>
          </w:p>
        </w:tc>
        <w:tc>
          <w:tcPr>
            <w:tcW w:w="1438" w:type="dxa"/>
            <w:hideMark/>
          </w:tcPr>
          <w:p w14:paraId="6CA6C204" w14:textId="77777777" w:rsidR="00645E43" w:rsidRPr="00AE48B6" w:rsidRDefault="00645E43" w:rsidP="00712F2E">
            <w:pPr>
              <w:spacing w:line="360" w:lineRule="auto"/>
              <w:rPr>
                <w:lang w:val="en-GB"/>
              </w:rPr>
            </w:pPr>
            <w:r w:rsidRPr="00AE48B6">
              <w:rPr>
                <w:lang w:val="en-GB"/>
              </w:rPr>
              <w:t>308/1306 (23.6%) ; 23</w:t>
            </w:r>
          </w:p>
        </w:tc>
        <w:tc>
          <w:tcPr>
            <w:tcW w:w="1164" w:type="dxa"/>
          </w:tcPr>
          <w:p w14:paraId="546DFB87" w14:textId="77777777" w:rsidR="00645E43" w:rsidRPr="00AE48B6" w:rsidRDefault="00645E43" w:rsidP="00712F2E">
            <w:pPr>
              <w:spacing w:line="360" w:lineRule="auto"/>
              <w:rPr>
                <w:lang w:val="en-GB"/>
              </w:rPr>
            </w:pPr>
            <w:r w:rsidRPr="00AE48B6">
              <w:rPr>
                <w:lang w:val="en-GB"/>
              </w:rPr>
              <w:t>140/449 (31.1%) ; 9</w:t>
            </w:r>
          </w:p>
        </w:tc>
        <w:tc>
          <w:tcPr>
            <w:tcW w:w="1164" w:type="dxa"/>
          </w:tcPr>
          <w:p w14:paraId="1A574F6C" w14:textId="77777777" w:rsidR="00645E43" w:rsidRPr="00AE48B6" w:rsidRDefault="00645E43" w:rsidP="00712F2E">
            <w:pPr>
              <w:spacing w:line="360" w:lineRule="auto"/>
              <w:rPr>
                <w:lang w:val="en-GB"/>
              </w:rPr>
            </w:pPr>
            <w:r w:rsidRPr="00AE48B6">
              <w:rPr>
                <w:lang w:val="en-GB"/>
              </w:rPr>
              <w:t>14/94 (14.9%) ; 2</w:t>
            </w:r>
          </w:p>
        </w:tc>
        <w:tc>
          <w:tcPr>
            <w:tcW w:w="1374" w:type="dxa"/>
            <w:hideMark/>
          </w:tcPr>
          <w:p w14:paraId="228EB2DC" w14:textId="77777777" w:rsidR="00645E43" w:rsidRPr="00AE48B6" w:rsidRDefault="00645E43" w:rsidP="00712F2E">
            <w:pPr>
              <w:spacing w:line="360" w:lineRule="auto"/>
              <w:rPr>
                <w:lang w:val="en-GB"/>
              </w:rPr>
            </w:pPr>
            <w:r w:rsidRPr="00AE48B6">
              <w:rPr>
                <w:lang w:val="en-GB"/>
              </w:rPr>
              <w:t>82/486 (16.9%) ; 8</w:t>
            </w:r>
          </w:p>
        </w:tc>
        <w:tc>
          <w:tcPr>
            <w:tcW w:w="1374" w:type="dxa"/>
            <w:hideMark/>
          </w:tcPr>
          <w:p w14:paraId="5770667B" w14:textId="77777777" w:rsidR="00645E43" w:rsidRPr="00AE48B6" w:rsidRDefault="00645E43" w:rsidP="00712F2E">
            <w:pPr>
              <w:spacing w:line="360" w:lineRule="auto"/>
              <w:rPr>
                <w:lang w:val="en-GB"/>
              </w:rPr>
            </w:pPr>
            <w:r w:rsidRPr="00AE48B6">
              <w:rPr>
                <w:lang w:val="en-GB"/>
              </w:rPr>
              <w:t>71/261 (27.2%) ; 3</w:t>
            </w:r>
          </w:p>
        </w:tc>
        <w:tc>
          <w:tcPr>
            <w:tcW w:w="1374" w:type="dxa"/>
            <w:hideMark/>
          </w:tcPr>
          <w:p w14:paraId="0E185E3E" w14:textId="77777777" w:rsidR="00645E43" w:rsidRPr="00AE48B6" w:rsidRDefault="00645E43" w:rsidP="00712F2E">
            <w:pPr>
              <w:spacing w:line="360" w:lineRule="auto"/>
              <w:rPr>
                <w:lang w:val="en-GB"/>
              </w:rPr>
            </w:pPr>
            <w:r w:rsidRPr="00AE48B6">
              <w:rPr>
                <w:lang w:val="en-GB"/>
              </w:rPr>
              <w:t>NA</w:t>
            </w:r>
          </w:p>
        </w:tc>
      </w:tr>
      <w:tr w:rsidR="00645E43" w:rsidRPr="00AD70F1" w14:paraId="63116939" w14:textId="77777777" w:rsidTr="00712F2E">
        <w:trPr>
          <w:trHeight w:val="468"/>
        </w:trPr>
        <w:tc>
          <w:tcPr>
            <w:tcW w:w="2061" w:type="dxa"/>
            <w:hideMark/>
          </w:tcPr>
          <w:p w14:paraId="692004D2" w14:textId="2412239E" w:rsidR="00645E43" w:rsidRPr="00AE48B6" w:rsidRDefault="00645E43" w:rsidP="00712F2E">
            <w:pPr>
              <w:spacing w:line="360" w:lineRule="auto"/>
              <w:rPr>
                <w:lang w:val="en-GB"/>
              </w:rPr>
            </w:pPr>
            <w:r w:rsidRPr="00AE48B6">
              <w:rPr>
                <w:lang w:val="en-GB"/>
              </w:rPr>
              <w:t>Previous chemo</w:t>
            </w:r>
            <w:r w:rsidR="0061420A">
              <w:rPr>
                <w:lang w:val="en-GB"/>
              </w:rPr>
              <w:t>therapy</w:t>
            </w:r>
          </w:p>
        </w:tc>
        <w:tc>
          <w:tcPr>
            <w:tcW w:w="1438" w:type="dxa"/>
            <w:hideMark/>
          </w:tcPr>
          <w:p w14:paraId="0C65E11B" w14:textId="77777777" w:rsidR="00645E43" w:rsidRPr="00AE48B6" w:rsidRDefault="00645E43" w:rsidP="00712F2E">
            <w:pPr>
              <w:spacing w:line="360" w:lineRule="auto"/>
              <w:rPr>
                <w:lang w:val="en-GB"/>
              </w:rPr>
            </w:pPr>
            <w:r w:rsidRPr="00AE48B6">
              <w:rPr>
                <w:lang w:val="en-GB"/>
              </w:rPr>
              <w:t>734/1671 (43.9%) ; 44</w:t>
            </w:r>
          </w:p>
        </w:tc>
        <w:tc>
          <w:tcPr>
            <w:tcW w:w="1164" w:type="dxa"/>
          </w:tcPr>
          <w:p w14:paraId="3B79831A" w14:textId="77777777" w:rsidR="00645E43" w:rsidRPr="00AE48B6" w:rsidRDefault="00645E43" w:rsidP="00712F2E">
            <w:pPr>
              <w:spacing w:line="360" w:lineRule="auto"/>
              <w:rPr>
                <w:lang w:val="en-GB"/>
              </w:rPr>
            </w:pPr>
            <w:r w:rsidRPr="00AE48B6">
              <w:rPr>
                <w:lang w:val="en-GB"/>
              </w:rPr>
              <w:t>0/56 (0%) ; 1</w:t>
            </w:r>
          </w:p>
        </w:tc>
        <w:tc>
          <w:tcPr>
            <w:tcW w:w="1164" w:type="dxa"/>
          </w:tcPr>
          <w:p w14:paraId="3FA7626C" w14:textId="77777777" w:rsidR="00645E43" w:rsidRPr="00AE48B6" w:rsidRDefault="00645E43" w:rsidP="00712F2E">
            <w:pPr>
              <w:spacing w:line="360" w:lineRule="auto"/>
              <w:rPr>
                <w:lang w:val="en-GB"/>
              </w:rPr>
            </w:pPr>
            <w:r w:rsidRPr="00AE48B6">
              <w:rPr>
                <w:lang w:val="en-GB"/>
              </w:rPr>
              <w:t>131/247 (53.0%) ; 6</w:t>
            </w:r>
          </w:p>
        </w:tc>
        <w:tc>
          <w:tcPr>
            <w:tcW w:w="1374" w:type="dxa"/>
            <w:hideMark/>
          </w:tcPr>
          <w:p w14:paraId="1377AB3E" w14:textId="77777777" w:rsidR="00645E43" w:rsidRPr="00AE48B6" w:rsidRDefault="00645E43" w:rsidP="00712F2E">
            <w:pPr>
              <w:spacing w:line="360" w:lineRule="auto"/>
              <w:rPr>
                <w:lang w:val="en-GB"/>
              </w:rPr>
            </w:pPr>
            <w:r w:rsidRPr="00AE48B6">
              <w:rPr>
                <w:lang w:val="en-GB"/>
              </w:rPr>
              <w:t>469/782 (60.0%) ; 18</w:t>
            </w:r>
          </w:p>
        </w:tc>
        <w:tc>
          <w:tcPr>
            <w:tcW w:w="1374" w:type="dxa"/>
            <w:hideMark/>
          </w:tcPr>
          <w:p w14:paraId="70F1337A" w14:textId="77777777" w:rsidR="00645E43" w:rsidRPr="00AE48B6" w:rsidRDefault="00645E43" w:rsidP="00712F2E">
            <w:pPr>
              <w:spacing w:line="360" w:lineRule="auto"/>
              <w:rPr>
                <w:lang w:val="en-GB"/>
              </w:rPr>
            </w:pPr>
            <w:r w:rsidRPr="00AE48B6">
              <w:rPr>
                <w:lang w:val="en-GB"/>
              </w:rPr>
              <w:t>91/371 (24.5%) ; 9</w:t>
            </w:r>
          </w:p>
        </w:tc>
        <w:tc>
          <w:tcPr>
            <w:tcW w:w="1374" w:type="dxa"/>
            <w:hideMark/>
          </w:tcPr>
          <w:p w14:paraId="7050B3DF" w14:textId="77777777" w:rsidR="00645E43" w:rsidRPr="00AE48B6" w:rsidRDefault="00645E43" w:rsidP="00712F2E">
            <w:pPr>
              <w:spacing w:line="360" w:lineRule="auto"/>
              <w:rPr>
                <w:lang w:val="en-GB"/>
              </w:rPr>
            </w:pPr>
            <w:r w:rsidRPr="00AE48B6">
              <w:rPr>
                <w:lang w:val="en-GB"/>
              </w:rPr>
              <w:t>43/180 (23.9%) ; 10</w:t>
            </w:r>
          </w:p>
        </w:tc>
      </w:tr>
      <w:tr w:rsidR="00645E43" w:rsidRPr="00AD70F1" w14:paraId="76A7133F" w14:textId="77777777" w:rsidTr="00712F2E">
        <w:trPr>
          <w:trHeight w:val="468"/>
        </w:trPr>
        <w:tc>
          <w:tcPr>
            <w:tcW w:w="2061" w:type="dxa"/>
            <w:hideMark/>
          </w:tcPr>
          <w:p w14:paraId="2DFE893F" w14:textId="77777777" w:rsidR="00645E43" w:rsidRPr="00AE48B6" w:rsidRDefault="00645E43" w:rsidP="00712F2E">
            <w:pPr>
              <w:spacing w:line="360" w:lineRule="auto"/>
              <w:rPr>
                <w:lang w:val="en-GB"/>
              </w:rPr>
            </w:pPr>
            <w:r w:rsidRPr="00AE48B6">
              <w:rPr>
                <w:lang w:val="en-GB"/>
              </w:rPr>
              <w:t>Previous surgery</w:t>
            </w:r>
          </w:p>
        </w:tc>
        <w:tc>
          <w:tcPr>
            <w:tcW w:w="1438" w:type="dxa"/>
            <w:hideMark/>
          </w:tcPr>
          <w:p w14:paraId="18E4120D" w14:textId="77777777" w:rsidR="00645E43" w:rsidRPr="00AE48B6" w:rsidRDefault="00645E43" w:rsidP="00712F2E">
            <w:pPr>
              <w:spacing w:line="360" w:lineRule="auto"/>
              <w:rPr>
                <w:lang w:val="en-GB"/>
              </w:rPr>
            </w:pPr>
            <w:r w:rsidRPr="00AE48B6">
              <w:rPr>
                <w:lang w:val="en-GB"/>
              </w:rPr>
              <w:t>738/2008 (36.8%) ; 43</w:t>
            </w:r>
          </w:p>
        </w:tc>
        <w:tc>
          <w:tcPr>
            <w:tcW w:w="1164" w:type="dxa"/>
          </w:tcPr>
          <w:p w14:paraId="0095403D" w14:textId="77777777" w:rsidR="00645E43" w:rsidRPr="00AE48B6" w:rsidRDefault="00645E43" w:rsidP="00712F2E">
            <w:pPr>
              <w:spacing w:line="360" w:lineRule="auto"/>
              <w:rPr>
                <w:lang w:val="en-GB"/>
              </w:rPr>
            </w:pPr>
            <w:r w:rsidRPr="00AE48B6">
              <w:rPr>
                <w:lang w:val="en-GB"/>
              </w:rPr>
              <w:t>280/547 (51.2%) ; 10</w:t>
            </w:r>
          </w:p>
        </w:tc>
        <w:tc>
          <w:tcPr>
            <w:tcW w:w="1164" w:type="dxa"/>
          </w:tcPr>
          <w:p w14:paraId="78CE0A85" w14:textId="77777777" w:rsidR="00645E43" w:rsidRPr="00AE48B6" w:rsidRDefault="00645E43" w:rsidP="00712F2E">
            <w:pPr>
              <w:spacing w:line="360" w:lineRule="auto"/>
              <w:rPr>
                <w:lang w:val="en-GB"/>
              </w:rPr>
            </w:pPr>
            <w:r w:rsidRPr="00AE48B6">
              <w:rPr>
                <w:lang w:val="en-GB"/>
              </w:rPr>
              <w:t>12/190 (6.3%) ; 5</w:t>
            </w:r>
          </w:p>
        </w:tc>
        <w:tc>
          <w:tcPr>
            <w:tcW w:w="1374" w:type="dxa"/>
            <w:hideMark/>
          </w:tcPr>
          <w:p w14:paraId="13769086" w14:textId="77777777" w:rsidR="00645E43" w:rsidRPr="00AE48B6" w:rsidRDefault="00645E43" w:rsidP="00712F2E">
            <w:pPr>
              <w:spacing w:line="360" w:lineRule="auto"/>
              <w:rPr>
                <w:lang w:val="en-GB"/>
              </w:rPr>
            </w:pPr>
            <w:r w:rsidRPr="00AE48B6">
              <w:rPr>
                <w:lang w:val="en-GB"/>
              </w:rPr>
              <w:t>166/726 (22.9%) ; 16</w:t>
            </w:r>
          </w:p>
        </w:tc>
        <w:tc>
          <w:tcPr>
            <w:tcW w:w="1374" w:type="dxa"/>
            <w:hideMark/>
          </w:tcPr>
          <w:p w14:paraId="46931B9A" w14:textId="77777777" w:rsidR="00645E43" w:rsidRPr="00AE48B6" w:rsidRDefault="00645E43" w:rsidP="00712F2E">
            <w:pPr>
              <w:spacing w:line="360" w:lineRule="auto"/>
              <w:rPr>
                <w:lang w:val="en-GB"/>
              </w:rPr>
            </w:pPr>
            <w:r w:rsidRPr="00AE48B6">
              <w:rPr>
                <w:lang w:val="en-GB"/>
              </w:rPr>
              <w:t>261/486 (53.7%) ; 8</w:t>
            </w:r>
          </w:p>
        </w:tc>
        <w:tc>
          <w:tcPr>
            <w:tcW w:w="1374" w:type="dxa"/>
            <w:hideMark/>
          </w:tcPr>
          <w:p w14:paraId="1496C242" w14:textId="77777777" w:rsidR="00645E43" w:rsidRPr="00AE48B6" w:rsidRDefault="00645E43" w:rsidP="00712F2E">
            <w:pPr>
              <w:spacing w:line="360" w:lineRule="auto"/>
              <w:rPr>
                <w:lang w:val="en-GB"/>
              </w:rPr>
            </w:pPr>
            <w:r w:rsidRPr="00AE48B6">
              <w:rPr>
                <w:lang w:val="en-GB"/>
              </w:rPr>
              <w:t>19/59 (32.2%) ; 4</w:t>
            </w:r>
          </w:p>
        </w:tc>
      </w:tr>
      <w:tr w:rsidR="00645E43" w:rsidRPr="00AD70F1" w14:paraId="598CC77C" w14:textId="77777777" w:rsidTr="00712F2E">
        <w:trPr>
          <w:trHeight w:val="468"/>
        </w:trPr>
        <w:tc>
          <w:tcPr>
            <w:tcW w:w="2061" w:type="dxa"/>
            <w:hideMark/>
          </w:tcPr>
          <w:p w14:paraId="029A5DB6" w14:textId="77777777" w:rsidR="00645E43" w:rsidRPr="00AE48B6" w:rsidRDefault="00645E43" w:rsidP="00712F2E">
            <w:pPr>
              <w:spacing w:line="360" w:lineRule="auto"/>
              <w:rPr>
                <w:lang w:val="en-GB"/>
              </w:rPr>
            </w:pPr>
            <w:r w:rsidRPr="00AE48B6">
              <w:rPr>
                <w:lang w:val="en-GB"/>
              </w:rPr>
              <w:t>Previous locoregional treatment</w:t>
            </w:r>
          </w:p>
        </w:tc>
        <w:tc>
          <w:tcPr>
            <w:tcW w:w="1438" w:type="dxa"/>
            <w:hideMark/>
          </w:tcPr>
          <w:p w14:paraId="7709D27A" w14:textId="77777777" w:rsidR="00645E43" w:rsidRPr="00AE48B6" w:rsidRDefault="00645E43" w:rsidP="00712F2E">
            <w:pPr>
              <w:spacing w:line="360" w:lineRule="auto"/>
              <w:rPr>
                <w:lang w:val="en-GB"/>
              </w:rPr>
            </w:pPr>
            <w:r w:rsidRPr="00AE48B6">
              <w:rPr>
                <w:lang w:val="en-GB"/>
              </w:rPr>
              <w:t>137/1001 (13.6%) ; 25</w:t>
            </w:r>
          </w:p>
        </w:tc>
        <w:tc>
          <w:tcPr>
            <w:tcW w:w="1164" w:type="dxa"/>
          </w:tcPr>
          <w:p w14:paraId="4EDC777A" w14:textId="77777777" w:rsidR="00645E43" w:rsidRPr="00AE48B6" w:rsidRDefault="00645E43" w:rsidP="00712F2E">
            <w:pPr>
              <w:spacing w:line="360" w:lineRule="auto"/>
              <w:rPr>
                <w:lang w:val="en-GB"/>
              </w:rPr>
            </w:pPr>
            <w:r w:rsidRPr="00AE48B6">
              <w:rPr>
                <w:lang w:val="en-GB"/>
              </w:rPr>
              <w:t>56/133 (42.1%) ; 2</w:t>
            </w:r>
          </w:p>
        </w:tc>
        <w:tc>
          <w:tcPr>
            <w:tcW w:w="1164" w:type="dxa"/>
          </w:tcPr>
          <w:p w14:paraId="7AE0561D" w14:textId="77777777" w:rsidR="00645E43" w:rsidRPr="00AE48B6" w:rsidRDefault="00645E43" w:rsidP="00712F2E">
            <w:pPr>
              <w:spacing w:line="360" w:lineRule="auto"/>
              <w:rPr>
                <w:lang w:val="en-GB"/>
              </w:rPr>
            </w:pPr>
            <w:r w:rsidRPr="00AE48B6">
              <w:rPr>
                <w:lang w:val="en-GB"/>
              </w:rPr>
              <w:t>12/118 (10.2%) ; 4</w:t>
            </w:r>
          </w:p>
        </w:tc>
        <w:tc>
          <w:tcPr>
            <w:tcW w:w="1374" w:type="dxa"/>
            <w:hideMark/>
          </w:tcPr>
          <w:p w14:paraId="0B548BBA" w14:textId="77777777" w:rsidR="00645E43" w:rsidRPr="00AE48B6" w:rsidRDefault="00645E43" w:rsidP="00712F2E">
            <w:pPr>
              <w:spacing w:line="360" w:lineRule="auto"/>
              <w:rPr>
                <w:lang w:val="en-GB"/>
              </w:rPr>
            </w:pPr>
            <w:r w:rsidRPr="00AE48B6">
              <w:rPr>
                <w:lang w:val="en-GB"/>
              </w:rPr>
              <w:t>30/425 (7.1%) ; 10</w:t>
            </w:r>
          </w:p>
        </w:tc>
        <w:tc>
          <w:tcPr>
            <w:tcW w:w="1374" w:type="dxa"/>
            <w:hideMark/>
          </w:tcPr>
          <w:p w14:paraId="45811558" w14:textId="77777777" w:rsidR="00645E43" w:rsidRPr="00AE48B6" w:rsidRDefault="00645E43" w:rsidP="00712F2E">
            <w:pPr>
              <w:spacing w:line="360" w:lineRule="auto"/>
              <w:rPr>
                <w:lang w:val="en-GB"/>
              </w:rPr>
            </w:pPr>
            <w:r w:rsidRPr="00AE48B6">
              <w:rPr>
                <w:lang w:val="en-GB"/>
              </w:rPr>
              <w:t>22/233 (9.4%) ; 6</w:t>
            </w:r>
          </w:p>
        </w:tc>
        <w:tc>
          <w:tcPr>
            <w:tcW w:w="1374" w:type="dxa"/>
            <w:hideMark/>
          </w:tcPr>
          <w:p w14:paraId="041CA258" w14:textId="77777777" w:rsidR="00645E43" w:rsidRPr="00AE48B6" w:rsidRDefault="00645E43" w:rsidP="00712F2E">
            <w:pPr>
              <w:spacing w:line="360" w:lineRule="auto"/>
              <w:rPr>
                <w:lang w:val="en-GB"/>
              </w:rPr>
            </w:pPr>
            <w:r w:rsidRPr="00AE48B6">
              <w:rPr>
                <w:lang w:val="en-GB"/>
              </w:rPr>
              <w:t>4/57 (7.0%) ; 3</w:t>
            </w:r>
          </w:p>
        </w:tc>
      </w:tr>
      <w:tr w:rsidR="00645E43" w:rsidRPr="00AD70F1" w14:paraId="6AA8622D" w14:textId="77777777" w:rsidTr="00712F2E">
        <w:trPr>
          <w:trHeight w:val="468"/>
        </w:trPr>
        <w:tc>
          <w:tcPr>
            <w:tcW w:w="2061" w:type="dxa"/>
            <w:hideMark/>
          </w:tcPr>
          <w:p w14:paraId="08CDBEC3" w14:textId="77777777" w:rsidR="00645E43" w:rsidRPr="00AE48B6" w:rsidRDefault="00645E43" w:rsidP="00712F2E">
            <w:pPr>
              <w:spacing w:line="360" w:lineRule="auto"/>
              <w:rPr>
                <w:lang w:val="en-GB"/>
              </w:rPr>
            </w:pPr>
            <w:r w:rsidRPr="00AE48B6">
              <w:rPr>
                <w:lang w:val="en-GB"/>
              </w:rPr>
              <w:lastRenderedPageBreak/>
              <w:t>Previous biliary drainage</w:t>
            </w:r>
          </w:p>
        </w:tc>
        <w:tc>
          <w:tcPr>
            <w:tcW w:w="1438" w:type="dxa"/>
            <w:hideMark/>
          </w:tcPr>
          <w:p w14:paraId="581BE2BB" w14:textId="77777777" w:rsidR="00645E43" w:rsidRPr="00AE48B6" w:rsidRDefault="00645E43" w:rsidP="00712F2E">
            <w:pPr>
              <w:spacing w:line="360" w:lineRule="auto"/>
              <w:rPr>
                <w:lang w:val="en-GB"/>
              </w:rPr>
            </w:pPr>
            <w:r w:rsidRPr="00AE48B6">
              <w:rPr>
                <w:lang w:val="en-GB"/>
              </w:rPr>
              <w:t>50/413 (12.1%) ; 9</w:t>
            </w:r>
          </w:p>
        </w:tc>
        <w:tc>
          <w:tcPr>
            <w:tcW w:w="1164" w:type="dxa"/>
          </w:tcPr>
          <w:p w14:paraId="40D5F9FF" w14:textId="77777777" w:rsidR="00645E43" w:rsidRPr="00AE48B6" w:rsidRDefault="00645E43" w:rsidP="00712F2E">
            <w:pPr>
              <w:spacing w:line="360" w:lineRule="auto"/>
              <w:rPr>
                <w:lang w:val="en-GB"/>
              </w:rPr>
            </w:pPr>
            <w:r w:rsidRPr="00AE48B6">
              <w:rPr>
                <w:lang w:val="en-GB"/>
              </w:rPr>
              <w:t>NA</w:t>
            </w:r>
          </w:p>
        </w:tc>
        <w:tc>
          <w:tcPr>
            <w:tcW w:w="1164" w:type="dxa"/>
          </w:tcPr>
          <w:p w14:paraId="6BE49236" w14:textId="77777777" w:rsidR="00645E43" w:rsidRPr="00AE48B6" w:rsidRDefault="00645E43" w:rsidP="00712F2E">
            <w:pPr>
              <w:spacing w:line="360" w:lineRule="auto"/>
              <w:rPr>
                <w:lang w:val="en-GB"/>
              </w:rPr>
            </w:pPr>
            <w:r w:rsidRPr="00AE48B6">
              <w:rPr>
                <w:lang w:val="en-GB"/>
              </w:rPr>
              <w:t>21/157 (13.4%) ; 3</w:t>
            </w:r>
          </w:p>
        </w:tc>
        <w:tc>
          <w:tcPr>
            <w:tcW w:w="1374" w:type="dxa"/>
            <w:hideMark/>
          </w:tcPr>
          <w:p w14:paraId="3ACA1502" w14:textId="77777777" w:rsidR="00645E43" w:rsidRPr="00AE48B6" w:rsidRDefault="00645E43" w:rsidP="00712F2E">
            <w:pPr>
              <w:spacing w:line="360" w:lineRule="auto"/>
              <w:rPr>
                <w:lang w:val="en-GB"/>
              </w:rPr>
            </w:pPr>
            <w:r w:rsidRPr="00AE48B6">
              <w:rPr>
                <w:lang w:val="en-GB"/>
              </w:rPr>
              <w:t>20/196 (10.2%) ; 4</w:t>
            </w:r>
          </w:p>
        </w:tc>
        <w:tc>
          <w:tcPr>
            <w:tcW w:w="1374" w:type="dxa"/>
            <w:hideMark/>
          </w:tcPr>
          <w:p w14:paraId="7594BD13" w14:textId="77777777" w:rsidR="00645E43" w:rsidRPr="00AE48B6" w:rsidRDefault="00645E43" w:rsidP="00712F2E">
            <w:pPr>
              <w:spacing w:line="360" w:lineRule="auto"/>
              <w:rPr>
                <w:lang w:val="en-GB"/>
              </w:rPr>
            </w:pPr>
            <w:r w:rsidRPr="00AE48B6">
              <w:rPr>
                <w:lang w:val="en-GB"/>
              </w:rPr>
              <w:t>NA</w:t>
            </w:r>
          </w:p>
        </w:tc>
        <w:tc>
          <w:tcPr>
            <w:tcW w:w="1374" w:type="dxa"/>
            <w:hideMark/>
          </w:tcPr>
          <w:p w14:paraId="66266974" w14:textId="77777777" w:rsidR="00645E43" w:rsidRPr="00AE48B6" w:rsidRDefault="00645E43" w:rsidP="00712F2E">
            <w:pPr>
              <w:spacing w:line="360" w:lineRule="auto"/>
              <w:rPr>
                <w:lang w:val="en-GB"/>
              </w:rPr>
            </w:pPr>
            <w:r w:rsidRPr="00AE48B6">
              <w:rPr>
                <w:lang w:val="en-GB"/>
              </w:rPr>
              <w:t>NA</w:t>
            </w:r>
          </w:p>
        </w:tc>
      </w:tr>
      <w:tr w:rsidR="00645E43" w:rsidRPr="00AD70F1" w14:paraId="39475F6B" w14:textId="77777777" w:rsidTr="00712F2E">
        <w:trPr>
          <w:trHeight w:val="468"/>
        </w:trPr>
        <w:tc>
          <w:tcPr>
            <w:tcW w:w="2061" w:type="dxa"/>
          </w:tcPr>
          <w:p w14:paraId="58CB4CC9" w14:textId="45C0DC46" w:rsidR="00645E43" w:rsidRPr="00AE48B6" w:rsidRDefault="00645E43" w:rsidP="00712F2E">
            <w:pPr>
              <w:spacing w:line="360" w:lineRule="auto"/>
              <w:rPr>
                <w:lang w:val="en-GB"/>
              </w:rPr>
            </w:pPr>
            <w:r w:rsidRPr="00AE48B6">
              <w:rPr>
                <w:lang w:val="en-GB"/>
              </w:rPr>
              <w:t>Largest tumo</w:t>
            </w:r>
            <w:r w:rsidR="00761DD7">
              <w:rPr>
                <w:lang w:val="en-GB"/>
              </w:rPr>
              <w:t>u</w:t>
            </w:r>
            <w:r w:rsidRPr="00AE48B6">
              <w:rPr>
                <w:lang w:val="en-GB"/>
              </w:rPr>
              <w:t xml:space="preserve">r size in mm, mean (range) </w:t>
            </w:r>
          </w:p>
        </w:tc>
        <w:tc>
          <w:tcPr>
            <w:tcW w:w="1438" w:type="dxa"/>
          </w:tcPr>
          <w:p w14:paraId="0A4D9F34" w14:textId="77777777" w:rsidR="00645E43" w:rsidRPr="00AE48B6" w:rsidRDefault="00645E43" w:rsidP="00712F2E">
            <w:pPr>
              <w:spacing w:line="360" w:lineRule="auto"/>
              <w:rPr>
                <w:lang w:val="en-GB"/>
              </w:rPr>
            </w:pPr>
            <w:r w:rsidRPr="00AE48B6">
              <w:rPr>
                <w:lang w:val="en-GB"/>
              </w:rPr>
              <w:t>60 (15-115) ; 38</w:t>
            </w:r>
          </w:p>
        </w:tc>
        <w:tc>
          <w:tcPr>
            <w:tcW w:w="1164" w:type="dxa"/>
          </w:tcPr>
          <w:p w14:paraId="5EE13BBF" w14:textId="77777777" w:rsidR="00645E43" w:rsidRPr="00AE48B6" w:rsidRDefault="00645E43" w:rsidP="00712F2E">
            <w:pPr>
              <w:spacing w:line="360" w:lineRule="auto"/>
              <w:rPr>
                <w:lang w:val="en-GB"/>
              </w:rPr>
            </w:pPr>
            <w:r w:rsidRPr="00AE48B6">
              <w:rPr>
                <w:lang w:val="en-GB"/>
              </w:rPr>
              <w:t>27 (15-44) ; 11</w:t>
            </w:r>
          </w:p>
        </w:tc>
        <w:tc>
          <w:tcPr>
            <w:tcW w:w="1164" w:type="dxa"/>
          </w:tcPr>
          <w:p w14:paraId="01BDEE86" w14:textId="77777777" w:rsidR="00645E43" w:rsidRPr="00AE48B6" w:rsidRDefault="00645E43" w:rsidP="00712F2E">
            <w:pPr>
              <w:spacing w:line="360" w:lineRule="auto"/>
              <w:rPr>
                <w:lang w:val="en-GB"/>
              </w:rPr>
            </w:pPr>
            <w:r w:rsidRPr="00AE48B6">
              <w:rPr>
                <w:lang w:val="en-GB"/>
              </w:rPr>
              <w:t>58 (43-79) ; 8</w:t>
            </w:r>
          </w:p>
        </w:tc>
        <w:tc>
          <w:tcPr>
            <w:tcW w:w="1374" w:type="dxa"/>
          </w:tcPr>
          <w:p w14:paraId="6E743FE0" w14:textId="77777777" w:rsidR="00645E43" w:rsidRPr="00AE48B6" w:rsidRDefault="00645E43" w:rsidP="00712F2E">
            <w:pPr>
              <w:spacing w:line="360" w:lineRule="auto"/>
              <w:rPr>
                <w:lang w:val="en-GB"/>
              </w:rPr>
            </w:pPr>
            <w:r w:rsidRPr="00AE48B6">
              <w:rPr>
                <w:lang w:val="en-GB"/>
              </w:rPr>
              <w:t>68 (60-77) ; 5</w:t>
            </w:r>
          </w:p>
        </w:tc>
        <w:tc>
          <w:tcPr>
            <w:tcW w:w="1374" w:type="dxa"/>
          </w:tcPr>
          <w:p w14:paraId="7CC3733A" w14:textId="77777777" w:rsidR="00645E43" w:rsidRPr="00AE48B6" w:rsidRDefault="00645E43" w:rsidP="00712F2E">
            <w:pPr>
              <w:spacing w:line="360" w:lineRule="auto"/>
              <w:rPr>
                <w:lang w:val="en-GB"/>
              </w:rPr>
            </w:pPr>
            <w:r w:rsidRPr="00AE48B6">
              <w:rPr>
                <w:lang w:val="en-GB"/>
              </w:rPr>
              <w:t>81 (54-115) ; 9</w:t>
            </w:r>
          </w:p>
        </w:tc>
        <w:tc>
          <w:tcPr>
            <w:tcW w:w="1374" w:type="dxa"/>
          </w:tcPr>
          <w:p w14:paraId="71287CC4" w14:textId="77777777" w:rsidR="00645E43" w:rsidRPr="00AE48B6" w:rsidRDefault="00645E43" w:rsidP="00712F2E">
            <w:pPr>
              <w:spacing w:line="360" w:lineRule="auto"/>
              <w:rPr>
                <w:lang w:val="en-GB"/>
              </w:rPr>
            </w:pPr>
            <w:r w:rsidRPr="00AE48B6">
              <w:rPr>
                <w:lang w:val="en-GB"/>
              </w:rPr>
              <w:t>94 (83-114) ; 4</w:t>
            </w:r>
          </w:p>
        </w:tc>
      </w:tr>
      <w:tr w:rsidR="00645E43" w:rsidRPr="00AD70F1" w14:paraId="299F6462" w14:textId="77777777" w:rsidTr="00712F2E">
        <w:trPr>
          <w:trHeight w:val="468"/>
        </w:trPr>
        <w:tc>
          <w:tcPr>
            <w:tcW w:w="2061" w:type="dxa"/>
            <w:hideMark/>
          </w:tcPr>
          <w:p w14:paraId="02245B39" w14:textId="77777777" w:rsidR="00645E43" w:rsidRPr="00AE48B6" w:rsidRDefault="00645E43" w:rsidP="00712F2E">
            <w:pPr>
              <w:spacing w:line="360" w:lineRule="auto"/>
              <w:rPr>
                <w:lang w:val="en-GB"/>
              </w:rPr>
            </w:pPr>
            <w:r w:rsidRPr="00AE48B6">
              <w:rPr>
                <w:lang w:val="en-GB"/>
              </w:rPr>
              <w:t>Bilobar disease</w:t>
            </w:r>
          </w:p>
        </w:tc>
        <w:tc>
          <w:tcPr>
            <w:tcW w:w="1438" w:type="dxa"/>
            <w:hideMark/>
          </w:tcPr>
          <w:p w14:paraId="47CC5AE5" w14:textId="77777777" w:rsidR="00645E43" w:rsidRPr="00AE48B6" w:rsidRDefault="00645E43" w:rsidP="00712F2E">
            <w:pPr>
              <w:spacing w:line="360" w:lineRule="auto"/>
              <w:rPr>
                <w:lang w:val="en-GB"/>
              </w:rPr>
            </w:pPr>
            <w:r w:rsidRPr="00AE48B6">
              <w:rPr>
                <w:lang w:val="en-GB"/>
              </w:rPr>
              <w:t>712/1186 (60.0%) ; 25</w:t>
            </w:r>
          </w:p>
        </w:tc>
        <w:tc>
          <w:tcPr>
            <w:tcW w:w="1164" w:type="dxa"/>
          </w:tcPr>
          <w:p w14:paraId="05C7DE16" w14:textId="77777777" w:rsidR="00645E43" w:rsidRPr="00AE48B6" w:rsidRDefault="00645E43" w:rsidP="00712F2E">
            <w:pPr>
              <w:spacing w:line="360" w:lineRule="auto"/>
              <w:rPr>
                <w:lang w:val="en-GB"/>
              </w:rPr>
            </w:pPr>
            <w:r w:rsidRPr="00AE48B6">
              <w:rPr>
                <w:lang w:val="en-GB"/>
              </w:rPr>
              <w:t>NA</w:t>
            </w:r>
          </w:p>
        </w:tc>
        <w:tc>
          <w:tcPr>
            <w:tcW w:w="1164" w:type="dxa"/>
          </w:tcPr>
          <w:p w14:paraId="5F9FA2C5" w14:textId="77777777" w:rsidR="00645E43" w:rsidRPr="00AE48B6" w:rsidRDefault="00645E43" w:rsidP="00712F2E">
            <w:pPr>
              <w:spacing w:line="360" w:lineRule="auto"/>
              <w:rPr>
                <w:lang w:val="en-GB"/>
              </w:rPr>
            </w:pPr>
            <w:r w:rsidRPr="00AE48B6">
              <w:rPr>
                <w:lang w:val="en-GB"/>
              </w:rPr>
              <w:t>NA</w:t>
            </w:r>
          </w:p>
        </w:tc>
        <w:tc>
          <w:tcPr>
            <w:tcW w:w="1374" w:type="dxa"/>
            <w:hideMark/>
          </w:tcPr>
          <w:p w14:paraId="0A3442ED" w14:textId="77777777" w:rsidR="00645E43" w:rsidRPr="00AE48B6" w:rsidRDefault="00645E43" w:rsidP="00712F2E">
            <w:pPr>
              <w:spacing w:line="360" w:lineRule="auto"/>
              <w:rPr>
                <w:lang w:val="en-GB"/>
              </w:rPr>
            </w:pPr>
            <w:r w:rsidRPr="00AE48B6">
              <w:rPr>
                <w:lang w:val="en-GB"/>
              </w:rPr>
              <w:t>416/769 (54.1%) ; 16</w:t>
            </w:r>
          </w:p>
        </w:tc>
        <w:tc>
          <w:tcPr>
            <w:tcW w:w="1374" w:type="dxa"/>
            <w:hideMark/>
          </w:tcPr>
          <w:p w14:paraId="11F82C08" w14:textId="77777777" w:rsidR="00645E43" w:rsidRPr="00AE48B6" w:rsidRDefault="00645E43" w:rsidP="00712F2E">
            <w:pPr>
              <w:spacing w:line="360" w:lineRule="auto"/>
              <w:rPr>
                <w:lang w:val="en-GB"/>
              </w:rPr>
            </w:pPr>
            <w:r w:rsidRPr="00AE48B6">
              <w:rPr>
                <w:lang w:val="en-GB"/>
              </w:rPr>
              <w:t>197/285 (69.1%) ; 6</w:t>
            </w:r>
          </w:p>
        </w:tc>
        <w:tc>
          <w:tcPr>
            <w:tcW w:w="1374" w:type="dxa"/>
            <w:hideMark/>
          </w:tcPr>
          <w:p w14:paraId="78BDEFA4" w14:textId="77777777" w:rsidR="00645E43" w:rsidRPr="00AE48B6" w:rsidRDefault="00645E43" w:rsidP="00712F2E">
            <w:pPr>
              <w:spacing w:line="360" w:lineRule="auto"/>
              <w:rPr>
                <w:lang w:val="en-GB"/>
              </w:rPr>
            </w:pPr>
            <w:r w:rsidRPr="00AE48B6">
              <w:rPr>
                <w:lang w:val="en-GB"/>
              </w:rPr>
              <w:t>99/132 (75.0%) ; 3</w:t>
            </w:r>
          </w:p>
        </w:tc>
      </w:tr>
      <w:tr w:rsidR="00645E43" w:rsidRPr="00AD70F1" w14:paraId="459A0AC5" w14:textId="77777777" w:rsidTr="00712F2E">
        <w:trPr>
          <w:trHeight w:val="468"/>
        </w:trPr>
        <w:tc>
          <w:tcPr>
            <w:tcW w:w="2061" w:type="dxa"/>
            <w:hideMark/>
          </w:tcPr>
          <w:p w14:paraId="62DADC8A" w14:textId="77777777" w:rsidR="00645E43" w:rsidRPr="00AE48B6" w:rsidRDefault="00645E43" w:rsidP="00712F2E">
            <w:pPr>
              <w:spacing w:line="360" w:lineRule="auto"/>
              <w:rPr>
                <w:lang w:val="en-GB"/>
              </w:rPr>
            </w:pPr>
            <w:r w:rsidRPr="00AE48B6">
              <w:rPr>
                <w:lang w:val="en-GB"/>
              </w:rPr>
              <w:t>Multifocal disease</w:t>
            </w:r>
          </w:p>
        </w:tc>
        <w:tc>
          <w:tcPr>
            <w:tcW w:w="1438" w:type="dxa"/>
            <w:hideMark/>
          </w:tcPr>
          <w:p w14:paraId="014B8B47" w14:textId="77777777" w:rsidR="00645E43" w:rsidRPr="00AE48B6" w:rsidRDefault="00645E43" w:rsidP="00712F2E">
            <w:pPr>
              <w:spacing w:line="360" w:lineRule="auto"/>
              <w:rPr>
                <w:lang w:val="en-GB"/>
              </w:rPr>
            </w:pPr>
            <w:r w:rsidRPr="00AE48B6">
              <w:rPr>
                <w:lang w:val="en-GB"/>
              </w:rPr>
              <w:t>1103/2206 (50%) ; 44</w:t>
            </w:r>
          </w:p>
        </w:tc>
        <w:tc>
          <w:tcPr>
            <w:tcW w:w="1164" w:type="dxa"/>
          </w:tcPr>
          <w:p w14:paraId="4A2AE0E9" w14:textId="77777777" w:rsidR="00645E43" w:rsidRPr="00AE48B6" w:rsidRDefault="00645E43" w:rsidP="00712F2E">
            <w:pPr>
              <w:spacing w:line="360" w:lineRule="auto"/>
              <w:rPr>
                <w:lang w:val="en-GB"/>
              </w:rPr>
            </w:pPr>
            <w:r w:rsidRPr="00AE48B6">
              <w:rPr>
                <w:lang w:val="en-GB"/>
              </w:rPr>
              <w:t>163/483 (33.7%) ; 9</w:t>
            </w:r>
          </w:p>
        </w:tc>
        <w:tc>
          <w:tcPr>
            <w:tcW w:w="1164" w:type="dxa"/>
          </w:tcPr>
          <w:p w14:paraId="6A03145F" w14:textId="77777777" w:rsidR="00645E43" w:rsidRPr="00AE48B6" w:rsidRDefault="00645E43" w:rsidP="00712F2E">
            <w:pPr>
              <w:spacing w:line="360" w:lineRule="auto"/>
              <w:rPr>
                <w:lang w:val="en-GB"/>
              </w:rPr>
            </w:pPr>
            <w:r w:rsidRPr="00AE48B6">
              <w:rPr>
                <w:lang w:val="en-GB"/>
              </w:rPr>
              <w:t>78/270 (28.9%) ; 8</w:t>
            </w:r>
          </w:p>
        </w:tc>
        <w:tc>
          <w:tcPr>
            <w:tcW w:w="1374" w:type="dxa"/>
            <w:hideMark/>
          </w:tcPr>
          <w:p w14:paraId="133181FE" w14:textId="77777777" w:rsidR="00645E43" w:rsidRPr="00AE48B6" w:rsidRDefault="00645E43" w:rsidP="00712F2E">
            <w:pPr>
              <w:spacing w:line="360" w:lineRule="auto"/>
              <w:rPr>
                <w:lang w:val="en-GB"/>
              </w:rPr>
            </w:pPr>
            <w:r w:rsidRPr="00AE48B6">
              <w:rPr>
                <w:lang w:val="en-GB"/>
              </w:rPr>
              <w:t>435/696 (62.5%) ; 11</w:t>
            </w:r>
          </w:p>
        </w:tc>
        <w:tc>
          <w:tcPr>
            <w:tcW w:w="1374" w:type="dxa"/>
            <w:hideMark/>
          </w:tcPr>
          <w:p w14:paraId="6D549BF4" w14:textId="77777777" w:rsidR="00645E43" w:rsidRPr="00AE48B6" w:rsidRDefault="00645E43" w:rsidP="00712F2E">
            <w:pPr>
              <w:spacing w:line="360" w:lineRule="auto"/>
              <w:rPr>
                <w:lang w:val="en-GB"/>
              </w:rPr>
            </w:pPr>
            <w:r w:rsidRPr="00AE48B6">
              <w:rPr>
                <w:lang w:val="en-GB"/>
              </w:rPr>
              <w:t>278/514 (54.1%) ; 7</w:t>
            </w:r>
          </w:p>
        </w:tc>
        <w:tc>
          <w:tcPr>
            <w:tcW w:w="1374" w:type="dxa"/>
            <w:hideMark/>
          </w:tcPr>
          <w:p w14:paraId="61EFBFB2" w14:textId="77777777" w:rsidR="00645E43" w:rsidRPr="00AE48B6" w:rsidRDefault="00645E43" w:rsidP="00712F2E">
            <w:pPr>
              <w:spacing w:line="360" w:lineRule="auto"/>
              <w:rPr>
                <w:lang w:val="en-GB"/>
              </w:rPr>
            </w:pPr>
            <w:r w:rsidRPr="00AE48B6">
              <w:rPr>
                <w:lang w:val="en-GB"/>
              </w:rPr>
              <w:t>137/208 (65.9%) ; 9</w:t>
            </w:r>
          </w:p>
        </w:tc>
      </w:tr>
      <w:tr w:rsidR="00645E43" w:rsidRPr="00AD70F1" w14:paraId="1ED304CB" w14:textId="77777777" w:rsidTr="00712F2E">
        <w:trPr>
          <w:trHeight w:val="468"/>
        </w:trPr>
        <w:tc>
          <w:tcPr>
            <w:tcW w:w="2061" w:type="dxa"/>
            <w:hideMark/>
          </w:tcPr>
          <w:p w14:paraId="419C121D" w14:textId="77777777" w:rsidR="00645E43" w:rsidRPr="00AE48B6" w:rsidRDefault="00645E43" w:rsidP="00712F2E">
            <w:pPr>
              <w:spacing w:line="360" w:lineRule="auto"/>
              <w:rPr>
                <w:lang w:val="en-GB"/>
              </w:rPr>
            </w:pPr>
            <w:r w:rsidRPr="00AE48B6">
              <w:rPr>
                <w:lang w:val="en-GB"/>
              </w:rPr>
              <w:t>&gt; 50% liver involvement</w:t>
            </w:r>
          </w:p>
        </w:tc>
        <w:tc>
          <w:tcPr>
            <w:tcW w:w="1438" w:type="dxa"/>
            <w:hideMark/>
          </w:tcPr>
          <w:p w14:paraId="1B6FC79E" w14:textId="77777777" w:rsidR="00645E43" w:rsidRPr="00AE48B6" w:rsidRDefault="00645E43" w:rsidP="00712F2E">
            <w:pPr>
              <w:spacing w:line="360" w:lineRule="auto"/>
              <w:rPr>
                <w:lang w:val="en-GB"/>
              </w:rPr>
            </w:pPr>
            <w:r w:rsidRPr="00AE48B6">
              <w:rPr>
                <w:lang w:val="en-GB"/>
              </w:rPr>
              <w:t>84/610 (13.8%) ; 15</w:t>
            </w:r>
          </w:p>
        </w:tc>
        <w:tc>
          <w:tcPr>
            <w:tcW w:w="1164" w:type="dxa"/>
          </w:tcPr>
          <w:p w14:paraId="2A49AD26" w14:textId="77777777" w:rsidR="00645E43" w:rsidRPr="00AE48B6" w:rsidRDefault="00645E43" w:rsidP="00712F2E">
            <w:pPr>
              <w:spacing w:line="360" w:lineRule="auto"/>
              <w:rPr>
                <w:lang w:val="en-GB"/>
              </w:rPr>
            </w:pPr>
            <w:r w:rsidRPr="00AE48B6">
              <w:rPr>
                <w:lang w:val="en-GB"/>
              </w:rPr>
              <w:t>0/205 (0%) ; 3</w:t>
            </w:r>
          </w:p>
        </w:tc>
        <w:tc>
          <w:tcPr>
            <w:tcW w:w="1164" w:type="dxa"/>
          </w:tcPr>
          <w:p w14:paraId="67845FD9" w14:textId="77777777" w:rsidR="00645E43" w:rsidRPr="00AE48B6" w:rsidRDefault="00645E43" w:rsidP="00712F2E">
            <w:pPr>
              <w:spacing w:line="360" w:lineRule="auto"/>
              <w:rPr>
                <w:lang w:val="en-GB"/>
              </w:rPr>
            </w:pPr>
            <w:r w:rsidRPr="00AE48B6">
              <w:rPr>
                <w:lang w:val="en-GB"/>
              </w:rPr>
              <w:t>NA</w:t>
            </w:r>
          </w:p>
        </w:tc>
        <w:tc>
          <w:tcPr>
            <w:tcW w:w="1374" w:type="dxa"/>
            <w:hideMark/>
          </w:tcPr>
          <w:p w14:paraId="5C5DE7E4" w14:textId="77777777" w:rsidR="00645E43" w:rsidRPr="00AE48B6" w:rsidRDefault="00645E43" w:rsidP="00712F2E">
            <w:pPr>
              <w:spacing w:line="360" w:lineRule="auto"/>
              <w:rPr>
                <w:lang w:val="en-GB"/>
              </w:rPr>
            </w:pPr>
            <w:r w:rsidRPr="00AE48B6">
              <w:rPr>
                <w:lang w:val="en-GB"/>
              </w:rPr>
              <w:t>28/260 (10.8%) ; 8</w:t>
            </w:r>
          </w:p>
        </w:tc>
        <w:tc>
          <w:tcPr>
            <w:tcW w:w="1374" w:type="dxa"/>
            <w:hideMark/>
          </w:tcPr>
          <w:p w14:paraId="1995EA6D" w14:textId="77777777" w:rsidR="00645E43" w:rsidRPr="00AE48B6" w:rsidRDefault="00645E43" w:rsidP="00712F2E">
            <w:pPr>
              <w:spacing w:line="360" w:lineRule="auto"/>
              <w:rPr>
                <w:lang w:val="en-GB"/>
              </w:rPr>
            </w:pPr>
            <w:r w:rsidRPr="00AE48B6">
              <w:rPr>
                <w:lang w:val="en-GB"/>
              </w:rPr>
              <w:t>56/145 (38.6%) ; 4</w:t>
            </w:r>
          </w:p>
        </w:tc>
        <w:tc>
          <w:tcPr>
            <w:tcW w:w="1374" w:type="dxa"/>
            <w:hideMark/>
          </w:tcPr>
          <w:p w14:paraId="274F0DD9" w14:textId="77777777" w:rsidR="00645E43" w:rsidRPr="00AE48B6" w:rsidRDefault="00645E43" w:rsidP="00712F2E">
            <w:pPr>
              <w:spacing w:line="360" w:lineRule="auto"/>
              <w:rPr>
                <w:lang w:val="en-GB"/>
              </w:rPr>
            </w:pPr>
            <w:r w:rsidRPr="00AE48B6">
              <w:rPr>
                <w:lang w:val="en-GB"/>
              </w:rPr>
              <w:t>NA</w:t>
            </w:r>
          </w:p>
        </w:tc>
      </w:tr>
      <w:tr w:rsidR="00645E43" w:rsidRPr="00AD70F1" w14:paraId="001F928C" w14:textId="77777777" w:rsidTr="00712F2E">
        <w:trPr>
          <w:trHeight w:val="468"/>
        </w:trPr>
        <w:tc>
          <w:tcPr>
            <w:tcW w:w="2061" w:type="dxa"/>
            <w:hideMark/>
          </w:tcPr>
          <w:p w14:paraId="206B93C0" w14:textId="7F5F4F78" w:rsidR="00645E43" w:rsidRPr="00AE48B6" w:rsidRDefault="00645E43" w:rsidP="00761DD7">
            <w:pPr>
              <w:spacing w:line="360" w:lineRule="auto"/>
              <w:rPr>
                <w:lang w:val="en-GB"/>
              </w:rPr>
            </w:pPr>
            <w:r w:rsidRPr="00AE48B6">
              <w:rPr>
                <w:lang w:val="en-GB"/>
              </w:rPr>
              <w:t>Macro</w:t>
            </w:r>
            <w:r w:rsidR="00761DD7">
              <w:rPr>
                <w:lang w:val="en-GB"/>
              </w:rPr>
              <w:t>v</w:t>
            </w:r>
            <w:r w:rsidRPr="00AE48B6">
              <w:rPr>
                <w:lang w:val="en-GB"/>
              </w:rPr>
              <w:t>ascular Invasion</w:t>
            </w:r>
          </w:p>
        </w:tc>
        <w:tc>
          <w:tcPr>
            <w:tcW w:w="1438" w:type="dxa"/>
            <w:hideMark/>
          </w:tcPr>
          <w:p w14:paraId="5A0FE279" w14:textId="77777777" w:rsidR="00645E43" w:rsidRPr="00AE48B6" w:rsidRDefault="00645E43" w:rsidP="00712F2E">
            <w:pPr>
              <w:spacing w:line="360" w:lineRule="auto"/>
              <w:rPr>
                <w:lang w:val="en-GB"/>
              </w:rPr>
            </w:pPr>
            <w:r w:rsidRPr="00AE48B6">
              <w:rPr>
                <w:lang w:val="en-GB"/>
              </w:rPr>
              <w:t>268/1491 (18.0%) ; 26</w:t>
            </w:r>
          </w:p>
        </w:tc>
        <w:tc>
          <w:tcPr>
            <w:tcW w:w="1164" w:type="dxa"/>
          </w:tcPr>
          <w:p w14:paraId="2E701EDD" w14:textId="77777777" w:rsidR="00645E43" w:rsidRPr="00AE48B6" w:rsidRDefault="00645E43" w:rsidP="00712F2E">
            <w:pPr>
              <w:spacing w:line="360" w:lineRule="auto"/>
              <w:rPr>
                <w:lang w:val="en-GB"/>
              </w:rPr>
            </w:pPr>
            <w:r w:rsidRPr="00AE48B6">
              <w:rPr>
                <w:lang w:val="en-GB"/>
              </w:rPr>
              <w:t>4/448 (0.9%) ; 8</w:t>
            </w:r>
          </w:p>
        </w:tc>
        <w:tc>
          <w:tcPr>
            <w:tcW w:w="1164" w:type="dxa"/>
          </w:tcPr>
          <w:p w14:paraId="1E5CD523" w14:textId="77777777" w:rsidR="00645E43" w:rsidRPr="00AE48B6" w:rsidRDefault="00645E43" w:rsidP="00712F2E">
            <w:pPr>
              <w:spacing w:line="360" w:lineRule="auto"/>
              <w:rPr>
                <w:lang w:val="en-GB"/>
              </w:rPr>
            </w:pPr>
            <w:r w:rsidRPr="00AE48B6">
              <w:rPr>
                <w:lang w:val="en-GB"/>
              </w:rPr>
              <w:t>27/103 (26.2%) ; 2</w:t>
            </w:r>
          </w:p>
        </w:tc>
        <w:tc>
          <w:tcPr>
            <w:tcW w:w="1374" w:type="dxa"/>
            <w:hideMark/>
          </w:tcPr>
          <w:p w14:paraId="6A6952D0" w14:textId="77777777" w:rsidR="00645E43" w:rsidRPr="00AE48B6" w:rsidRDefault="00645E43" w:rsidP="00712F2E">
            <w:pPr>
              <w:spacing w:line="360" w:lineRule="auto"/>
              <w:rPr>
                <w:lang w:val="en-GB"/>
              </w:rPr>
            </w:pPr>
            <w:r w:rsidRPr="00AE48B6">
              <w:rPr>
                <w:lang w:val="en-GB"/>
              </w:rPr>
              <w:t>129/454 (28.4%) ; 7</w:t>
            </w:r>
          </w:p>
        </w:tc>
        <w:tc>
          <w:tcPr>
            <w:tcW w:w="1374" w:type="dxa"/>
            <w:hideMark/>
          </w:tcPr>
          <w:p w14:paraId="659AF11E" w14:textId="77777777" w:rsidR="00645E43" w:rsidRPr="00AE48B6" w:rsidRDefault="00645E43" w:rsidP="00712F2E">
            <w:pPr>
              <w:spacing w:line="360" w:lineRule="auto"/>
              <w:rPr>
                <w:lang w:val="en-GB"/>
              </w:rPr>
            </w:pPr>
            <w:r w:rsidRPr="00AE48B6">
              <w:rPr>
                <w:lang w:val="en-GB"/>
              </w:rPr>
              <w:t>83/421 (19.7%) ; 5</w:t>
            </w:r>
          </w:p>
        </w:tc>
        <w:tc>
          <w:tcPr>
            <w:tcW w:w="1374" w:type="dxa"/>
            <w:hideMark/>
          </w:tcPr>
          <w:p w14:paraId="0420F9E6" w14:textId="77777777" w:rsidR="00645E43" w:rsidRPr="00AE48B6" w:rsidRDefault="00645E43" w:rsidP="00712F2E">
            <w:pPr>
              <w:spacing w:line="360" w:lineRule="auto"/>
              <w:rPr>
                <w:lang w:val="en-GB"/>
              </w:rPr>
            </w:pPr>
            <w:r w:rsidRPr="00AE48B6">
              <w:rPr>
                <w:lang w:val="en-GB"/>
              </w:rPr>
              <w:t>20/50 (40.0%) ; 4</w:t>
            </w:r>
          </w:p>
        </w:tc>
      </w:tr>
      <w:tr w:rsidR="00645E43" w:rsidRPr="00AD70F1" w14:paraId="1657B20A" w14:textId="77777777" w:rsidTr="00712F2E">
        <w:trPr>
          <w:trHeight w:val="468"/>
        </w:trPr>
        <w:tc>
          <w:tcPr>
            <w:tcW w:w="2061" w:type="dxa"/>
            <w:hideMark/>
          </w:tcPr>
          <w:p w14:paraId="5645BBDB" w14:textId="5FBF6F4E" w:rsidR="00645E43" w:rsidRPr="00AE48B6" w:rsidRDefault="00645E43" w:rsidP="00761DD7">
            <w:pPr>
              <w:spacing w:line="360" w:lineRule="auto"/>
              <w:rPr>
                <w:lang w:val="en-GB"/>
              </w:rPr>
            </w:pPr>
            <w:r w:rsidRPr="00AE48B6">
              <w:rPr>
                <w:lang w:val="en-GB"/>
              </w:rPr>
              <w:t>Extra</w:t>
            </w:r>
            <w:r w:rsidR="00761DD7">
              <w:rPr>
                <w:lang w:val="en-GB"/>
              </w:rPr>
              <w:t>h</w:t>
            </w:r>
            <w:r w:rsidRPr="00AE48B6">
              <w:rPr>
                <w:lang w:val="en-GB"/>
              </w:rPr>
              <w:t xml:space="preserve">epatic </w:t>
            </w:r>
            <w:r w:rsidR="00761DD7">
              <w:rPr>
                <w:lang w:val="en-GB"/>
              </w:rPr>
              <w:t>s</w:t>
            </w:r>
            <w:r w:rsidRPr="00AE48B6">
              <w:rPr>
                <w:lang w:val="en-GB"/>
              </w:rPr>
              <w:t>pread</w:t>
            </w:r>
          </w:p>
        </w:tc>
        <w:tc>
          <w:tcPr>
            <w:tcW w:w="1438" w:type="dxa"/>
            <w:hideMark/>
          </w:tcPr>
          <w:p w14:paraId="4C44A6D6" w14:textId="77777777" w:rsidR="00645E43" w:rsidRPr="00AE48B6" w:rsidRDefault="00645E43" w:rsidP="00712F2E">
            <w:pPr>
              <w:spacing w:line="360" w:lineRule="auto"/>
              <w:rPr>
                <w:lang w:val="en-GB"/>
              </w:rPr>
            </w:pPr>
            <w:r w:rsidRPr="00AE48B6">
              <w:rPr>
                <w:lang w:val="en-GB"/>
              </w:rPr>
              <w:t>510/2210 (23.1%) ; 48</w:t>
            </w:r>
          </w:p>
        </w:tc>
        <w:tc>
          <w:tcPr>
            <w:tcW w:w="1164" w:type="dxa"/>
          </w:tcPr>
          <w:p w14:paraId="00C145A6" w14:textId="77777777" w:rsidR="00645E43" w:rsidRPr="00AE48B6" w:rsidRDefault="00645E43" w:rsidP="00712F2E">
            <w:pPr>
              <w:spacing w:line="360" w:lineRule="auto"/>
              <w:rPr>
                <w:lang w:val="en-GB"/>
              </w:rPr>
            </w:pPr>
            <w:r w:rsidRPr="00AE48B6">
              <w:rPr>
                <w:lang w:val="en-GB"/>
              </w:rPr>
              <w:t>10/491 (2.0%) ; 10</w:t>
            </w:r>
          </w:p>
        </w:tc>
        <w:tc>
          <w:tcPr>
            <w:tcW w:w="1164" w:type="dxa"/>
          </w:tcPr>
          <w:p w14:paraId="1199A5FC" w14:textId="77777777" w:rsidR="00645E43" w:rsidRPr="00AE48B6" w:rsidRDefault="00645E43" w:rsidP="00712F2E">
            <w:pPr>
              <w:spacing w:line="360" w:lineRule="auto"/>
              <w:rPr>
                <w:lang w:val="en-GB"/>
              </w:rPr>
            </w:pPr>
            <w:r w:rsidRPr="00AE48B6">
              <w:rPr>
                <w:lang w:val="en-GB"/>
              </w:rPr>
              <w:t>60/188 (31.9%) ; 5</w:t>
            </w:r>
          </w:p>
        </w:tc>
        <w:tc>
          <w:tcPr>
            <w:tcW w:w="1374" w:type="dxa"/>
            <w:hideMark/>
          </w:tcPr>
          <w:p w14:paraId="4E815C42" w14:textId="77777777" w:rsidR="00645E43" w:rsidRPr="00AE48B6" w:rsidRDefault="00645E43" w:rsidP="00712F2E">
            <w:pPr>
              <w:spacing w:line="360" w:lineRule="auto"/>
              <w:rPr>
                <w:lang w:val="en-GB"/>
              </w:rPr>
            </w:pPr>
            <w:r w:rsidRPr="00AE48B6">
              <w:rPr>
                <w:lang w:val="en-GB"/>
              </w:rPr>
              <w:t>260/847 (30.7%) ; 18</w:t>
            </w:r>
          </w:p>
        </w:tc>
        <w:tc>
          <w:tcPr>
            <w:tcW w:w="1374" w:type="dxa"/>
            <w:hideMark/>
          </w:tcPr>
          <w:p w14:paraId="53BD3FA8" w14:textId="77777777" w:rsidR="00645E43" w:rsidRPr="00AE48B6" w:rsidRDefault="00645E43" w:rsidP="00712F2E">
            <w:pPr>
              <w:spacing w:line="360" w:lineRule="auto"/>
              <w:rPr>
                <w:lang w:val="en-GB"/>
              </w:rPr>
            </w:pPr>
            <w:r w:rsidRPr="00AE48B6">
              <w:rPr>
                <w:lang w:val="en-GB"/>
              </w:rPr>
              <w:t>142/569 (25.0%) ; 9</w:t>
            </w:r>
          </w:p>
        </w:tc>
        <w:tc>
          <w:tcPr>
            <w:tcW w:w="1374" w:type="dxa"/>
            <w:hideMark/>
          </w:tcPr>
          <w:p w14:paraId="1E3FF2F0" w14:textId="77777777" w:rsidR="00645E43" w:rsidRPr="00AE48B6" w:rsidRDefault="00645E43" w:rsidP="00712F2E">
            <w:pPr>
              <w:spacing w:line="360" w:lineRule="auto"/>
              <w:rPr>
                <w:lang w:val="en-GB"/>
              </w:rPr>
            </w:pPr>
            <w:r w:rsidRPr="00AE48B6">
              <w:rPr>
                <w:lang w:val="en-GB"/>
              </w:rPr>
              <w:t>38/115 (33.0%) ; 6</w:t>
            </w:r>
          </w:p>
        </w:tc>
      </w:tr>
      <w:tr w:rsidR="00645E43" w:rsidRPr="00AD70F1" w14:paraId="73EB73F4" w14:textId="77777777" w:rsidTr="00712F2E">
        <w:trPr>
          <w:trHeight w:val="468"/>
        </w:trPr>
        <w:tc>
          <w:tcPr>
            <w:tcW w:w="2061" w:type="dxa"/>
            <w:hideMark/>
          </w:tcPr>
          <w:p w14:paraId="3D55DCBC" w14:textId="77777777" w:rsidR="00645E43" w:rsidRPr="00AE48B6" w:rsidRDefault="00645E43" w:rsidP="00712F2E">
            <w:pPr>
              <w:spacing w:line="360" w:lineRule="auto"/>
              <w:rPr>
                <w:lang w:val="en-GB"/>
              </w:rPr>
            </w:pPr>
            <w:r w:rsidRPr="00AE48B6">
              <w:rPr>
                <w:lang w:val="en-GB"/>
              </w:rPr>
              <w:t>Visceral metastasis</w:t>
            </w:r>
          </w:p>
        </w:tc>
        <w:tc>
          <w:tcPr>
            <w:tcW w:w="1438" w:type="dxa"/>
            <w:hideMark/>
          </w:tcPr>
          <w:p w14:paraId="2201ED7E" w14:textId="77777777" w:rsidR="00645E43" w:rsidRPr="00AE48B6" w:rsidRDefault="00645E43" w:rsidP="00712F2E">
            <w:pPr>
              <w:spacing w:line="360" w:lineRule="auto"/>
              <w:rPr>
                <w:lang w:val="en-GB"/>
              </w:rPr>
            </w:pPr>
            <w:r w:rsidRPr="00AE48B6">
              <w:rPr>
                <w:lang w:val="en-GB"/>
              </w:rPr>
              <w:t>153/1608 (9.5%) ; 39</w:t>
            </w:r>
          </w:p>
        </w:tc>
        <w:tc>
          <w:tcPr>
            <w:tcW w:w="1164" w:type="dxa"/>
          </w:tcPr>
          <w:p w14:paraId="3F00C268" w14:textId="77777777" w:rsidR="00645E43" w:rsidRPr="00AE48B6" w:rsidRDefault="00645E43" w:rsidP="00712F2E">
            <w:pPr>
              <w:spacing w:line="360" w:lineRule="auto"/>
              <w:rPr>
                <w:lang w:val="en-GB"/>
              </w:rPr>
            </w:pPr>
            <w:r w:rsidRPr="00AE48B6">
              <w:rPr>
                <w:lang w:val="en-GB"/>
              </w:rPr>
              <w:t>2/474 (0.4%) ; 9</w:t>
            </w:r>
          </w:p>
        </w:tc>
        <w:tc>
          <w:tcPr>
            <w:tcW w:w="1164" w:type="dxa"/>
          </w:tcPr>
          <w:p w14:paraId="1B2EDC23" w14:textId="77777777" w:rsidR="00645E43" w:rsidRPr="00AE48B6" w:rsidRDefault="00645E43" w:rsidP="00712F2E">
            <w:pPr>
              <w:spacing w:line="360" w:lineRule="auto"/>
              <w:rPr>
                <w:lang w:val="en-GB"/>
              </w:rPr>
            </w:pPr>
            <w:r w:rsidRPr="00AE48B6">
              <w:rPr>
                <w:lang w:val="en-GB"/>
              </w:rPr>
              <w:t>41/279 (14.7%) ; 8</w:t>
            </w:r>
          </w:p>
        </w:tc>
        <w:tc>
          <w:tcPr>
            <w:tcW w:w="1374" w:type="dxa"/>
            <w:hideMark/>
          </w:tcPr>
          <w:p w14:paraId="6FBFE1B6" w14:textId="77777777" w:rsidR="00645E43" w:rsidRPr="00AE48B6" w:rsidRDefault="00645E43" w:rsidP="00712F2E">
            <w:pPr>
              <w:spacing w:line="360" w:lineRule="auto"/>
              <w:rPr>
                <w:lang w:val="en-GB"/>
              </w:rPr>
            </w:pPr>
            <w:r w:rsidRPr="00AE48B6">
              <w:rPr>
                <w:lang w:val="en-GB"/>
              </w:rPr>
              <w:t>66/400 (16.5%) ; 10</w:t>
            </w:r>
          </w:p>
        </w:tc>
        <w:tc>
          <w:tcPr>
            <w:tcW w:w="1374" w:type="dxa"/>
            <w:hideMark/>
          </w:tcPr>
          <w:p w14:paraId="2F42E965" w14:textId="77777777" w:rsidR="00645E43" w:rsidRPr="00AE48B6" w:rsidRDefault="00645E43" w:rsidP="00712F2E">
            <w:pPr>
              <w:spacing w:line="360" w:lineRule="auto"/>
              <w:rPr>
                <w:lang w:val="en-GB"/>
              </w:rPr>
            </w:pPr>
            <w:r w:rsidRPr="00AE48B6">
              <w:rPr>
                <w:lang w:val="en-GB"/>
              </w:rPr>
              <w:t>21/328 (6.4%) ; 5</w:t>
            </w:r>
          </w:p>
        </w:tc>
        <w:tc>
          <w:tcPr>
            <w:tcW w:w="1374" w:type="dxa"/>
            <w:hideMark/>
          </w:tcPr>
          <w:p w14:paraId="35009F49" w14:textId="77777777" w:rsidR="00645E43" w:rsidRPr="00AE48B6" w:rsidRDefault="00645E43" w:rsidP="00712F2E">
            <w:pPr>
              <w:spacing w:line="360" w:lineRule="auto"/>
              <w:rPr>
                <w:lang w:val="en-GB"/>
              </w:rPr>
            </w:pPr>
            <w:r w:rsidRPr="00AE48B6">
              <w:rPr>
                <w:lang w:val="en-GB"/>
              </w:rPr>
              <w:t>23/127 (18.1%) ; 7</w:t>
            </w:r>
          </w:p>
        </w:tc>
      </w:tr>
      <w:tr w:rsidR="00645E43" w:rsidRPr="00AD70F1" w14:paraId="22C26CB7" w14:textId="77777777" w:rsidTr="00712F2E">
        <w:trPr>
          <w:trHeight w:val="468"/>
        </w:trPr>
        <w:tc>
          <w:tcPr>
            <w:tcW w:w="2061" w:type="dxa"/>
            <w:hideMark/>
          </w:tcPr>
          <w:p w14:paraId="2ACC5FF0" w14:textId="4E1DE830" w:rsidR="00645E43" w:rsidRPr="00AE48B6" w:rsidRDefault="00645E43" w:rsidP="00761DD7">
            <w:pPr>
              <w:spacing w:line="360" w:lineRule="auto"/>
              <w:rPr>
                <w:lang w:val="en-GB"/>
              </w:rPr>
            </w:pPr>
            <w:r w:rsidRPr="00AE48B6">
              <w:rPr>
                <w:lang w:val="en-GB"/>
              </w:rPr>
              <w:t>Lymph node involvement</w:t>
            </w:r>
          </w:p>
        </w:tc>
        <w:tc>
          <w:tcPr>
            <w:tcW w:w="1438" w:type="dxa"/>
            <w:hideMark/>
          </w:tcPr>
          <w:p w14:paraId="7D893D3F" w14:textId="77777777" w:rsidR="00645E43" w:rsidRPr="00AE48B6" w:rsidRDefault="00645E43" w:rsidP="00712F2E">
            <w:pPr>
              <w:spacing w:line="360" w:lineRule="auto"/>
              <w:rPr>
                <w:lang w:val="en-GB"/>
              </w:rPr>
            </w:pPr>
            <w:r w:rsidRPr="00AE48B6">
              <w:rPr>
                <w:lang w:val="en-GB"/>
              </w:rPr>
              <w:t>409/1871 (21.9%) ; 41</w:t>
            </w:r>
          </w:p>
        </w:tc>
        <w:tc>
          <w:tcPr>
            <w:tcW w:w="1164" w:type="dxa"/>
          </w:tcPr>
          <w:p w14:paraId="14FF8988" w14:textId="77777777" w:rsidR="00645E43" w:rsidRPr="00AE48B6" w:rsidRDefault="00645E43" w:rsidP="00712F2E">
            <w:pPr>
              <w:spacing w:line="360" w:lineRule="auto"/>
              <w:rPr>
                <w:lang w:val="en-GB"/>
              </w:rPr>
            </w:pPr>
            <w:r w:rsidRPr="00AE48B6">
              <w:rPr>
                <w:lang w:val="en-GB"/>
              </w:rPr>
              <w:t>19/489 (3.9%) ; 9</w:t>
            </w:r>
          </w:p>
        </w:tc>
        <w:tc>
          <w:tcPr>
            <w:tcW w:w="1164" w:type="dxa"/>
          </w:tcPr>
          <w:p w14:paraId="2A4BF2C3" w14:textId="77777777" w:rsidR="00645E43" w:rsidRPr="00AE48B6" w:rsidRDefault="00645E43" w:rsidP="00712F2E">
            <w:pPr>
              <w:spacing w:line="360" w:lineRule="auto"/>
              <w:rPr>
                <w:lang w:val="en-GB"/>
              </w:rPr>
            </w:pPr>
            <w:r w:rsidRPr="00AE48B6">
              <w:rPr>
                <w:lang w:val="en-GB"/>
              </w:rPr>
              <w:t>120/252 (47.6%) ; 7</w:t>
            </w:r>
          </w:p>
        </w:tc>
        <w:tc>
          <w:tcPr>
            <w:tcW w:w="1374" w:type="dxa"/>
            <w:hideMark/>
          </w:tcPr>
          <w:p w14:paraId="3EACD9D6" w14:textId="77777777" w:rsidR="00645E43" w:rsidRPr="00AE48B6" w:rsidRDefault="00645E43" w:rsidP="00712F2E">
            <w:pPr>
              <w:spacing w:line="360" w:lineRule="auto"/>
              <w:rPr>
                <w:lang w:val="en-GB"/>
              </w:rPr>
            </w:pPr>
            <w:r w:rsidRPr="00AE48B6">
              <w:rPr>
                <w:lang w:val="en-GB"/>
              </w:rPr>
              <w:t>117/400 (29.3%) ; 10</w:t>
            </w:r>
          </w:p>
        </w:tc>
        <w:tc>
          <w:tcPr>
            <w:tcW w:w="1374" w:type="dxa"/>
            <w:hideMark/>
          </w:tcPr>
          <w:p w14:paraId="082DCD06" w14:textId="77777777" w:rsidR="00645E43" w:rsidRPr="00AE48B6" w:rsidRDefault="00645E43" w:rsidP="00712F2E">
            <w:pPr>
              <w:spacing w:line="360" w:lineRule="auto"/>
              <w:rPr>
                <w:lang w:val="en-GB"/>
              </w:rPr>
            </w:pPr>
            <w:r w:rsidRPr="00AE48B6">
              <w:rPr>
                <w:lang w:val="en-GB"/>
              </w:rPr>
              <w:t>73/552 (13.2%) ; 7</w:t>
            </w:r>
          </w:p>
        </w:tc>
        <w:tc>
          <w:tcPr>
            <w:tcW w:w="1374" w:type="dxa"/>
            <w:hideMark/>
          </w:tcPr>
          <w:p w14:paraId="601F1055" w14:textId="77777777" w:rsidR="00645E43" w:rsidRPr="00AE48B6" w:rsidRDefault="00645E43" w:rsidP="00712F2E">
            <w:pPr>
              <w:spacing w:line="360" w:lineRule="auto"/>
              <w:rPr>
                <w:lang w:val="en-GB"/>
              </w:rPr>
            </w:pPr>
            <w:r w:rsidRPr="00AE48B6">
              <w:rPr>
                <w:lang w:val="en-GB"/>
              </w:rPr>
              <w:t>49/143 (34.3%) ; 8</w:t>
            </w:r>
          </w:p>
        </w:tc>
      </w:tr>
    </w:tbl>
    <w:p w14:paraId="17D1682C" w14:textId="6C616602" w:rsidR="00645E43" w:rsidRPr="00AE48B6" w:rsidRDefault="00645E43" w:rsidP="00645E43">
      <w:pPr>
        <w:spacing w:after="0" w:line="360" w:lineRule="auto"/>
        <w:rPr>
          <w:lang w:val="en-GB"/>
        </w:rPr>
      </w:pPr>
      <w:r w:rsidRPr="00AD70F1">
        <w:rPr>
          <w:sz w:val="24"/>
          <w:szCs w:val="24"/>
          <w:lang w:val="en-GB"/>
        </w:rPr>
        <w:t>EBRT: external beam radiotherapy, SIRT: selective internal radiation therapy, TACE: transarterial chemo-emboli</w:t>
      </w:r>
      <w:r w:rsidR="0061420A">
        <w:rPr>
          <w:sz w:val="24"/>
          <w:szCs w:val="24"/>
          <w:lang w:val="en-GB"/>
        </w:rPr>
        <w:t>s</w:t>
      </w:r>
      <w:r w:rsidRPr="00AD70F1">
        <w:rPr>
          <w:sz w:val="24"/>
          <w:szCs w:val="24"/>
          <w:lang w:val="en-GB"/>
        </w:rPr>
        <w:t>ation, HAI: Hepatic arterial infusion</w:t>
      </w:r>
    </w:p>
    <w:p w14:paraId="57962298" w14:textId="77777777" w:rsidR="00645E43" w:rsidRPr="00AD70F1" w:rsidRDefault="00645E43" w:rsidP="00645E43">
      <w:pPr>
        <w:rPr>
          <w:b/>
          <w:sz w:val="24"/>
          <w:szCs w:val="24"/>
          <w:lang w:val="en-GB"/>
        </w:rPr>
      </w:pPr>
      <w:r w:rsidRPr="00AE48B6">
        <w:rPr>
          <w:lang w:val="en-GB"/>
        </w:rPr>
        <w:br w:type="page"/>
      </w:r>
    </w:p>
    <w:p w14:paraId="35BA0D6B" w14:textId="32D9059B" w:rsidR="00645E43" w:rsidRPr="00AE48B6" w:rsidRDefault="00645E43" w:rsidP="00645E43">
      <w:pPr>
        <w:spacing w:after="0" w:line="360" w:lineRule="auto"/>
        <w:rPr>
          <w:lang w:val="en-GB"/>
        </w:rPr>
      </w:pPr>
      <w:r w:rsidRPr="00AE48B6">
        <w:rPr>
          <w:b/>
          <w:lang w:val="en-GB"/>
        </w:rPr>
        <w:lastRenderedPageBreak/>
        <w:t>Table 3:</w:t>
      </w:r>
      <w:r w:rsidR="00AC3CEA" w:rsidRPr="00AE48B6">
        <w:rPr>
          <w:lang w:val="en-GB"/>
        </w:rPr>
        <w:t xml:space="preserve"> Pooled o</w:t>
      </w:r>
      <w:r w:rsidRPr="00AE48B6">
        <w:rPr>
          <w:lang w:val="en-GB"/>
        </w:rPr>
        <w:t>utcomes</w:t>
      </w:r>
      <w:r w:rsidR="00AC3CEA" w:rsidRPr="00AE48B6">
        <w:rPr>
          <w:lang w:val="en-GB"/>
        </w:rPr>
        <w:t xml:space="preserve"> of locoregional treatment for </w:t>
      </w:r>
      <w:r w:rsidR="0061420A">
        <w:rPr>
          <w:lang w:val="en-GB"/>
        </w:rPr>
        <w:t xml:space="preserve">patients with </w:t>
      </w:r>
      <w:r w:rsidR="00AC3CEA" w:rsidRPr="00AE48B6">
        <w:rPr>
          <w:lang w:val="en-GB"/>
        </w:rPr>
        <w:t>intrahepatic cholangiocarcinoma</w:t>
      </w:r>
    </w:p>
    <w:tbl>
      <w:tblPr>
        <w:tblStyle w:val="Grilledutableau"/>
        <w:tblW w:w="5403" w:type="pct"/>
        <w:tblLook w:val="04A0" w:firstRow="1" w:lastRow="0" w:firstColumn="1" w:lastColumn="0" w:noHBand="0" w:noVBand="1"/>
      </w:tblPr>
      <w:tblGrid>
        <w:gridCol w:w="3064"/>
        <w:gridCol w:w="1352"/>
        <w:gridCol w:w="1352"/>
        <w:gridCol w:w="1351"/>
        <w:gridCol w:w="1343"/>
        <w:gridCol w:w="1330"/>
      </w:tblGrid>
      <w:tr w:rsidR="00645E43" w:rsidRPr="00AD70F1" w14:paraId="5CC17ED6" w14:textId="77777777" w:rsidTr="00712F2E">
        <w:trPr>
          <w:trHeight w:val="479"/>
        </w:trPr>
        <w:tc>
          <w:tcPr>
            <w:tcW w:w="1564" w:type="pct"/>
          </w:tcPr>
          <w:p w14:paraId="3DA18070" w14:textId="77777777" w:rsidR="00645E43" w:rsidRPr="00AE48B6" w:rsidRDefault="00645E43" w:rsidP="00712F2E">
            <w:pPr>
              <w:spacing w:line="360" w:lineRule="auto"/>
              <w:jc w:val="center"/>
              <w:rPr>
                <w:rFonts w:cs="Calibri"/>
                <w:b/>
                <w:sz w:val="24"/>
                <w:szCs w:val="24"/>
                <w:lang w:val="en-GB"/>
              </w:rPr>
            </w:pPr>
          </w:p>
        </w:tc>
        <w:tc>
          <w:tcPr>
            <w:tcW w:w="690" w:type="pct"/>
          </w:tcPr>
          <w:p w14:paraId="77C915DC" w14:textId="77777777" w:rsidR="00645E43" w:rsidRPr="00AE48B6" w:rsidRDefault="00645E43" w:rsidP="00712F2E">
            <w:pPr>
              <w:spacing w:line="360" w:lineRule="auto"/>
              <w:jc w:val="center"/>
              <w:rPr>
                <w:rFonts w:cs="Calibri"/>
                <w:b/>
                <w:sz w:val="24"/>
                <w:szCs w:val="24"/>
                <w:lang w:val="en-GB"/>
              </w:rPr>
            </w:pPr>
            <w:r w:rsidRPr="00AE48B6">
              <w:rPr>
                <w:b/>
                <w:sz w:val="24"/>
                <w:szCs w:val="24"/>
                <w:lang w:val="en-GB"/>
              </w:rPr>
              <w:t>Ablation</w:t>
            </w:r>
          </w:p>
        </w:tc>
        <w:tc>
          <w:tcPr>
            <w:tcW w:w="690" w:type="pct"/>
          </w:tcPr>
          <w:p w14:paraId="78589C91" w14:textId="77777777" w:rsidR="00645E43" w:rsidRPr="00AE48B6" w:rsidRDefault="00645E43" w:rsidP="00712F2E">
            <w:pPr>
              <w:spacing w:line="360" w:lineRule="auto"/>
              <w:jc w:val="center"/>
              <w:rPr>
                <w:rFonts w:cs="Calibri"/>
                <w:b/>
                <w:sz w:val="24"/>
                <w:szCs w:val="24"/>
                <w:lang w:val="en-GB"/>
              </w:rPr>
            </w:pPr>
            <w:r w:rsidRPr="00AE48B6">
              <w:rPr>
                <w:b/>
                <w:sz w:val="24"/>
                <w:szCs w:val="24"/>
                <w:lang w:val="en-GB"/>
              </w:rPr>
              <w:t>EBRT</w:t>
            </w:r>
          </w:p>
        </w:tc>
        <w:tc>
          <w:tcPr>
            <w:tcW w:w="690" w:type="pct"/>
            <w:hideMark/>
          </w:tcPr>
          <w:p w14:paraId="7A7B6C6B" w14:textId="77777777" w:rsidR="00645E43" w:rsidRPr="00AE48B6" w:rsidRDefault="00645E43" w:rsidP="00712F2E">
            <w:pPr>
              <w:spacing w:line="360" w:lineRule="auto"/>
              <w:jc w:val="center"/>
              <w:rPr>
                <w:rFonts w:cs="Calibri"/>
                <w:b/>
                <w:sz w:val="24"/>
                <w:szCs w:val="24"/>
                <w:lang w:val="en-GB"/>
              </w:rPr>
            </w:pPr>
            <w:r w:rsidRPr="00AE48B6">
              <w:rPr>
                <w:b/>
                <w:sz w:val="24"/>
                <w:szCs w:val="24"/>
                <w:lang w:val="en-GB"/>
              </w:rPr>
              <w:t>SIRT</w:t>
            </w:r>
          </w:p>
        </w:tc>
        <w:tc>
          <w:tcPr>
            <w:tcW w:w="686" w:type="pct"/>
            <w:hideMark/>
          </w:tcPr>
          <w:p w14:paraId="6BFB4DEA" w14:textId="77777777" w:rsidR="00645E43" w:rsidRPr="00AE48B6" w:rsidRDefault="00645E43" w:rsidP="00712F2E">
            <w:pPr>
              <w:spacing w:line="360" w:lineRule="auto"/>
              <w:jc w:val="center"/>
              <w:rPr>
                <w:rFonts w:cs="Calibri"/>
                <w:b/>
                <w:sz w:val="24"/>
                <w:szCs w:val="24"/>
                <w:lang w:val="en-GB"/>
              </w:rPr>
            </w:pPr>
            <w:r w:rsidRPr="00AE48B6">
              <w:rPr>
                <w:b/>
                <w:sz w:val="24"/>
                <w:szCs w:val="24"/>
                <w:lang w:val="en-GB"/>
              </w:rPr>
              <w:t>TACE</w:t>
            </w:r>
          </w:p>
        </w:tc>
        <w:tc>
          <w:tcPr>
            <w:tcW w:w="679" w:type="pct"/>
            <w:hideMark/>
          </w:tcPr>
          <w:p w14:paraId="22E8EC64" w14:textId="77777777" w:rsidR="00645E43" w:rsidRPr="00AE48B6" w:rsidRDefault="00645E43" w:rsidP="00712F2E">
            <w:pPr>
              <w:spacing w:line="360" w:lineRule="auto"/>
              <w:jc w:val="center"/>
              <w:rPr>
                <w:rFonts w:cs="Calibri"/>
                <w:b/>
                <w:sz w:val="24"/>
                <w:szCs w:val="24"/>
                <w:lang w:val="en-GB"/>
              </w:rPr>
            </w:pPr>
            <w:r w:rsidRPr="00AE48B6">
              <w:rPr>
                <w:b/>
                <w:sz w:val="24"/>
                <w:szCs w:val="24"/>
                <w:lang w:val="en-GB"/>
              </w:rPr>
              <w:t>HAI</w:t>
            </w:r>
          </w:p>
        </w:tc>
      </w:tr>
      <w:tr w:rsidR="00645E43" w:rsidRPr="00AD70F1" w14:paraId="0F6F61A1" w14:textId="77777777" w:rsidTr="00712F2E">
        <w:trPr>
          <w:trHeight w:val="896"/>
        </w:trPr>
        <w:tc>
          <w:tcPr>
            <w:tcW w:w="1564" w:type="pct"/>
            <w:hideMark/>
          </w:tcPr>
          <w:p w14:paraId="062BAEAA" w14:textId="6F933C21" w:rsidR="00645E43" w:rsidRPr="00AE48B6" w:rsidRDefault="00645E43" w:rsidP="00712F2E">
            <w:pPr>
              <w:spacing w:line="360" w:lineRule="auto"/>
              <w:jc w:val="center"/>
              <w:rPr>
                <w:b/>
                <w:sz w:val="24"/>
                <w:szCs w:val="24"/>
                <w:lang w:val="en-GB"/>
              </w:rPr>
            </w:pPr>
            <w:r w:rsidRPr="00AE48B6">
              <w:rPr>
                <w:sz w:val="24"/>
                <w:szCs w:val="24"/>
                <w:lang w:val="en-GB"/>
              </w:rPr>
              <w:t xml:space="preserve">Pooled </w:t>
            </w:r>
            <w:r w:rsidR="002B146F" w:rsidRPr="00AE48B6">
              <w:rPr>
                <w:sz w:val="24"/>
                <w:szCs w:val="24"/>
                <w:lang w:val="en-GB"/>
              </w:rPr>
              <w:t xml:space="preserve">weighted </w:t>
            </w:r>
            <w:r w:rsidRPr="00AE48B6">
              <w:rPr>
                <w:sz w:val="24"/>
                <w:szCs w:val="24"/>
                <w:lang w:val="en-GB"/>
              </w:rPr>
              <w:t xml:space="preserve">mean </w:t>
            </w:r>
            <w:r w:rsidRPr="00AE48B6">
              <w:rPr>
                <w:b/>
                <w:sz w:val="24"/>
                <w:szCs w:val="24"/>
                <w:lang w:val="en-GB"/>
              </w:rPr>
              <w:t>OS</w:t>
            </w:r>
          </w:p>
          <w:p w14:paraId="54D857D8" w14:textId="77777777" w:rsidR="00645E43" w:rsidRPr="00AE48B6" w:rsidRDefault="00645E43" w:rsidP="00712F2E">
            <w:pPr>
              <w:spacing w:line="360" w:lineRule="auto"/>
              <w:jc w:val="center"/>
              <w:rPr>
                <w:rFonts w:cs="Calibri"/>
                <w:sz w:val="24"/>
                <w:szCs w:val="24"/>
                <w:lang w:val="en-GB"/>
              </w:rPr>
            </w:pPr>
            <w:r w:rsidRPr="00AE48B6">
              <w:rPr>
                <w:sz w:val="24"/>
                <w:szCs w:val="24"/>
                <w:lang w:val="en-GB"/>
              </w:rPr>
              <w:t>months (95% CI); number of studies with data available</w:t>
            </w:r>
          </w:p>
        </w:tc>
        <w:tc>
          <w:tcPr>
            <w:tcW w:w="690" w:type="pct"/>
          </w:tcPr>
          <w:p w14:paraId="0AAEDA21"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30.2 (21.8-38.6); 14</w:t>
            </w:r>
          </w:p>
        </w:tc>
        <w:tc>
          <w:tcPr>
            <w:tcW w:w="690" w:type="pct"/>
          </w:tcPr>
          <w:p w14:paraId="70F2E39A"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18.9 (14.2-23.5); 15</w:t>
            </w:r>
          </w:p>
        </w:tc>
        <w:tc>
          <w:tcPr>
            <w:tcW w:w="690" w:type="pct"/>
            <w:hideMark/>
          </w:tcPr>
          <w:p w14:paraId="31126CF4"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14.1 (12.1-16.0); 26</w:t>
            </w:r>
          </w:p>
        </w:tc>
        <w:tc>
          <w:tcPr>
            <w:tcW w:w="686" w:type="pct"/>
            <w:hideMark/>
          </w:tcPr>
          <w:p w14:paraId="2AEA9699"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15.9 (12.9-19.0); 20</w:t>
            </w:r>
          </w:p>
        </w:tc>
        <w:tc>
          <w:tcPr>
            <w:tcW w:w="679" w:type="pct"/>
            <w:hideMark/>
          </w:tcPr>
          <w:p w14:paraId="04A029C7"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21.3 (15.4-27.1); 13</w:t>
            </w:r>
          </w:p>
        </w:tc>
      </w:tr>
      <w:tr w:rsidR="00645E43" w:rsidRPr="00AD70F1" w14:paraId="026A9EFD" w14:textId="77777777" w:rsidTr="00712F2E">
        <w:trPr>
          <w:trHeight w:val="883"/>
        </w:trPr>
        <w:tc>
          <w:tcPr>
            <w:tcW w:w="1564" w:type="pct"/>
            <w:hideMark/>
          </w:tcPr>
          <w:p w14:paraId="3F012904" w14:textId="7E76C348" w:rsidR="00645E43" w:rsidRPr="00AE48B6" w:rsidRDefault="00645E43" w:rsidP="00712F2E">
            <w:pPr>
              <w:spacing w:line="360" w:lineRule="auto"/>
              <w:jc w:val="center"/>
              <w:rPr>
                <w:sz w:val="24"/>
                <w:szCs w:val="24"/>
                <w:lang w:val="en-GB"/>
              </w:rPr>
            </w:pPr>
            <w:r w:rsidRPr="00AE48B6">
              <w:rPr>
                <w:sz w:val="24"/>
                <w:szCs w:val="24"/>
                <w:lang w:val="en-GB"/>
              </w:rPr>
              <w:t xml:space="preserve">Pooled </w:t>
            </w:r>
            <w:r w:rsidR="002B146F" w:rsidRPr="00AE48B6">
              <w:rPr>
                <w:sz w:val="24"/>
                <w:szCs w:val="24"/>
                <w:lang w:val="en-GB"/>
              </w:rPr>
              <w:t xml:space="preserve">weighted </w:t>
            </w:r>
            <w:r w:rsidRPr="00AE48B6">
              <w:rPr>
                <w:sz w:val="24"/>
                <w:szCs w:val="24"/>
                <w:lang w:val="en-GB"/>
              </w:rPr>
              <w:t xml:space="preserve">mean </w:t>
            </w:r>
            <w:r w:rsidRPr="00AE48B6">
              <w:rPr>
                <w:b/>
                <w:sz w:val="24"/>
                <w:szCs w:val="24"/>
                <w:lang w:val="en-GB"/>
              </w:rPr>
              <w:t>PFS</w:t>
            </w:r>
          </w:p>
          <w:p w14:paraId="2A8F5BE4" w14:textId="77777777" w:rsidR="00645E43" w:rsidRPr="00AE48B6" w:rsidRDefault="00645E43" w:rsidP="00712F2E">
            <w:pPr>
              <w:spacing w:line="360" w:lineRule="auto"/>
              <w:jc w:val="center"/>
              <w:rPr>
                <w:rFonts w:cs="Calibri"/>
                <w:sz w:val="24"/>
                <w:szCs w:val="24"/>
                <w:lang w:val="en-GB"/>
              </w:rPr>
            </w:pPr>
            <w:r w:rsidRPr="00AE48B6">
              <w:rPr>
                <w:sz w:val="24"/>
                <w:szCs w:val="24"/>
                <w:lang w:val="en-GB"/>
              </w:rPr>
              <w:t>months (95% CI) ; number of studies with data available</w:t>
            </w:r>
          </w:p>
        </w:tc>
        <w:tc>
          <w:tcPr>
            <w:tcW w:w="690" w:type="pct"/>
          </w:tcPr>
          <w:p w14:paraId="58C500B6"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8.8 (5.9-11.6); 9</w:t>
            </w:r>
          </w:p>
        </w:tc>
        <w:tc>
          <w:tcPr>
            <w:tcW w:w="690" w:type="pct"/>
          </w:tcPr>
          <w:p w14:paraId="18B91984"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15.6 (5.4-25.7); 5</w:t>
            </w:r>
          </w:p>
        </w:tc>
        <w:tc>
          <w:tcPr>
            <w:tcW w:w="690" w:type="pct"/>
            <w:hideMark/>
          </w:tcPr>
          <w:p w14:paraId="101496CD"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7.8 (4.6-11.0); 8</w:t>
            </w:r>
          </w:p>
        </w:tc>
        <w:tc>
          <w:tcPr>
            <w:tcW w:w="686" w:type="pct"/>
            <w:hideMark/>
          </w:tcPr>
          <w:p w14:paraId="00E9F2A5"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15.0 (4.4-25.6); 7</w:t>
            </w:r>
          </w:p>
        </w:tc>
        <w:tc>
          <w:tcPr>
            <w:tcW w:w="679" w:type="pct"/>
            <w:hideMark/>
          </w:tcPr>
          <w:p w14:paraId="2A0E51F3"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10.1 (7.9-12.3); 9</w:t>
            </w:r>
          </w:p>
        </w:tc>
      </w:tr>
      <w:tr w:rsidR="00645E43" w:rsidRPr="00AD70F1" w14:paraId="24A3492F" w14:textId="77777777" w:rsidTr="00712F2E">
        <w:trPr>
          <w:trHeight w:val="1138"/>
        </w:trPr>
        <w:tc>
          <w:tcPr>
            <w:tcW w:w="1564" w:type="pct"/>
            <w:hideMark/>
          </w:tcPr>
          <w:p w14:paraId="4F62085E" w14:textId="2D2EA6C1" w:rsidR="00645E43" w:rsidRPr="00AE48B6" w:rsidRDefault="00645E43" w:rsidP="002B146F">
            <w:pPr>
              <w:spacing w:line="360" w:lineRule="auto"/>
              <w:jc w:val="center"/>
              <w:rPr>
                <w:b/>
                <w:sz w:val="24"/>
                <w:szCs w:val="24"/>
                <w:lang w:val="en-GB"/>
              </w:rPr>
            </w:pPr>
            <w:r w:rsidRPr="00AE48B6">
              <w:rPr>
                <w:sz w:val="24"/>
                <w:szCs w:val="24"/>
                <w:lang w:val="en-GB"/>
              </w:rPr>
              <w:t xml:space="preserve">Pooled </w:t>
            </w:r>
            <w:r w:rsidR="002B146F" w:rsidRPr="00AE48B6">
              <w:rPr>
                <w:sz w:val="24"/>
                <w:szCs w:val="24"/>
                <w:lang w:val="en-GB"/>
              </w:rPr>
              <w:t xml:space="preserve">weighted </w:t>
            </w:r>
            <w:r w:rsidRPr="00AE48B6">
              <w:rPr>
                <w:sz w:val="24"/>
                <w:szCs w:val="24"/>
                <w:lang w:val="en-GB"/>
              </w:rPr>
              <w:t xml:space="preserve">mean </w:t>
            </w:r>
            <w:r w:rsidRPr="00AE48B6">
              <w:rPr>
                <w:b/>
                <w:sz w:val="24"/>
                <w:szCs w:val="24"/>
                <w:lang w:val="en-GB"/>
              </w:rPr>
              <w:t xml:space="preserve">liver PFS </w:t>
            </w:r>
            <w:r w:rsidRPr="00AE48B6">
              <w:rPr>
                <w:sz w:val="24"/>
                <w:szCs w:val="24"/>
                <w:lang w:val="en-GB"/>
              </w:rPr>
              <w:t>months (95% CI) ; number of studies with data available</w:t>
            </w:r>
          </w:p>
        </w:tc>
        <w:tc>
          <w:tcPr>
            <w:tcW w:w="690" w:type="pct"/>
          </w:tcPr>
          <w:p w14:paraId="7EE7E609"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15.6 (0-140.5); 2</w:t>
            </w:r>
          </w:p>
        </w:tc>
        <w:tc>
          <w:tcPr>
            <w:tcW w:w="690" w:type="pct"/>
          </w:tcPr>
          <w:p w14:paraId="2170E54D"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4.1 (n/a); 1</w:t>
            </w:r>
          </w:p>
        </w:tc>
        <w:tc>
          <w:tcPr>
            <w:tcW w:w="690" w:type="pct"/>
            <w:hideMark/>
          </w:tcPr>
          <w:p w14:paraId="03198289"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4.9 (0.8-9.2); 3</w:t>
            </w:r>
          </w:p>
        </w:tc>
        <w:tc>
          <w:tcPr>
            <w:tcW w:w="686" w:type="pct"/>
            <w:hideMark/>
          </w:tcPr>
          <w:p w14:paraId="04B160CB"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4.9 (0-43.0); 2</w:t>
            </w:r>
          </w:p>
        </w:tc>
        <w:tc>
          <w:tcPr>
            <w:tcW w:w="679" w:type="pct"/>
            <w:hideMark/>
          </w:tcPr>
          <w:p w14:paraId="23DB06DE"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8.8 (0-64.0); 2</w:t>
            </w:r>
          </w:p>
        </w:tc>
      </w:tr>
      <w:tr w:rsidR="00645E43" w:rsidRPr="00AD70F1" w14:paraId="221B30F0" w14:textId="77777777" w:rsidTr="00712F2E">
        <w:trPr>
          <w:trHeight w:val="1283"/>
        </w:trPr>
        <w:tc>
          <w:tcPr>
            <w:tcW w:w="1564" w:type="pct"/>
            <w:hideMark/>
          </w:tcPr>
          <w:p w14:paraId="273B52CD" w14:textId="77777777" w:rsidR="00645E43" w:rsidRPr="00AE48B6" w:rsidRDefault="00645E43" w:rsidP="00712F2E">
            <w:pPr>
              <w:spacing w:line="360" w:lineRule="auto"/>
              <w:jc w:val="center"/>
              <w:rPr>
                <w:sz w:val="24"/>
                <w:szCs w:val="24"/>
                <w:lang w:val="en-GB"/>
              </w:rPr>
            </w:pPr>
            <w:r w:rsidRPr="00AE48B6">
              <w:rPr>
                <w:sz w:val="24"/>
                <w:szCs w:val="24"/>
                <w:lang w:val="en-GB"/>
              </w:rPr>
              <w:t xml:space="preserve">Pooled </w:t>
            </w:r>
            <w:r w:rsidRPr="00AE48B6">
              <w:rPr>
                <w:b/>
                <w:sz w:val="24"/>
                <w:szCs w:val="24"/>
                <w:lang w:val="en-GB"/>
              </w:rPr>
              <w:t>response rate</w:t>
            </w:r>
          </w:p>
          <w:p w14:paraId="29E43F94" w14:textId="77777777" w:rsidR="00645E43" w:rsidRPr="00AE48B6" w:rsidRDefault="00645E43" w:rsidP="00712F2E">
            <w:pPr>
              <w:spacing w:line="360" w:lineRule="auto"/>
              <w:jc w:val="center"/>
              <w:rPr>
                <w:rFonts w:cs="Calibri"/>
                <w:sz w:val="24"/>
                <w:szCs w:val="24"/>
                <w:lang w:val="en-GB"/>
              </w:rPr>
            </w:pPr>
            <w:r w:rsidRPr="00AE48B6">
              <w:rPr>
                <w:sz w:val="24"/>
                <w:szCs w:val="24"/>
                <w:lang w:val="en-GB"/>
              </w:rPr>
              <w:t>% (95% CI); heterogeneity I</w:t>
            </w:r>
            <w:r w:rsidRPr="00AE48B6">
              <w:rPr>
                <w:sz w:val="24"/>
                <w:szCs w:val="24"/>
                <w:vertAlign w:val="superscript"/>
                <w:lang w:val="en-GB"/>
              </w:rPr>
              <w:t>2</w:t>
            </w:r>
            <w:r w:rsidRPr="00AE48B6">
              <w:rPr>
                <w:sz w:val="24"/>
                <w:szCs w:val="24"/>
                <w:lang w:val="en-GB"/>
              </w:rPr>
              <w:t>-p value; number of studies with data available</w:t>
            </w:r>
          </w:p>
        </w:tc>
        <w:tc>
          <w:tcPr>
            <w:tcW w:w="690" w:type="pct"/>
          </w:tcPr>
          <w:p w14:paraId="3467DC55"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n/a; n/a; 1</w:t>
            </w:r>
          </w:p>
        </w:tc>
        <w:tc>
          <w:tcPr>
            <w:tcW w:w="690" w:type="pct"/>
          </w:tcPr>
          <w:p w14:paraId="0F7C769F"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26.0 (14.2-39.7); 68.3%-0.004; 7</w:t>
            </w:r>
          </w:p>
        </w:tc>
        <w:tc>
          <w:tcPr>
            <w:tcW w:w="690" w:type="pct"/>
            <w:hideMark/>
          </w:tcPr>
          <w:p w14:paraId="34DF6367"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23.4 (15.7-31.9); 85.0%-0.000; 18</w:t>
            </w:r>
          </w:p>
        </w:tc>
        <w:tc>
          <w:tcPr>
            <w:tcW w:w="686" w:type="pct"/>
            <w:hideMark/>
          </w:tcPr>
          <w:p w14:paraId="78F539FF"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26.3 (14.0-40.6); 92.8%-0.000; 15</w:t>
            </w:r>
          </w:p>
        </w:tc>
        <w:tc>
          <w:tcPr>
            <w:tcW w:w="679" w:type="pct"/>
            <w:hideMark/>
          </w:tcPr>
          <w:p w14:paraId="72BEF072"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41.3 (29.7-53.3); 70.3%-0.000; 13</w:t>
            </w:r>
          </w:p>
        </w:tc>
      </w:tr>
      <w:tr w:rsidR="00645E43" w:rsidRPr="00AD70F1" w14:paraId="3BD6F6BF" w14:textId="77777777" w:rsidTr="00712F2E">
        <w:trPr>
          <w:trHeight w:val="1519"/>
        </w:trPr>
        <w:tc>
          <w:tcPr>
            <w:tcW w:w="1564" w:type="pct"/>
            <w:hideMark/>
          </w:tcPr>
          <w:p w14:paraId="083133D8" w14:textId="77777777" w:rsidR="00645E43" w:rsidRPr="00AE48B6" w:rsidRDefault="00645E43" w:rsidP="00712F2E">
            <w:pPr>
              <w:spacing w:line="360" w:lineRule="auto"/>
              <w:jc w:val="center"/>
              <w:rPr>
                <w:rFonts w:cs="Calibri"/>
                <w:sz w:val="24"/>
                <w:szCs w:val="24"/>
                <w:lang w:val="en-GB"/>
              </w:rPr>
            </w:pPr>
            <w:r w:rsidRPr="00AE48B6">
              <w:rPr>
                <w:sz w:val="24"/>
                <w:szCs w:val="24"/>
                <w:lang w:val="en-GB"/>
              </w:rPr>
              <w:t xml:space="preserve">Pooled </w:t>
            </w:r>
            <w:r w:rsidRPr="00AE48B6">
              <w:rPr>
                <w:b/>
                <w:sz w:val="24"/>
                <w:szCs w:val="24"/>
                <w:lang w:val="en-GB"/>
              </w:rPr>
              <w:t xml:space="preserve">complete response rate </w:t>
            </w:r>
            <w:r w:rsidRPr="00AE48B6">
              <w:rPr>
                <w:sz w:val="24"/>
                <w:szCs w:val="24"/>
                <w:lang w:val="en-GB"/>
              </w:rPr>
              <w:t>% (95% CI); heterogeneity I</w:t>
            </w:r>
            <w:r w:rsidRPr="00AE48B6">
              <w:rPr>
                <w:sz w:val="24"/>
                <w:szCs w:val="24"/>
                <w:vertAlign w:val="superscript"/>
                <w:lang w:val="en-GB"/>
              </w:rPr>
              <w:t>2</w:t>
            </w:r>
            <w:r w:rsidRPr="00AE48B6">
              <w:rPr>
                <w:sz w:val="24"/>
                <w:szCs w:val="24"/>
                <w:lang w:val="en-GB"/>
              </w:rPr>
              <w:t>-p value; number of studies with data available</w:t>
            </w:r>
          </w:p>
        </w:tc>
        <w:tc>
          <w:tcPr>
            <w:tcW w:w="690" w:type="pct"/>
          </w:tcPr>
          <w:p w14:paraId="629E91F9"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93.9 (90.9-96.5); 0.0%-0.742; 8</w:t>
            </w:r>
          </w:p>
        </w:tc>
        <w:tc>
          <w:tcPr>
            <w:tcW w:w="690" w:type="pct"/>
          </w:tcPr>
          <w:p w14:paraId="7852F99C"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5.2 (0-17.7); 70.9%-0.008; 5</w:t>
            </w:r>
          </w:p>
        </w:tc>
        <w:tc>
          <w:tcPr>
            <w:tcW w:w="690" w:type="pct"/>
          </w:tcPr>
          <w:p w14:paraId="223ED50D"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0.2 (0.0-1.4); 22.1%-0.233; 11</w:t>
            </w:r>
          </w:p>
        </w:tc>
        <w:tc>
          <w:tcPr>
            <w:tcW w:w="686" w:type="pct"/>
          </w:tcPr>
          <w:p w14:paraId="5F802578"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0.1 (0-0.1); 32.9%-0.105; 15</w:t>
            </w:r>
          </w:p>
        </w:tc>
        <w:tc>
          <w:tcPr>
            <w:tcW w:w="679" w:type="pct"/>
          </w:tcPr>
          <w:p w14:paraId="522A4CF3"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0.4 (0-3.4); 0.0%-0.925; 8</w:t>
            </w:r>
          </w:p>
        </w:tc>
      </w:tr>
      <w:tr w:rsidR="00645E43" w:rsidRPr="00AD70F1" w14:paraId="274EFE1C" w14:textId="77777777" w:rsidTr="00712F2E">
        <w:trPr>
          <w:trHeight w:val="1272"/>
        </w:trPr>
        <w:tc>
          <w:tcPr>
            <w:tcW w:w="1564" w:type="pct"/>
            <w:hideMark/>
          </w:tcPr>
          <w:p w14:paraId="40C4C984" w14:textId="77777777" w:rsidR="00645E43" w:rsidRPr="00AE48B6" w:rsidRDefault="00645E43" w:rsidP="00712F2E">
            <w:pPr>
              <w:spacing w:line="360" w:lineRule="auto"/>
              <w:jc w:val="center"/>
              <w:rPr>
                <w:sz w:val="24"/>
                <w:szCs w:val="24"/>
                <w:lang w:val="en-GB"/>
              </w:rPr>
            </w:pPr>
            <w:r w:rsidRPr="00AE48B6">
              <w:rPr>
                <w:sz w:val="24"/>
                <w:szCs w:val="24"/>
                <w:lang w:val="en-GB"/>
              </w:rPr>
              <w:t xml:space="preserve">Pooled </w:t>
            </w:r>
            <w:r w:rsidRPr="00AE48B6">
              <w:rPr>
                <w:b/>
                <w:sz w:val="24"/>
                <w:szCs w:val="24"/>
                <w:lang w:val="en-GB"/>
              </w:rPr>
              <w:t>disease control rate</w:t>
            </w:r>
          </w:p>
          <w:p w14:paraId="58739568" w14:textId="77777777" w:rsidR="00645E43" w:rsidRPr="00AE48B6" w:rsidRDefault="00645E43" w:rsidP="00712F2E">
            <w:pPr>
              <w:spacing w:line="360" w:lineRule="auto"/>
              <w:jc w:val="center"/>
              <w:rPr>
                <w:rFonts w:cs="Calibri"/>
                <w:sz w:val="24"/>
                <w:szCs w:val="24"/>
                <w:lang w:val="en-GB"/>
              </w:rPr>
            </w:pPr>
            <w:r w:rsidRPr="00AE48B6">
              <w:rPr>
                <w:sz w:val="24"/>
                <w:szCs w:val="24"/>
                <w:lang w:val="en-GB"/>
              </w:rPr>
              <w:t>% (95% CI); heterogeneity I</w:t>
            </w:r>
            <w:r w:rsidRPr="00AE48B6">
              <w:rPr>
                <w:sz w:val="24"/>
                <w:szCs w:val="24"/>
                <w:vertAlign w:val="superscript"/>
                <w:lang w:val="en-GB"/>
              </w:rPr>
              <w:t>2</w:t>
            </w:r>
            <w:r w:rsidRPr="00AE48B6">
              <w:rPr>
                <w:sz w:val="24"/>
                <w:szCs w:val="24"/>
                <w:lang w:val="en-GB"/>
              </w:rPr>
              <w:t>-p value; number of studies with data available</w:t>
            </w:r>
          </w:p>
        </w:tc>
        <w:tc>
          <w:tcPr>
            <w:tcW w:w="690" w:type="pct"/>
          </w:tcPr>
          <w:p w14:paraId="6537A96B"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97.4 (90.4-100); n/a; 2</w:t>
            </w:r>
          </w:p>
        </w:tc>
        <w:tc>
          <w:tcPr>
            <w:tcW w:w="690" w:type="pct"/>
          </w:tcPr>
          <w:p w14:paraId="236B6AA1"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75.5 (53.8-92.4); 79.9%-0.001; 5</w:t>
            </w:r>
          </w:p>
        </w:tc>
        <w:tc>
          <w:tcPr>
            <w:tcW w:w="690" w:type="pct"/>
            <w:hideMark/>
          </w:tcPr>
          <w:p w14:paraId="6AE66685"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76.7 (66.3-85.8); 87.2%-0.000; 13</w:t>
            </w:r>
          </w:p>
        </w:tc>
        <w:tc>
          <w:tcPr>
            <w:tcW w:w="686" w:type="pct"/>
            <w:hideMark/>
          </w:tcPr>
          <w:p w14:paraId="23F7F9D3"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82.7 (73.9-90.1); 84.4%-0.000; 15</w:t>
            </w:r>
          </w:p>
        </w:tc>
        <w:tc>
          <w:tcPr>
            <w:tcW w:w="679" w:type="pct"/>
            <w:hideMark/>
          </w:tcPr>
          <w:p w14:paraId="7B37D0B7"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76.8 (68.4-84.4); 27.0%-0.187; 11</w:t>
            </w:r>
          </w:p>
        </w:tc>
      </w:tr>
      <w:tr w:rsidR="00645E43" w:rsidRPr="00AD70F1" w14:paraId="3AC6BE7D" w14:textId="77777777" w:rsidTr="00712F2E">
        <w:trPr>
          <w:trHeight w:val="631"/>
        </w:trPr>
        <w:tc>
          <w:tcPr>
            <w:tcW w:w="1564" w:type="pct"/>
            <w:hideMark/>
          </w:tcPr>
          <w:p w14:paraId="1C7734F1" w14:textId="77777777" w:rsidR="00645E43" w:rsidRPr="00AE48B6" w:rsidRDefault="00645E43" w:rsidP="00712F2E">
            <w:pPr>
              <w:spacing w:line="360" w:lineRule="auto"/>
              <w:jc w:val="center"/>
              <w:rPr>
                <w:b/>
                <w:sz w:val="24"/>
                <w:szCs w:val="24"/>
                <w:lang w:val="en-GB"/>
              </w:rPr>
            </w:pPr>
            <w:r w:rsidRPr="00AE48B6">
              <w:rPr>
                <w:sz w:val="24"/>
                <w:szCs w:val="24"/>
                <w:lang w:val="en-GB"/>
              </w:rPr>
              <w:t xml:space="preserve">Pooled </w:t>
            </w:r>
            <w:r w:rsidRPr="00AE48B6">
              <w:rPr>
                <w:b/>
                <w:sz w:val="24"/>
                <w:szCs w:val="24"/>
                <w:lang w:val="en-GB"/>
              </w:rPr>
              <w:t>secondary resection rate</w:t>
            </w:r>
          </w:p>
          <w:p w14:paraId="2436C0F1" w14:textId="77777777" w:rsidR="00645E43" w:rsidRPr="00AE48B6" w:rsidRDefault="00645E43" w:rsidP="00712F2E">
            <w:pPr>
              <w:spacing w:line="360" w:lineRule="auto"/>
              <w:jc w:val="center"/>
              <w:rPr>
                <w:rFonts w:cs="Calibri"/>
                <w:sz w:val="24"/>
                <w:szCs w:val="24"/>
                <w:lang w:val="en-GB"/>
              </w:rPr>
            </w:pPr>
            <w:r w:rsidRPr="00AE48B6">
              <w:rPr>
                <w:sz w:val="24"/>
                <w:szCs w:val="24"/>
                <w:lang w:val="en-GB"/>
              </w:rPr>
              <w:t>% (95% CI); heterogeneity I</w:t>
            </w:r>
            <w:r w:rsidRPr="00AE48B6">
              <w:rPr>
                <w:sz w:val="24"/>
                <w:szCs w:val="24"/>
                <w:vertAlign w:val="superscript"/>
                <w:lang w:val="en-GB"/>
              </w:rPr>
              <w:t>2</w:t>
            </w:r>
            <w:r w:rsidRPr="00AE48B6">
              <w:rPr>
                <w:sz w:val="24"/>
                <w:szCs w:val="24"/>
                <w:lang w:val="en-GB"/>
              </w:rPr>
              <w:t>-p value; number of studies with data available</w:t>
            </w:r>
          </w:p>
        </w:tc>
        <w:tc>
          <w:tcPr>
            <w:tcW w:w="690" w:type="pct"/>
          </w:tcPr>
          <w:p w14:paraId="6394AAA6"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n/a; n/a; 1</w:t>
            </w:r>
          </w:p>
        </w:tc>
        <w:tc>
          <w:tcPr>
            <w:tcW w:w="690" w:type="pct"/>
          </w:tcPr>
          <w:p w14:paraId="59639EFC"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n/a; n/a; 1</w:t>
            </w:r>
          </w:p>
        </w:tc>
        <w:tc>
          <w:tcPr>
            <w:tcW w:w="690" w:type="pct"/>
            <w:hideMark/>
          </w:tcPr>
          <w:p w14:paraId="5DD70CFA"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7.6 (3.7-12.5); 68.4%-0.002; 8</w:t>
            </w:r>
          </w:p>
        </w:tc>
        <w:tc>
          <w:tcPr>
            <w:tcW w:w="686" w:type="pct"/>
            <w:hideMark/>
          </w:tcPr>
          <w:p w14:paraId="1E19AE16"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12.7 (6.4-20.3); 3.5%-0.375</w:t>
            </w:r>
          </w:p>
        </w:tc>
        <w:tc>
          <w:tcPr>
            <w:tcW w:w="679" w:type="pct"/>
            <w:hideMark/>
          </w:tcPr>
          <w:p w14:paraId="5A383E9C"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8.3 (3.2-14.9); 23.0%-0.261; 6</w:t>
            </w:r>
          </w:p>
        </w:tc>
      </w:tr>
      <w:tr w:rsidR="00645E43" w:rsidRPr="00AD70F1" w14:paraId="4F4A11F9" w14:textId="77777777" w:rsidTr="00712F2E">
        <w:trPr>
          <w:trHeight w:val="63"/>
        </w:trPr>
        <w:tc>
          <w:tcPr>
            <w:tcW w:w="1564" w:type="pct"/>
          </w:tcPr>
          <w:p w14:paraId="758696C0" w14:textId="71C00EDB" w:rsidR="00645E43" w:rsidRPr="00AE48B6" w:rsidRDefault="00645E43" w:rsidP="00712F2E">
            <w:pPr>
              <w:spacing w:line="360" w:lineRule="auto"/>
              <w:jc w:val="center"/>
              <w:rPr>
                <w:sz w:val="24"/>
                <w:szCs w:val="24"/>
                <w:lang w:val="en-GB"/>
              </w:rPr>
            </w:pPr>
            <w:r w:rsidRPr="00AE48B6">
              <w:rPr>
                <w:sz w:val="24"/>
                <w:szCs w:val="24"/>
                <w:lang w:val="en-GB"/>
              </w:rPr>
              <w:lastRenderedPageBreak/>
              <w:t xml:space="preserve">Pooled </w:t>
            </w:r>
            <w:r w:rsidR="002B146F" w:rsidRPr="00AE48B6">
              <w:rPr>
                <w:sz w:val="24"/>
                <w:szCs w:val="24"/>
                <w:lang w:val="en-GB"/>
              </w:rPr>
              <w:t xml:space="preserve">weighted </w:t>
            </w:r>
            <w:r w:rsidRPr="00AE48B6">
              <w:rPr>
                <w:sz w:val="24"/>
                <w:szCs w:val="24"/>
                <w:lang w:val="en-GB"/>
              </w:rPr>
              <w:t xml:space="preserve">mean </w:t>
            </w:r>
            <w:r w:rsidRPr="00AE48B6">
              <w:rPr>
                <w:b/>
                <w:sz w:val="24"/>
                <w:szCs w:val="24"/>
                <w:lang w:val="en-GB"/>
              </w:rPr>
              <w:t>2-year local control rate</w:t>
            </w:r>
          </w:p>
          <w:p w14:paraId="47523FAE" w14:textId="77777777" w:rsidR="00645E43" w:rsidRPr="00AE48B6" w:rsidRDefault="00645E43" w:rsidP="00712F2E">
            <w:pPr>
              <w:spacing w:line="360" w:lineRule="auto"/>
              <w:jc w:val="center"/>
              <w:rPr>
                <w:sz w:val="24"/>
                <w:szCs w:val="24"/>
                <w:lang w:val="en-GB"/>
              </w:rPr>
            </w:pPr>
            <w:r w:rsidRPr="00AE48B6">
              <w:rPr>
                <w:sz w:val="24"/>
                <w:szCs w:val="24"/>
                <w:lang w:val="en-GB"/>
              </w:rPr>
              <w:t>% (95% CI); number of studies with data available</w:t>
            </w:r>
          </w:p>
        </w:tc>
        <w:tc>
          <w:tcPr>
            <w:tcW w:w="690" w:type="pct"/>
          </w:tcPr>
          <w:p w14:paraId="3961E0D6"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79.3 (0-100); 2</w:t>
            </w:r>
          </w:p>
        </w:tc>
        <w:tc>
          <w:tcPr>
            <w:tcW w:w="690" w:type="pct"/>
          </w:tcPr>
          <w:p w14:paraId="7AFB376C"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69.1 (48.1-90.2); 6</w:t>
            </w:r>
          </w:p>
        </w:tc>
        <w:tc>
          <w:tcPr>
            <w:tcW w:w="690" w:type="pct"/>
          </w:tcPr>
          <w:p w14:paraId="128A2798"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n/a</w:t>
            </w:r>
          </w:p>
        </w:tc>
        <w:tc>
          <w:tcPr>
            <w:tcW w:w="686" w:type="pct"/>
          </w:tcPr>
          <w:p w14:paraId="591DA159"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n/a</w:t>
            </w:r>
          </w:p>
        </w:tc>
        <w:tc>
          <w:tcPr>
            <w:tcW w:w="679" w:type="pct"/>
          </w:tcPr>
          <w:p w14:paraId="60C3B6D6" w14:textId="77777777" w:rsidR="00645E43" w:rsidRPr="00AE48B6" w:rsidRDefault="00645E43" w:rsidP="00712F2E">
            <w:pPr>
              <w:spacing w:line="360" w:lineRule="auto"/>
              <w:jc w:val="center"/>
              <w:rPr>
                <w:rFonts w:cs="Calibri"/>
                <w:sz w:val="24"/>
                <w:szCs w:val="24"/>
                <w:lang w:val="en-GB"/>
              </w:rPr>
            </w:pPr>
            <w:r w:rsidRPr="00AE48B6">
              <w:rPr>
                <w:rFonts w:cs="Calibri"/>
                <w:sz w:val="24"/>
                <w:szCs w:val="24"/>
                <w:lang w:val="en-GB"/>
              </w:rPr>
              <w:t>n/a</w:t>
            </w:r>
          </w:p>
        </w:tc>
      </w:tr>
    </w:tbl>
    <w:p w14:paraId="67A05C50" w14:textId="77777777" w:rsidR="00645E43" w:rsidRPr="00AE48B6" w:rsidRDefault="00645E43" w:rsidP="00645E43">
      <w:pPr>
        <w:spacing w:after="0" w:line="360" w:lineRule="auto"/>
        <w:rPr>
          <w:lang w:val="en-GB"/>
        </w:rPr>
      </w:pPr>
    </w:p>
    <w:p w14:paraId="0E02679F" w14:textId="77777777" w:rsidR="00712F2E" w:rsidRPr="00AE48B6" w:rsidRDefault="00645E43">
      <w:pPr>
        <w:rPr>
          <w:lang w:val="en-GB"/>
        </w:rPr>
      </w:pPr>
      <w:r w:rsidRPr="00AE48B6">
        <w:rPr>
          <w:lang w:val="en-GB"/>
        </w:rPr>
        <w:br w:type="page"/>
      </w:r>
    </w:p>
    <w:p w14:paraId="0D4DEA39" w14:textId="22123A51" w:rsidR="00712F2E" w:rsidRPr="00AE48B6" w:rsidRDefault="00712F2E" w:rsidP="00712F2E">
      <w:pPr>
        <w:spacing w:after="0" w:line="360" w:lineRule="auto"/>
        <w:rPr>
          <w:lang w:val="en-GB"/>
        </w:rPr>
      </w:pPr>
      <w:r w:rsidRPr="00AE48B6">
        <w:rPr>
          <w:lang w:val="en-GB"/>
        </w:rPr>
        <w:lastRenderedPageBreak/>
        <w:t xml:space="preserve">Table 4: Outcomes </w:t>
      </w:r>
      <w:r w:rsidR="003E5222">
        <w:rPr>
          <w:lang w:val="en-GB"/>
        </w:rPr>
        <w:t xml:space="preserve">in patients with intrahepatic cholangiocarcinoma </w:t>
      </w:r>
      <w:r w:rsidRPr="00AE48B6">
        <w:rPr>
          <w:lang w:val="en-GB"/>
        </w:rPr>
        <w:t>for the intra-arterial therapies pooled together, and subgroup analyses</w:t>
      </w:r>
    </w:p>
    <w:p w14:paraId="011F4DAD" w14:textId="77777777" w:rsidR="00712F2E" w:rsidRPr="00AE48B6" w:rsidRDefault="00712F2E" w:rsidP="00712F2E">
      <w:pPr>
        <w:spacing w:after="0" w:line="360" w:lineRule="auto"/>
        <w:rPr>
          <w:lang w:val="en-GB"/>
        </w:rPr>
      </w:pPr>
    </w:p>
    <w:tbl>
      <w:tblPr>
        <w:tblStyle w:val="Grilledutableau"/>
        <w:tblW w:w="9062" w:type="dxa"/>
        <w:tblLook w:val="04A0" w:firstRow="1" w:lastRow="0" w:firstColumn="1" w:lastColumn="0" w:noHBand="0" w:noVBand="1"/>
      </w:tblPr>
      <w:tblGrid>
        <w:gridCol w:w="3681"/>
        <w:gridCol w:w="1793"/>
        <w:gridCol w:w="1794"/>
        <w:gridCol w:w="1794"/>
      </w:tblGrid>
      <w:tr w:rsidR="00712F2E" w:rsidRPr="00FE3C3E" w14:paraId="707E6DE4" w14:textId="77777777" w:rsidTr="00712F2E">
        <w:trPr>
          <w:trHeight w:val="307"/>
        </w:trPr>
        <w:tc>
          <w:tcPr>
            <w:tcW w:w="3681" w:type="dxa"/>
            <w:vAlign w:val="center"/>
            <w:hideMark/>
          </w:tcPr>
          <w:p w14:paraId="28F38578" w14:textId="77777777" w:rsidR="00712F2E" w:rsidRPr="00AE48B6" w:rsidRDefault="00712F2E" w:rsidP="00712F2E">
            <w:pPr>
              <w:spacing w:line="360" w:lineRule="auto"/>
              <w:rPr>
                <w:rFonts w:cstheme="minorHAnsi"/>
                <w:lang w:val="en-GB"/>
              </w:rPr>
            </w:pPr>
          </w:p>
        </w:tc>
        <w:tc>
          <w:tcPr>
            <w:tcW w:w="1793" w:type="dxa"/>
            <w:vAlign w:val="center"/>
          </w:tcPr>
          <w:p w14:paraId="21541919" w14:textId="77777777" w:rsidR="00712F2E" w:rsidRPr="00AE48B6" w:rsidRDefault="00712F2E" w:rsidP="00712F2E">
            <w:pPr>
              <w:spacing w:line="360" w:lineRule="auto"/>
              <w:rPr>
                <w:rFonts w:cstheme="minorHAnsi"/>
                <w:b/>
                <w:bCs/>
                <w:lang w:val="en-GB"/>
              </w:rPr>
            </w:pPr>
            <w:r w:rsidRPr="00AE48B6">
              <w:rPr>
                <w:rFonts w:cstheme="minorHAnsi"/>
                <w:b/>
                <w:bCs/>
                <w:lang w:val="en-GB"/>
              </w:rPr>
              <w:t>All intra-arterial therapies combined</w:t>
            </w:r>
          </w:p>
        </w:tc>
        <w:tc>
          <w:tcPr>
            <w:tcW w:w="1794" w:type="dxa"/>
            <w:vAlign w:val="center"/>
          </w:tcPr>
          <w:p w14:paraId="3253A485" w14:textId="7006D21B" w:rsidR="00712F2E" w:rsidRPr="00AE48B6" w:rsidRDefault="00712F2E" w:rsidP="00712F2E">
            <w:pPr>
              <w:spacing w:line="360" w:lineRule="auto"/>
              <w:rPr>
                <w:rFonts w:cstheme="minorHAnsi"/>
                <w:b/>
                <w:bCs/>
                <w:lang w:val="en-GB"/>
              </w:rPr>
            </w:pPr>
            <w:r w:rsidRPr="00AE48B6">
              <w:rPr>
                <w:rFonts w:cstheme="minorHAnsi"/>
                <w:b/>
                <w:bCs/>
                <w:lang w:val="en-GB"/>
              </w:rPr>
              <w:t xml:space="preserve">Subgroup </w:t>
            </w:r>
            <w:r w:rsidR="00F45F73">
              <w:rPr>
                <w:rFonts w:cstheme="minorHAnsi"/>
                <w:b/>
                <w:bCs/>
                <w:lang w:val="en-GB"/>
              </w:rPr>
              <w:t>f</w:t>
            </w:r>
            <w:r w:rsidRPr="00AE48B6">
              <w:rPr>
                <w:rFonts w:cstheme="minorHAnsi"/>
                <w:b/>
                <w:bCs/>
                <w:lang w:val="en-GB"/>
              </w:rPr>
              <w:t>irst-line</w:t>
            </w:r>
          </w:p>
        </w:tc>
        <w:tc>
          <w:tcPr>
            <w:tcW w:w="1794" w:type="dxa"/>
            <w:vAlign w:val="center"/>
            <w:hideMark/>
          </w:tcPr>
          <w:p w14:paraId="4DDB48A3" w14:textId="77777777" w:rsidR="00712F2E" w:rsidRPr="00AE48B6" w:rsidRDefault="00712F2E" w:rsidP="00712F2E">
            <w:pPr>
              <w:spacing w:line="360" w:lineRule="auto"/>
              <w:rPr>
                <w:rFonts w:cstheme="minorHAnsi"/>
                <w:b/>
                <w:lang w:val="en-GB"/>
              </w:rPr>
            </w:pPr>
            <w:r w:rsidRPr="00AE48B6">
              <w:rPr>
                <w:rFonts w:cstheme="minorHAnsi"/>
                <w:b/>
                <w:lang w:val="en-GB"/>
              </w:rPr>
              <w:t>Subgroup first-line and concomitant systemic chemotherapy</w:t>
            </w:r>
          </w:p>
        </w:tc>
      </w:tr>
      <w:tr w:rsidR="00712F2E" w:rsidRPr="00AD70F1" w14:paraId="3FDCF479" w14:textId="77777777" w:rsidTr="00712F2E">
        <w:trPr>
          <w:trHeight w:val="876"/>
        </w:trPr>
        <w:tc>
          <w:tcPr>
            <w:tcW w:w="3681" w:type="dxa"/>
            <w:vAlign w:val="center"/>
            <w:hideMark/>
          </w:tcPr>
          <w:p w14:paraId="3D4AAFBA" w14:textId="50B73B09" w:rsidR="00712F2E" w:rsidRPr="00AE48B6" w:rsidRDefault="00712F2E" w:rsidP="00712F2E">
            <w:pPr>
              <w:spacing w:line="360" w:lineRule="auto"/>
              <w:rPr>
                <w:rFonts w:cstheme="minorHAnsi"/>
                <w:lang w:val="en-GB"/>
              </w:rPr>
            </w:pPr>
            <w:r w:rsidRPr="00AD70F1">
              <w:rPr>
                <w:rFonts w:cstheme="minorHAnsi"/>
                <w:b/>
                <w:bCs/>
                <w:lang w:val="en-GB"/>
              </w:rPr>
              <w:t xml:space="preserve">Pooled </w:t>
            </w:r>
            <w:r w:rsidR="002B146F" w:rsidRPr="00AD70F1">
              <w:rPr>
                <w:rFonts w:cstheme="minorHAnsi"/>
                <w:b/>
                <w:bCs/>
                <w:lang w:val="en-GB"/>
              </w:rPr>
              <w:t xml:space="preserve">weighted </w:t>
            </w:r>
            <w:r w:rsidRPr="00AD70F1">
              <w:rPr>
                <w:rFonts w:cstheme="minorHAnsi"/>
                <w:b/>
                <w:bCs/>
                <w:lang w:val="en-GB"/>
              </w:rPr>
              <w:t xml:space="preserve">mean </w:t>
            </w:r>
            <w:r w:rsidRPr="00326791">
              <w:rPr>
                <w:rFonts w:cstheme="minorHAnsi"/>
                <w:b/>
                <w:bCs/>
                <w:lang w:val="en-GB"/>
              </w:rPr>
              <w:t>OS</w:t>
            </w:r>
          </w:p>
          <w:p w14:paraId="75443B9F" w14:textId="77777777" w:rsidR="00712F2E" w:rsidRPr="00AE48B6" w:rsidRDefault="00712F2E" w:rsidP="00712F2E">
            <w:pPr>
              <w:spacing w:line="360" w:lineRule="auto"/>
              <w:rPr>
                <w:rFonts w:cstheme="minorHAnsi"/>
                <w:lang w:val="en-GB"/>
              </w:rPr>
            </w:pPr>
            <w:r w:rsidRPr="00AD70F1">
              <w:rPr>
                <w:rFonts w:cstheme="minorHAnsi"/>
                <w:b/>
                <w:bCs/>
                <w:lang w:val="en-GB"/>
              </w:rPr>
              <w:t>months (95% CI); number of studies with data available</w:t>
            </w:r>
          </w:p>
        </w:tc>
        <w:tc>
          <w:tcPr>
            <w:tcW w:w="1793" w:type="dxa"/>
            <w:vAlign w:val="center"/>
          </w:tcPr>
          <w:p w14:paraId="55B046C9"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D70F1">
              <w:rPr>
                <w:rFonts w:asciiTheme="minorHAnsi" w:hAnsiTheme="minorHAnsi" w:cstheme="minorHAnsi"/>
                <w:bCs/>
                <w:kern w:val="24"/>
                <w:sz w:val="22"/>
                <w:szCs w:val="22"/>
                <w:lang w:val="en-GB"/>
              </w:rPr>
              <w:t>15.7</w:t>
            </w:r>
          </w:p>
          <w:p w14:paraId="669868F4"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D70F1">
              <w:rPr>
                <w:rFonts w:asciiTheme="minorHAnsi" w:hAnsiTheme="minorHAnsi" w:cstheme="minorHAnsi"/>
                <w:bCs/>
                <w:kern w:val="24"/>
                <w:sz w:val="22"/>
                <w:szCs w:val="22"/>
                <w:lang w:val="en-GB"/>
              </w:rPr>
              <w:t>(13.9-17.4)</w:t>
            </w:r>
          </w:p>
          <w:p w14:paraId="7FFF53F8"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D70F1">
              <w:rPr>
                <w:rFonts w:asciiTheme="minorHAnsi" w:hAnsiTheme="minorHAnsi" w:cstheme="minorHAnsi"/>
                <w:bCs/>
                <w:kern w:val="24"/>
                <w:sz w:val="22"/>
                <w:szCs w:val="22"/>
                <w:lang w:val="en-GB"/>
              </w:rPr>
              <w:t>; 59</w:t>
            </w:r>
          </w:p>
        </w:tc>
        <w:tc>
          <w:tcPr>
            <w:tcW w:w="1794" w:type="dxa"/>
            <w:vAlign w:val="center"/>
          </w:tcPr>
          <w:p w14:paraId="0145508D" w14:textId="77777777" w:rsidR="00712F2E" w:rsidRPr="00AE48B6" w:rsidRDefault="00712F2E" w:rsidP="00712F2E">
            <w:pPr>
              <w:pStyle w:val="NormalWeb"/>
              <w:spacing w:before="0" w:beforeAutospacing="0" w:after="0" w:afterAutospacing="0" w:line="360" w:lineRule="auto"/>
              <w:rPr>
                <w:rFonts w:asciiTheme="minorHAnsi" w:eastAsia="Calibri" w:hAnsiTheme="minorHAnsi" w:cstheme="minorHAnsi"/>
                <w:bCs/>
                <w:kern w:val="24"/>
                <w:sz w:val="22"/>
                <w:szCs w:val="22"/>
                <w:lang w:val="en-GB"/>
              </w:rPr>
            </w:pPr>
            <w:r w:rsidRPr="00AE48B6">
              <w:rPr>
                <w:rFonts w:asciiTheme="minorHAnsi" w:eastAsia="Calibri" w:hAnsiTheme="minorHAnsi" w:cstheme="minorHAnsi"/>
                <w:bCs/>
                <w:kern w:val="24"/>
                <w:sz w:val="22"/>
                <w:szCs w:val="22"/>
                <w:lang w:val="en-GB"/>
              </w:rPr>
              <w:t>20.7 (15.8-25.3) </w:t>
            </w:r>
          </w:p>
          <w:p w14:paraId="5B2FE3A6"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E48B6">
              <w:rPr>
                <w:rFonts w:asciiTheme="minorHAnsi" w:eastAsia="Calibri" w:hAnsiTheme="minorHAnsi" w:cstheme="minorHAnsi"/>
                <w:bCs/>
                <w:kern w:val="24"/>
                <w:sz w:val="22"/>
                <w:szCs w:val="22"/>
                <w:lang w:val="en-GB"/>
              </w:rPr>
              <w:t>; 14</w:t>
            </w:r>
          </w:p>
        </w:tc>
        <w:tc>
          <w:tcPr>
            <w:tcW w:w="1794" w:type="dxa"/>
            <w:vAlign w:val="center"/>
            <w:hideMark/>
          </w:tcPr>
          <w:p w14:paraId="573D3A83" w14:textId="77777777" w:rsidR="00712F2E" w:rsidRPr="00AE48B6" w:rsidRDefault="00712F2E" w:rsidP="00712F2E">
            <w:pPr>
              <w:spacing w:line="360" w:lineRule="auto"/>
              <w:rPr>
                <w:rFonts w:cstheme="minorHAnsi"/>
                <w:lang w:val="en-GB"/>
              </w:rPr>
            </w:pPr>
            <w:r w:rsidRPr="00AE48B6">
              <w:rPr>
                <w:rFonts w:cstheme="minorHAnsi"/>
                <w:lang w:val="en-GB"/>
              </w:rPr>
              <w:t xml:space="preserve">25.2 (19.8-30.6) </w:t>
            </w:r>
          </w:p>
          <w:p w14:paraId="62FA8569" w14:textId="77777777" w:rsidR="00712F2E" w:rsidRPr="00AE48B6" w:rsidRDefault="00712F2E" w:rsidP="00712F2E">
            <w:pPr>
              <w:spacing w:line="360" w:lineRule="auto"/>
              <w:rPr>
                <w:rFonts w:cstheme="minorHAnsi"/>
                <w:lang w:val="en-GB"/>
              </w:rPr>
            </w:pPr>
            <w:r w:rsidRPr="00AE48B6">
              <w:rPr>
                <w:rFonts w:cstheme="minorHAnsi"/>
                <w:lang w:val="en-GB"/>
              </w:rPr>
              <w:t>; 8</w:t>
            </w:r>
          </w:p>
        </w:tc>
      </w:tr>
      <w:tr w:rsidR="00712F2E" w:rsidRPr="00AD70F1" w14:paraId="0280834D" w14:textId="77777777" w:rsidTr="00712F2E">
        <w:trPr>
          <w:trHeight w:val="726"/>
        </w:trPr>
        <w:tc>
          <w:tcPr>
            <w:tcW w:w="3681" w:type="dxa"/>
            <w:vAlign w:val="center"/>
            <w:hideMark/>
          </w:tcPr>
          <w:p w14:paraId="1A9B8BF1" w14:textId="2060B165" w:rsidR="00712F2E" w:rsidRPr="00AE48B6" w:rsidRDefault="00712F2E" w:rsidP="00712F2E">
            <w:pPr>
              <w:spacing w:line="360" w:lineRule="auto"/>
              <w:rPr>
                <w:rFonts w:cstheme="minorHAnsi"/>
                <w:lang w:val="en-GB"/>
              </w:rPr>
            </w:pPr>
            <w:r w:rsidRPr="00AD70F1">
              <w:rPr>
                <w:rFonts w:cstheme="minorHAnsi"/>
                <w:b/>
                <w:bCs/>
                <w:lang w:val="en-GB"/>
              </w:rPr>
              <w:t xml:space="preserve">Pooled </w:t>
            </w:r>
            <w:r w:rsidR="002B146F" w:rsidRPr="00AD70F1">
              <w:rPr>
                <w:rFonts w:cstheme="minorHAnsi"/>
                <w:b/>
                <w:bCs/>
                <w:lang w:val="en-GB"/>
              </w:rPr>
              <w:t xml:space="preserve">weighted </w:t>
            </w:r>
            <w:r w:rsidRPr="00AD70F1">
              <w:rPr>
                <w:rFonts w:cstheme="minorHAnsi"/>
                <w:b/>
                <w:bCs/>
                <w:lang w:val="en-GB"/>
              </w:rPr>
              <w:t xml:space="preserve">mean </w:t>
            </w:r>
            <w:r w:rsidRPr="00326791">
              <w:rPr>
                <w:rFonts w:cstheme="minorHAnsi"/>
                <w:b/>
                <w:bCs/>
                <w:lang w:val="en-GB"/>
              </w:rPr>
              <w:t>PFS</w:t>
            </w:r>
          </w:p>
          <w:p w14:paraId="5C54690D" w14:textId="77777777" w:rsidR="00712F2E" w:rsidRPr="00AE48B6" w:rsidRDefault="00712F2E" w:rsidP="00712F2E">
            <w:pPr>
              <w:spacing w:line="360" w:lineRule="auto"/>
              <w:rPr>
                <w:rFonts w:cstheme="minorHAnsi"/>
                <w:lang w:val="en-GB"/>
              </w:rPr>
            </w:pPr>
            <w:r w:rsidRPr="00AD70F1">
              <w:rPr>
                <w:rFonts w:cstheme="minorHAnsi"/>
                <w:b/>
                <w:bCs/>
                <w:lang w:val="en-GB"/>
              </w:rPr>
              <w:t>months (95% CI) ; number of studies with data available</w:t>
            </w:r>
          </w:p>
        </w:tc>
        <w:tc>
          <w:tcPr>
            <w:tcW w:w="1793" w:type="dxa"/>
            <w:vAlign w:val="center"/>
          </w:tcPr>
          <w:p w14:paraId="2D4F0305"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D70F1">
              <w:rPr>
                <w:rFonts w:asciiTheme="minorHAnsi" w:hAnsiTheme="minorHAnsi" w:cstheme="minorHAnsi"/>
                <w:bCs/>
                <w:kern w:val="24"/>
                <w:sz w:val="22"/>
                <w:szCs w:val="22"/>
                <w:lang w:val="en-GB"/>
              </w:rPr>
              <w:t>11.4</w:t>
            </w:r>
          </w:p>
          <w:p w14:paraId="4B33B4DA"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D70F1">
              <w:rPr>
                <w:rFonts w:asciiTheme="minorHAnsi" w:hAnsiTheme="minorHAnsi" w:cstheme="minorHAnsi"/>
                <w:bCs/>
                <w:kern w:val="24"/>
                <w:sz w:val="22"/>
                <w:szCs w:val="22"/>
                <w:lang w:val="en-GB"/>
              </w:rPr>
              <w:t>(7.9-14.8)</w:t>
            </w:r>
          </w:p>
          <w:p w14:paraId="19ADE777"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D70F1">
              <w:rPr>
                <w:rFonts w:asciiTheme="minorHAnsi" w:hAnsiTheme="minorHAnsi" w:cstheme="minorHAnsi"/>
                <w:bCs/>
                <w:kern w:val="24"/>
                <w:sz w:val="22"/>
                <w:szCs w:val="22"/>
                <w:lang w:val="en-GB"/>
              </w:rPr>
              <w:t>; 24</w:t>
            </w:r>
          </w:p>
        </w:tc>
        <w:tc>
          <w:tcPr>
            <w:tcW w:w="1794" w:type="dxa"/>
            <w:vAlign w:val="center"/>
          </w:tcPr>
          <w:p w14:paraId="3F9572A8"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E48B6">
              <w:rPr>
                <w:rFonts w:asciiTheme="minorHAnsi" w:eastAsia="Calibri" w:hAnsiTheme="minorHAnsi" w:cstheme="minorHAnsi"/>
                <w:bCs/>
                <w:kern w:val="24"/>
                <w:sz w:val="22"/>
                <w:szCs w:val="22"/>
                <w:lang w:val="en-GB"/>
              </w:rPr>
              <w:t>13.5 (6.8-20.2) ; 7</w:t>
            </w:r>
          </w:p>
        </w:tc>
        <w:tc>
          <w:tcPr>
            <w:tcW w:w="1794" w:type="dxa"/>
            <w:vAlign w:val="center"/>
            <w:hideMark/>
          </w:tcPr>
          <w:p w14:paraId="635C7A3C" w14:textId="77777777" w:rsidR="00712F2E" w:rsidRPr="00AE48B6" w:rsidRDefault="00712F2E" w:rsidP="00712F2E">
            <w:pPr>
              <w:spacing w:line="360" w:lineRule="auto"/>
              <w:rPr>
                <w:rFonts w:cstheme="minorHAnsi"/>
                <w:lang w:val="en-GB"/>
              </w:rPr>
            </w:pPr>
            <w:r w:rsidRPr="00AE48B6">
              <w:rPr>
                <w:rFonts w:cstheme="minorHAnsi"/>
                <w:lang w:val="en-GB"/>
              </w:rPr>
              <w:t xml:space="preserve">14.0 (7.8-20.2) </w:t>
            </w:r>
          </w:p>
          <w:p w14:paraId="6DCA3C84" w14:textId="77777777" w:rsidR="00712F2E" w:rsidRPr="00AE48B6" w:rsidRDefault="00712F2E" w:rsidP="00712F2E">
            <w:pPr>
              <w:spacing w:line="360" w:lineRule="auto"/>
              <w:rPr>
                <w:rFonts w:cstheme="minorHAnsi"/>
                <w:lang w:val="en-GB"/>
              </w:rPr>
            </w:pPr>
            <w:r w:rsidRPr="00AE48B6">
              <w:rPr>
                <w:rFonts w:cstheme="minorHAnsi"/>
                <w:lang w:val="en-GB"/>
              </w:rPr>
              <w:t>; 7</w:t>
            </w:r>
          </w:p>
        </w:tc>
      </w:tr>
      <w:tr w:rsidR="00712F2E" w:rsidRPr="00AD70F1" w14:paraId="066DC26A" w14:textId="77777777" w:rsidTr="00712F2E">
        <w:trPr>
          <w:trHeight w:val="726"/>
        </w:trPr>
        <w:tc>
          <w:tcPr>
            <w:tcW w:w="3681" w:type="dxa"/>
            <w:vAlign w:val="center"/>
            <w:hideMark/>
          </w:tcPr>
          <w:p w14:paraId="1739D174" w14:textId="77777777" w:rsidR="00712F2E" w:rsidRPr="00AE48B6" w:rsidRDefault="00712F2E" w:rsidP="00712F2E">
            <w:pPr>
              <w:spacing w:line="360" w:lineRule="auto"/>
              <w:rPr>
                <w:rFonts w:cstheme="minorHAnsi"/>
                <w:lang w:val="en-GB"/>
              </w:rPr>
            </w:pPr>
            <w:r w:rsidRPr="00AE48B6">
              <w:rPr>
                <w:rFonts w:cstheme="minorHAnsi"/>
                <w:b/>
                <w:bCs/>
                <w:lang w:val="en-GB"/>
              </w:rPr>
              <w:t>Pooled response rate</w:t>
            </w:r>
          </w:p>
          <w:p w14:paraId="202516A0" w14:textId="77777777" w:rsidR="00712F2E" w:rsidRPr="00AE48B6" w:rsidRDefault="00712F2E" w:rsidP="00712F2E">
            <w:pPr>
              <w:spacing w:line="360" w:lineRule="auto"/>
              <w:rPr>
                <w:rFonts w:cstheme="minorHAnsi"/>
                <w:lang w:val="en-GB"/>
              </w:rPr>
            </w:pPr>
            <w:r w:rsidRPr="00AE48B6">
              <w:rPr>
                <w:rFonts w:cstheme="minorHAnsi"/>
                <w:b/>
                <w:bCs/>
                <w:lang w:val="en-GB"/>
              </w:rPr>
              <w:t>% (95% CI); heterogeneity I</w:t>
            </w:r>
            <w:r w:rsidRPr="00AE48B6">
              <w:rPr>
                <w:rFonts w:cstheme="minorHAnsi"/>
                <w:b/>
                <w:bCs/>
                <w:vertAlign w:val="superscript"/>
                <w:lang w:val="en-GB"/>
              </w:rPr>
              <w:t>2</w:t>
            </w:r>
            <w:r w:rsidRPr="00AE48B6">
              <w:rPr>
                <w:rFonts w:cstheme="minorHAnsi"/>
                <w:b/>
                <w:bCs/>
                <w:lang w:val="en-GB"/>
              </w:rPr>
              <w:t>-p value</w:t>
            </w:r>
            <w:r w:rsidRPr="00AD70F1">
              <w:rPr>
                <w:rFonts w:cstheme="minorHAnsi"/>
                <w:b/>
                <w:bCs/>
                <w:lang w:val="en-GB"/>
              </w:rPr>
              <w:t>; number of studies with data available</w:t>
            </w:r>
          </w:p>
        </w:tc>
        <w:tc>
          <w:tcPr>
            <w:tcW w:w="1793" w:type="dxa"/>
            <w:vAlign w:val="center"/>
          </w:tcPr>
          <w:p w14:paraId="49E1CD8B" w14:textId="77777777" w:rsidR="00712F2E" w:rsidRPr="00AE48B6" w:rsidRDefault="00712F2E" w:rsidP="00712F2E">
            <w:pPr>
              <w:spacing w:line="360" w:lineRule="auto"/>
              <w:rPr>
                <w:rFonts w:cstheme="minorHAnsi"/>
                <w:lang w:val="en-GB"/>
              </w:rPr>
            </w:pPr>
            <w:r w:rsidRPr="00AE48B6">
              <w:rPr>
                <w:rFonts w:cstheme="minorHAnsi"/>
                <w:lang w:val="en-GB"/>
              </w:rPr>
              <w:t>28.6%</w:t>
            </w:r>
          </w:p>
          <w:p w14:paraId="76972A08" w14:textId="77777777" w:rsidR="00712F2E" w:rsidRPr="00AE48B6" w:rsidRDefault="00712F2E" w:rsidP="00712F2E">
            <w:pPr>
              <w:spacing w:line="360" w:lineRule="auto"/>
              <w:rPr>
                <w:rFonts w:cstheme="minorHAnsi"/>
                <w:lang w:val="en-GB"/>
              </w:rPr>
            </w:pPr>
            <w:r w:rsidRPr="00AE48B6">
              <w:rPr>
                <w:rFonts w:cstheme="minorHAnsi"/>
                <w:lang w:val="en-GB"/>
              </w:rPr>
              <w:t>(21.9-35.7); 88.9%-0.000</w:t>
            </w:r>
          </w:p>
          <w:p w14:paraId="20345B43" w14:textId="77777777" w:rsidR="00712F2E" w:rsidRPr="00AE48B6" w:rsidRDefault="00712F2E" w:rsidP="00712F2E">
            <w:pPr>
              <w:spacing w:line="360" w:lineRule="auto"/>
              <w:rPr>
                <w:rFonts w:cstheme="minorHAnsi"/>
                <w:lang w:val="en-GB"/>
              </w:rPr>
            </w:pPr>
            <w:r w:rsidRPr="00AE48B6">
              <w:rPr>
                <w:rFonts w:cstheme="minorHAnsi"/>
                <w:lang w:val="en-GB"/>
              </w:rPr>
              <w:t>; 46</w:t>
            </w:r>
          </w:p>
        </w:tc>
        <w:tc>
          <w:tcPr>
            <w:tcW w:w="1794" w:type="dxa"/>
            <w:vAlign w:val="center"/>
          </w:tcPr>
          <w:p w14:paraId="139DD19D" w14:textId="77777777" w:rsidR="00712F2E" w:rsidRPr="00AE48B6" w:rsidRDefault="00712F2E" w:rsidP="00712F2E">
            <w:pPr>
              <w:pStyle w:val="NormalWeb"/>
              <w:spacing w:before="0" w:beforeAutospacing="0" w:after="0" w:afterAutospacing="0" w:line="360" w:lineRule="auto"/>
              <w:rPr>
                <w:rFonts w:asciiTheme="minorHAnsi" w:eastAsia="Calibri" w:hAnsiTheme="minorHAnsi" w:cstheme="minorHAnsi"/>
                <w:bCs/>
                <w:kern w:val="24"/>
                <w:sz w:val="22"/>
                <w:szCs w:val="22"/>
                <w:lang w:val="en-GB"/>
              </w:rPr>
            </w:pPr>
            <w:r w:rsidRPr="00AE48B6">
              <w:rPr>
                <w:rFonts w:asciiTheme="minorHAnsi" w:eastAsia="Calibri" w:hAnsiTheme="minorHAnsi" w:cstheme="minorHAnsi"/>
                <w:bCs/>
                <w:kern w:val="24"/>
                <w:sz w:val="22"/>
                <w:szCs w:val="22"/>
                <w:lang w:val="en-GB"/>
              </w:rPr>
              <w:t>44.2% (27.9-61.1)</w:t>
            </w:r>
          </w:p>
          <w:p w14:paraId="287F3753" w14:textId="77777777" w:rsidR="00712F2E" w:rsidRPr="00AE48B6" w:rsidRDefault="00712F2E" w:rsidP="00712F2E">
            <w:pPr>
              <w:pStyle w:val="NormalWeb"/>
              <w:spacing w:before="0" w:beforeAutospacing="0" w:after="0" w:afterAutospacing="0" w:line="360" w:lineRule="auto"/>
              <w:rPr>
                <w:rFonts w:asciiTheme="minorHAnsi" w:eastAsia="Calibri" w:hAnsiTheme="minorHAnsi" w:cstheme="minorHAnsi"/>
                <w:bCs/>
                <w:kern w:val="24"/>
                <w:sz w:val="22"/>
                <w:szCs w:val="22"/>
                <w:lang w:val="en-GB"/>
              </w:rPr>
            </w:pPr>
            <w:r w:rsidRPr="00AE48B6">
              <w:rPr>
                <w:rFonts w:asciiTheme="minorHAnsi" w:eastAsia="Calibri" w:hAnsiTheme="minorHAnsi" w:cstheme="minorHAnsi"/>
                <w:bCs/>
                <w:kern w:val="24"/>
                <w:sz w:val="22"/>
                <w:szCs w:val="22"/>
                <w:lang w:val="en-GB"/>
              </w:rPr>
              <w:t xml:space="preserve">; 33.7%-0.000 </w:t>
            </w:r>
          </w:p>
          <w:p w14:paraId="337A22FA"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E48B6">
              <w:rPr>
                <w:rFonts w:asciiTheme="minorHAnsi" w:eastAsia="Calibri" w:hAnsiTheme="minorHAnsi" w:cstheme="minorHAnsi"/>
                <w:bCs/>
                <w:kern w:val="24"/>
                <w:sz w:val="22"/>
                <w:szCs w:val="22"/>
                <w:lang w:val="en-GB"/>
              </w:rPr>
              <w:t>; 7</w:t>
            </w:r>
          </w:p>
        </w:tc>
        <w:tc>
          <w:tcPr>
            <w:tcW w:w="1794" w:type="dxa"/>
            <w:vAlign w:val="center"/>
            <w:hideMark/>
          </w:tcPr>
          <w:p w14:paraId="6F9C90A8" w14:textId="77777777" w:rsidR="00712F2E" w:rsidRPr="00AE48B6" w:rsidRDefault="00712F2E" w:rsidP="00712F2E">
            <w:pPr>
              <w:spacing w:line="360" w:lineRule="auto"/>
              <w:rPr>
                <w:rFonts w:cstheme="minorHAnsi"/>
                <w:lang w:val="en-GB"/>
              </w:rPr>
            </w:pPr>
            <w:r w:rsidRPr="00AE48B6">
              <w:rPr>
                <w:rFonts w:cstheme="minorHAnsi"/>
                <w:lang w:val="en-GB"/>
              </w:rPr>
              <w:t xml:space="preserve">52% (42.1-61.9) </w:t>
            </w:r>
          </w:p>
          <w:p w14:paraId="646673F1" w14:textId="77777777" w:rsidR="00712F2E" w:rsidRPr="00AE48B6" w:rsidRDefault="00712F2E" w:rsidP="00712F2E">
            <w:pPr>
              <w:spacing w:line="360" w:lineRule="auto"/>
              <w:rPr>
                <w:rFonts w:cstheme="minorHAnsi"/>
                <w:lang w:val="en-GB"/>
              </w:rPr>
            </w:pPr>
            <w:r w:rsidRPr="00AE48B6">
              <w:rPr>
                <w:rFonts w:cstheme="minorHAnsi"/>
                <w:lang w:val="en-GB"/>
              </w:rPr>
              <w:t xml:space="preserve">; 5.8%-0.22 </w:t>
            </w:r>
          </w:p>
          <w:p w14:paraId="497AC894" w14:textId="77777777" w:rsidR="00712F2E" w:rsidRPr="00AE48B6" w:rsidRDefault="00712F2E" w:rsidP="00712F2E">
            <w:pPr>
              <w:spacing w:line="360" w:lineRule="auto"/>
              <w:rPr>
                <w:rFonts w:cstheme="minorHAnsi"/>
                <w:lang w:val="en-GB"/>
              </w:rPr>
            </w:pPr>
            <w:r w:rsidRPr="00AE48B6">
              <w:rPr>
                <w:rFonts w:cstheme="minorHAnsi"/>
                <w:lang w:val="en-GB"/>
              </w:rPr>
              <w:t>; 5</w:t>
            </w:r>
          </w:p>
        </w:tc>
      </w:tr>
      <w:tr w:rsidR="00712F2E" w:rsidRPr="00AD70F1" w14:paraId="1DB676B2" w14:textId="77777777" w:rsidTr="00712F2E">
        <w:trPr>
          <w:trHeight w:val="726"/>
        </w:trPr>
        <w:tc>
          <w:tcPr>
            <w:tcW w:w="3681" w:type="dxa"/>
            <w:vAlign w:val="center"/>
            <w:hideMark/>
          </w:tcPr>
          <w:p w14:paraId="3BC81E85" w14:textId="77777777" w:rsidR="00712F2E" w:rsidRPr="00AE48B6" w:rsidRDefault="00712F2E" w:rsidP="00712F2E">
            <w:pPr>
              <w:spacing w:line="360" w:lineRule="auto"/>
              <w:rPr>
                <w:rFonts w:cstheme="minorHAnsi"/>
                <w:lang w:val="en-GB"/>
              </w:rPr>
            </w:pPr>
            <w:r w:rsidRPr="00AE48B6">
              <w:rPr>
                <w:rFonts w:cstheme="minorHAnsi"/>
                <w:b/>
                <w:bCs/>
                <w:lang w:val="en-GB"/>
              </w:rPr>
              <w:t>Pooled disease control rate</w:t>
            </w:r>
          </w:p>
          <w:p w14:paraId="0747AF22" w14:textId="77777777" w:rsidR="00712F2E" w:rsidRPr="00AE48B6" w:rsidRDefault="00712F2E" w:rsidP="00712F2E">
            <w:pPr>
              <w:spacing w:line="360" w:lineRule="auto"/>
              <w:rPr>
                <w:rFonts w:cstheme="minorHAnsi"/>
                <w:lang w:val="en-GB"/>
              </w:rPr>
            </w:pPr>
            <w:r w:rsidRPr="00AE48B6">
              <w:rPr>
                <w:rFonts w:cstheme="minorHAnsi"/>
                <w:b/>
                <w:bCs/>
                <w:lang w:val="en-GB"/>
              </w:rPr>
              <w:t>% (95% CI); heterogeneity I</w:t>
            </w:r>
            <w:r w:rsidRPr="00AE48B6">
              <w:rPr>
                <w:rFonts w:cstheme="minorHAnsi"/>
                <w:b/>
                <w:bCs/>
                <w:vertAlign w:val="superscript"/>
                <w:lang w:val="en-GB"/>
              </w:rPr>
              <w:t>2</w:t>
            </w:r>
            <w:r w:rsidRPr="00AE48B6">
              <w:rPr>
                <w:rFonts w:cstheme="minorHAnsi"/>
                <w:b/>
                <w:bCs/>
                <w:lang w:val="en-GB"/>
              </w:rPr>
              <w:t>-p value</w:t>
            </w:r>
            <w:r w:rsidRPr="00AD70F1">
              <w:rPr>
                <w:rFonts w:cstheme="minorHAnsi"/>
                <w:b/>
                <w:bCs/>
                <w:lang w:val="en-GB"/>
              </w:rPr>
              <w:t>; number of studies with data available</w:t>
            </w:r>
          </w:p>
        </w:tc>
        <w:tc>
          <w:tcPr>
            <w:tcW w:w="1793" w:type="dxa"/>
            <w:vAlign w:val="center"/>
          </w:tcPr>
          <w:p w14:paraId="64166485" w14:textId="77777777" w:rsidR="00712F2E" w:rsidRPr="00AE48B6" w:rsidRDefault="00712F2E" w:rsidP="00712F2E">
            <w:pPr>
              <w:spacing w:line="360" w:lineRule="auto"/>
              <w:rPr>
                <w:rFonts w:cstheme="minorHAnsi"/>
                <w:lang w:val="en-GB"/>
              </w:rPr>
            </w:pPr>
            <w:r w:rsidRPr="00AE48B6">
              <w:rPr>
                <w:rFonts w:cstheme="minorHAnsi"/>
                <w:lang w:val="en-GB"/>
              </w:rPr>
              <w:t>79.2%</w:t>
            </w:r>
          </w:p>
          <w:p w14:paraId="4A1B32DC" w14:textId="77777777" w:rsidR="00712F2E" w:rsidRPr="00AE48B6" w:rsidRDefault="00712F2E" w:rsidP="00712F2E">
            <w:pPr>
              <w:spacing w:line="360" w:lineRule="auto"/>
              <w:rPr>
                <w:rFonts w:cstheme="minorHAnsi"/>
                <w:lang w:val="en-GB"/>
              </w:rPr>
            </w:pPr>
            <w:r w:rsidRPr="00AE48B6">
              <w:rPr>
                <w:rFonts w:cstheme="minorHAnsi"/>
                <w:lang w:val="en-GB"/>
              </w:rPr>
              <w:t>(73.7-84.3); 81.1%-0.000</w:t>
            </w:r>
          </w:p>
          <w:p w14:paraId="107AF505" w14:textId="77777777" w:rsidR="00712F2E" w:rsidRPr="00AE48B6" w:rsidRDefault="00712F2E" w:rsidP="00712F2E">
            <w:pPr>
              <w:spacing w:line="360" w:lineRule="auto"/>
              <w:rPr>
                <w:rFonts w:cstheme="minorHAnsi"/>
                <w:lang w:val="en-GB"/>
              </w:rPr>
            </w:pPr>
            <w:r w:rsidRPr="00AE48B6">
              <w:rPr>
                <w:rFonts w:cstheme="minorHAnsi"/>
                <w:lang w:val="en-GB"/>
              </w:rPr>
              <w:t>; 39</w:t>
            </w:r>
          </w:p>
        </w:tc>
        <w:tc>
          <w:tcPr>
            <w:tcW w:w="1794" w:type="dxa"/>
            <w:vAlign w:val="center"/>
          </w:tcPr>
          <w:p w14:paraId="58168526" w14:textId="77777777" w:rsidR="00712F2E" w:rsidRPr="00AE48B6" w:rsidRDefault="00712F2E" w:rsidP="00712F2E">
            <w:pPr>
              <w:pStyle w:val="NormalWeb"/>
              <w:spacing w:before="0" w:beforeAutospacing="0" w:after="0" w:afterAutospacing="0" w:line="360" w:lineRule="auto"/>
              <w:rPr>
                <w:rFonts w:asciiTheme="minorHAnsi" w:eastAsia="Calibri" w:hAnsiTheme="minorHAnsi" w:cstheme="minorHAnsi"/>
                <w:bCs/>
                <w:kern w:val="24"/>
                <w:sz w:val="22"/>
                <w:szCs w:val="22"/>
                <w:lang w:val="en-GB"/>
              </w:rPr>
            </w:pPr>
            <w:r w:rsidRPr="00AE48B6">
              <w:rPr>
                <w:rFonts w:asciiTheme="minorHAnsi" w:eastAsia="Calibri" w:hAnsiTheme="minorHAnsi" w:cstheme="minorHAnsi"/>
                <w:bCs/>
                <w:kern w:val="24"/>
                <w:sz w:val="22"/>
                <w:szCs w:val="22"/>
                <w:lang w:val="en-GB"/>
              </w:rPr>
              <w:t>87.6% (72.0-97.9</w:t>
            </w:r>
            <w:proofErr w:type="gramStart"/>
            <w:r w:rsidRPr="00AE48B6">
              <w:rPr>
                <w:rFonts w:asciiTheme="minorHAnsi" w:eastAsia="Calibri" w:hAnsiTheme="minorHAnsi" w:cstheme="minorHAnsi"/>
                <w:bCs/>
                <w:kern w:val="24"/>
                <w:sz w:val="22"/>
                <w:szCs w:val="22"/>
                <w:lang w:val="en-GB"/>
              </w:rPr>
              <w:t>) ;</w:t>
            </w:r>
            <w:proofErr w:type="gramEnd"/>
            <w:r w:rsidRPr="00AE48B6">
              <w:rPr>
                <w:rFonts w:asciiTheme="minorHAnsi" w:eastAsia="Calibri" w:hAnsiTheme="minorHAnsi" w:cstheme="minorHAnsi"/>
                <w:bCs/>
                <w:kern w:val="24"/>
                <w:sz w:val="22"/>
                <w:szCs w:val="22"/>
                <w:lang w:val="en-GB"/>
              </w:rPr>
              <w:t xml:space="preserve"> 24.7%-0.000 </w:t>
            </w:r>
          </w:p>
          <w:p w14:paraId="72FEF5D1"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E48B6">
              <w:rPr>
                <w:rFonts w:asciiTheme="minorHAnsi" w:eastAsia="Calibri" w:hAnsiTheme="minorHAnsi" w:cstheme="minorHAnsi"/>
                <w:bCs/>
                <w:kern w:val="24"/>
                <w:sz w:val="22"/>
                <w:szCs w:val="22"/>
                <w:lang w:val="en-GB"/>
              </w:rPr>
              <w:t>; 6</w:t>
            </w:r>
          </w:p>
        </w:tc>
        <w:tc>
          <w:tcPr>
            <w:tcW w:w="1794" w:type="dxa"/>
            <w:vAlign w:val="center"/>
            <w:hideMark/>
          </w:tcPr>
          <w:p w14:paraId="3A294C29" w14:textId="77777777" w:rsidR="00712F2E" w:rsidRPr="00AE48B6" w:rsidRDefault="00712F2E" w:rsidP="00712F2E">
            <w:pPr>
              <w:spacing w:line="360" w:lineRule="auto"/>
              <w:rPr>
                <w:rFonts w:cstheme="minorHAnsi"/>
                <w:lang w:val="en-GB"/>
              </w:rPr>
            </w:pPr>
            <w:r w:rsidRPr="00AE48B6">
              <w:rPr>
                <w:rFonts w:cstheme="minorHAnsi"/>
                <w:lang w:val="en-GB"/>
              </w:rPr>
              <w:t>88.2% (72.9-98.3</w:t>
            </w:r>
            <w:proofErr w:type="gramStart"/>
            <w:r w:rsidRPr="00AE48B6">
              <w:rPr>
                <w:rFonts w:cstheme="minorHAnsi"/>
                <w:lang w:val="en-GB"/>
              </w:rPr>
              <w:t>) ;</w:t>
            </w:r>
            <w:proofErr w:type="gramEnd"/>
            <w:r w:rsidRPr="00AE48B6">
              <w:rPr>
                <w:rFonts w:cstheme="minorHAnsi"/>
                <w:lang w:val="en-GB"/>
              </w:rPr>
              <w:t xml:space="preserve"> 8.7%-0.034 </w:t>
            </w:r>
          </w:p>
          <w:p w14:paraId="5D5B96D6" w14:textId="77777777" w:rsidR="00712F2E" w:rsidRPr="00AE48B6" w:rsidRDefault="00712F2E" w:rsidP="00712F2E">
            <w:pPr>
              <w:spacing w:line="360" w:lineRule="auto"/>
              <w:rPr>
                <w:rFonts w:cstheme="minorHAnsi"/>
                <w:lang w:val="en-GB"/>
              </w:rPr>
            </w:pPr>
            <w:r w:rsidRPr="00AE48B6">
              <w:rPr>
                <w:rFonts w:cstheme="minorHAnsi"/>
                <w:lang w:val="en-GB"/>
              </w:rPr>
              <w:t>; 4</w:t>
            </w:r>
          </w:p>
        </w:tc>
      </w:tr>
      <w:tr w:rsidR="00712F2E" w:rsidRPr="00AD70F1" w14:paraId="514C2E20" w14:textId="77777777" w:rsidTr="00712F2E">
        <w:trPr>
          <w:trHeight w:val="769"/>
        </w:trPr>
        <w:tc>
          <w:tcPr>
            <w:tcW w:w="3681" w:type="dxa"/>
            <w:vAlign w:val="center"/>
            <w:hideMark/>
          </w:tcPr>
          <w:p w14:paraId="7BF4542A" w14:textId="77777777" w:rsidR="00712F2E" w:rsidRPr="00AE48B6" w:rsidRDefault="00712F2E" w:rsidP="00712F2E">
            <w:pPr>
              <w:spacing w:line="360" w:lineRule="auto"/>
              <w:rPr>
                <w:rFonts w:cstheme="minorHAnsi"/>
                <w:lang w:val="en-GB"/>
              </w:rPr>
            </w:pPr>
            <w:r w:rsidRPr="00AE48B6">
              <w:rPr>
                <w:rFonts w:cstheme="minorHAnsi"/>
                <w:b/>
                <w:bCs/>
                <w:lang w:val="en-GB"/>
              </w:rPr>
              <w:t>Pooled secondary resection rate</w:t>
            </w:r>
          </w:p>
          <w:p w14:paraId="674DD6BA" w14:textId="77777777" w:rsidR="00712F2E" w:rsidRPr="00AE48B6" w:rsidRDefault="00712F2E" w:rsidP="00712F2E">
            <w:pPr>
              <w:spacing w:line="360" w:lineRule="auto"/>
              <w:rPr>
                <w:rFonts w:cstheme="minorHAnsi"/>
                <w:lang w:val="en-GB"/>
              </w:rPr>
            </w:pPr>
            <w:r w:rsidRPr="00AE48B6">
              <w:rPr>
                <w:rFonts w:cstheme="minorHAnsi"/>
                <w:b/>
                <w:bCs/>
                <w:lang w:val="en-GB"/>
              </w:rPr>
              <w:t>% (95% CI); heterogeneity I</w:t>
            </w:r>
            <w:r w:rsidRPr="00AE48B6">
              <w:rPr>
                <w:rFonts w:cstheme="minorHAnsi"/>
                <w:b/>
                <w:bCs/>
                <w:vertAlign w:val="superscript"/>
                <w:lang w:val="en-GB"/>
              </w:rPr>
              <w:t>2</w:t>
            </w:r>
            <w:r w:rsidRPr="00AE48B6">
              <w:rPr>
                <w:rFonts w:cstheme="minorHAnsi"/>
                <w:b/>
                <w:bCs/>
                <w:lang w:val="en-GB"/>
              </w:rPr>
              <w:t>-p value</w:t>
            </w:r>
            <w:r w:rsidRPr="00AD70F1">
              <w:rPr>
                <w:rFonts w:cstheme="minorHAnsi"/>
                <w:b/>
                <w:bCs/>
                <w:lang w:val="en-GB"/>
              </w:rPr>
              <w:t>; number of studies with data available</w:t>
            </w:r>
          </w:p>
        </w:tc>
        <w:tc>
          <w:tcPr>
            <w:tcW w:w="1793" w:type="dxa"/>
            <w:vAlign w:val="center"/>
          </w:tcPr>
          <w:p w14:paraId="303386FF" w14:textId="77777777" w:rsidR="00712F2E" w:rsidRPr="00AE48B6" w:rsidRDefault="00712F2E" w:rsidP="00712F2E">
            <w:pPr>
              <w:spacing w:line="360" w:lineRule="auto"/>
              <w:rPr>
                <w:rFonts w:cstheme="minorHAnsi"/>
                <w:lang w:val="en-GB"/>
              </w:rPr>
            </w:pPr>
            <w:r w:rsidRPr="00AE48B6">
              <w:rPr>
                <w:rFonts w:cstheme="minorHAnsi"/>
                <w:lang w:val="en-GB"/>
              </w:rPr>
              <w:t>8.6%</w:t>
            </w:r>
          </w:p>
          <w:p w14:paraId="43CEADEB" w14:textId="77777777" w:rsidR="00712F2E" w:rsidRPr="00AE48B6" w:rsidRDefault="00712F2E" w:rsidP="00712F2E">
            <w:pPr>
              <w:spacing w:line="360" w:lineRule="auto"/>
              <w:rPr>
                <w:rFonts w:cstheme="minorHAnsi"/>
                <w:lang w:val="en-GB"/>
              </w:rPr>
            </w:pPr>
            <w:r w:rsidRPr="00AE48B6">
              <w:rPr>
                <w:rFonts w:cstheme="minorHAnsi"/>
                <w:lang w:val="en-GB"/>
              </w:rPr>
              <w:t>(5.5-12.1); 52.8%-0.005</w:t>
            </w:r>
          </w:p>
          <w:p w14:paraId="6AF2DC92" w14:textId="77777777" w:rsidR="00712F2E" w:rsidRPr="00AE48B6" w:rsidRDefault="00712F2E" w:rsidP="00712F2E">
            <w:pPr>
              <w:spacing w:line="360" w:lineRule="auto"/>
              <w:rPr>
                <w:rFonts w:cstheme="minorHAnsi"/>
                <w:lang w:val="en-GB"/>
              </w:rPr>
            </w:pPr>
            <w:r w:rsidRPr="00AE48B6">
              <w:rPr>
                <w:rFonts w:cstheme="minorHAnsi"/>
                <w:lang w:val="en-GB"/>
              </w:rPr>
              <w:t>; 18</w:t>
            </w:r>
          </w:p>
        </w:tc>
        <w:tc>
          <w:tcPr>
            <w:tcW w:w="1794" w:type="dxa"/>
            <w:vAlign w:val="center"/>
          </w:tcPr>
          <w:p w14:paraId="0204C2D5" w14:textId="77777777" w:rsidR="00712F2E" w:rsidRPr="00AE48B6" w:rsidRDefault="00712F2E" w:rsidP="00712F2E">
            <w:pPr>
              <w:pStyle w:val="NormalWeb"/>
              <w:spacing w:before="0" w:beforeAutospacing="0" w:after="0" w:afterAutospacing="0" w:line="360" w:lineRule="auto"/>
              <w:rPr>
                <w:rFonts w:asciiTheme="minorHAnsi" w:eastAsia="Calibri" w:hAnsiTheme="minorHAnsi" w:cstheme="minorHAnsi"/>
                <w:bCs/>
                <w:kern w:val="24"/>
                <w:sz w:val="22"/>
                <w:szCs w:val="22"/>
                <w:lang w:val="en-GB"/>
              </w:rPr>
            </w:pPr>
            <w:r w:rsidRPr="00AE48B6">
              <w:rPr>
                <w:rFonts w:asciiTheme="minorHAnsi" w:eastAsia="Calibri" w:hAnsiTheme="minorHAnsi" w:cstheme="minorHAnsi"/>
                <w:bCs/>
                <w:kern w:val="24"/>
                <w:sz w:val="22"/>
                <w:szCs w:val="22"/>
                <w:lang w:val="en-GB"/>
              </w:rPr>
              <w:t xml:space="preserve">12.8% (5.7 – 21.8) </w:t>
            </w:r>
          </w:p>
          <w:p w14:paraId="0BB3072D" w14:textId="77777777" w:rsidR="00712F2E" w:rsidRPr="00AE48B6" w:rsidRDefault="00712F2E" w:rsidP="00712F2E">
            <w:pPr>
              <w:pStyle w:val="NormalWeb"/>
              <w:spacing w:before="0" w:beforeAutospacing="0" w:after="0" w:afterAutospacing="0" w:line="360" w:lineRule="auto"/>
              <w:rPr>
                <w:rFonts w:asciiTheme="minorHAnsi" w:eastAsia="Calibri" w:hAnsiTheme="minorHAnsi" w:cstheme="minorHAnsi"/>
                <w:bCs/>
                <w:kern w:val="24"/>
                <w:sz w:val="22"/>
                <w:szCs w:val="22"/>
                <w:lang w:val="en-GB"/>
              </w:rPr>
            </w:pPr>
            <w:r w:rsidRPr="00AE48B6">
              <w:rPr>
                <w:rFonts w:asciiTheme="minorHAnsi" w:eastAsia="Calibri" w:hAnsiTheme="minorHAnsi" w:cstheme="minorHAnsi"/>
                <w:bCs/>
                <w:kern w:val="24"/>
                <w:sz w:val="22"/>
                <w:szCs w:val="22"/>
                <w:lang w:val="en-GB"/>
              </w:rPr>
              <w:t>; 18.3%-0.005</w:t>
            </w:r>
          </w:p>
          <w:p w14:paraId="6E26F9C0" w14:textId="77777777" w:rsidR="00712F2E" w:rsidRPr="00AE48B6" w:rsidRDefault="00712F2E" w:rsidP="00712F2E">
            <w:pPr>
              <w:pStyle w:val="NormalWeb"/>
              <w:spacing w:before="0" w:beforeAutospacing="0" w:after="0" w:afterAutospacing="0" w:line="360" w:lineRule="auto"/>
              <w:rPr>
                <w:rFonts w:asciiTheme="minorHAnsi" w:hAnsiTheme="minorHAnsi" w:cstheme="minorHAnsi"/>
                <w:sz w:val="22"/>
                <w:szCs w:val="22"/>
                <w:lang w:val="en-GB"/>
              </w:rPr>
            </w:pPr>
            <w:r w:rsidRPr="00AE48B6">
              <w:rPr>
                <w:rFonts w:asciiTheme="minorHAnsi" w:eastAsia="Calibri" w:hAnsiTheme="minorHAnsi" w:cstheme="minorHAnsi"/>
                <w:bCs/>
                <w:kern w:val="24"/>
                <w:sz w:val="22"/>
                <w:szCs w:val="22"/>
                <w:lang w:val="en-GB"/>
              </w:rPr>
              <w:t>; 7</w:t>
            </w:r>
          </w:p>
        </w:tc>
        <w:tc>
          <w:tcPr>
            <w:tcW w:w="1794" w:type="dxa"/>
            <w:vAlign w:val="center"/>
            <w:hideMark/>
          </w:tcPr>
          <w:p w14:paraId="6848389E" w14:textId="77777777" w:rsidR="00712F2E" w:rsidRPr="00AE48B6" w:rsidRDefault="00712F2E" w:rsidP="00712F2E">
            <w:pPr>
              <w:spacing w:line="360" w:lineRule="auto"/>
              <w:rPr>
                <w:rFonts w:cstheme="minorHAnsi"/>
                <w:lang w:val="en-GB"/>
              </w:rPr>
            </w:pPr>
            <w:r w:rsidRPr="00AE48B6">
              <w:rPr>
                <w:rFonts w:cstheme="minorHAnsi"/>
                <w:lang w:val="en-GB"/>
              </w:rPr>
              <w:t xml:space="preserve">14.0% (5.8% - 24.6%) </w:t>
            </w:r>
          </w:p>
          <w:p w14:paraId="35B0FC76" w14:textId="77777777" w:rsidR="00712F2E" w:rsidRPr="00AE48B6" w:rsidRDefault="00712F2E" w:rsidP="00712F2E">
            <w:pPr>
              <w:spacing w:line="360" w:lineRule="auto"/>
              <w:rPr>
                <w:rFonts w:cstheme="minorHAnsi"/>
                <w:lang w:val="en-GB"/>
              </w:rPr>
            </w:pPr>
            <w:r w:rsidRPr="00AE48B6">
              <w:rPr>
                <w:rFonts w:cstheme="minorHAnsi"/>
                <w:lang w:val="en-GB"/>
              </w:rPr>
              <w:t xml:space="preserve">; 11.3%-0.024 </w:t>
            </w:r>
          </w:p>
          <w:p w14:paraId="61D20665" w14:textId="77777777" w:rsidR="00712F2E" w:rsidRPr="00AE48B6" w:rsidRDefault="00712F2E" w:rsidP="00712F2E">
            <w:pPr>
              <w:spacing w:line="360" w:lineRule="auto"/>
              <w:rPr>
                <w:rFonts w:cstheme="minorHAnsi"/>
                <w:lang w:val="en-GB"/>
              </w:rPr>
            </w:pPr>
            <w:r w:rsidRPr="00AE48B6">
              <w:rPr>
                <w:rFonts w:cstheme="minorHAnsi"/>
                <w:lang w:val="en-GB"/>
              </w:rPr>
              <w:t>; 5</w:t>
            </w:r>
          </w:p>
        </w:tc>
      </w:tr>
    </w:tbl>
    <w:p w14:paraId="72926EDE" w14:textId="77777777" w:rsidR="00712F2E" w:rsidRPr="00AE48B6" w:rsidRDefault="00712F2E" w:rsidP="00712F2E">
      <w:pPr>
        <w:spacing w:after="0" w:line="360" w:lineRule="auto"/>
        <w:rPr>
          <w:lang w:val="en-GB"/>
        </w:rPr>
      </w:pPr>
    </w:p>
    <w:p w14:paraId="76B43467" w14:textId="77777777" w:rsidR="00645E43" w:rsidRPr="00AE48B6" w:rsidRDefault="00645E43" w:rsidP="00645E43">
      <w:pPr>
        <w:spacing w:after="0" w:line="360" w:lineRule="auto"/>
        <w:rPr>
          <w:lang w:val="en-GB"/>
        </w:rPr>
      </w:pPr>
    </w:p>
    <w:p w14:paraId="7A4B5A10" w14:textId="77777777" w:rsidR="00712F2E" w:rsidRPr="00AD70F1" w:rsidRDefault="00712F2E">
      <w:pPr>
        <w:rPr>
          <w:sz w:val="24"/>
          <w:szCs w:val="24"/>
          <w:lang w:val="en-GB"/>
        </w:rPr>
      </w:pPr>
      <w:r w:rsidRPr="00AD70F1">
        <w:rPr>
          <w:sz w:val="24"/>
          <w:szCs w:val="24"/>
          <w:lang w:val="en-GB"/>
        </w:rPr>
        <w:br w:type="page"/>
      </w:r>
    </w:p>
    <w:p w14:paraId="37CB0163" w14:textId="38824376" w:rsidR="00712F2E" w:rsidRPr="00326791" w:rsidRDefault="00712F2E" w:rsidP="00712F2E">
      <w:pPr>
        <w:spacing w:line="480" w:lineRule="auto"/>
        <w:rPr>
          <w:sz w:val="24"/>
          <w:szCs w:val="24"/>
          <w:lang w:val="en-GB"/>
        </w:rPr>
      </w:pPr>
      <w:r w:rsidRPr="00AD70F1">
        <w:rPr>
          <w:b/>
          <w:sz w:val="24"/>
          <w:szCs w:val="24"/>
          <w:lang w:val="en-GB"/>
        </w:rPr>
        <w:lastRenderedPageBreak/>
        <w:t>Figure 1:</w:t>
      </w:r>
      <w:r w:rsidRPr="00326791">
        <w:rPr>
          <w:sz w:val="24"/>
          <w:szCs w:val="24"/>
          <w:lang w:val="en-GB"/>
        </w:rPr>
        <w:t xml:space="preserve"> </w:t>
      </w:r>
      <w:r w:rsidR="00CF1E10" w:rsidRPr="00326791">
        <w:rPr>
          <w:sz w:val="24"/>
          <w:szCs w:val="24"/>
          <w:lang w:val="en-GB"/>
        </w:rPr>
        <w:t>PRISMA flow-chart of s</w:t>
      </w:r>
      <w:r w:rsidRPr="00326791">
        <w:rPr>
          <w:sz w:val="24"/>
          <w:szCs w:val="24"/>
          <w:lang w:val="en-GB"/>
        </w:rPr>
        <w:t>election of the studies included (</w:t>
      </w:r>
      <w:proofErr w:type="spellStart"/>
      <w:r w:rsidRPr="00326791">
        <w:rPr>
          <w:sz w:val="24"/>
          <w:szCs w:val="24"/>
          <w:lang w:val="en-GB"/>
        </w:rPr>
        <w:t>iCC</w:t>
      </w:r>
      <w:proofErr w:type="spellEnd"/>
      <w:r w:rsidRPr="00326791">
        <w:rPr>
          <w:sz w:val="24"/>
          <w:szCs w:val="24"/>
          <w:lang w:val="en-GB"/>
        </w:rPr>
        <w:t>: intrahepatic cholangiocarcinoma, EBRT: external beam radiotherapy, SIRT: selective internal radiation therapy, TACE: transarterial chemo-emboli</w:t>
      </w:r>
      <w:r w:rsidR="00F45F73">
        <w:rPr>
          <w:sz w:val="24"/>
          <w:szCs w:val="24"/>
          <w:lang w:val="en-GB"/>
        </w:rPr>
        <w:t>s</w:t>
      </w:r>
      <w:r w:rsidRPr="00326791">
        <w:rPr>
          <w:sz w:val="24"/>
          <w:szCs w:val="24"/>
          <w:lang w:val="en-GB"/>
        </w:rPr>
        <w:t>ation, HAI: Hepatic arterial infusion)</w:t>
      </w:r>
    </w:p>
    <w:p w14:paraId="02010A43" w14:textId="77777777" w:rsidR="00712F2E" w:rsidRPr="00AD70F1" w:rsidRDefault="00712F2E" w:rsidP="00712F2E">
      <w:pPr>
        <w:spacing w:line="480" w:lineRule="auto"/>
        <w:rPr>
          <w:sz w:val="24"/>
          <w:szCs w:val="24"/>
          <w:lang w:val="en-GB"/>
        </w:rPr>
      </w:pPr>
      <w:r w:rsidRPr="00AD70F1">
        <w:rPr>
          <w:noProof/>
          <w:sz w:val="24"/>
          <w:szCs w:val="24"/>
          <w:lang w:eastAsia="fr-FR"/>
        </w:rPr>
        <w:drawing>
          <wp:inline distT="0" distB="0" distL="0" distR="0" wp14:anchorId="1E735F60" wp14:editId="4B1EA557">
            <wp:extent cx="5760720" cy="4365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365625"/>
                    </a:xfrm>
                    <a:prstGeom prst="rect">
                      <a:avLst/>
                    </a:prstGeom>
                  </pic:spPr>
                </pic:pic>
              </a:graphicData>
            </a:graphic>
          </wp:inline>
        </w:drawing>
      </w:r>
    </w:p>
    <w:p w14:paraId="7CF350E7" w14:textId="77777777" w:rsidR="00712F2E" w:rsidRPr="00326791" w:rsidRDefault="00712F2E">
      <w:pPr>
        <w:rPr>
          <w:sz w:val="24"/>
          <w:szCs w:val="24"/>
          <w:lang w:val="en-GB"/>
        </w:rPr>
      </w:pPr>
      <w:r w:rsidRPr="00AD70F1">
        <w:rPr>
          <w:sz w:val="24"/>
          <w:szCs w:val="24"/>
          <w:lang w:val="en-GB"/>
        </w:rPr>
        <w:br w:type="page"/>
      </w:r>
    </w:p>
    <w:p w14:paraId="1D73A057" w14:textId="7862E28D" w:rsidR="00712F2E" w:rsidRPr="00326791" w:rsidRDefault="00712F2E" w:rsidP="00712F2E">
      <w:pPr>
        <w:spacing w:line="480" w:lineRule="auto"/>
        <w:rPr>
          <w:sz w:val="24"/>
          <w:szCs w:val="24"/>
          <w:lang w:val="en-GB"/>
        </w:rPr>
      </w:pPr>
      <w:r w:rsidRPr="00AE48B6">
        <w:rPr>
          <w:b/>
          <w:sz w:val="24"/>
          <w:szCs w:val="24"/>
          <w:lang w:val="en-GB"/>
        </w:rPr>
        <w:lastRenderedPageBreak/>
        <w:t>Figure 2:</w:t>
      </w:r>
      <w:r w:rsidRPr="00AE48B6">
        <w:rPr>
          <w:sz w:val="24"/>
          <w:szCs w:val="24"/>
          <w:lang w:val="en-GB"/>
        </w:rPr>
        <w:t xml:space="preserve"> Main pooled results (</w:t>
      </w:r>
      <w:r w:rsidRPr="00AD70F1">
        <w:rPr>
          <w:sz w:val="24"/>
          <w:szCs w:val="24"/>
          <w:lang w:val="en-GB"/>
        </w:rPr>
        <w:t>EBRT: external beam radiotherapy, SIRT: selective internal radiation therapy, TACE: transarterial chemo-emboli</w:t>
      </w:r>
      <w:r w:rsidR="00F45F73">
        <w:rPr>
          <w:sz w:val="24"/>
          <w:szCs w:val="24"/>
          <w:lang w:val="en-GB"/>
        </w:rPr>
        <w:t>s</w:t>
      </w:r>
      <w:r w:rsidRPr="00AD70F1">
        <w:rPr>
          <w:sz w:val="24"/>
          <w:szCs w:val="24"/>
          <w:lang w:val="en-GB"/>
        </w:rPr>
        <w:t>ation, HAI: Hepatic arterial infusion)</w:t>
      </w:r>
    </w:p>
    <w:p w14:paraId="77DADBBB" w14:textId="77777777" w:rsidR="00712F2E" w:rsidRPr="00326791" w:rsidRDefault="00712F2E" w:rsidP="00712F2E">
      <w:pPr>
        <w:spacing w:line="480" w:lineRule="auto"/>
        <w:rPr>
          <w:sz w:val="24"/>
          <w:szCs w:val="24"/>
          <w:lang w:val="en-GB"/>
        </w:rPr>
      </w:pPr>
    </w:p>
    <w:p w14:paraId="222C82A1" w14:textId="77777777" w:rsidR="00712F2E" w:rsidRPr="00AE48B6" w:rsidRDefault="00712F2E" w:rsidP="00712F2E">
      <w:pPr>
        <w:spacing w:line="480" w:lineRule="auto"/>
        <w:rPr>
          <w:sz w:val="24"/>
          <w:szCs w:val="24"/>
          <w:lang w:val="en-GB"/>
        </w:rPr>
      </w:pPr>
      <w:r w:rsidRPr="00AD70F1">
        <w:rPr>
          <w:noProof/>
          <w:sz w:val="24"/>
          <w:szCs w:val="24"/>
          <w:lang w:eastAsia="fr-FR"/>
        </w:rPr>
        <w:drawing>
          <wp:inline distT="0" distB="0" distL="0" distR="0" wp14:anchorId="71B9CEAC" wp14:editId="003A950C">
            <wp:extent cx="4924425" cy="6565899"/>
            <wp:effectExtent l="0" t="0" r="0" b="6985"/>
            <wp:docPr id="2" name="Image 2" descr="C:\Users\edel0208\Documents\Travaux\Txt LocoRegionaux BTC\FigureAnalysePoolé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l0208\Documents\Travaux\Txt LocoRegionaux BTC\FigureAnalysePoolé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1206" cy="6574941"/>
                    </a:xfrm>
                    <a:prstGeom prst="rect">
                      <a:avLst/>
                    </a:prstGeom>
                    <a:noFill/>
                    <a:ln>
                      <a:noFill/>
                    </a:ln>
                  </pic:spPr>
                </pic:pic>
              </a:graphicData>
            </a:graphic>
          </wp:inline>
        </w:drawing>
      </w:r>
    </w:p>
    <w:p w14:paraId="209C3155" w14:textId="77777777" w:rsidR="00712F2E" w:rsidRPr="00AD70F1" w:rsidRDefault="00712F2E" w:rsidP="00712F2E">
      <w:pPr>
        <w:spacing w:line="480" w:lineRule="auto"/>
        <w:rPr>
          <w:sz w:val="24"/>
          <w:szCs w:val="24"/>
          <w:lang w:val="en-GB"/>
        </w:rPr>
      </w:pPr>
    </w:p>
    <w:p w14:paraId="231D515D" w14:textId="77777777" w:rsidR="00712F2E" w:rsidRPr="00AD70F1" w:rsidRDefault="00712F2E" w:rsidP="00712F2E">
      <w:pPr>
        <w:spacing w:line="480" w:lineRule="auto"/>
        <w:rPr>
          <w:sz w:val="24"/>
          <w:szCs w:val="24"/>
          <w:lang w:val="en-GB"/>
        </w:rPr>
      </w:pPr>
    </w:p>
    <w:p w14:paraId="36C71B34" w14:textId="77777777" w:rsidR="00712F2E" w:rsidRPr="00326791" w:rsidRDefault="00712F2E" w:rsidP="00712F2E">
      <w:pPr>
        <w:rPr>
          <w:b/>
          <w:sz w:val="24"/>
          <w:szCs w:val="24"/>
          <w:lang w:val="en-GB"/>
        </w:rPr>
      </w:pPr>
      <w:r w:rsidRPr="00AD70F1">
        <w:rPr>
          <w:b/>
          <w:sz w:val="24"/>
          <w:szCs w:val="24"/>
          <w:lang w:val="en-GB"/>
        </w:rPr>
        <w:lastRenderedPageBreak/>
        <w:t xml:space="preserve">Figure 3: </w:t>
      </w:r>
      <w:r w:rsidRPr="00326791">
        <w:rPr>
          <w:sz w:val="24"/>
          <w:szCs w:val="24"/>
          <w:lang w:val="en-GB"/>
        </w:rPr>
        <w:t>Main pooled results of intra-arterial therapies, and subgroup analyses</w:t>
      </w:r>
    </w:p>
    <w:p w14:paraId="0F6B5922" w14:textId="77777777" w:rsidR="00712F2E" w:rsidRPr="00AD70F1" w:rsidRDefault="00712F2E" w:rsidP="00712F2E">
      <w:pPr>
        <w:spacing w:line="480" w:lineRule="auto"/>
        <w:rPr>
          <w:b/>
          <w:sz w:val="24"/>
          <w:szCs w:val="24"/>
          <w:lang w:val="en-GB"/>
        </w:rPr>
      </w:pPr>
      <w:r w:rsidRPr="00AD70F1">
        <w:rPr>
          <w:b/>
          <w:noProof/>
          <w:sz w:val="24"/>
          <w:szCs w:val="24"/>
          <w:lang w:eastAsia="fr-FR"/>
        </w:rPr>
        <w:drawing>
          <wp:inline distT="0" distB="0" distL="0" distR="0" wp14:anchorId="6274AAE0" wp14:editId="30CC3216">
            <wp:extent cx="4872038" cy="6496050"/>
            <wp:effectExtent l="0" t="0" r="5080" b="0"/>
            <wp:docPr id="3" name="Image 3" descr="C:\Users\edel0208\Documents\Travaux\Txt LocoRegionaux BTC\FigureAnalysePooléeIntra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l0208\Documents\Travaux\Txt LocoRegionaux BTC\FigureAnalysePooléeIntraArt.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3535" cy="6498046"/>
                    </a:xfrm>
                    <a:prstGeom prst="rect">
                      <a:avLst/>
                    </a:prstGeom>
                    <a:noFill/>
                    <a:ln>
                      <a:noFill/>
                    </a:ln>
                  </pic:spPr>
                </pic:pic>
              </a:graphicData>
            </a:graphic>
          </wp:inline>
        </w:drawing>
      </w:r>
    </w:p>
    <w:p w14:paraId="6E14C01B" w14:textId="049A2F84" w:rsidR="00897412" w:rsidRPr="00326791" w:rsidRDefault="00897412">
      <w:pPr>
        <w:rPr>
          <w:sz w:val="24"/>
          <w:szCs w:val="24"/>
          <w:lang w:val="en-GB"/>
        </w:rPr>
      </w:pPr>
      <w:r w:rsidRPr="00AD70F1">
        <w:rPr>
          <w:b/>
          <w:sz w:val="24"/>
          <w:szCs w:val="24"/>
          <w:lang w:val="en-GB"/>
        </w:rPr>
        <w:br w:type="page"/>
      </w:r>
      <w:r w:rsidR="00D56517" w:rsidRPr="00AD70F1">
        <w:rPr>
          <w:b/>
          <w:sz w:val="24"/>
          <w:szCs w:val="24"/>
          <w:lang w:val="en-GB"/>
        </w:rPr>
        <w:lastRenderedPageBreak/>
        <w:t xml:space="preserve">Figure 4: </w:t>
      </w:r>
      <w:r w:rsidR="00D56517" w:rsidRPr="00326791">
        <w:rPr>
          <w:sz w:val="24"/>
          <w:szCs w:val="24"/>
          <w:lang w:val="en-GB"/>
        </w:rPr>
        <w:t>Propose</w:t>
      </w:r>
      <w:r w:rsidR="00AC3CEA" w:rsidRPr="00326791">
        <w:rPr>
          <w:sz w:val="24"/>
          <w:szCs w:val="24"/>
          <w:lang w:val="en-GB"/>
        </w:rPr>
        <w:t>d</w:t>
      </w:r>
      <w:r w:rsidR="00D56517" w:rsidRPr="00326791">
        <w:rPr>
          <w:sz w:val="24"/>
          <w:szCs w:val="24"/>
          <w:lang w:val="en-GB"/>
        </w:rPr>
        <w:t xml:space="preserve"> recommendations for the current role of loco-regional treatment in </w:t>
      </w:r>
      <w:r w:rsidR="00F45F73">
        <w:rPr>
          <w:sz w:val="24"/>
          <w:szCs w:val="24"/>
          <w:lang w:val="en-GB"/>
        </w:rPr>
        <w:t xml:space="preserve">the treatment of patients with </w:t>
      </w:r>
      <w:r w:rsidR="00D56517" w:rsidRPr="00326791">
        <w:rPr>
          <w:sz w:val="24"/>
          <w:szCs w:val="24"/>
          <w:lang w:val="en-GB"/>
        </w:rPr>
        <w:t>intrahepatic cholangiocarcinom</w:t>
      </w:r>
      <w:r w:rsidR="00761DD7">
        <w:rPr>
          <w:sz w:val="24"/>
          <w:szCs w:val="24"/>
          <w:lang w:val="en-GB"/>
        </w:rPr>
        <w:t>a</w:t>
      </w:r>
    </w:p>
    <w:p w14:paraId="20682CD5" w14:textId="1646BA72" w:rsidR="00D56517" w:rsidRPr="00AD70F1" w:rsidRDefault="00D56517">
      <w:pPr>
        <w:rPr>
          <w:sz w:val="24"/>
          <w:szCs w:val="24"/>
          <w:lang w:val="en-GB"/>
        </w:rPr>
      </w:pPr>
      <w:r w:rsidRPr="00AD70F1">
        <w:rPr>
          <w:noProof/>
          <w:sz w:val="24"/>
          <w:szCs w:val="24"/>
          <w:lang w:eastAsia="fr-FR"/>
        </w:rPr>
        <w:drawing>
          <wp:inline distT="0" distB="0" distL="0" distR="0" wp14:anchorId="250931CA" wp14:editId="7B6DA985">
            <wp:extent cx="5760720" cy="3240405"/>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2"/>
                    <a:stretch>
                      <a:fillRect/>
                    </a:stretch>
                  </pic:blipFill>
                  <pic:spPr>
                    <a:xfrm>
                      <a:off x="0" y="0"/>
                      <a:ext cx="5760720" cy="3240405"/>
                    </a:xfrm>
                    <a:prstGeom prst="rect">
                      <a:avLst/>
                    </a:prstGeom>
                  </pic:spPr>
                </pic:pic>
              </a:graphicData>
            </a:graphic>
          </wp:inline>
        </w:drawing>
      </w:r>
    </w:p>
    <w:p w14:paraId="29FE5E46" w14:textId="17C38AFF" w:rsidR="00F214E7" w:rsidRPr="00897412" w:rsidRDefault="00F214E7" w:rsidP="00F214E7">
      <w:pPr>
        <w:rPr>
          <w:sz w:val="24"/>
          <w:szCs w:val="24"/>
          <w:lang w:val="en-GB"/>
        </w:rPr>
      </w:pPr>
    </w:p>
    <w:sectPr w:rsidR="00F214E7" w:rsidRPr="008974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marca Angela (RBV) NHS Christie Tr" w:date="2021-02-01T17:45:00Z" w:initials="LA(NCT">
    <w:p w14:paraId="567797E9" w14:textId="77777777" w:rsidR="00FE3C3E" w:rsidRPr="00BE6414" w:rsidRDefault="00FE3C3E" w:rsidP="003C37B8">
      <w:pPr>
        <w:pStyle w:val="Commentaire"/>
        <w:rPr>
          <w:lang w:val="en-US"/>
        </w:rPr>
      </w:pPr>
      <w:r>
        <w:rPr>
          <w:rStyle w:val="Marquedecommentaire"/>
        </w:rPr>
        <w:annotationRef/>
      </w:r>
      <w:r w:rsidRPr="00BE6414">
        <w:rPr>
          <w:lang w:val="en-US"/>
        </w:rPr>
        <w:t xml:space="preserve">Maybe better </w:t>
      </w:r>
      <w:proofErr w:type="gramStart"/>
      <w:r w:rsidRPr="00BE6414">
        <w:rPr>
          <w:lang w:val="en-US"/>
        </w:rPr>
        <w:t>radioembolisation ?</w:t>
      </w:r>
      <w:proofErr w:type="gramEnd"/>
      <w:r w:rsidRPr="00BE6414">
        <w:rPr>
          <w:lang w:val="en-US"/>
        </w:rPr>
        <w:t xml:space="preserve"> is the word you use in the abstract</w:t>
      </w:r>
    </w:p>
  </w:comment>
  <w:comment w:id="2" w:author="EDELINE Julien" w:date="2021-03-18T18:05:00Z" w:initials="EJ">
    <w:p w14:paraId="450B9B96" w14:textId="77777777" w:rsidR="00FE3C3E" w:rsidRPr="00311180" w:rsidRDefault="00FE3C3E" w:rsidP="003C37B8">
      <w:pPr>
        <w:pStyle w:val="Commentaire"/>
        <w:rPr>
          <w:lang w:val="en-US"/>
        </w:rPr>
      </w:pPr>
      <w:r>
        <w:rPr>
          <w:rStyle w:val="Marquedecommentaire"/>
        </w:rPr>
        <w:annotationRef/>
      </w:r>
      <w:r w:rsidRPr="00311180">
        <w:rPr>
          <w:lang w:val="en-US"/>
        </w:rPr>
        <w:t>In fact, I’ve heard that keywords should be different from terms used</w:t>
      </w:r>
      <w:r>
        <w:rPr>
          <w:lang w:val="en-US"/>
        </w:rPr>
        <w:t xml:space="preserve"> in the abstract, to improve the chance to be recognized by search engines</w:t>
      </w:r>
    </w:p>
  </w:comment>
  <w:comment w:id="3" w:author="Lamarca Angela (RBV) NHS Christie Tr" w:date="2021-02-01T17:45:00Z" w:initials="LA(NCT">
    <w:p w14:paraId="40AE77FA" w14:textId="3AD5AC49" w:rsidR="00FE3C3E" w:rsidRPr="00BE6414" w:rsidRDefault="00FE3C3E">
      <w:pPr>
        <w:pStyle w:val="Commentaire"/>
        <w:rPr>
          <w:lang w:val="en-US"/>
        </w:rPr>
      </w:pPr>
      <w:r>
        <w:rPr>
          <w:rStyle w:val="Marquedecommentaire"/>
        </w:rPr>
        <w:annotationRef/>
      </w:r>
      <w:r w:rsidRPr="00BE6414">
        <w:rPr>
          <w:lang w:val="en-US"/>
        </w:rPr>
        <w:t xml:space="preserve">Maybe add here </w:t>
      </w:r>
      <w:proofErr w:type="gramStart"/>
      <w:r w:rsidRPr="00BE6414">
        <w:rPr>
          <w:lang w:val="en-US"/>
        </w:rPr>
        <w:t>an</w:t>
      </w:r>
      <w:proofErr w:type="gramEnd"/>
      <w:r w:rsidRPr="00BE6414">
        <w:rPr>
          <w:lang w:val="en-US"/>
        </w:rPr>
        <w:t xml:space="preserve"> statement on risk of bias. </w:t>
      </w:r>
      <w:proofErr w:type="gramStart"/>
      <w:r w:rsidRPr="00BE6414">
        <w:rPr>
          <w:lang w:val="en-US"/>
        </w:rPr>
        <w:t>Example :</w:t>
      </w:r>
      <w:proofErr w:type="gramEnd"/>
      <w:r w:rsidRPr="00BE6414">
        <w:rPr>
          <w:lang w:val="en-US"/>
        </w:rPr>
        <w:t xml:space="preserve"> « No studies met </w:t>
      </w:r>
      <w:proofErr w:type="spellStart"/>
      <w:r w:rsidRPr="00BE6414">
        <w:rPr>
          <w:lang w:val="en-US"/>
        </w:rPr>
        <w:t>critreia</w:t>
      </w:r>
      <w:proofErr w:type="spellEnd"/>
      <w:r w:rsidRPr="00BE6414">
        <w:rPr>
          <w:lang w:val="en-US"/>
        </w:rPr>
        <w:t xml:space="preserve"> for low risk of bias. </w:t>
      </w:r>
    </w:p>
  </w:comment>
  <w:comment w:id="4" w:author="EDELINE Julien" w:date="2021-03-18T17:59:00Z" w:initials="EJ">
    <w:p w14:paraId="275CBD35" w14:textId="0B3BB0CD" w:rsidR="00FE3C3E" w:rsidRPr="00EF3945" w:rsidRDefault="00FE3C3E">
      <w:pPr>
        <w:pStyle w:val="Commentaire"/>
        <w:rPr>
          <w:lang w:val="en-US"/>
        </w:rPr>
      </w:pPr>
      <w:r>
        <w:rPr>
          <w:rStyle w:val="Marquedecommentaire"/>
        </w:rPr>
        <w:annotationRef/>
      </w:r>
      <w:r w:rsidRPr="00EF3945">
        <w:rPr>
          <w:lang w:val="en-US"/>
        </w:rPr>
        <w:t>Limited word number, I think the description is better than the general sentence</w:t>
      </w:r>
    </w:p>
  </w:comment>
  <w:comment w:id="5" w:author="McNamara Mairead (RBV) NHS Christie Tr" w:date="2021-02-01T17:45:00Z" w:initials="MM(NCT">
    <w:p w14:paraId="3A36AD47" w14:textId="6B8B571D" w:rsidR="00FE3C3E" w:rsidRPr="00D27F6F" w:rsidRDefault="00FE3C3E">
      <w:pPr>
        <w:pStyle w:val="Commentaire"/>
        <w:rPr>
          <w:lang w:val="en-US"/>
        </w:rPr>
      </w:pPr>
      <w:r>
        <w:rPr>
          <w:rStyle w:val="Marquedecommentaire"/>
        </w:rPr>
        <w:annotationRef/>
      </w:r>
      <w:r w:rsidRPr="00D27F6F">
        <w:rPr>
          <w:lang w:val="en-US"/>
        </w:rPr>
        <w:t xml:space="preserve">Same comment as above, would you not think of presenting RR first, then PFS and then </w:t>
      </w:r>
      <w:proofErr w:type="gramStart"/>
      <w:r w:rsidRPr="00D27F6F">
        <w:rPr>
          <w:lang w:val="en-US"/>
        </w:rPr>
        <w:t>OS ?</w:t>
      </w:r>
      <w:proofErr w:type="gramEnd"/>
    </w:p>
  </w:comment>
  <w:comment w:id="6" w:author="EDELINE Julien" w:date="2021-03-18T18:01:00Z" w:initials="EJ">
    <w:p w14:paraId="0FEB72E3" w14:textId="0B76D814" w:rsidR="00FE3C3E" w:rsidRPr="00EF3945" w:rsidRDefault="00FE3C3E">
      <w:pPr>
        <w:pStyle w:val="Commentaire"/>
        <w:rPr>
          <w:lang w:val="en-US"/>
        </w:rPr>
      </w:pPr>
      <w:r>
        <w:rPr>
          <w:rStyle w:val="Marquedecommentaire"/>
        </w:rPr>
        <w:annotationRef/>
      </w:r>
      <w:r w:rsidRPr="00EF3945">
        <w:rPr>
          <w:lang w:val="en-US"/>
        </w:rPr>
        <w:t>Limited word number to provide all this information…</w:t>
      </w:r>
    </w:p>
  </w:comment>
  <w:comment w:id="7" w:author="Hubner Richard (RBV) NHS Christie Tr" w:date="2021-02-07T06:47:00Z" w:initials="HR(NCT">
    <w:p w14:paraId="28EC0F5A" w14:textId="0315AB44" w:rsidR="00FE3C3E" w:rsidRPr="00D27F6F" w:rsidRDefault="00FE3C3E">
      <w:pPr>
        <w:pStyle w:val="Commentaire"/>
        <w:rPr>
          <w:lang w:val="en-US"/>
        </w:rPr>
      </w:pPr>
      <w:r>
        <w:rPr>
          <w:rStyle w:val="Marquedecommentaire"/>
        </w:rPr>
        <w:annotationRef/>
      </w:r>
      <w:r w:rsidRPr="00D27F6F">
        <w:rPr>
          <w:lang w:val="en-US"/>
        </w:rPr>
        <w:t>Was this always cisplatin/gemcitabine?</w:t>
      </w:r>
    </w:p>
  </w:comment>
  <w:comment w:id="8" w:author="EDELINE Julien" w:date="2021-03-18T18:41:00Z" w:initials="EJ">
    <w:p w14:paraId="2AF767B1" w14:textId="156A0659" w:rsidR="00FE3C3E" w:rsidRPr="00A141DE" w:rsidRDefault="00FE3C3E">
      <w:pPr>
        <w:pStyle w:val="Commentaire"/>
        <w:rPr>
          <w:lang w:val="en-US"/>
        </w:rPr>
      </w:pPr>
      <w:r>
        <w:rPr>
          <w:rStyle w:val="Marquedecommentaire"/>
        </w:rPr>
        <w:annotationRef/>
      </w:r>
      <w:proofErr w:type="gramStart"/>
      <w:r w:rsidRPr="00A141DE">
        <w:rPr>
          <w:lang w:val="en-US"/>
        </w:rPr>
        <w:t>No ;</w:t>
      </w:r>
      <w:proofErr w:type="gramEnd"/>
      <w:r w:rsidRPr="00A141DE">
        <w:rPr>
          <w:lang w:val="en-US"/>
        </w:rPr>
        <w:t xml:space="preserve"> frequently not clearly reported</w:t>
      </w:r>
    </w:p>
  </w:comment>
  <w:comment w:id="9" w:author="Lamarca Angela (RBV) NHS Christie Tr" w:date="2021-02-01T17:45:00Z" w:initials="LA(NCT">
    <w:p w14:paraId="4949A635" w14:textId="1BB70194" w:rsidR="00FE3C3E" w:rsidRPr="00BE6414" w:rsidRDefault="00FE3C3E">
      <w:pPr>
        <w:pStyle w:val="Commentaire"/>
        <w:rPr>
          <w:lang w:val="en-US"/>
        </w:rPr>
      </w:pPr>
      <w:r>
        <w:rPr>
          <w:rStyle w:val="Marquedecommentaire"/>
        </w:rPr>
        <w:annotationRef/>
      </w:r>
      <w:r w:rsidRPr="00BE6414">
        <w:rPr>
          <w:lang w:val="en-US"/>
        </w:rPr>
        <w:t xml:space="preserve">I would order this section following the methods </w:t>
      </w:r>
      <w:proofErr w:type="spellStart"/>
      <w:proofErr w:type="gramStart"/>
      <w:r w:rsidRPr="00BE6414">
        <w:rPr>
          <w:lang w:val="en-US"/>
        </w:rPr>
        <w:t>decsribed</w:t>
      </w:r>
      <w:proofErr w:type="spellEnd"/>
      <w:r w:rsidRPr="00BE6414">
        <w:rPr>
          <w:lang w:val="en-US"/>
        </w:rPr>
        <w:t> :</w:t>
      </w:r>
      <w:proofErr w:type="gramEnd"/>
    </w:p>
    <w:p w14:paraId="56C4419D" w14:textId="77777777" w:rsidR="00FE3C3E" w:rsidRPr="00BE6414" w:rsidRDefault="00FE3C3E">
      <w:pPr>
        <w:pStyle w:val="Commentaire"/>
        <w:rPr>
          <w:lang w:val="en-US"/>
        </w:rPr>
      </w:pPr>
    </w:p>
    <w:p w14:paraId="4215FC60" w14:textId="2226FBF0" w:rsidR="00FE3C3E" w:rsidRPr="00BE6414" w:rsidRDefault="00FE3C3E">
      <w:pPr>
        <w:pStyle w:val="Commentaire"/>
        <w:rPr>
          <w:lang w:val="en-US"/>
        </w:rPr>
      </w:pPr>
      <w:r w:rsidRPr="00BE6414">
        <w:rPr>
          <w:lang w:val="en-US"/>
        </w:rPr>
        <w:t>-</w:t>
      </w:r>
      <w:proofErr w:type="spellStart"/>
      <w:r w:rsidRPr="00BE6414">
        <w:rPr>
          <w:lang w:val="en-US"/>
        </w:rPr>
        <w:t>os</w:t>
      </w:r>
      <w:proofErr w:type="spellEnd"/>
    </w:p>
    <w:p w14:paraId="607FCEA2" w14:textId="14DCDF32" w:rsidR="00FE3C3E" w:rsidRPr="00BE6414" w:rsidRDefault="00FE3C3E">
      <w:pPr>
        <w:pStyle w:val="Commentaire"/>
        <w:rPr>
          <w:lang w:val="en-US"/>
        </w:rPr>
      </w:pPr>
      <w:r w:rsidRPr="00BE6414">
        <w:rPr>
          <w:lang w:val="en-US"/>
        </w:rPr>
        <w:t>-</w:t>
      </w:r>
      <w:proofErr w:type="spellStart"/>
      <w:r w:rsidRPr="00BE6414">
        <w:rPr>
          <w:lang w:val="en-US"/>
        </w:rPr>
        <w:t>pfs</w:t>
      </w:r>
      <w:proofErr w:type="spellEnd"/>
    </w:p>
    <w:p w14:paraId="4C9BECEB" w14:textId="786B433F" w:rsidR="00FE3C3E" w:rsidRPr="00BE6414" w:rsidRDefault="00FE3C3E">
      <w:pPr>
        <w:pStyle w:val="Commentaire"/>
        <w:rPr>
          <w:lang w:val="en-US"/>
        </w:rPr>
      </w:pPr>
      <w:r w:rsidRPr="00BE6414">
        <w:rPr>
          <w:lang w:val="en-US"/>
        </w:rPr>
        <w:t>-response rates</w:t>
      </w:r>
    </w:p>
    <w:p w14:paraId="14452B2C" w14:textId="77777777" w:rsidR="00FE3C3E" w:rsidRPr="00BE6414" w:rsidRDefault="00FE3C3E">
      <w:pPr>
        <w:pStyle w:val="Commentaire"/>
        <w:rPr>
          <w:lang w:val="en-US"/>
        </w:rPr>
      </w:pPr>
    </w:p>
    <w:p w14:paraId="3C95F6E6" w14:textId="62C0F452" w:rsidR="00FE3C3E" w:rsidRPr="00BE6414" w:rsidRDefault="00FE3C3E">
      <w:pPr>
        <w:pStyle w:val="Commentaire"/>
        <w:rPr>
          <w:lang w:val="en-US"/>
        </w:rPr>
      </w:pPr>
      <w:r w:rsidRPr="00BE6414">
        <w:rPr>
          <w:lang w:val="en-US"/>
        </w:rPr>
        <w:t xml:space="preserve">Joined the results together, example, two yellow sections should be reported one </w:t>
      </w:r>
      <w:proofErr w:type="spellStart"/>
      <w:r w:rsidRPr="00BE6414">
        <w:rPr>
          <w:lang w:val="en-US"/>
        </w:rPr>
        <w:t>fater</w:t>
      </w:r>
      <w:proofErr w:type="spellEnd"/>
      <w:r w:rsidRPr="00BE6414">
        <w:rPr>
          <w:lang w:val="en-US"/>
        </w:rPr>
        <w:t xml:space="preserve"> </w:t>
      </w:r>
      <w:proofErr w:type="spellStart"/>
      <w:r w:rsidRPr="00BE6414">
        <w:rPr>
          <w:lang w:val="en-US"/>
        </w:rPr>
        <w:t>anotehr</w:t>
      </w:r>
      <w:proofErr w:type="spellEnd"/>
      <w:r w:rsidRPr="00BE6414">
        <w:rPr>
          <w:lang w:val="en-US"/>
        </w:rPr>
        <w:t xml:space="preserve"> for this to flow. Otherwise we move for response to </w:t>
      </w:r>
      <w:proofErr w:type="spellStart"/>
      <w:r w:rsidRPr="00BE6414">
        <w:rPr>
          <w:lang w:val="en-US"/>
        </w:rPr>
        <w:t>pfs</w:t>
      </w:r>
      <w:proofErr w:type="spellEnd"/>
      <w:r w:rsidRPr="00BE6414">
        <w:rPr>
          <w:lang w:val="en-US"/>
        </w:rPr>
        <w:t xml:space="preserve"> to </w:t>
      </w:r>
      <w:proofErr w:type="spellStart"/>
      <w:r w:rsidRPr="00BE6414">
        <w:rPr>
          <w:lang w:val="en-US"/>
        </w:rPr>
        <w:t>os</w:t>
      </w:r>
      <w:proofErr w:type="spellEnd"/>
      <w:r w:rsidRPr="00BE6414">
        <w:rPr>
          <w:lang w:val="en-US"/>
        </w:rPr>
        <w:t xml:space="preserve"> to response and message is not clear</w:t>
      </w:r>
    </w:p>
  </w:comment>
  <w:comment w:id="10" w:author="Boris Guiu" w:date="2021-02-01T17:45:00Z" w:initials="BG">
    <w:p w14:paraId="443BA466" w14:textId="07EF0E0E" w:rsidR="00FE3C3E" w:rsidRPr="00D27F6F" w:rsidRDefault="00FE3C3E">
      <w:pPr>
        <w:pStyle w:val="Commentaire"/>
        <w:rPr>
          <w:lang w:val="en-US"/>
        </w:rPr>
      </w:pPr>
      <w:r>
        <w:rPr>
          <w:rStyle w:val="Marquedecommentaire"/>
        </w:rPr>
        <w:annotationRef/>
      </w:r>
      <w:r w:rsidRPr="00D27F6F">
        <w:rPr>
          <w:lang w:val="en-US"/>
        </w:rPr>
        <w:t>Excellent idea</w:t>
      </w:r>
    </w:p>
  </w:comment>
  <w:comment w:id="11" w:author="EDELINE Julien" w:date="2021-03-18T18:46:00Z" w:initials="EJ">
    <w:p w14:paraId="05B380E4" w14:textId="26029746" w:rsidR="00FE3C3E" w:rsidRPr="009B54CF" w:rsidRDefault="00FE3C3E">
      <w:pPr>
        <w:pStyle w:val="Commentaire"/>
        <w:rPr>
          <w:lang w:val="en-US"/>
        </w:rPr>
      </w:pPr>
      <w:r>
        <w:rPr>
          <w:rStyle w:val="Marquedecommentaire"/>
        </w:rPr>
        <w:annotationRef/>
      </w:r>
      <w:r w:rsidRPr="009B54CF">
        <w:rPr>
          <w:lang w:val="en-US"/>
        </w:rPr>
        <w:t>Ok, I tried to change thoughout the manuscript for this order :</w:t>
      </w:r>
    </w:p>
    <w:p w14:paraId="4A0D09A1" w14:textId="5D4A47DB" w:rsidR="00FE3C3E" w:rsidRDefault="00FE3C3E">
      <w:pPr>
        <w:pStyle w:val="Commentaire"/>
      </w:pPr>
      <w:proofErr w:type="spellStart"/>
      <w:r>
        <w:t>Finally</w:t>
      </w:r>
      <w:proofErr w:type="spellEnd"/>
      <w:r>
        <w:t> :</w:t>
      </w:r>
    </w:p>
    <w:p w14:paraId="0A404864" w14:textId="6FA8BE49" w:rsidR="00FE3C3E" w:rsidRDefault="00FE3C3E" w:rsidP="00FF67FF">
      <w:pPr>
        <w:pStyle w:val="Commentaire"/>
        <w:numPr>
          <w:ilvl w:val="0"/>
          <w:numId w:val="1"/>
        </w:numPr>
      </w:pPr>
      <w:r>
        <w:t>RR</w:t>
      </w:r>
    </w:p>
    <w:p w14:paraId="3798EBC8" w14:textId="298B1696" w:rsidR="00FE3C3E" w:rsidRDefault="00FE3C3E" w:rsidP="00FF67FF">
      <w:pPr>
        <w:pStyle w:val="Commentaire"/>
        <w:numPr>
          <w:ilvl w:val="0"/>
          <w:numId w:val="1"/>
        </w:numPr>
      </w:pPr>
      <w:r>
        <w:t>PFS</w:t>
      </w:r>
    </w:p>
    <w:p w14:paraId="57EE4B10" w14:textId="17023261" w:rsidR="00FE3C3E" w:rsidRDefault="00FE3C3E" w:rsidP="00FF67FF">
      <w:pPr>
        <w:pStyle w:val="Commentaire"/>
        <w:numPr>
          <w:ilvl w:val="0"/>
          <w:numId w:val="1"/>
        </w:numPr>
      </w:pPr>
      <w:proofErr w:type="spellStart"/>
      <w:r>
        <w:t>Liver</w:t>
      </w:r>
      <w:proofErr w:type="spellEnd"/>
      <w:r>
        <w:t>-PFS</w:t>
      </w:r>
    </w:p>
    <w:p w14:paraId="4A537014" w14:textId="228DDE64" w:rsidR="00FE3C3E" w:rsidRDefault="00FE3C3E" w:rsidP="00FF67FF">
      <w:pPr>
        <w:pStyle w:val="Commentaire"/>
        <w:numPr>
          <w:ilvl w:val="0"/>
          <w:numId w:val="1"/>
        </w:numPr>
      </w:pPr>
      <w:r>
        <w:t>OS</w:t>
      </w:r>
    </w:p>
  </w:comment>
  <w:comment w:id="12" w:author="Lamarca Angela (RBV) NHS Christie Tr" w:date="2021-02-01T17:45:00Z" w:initials="LA(NCT">
    <w:p w14:paraId="58D32DB0" w14:textId="25EB296D" w:rsidR="00FE3C3E" w:rsidRPr="00BE6414" w:rsidRDefault="00FE3C3E">
      <w:pPr>
        <w:pStyle w:val="Commentaire"/>
        <w:rPr>
          <w:lang w:val="en-US"/>
        </w:rPr>
      </w:pPr>
      <w:r>
        <w:rPr>
          <w:rStyle w:val="Marquedecommentaire"/>
        </w:rPr>
        <w:annotationRef/>
      </w:r>
      <w:r w:rsidRPr="00BE6414">
        <w:rPr>
          <w:lang w:val="en-US"/>
        </w:rPr>
        <w:t xml:space="preserve">I think some references are missing because all the studies included should be </w:t>
      </w:r>
      <w:proofErr w:type="spellStart"/>
      <w:r w:rsidRPr="00BE6414">
        <w:rPr>
          <w:lang w:val="en-US"/>
        </w:rPr>
        <w:t>refreenced</w:t>
      </w:r>
      <w:proofErr w:type="spellEnd"/>
      <w:r w:rsidRPr="00BE6414">
        <w:rPr>
          <w:lang w:val="en-US"/>
        </w:rPr>
        <w:t>….</w:t>
      </w:r>
    </w:p>
  </w:comment>
  <w:comment w:id="13" w:author="EDELINE Julien" w:date="2021-03-19T18:44:00Z" w:initials="EJ">
    <w:p w14:paraId="232A9F70" w14:textId="2C391F8C" w:rsidR="00FE3C3E" w:rsidRPr="00B930F4" w:rsidRDefault="00FE3C3E">
      <w:pPr>
        <w:pStyle w:val="Commentaire"/>
        <w:rPr>
          <w:lang w:val="en-US"/>
        </w:rPr>
      </w:pPr>
      <w:r>
        <w:rPr>
          <w:rStyle w:val="Marquedecommentaire"/>
        </w:rPr>
        <w:annotationRef/>
      </w:r>
      <w:r w:rsidRPr="00B930F4">
        <w:rPr>
          <w:lang w:val="en-US"/>
        </w:rPr>
        <w:t xml:space="preserve">Too many to include as true references. </w:t>
      </w:r>
      <w:r>
        <w:rPr>
          <w:lang w:val="en-US"/>
        </w:rPr>
        <w:t xml:space="preserve">They will be included in a </w:t>
      </w:r>
      <w:proofErr w:type="spellStart"/>
      <w:r>
        <w:rPr>
          <w:lang w:val="en-US"/>
        </w:rPr>
        <w:t>suppl</w:t>
      </w:r>
      <w:proofErr w:type="spellEnd"/>
      <w:r>
        <w:rPr>
          <w:lang w:val="en-US"/>
        </w:rPr>
        <w:t xml:space="preserve"> mat file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7797E9" w15:done="0"/>
  <w15:commentEx w15:paraId="450B9B96" w15:paraIdParent="567797E9" w15:done="0"/>
  <w15:commentEx w15:paraId="40AE77FA" w15:done="0"/>
  <w15:commentEx w15:paraId="275CBD35" w15:paraIdParent="40AE77FA" w15:done="0"/>
  <w15:commentEx w15:paraId="3A36AD47" w15:done="0"/>
  <w15:commentEx w15:paraId="0FEB72E3" w15:paraIdParent="3A36AD47" w15:done="0"/>
  <w15:commentEx w15:paraId="28EC0F5A" w15:done="0"/>
  <w15:commentEx w15:paraId="2AF767B1" w15:paraIdParent="28EC0F5A" w15:done="0"/>
  <w15:commentEx w15:paraId="3C95F6E6" w15:done="0"/>
  <w15:commentEx w15:paraId="443BA466" w15:paraIdParent="3C95F6E6" w15:done="0"/>
  <w15:commentEx w15:paraId="4A537014" w15:paraIdParent="3C95F6E6" w15:done="0"/>
  <w15:commentEx w15:paraId="58D32DB0" w15:done="0"/>
  <w15:commentEx w15:paraId="232A9F70" w15:paraIdParent="58D32D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10B3F" w16cex:dateUtc="2021-01-31T09:55:00Z"/>
  <w16cex:commentExtensible w16cex:durableId="23C10BF2" w16cex:dateUtc="2021-01-31T09:58:00Z"/>
  <w16cex:commentExtensible w16cex:durableId="23C10D1F" w16cex:dateUtc="2021-01-31T10:03:00Z"/>
  <w16cex:commentExtensible w16cex:durableId="23C11250" w16cex:dateUtc="2021-01-31T10:26:00Z"/>
  <w16cex:commentExtensible w16cex:durableId="23C11427" w16cex:dateUtc="2021-01-31T10:33:00Z"/>
  <w16cex:commentExtensible w16cex:durableId="23C113B7" w16cex:dateUtc="2021-01-31T10:32:00Z"/>
  <w16cex:commentExtensible w16cex:durableId="23C11406" w16cex:dateUtc="2021-01-31T10:33:00Z"/>
  <w16cex:commentExtensible w16cex:durableId="23C114B3" w16cex:dateUtc="2021-01-31T10:36:00Z"/>
  <w16cex:commentExtensible w16cex:durableId="23C13823" w16cex:dateUtc="2021-01-31T13:07:00Z"/>
  <w16cex:commentExtensible w16cex:durableId="23C138FD" w16cex:dateUtc="2021-01-31T13:11:00Z"/>
  <w16cex:commentExtensible w16cex:durableId="23C13A08" w16cex:dateUtc="2021-01-31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0A814F" w16cid:durableId="23C106B2"/>
  <w16cid:commentId w16cid:paraId="1B07688B" w16cid:durableId="23C106B3"/>
  <w16cid:commentId w16cid:paraId="77736197" w16cid:durableId="23C106B4"/>
  <w16cid:commentId w16cid:paraId="74595C08" w16cid:durableId="23C106B5"/>
  <w16cid:commentId w16cid:paraId="40AE77FA" w16cid:durableId="23C106B6"/>
  <w16cid:commentId w16cid:paraId="7734E550" w16cid:durableId="23C106B7"/>
  <w16cid:commentId w16cid:paraId="726DB623" w16cid:durableId="23C106B8"/>
  <w16cid:commentId w16cid:paraId="32E58E23" w16cid:durableId="23C106B9"/>
  <w16cid:commentId w16cid:paraId="39E5932A" w16cid:durableId="23C10B3F"/>
  <w16cid:commentId w16cid:paraId="6948770E" w16cid:durableId="23C106BA"/>
  <w16cid:commentId w16cid:paraId="0745BC25" w16cid:durableId="23C106BB"/>
  <w16cid:commentId w16cid:paraId="466211DC" w16cid:durableId="23C10BF2"/>
  <w16cid:commentId w16cid:paraId="23B73EBC" w16cid:durableId="23C106BC"/>
  <w16cid:commentId w16cid:paraId="525443E9" w16cid:durableId="23C106BD"/>
  <w16cid:commentId w16cid:paraId="059A438E" w16cid:durableId="23C106BE"/>
  <w16cid:commentId w16cid:paraId="626715D5" w16cid:durableId="23C106BF"/>
  <w16cid:commentId w16cid:paraId="58D61396" w16cid:durableId="23C10D1F"/>
  <w16cid:commentId w16cid:paraId="0DF1D545" w16cid:durableId="23C106C0"/>
  <w16cid:commentId w16cid:paraId="66BA990A" w16cid:durableId="23C106C1"/>
  <w16cid:commentId w16cid:paraId="66E04CF9" w16cid:durableId="23C106C2"/>
  <w16cid:commentId w16cid:paraId="28878CD4" w16cid:durableId="23C106C3"/>
  <w16cid:commentId w16cid:paraId="6C6BED39" w16cid:durableId="23C106C4"/>
  <w16cid:commentId w16cid:paraId="561E6D6B" w16cid:durableId="23C106C5"/>
  <w16cid:commentId w16cid:paraId="62FACEF6" w16cid:durableId="23C106C6"/>
  <w16cid:commentId w16cid:paraId="4EBDABBB" w16cid:durableId="23C106C7"/>
  <w16cid:commentId w16cid:paraId="2FB8914B" w16cid:durableId="23C106C8"/>
  <w16cid:commentId w16cid:paraId="3D22B174" w16cid:durableId="23C106C9"/>
  <w16cid:commentId w16cid:paraId="74AAAA27" w16cid:durableId="23C106CA"/>
  <w16cid:commentId w16cid:paraId="4AF28E30" w16cid:durableId="23C106CB"/>
  <w16cid:commentId w16cid:paraId="49575A5F" w16cid:durableId="23C106CC"/>
  <w16cid:commentId w16cid:paraId="0D7AFC95" w16cid:durableId="23C11250"/>
  <w16cid:commentId w16cid:paraId="6B04A230" w16cid:durableId="23C11427"/>
  <w16cid:commentId w16cid:paraId="69A9D2D2" w16cid:durableId="23C113B7"/>
  <w16cid:commentId w16cid:paraId="0C2ED28C" w16cid:durableId="23C11406"/>
  <w16cid:commentId w16cid:paraId="55EBFF67" w16cid:durableId="23C106CD"/>
  <w16cid:commentId w16cid:paraId="3C95F6E6" w16cid:durableId="23C106CE"/>
  <w16cid:commentId w16cid:paraId="443BA466" w16cid:durableId="23C114B3"/>
  <w16cid:commentId w16cid:paraId="3BAF244B" w16cid:durableId="23C106CF"/>
  <w16cid:commentId w16cid:paraId="4A7B24AF" w16cid:durableId="23C106D0"/>
  <w16cid:commentId w16cid:paraId="0BF83105" w16cid:durableId="23C106D1"/>
  <w16cid:commentId w16cid:paraId="7B583A59" w16cid:durableId="23C106D2"/>
  <w16cid:commentId w16cid:paraId="6B6165F1" w16cid:durableId="23C106D3"/>
  <w16cid:commentId w16cid:paraId="4BA2966A" w16cid:durableId="23C106D4"/>
  <w16cid:commentId w16cid:paraId="23C261DA" w16cid:durableId="23C106D5"/>
  <w16cid:commentId w16cid:paraId="6EB2A03D" w16cid:durableId="23C106D6"/>
  <w16cid:commentId w16cid:paraId="179BB551" w16cid:durableId="23C106D7"/>
  <w16cid:commentId w16cid:paraId="2AE2DEEA" w16cid:durableId="23C106D8"/>
  <w16cid:commentId w16cid:paraId="7249F810" w16cid:durableId="23C106D9"/>
  <w16cid:commentId w16cid:paraId="6008EAC3" w16cid:durableId="23C106DA"/>
  <w16cid:commentId w16cid:paraId="0DB28E8B" w16cid:durableId="23C106DB"/>
  <w16cid:commentId w16cid:paraId="7838F6C5" w16cid:durableId="23C106DC"/>
  <w16cid:commentId w16cid:paraId="1453EA7C" w16cid:durableId="23C106DD"/>
  <w16cid:commentId w16cid:paraId="55BA30E1" w16cid:durableId="23C106DE"/>
  <w16cid:commentId w16cid:paraId="73613782" w16cid:durableId="23C13823"/>
  <w16cid:commentId w16cid:paraId="77A27DD5" w16cid:durableId="23C106DF"/>
  <w16cid:commentId w16cid:paraId="20867960" w16cid:durableId="23C106E0"/>
  <w16cid:commentId w16cid:paraId="3EF27311" w16cid:durableId="23C138FD"/>
  <w16cid:commentId w16cid:paraId="02AAF3C2" w16cid:durableId="23C13A08"/>
  <w16cid:commentId w16cid:paraId="4312A130" w16cid:durableId="23C106E1"/>
  <w16cid:commentId w16cid:paraId="58D32DB0" w16cid:durableId="23C106E2"/>
  <w16cid:commentId w16cid:paraId="49A10C45" w16cid:durableId="23C106E3"/>
  <w16cid:commentId w16cid:paraId="6493E737" w16cid:durableId="23C106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F314" w14:textId="77777777" w:rsidR="009F4CC2" w:rsidRDefault="009F4CC2" w:rsidP="008F7FDF">
      <w:pPr>
        <w:spacing w:after="0" w:line="240" w:lineRule="auto"/>
      </w:pPr>
      <w:r>
        <w:separator/>
      </w:r>
    </w:p>
  </w:endnote>
  <w:endnote w:type="continuationSeparator" w:id="0">
    <w:p w14:paraId="655D85B3" w14:textId="77777777" w:rsidR="009F4CC2" w:rsidRDefault="009F4CC2" w:rsidP="008F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3203"/>
      <w:docPartObj>
        <w:docPartGallery w:val="Page Numbers (Bottom of Page)"/>
        <w:docPartUnique/>
      </w:docPartObj>
    </w:sdtPr>
    <w:sdtContent>
      <w:p w14:paraId="1D4187F2" w14:textId="3042AC49" w:rsidR="00FE3C3E" w:rsidRDefault="00FE3C3E">
        <w:pPr>
          <w:pStyle w:val="Pieddepage"/>
          <w:jc w:val="right"/>
        </w:pPr>
        <w:r>
          <w:fldChar w:fldCharType="begin"/>
        </w:r>
        <w:r>
          <w:instrText>PAGE   \* MERGEFORMAT</w:instrText>
        </w:r>
        <w:r>
          <w:fldChar w:fldCharType="separate"/>
        </w:r>
        <w:r w:rsidR="0056133B">
          <w:rPr>
            <w:noProof/>
          </w:rPr>
          <w:t>32</w:t>
        </w:r>
        <w:r>
          <w:fldChar w:fldCharType="end"/>
        </w:r>
      </w:p>
    </w:sdtContent>
  </w:sdt>
  <w:p w14:paraId="529F61D8" w14:textId="77777777" w:rsidR="00FE3C3E" w:rsidRDefault="00FE3C3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274B7" w14:textId="77777777" w:rsidR="009F4CC2" w:rsidRDefault="009F4CC2" w:rsidP="008F7FDF">
      <w:pPr>
        <w:spacing w:after="0" w:line="240" w:lineRule="auto"/>
      </w:pPr>
      <w:r>
        <w:separator/>
      </w:r>
    </w:p>
  </w:footnote>
  <w:footnote w:type="continuationSeparator" w:id="0">
    <w:p w14:paraId="38EF0A87" w14:textId="77777777" w:rsidR="009F4CC2" w:rsidRDefault="009F4CC2" w:rsidP="008F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5869"/>
    <w:multiLevelType w:val="hybridMultilevel"/>
    <w:tmpl w:val="7C6CC260"/>
    <w:lvl w:ilvl="0" w:tplc="D666A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ELINE Julien">
    <w15:presenceInfo w15:providerId="AD" w15:userId="S-1-5-21-326909589-473044713-184960113-2356"/>
  </w15:person>
  <w15:person w15:author="Boris Guiu">
    <w15:presenceInfo w15:providerId="Windows Live" w15:userId="5b5c0cb08400d6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42"/>
    <w:rsid w:val="0000063F"/>
    <w:rsid w:val="000158D2"/>
    <w:rsid w:val="00016D4D"/>
    <w:rsid w:val="00052D08"/>
    <w:rsid w:val="00057734"/>
    <w:rsid w:val="000C4F86"/>
    <w:rsid w:val="000D0255"/>
    <w:rsid w:val="000D4365"/>
    <w:rsid w:val="000D7169"/>
    <w:rsid w:val="001219EB"/>
    <w:rsid w:val="00127847"/>
    <w:rsid w:val="00176483"/>
    <w:rsid w:val="001B53C5"/>
    <w:rsid w:val="001C2188"/>
    <w:rsid w:val="001D46AA"/>
    <w:rsid w:val="002056DE"/>
    <w:rsid w:val="002200ED"/>
    <w:rsid w:val="00222B1C"/>
    <w:rsid w:val="00255C0F"/>
    <w:rsid w:val="00263B8A"/>
    <w:rsid w:val="00277FDC"/>
    <w:rsid w:val="002A68FC"/>
    <w:rsid w:val="002B146F"/>
    <w:rsid w:val="002C53B1"/>
    <w:rsid w:val="002E6E29"/>
    <w:rsid w:val="00311180"/>
    <w:rsid w:val="003146D4"/>
    <w:rsid w:val="00315710"/>
    <w:rsid w:val="00326791"/>
    <w:rsid w:val="00331E71"/>
    <w:rsid w:val="003A2091"/>
    <w:rsid w:val="003A3234"/>
    <w:rsid w:val="003B70B8"/>
    <w:rsid w:val="003C37B8"/>
    <w:rsid w:val="003C5459"/>
    <w:rsid w:val="003D66C9"/>
    <w:rsid w:val="003E5222"/>
    <w:rsid w:val="003E54FE"/>
    <w:rsid w:val="003E6E26"/>
    <w:rsid w:val="003F2FD8"/>
    <w:rsid w:val="00400FD8"/>
    <w:rsid w:val="00405304"/>
    <w:rsid w:val="0043248D"/>
    <w:rsid w:val="00433B80"/>
    <w:rsid w:val="00443B09"/>
    <w:rsid w:val="0044687E"/>
    <w:rsid w:val="004476DA"/>
    <w:rsid w:val="004509BB"/>
    <w:rsid w:val="00451C8A"/>
    <w:rsid w:val="00456F79"/>
    <w:rsid w:val="00473097"/>
    <w:rsid w:val="0047599A"/>
    <w:rsid w:val="00491545"/>
    <w:rsid w:val="004A24A1"/>
    <w:rsid w:val="004B21A6"/>
    <w:rsid w:val="004C50EF"/>
    <w:rsid w:val="004D5F9B"/>
    <w:rsid w:val="004E08CC"/>
    <w:rsid w:val="004F490F"/>
    <w:rsid w:val="0051517C"/>
    <w:rsid w:val="0052434C"/>
    <w:rsid w:val="00533C6D"/>
    <w:rsid w:val="005450E5"/>
    <w:rsid w:val="0056133B"/>
    <w:rsid w:val="00573ADF"/>
    <w:rsid w:val="00587754"/>
    <w:rsid w:val="00590C1E"/>
    <w:rsid w:val="00597B4D"/>
    <w:rsid w:val="005B504C"/>
    <w:rsid w:val="005C7433"/>
    <w:rsid w:val="005D1C8E"/>
    <w:rsid w:val="005E0183"/>
    <w:rsid w:val="005E24D2"/>
    <w:rsid w:val="005E4350"/>
    <w:rsid w:val="005E5404"/>
    <w:rsid w:val="005F53E1"/>
    <w:rsid w:val="00604C09"/>
    <w:rsid w:val="0061420A"/>
    <w:rsid w:val="0061778B"/>
    <w:rsid w:val="006361B1"/>
    <w:rsid w:val="00641093"/>
    <w:rsid w:val="0064140D"/>
    <w:rsid w:val="00645E43"/>
    <w:rsid w:val="006602F7"/>
    <w:rsid w:val="006628FE"/>
    <w:rsid w:val="0068347C"/>
    <w:rsid w:val="006B0672"/>
    <w:rsid w:val="006B32A8"/>
    <w:rsid w:val="006C3226"/>
    <w:rsid w:val="00712F2E"/>
    <w:rsid w:val="00761DD7"/>
    <w:rsid w:val="00795AF6"/>
    <w:rsid w:val="007A73CC"/>
    <w:rsid w:val="007B3C92"/>
    <w:rsid w:val="007C4246"/>
    <w:rsid w:val="007F2F66"/>
    <w:rsid w:val="00830402"/>
    <w:rsid w:val="00886404"/>
    <w:rsid w:val="00887565"/>
    <w:rsid w:val="00897412"/>
    <w:rsid w:val="008B291B"/>
    <w:rsid w:val="008C439C"/>
    <w:rsid w:val="008D456D"/>
    <w:rsid w:val="008D461F"/>
    <w:rsid w:val="008E5D27"/>
    <w:rsid w:val="008F28EC"/>
    <w:rsid w:val="008F7FDF"/>
    <w:rsid w:val="0090418F"/>
    <w:rsid w:val="00911788"/>
    <w:rsid w:val="009200EC"/>
    <w:rsid w:val="0092034A"/>
    <w:rsid w:val="00932A57"/>
    <w:rsid w:val="00943EE3"/>
    <w:rsid w:val="00956018"/>
    <w:rsid w:val="00976ACF"/>
    <w:rsid w:val="009824F7"/>
    <w:rsid w:val="00984F05"/>
    <w:rsid w:val="009960A5"/>
    <w:rsid w:val="00996707"/>
    <w:rsid w:val="009A3935"/>
    <w:rsid w:val="009B54CF"/>
    <w:rsid w:val="009B5528"/>
    <w:rsid w:val="009E2030"/>
    <w:rsid w:val="009F4BB6"/>
    <w:rsid w:val="009F4CC2"/>
    <w:rsid w:val="00A07F98"/>
    <w:rsid w:val="00A141DE"/>
    <w:rsid w:val="00A2447A"/>
    <w:rsid w:val="00A24966"/>
    <w:rsid w:val="00A35E91"/>
    <w:rsid w:val="00A3603F"/>
    <w:rsid w:val="00A67F6C"/>
    <w:rsid w:val="00A76A59"/>
    <w:rsid w:val="00A865D6"/>
    <w:rsid w:val="00A97E96"/>
    <w:rsid w:val="00AC3CEA"/>
    <w:rsid w:val="00AD70F1"/>
    <w:rsid w:val="00AE48B6"/>
    <w:rsid w:val="00AE652C"/>
    <w:rsid w:val="00AE7791"/>
    <w:rsid w:val="00AF54B4"/>
    <w:rsid w:val="00B00B15"/>
    <w:rsid w:val="00B1372E"/>
    <w:rsid w:val="00B1513E"/>
    <w:rsid w:val="00B406FE"/>
    <w:rsid w:val="00B41AA6"/>
    <w:rsid w:val="00B54413"/>
    <w:rsid w:val="00B75D6C"/>
    <w:rsid w:val="00B823D7"/>
    <w:rsid w:val="00B85F08"/>
    <w:rsid w:val="00B930F4"/>
    <w:rsid w:val="00BB39EC"/>
    <w:rsid w:val="00BB7EAC"/>
    <w:rsid w:val="00BE6414"/>
    <w:rsid w:val="00BF52F9"/>
    <w:rsid w:val="00C11463"/>
    <w:rsid w:val="00C26177"/>
    <w:rsid w:val="00C32032"/>
    <w:rsid w:val="00C55139"/>
    <w:rsid w:val="00C728AA"/>
    <w:rsid w:val="00CC2629"/>
    <w:rsid w:val="00CE17C3"/>
    <w:rsid w:val="00CE7B65"/>
    <w:rsid w:val="00CF1E10"/>
    <w:rsid w:val="00D00310"/>
    <w:rsid w:val="00D12612"/>
    <w:rsid w:val="00D15364"/>
    <w:rsid w:val="00D164EE"/>
    <w:rsid w:val="00D20C77"/>
    <w:rsid w:val="00D25743"/>
    <w:rsid w:val="00D27F6F"/>
    <w:rsid w:val="00D45825"/>
    <w:rsid w:val="00D538AB"/>
    <w:rsid w:val="00D56517"/>
    <w:rsid w:val="00D63EC1"/>
    <w:rsid w:val="00D90A53"/>
    <w:rsid w:val="00DA3085"/>
    <w:rsid w:val="00DB602A"/>
    <w:rsid w:val="00DB6CA6"/>
    <w:rsid w:val="00DB7A17"/>
    <w:rsid w:val="00E100F1"/>
    <w:rsid w:val="00E53960"/>
    <w:rsid w:val="00E636FA"/>
    <w:rsid w:val="00E6460C"/>
    <w:rsid w:val="00E759DA"/>
    <w:rsid w:val="00ED764B"/>
    <w:rsid w:val="00EF0383"/>
    <w:rsid w:val="00EF2B79"/>
    <w:rsid w:val="00EF3945"/>
    <w:rsid w:val="00F02F42"/>
    <w:rsid w:val="00F03FFA"/>
    <w:rsid w:val="00F17513"/>
    <w:rsid w:val="00F214E7"/>
    <w:rsid w:val="00F22C57"/>
    <w:rsid w:val="00F23C35"/>
    <w:rsid w:val="00F2488C"/>
    <w:rsid w:val="00F45F73"/>
    <w:rsid w:val="00F95243"/>
    <w:rsid w:val="00F96C98"/>
    <w:rsid w:val="00FE3C3E"/>
    <w:rsid w:val="00FF6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2E96"/>
  <w15:docId w15:val="{BB31D839-9D46-42F4-B329-04D622BC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4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02F42"/>
    <w:rPr>
      <w:sz w:val="16"/>
      <w:szCs w:val="16"/>
    </w:rPr>
  </w:style>
  <w:style w:type="paragraph" w:styleId="Commentaire">
    <w:name w:val="annotation text"/>
    <w:basedOn w:val="Normal"/>
    <w:link w:val="CommentaireCar"/>
    <w:uiPriority w:val="99"/>
    <w:semiHidden/>
    <w:unhideWhenUsed/>
    <w:qFormat/>
    <w:rsid w:val="00F02F42"/>
    <w:pPr>
      <w:spacing w:line="240" w:lineRule="auto"/>
    </w:pPr>
    <w:rPr>
      <w:sz w:val="20"/>
      <w:szCs w:val="20"/>
    </w:rPr>
  </w:style>
  <w:style w:type="character" w:customStyle="1" w:styleId="CommentaireCar">
    <w:name w:val="Commentaire Car"/>
    <w:basedOn w:val="Policepardfaut"/>
    <w:link w:val="Commentaire"/>
    <w:uiPriority w:val="99"/>
    <w:semiHidden/>
    <w:qFormat/>
    <w:rsid w:val="00F02F42"/>
    <w:rPr>
      <w:sz w:val="20"/>
      <w:szCs w:val="20"/>
    </w:rPr>
  </w:style>
  <w:style w:type="paragraph" w:styleId="Textedebulles">
    <w:name w:val="Balloon Text"/>
    <w:basedOn w:val="Normal"/>
    <w:link w:val="TextedebullesCar"/>
    <w:uiPriority w:val="99"/>
    <w:semiHidden/>
    <w:unhideWhenUsed/>
    <w:rsid w:val="00F02F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F42"/>
    <w:rPr>
      <w:rFonts w:ascii="Segoe UI" w:hAnsi="Segoe UI" w:cs="Segoe UI"/>
      <w:sz w:val="18"/>
      <w:szCs w:val="18"/>
    </w:rPr>
  </w:style>
  <w:style w:type="paragraph" w:styleId="Bibliographie">
    <w:name w:val="Bibliography"/>
    <w:basedOn w:val="Normal"/>
    <w:next w:val="Normal"/>
    <w:uiPriority w:val="37"/>
    <w:unhideWhenUsed/>
    <w:rsid w:val="00F02F42"/>
    <w:pPr>
      <w:tabs>
        <w:tab w:val="left" w:pos="384"/>
      </w:tabs>
      <w:spacing w:after="0" w:line="240" w:lineRule="auto"/>
      <w:ind w:left="384" w:hanging="384"/>
    </w:pPr>
  </w:style>
  <w:style w:type="table" w:styleId="Grilledutableau">
    <w:name w:val="Table Grid"/>
    <w:basedOn w:val="TableauNormal"/>
    <w:uiPriority w:val="39"/>
    <w:rsid w:val="003A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2F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4509BB"/>
    <w:rPr>
      <w:b/>
      <w:bCs/>
    </w:rPr>
  </w:style>
  <w:style w:type="character" w:customStyle="1" w:styleId="ObjetducommentaireCar">
    <w:name w:val="Objet du commentaire Car"/>
    <w:basedOn w:val="CommentaireCar"/>
    <w:link w:val="Objetducommentaire"/>
    <w:uiPriority w:val="99"/>
    <w:semiHidden/>
    <w:rsid w:val="004509BB"/>
    <w:rPr>
      <w:b/>
      <w:bCs/>
      <w:sz w:val="20"/>
      <w:szCs w:val="20"/>
    </w:rPr>
  </w:style>
  <w:style w:type="paragraph" w:styleId="En-tte">
    <w:name w:val="header"/>
    <w:basedOn w:val="Normal"/>
    <w:link w:val="En-tteCar"/>
    <w:uiPriority w:val="99"/>
    <w:unhideWhenUsed/>
    <w:rsid w:val="008F7FDF"/>
    <w:pPr>
      <w:tabs>
        <w:tab w:val="center" w:pos="4536"/>
        <w:tab w:val="right" w:pos="9072"/>
      </w:tabs>
      <w:spacing w:after="0" w:line="240" w:lineRule="auto"/>
    </w:pPr>
  </w:style>
  <w:style w:type="character" w:customStyle="1" w:styleId="En-tteCar">
    <w:name w:val="En-tête Car"/>
    <w:basedOn w:val="Policepardfaut"/>
    <w:link w:val="En-tte"/>
    <w:uiPriority w:val="99"/>
    <w:rsid w:val="008F7FDF"/>
  </w:style>
  <w:style w:type="paragraph" w:styleId="Pieddepage">
    <w:name w:val="footer"/>
    <w:basedOn w:val="Normal"/>
    <w:link w:val="PieddepageCar"/>
    <w:uiPriority w:val="99"/>
    <w:unhideWhenUsed/>
    <w:rsid w:val="008F7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FDF"/>
  </w:style>
  <w:style w:type="paragraph" w:styleId="Rvision">
    <w:name w:val="Revision"/>
    <w:hidden/>
    <w:uiPriority w:val="99"/>
    <w:semiHidden/>
    <w:rsid w:val="00326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6089">
      <w:bodyDiv w:val="1"/>
      <w:marLeft w:val="0"/>
      <w:marRight w:val="0"/>
      <w:marTop w:val="0"/>
      <w:marBottom w:val="0"/>
      <w:divBdr>
        <w:top w:val="none" w:sz="0" w:space="0" w:color="auto"/>
        <w:left w:val="none" w:sz="0" w:space="0" w:color="auto"/>
        <w:bottom w:val="none" w:sz="0" w:space="0" w:color="auto"/>
        <w:right w:val="none" w:sz="0" w:space="0" w:color="auto"/>
      </w:divBdr>
      <w:divsChild>
        <w:div w:id="1451820269">
          <w:marLeft w:val="547"/>
          <w:marRight w:val="0"/>
          <w:marTop w:val="200"/>
          <w:marBottom w:val="0"/>
          <w:divBdr>
            <w:top w:val="none" w:sz="0" w:space="0" w:color="auto"/>
            <w:left w:val="none" w:sz="0" w:space="0" w:color="auto"/>
            <w:bottom w:val="none" w:sz="0" w:space="0" w:color="auto"/>
            <w:right w:val="none" w:sz="0" w:space="0" w:color="auto"/>
          </w:divBdr>
        </w:div>
        <w:div w:id="366027255">
          <w:marLeft w:val="1166"/>
          <w:marRight w:val="0"/>
          <w:marTop w:val="200"/>
          <w:marBottom w:val="0"/>
          <w:divBdr>
            <w:top w:val="none" w:sz="0" w:space="0" w:color="auto"/>
            <w:left w:val="none" w:sz="0" w:space="0" w:color="auto"/>
            <w:bottom w:val="none" w:sz="0" w:space="0" w:color="auto"/>
            <w:right w:val="none" w:sz="0" w:space="0" w:color="auto"/>
          </w:divBdr>
        </w:div>
        <w:div w:id="1540433053">
          <w:marLeft w:val="1166"/>
          <w:marRight w:val="0"/>
          <w:marTop w:val="200"/>
          <w:marBottom w:val="0"/>
          <w:divBdr>
            <w:top w:val="none" w:sz="0" w:space="0" w:color="auto"/>
            <w:left w:val="none" w:sz="0" w:space="0" w:color="auto"/>
            <w:bottom w:val="none" w:sz="0" w:space="0" w:color="auto"/>
            <w:right w:val="none" w:sz="0" w:space="0" w:color="auto"/>
          </w:divBdr>
        </w:div>
        <w:div w:id="1182860644">
          <w:marLeft w:val="1166"/>
          <w:marRight w:val="0"/>
          <w:marTop w:val="200"/>
          <w:marBottom w:val="0"/>
          <w:divBdr>
            <w:top w:val="none" w:sz="0" w:space="0" w:color="auto"/>
            <w:left w:val="none" w:sz="0" w:space="0" w:color="auto"/>
            <w:bottom w:val="none" w:sz="0" w:space="0" w:color="auto"/>
            <w:right w:val="none" w:sz="0" w:space="0" w:color="auto"/>
          </w:divBdr>
        </w:div>
        <w:div w:id="919558088">
          <w:marLeft w:val="547"/>
          <w:marRight w:val="0"/>
          <w:marTop w:val="200"/>
          <w:marBottom w:val="0"/>
          <w:divBdr>
            <w:top w:val="none" w:sz="0" w:space="0" w:color="auto"/>
            <w:left w:val="none" w:sz="0" w:space="0" w:color="auto"/>
            <w:bottom w:val="none" w:sz="0" w:space="0" w:color="auto"/>
            <w:right w:val="none" w:sz="0" w:space="0" w:color="auto"/>
          </w:divBdr>
        </w:div>
        <w:div w:id="889733043">
          <w:marLeft w:val="1166"/>
          <w:marRight w:val="0"/>
          <w:marTop w:val="200"/>
          <w:marBottom w:val="0"/>
          <w:divBdr>
            <w:top w:val="none" w:sz="0" w:space="0" w:color="auto"/>
            <w:left w:val="none" w:sz="0" w:space="0" w:color="auto"/>
            <w:bottom w:val="none" w:sz="0" w:space="0" w:color="auto"/>
            <w:right w:val="none" w:sz="0" w:space="0" w:color="auto"/>
          </w:divBdr>
        </w:div>
        <w:div w:id="1044982271">
          <w:marLeft w:val="1166"/>
          <w:marRight w:val="0"/>
          <w:marTop w:val="200"/>
          <w:marBottom w:val="0"/>
          <w:divBdr>
            <w:top w:val="none" w:sz="0" w:space="0" w:color="auto"/>
            <w:left w:val="none" w:sz="0" w:space="0" w:color="auto"/>
            <w:bottom w:val="none" w:sz="0" w:space="0" w:color="auto"/>
            <w:right w:val="none" w:sz="0" w:space="0" w:color="auto"/>
          </w:divBdr>
        </w:div>
        <w:div w:id="440534950">
          <w:marLeft w:val="1166"/>
          <w:marRight w:val="0"/>
          <w:marTop w:val="200"/>
          <w:marBottom w:val="0"/>
          <w:divBdr>
            <w:top w:val="none" w:sz="0" w:space="0" w:color="auto"/>
            <w:left w:val="none" w:sz="0" w:space="0" w:color="auto"/>
            <w:bottom w:val="none" w:sz="0" w:space="0" w:color="auto"/>
            <w:right w:val="none" w:sz="0" w:space="0" w:color="auto"/>
          </w:divBdr>
        </w:div>
        <w:div w:id="896429219">
          <w:marLeft w:val="1166"/>
          <w:marRight w:val="0"/>
          <w:marTop w:val="200"/>
          <w:marBottom w:val="0"/>
          <w:divBdr>
            <w:top w:val="none" w:sz="0" w:space="0" w:color="auto"/>
            <w:left w:val="none" w:sz="0" w:space="0" w:color="auto"/>
            <w:bottom w:val="none" w:sz="0" w:space="0" w:color="auto"/>
            <w:right w:val="none" w:sz="0" w:space="0" w:color="auto"/>
          </w:divBdr>
        </w:div>
        <w:div w:id="784693696">
          <w:marLeft w:val="547"/>
          <w:marRight w:val="0"/>
          <w:marTop w:val="200"/>
          <w:marBottom w:val="0"/>
          <w:divBdr>
            <w:top w:val="none" w:sz="0" w:space="0" w:color="auto"/>
            <w:left w:val="none" w:sz="0" w:space="0" w:color="auto"/>
            <w:bottom w:val="none" w:sz="0" w:space="0" w:color="auto"/>
            <w:right w:val="none" w:sz="0" w:space="0" w:color="auto"/>
          </w:divBdr>
        </w:div>
        <w:div w:id="705718384">
          <w:marLeft w:val="1166"/>
          <w:marRight w:val="0"/>
          <w:marTop w:val="200"/>
          <w:marBottom w:val="0"/>
          <w:divBdr>
            <w:top w:val="none" w:sz="0" w:space="0" w:color="auto"/>
            <w:left w:val="none" w:sz="0" w:space="0" w:color="auto"/>
            <w:bottom w:val="none" w:sz="0" w:space="0" w:color="auto"/>
            <w:right w:val="none" w:sz="0" w:space="0" w:color="auto"/>
          </w:divBdr>
        </w:div>
        <w:div w:id="260573543">
          <w:marLeft w:val="1166"/>
          <w:marRight w:val="0"/>
          <w:marTop w:val="200"/>
          <w:marBottom w:val="0"/>
          <w:divBdr>
            <w:top w:val="none" w:sz="0" w:space="0" w:color="auto"/>
            <w:left w:val="none" w:sz="0" w:space="0" w:color="auto"/>
            <w:bottom w:val="none" w:sz="0" w:space="0" w:color="auto"/>
            <w:right w:val="none" w:sz="0" w:space="0" w:color="auto"/>
          </w:divBdr>
        </w:div>
        <w:div w:id="59254857">
          <w:marLeft w:val="1166"/>
          <w:marRight w:val="0"/>
          <w:marTop w:val="200"/>
          <w:marBottom w:val="0"/>
          <w:divBdr>
            <w:top w:val="none" w:sz="0" w:space="0" w:color="auto"/>
            <w:left w:val="none" w:sz="0" w:space="0" w:color="auto"/>
            <w:bottom w:val="none" w:sz="0" w:space="0" w:color="auto"/>
            <w:right w:val="none" w:sz="0" w:space="0" w:color="auto"/>
          </w:divBdr>
        </w:div>
      </w:divsChild>
    </w:div>
    <w:div w:id="1102528642">
      <w:bodyDiv w:val="1"/>
      <w:marLeft w:val="0"/>
      <w:marRight w:val="0"/>
      <w:marTop w:val="0"/>
      <w:marBottom w:val="0"/>
      <w:divBdr>
        <w:top w:val="none" w:sz="0" w:space="0" w:color="auto"/>
        <w:left w:val="none" w:sz="0" w:space="0" w:color="auto"/>
        <w:bottom w:val="none" w:sz="0" w:space="0" w:color="auto"/>
        <w:right w:val="none" w:sz="0" w:space="0" w:color="auto"/>
      </w:divBdr>
    </w:div>
    <w:div w:id="1269386400">
      <w:bodyDiv w:val="1"/>
      <w:marLeft w:val="0"/>
      <w:marRight w:val="0"/>
      <w:marTop w:val="0"/>
      <w:marBottom w:val="0"/>
      <w:divBdr>
        <w:top w:val="none" w:sz="0" w:space="0" w:color="auto"/>
        <w:left w:val="none" w:sz="0" w:space="0" w:color="auto"/>
        <w:bottom w:val="none" w:sz="0" w:space="0" w:color="auto"/>
        <w:right w:val="none" w:sz="0" w:space="0" w:color="auto"/>
      </w:divBdr>
    </w:div>
    <w:div w:id="1451901873">
      <w:bodyDiv w:val="1"/>
      <w:marLeft w:val="0"/>
      <w:marRight w:val="0"/>
      <w:marTop w:val="0"/>
      <w:marBottom w:val="0"/>
      <w:divBdr>
        <w:top w:val="none" w:sz="0" w:space="0" w:color="auto"/>
        <w:left w:val="none" w:sz="0" w:space="0" w:color="auto"/>
        <w:bottom w:val="none" w:sz="0" w:space="0" w:color="auto"/>
        <w:right w:val="none" w:sz="0" w:space="0" w:color="auto"/>
      </w:divBdr>
    </w:div>
    <w:div w:id="1636641615">
      <w:bodyDiv w:val="1"/>
      <w:marLeft w:val="0"/>
      <w:marRight w:val="0"/>
      <w:marTop w:val="0"/>
      <w:marBottom w:val="0"/>
      <w:divBdr>
        <w:top w:val="none" w:sz="0" w:space="0" w:color="auto"/>
        <w:left w:val="none" w:sz="0" w:space="0" w:color="auto"/>
        <w:bottom w:val="none" w:sz="0" w:space="0" w:color="auto"/>
        <w:right w:val="none" w:sz="0" w:space="0" w:color="auto"/>
      </w:divBdr>
      <w:divsChild>
        <w:div w:id="1153715797">
          <w:marLeft w:val="547"/>
          <w:marRight w:val="0"/>
          <w:marTop w:val="200"/>
          <w:marBottom w:val="0"/>
          <w:divBdr>
            <w:top w:val="none" w:sz="0" w:space="0" w:color="auto"/>
            <w:left w:val="none" w:sz="0" w:space="0" w:color="auto"/>
            <w:bottom w:val="none" w:sz="0" w:space="0" w:color="auto"/>
            <w:right w:val="none" w:sz="0" w:space="0" w:color="auto"/>
          </w:divBdr>
        </w:div>
        <w:div w:id="29841583">
          <w:marLeft w:val="1166"/>
          <w:marRight w:val="0"/>
          <w:marTop w:val="200"/>
          <w:marBottom w:val="0"/>
          <w:divBdr>
            <w:top w:val="none" w:sz="0" w:space="0" w:color="auto"/>
            <w:left w:val="none" w:sz="0" w:space="0" w:color="auto"/>
            <w:bottom w:val="none" w:sz="0" w:space="0" w:color="auto"/>
            <w:right w:val="none" w:sz="0" w:space="0" w:color="auto"/>
          </w:divBdr>
        </w:div>
        <w:div w:id="2004429399">
          <w:marLeft w:val="1166"/>
          <w:marRight w:val="0"/>
          <w:marTop w:val="200"/>
          <w:marBottom w:val="0"/>
          <w:divBdr>
            <w:top w:val="none" w:sz="0" w:space="0" w:color="auto"/>
            <w:left w:val="none" w:sz="0" w:space="0" w:color="auto"/>
            <w:bottom w:val="none" w:sz="0" w:space="0" w:color="auto"/>
            <w:right w:val="none" w:sz="0" w:space="0" w:color="auto"/>
          </w:divBdr>
        </w:div>
        <w:div w:id="1591505350">
          <w:marLeft w:val="1166"/>
          <w:marRight w:val="0"/>
          <w:marTop w:val="200"/>
          <w:marBottom w:val="0"/>
          <w:divBdr>
            <w:top w:val="none" w:sz="0" w:space="0" w:color="auto"/>
            <w:left w:val="none" w:sz="0" w:space="0" w:color="auto"/>
            <w:bottom w:val="none" w:sz="0" w:space="0" w:color="auto"/>
            <w:right w:val="none" w:sz="0" w:space="0" w:color="auto"/>
          </w:divBdr>
        </w:div>
      </w:divsChild>
    </w:div>
    <w:div w:id="18519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tiff"/><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17486</Words>
  <Characters>96174</Characters>
  <Application>Microsoft Office Word</Application>
  <DocSecurity>0</DocSecurity>
  <Lines>801</Lines>
  <Paragraphs>226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EUGENE MARQUIS</Company>
  <LinksUpToDate>false</LinksUpToDate>
  <CharactersWithSpaces>113434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EDELINE Julien</dc:creator>
  <cp:lastModifiedBy>EDELINE Julien</cp:lastModifiedBy>
  <cp:revision>12</cp:revision>
  <dcterms:created xsi:type="dcterms:W3CDTF">2021-03-18T16:48:00Z</dcterms:created>
  <dcterms:modified xsi:type="dcterms:W3CDTF">2021-03-23T10:47:00Z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id="ZdoM7XwB"/&gt;&lt;style id="http://www.zotero.org/styles/journal-of-hepatology"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