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16AD" w14:textId="77777777" w:rsidR="00895F8F" w:rsidRDefault="00895F8F" w:rsidP="00895F8F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Table 3: BAPS-CASS: Principal publication record listed by subject of interest</w:t>
      </w:r>
    </w:p>
    <w:p w14:paraId="5396D060" w14:textId="77777777" w:rsidR="00895F8F" w:rsidRDefault="00895F8F" w:rsidP="00895F8F"/>
    <w:tbl>
      <w:tblPr>
        <w:tblStyle w:val="TableGrid"/>
        <w:tblW w:w="7811" w:type="dxa"/>
        <w:tblLayout w:type="fixed"/>
        <w:tblLook w:val="04A0" w:firstRow="1" w:lastRow="0" w:firstColumn="1" w:lastColumn="0" w:noHBand="0" w:noVBand="1"/>
      </w:tblPr>
      <w:tblGrid>
        <w:gridCol w:w="1555"/>
        <w:gridCol w:w="1681"/>
        <w:gridCol w:w="1100"/>
        <w:gridCol w:w="2340"/>
        <w:gridCol w:w="1135"/>
      </w:tblGrid>
      <w:tr w:rsidR="00895F8F" w14:paraId="7CA2D714" w14:textId="77777777" w:rsidTr="00A02845">
        <w:tc>
          <w:tcPr>
            <w:tcW w:w="1555" w:type="dxa"/>
          </w:tcPr>
          <w:p w14:paraId="5BC4D182" w14:textId="77777777" w:rsidR="00895F8F" w:rsidRDefault="00895F8F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681" w:type="dxa"/>
          </w:tcPr>
          <w:p w14:paraId="28A651E1" w14:textId="77777777" w:rsidR="00895F8F" w:rsidRDefault="00895F8F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Principal Publication Title</w:t>
            </w:r>
          </w:p>
        </w:tc>
        <w:tc>
          <w:tcPr>
            <w:tcW w:w="1100" w:type="dxa"/>
          </w:tcPr>
          <w:p w14:paraId="0F9FDC90" w14:textId="77777777" w:rsidR="00895F8F" w:rsidRDefault="00895F8F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Citations</w:t>
            </w:r>
          </w:p>
          <w:p w14:paraId="02DD4028" w14:textId="77777777" w:rsidR="00895F8F" w:rsidRDefault="00895F8F" w:rsidP="00A028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CF2E8B6" w14:textId="77777777" w:rsidR="00895F8F" w:rsidRDefault="00895F8F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1135" w:type="dxa"/>
          </w:tcPr>
          <w:p w14:paraId="0DD69871" w14:textId="77777777" w:rsidR="00895F8F" w:rsidRDefault="00895F8F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FWCI*</w:t>
            </w:r>
          </w:p>
        </w:tc>
      </w:tr>
      <w:tr w:rsidR="00895F8F" w14:paraId="3A6AB105" w14:textId="77777777" w:rsidTr="00A02845">
        <w:tc>
          <w:tcPr>
            <w:tcW w:w="1555" w:type="dxa"/>
          </w:tcPr>
          <w:p w14:paraId="0E2204AB" w14:textId="77777777" w:rsidR="00895F8F" w:rsidRDefault="00895F8F" w:rsidP="00A02845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Gastroschisis</w:t>
            </w:r>
          </w:p>
        </w:tc>
        <w:tc>
          <w:tcPr>
            <w:tcW w:w="1681" w:type="dxa"/>
          </w:tcPr>
          <w:p w14:paraId="4A19C4E6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Gastroschisis: A national cohort study to describe contemporary surgical strategies and outcomes</w:t>
            </w:r>
          </w:p>
        </w:tc>
        <w:tc>
          <w:tcPr>
            <w:tcW w:w="1100" w:type="dxa"/>
          </w:tcPr>
          <w:p w14:paraId="59A38EE9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2340" w:type="dxa"/>
          </w:tcPr>
          <w:p w14:paraId="72AE54F0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Bradnock TJ, Marven S, Owen A, et al.  J </w:t>
            </w:r>
            <w:proofErr w:type="spellStart"/>
            <w:r>
              <w:rPr>
                <w:rFonts w:eastAsia="Calibri"/>
                <w:sz w:val="16"/>
                <w:szCs w:val="16"/>
              </w:rPr>
              <w:t>Pediatr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Surg.</w:t>
            </w:r>
          </w:p>
          <w:p w14:paraId="1BD12645" w14:textId="77777777" w:rsidR="00895F8F" w:rsidRDefault="00895F8F" w:rsidP="00A0284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2010; 45:1808-1816.</w:t>
            </w:r>
          </w:p>
          <w:p w14:paraId="24FD624A" w14:textId="2FD39E40" w:rsidR="00652C8F" w:rsidRDefault="00530341" w:rsidP="00A02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[20]</w:t>
            </w:r>
          </w:p>
        </w:tc>
        <w:tc>
          <w:tcPr>
            <w:tcW w:w="1135" w:type="dxa"/>
          </w:tcPr>
          <w:p w14:paraId="27B08853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6.8</w:t>
            </w:r>
          </w:p>
        </w:tc>
      </w:tr>
      <w:tr w:rsidR="00895F8F" w14:paraId="31C5081E" w14:textId="77777777" w:rsidTr="00A02845">
        <w:tc>
          <w:tcPr>
            <w:tcW w:w="1555" w:type="dxa"/>
          </w:tcPr>
          <w:p w14:paraId="2A15D0A1" w14:textId="77777777" w:rsidR="00895F8F" w:rsidRDefault="00895F8F" w:rsidP="00A02845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Oesophageal atresia</w:t>
            </w:r>
          </w:p>
        </w:tc>
        <w:tc>
          <w:tcPr>
            <w:tcW w:w="1681" w:type="dxa"/>
          </w:tcPr>
          <w:p w14:paraId="21F172BA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Contemporary management and outcomes for infants born with oesophageal atresia</w:t>
            </w:r>
          </w:p>
        </w:tc>
        <w:tc>
          <w:tcPr>
            <w:tcW w:w="1100" w:type="dxa"/>
          </w:tcPr>
          <w:p w14:paraId="46CB12ED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2340" w:type="dxa"/>
          </w:tcPr>
          <w:p w14:paraId="6DAB6E7D" w14:textId="77777777" w:rsidR="00895F8F" w:rsidRDefault="00895F8F" w:rsidP="00A0284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Burge DM, Shah K, Spark P et al. Brit J </w:t>
            </w:r>
            <w:proofErr w:type="spellStart"/>
            <w:r>
              <w:rPr>
                <w:rFonts w:eastAsia="Calibri"/>
                <w:sz w:val="16"/>
                <w:szCs w:val="16"/>
              </w:rPr>
              <w:t>Surg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2013;100: 515-521.</w:t>
            </w:r>
          </w:p>
          <w:p w14:paraId="77A1E144" w14:textId="64CEE26A" w:rsidR="00530341" w:rsidRDefault="00530341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[21]</w:t>
            </w:r>
          </w:p>
        </w:tc>
        <w:tc>
          <w:tcPr>
            <w:tcW w:w="1135" w:type="dxa"/>
          </w:tcPr>
          <w:p w14:paraId="184BDF5F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2.74</w:t>
            </w:r>
          </w:p>
        </w:tc>
      </w:tr>
      <w:tr w:rsidR="00895F8F" w14:paraId="7F1B0E73" w14:textId="77777777" w:rsidTr="00A02845">
        <w:tc>
          <w:tcPr>
            <w:tcW w:w="1555" w:type="dxa"/>
          </w:tcPr>
          <w:p w14:paraId="6ED5411C" w14:textId="77777777" w:rsidR="00895F8F" w:rsidRDefault="00895F8F" w:rsidP="00A02845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Diaphragmatic hernia</w:t>
            </w:r>
          </w:p>
        </w:tc>
        <w:tc>
          <w:tcPr>
            <w:tcW w:w="1681" w:type="dxa"/>
          </w:tcPr>
          <w:p w14:paraId="062FC3B0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Early population-based outcomes of infants born with congenital diaphragmatic hernia</w:t>
            </w:r>
          </w:p>
        </w:tc>
        <w:tc>
          <w:tcPr>
            <w:tcW w:w="1100" w:type="dxa"/>
          </w:tcPr>
          <w:p w14:paraId="7172FBCB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340" w:type="dxa"/>
          </w:tcPr>
          <w:p w14:paraId="3B5CB341" w14:textId="77777777" w:rsidR="00895F8F" w:rsidRDefault="00895F8F" w:rsidP="00A0284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Long A-M, Bunch KJ, Knight M. Losty PD et al. Arch Dis Child 2018; 103: F517-F522</w:t>
            </w:r>
          </w:p>
          <w:p w14:paraId="6332982D" w14:textId="0DD7B6C8" w:rsidR="00530341" w:rsidRDefault="00530341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[22]</w:t>
            </w:r>
          </w:p>
        </w:tc>
        <w:tc>
          <w:tcPr>
            <w:tcW w:w="1135" w:type="dxa"/>
          </w:tcPr>
          <w:p w14:paraId="2704D2E3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3.02</w:t>
            </w:r>
          </w:p>
        </w:tc>
      </w:tr>
      <w:tr w:rsidR="00895F8F" w14:paraId="5C273021" w14:textId="77777777" w:rsidTr="00A02845">
        <w:tc>
          <w:tcPr>
            <w:tcW w:w="1555" w:type="dxa"/>
          </w:tcPr>
          <w:p w14:paraId="4C0656A0" w14:textId="77777777" w:rsidR="00895F8F" w:rsidRDefault="00895F8F" w:rsidP="00A02845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Necrotising enterocolitis</w:t>
            </w:r>
          </w:p>
        </w:tc>
        <w:tc>
          <w:tcPr>
            <w:tcW w:w="1681" w:type="dxa"/>
          </w:tcPr>
          <w:p w14:paraId="2A3613EA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 UK wide cohort study describing management and outcomes for infants with surgical Necrotising Enterocolitis</w:t>
            </w:r>
          </w:p>
        </w:tc>
        <w:tc>
          <w:tcPr>
            <w:tcW w:w="1100" w:type="dxa"/>
          </w:tcPr>
          <w:p w14:paraId="77A6BF09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40" w:type="dxa"/>
          </w:tcPr>
          <w:p w14:paraId="52FBC3F7" w14:textId="77777777" w:rsidR="00895F8F" w:rsidRDefault="00895F8F" w:rsidP="00A02845">
            <w:pPr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Allin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BSR, Long A-M, Gupta A, et al. Arch Dis Child. 2018;</w:t>
            </w:r>
          </w:p>
          <w:p w14:paraId="1F99B2C6" w14:textId="1AC0627B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103: F461-F466.</w:t>
            </w:r>
            <w:r w:rsidR="00530341">
              <w:rPr>
                <w:rFonts w:eastAsia="Calibri"/>
                <w:sz w:val="16"/>
                <w:szCs w:val="16"/>
              </w:rPr>
              <w:t xml:space="preserve"> [23]</w:t>
            </w:r>
          </w:p>
        </w:tc>
        <w:tc>
          <w:tcPr>
            <w:tcW w:w="1135" w:type="dxa"/>
          </w:tcPr>
          <w:p w14:paraId="666C19D0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0.81</w:t>
            </w:r>
          </w:p>
        </w:tc>
      </w:tr>
      <w:tr w:rsidR="00895F8F" w14:paraId="2A1D101A" w14:textId="77777777" w:rsidTr="00A02845">
        <w:tc>
          <w:tcPr>
            <w:tcW w:w="1555" w:type="dxa"/>
          </w:tcPr>
          <w:p w14:paraId="666E4D95" w14:textId="77777777" w:rsidR="00895F8F" w:rsidRDefault="00895F8F" w:rsidP="00A02845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Posterior urethral valves</w:t>
            </w:r>
          </w:p>
        </w:tc>
        <w:tc>
          <w:tcPr>
            <w:tcW w:w="1681" w:type="dxa"/>
          </w:tcPr>
          <w:p w14:paraId="30A3470A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Current epidemiology and antenatal presentation of posterior urethral valves: Outcome of BAPS CASS National Audit</w:t>
            </w:r>
          </w:p>
        </w:tc>
        <w:tc>
          <w:tcPr>
            <w:tcW w:w="1100" w:type="dxa"/>
          </w:tcPr>
          <w:p w14:paraId="02E9126B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40" w:type="dxa"/>
          </w:tcPr>
          <w:p w14:paraId="427446CC" w14:textId="065BC2A6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Brownlee E, Wragg R, Robb A et al.  J </w:t>
            </w:r>
            <w:proofErr w:type="spellStart"/>
            <w:r>
              <w:rPr>
                <w:rFonts w:eastAsia="Calibri"/>
                <w:sz w:val="16"/>
                <w:szCs w:val="16"/>
              </w:rPr>
              <w:t>Pediatr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Surg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2019; 54: 318-321.</w:t>
            </w:r>
            <w:r w:rsidR="00530341">
              <w:rPr>
                <w:rFonts w:eastAsia="Calibri"/>
                <w:sz w:val="16"/>
                <w:szCs w:val="16"/>
              </w:rPr>
              <w:t xml:space="preserve">  [24]</w:t>
            </w:r>
          </w:p>
        </w:tc>
        <w:tc>
          <w:tcPr>
            <w:tcW w:w="1135" w:type="dxa"/>
          </w:tcPr>
          <w:p w14:paraId="01CCD53C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1.4</w:t>
            </w:r>
          </w:p>
        </w:tc>
      </w:tr>
      <w:tr w:rsidR="00895F8F" w14:paraId="71D1ECA7" w14:textId="77777777" w:rsidTr="00A02845">
        <w:tc>
          <w:tcPr>
            <w:tcW w:w="1555" w:type="dxa"/>
          </w:tcPr>
          <w:p w14:paraId="37FF7CDB" w14:textId="77777777" w:rsidR="00895F8F" w:rsidRDefault="00895F8F" w:rsidP="00A02845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Duodenal obstruction</w:t>
            </w:r>
          </w:p>
        </w:tc>
        <w:tc>
          <w:tcPr>
            <w:tcW w:w="1681" w:type="dxa"/>
          </w:tcPr>
          <w:p w14:paraId="5F65AC02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Congenital duodenal obstruction in the UK: A population-based study</w:t>
            </w:r>
          </w:p>
        </w:tc>
        <w:tc>
          <w:tcPr>
            <w:tcW w:w="1100" w:type="dxa"/>
          </w:tcPr>
          <w:p w14:paraId="5A84A962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40" w:type="dxa"/>
          </w:tcPr>
          <w:p w14:paraId="2E62FA95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Bethell GS, Long A.-M, Knight M, Hall NJ. Arch Dis Child 2020;</w:t>
            </w:r>
          </w:p>
          <w:p w14:paraId="2633E1C6" w14:textId="00FC571B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105: F178-F183</w:t>
            </w:r>
            <w:r w:rsidR="00530341">
              <w:rPr>
                <w:rFonts w:eastAsia="Calibri"/>
                <w:sz w:val="16"/>
                <w:szCs w:val="16"/>
              </w:rPr>
              <w:t xml:space="preserve">  [25]</w:t>
            </w:r>
          </w:p>
        </w:tc>
        <w:tc>
          <w:tcPr>
            <w:tcW w:w="1135" w:type="dxa"/>
          </w:tcPr>
          <w:p w14:paraId="2F6932E3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3.4</w:t>
            </w:r>
          </w:p>
        </w:tc>
      </w:tr>
      <w:tr w:rsidR="00895F8F" w14:paraId="3C8EAFD4" w14:textId="77777777" w:rsidTr="00A02845">
        <w:tc>
          <w:tcPr>
            <w:tcW w:w="1555" w:type="dxa"/>
          </w:tcPr>
          <w:p w14:paraId="1D70B9BB" w14:textId="77777777" w:rsidR="00895F8F" w:rsidRDefault="00895F8F" w:rsidP="00A02845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Meconium ileus</w:t>
            </w:r>
          </w:p>
        </w:tc>
        <w:tc>
          <w:tcPr>
            <w:tcW w:w="1681" w:type="dxa"/>
          </w:tcPr>
          <w:p w14:paraId="0892068A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Early management of meconium ileus in infants with cystic fibrosis: A prospective population cohort study</w:t>
            </w:r>
          </w:p>
        </w:tc>
        <w:tc>
          <w:tcPr>
            <w:tcW w:w="1100" w:type="dxa"/>
          </w:tcPr>
          <w:p w14:paraId="65119A2C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340" w:type="dxa"/>
          </w:tcPr>
          <w:p w14:paraId="6F54731B" w14:textId="77777777" w:rsidR="00895F8F" w:rsidRDefault="00895F8F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Long A-M, Jones IH, Knight M et al.   J </w:t>
            </w:r>
            <w:proofErr w:type="spellStart"/>
            <w:r>
              <w:rPr>
                <w:rFonts w:eastAsia="Calibri"/>
                <w:sz w:val="16"/>
                <w:szCs w:val="16"/>
              </w:rPr>
              <w:t>Pediatr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Surg</w:t>
            </w:r>
            <w:proofErr w:type="spellEnd"/>
          </w:p>
          <w:p w14:paraId="695DE31F" w14:textId="77777777" w:rsidR="00895F8F" w:rsidRDefault="00895F8F" w:rsidP="00A0284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. 2021 Feb 24;S0022-</w:t>
            </w:r>
            <w:proofErr w:type="gramStart"/>
            <w:r>
              <w:rPr>
                <w:rFonts w:eastAsia="Calibri"/>
                <w:sz w:val="16"/>
                <w:szCs w:val="16"/>
              </w:rPr>
              <w:t>3468(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21)00181-0. </w:t>
            </w:r>
            <w:proofErr w:type="spellStart"/>
            <w:r>
              <w:rPr>
                <w:rFonts w:eastAsia="Calibri"/>
                <w:sz w:val="16"/>
                <w:szCs w:val="16"/>
              </w:rPr>
              <w:t>doi</w:t>
            </w:r>
            <w:proofErr w:type="spellEnd"/>
            <w:r>
              <w:rPr>
                <w:rFonts w:eastAsia="Calibri"/>
                <w:sz w:val="16"/>
                <w:szCs w:val="16"/>
              </w:rPr>
              <w:t>: 10.1016/j.jpedsurg.2021.02.047.</w:t>
            </w:r>
          </w:p>
          <w:p w14:paraId="15D0CCF2" w14:textId="67EBE589" w:rsidR="00530341" w:rsidRDefault="00530341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[26]</w:t>
            </w:r>
          </w:p>
        </w:tc>
        <w:tc>
          <w:tcPr>
            <w:tcW w:w="1135" w:type="dxa"/>
          </w:tcPr>
          <w:p w14:paraId="06531664" w14:textId="77777777" w:rsidR="00895F8F" w:rsidRDefault="00895F8F" w:rsidP="00A0284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0</w:t>
            </w:r>
            <w:bookmarkStart w:id="1" w:name="_Hlk71016673"/>
            <w:bookmarkEnd w:id="1"/>
          </w:p>
        </w:tc>
      </w:tr>
    </w:tbl>
    <w:p w14:paraId="48FC2604" w14:textId="77777777" w:rsidR="00895F8F" w:rsidRDefault="00895F8F" w:rsidP="00895F8F"/>
    <w:p w14:paraId="0C4B44AB" w14:textId="77777777" w:rsidR="00895F8F" w:rsidRDefault="00895F8F" w:rsidP="00895F8F">
      <w:r>
        <w:t>*FWCI – Field Weighted Citation Impact</w:t>
      </w:r>
    </w:p>
    <w:p w14:paraId="3E960619" w14:textId="77777777" w:rsidR="00895F8F" w:rsidRDefault="00895F8F" w:rsidP="00895F8F"/>
    <w:p w14:paraId="1C74CCD8" w14:textId="77777777" w:rsidR="00895F8F" w:rsidRDefault="00895F8F" w:rsidP="00895F8F"/>
    <w:p w14:paraId="31F0E0C6" w14:textId="77777777" w:rsidR="00A46CBC" w:rsidRDefault="00E5452C"/>
    <w:sectPr w:rsidR="00A46CB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F"/>
    <w:rsid w:val="001F2E6F"/>
    <w:rsid w:val="00266D98"/>
    <w:rsid w:val="00530341"/>
    <w:rsid w:val="00652C8F"/>
    <w:rsid w:val="00895F8F"/>
    <w:rsid w:val="00E5452C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38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8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8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8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8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Davenport</dc:creator>
  <cp:keywords/>
  <dc:description/>
  <cp:lastModifiedBy>paul losty</cp:lastModifiedBy>
  <cp:revision>2</cp:revision>
  <dcterms:created xsi:type="dcterms:W3CDTF">2021-07-29T14:44:00Z</dcterms:created>
  <dcterms:modified xsi:type="dcterms:W3CDTF">2021-07-29T14:44:00Z</dcterms:modified>
</cp:coreProperties>
</file>