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AA7E1B" w14:textId="06E136BD" w:rsidR="008F4997" w:rsidRPr="0011329B" w:rsidRDefault="000256E9" w:rsidP="00717DB1">
      <w:pPr>
        <w:rPr>
          <w:b/>
          <w:bCs/>
          <w:sz w:val="36"/>
          <w:szCs w:val="36"/>
          <w:lang w:val="en-GB"/>
        </w:rPr>
      </w:pPr>
      <w:r w:rsidRPr="0011329B">
        <w:rPr>
          <w:b/>
          <w:bCs/>
          <w:sz w:val="36"/>
          <w:szCs w:val="36"/>
          <w:lang w:val="en-GB"/>
        </w:rPr>
        <w:t xml:space="preserve">Redispersible </w:t>
      </w:r>
      <w:r w:rsidR="0006692F" w:rsidRPr="0011329B">
        <w:rPr>
          <w:b/>
          <w:bCs/>
          <w:sz w:val="36"/>
          <w:szCs w:val="36"/>
          <w:lang w:val="en-GB"/>
        </w:rPr>
        <w:t>Nanosuspensions</w:t>
      </w:r>
      <w:r w:rsidR="008F4997" w:rsidRPr="0011329B">
        <w:rPr>
          <w:b/>
          <w:bCs/>
          <w:sz w:val="36"/>
          <w:szCs w:val="36"/>
          <w:lang w:val="en-GB"/>
        </w:rPr>
        <w:t xml:space="preserve"> as a</w:t>
      </w:r>
      <w:r w:rsidR="00717DB1" w:rsidRPr="0011329B">
        <w:rPr>
          <w:b/>
          <w:bCs/>
          <w:sz w:val="36"/>
          <w:szCs w:val="36"/>
          <w:lang w:val="en-GB"/>
        </w:rPr>
        <w:t xml:space="preserve"> </w:t>
      </w:r>
      <w:r w:rsidRPr="0011329B">
        <w:rPr>
          <w:b/>
          <w:bCs/>
          <w:sz w:val="36"/>
          <w:szCs w:val="36"/>
          <w:lang w:val="en-GB"/>
        </w:rPr>
        <w:t>P</w:t>
      </w:r>
      <w:r w:rsidR="00717DB1" w:rsidRPr="0011329B">
        <w:rPr>
          <w:b/>
          <w:bCs/>
          <w:sz w:val="36"/>
          <w:szCs w:val="36"/>
          <w:lang w:val="en-GB"/>
        </w:rPr>
        <w:t>lausible O</w:t>
      </w:r>
      <w:r w:rsidR="008F4997" w:rsidRPr="0011329B">
        <w:rPr>
          <w:b/>
          <w:bCs/>
          <w:sz w:val="36"/>
          <w:szCs w:val="36"/>
          <w:lang w:val="en-GB"/>
        </w:rPr>
        <w:t>ral Delivery System for Curcumin</w:t>
      </w:r>
    </w:p>
    <w:p w14:paraId="37EA05C2" w14:textId="77777777" w:rsidR="00717DB1" w:rsidRPr="0011329B" w:rsidRDefault="00717DB1" w:rsidP="00F82FDC">
      <w:pPr>
        <w:rPr>
          <w:bCs/>
          <w:sz w:val="36"/>
          <w:szCs w:val="36"/>
        </w:rPr>
      </w:pPr>
    </w:p>
    <w:p w14:paraId="2E82FB23" w14:textId="00D45B3F" w:rsidR="00152104" w:rsidRPr="0011329B" w:rsidRDefault="008F4997" w:rsidP="00152104">
      <w:pPr>
        <w:pStyle w:val="RSCH02PaperAuthorsandByline"/>
        <w:spacing w:line="360" w:lineRule="auto"/>
        <w:rPr>
          <w:rFonts w:ascii="Times New Roman" w:hAnsi="Times New Roman"/>
          <w:sz w:val="24"/>
          <w:szCs w:val="24"/>
        </w:rPr>
      </w:pPr>
      <w:r w:rsidRPr="0011329B">
        <w:rPr>
          <w:rFonts w:ascii="Times New Roman" w:hAnsi="Times New Roman"/>
          <w:sz w:val="24"/>
          <w:szCs w:val="24"/>
        </w:rPr>
        <w:t>Nancy M. Elbaz</w:t>
      </w:r>
      <w:r w:rsidRPr="0011329B">
        <w:rPr>
          <w:rFonts w:ascii="Times New Roman" w:hAnsi="Times New Roman"/>
          <w:sz w:val="24"/>
          <w:szCs w:val="24"/>
          <w:vertAlign w:val="superscript"/>
        </w:rPr>
        <w:t xml:space="preserve"> a</w:t>
      </w:r>
      <w:r w:rsidRPr="0011329B">
        <w:rPr>
          <w:rFonts w:ascii="Times New Roman" w:hAnsi="Times New Roman"/>
          <w:sz w:val="24"/>
          <w:szCs w:val="24"/>
        </w:rPr>
        <w:t>, Lee M. Tatham</w:t>
      </w:r>
      <w:r w:rsidRPr="0011329B">
        <w:rPr>
          <w:rFonts w:ascii="Times New Roman" w:hAnsi="Times New Roman"/>
          <w:sz w:val="24"/>
          <w:szCs w:val="24"/>
          <w:vertAlign w:val="superscript"/>
        </w:rPr>
        <w:t xml:space="preserve"> b</w:t>
      </w:r>
      <w:r w:rsidRPr="0011329B">
        <w:rPr>
          <w:rFonts w:ascii="Times New Roman" w:hAnsi="Times New Roman"/>
          <w:sz w:val="24"/>
          <w:szCs w:val="24"/>
        </w:rPr>
        <w:t>, Andrew Owen</w:t>
      </w:r>
      <w:r w:rsidRPr="0011329B">
        <w:rPr>
          <w:rFonts w:ascii="Times New Roman" w:hAnsi="Times New Roman"/>
          <w:sz w:val="24"/>
          <w:szCs w:val="24"/>
          <w:vertAlign w:val="superscript"/>
        </w:rPr>
        <w:t xml:space="preserve"> b</w:t>
      </w:r>
      <w:r w:rsidRPr="0011329B">
        <w:rPr>
          <w:rFonts w:ascii="Times New Roman" w:hAnsi="Times New Roman"/>
          <w:sz w:val="24"/>
          <w:szCs w:val="24"/>
        </w:rPr>
        <w:t>, Steve Rannard</w:t>
      </w:r>
      <w:r w:rsidRPr="0011329B">
        <w:rPr>
          <w:rFonts w:ascii="Times New Roman" w:hAnsi="Times New Roman"/>
          <w:sz w:val="24"/>
          <w:szCs w:val="24"/>
          <w:vertAlign w:val="superscript"/>
        </w:rPr>
        <w:t xml:space="preserve"> a</w:t>
      </w:r>
      <w:r w:rsidR="002F10E8" w:rsidRPr="0011329B">
        <w:rPr>
          <w:rFonts w:ascii="Times New Roman" w:hAnsi="Times New Roman"/>
          <w:sz w:val="24"/>
          <w:szCs w:val="24"/>
        </w:rPr>
        <w:t xml:space="preserve">, </w:t>
      </w:r>
      <w:r w:rsidRPr="0011329B">
        <w:rPr>
          <w:rFonts w:ascii="Times New Roman" w:hAnsi="Times New Roman"/>
          <w:sz w:val="24"/>
          <w:szCs w:val="24"/>
        </w:rPr>
        <w:t>and Tom O. McDonald</w:t>
      </w:r>
      <w:r w:rsidRPr="0011329B">
        <w:rPr>
          <w:rFonts w:ascii="Times New Roman" w:hAnsi="Times New Roman"/>
          <w:sz w:val="24"/>
          <w:szCs w:val="24"/>
          <w:vertAlign w:val="superscript"/>
        </w:rPr>
        <w:t xml:space="preserve"> a </w:t>
      </w:r>
      <w:r w:rsidRPr="0011329B">
        <w:rPr>
          <w:rFonts w:ascii="Times New Roman" w:hAnsi="Times New Roman"/>
          <w:sz w:val="24"/>
          <w:szCs w:val="24"/>
        </w:rPr>
        <w:t>*</w:t>
      </w:r>
    </w:p>
    <w:p w14:paraId="71E94348" w14:textId="78C8517B" w:rsidR="00152104" w:rsidRPr="0011329B" w:rsidRDefault="00152104" w:rsidP="00152104">
      <w:pPr>
        <w:rPr>
          <w:lang w:val="en-GB"/>
        </w:rPr>
      </w:pPr>
      <w:r w:rsidRPr="0011329B">
        <w:rPr>
          <w:vertAlign w:val="superscript"/>
          <w:lang w:val="en-GB"/>
        </w:rPr>
        <w:t>a</w:t>
      </w:r>
      <w:r w:rsidRPr="0011329B">
        <w:rPr>
          <w:lang w:val="en-GB"/>
        </w:rPr>
        <w:t xml:space="preserve"> Department of Chemistry, University of Liverpool, Crown Street, Liverpool L69 7ZD, United Kingdom</w:t>
      </w:r>
    </w:p>
    <w:p w14:paraId="1CC70BA2" w14:textId="498673D4" w:rsidR="00152104" w:rsidRPr="0011329B" w:rsidRDefault="00152104" w:rsidP="00152104">
      <w:pPr>
        <w:rPr>
          <w:lang w:val="en-GB"/>
        </w:rPr>
      </w:pPr>
    </w:p>
    <w:p w14:paraId="11F7B0F1" w14:textId="2208CAD3" w:rsidR="002F10E8" w:rsidRPr="0011329B" w:rsidRDefault="00152104" w:rsidP="00152104">
      <w:pPr>
        <w:rPr>
          <w:lang w:val="en-GB"/>
        </w:rPr>
      </w:pPr>
      <w:r w:rsidRPr="0011329B">
        <w:rPr>
          <w:vertAlign w:val="superscript"/>
          <w:lang w:val="en-GB"/>
        </w:rPr>
        <w:t>b</w:t>
      </w:r>
      <w:r w:rsidRPr="0011329B">
        <w:rPr>
          <w:lang w:val="en-GB"/>
        </w:rPr>
        <w:t xml:space="preserve"> Department of Molecular and Clinical Pharmacology, University of Liverpool, Block H, 70 Pembroke Place, Liverpool L69 3GF, United Kingdom</w:t>
      </w:r>
    </w:p>
    <w:p w14:paraId="4659CD74" w14:textId="77777777" w:rsidR="00152104" w:rsidRPr="0011329B" w:rsidRDefault="00152104" w:rsidP="00152104">
      <w:pPr>
        <w:ind w:left="720"/>
        <w:rPr>
          <w:lang w:val="en-GB"/>
        </w:rPr>
      </w:pPr>
    </w:p>
    <w:p w14:paraId="35A68DAB" w14:textId="7083F916" w:rsidR="002F10E8" w:rsidRPr="0011329B" w:rsidRDefault="002F10E8" w:rsidP="002F10E8">
      <w:pPr>
        <w:pStyle w:val="RSCB01ARTAbstract"/>
        <w:spacing w:line="360" w:lineRule="auto"/>
        <w:rPr>
          <w:rFonts w:ascii="Times New Roman" w:hAnsi="Times New Roman" w:cs="Times New Roman"/>
          <w:b/>
          <w:noProof w:val="0"/>
          <w:sz w:val="22"/>
        </w:rPr>
      </w:pPr>
      <w:r w:rsidRPr="0011329B">
        <w:rPr>
          <w:rFonts w:ascii="Times New Roman" w:hAnsi="Times New Roman" w:cs="Times New Roman"/>
          <w:b/>
          <w:noProof w:val="0"/>
          <w:sz w:val="28"/>
          <w:szCs w:val="28"/>
        </w:rPr>
        <w:t>Abstract</w:t>
      </w:r>
    </w:p>
    <w:p w14:paraId="78C781A4" w14:textId="3C6511AE" w:rsidR="00937D88" w:rsidRPr="0011329B" w:rsidRDefault="008F4997" w:rsidP="002F10E8">
      <w:pPr>
        <w:pStyle w:val="RSCB01ARTAbstract"/>
        <w:spacing w:line="360" w:lineRule="auto"/>
        <w:rPr>
          <w:rFonts w:ascii="Times New Roman" w:hAnsi="Times New Roman" w:cs="Times New Roman"/>
          <w:noProof w:val="0"/>
          <w:sz w:val="24"/>
          <w:szCs w:val="24"/>
        </w:rPr>
      </w:pPr>
      <w:r w:rsidRPr="0011329B">
        <w:rPr>
          <w:rFonts w:ascii="Times New Roman" w:hAnsi="Times New Roman" w:cs="Times New Roman"/>
          <w:noProof w:val="0"/>
          <w:sz w:val="24"/>
          <w:szCs w:val="24"/>
        </w:rPr>
        <w:t xml:space="preserve">Curcumin is widely used as a nutraceutical ingredient in food and beverage products. It has been reported that curcumin has a broad spectrum of biological activities such as anticancer, anti-inflammatory, antioxidant, and antibacterial effects. Despite the potent therapeutic effect of curcumin, its low aqueous solubility, stability, and oral bioavailability limits its effectiveness. In order to improve the physical and chemical properties of curcumin, we have formulated curcumin </w:t>
      </w:r>
      <w:r w:rsidR="0006692F" w:rsidRPr="0011329B">
        <w:rPr>
          <w:rFonts w:ascii="Times New Roman" w:hAnsi="Times New Roman" w:cs="Times New Roman"/>
          <w:noProof w:val="0"/>
          <w:sz w:val="24"/>
          <w:szCs w:val="24"/>
        </w:rPr>
        <w:t>as a nanosuspension</w:t>
      </w:r>
      <w:r w:rsidRPr="0011329B">
        <w:rPr>
          <w:rFonts w:ascii="Times New Roman" w:hAnsi="Times New Roman" w:cs="Times New Roman"/>
          <w:noProof w:val="0"/>
          <w:sz w:val="24"/>
          <w:szCs w:val="24"/>
        </w:rPr>
        <w:t xml:space="preserve"> by using the emulsion templated freeze-drying technique.</w:t>
      </w:r>
      <w:r w:rsidR="003C7535" w:rsidRPr="0011329B">
        <w:rPr>
          <w:rFonts w:ascii="Times New Roman" w:hAnsi="Times New Roman" w:cs="Times New Roman"/>
          <w:noProof w:val="0"/>
          <w:sz w:val="24"/>
          <w:szCs w:val="24"/>
        </w:rPr>
        <w:t xml:space="preserve"> This approach produces a solid that can be dispersed as required to form </w:t>
      </w:r>
      <w:r w:rsidR="0006692F" w:rsidRPr="0011329B">
        <w:rPr>
          <w:rFonts w:ascii="Times New Roman" w:hAnsi="Times New Roman" w:cs="Times New Roman"/>
          <w:noProof w:val="0"/>
          <w:sz w:val="24"/>
          <w:szCs w:val="24"/>
        </w:rPr>
        <w:t>a nanosuspension</w:t>
      </w:r>
      <w:r w:rsidR="003C7535" w:rsidRPr="0011329B">
        <w:rPr>
          <w:rFonts w:ascii="Times New Roman" w:hAnsi="Times New Roman" w:cs="Times New Roman"/>
          <w:noProof w:val="0"/>
          <w:sz w:val="24"/>
          <w:szCs w:val="24"/>
        </w:rPr>
        <w:t xml:space="preserve">. The formulations </w:t>
      </w:r>
      <w:r w:rsidRPr="0011329B">
        <w:rPr>
          <w:rFonts w:ascii="Times New Roman" w:hAnsi="Times New Roman" w:cs="Times New Roman"/>
          <w:noProof w:val="0"/>
          <w:sz w:val="24"/>
          <w:szCs w:val="24"/>
        </w:rPr>
        <w:t>were</w:t>
      </w:r>
      <w:r w:rsidR="003C7535" w:rsidRPr="0011329B">
        <w:rPr>
          <w:rFonts w:ascii="Times New Roman" w:hAnsi="Times New Roman" w:cs="Times New Roman"/>
          <w:noProof w:val="0"/>
          <w:sz w:val="24"/>
          <w:szCs w:val="24"/>
        </w:rPr>
        <w:t xml:space="preserve"> investigated</w:t>
      </w:r>
      <w:r w:rsidRPr="0011329B">
        <w:rPr>
          <w:rFonts w:ascii="Times New Roman" w:hAnsi="Times New Roman" w:cs="Times New Roman"/>
          <w:noProof w:val="0"/>
          <w:sz w:val="24"/>
          <w:szCs w:val="24"/>
        </w:rPr>
        <w:t xml:space="preserve"> in a screening process using various excipients</w:t>
      </w:r>
      <w:r w:rsidR="00A5272F" w:rsidRPr="0011329B">
        <w:rPr>
          <w:rFonts w:ascii="Times New Roman" w:hAnsi="Times New Roman" w:cs="Times New Roman"/>
          <w:noProof w:val="0"/>
          <w:sz w:val="24"/>
          <w:szCs w:val="24"/>
        </w:rPr>
        <w:t>,</w:t>
      </w:r>
      <w:r w:rsidRPr="0011329B">
        <w:rPr>
          <w:rFonts w:ascii="Times New Roman" w:hAnsi="Times New Roman" w:cs="Times New Roman"/>
          <w:noProof w:val="0"/>
          <w:sz w:val="24"/>
          <w:szCs w:val="24"/>
        </w:rPr>
        <w:t xml:space="preserve"> resulting in the identification of one curcumin </w:t>
      </w:r>
      <w:r w:rsidR="0006692F" w:rsidRPr="0011329B">
        <w:rPr>
          <w:rFonts w:ascii="Times New Roman" w:hAnsi="Times New Roman" w:cs="Times New Roman"/>
          <w:noProof w:val="0"/>
          <w:sz w:val="24"/>
          <w:szCs w:val="24"/>
        </w:rPr>
        <w:t xml:space="preserve">nanosuspension </w:t>
      </w:r>
      <w:r w:rsidRPr="0011329B">
        <w:rPr>
          <w:rFonts w:ascii="Times New Roman" w:hAnsi="Times New Roman" w:cs="Times New Roman"/>
          <w:noProof w:val="0"/>
          <w:sz w:val="24"/>
          <w:szCs w:val="24"/>
        </w:rPr>
        <w:t>sample which contain</w:t>
      </w:r>
      <w:r w:rsidR="00A5272F" w:rsidRPr="0011329B">
        <w:rPr>
          <w:rFonts w:ascii="Times New Roman" w:hAnsi="Times New Roman" w:cs="Times New Roman"/>
          <w:noProof w:val="0"/>
          <w:sz w:val="24"/>
          <w:szCs w:val="24"/>
        </w:rPr>
        <w:t>ed</w:t>
      </w:r>
      <w:r w:rsidRPr="0011329B">
        <w:rPr>
          <w:rFonts w:ascii="Times New Roman" w:hAnsi="Times New Roman" w:cs="Times New Roman"/>
          <w:noProof w:val="0"/>
          <w:sz w:val="24"/>
          <w:szCs w:val="24"/>
        </w:rPr>
        <w:t xml:space="preserve"> only polyethylene glycol (PEG) as the excipient. This formulation exhibited</w:t>
      </w:r>
      <w:r w:rsidR="00084146" w:rsidRPr="0011329B">
        <w:rPr>
          <w:rFonts w:ascii="Times New Roman" w:hAnsi="Times New Roman" w:cs="Times New Roman"/>
          <w:noProof w:val="0"/>
          <w:sz w:val="24"/>
          <w:szCs w:val="24"/>
        </w:rPr>
        <w:t xml:space="preserve"> a</w:t>
      </w:r>
      <w:r w:rsidRPr="0011329B">
        <w:rPr>
          <w:rFonts w:ascii="Times New Roman" w:hAnsi="Times New Roman" w:cs="Times New Roman"/>
          <w:noProof w:val="0"/>
          <w:sz w:val="24"/>
          <w:szCs w:val="24"/>
        </w:rPr>
        <w:t xml:space="preserve"> small diameter (211 nm), low polydispersity (0.06) and zeta potential of -25 mV</w:t>
      </w:r>
      <w:r w:rsidR="00A5272F" w:rsidRPr="0011329B">
        <w:rPr>
          <w:rFonts w:ascii="Times New Roman" w:hAnsi="Times New Roman" w:cs="Times New Roman"/>
          <w:noProof w:val="0"/>
          <w:sz w:val="24"/>
          <w:szCs w:val="24"/>
        </w:rPr>
        <w:t xml:space="preserve"> and was therefore </w:t>
      </w:r>
      <w:r w:rsidRPr="0011329B">
        <w:rPr>
          <w:rFonts w:ascii="Times New Roman" w:hAnsi="Times New Roman" w:cs="Times New Roman"/>
          <w:noProof w:val="0"/>
          <w:sz w:val="24"/>
          <w:szCs w:val="24"/>
        </w:rPr>
        <w:t>it was chosen for</w:t>
      </w:r>
      <w:r w:rsidR="00A5272F" w:rsidRPr="0011329B">
        <w:rPr>
          <w:rFonts w:ascii="Times New Roman" w:hAnsi="Times New Roman" w:cs="Times New Roman"/>
          <w:noProof w:val="0"/>
          <w:sz w:val="24"/>
          <w:szCs w:val="24"/>
        </w:rPr>
        <w:t xml:space="preserve"> further</w:t>
      </w:r>
      <w:r w:rsidRPr="0011329B">
        <w:rPr>
          <w:rFonts w:ascii="Times New Roman" w:hAnsi="Times New Roman" w:cs="Times New Roman"/>
          <w:noProof w:val="0"/>
          <w:sz w:val="24"/>
          <w:szCs w:val="24"/>
        </w:rPr>
        <w:t xml:space="preserve"> </w:t>
      </w:r>
      <w:r w:rsidRPr="0011329B">
        <w:rPr>
          <w:rFonts w:ascii="Times New Roman" w:hAnsi="Times New Roman" w:cs="Times New Roman"/>
          <w:i/>
          <w:iCs/>
          <w:noProof w:val="0"/>
          <w:sz w:val="24"/>
          <w:szCs w:val="24"/>
        </w:rPr>
        <w:t>in vitro</w:t>
      </w:r>
      <w:r w:rsidRPr="0011329B">
        <w:rPr>
          <w:rFonts w:ascii="Times New Roman" w:hAnsi="Times New Roman" w:cs="Times New Roman"/>
          <w:noProof w:val="0"/>
          <w:sz w:val="24"/>
          <w:szCs w:val="24"/>
        </w:rPr>
        <w:t xml:space="preserve"> investigations. Various experimental parameters such as </w:t>
      </w:r>
      <w:r w:rsidR="00F71897" w:rsidRPr="0011329B">
        <w:rPr>
          <w:rFonts w:ascii="Times New Roman" w:hAnsi="Times New Roman" w:cs="Times New Roman"/>
          <w:noProof w:val="0"/>
          <w:sz w:val="24"/>
          <w:szCs w:val="24"/>
        </w:rPr>
        <w:t xml:space="preserve">active agent </w:t>
      </w:r>
      <w:r w:rsidRPr="0011329B">
        <w:rPr>
          <w:rFonts w:ascii="Times New Roman" w:hAnsi="Times New Roman" w:cs="Times New Roman"/>
          <w:noProof w:val="0"/>
          <w:sz w:val="24"/>
          <w:szCs w:val="24"/>
        </w:rPr>
        <w:t xml:space="preserve">and excipient concentrations, and sonication time were varied to </w:t>
      </w:r>
      <w:r w:rsidR="00766D90" w:rsidRPr="0011329B">
        <w:rPr>
          <w:rFonts w:ascii="Times New Roman" w:hAnsi="Times New Roman" w:cs="Times New Roman"/>
          <w:noProof w:val="0"/>
          <w:sz w:val="24"/>
          <w:szCs w:val="24"/>
        </w:rPr>
        <w:t xml:space="preserve">tune </w:t>
      </w:r>
      <w:r w:rsidRPr="0011329B">
        <w:rPr>
          <w:rFonts w:ascii="Times New Roman" w:hAnsi="Times New Roman" w:cs="Times New Roman"/>
          <w:noProof w:val="0"/>
          <w:sz w:val="24"/>
          <w:szCs w:val="24"/>
        </w:rPr>
        <w:t xml:space="preserve">the size and polydispersity of the chosen </w:t>
      </w:r>
      <w:r w:rsidR="00084146" w:rsidRPr="0011329B">
        <w:rPr>
          <w:rFonts w:ascii="Times New Roman" w:hAnsi="Times New Roman" w:cs="Times New Roman"/>
          <w:noProof w:val="0"/>
          <w:sz w:val="24"/>
          <w:szCs w:val="24"/>
        </w:rPr>
        <w:t>formulation</w:t>
      </w:r>
      <w:r w:rsidRPr="0011329B">
        <w:rPr>
          <w:rFonts w:ascii="Times New Roman" w:hAnsi="Times New Roman" w:cs="Times New Roman"/>
          <w:noProof w:val="0"/>
          <w:sz w:val="24"/>
          <w:szCs w:val="24"/>
        </w:rPr>
        <w:t xml:space="preserve">. The </w:t>
      </w:r>
      <w:r w:rsidR="00766D90" w:rsidRPr="0011329B">
        <w:rPr>
          <w:rFonts w:ascii="Times New Roman" w:hAnsi="Times New Roman" w:cs="Times New Roman"/>
          <w:noProof w:val="0"/>
          <w:sz w:val="24"/>
          <w:szCs w:val="24"/>
        </w:rPr>
        <w:t>resulting</w:t>
      </w:r>
      <w:r w:rsidRPr="0011329B">
        <w:rPr>
          <w:rFonts w:ascii="Times New Roman" w:hAnsi="Times New Roman" w:cs="Times New Roman"/>
          <w:noProof w:val="0"/>
          <w:sz w:val="24"/>
          <w:szCs w:val="24"/>
        </w:rPr>
        <w:t xml:space="preserve"> </w:t>
      </w:r>
      <w:r w:rsidR="00084146" w:rsidRPr="0011329B">
        <w:rPr>
          <w:rFonts w:ascii="Times New Roman" w:hAnsi="Times New Roman" w:cs="Times New Roman"/>
          <w:noProof w:val="0"/>
          <w:sz w:val="24"/>
          <w:szCs w:val="24"/>
        </w:rPr>
        <w:t xml:space="preserve">nanosuspension </w:t>
      </w:r>
      <w:r w:rsidRPr="0011329B">
        <w:rPr>
          <w:rFonts w:ascii="Times New Roman" w:hAnsi="Times New Roman" w:cs="Times New Roman"/>
          <w:noProof w:val="0"/>
          <w:sz w:val="24"/>
          <w:szCs w:val="24"/>
        </w:rPr>
        <w:t xml:space="preserve">showed an improved chemical stability at pH values that mimic the gastrointestinal tract. </w:t>
      </w:r>
      <w:r w:rsidR="00084146" w:rsidRPr="0011329B">
        <w:rPr>
          <w:rFonts w:ascii="Times New Roman" w:hAnsi="Times New Roman" w:cs="Times New Roman"/>
          <w:noProof w:val="0"/>
          <w:sz w:val="24"/>
          <w:szCs w:val="24"/>
        </w:rPr>
        <w:t>An</w:t>
      </w:r>
      <w:r w:rsidRPr="0011329B">
        <w:rPr>
          <w:rFonts w:ascii="Times New Roman" w:hAnsi="Times New Roman" w:cs="Times New Roman"/>
          <w:noProof w:val="0"/>
          <w:sz w:val="24"/>
          <w:szCs w:val="24"/>
        </w:rPr>
        <w:t xml:space="preserve"> </w:t>
      </w:r>
      <w:r w:rsidRPr="0011329B">
        <w:rPr>
          <w:rFonts w:ascii="Times New Roman" w:hAnsi="Times New Roman" w:cs="Times New Roman"/>
          <w:i/>
          <w:iCs/>
          <w:noProof w:val="0"/>
          <w:sz w:val="24"/>
          <w:szCs w:val="24"/>
        </w:rPr>
        <w:t>in vitro</w:t>
      </w:r>
      <w:r w:rsidRPr="0011329B">
        <w:rPr>
          <w:rFonts w:ascii="Times New Roman" w:hAnsi="Times New Roman" w:cs="Times New Roman"/>
          <w:noProof w:val="0"/>
          <w:sz w:val="24"/>
          <w:szCs w:val="24"/>
        </w:rPr>
        <w:t xml:space="preserve"> bioaccessibility</w:t>
      </w:r>
      <w:r w:rsidR="00084146" w:rsidRPr="0011329B">
        <w:rPr>
          <w:rFonts w:ascii="Times New Roman" w:hAnsi="Times New Roman" w:cs="Times New Roman"/>
          <w:noProof w:val="0"/>
          <w:sz w:val="24"/>
          <w:szCs w:val="24"/>
        </w:rPr>
        <w:t xml:space="preserve"> experiment showed that the nanosuspension formulation resulted in more dissolution of the curcumin but this was also coupled with reduced stability. C</w:t>
      </w:r>
      <w:r w:rsidRPr="0011329B">
        <w:rPr>
          <w:rFonts w:ascii="Times New Roman" w:hAnsi="Times New Roman" w:cs="Times New Roman"/>
          <w:noProof w:val="0"/>
          <w:sz w:val="24"/>
          <w:szCs w:val="24"/>
        </w:rPr>
        <w:t xml:space="preserve">ytotoxicity studies showed that </w:t>
      </w:r>
      <w:r w:rsidR="00084146" w:rsidRPr="0011329B">
        <w:rPr>
          <w:rFonts w:ascii="Times New Roman" w:hAnsi="Times New Roman" w:cs="Times New Roman"/>
          <w:noProof w:val="0"/>
          <w:sz w:val="24"/>
          <w:szCs w:val="24"/>
        </w:rPr>
        <w:t xml:space="preserve">the nanosuspension </w:t>
      </w:r>
      <w:r w:rsidRPr="0011329B">
        <w:rPr>
          <w:rFonts w:ascii="Times New Roman" w:hAnsi="Times New Roman" w:cs="Times New Roman"/>
          <w:noProof w:val="0"/>
          <w:sz w:val="24"/>
          <w:szCs w:val="24"/>
        </w:rPr>
        <w:t xml:space="preserve">offered </w:t>
      </w:r>
      <w:r w:rsidR="005E0E7A" w:rsidRPr="0011329B">
        <w:rPr>
          <w:rFonts w:ascii="Times New Roman" w:hAnsi="Times New Roman" w:cs="Times New Roman"/>
          <w:noProof w:val="0"/>
          <w:sz w:val="24"/>
          <w:szCs w:val="24"/>
        </w:rPr>
        <w:t xml:space="preserve">a </w:t>
      </w:r>
      <w:r w:rsidR="00084146" w:rsidRPr="0011329B">
        <w:rPr>
          <w:rFonts w:ascii="Times New Roman" w:hAnsi="Times New Roman" w:cs="Times New Roman"/>
          <w:noProof w:val="0"/>
          <w:sz w:val="24"/>
          <w:szCs w:val="24"/>
        </w:rPr>
        <w:t>reduced</w:t>
      </w:r>
      <w:r w:rsidR="005E0E7A" w:rsidRPr="0011329B">
        <w:rPr>
          <w:rFonts w:ascii="Times New Roman" w:hAnsi="Times New Roman" w:cs="Times New Roman"/>
          <w:noProof w:val="0"/>
          <w:sz w:val="24"/>
          <w:szCs w:val="24"/>
        </w:rPr>
        <w:t xml:space="preserve"> </w:t>
      </w:r>
      <w:r w:rsidRPr="0011329B">
        <w:rPr>
          <w:rFonts w:ascii="Times New Roman" w:hAnsi="Times New Roman" w:cs="Times New Roman"/>
          <w:noProof w:val="0"/>
          <w:sz w:val="24"/>
          <w:szCs w:val="24"/>
        </w:rPr>
        <w:t>cytotoxicity profile</w:t>
      </w:r>
      <w:r w:rsidR="005E0E7A" w:rsidRPr="0011329B">
        <w:rPr>
          <w:rFonts w:ascii="Times New Roman" w:hAnsi="Times New Roman" w:cs="Times New Roman"/>
          <w:noProof w:val="0"/>
          <w:sz w:val="24"/>
          <w:szCs w:val="24"/>
        </w:rPr>
        <w:t xml:space="preserve"> compared</w:t>
      </w:r>
      <w:r w:rsidRPr="0011329B">
        <w:rPr>
          <w:rFonts w:ascii="Times New Roman" w:hAnsi="Times New Roman" w:cs="Times New Roman"/>
          <w:noProof w:val="0"/>
          <w:sz w:val="24"/>
          <w:szCs w:val="24"/>
        </w:rPr>
        <w:t xml:space="preserve"> to</w:t>
      </w:r>
      <w:r w:rsidR="005E0E7A" w:rsidRPr="0011329B">
        <w:rPr>
          <w:rFonts w:ascii="Times New Roman" w:hAnsi="Times New Roman" w:cs="Times New Roman"/>
          <w:noProof w:val="0"/>
          <w:sz w:val="24"/>
          <w:szCs w:val="24"/>
        </w:rPr>
        <w:t xml:space="preserve"> the</w:t>
      </w:r>
      <w:r w:rsidRPr="0011329B">
        <w:rPr>
          <w:rFonts w:ascii="Times New Roman" w:hAnsi="Times New Roman" w:cs="Times New Roman"/>
          <w:noProof w:val="0"/>
          <w:sz w:val="24"/>
          <w:szCs w:val="24"/>
        </w:rPr>
        <w:t xml:space="preserve"> solubilised curcumin on both cell lines investigated. </w:t>
      </w:r>
      <w:r w:rsidR="00084146" w:rsidRPr="0011329B">
        <w:rPr>
          <w:rFonts w:ascii="Times New Roman" w:hAnsi="Times New Roman" w:cs="Times New Roman"/>
          <w:noProof w:val="0"/>
          <w:sz w:val="24"/>
          <w:szCs w:val="24"/>
        </w:rPr>
        <w:t xml:space="preserve">This redispersible curcumin nanosuspension formulation may provide new opportunities for the oral dosing of curcumin. </w:t>
      </w:r>
    </w:p>
    <w:p w14:paraId="702A831B" w14:textId="5317828F" w:rsidR="002B052F" w:rsidRPr="0011329B" w:rsidRDefault="00937D88" w:rsidP="002F10E8">
      <w:pPr>
        <w:pStyle w:val="RSCB01ARTAbstract"/>
        <w:spacing w:line="360" w:lineRule="auto"/>
        <w:rPr>
          <w:rFonts w:ascii="Times New Roman" w:hAnsi="Times New Roman" w:cs="Times New Roman"/>
          <w:noProof w:val="0"/>
          <w:sz w:val="24"/>
          <w:szCs w:val="24"/>
        </w:rPr>
      </w:pPr>
      <w:r w:rsidRPr="0011329B">
        <w:rPr>
          <w:rFonts w:ascii="Times New Roman" w:hAnsi="Times New Roman" w:cs="Times New Roman"/>
          <w:b/>
          <w:bCs/>
          <w:noProof w:val="0"/>
          <w:sz w:val="28"/>
          <w:szCs w:val="28"/>
        </w:rPr>
        <w:lastRenderedPageBreak/>
        <w:t>Keywords:</w:t>
      </w:r>
      <w:r w:rsidRPr="0011329B">
        <w:rPr>
          <w:rFonts w:ascii="Times New Roman" w:hAnsi="Times New Roman" w:cs="Times New Roman"/>
          <w:noProof w:val="0"/>
          <w:sz w:val="28"/>
          <w:szCs w:val="28"/>
        </w:rPr>
        <w:t xml:space="preserve"> </w:t>
      </w:r>
      <w:r w:rsidRPr="0011329B">
        <w:rPr>
          <w:rFonts w:ascii="Times New Roman" w:hAnsi="Times New Roman" w:cs="Times New Roman"/>
          <w:noProof w:val="0"/>
          <w:sz w:val="24"/>
          <w:szCs w:val="24"/>
        </w:rPr>
        <w:t>Curcumin</w:t>
      </w:r>
      <w:r w:rsidR="00504A2D" w:rsidRPr="0011329B">
        <w:rPr>
          <w:rFonts w:ascii="Times New Roman" w:hAnsi="Times New Roman" w:cs="Times New Roman"/>
          <w:noProof w:val="0"/>
          <w:sz w:val="24"/>
          <w:szCs w:val="24"/>
        </w:rPr>
        <w:t>;</w:t>
      </w:r>
      <w:r w:rsidRPr="0011329B">
        <w:rPr>
          <w:rFonts w:ascii="Times New Roman" w:hAnsi="Times New Roman" w:cs="Times New Roman"/>
          <w:noProof w:val="0"/>
          <w:sz w:val="24"/>
          <w:szCs w:val="24"/>
        </w:rPr>
        <w:t xml:space="preserve"> </w:t>
      </w:r>
      <w:r w:rsidR="0006692F" w:rsidRPr="0011329B">
        <w:rPr>
          <w:rFonts w:ascii="Times New Roman" w:hAnsi="Times New Roman" w:cs="Times New Roman"/>
          <w:noProof w:val="0"/>
          <w:sz w:val="24"/>
          <w:szCs w:val="24"/>
        </w:rPr>
        <w:t>nanosuspension</w:t>
      </w:r>
      <w:r w:rsidR="00504A2D" w:rsidRPr="0011329B">
        <w:rPr>
          <w:rFonts w:ascii="Times New Roman" w:hAnsi="Times New Roman" w:cs="Times New Roman"/>
          <w:noProof w:val="0"/>
          <w:sz w:val="24"/>
          <w:szCs w:val="24"/>
        </w:rPr>
        <w:t xml:space="preserve">; emulsion templated freeze-drying technique; </w:t>
      </w:r>
      <w:r w:rsidR="00FC101D" w:rsidRPr="0011329B">
        <w:rPr>
          <w:rFonts w:ascii="Times New Roman" w:hAnsi="Times New Roman" w:cs="Times New Roman"/>
          <w:noProof w:val="0"/>
          <w:sz w:val="24"/>
          <w:szCs w:val="24"/>
        </w:rPr>
        <w:t xml:space="preserve">Oral delivery; </w:t>
      </w:r>
      <w:r w:rsidRPr="0011329B">
        <w:rPr>
          <w:rFonts w:ascii="Times New Roman" w:hAnsi="Times New Roman" w:cs="Times New Roman"/>
          <w:noProof w:val="0"/>
          <w:sz w:val="24"/>
          <w:szCs w:val="24"/>
        </w:rPr>
        <w:t>Cancer</w:t>
      </w:r>
    </w:p>
    <w:p w14:paraId="6ED626D3" w14:textId="77777777" w:rsidR="00152104" w:rsidRPr="0011329B" w:rsidRDefault="00152104" w:rsidP="002F10E8">
      <w:pPr>
        <w:pStyle w:val="RSCB01ARTAbstract"/>
        <w:spacing w:line="360" w:lineRule="auto"/>
        <w:rPr>
          <w:rFonts w:ascii="Times New Roman" w:hAnsi="Times New Roman" w:cs="Times New Roman"/>
          <w:noProof w:val="0"/>
          <w:sz w:val="24"/>
          <w:szCs w:val="24"/>
        </w:rPr>
      </w:pPr>
    </w:p>
    <w:p w14:paraId="20B8A082" w14:textId="47F891D3" w:rsidR="00F179DF" w:rsidRPr="0011329B" w:rsidRDefault="00E10066" w:rsidP="00F179DF">
      <w:pPr>
        <w:spacing w:line="360" w:lineRule="auto"/>
        <w:rPr>
          <w:b/>
          <w:bCs/>
          <w:lang w:val="en-GB"/>
        </w:rPr>
      </w:pPr>
      <w:r w:rsidRPr="0011329B">
        <w:rPr>
          <w:b/>
          <w:bCs/>
          <w:noProof/>
          <w:lang w:val="en-GB"/>
        </w:rPr>
        <w:drawing>
          <wp:inline distT="0" distB="0" distL="0" distR="0" wp14:anchorId="5BF5C046" wp14:editId="79F948DA">
            <wp:extent cx="2880000" cy="13200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00" cy="1320077"/>
                    </a:xfrm>
                    <a:prstGeom prst="rect">
                      <a:avLst/>
                    </a:prstGeom>
                    <a:noFill/>
                  </pic:spPr>
                </pic:pic>
              </a:graphicData>
            </a:graphic>
          </wp:inline>
        </w:drawing>
      </w:r>
    </w:p>
    <w:p w14:paraId="65F2634E" w14:textId="3E70921F" w:rsidR="00F179DF" w:rsidRPr="0011329B" w:rsidRDefault="00F179DF" w:rsidP="00F179DF">
      <w:pPr>
        <w:spacing w:line="360" w:lineRule="auto"/>
        <w:rPr>
          <w:sz w:val="22"/>
          <w:szCs w:val="22"/>
          <w:lang w:val="en-GB"/>
        </w:rPr>
      </w:pPr>
      <w:r w:rsidRPr="0011329B">
        <w:rPr>
          <w:b/>
          <w:sz w:val="22"/>
          <w:szCs w:val="22"/>
          <w:lang w:val="en-GB"/>
        </w:rPr>
        <w:t>Abstract figure:</w:t>
      </w:r>
      <w:r w:rsidRPr="0011329B">
        <w:rPr>
          <w:rFonts w:eastAsia="Calibri Light"/>
          <w:sz w:val="22"/>
          <w:szCs w:val="22"/>
          <w:lang w:val="en-GB"/>
        </w:rPr>
        <w:t xml:space="preserve"> Curcumin </w:t>
      </w:r>
      <w:r w:rsidRPr="0011329B">
        <w:rPr>
          <w:sz w:val="22"/>
          <w:szCs w:val="22"/>
          <w:lang w:val="en-GB"/>
        </w:rPr>
        <w:t xml:space="preserve">was formulated </w:t>
      </w:r>
      <w:r w:rsidR="00B72FB0" w:rsidRPr="0011329B">
        <w:rPr>
          <w:sz w:val="22"/>
          <w:szCs w:val="22"/>
          <w:lang w:val="en-GB"/>
        </w:rPr>
        <w:t>as a nanosuspension</w:t>
      </w:r>
      <w:r w:rsidRPr="0011329B">
        <w:rPr>
          <w:sz w:val="22"/>
          <w:szCs w:val="22"/>
          <w:lang w:val="en-GB"/>
        </w:rPr>
        <w:t xml:space="preserve"> by an emulsion-templated freeze-drying technique. The curcumin formulation could be redispersed to form a nanosuspension and demonstrated favourable colloidal and chemical stability. </w:t>
      </w:r>
    </w:p>
    <w:p w14:paraId="5255B31E" w14:textId="77777777" w:rsidR="009B6E57" w:rsidRPr="0011329B" w:rsidRDefault="009B6E57" w:rsidP="00F179DF">
      <w:pPr>
        <w:spacing w:line="360" w:lineRule="auto"/>
        <w:rPr>
          <w:sz w:val="22"/>
          <w:szCs w:val="22"/>
          <w:lang w:val="en-GB"/>
        </w:rPr>
        <w:sectPr w:rsidR="009B6E57" w:rsidRPr="0011329B" w:rsidSect="009B6E57">
          <w:footerReference w:type="even" r:id="rId9"/>
          <w:footerReference w:type="default" r:id="rId10"/>
          <w:pgSz w:w="12240" w:h="15840"/>
          <w:pgMar w:top="1440" w:right="1440" w:bottom="1440" w:left="1440" w:header="720" w:footer="720" w:gutter="0"/>
          <w:cols w:space="720"/>
          <w:docGrid w:linePitch="360"/>
        </w:sectPr>
      </w:pPr>
    </w:p>
    <w:p w14:paraId="63FF8CD7" w14:textId="77777777" w:rsidR="00F179DF" w:rsidRPr="0011329B" w:rsidRDefault="00F179DF" w:rsidP="00F179DF">
      <w:pPr>
        <w:spacing w:line="360" w:lineRule="auto"/>
        <w:rPr>
          <w:b/>
          <w:bCs/>
          <w:sz w:val="28"/>
          <w:szCs w:val="28"/>
          <w:lang w:val="en-GB"/>
        </w:rPr>
      </w:pPr>
    </w:p>
    <w:p w14:paraId="7BAF6790" w14:textId="666D4EB8" w:rsidR="009B6E57" w:rsidRPr="0011329B" w:rsidRDefault="008F4997" w:rsidP="002F10E8">
      <w:pPr>
        <w:pStyle w:val="ListParagraph"/>
        <w:numPr>
          <w:ilvl w:val="0"/>
          <w:numId w:val="2"/>
        </w:numPr>
        <w:spacing w:line="360" w:lineRule="auto"/>
        <w:rPr>
          <w:rFonts w:ascii="Times New Roman" w:hAnsi="Times New Roman" w:cs="Times New Roman"/>
          <w:b/>
          <w:bCs/>
          <w:sz w:val="28"/>
          <w:szCs w:val="28"/>
          <w:lang w:val="en-GB"/>
        </w:rPr>
        <w:sectPr w:rsidR="009B6E57" w:rsidRPr="0011329B" w:rsidSect="009B6E57">
          <w:type w:val="continuous"/>
          <w:pgSz w:w="12240" w:h="15840"/>
          <w:pgMar w:top="1440" w:right="1440" w:bottom="1440" w:left="1440" w:header="720" w:footer="720" w:gutter="0"/>
          <w:cols w:space="720"/>
          <w:docGrid w:linePitch="360"/>
        </w:sectPr>
      </w:pPr>
      <w:r w:rsidRPr="0011329B">
        <w:rPr>
          <w:rFonts w:ascii="Times New Roman" w:hAnsi="Times New Roman" w:cs="Times New Roman"/>
          <w:b/>
          <w:bCs/>
          <w:sz w:val="28"/>
          <w:szCs w:val="28"/>
          <w:lang w:val="en-GB"/>
        </w:rPr>
        <w:t>Introduction</w:t>
      </w:r>
    </w:p>
    <w:p w14:paraId="064413F1" w14:textId="19DCD756" w:rsidR="008F4997" w:rsidRPr="0011329B" w:rsidRDefault="008F4997" w:rsidP="002F10E8">
      <w:pPr>
        <w:pStyle w:val="RSCB02ArticleText"/>
        <w:spacing w:line="360" w:lineRule="auto"/>
        <w:rPr>
          <w:rFonts w:ascii="Times New Roman" w:hAnsi="Times New Roman"/>
          <w:sz w:val="24"/>
          <w:szCs w:val="24"/>
        </w:rPr>
      </w:pPr>
      <w:r w:rsidRPr="0011329B">
        <w:rPr>
          <w:rFonts w:ascii="Times New Roman" w:hAnsi="Times New Roman"/>
          <w:sz w:val="24"/>
          <w:szCs w:val="24"/>
        </w:rPr>
        <w:t>Curcumin is the principle active ingredient in turmeric (extracted from the rhizomes of Curcuma longa, belonging to the ginger family), and is responsible for the yellow colour, physiochemical properties and biological activities of turmeric.</w:t>
      </w:r>
      <w:r w:rsidRPr="0011329B">
        <w:rPr>
          <w:rFonts w:ascii="Times New Roman" w:hAnsi="Times New Roman"/>
          <w:sz w:val="24"/>
          <w:szCs w:val="24"/>
          <w:vertAlign w:val="superscript"/>
        </w:rPr>
        <w:t xml:space="preserve">1 </w:t>
      </w:r>
      <w:r w:rsidRPr="0011329B">
        <w:rPr>
          <w:rFonts w:ascii="Times New Roman" w:hAnsi="Times New Roman"/>
          <w:sz w:val="24"/>
          <w:szCs w:val="24"/>
        </w:rPr>
        <w:t>Several studies have shown that curcumin possesses anticancer properties against colon cancer, breast cancer, lung cancer and prostate cancer.</w:t>
      </w:r>
      <w:r w:rsidRPr="0011329B">
        <w:rPr>
          <w:rFonts w:ascii="Times New Roman" w:hAnsi="Times New Roman"/>
          <w:sz w:val="24"/>
          <w:szCs w:val="24"/>
        </w:rPr>
        <w:fldChar w:fldCharType="begin" w:fldLock="1"/>
      </w:r>
      <w:r w:rsidR="00E925AC" w:rsidRPr="0011329B">
        <w:rPr>
          <w:rFonts w:ascii="Times New Roman" w:hAnsi="Times New Roman"/>
          <w:sz w:val="24"/>
          <w:szCs w:val="24"/>
        </w:rPr>
        <w:instrText>ADDIN CSL_CITATION {"citationItems":[{"id":"ITEM-1","itemData":{"DOI":"10.4251/wjgo.v2.i4.169","ISSN":"1948-5204","abstract":"Curcumin has been used in traditional Indian medicine for many centuries for its anti-inflammatory and anti-carcinogenic properties. There has been some promising research concerning curcumin as a safe therapeutic agent for many cancers, colorectal cancer being among them. This has been shown through research in cell cultures, animal models, and humans. At this time, it appears that curcumin's anti-carcinogenic properties are most likely due to its effects on multiple molecular targets, such as nuclear factor κ-light-chain-enhancer of activated B cells (NF-κB) and activator protein 1 (AP-1). NF-κB and AP-1 are both major transcription factors that regulate inflammation and thus affect cell proliferation, differentiation and even apoptosis. Curcumin has also been shown to affect a variety of other key players involved in carcinogenesis, such as cyclooxygenase-2, matrix metallopeptidases 2 and 9 and tumor necrosis factor α induced vascular cell adhesion molecule, just to name a few. Although many molecular targets are involved, curcumin has been well tolerated in many studies: doses up to 8 g a day have been confirmed to be safe for humans. In this brief review, we will examine the current studies and literature and touch upon many molecular pathways affected by curcumin, and demonstrate the exciting possibility of curcumin as a chemopreventive agent for colorectal cancer.","author":[{"dropping-particle":"","family":"Park","given":"Jung","non-dropping-particle":"","parse-names":false,"suffix":""}],"container-title":"World Journal of Gastrointestinal Oncology","id":"ITEM-1","issue":"4","issued":{"date-parts":[["2010"]]},"page":"169","publisher":"Baishideng Publishing Group Inc.","title":"Anti-carcinogenic properties of curcumin on colorectal cancer","type":"article-journal","volume":"2"},"uris":["http://www.mendeley.com/documents/?uuid=2b8a30c3-f86f-3da6-8785-01f2d8c612bf","http://www.mendeley.com/documents/?uuid=8f90338e-363f-4060-acd0-dba790ecab61"]}],"mendeley":{"formattedCitation":"[1]","plainTextFormattedCitation":"[1]","previouslyFormattedCitation":"[1]"},"properties":{"noteIndex":0},"schema":"https://github.com/citation-style-language/schema/raw/master/csl-citation.json"}</w:instrText>
      </w:r>
      <w:r w:rsidRPr="0011329B">
        <w:rPr>
          <w:rFonts w:ascii="Times New Roman" w:hAnsi="Times New Roman"/>
          <w:sz w:val="24"/>
          <w:szCs w:val="24"/>
        </w:rPr>
        <w:fldChar w:fldCharType="separate"/>
      </w:r>
      <w:r w:rsidR="002F10E8" w:rsidRPr="0011329B">
        <w:rPr>
          <w:rFonts w:ascii="Times New Roman" w:hAnsi="Times New Roman"/>
          <w:noProof/>
          <w:sz w:val="24"/>
          <w:szCs w:val="24"/>
        </w:rPr>
        <w:t>[1]</w:t>
      </w:r>
      <w:r w:rsidRPr="0011329B">
        <w:rPr>
          <w:rFonts w:ascii="Times New Roman" w:hAnsi="Times New Roman"/>
          <w:sz w:val="24"/>
          <w:szCs w:val="24"/>
        </w:rPr>
        <w:fldChar w:fldCharType="end"/>
      </w:r>
      <w:r w:rsidRPr="0011329B">
        <w:rPr>
          <w:rFonts w:ascii="Times New Roman" w:hAnsi="Times New Roman"/>
          <w:sz w:val="24"/>
          <w:szCs w:val="24"/>
        </w:rPr>
        <w:t xml:space="preserve"> The anticancer effect of curcumin is associated with its ability to induce apoptosis, inhibit cell proliferation, invasion of tumours</w:t>
      </w:r>
      <w:r w:rsidRPr="0011329B">
        <w:rPr>
          <w:rStyle w:val="CommentReference"/>
          <w:rFonts w:ascii="Times New Roman" w:hAnsi="Times New Roman"/>
          <w:sz w:val="24"/>
          <w:szCs w:val="24"/>
        </w:rPr>
        <w:t xml:space="preserve"> </w:t>
      </w:r>
      <w:r w:rsidRPr="0011329B">
        <w:rPr>
          <w:rFonts w:ascii="Times New Roman" w:hAnsi="Times New Roman"/>
          <w:sz w:val="24"/>
          <w:szCs w:val="24"/>
        </w:rPr>
        <w:t xml:space="preserve">by inhibiting different cellular signalling pathways. Moreover, curcumin has a high safety tolerance dose, which </w:t>
      </w:r>
      <w:r w:rsidR="00831502" w:rsidRPr="0011329B">
        <w:rPr>
          <w:rFonts w:ascii="Times New Roman" w:hAnsi="Times New Roman"/>
          <w:sz w:val="24"/>
          <w:szCs w:val="24"/>
        </w:rPr>
        <w:t>has been reported as</w:t>
      </w:r>
      <w:r w:rsidRPr="0011329B">
        <w:rPr>
          <w:rFonts w:ascii="Times New Roman" w:hAnsi="Times New Roman"/>
          <w:sz w:val="24"/>
          <w:szCs w:val="24"/>
        </w:rPr>
        <w:t xml:space="preserve"> 12 g per day.</w:t>
      </w:r>
      <w:r w:rsidRPr="0011329B">
        <w:rPr>
          <w:rFonts w:ascii="Times New Roman" w:hAnsi="Times New Roman"/>
          <w:sz w:val="24"/>
          <w:szCs w:val="24"/>
        </w:rPr>
        <w:fldChar w:fldCharType="begin" w:fldLock="1"/>
      </w:r>
      <w:r w:rsidR="00E925AC" w:rsidRPr="0011329B">
        <w:rPr>
          <w:rFonts w:ascii="Times New Roman" w:hAnsi="Times New Roman"/>
          <w:sz w:val="24"/>
          <w:szCs w:val="24"/>
        </w:rPr>
        <w:instrText>ADDIN CSL_CITATION {"citationItems":[{"id":"ITEM-1","itemData":{"DOI":"10.1016/j.bcp.2007.08.016","ISSN":"00062952","abstract":"Although turmeric (Curcuma longa; an Indian spice) has been described in Ayurveda, as a treatment for inflammatory diseases and is referred by different names in different cultures, the active principle called curcumin or diferuloylmethane, a yellow pigment present in turmeric (curry powder) has been shown to exhibit numerous activities. Extensive research over the last half century has revealed several important functions of curcumin. It binds to a variety of proteins and inhibits the activity of various kinases. By modulating the activation of various transcription factors, curcumin regulates the expression of inflammatory enzymes, cytokines, adhesion molecules, and cell survival proteins. Curcumin also downregulates cyclin D1, cyclin E and MDM2; and upregulates p21, p27, and p53. Various preclinical cell culture and animal studies suggest that curcumin has potential as an antiproliferative, anti-invasive, and antiangiogenic agent; as a mediator of chemoresistance and radioresistance; as a chemopreventive agent; and as a therapeutic agent in wound healing, diabetes, Alzheimer disease, Parkinson disease, cardiovascular disease, pulmonary disease, and arthritis. Pilot phase I clinical trials have shown curcumin to be safe even when consumed at a daily dose of 12 g for 3 months. Other clinical trials suggest a potential therapeutic role for curcumin in diseases such as familial adenomatous polyposis, inflammatory bowel disease, ulcerative colitis, colon cancer, pancreatic cancer, hypercholesteremia, atherosclerosis, pancreatitis, psoriasis, chronic anterior uveitis and arthritis. Thus, curcumin, a spice once relegated to the kitchen shelf, has moved into the clinic and may prove to be \"Curecumin\". © 2007.","author":[{"dropping-particle":"","family":"Goel","given":"Ajay","non-dropping-particle":"","parse-names":false,"suffix":""},{"dropping-particle":"","family":"Kunnumakkara","given":"Ajaikumar B.","non-dropping-particle":"","parse-names":false,"suffix":""},{"dropping-particle":"","family":"Aggarwal","given":"Bharat B.","non-dropping-particle":"","parse-names":false,"suffix":""}],"container-title":"Biochemical Pharmacology","id":"ITEM-1","issue":"4","issued":{"date-parts":[["2008","2","15"]]},"page":"787-809","title":"Curcumin as \"Curecumin\": From kitchen to clinic","type":"article-journal","volume":"75"},"uris":["http://www.mendeley.com/documents/?uuid=5e6768b6-732b-3ec9-872c-6d634b662f26","http://www.mendeley.com/documents/?uuid=2a675662-f225-4bb1-b105-ded570d4ce6c"]}],"mendeley":{"formattedCitation":"[2]","plainTextFormattedCitation":"[2]","previouslyFormattedCitation":"[2]"},"properties":{"noteIndex":0},"schema":"https://github.com/citation-style-language/schema/raw/master/csl-citation.json"}</w:instrText>
      </w:r>
      <w:r w:rsidRPr="0011329B">
        <w:rPr>
          <w:rFonts w:ascii="Times New Roman" w:hAnsi="Times New Roman"/>
          <w:sz w:val="24"/>
          <w:szCs w:val="24"/>
        </w:rPr>
        <w:fldChar w:fldCharType="separate"/>
      </w:r>
      <w:r w:rsidR="002F10E8" w:rsidRPr="0011329B">
        <w:rPr>
          <w:rFonts w:ascii="Times New Roman" w:hAnsi="Times New Roman"/>
          <w:noProof/>
          <w:sz w:val="24"/>
          <w:szCs w:val="24"/>
        </w:rPr>
        <w:t>[2]</w:t>
      </w:r>
      <w:r w:rsidRPr="0011329B">
        <w:rPr>
          <w:rFonts w:ascii="Times New Roman" w:hAnsi="Times New Roman"/>
          <w:sz w:val="24"/>
          <w:szCs w:val="24"/>
        </w:rPr>
        <w:fldChar w:fldCharType="end"/>
      </w:r>
      <w:r w:rsidRPr="0011329B">
        <w:rPr>
          <w:rFonts w:ascii="Times New Roman" w:hAnsi="Times New Roman"/>
          <w:sz w:val="24"/>
          <w:szCs w:val="24"/>
        </w:rPr>
        <w:t xml:space="preserve"> However, studies have shown that curcumin has low oral bioavailability due to its low aqueous solubility and chemical stability, thus hindering its clinical use.</w:t>
      </w:r>
      <w:r w:rsidR="003E27A3" w:rsidRPr="0011329B">
        <w:rPr>
          <w:rFonts w:ascii="Times New Roman" w:hAnsi="Times New Roman"/>
          <w:sz w:val="24"/>
          <w:szCs w:val="24"/>
        </w:rPr>
        <w:fldChar w:fldCharType="begin" w:fldLock="1"/>
      </w:r>
      <w:r w:rsidR="00B54931" w:rsidRPr="0011329B">
        <w:rPr>
          <w:rFonts w:ascii="Times New Roman" w:hAnsi="Times New Roman"/>
          <w:sz w:val="24"/>
          <w:szCs w:val="24"/>
        </w:rPr>
        <w:instrText>ADDIN CSL_CITATION {"citationItems":[{"id":"ITEM-1","itemData":{"DOI":"10.1016/j.apsb.2015.07.003","ISSN":"22113843","abstract":"The emerging trends in the combinatorial chemistry and drug design have led to the development of drug candidates with greater lipophilicity, high molecular weight and poor water solubility. Majority of the failures in new drug development have been attributed to poor water solubility of the drug. Issues associated with poor solubility can lead to low bioavailability resulting in suboptimal drug delivery. About 40% of drugs with market approval and nearly 90% of molecules in the discovery pipeline are poorly water-soluble. With the advent of various insoluble drug delivery technologies, the challenge to formulate poorly water soluble drugs could be achieved. Numerous drugs associated with poor solubility and low bioavailabilities have been formulated into successful drug products. Several marketed drugs were reformulated to improve efficacy, safety and patient compliance. In order to gain marketing exclusivity and patent protection for such products, revitalization of poorly soluble drugs using insoluble drug delivery technologies have been successfully adopted by many pharmaceutical companies. This review covers the recent advances in the field of insoluble drug delivery and business prospects.","author":[{"dropping-particle":"","family":"Kalepu","given":"Sandeep","non-dropping-particle":"","parse-names":false,"suffix":""},{"dropping-particle":"","family":"Nekkanti","given":"Vijaykumar","non-dropping-particle":"","parse-names":false,"suffix":""}],"container-title":"Acta Pharmaceutica Sinica B","id":"ITEM-1","issue":"5","issued":{"date-parts":[["2015","9","1"]]},"page":"442-453","publisher":"Chinese Academy of Medical Sciences","title":"Insoluble drug delivery strategies: Review of recent advances and business prospects","type":"article-journal","volume":"5"},"uris":["http://www.mendeley.com/documents/?uuid=53b3c560-f4b0-333e-ac9e-abe31294ec3a"]},{"id":"ITEM-2","itemData":{"DOI":"10.4103/2231-4040.82950","ISSN":"0976-2094","PMID":"22171298","abstract":"One of the major problems associated with poorly soluble drugs is very low bioavailability. The problem is even more complex for drugs like itraconazole, simvastatin, and carbamazepine which are poorly soluble in both aqueous and nonaqueous media, belonging to BCS class II as classified by biopharmaceutical classification system. Formulation as nanosuspension is an attractive and promising alternative to solve these problems. Nanosuspension consists of the pure poorly water-soluble drug without any matrix material suspended in dispersion. Preparation of nanosuspension is simple and applicable to all drugs which are water insoluble. A nanosuspension not only solves the problems of poor solubility and bioavailability, but also alters the pharmacokinetics of drug and thus improves drug safety and efficacy. This review article describes the preparation methods, characterization, and applications of the nanosuspension.","author":[{"dropping-particle":"","family":"Patel","given":"Vishal R","non-dropping-particle":"","parse-names":false,"suffix":""},{"dropping-particle":"","family":"Agrawal","given":"Y K","non-dropping-particle":"","parse-names":false,"suffix":""}],"container-title":"Journal of advanced pharmaceutical technology &amp; research","id":"ITEM-2","issue":"2","issued":{"date-parts":[["2011","4"]]},"page":"81-87","publisher":"Wolters Kluwer -- Medknow Publications","title":"Nanosuspension: An approach to enhance solubility of drugs.","type":"article-journal","volume":"2"},"uris":["http://www.mendeley.com/documents/?uuid=f76e44fa-3b57-30df-9858-16f157bc35a7"]}],"mendeley":{"formattedCitation":"[3,4]","plainTextFormattedCitation":"[3,4]","previouslyFormattedCitation":"[3,4]"},"properties":{"noteIndex":0},"schema":"https://github.com/citation-style-language/schema/raw/master/csl-citation.json"}</w:instrText>
      </w:r>
      <w:r w:rsidR="003E27A3" w:rsidRPr="0011329B">
        <w:rPr>
          <w:rFonts w:ascii="Times New Roman" w:hAnsi="Times New Roman"/>
          <w:sz w:val="24"/>
          <w:szCs w:val="24"/>
        </w:rPr>
        <w:fldChar w:fldCharType="separate"/>
      </w:r>
      <w:r w:rsidR="003E27A3" w:rsidRPr="0011329B">
        <w:rPr>
          <w:rFonts w:ascii="Times New Roman" w:hAnsi="Times New Roman"/>
          <w:noProof/>
          <w:sz w:val="24"/>
          <w:szCs w:val="24"/>
        </w:rPr>
        <w:t>[3,4]</w:t>
      </w:r>
      <w:r w:rsidR="003E27A3" w:rsidRPr="0011329B">
        <w:rPr>
          <w:rFonts w:ascii="Times New Roman" w:hAnsi="Times New Roman"/>
          <w:sz w:val="24"/>
          <w:szCs w:val="24"/>
        </w:rPr>
        <w:fldChar w:fldCharType="end"/>
      </w:r>
    </w:p>
    <w:p w14:paraId="268C45A1" w14:textId="77777777" w:rsidR="009B6E57" w:rsidRPr="0011329B" w:rsidRDefault="009B6E57" w:rsidP="002F10E8">
      <w:pPr>
        <w:pStyle w:val="RSCB02ArticleText"/>
        <w:spacing w:line="360" w:lineRule="auto"/>
        <w:rPr>
          <w:rFonts w:ascii="Times New Roman" w:hAnsi="Times New Roman"/>
          <w:sz w:val="24"/>
          <w:szCs w:val="24"/>
          <w:vertAlign w:val="superscript"/>
        </w:rPr>
      </w:pPr>
    </w:p>
    <w:p w14:paraId="777768C3" w14:textId="51FAF99A" w:rsidR="008F4997" w:rsidRPr="0011329B" w:rsidRDefault="008F4997">
      <w:pPr>
        <w:pStyle w:val="RSCB02ArticleText"/>
        <w:spacing w:line="360" w:lineRule="auto"/>
        <w:rPr>
          <w:rFonts w:ascii="Times New Roman" w:hAnsi="Times New Roman"/>
          <w:sz w:val="24"/>
          <w:szCs w:val="24"/>
        </w:rPr>
      </w:pPr>
      <w:r w:rsidRPr="0011329B">
        <w:rPr>
          <w:rFonts w:ascii="Times New Roman" w:hAnsi="Times New Roman"/>
          <w:sz w:val="24"/>
          <w:szCs w:val="24"/>
          <w:shd w:val="clear" w:color="auto" w:fill="FFFFFF"/>
        </w:rPr>
        <w:t>A number of key parameters such as solubility, stability, and excipient biodegradability play a crucial role in the successful formation of drugs. Over 40% of the new chemical entities, drugs or nutraceuticals are lipophilic or poorly soluble in water.</w:t>
      </w:r>
      <w:r w:rsidRPr="0011329B">
        <w:rPr>
          <w:rFonts w:ascii="Times New Roman" w:hAnsi="Times New Roman"/>
          <w:sz w:val="24"/>
          <w:szCs w:val="24"/>
          <w:shd w:val="clear" w:color="auto" w:fill="FFFFFF"/>
        </w:rPr>
        <w:fldChar w:fldCharType="begin" w:fldLock="1"/>
      </w:r>
      <w:r w:rsidR="00E925AC" w:rsidRPr="0011329B">
        <w:rPr>
          <w:rFonts w:ascii="Times New Roman" w:hAnsi="Times New Roman"/>
          <w:sz w:val="24"/>
          <w:szCs w:val="24"/>
          <w:shd w:val="clear" w:color="auto" w:fill="FFFFFF"/>
        </w:rPr>
        <w:instrText>ADDIN CSL_CITATION {"citationItems":[{"id":"ITEM-1","itemData":{"DOI":"10.1016/j.apsb.2015.07.003","ISSN":"22113843","abstract":"The emerging trends in the combinatorial chemistry and drug design have led to the development of drug candidates with greater lipophilicity, high molecular weight and poor water solubility. Majority of the failures in new drug development have been attributed to poor water solubility of the drug. Issues associated with poor solubility can lead to low bioavailability resulting in suboptimal drug delivery. About 40% of drugs with market approval and nearly 90% of molecules in the discovery pipeline are poorly water-soluble. With the advent of various insoluble drug delivery technologies, the challenge to formulate poorly water soluble drugs could be achieved. Numerous drugs associated with poor solubility and low bioavailabilities have been formulated into successful drug products. Several marketed drugs were reformulated to improve efficacy, safety and patient compliance. In order to gain marketing exclusivity and patent protection for such products, revitalization of poorly soluble drugs using insoluble drug delivery technologies have been successfully adopted by many pharmaceutical companies. This review covers the recent advances in the field of insoluble drug delivery and business prospects.","author":[{"dropping-particle":"","family":"Kalepu","given":"Sandeep","non-dropping-particle":"","parse-names":false,"suffix":""},{"dropping-particle":"","family":"Nekkanti","given":"Vijaykumar","non-dropping-particle":"","parse-names":false,"suffix":""}],"container-title":"Acta Pharmaceutica Sinica B","id":"ITEM-1","issue":"5","issued":{"date-parts":[["2015","9","1"]]},"page":"442-453","publisher":"Chinese Academy of Medical Sciences","title":"Insoluble drug delivery strategies: Review of recent advances and business prospects","type":"article-journal","volume":"5"},"uris":["http://www.mendeley.com/documents/?uuid=53b3c560-f4b0-333e-ac9e-abe31294ec3a","http://www.mendeley.com/documents/?uuid=934c4b0d-1056-4779-88a0-1d8840d5b245"]}],"mendeley":{"formattedCitation":"[3]","plainTextFormattedCitation":"[3]","previouslyFormattedCitation":"[3]"},"properties":{"noteIndex":0},"schema":"https://github.com/citation-style-language/schema/raw/master/csl-citation.json"}</w:instrText>
      </w:r>
      <w:r w:rsidRPr="0011329B">
        <w:rPr>
          <w:rFonts w:ascii="Times New Roman" w:hAnsi="Times New Roman"/>
          <w:sz w:val="24"/>
          <w:szCs w:val="24"/>
          <w:shd w:val="clear" w:color="auto" w:fill="FFFFFF"/>
        </w:rPr>
        <w:fldChar w:fldCharType="separate"/>
      </w:r>
      <w:r w:rsidR="002F10E8" w:rsidRPr="0011329B">
        <w:rPr>
          <w:rFonts w:ascii="Times New Roman" w:hAnsi="Times New Roman"/>
          <w:noProof/>
          <w:sz w:val="24"/>
          <w:szCs w:val="24"/>
          <w:shd w:val="clear" w:color="auto" w:fill="FFFFFF"/>
        </w:rPr>
        <w:t>[3]</w:t>
      </w:r>
      <w:r w:rsidRPr="0011329B">
        <w:rPr>
          <w:rFonts w:ascii="Times New Roman" w:hAnsi="Times New Roman"/>
          <w:sz w:val="24"/>
          <w:szCs w:val="24"/>
          <w:shd w:val="clear" w:color="auto" w:fill="FFFFFF"/>
        </w:rPr>
        <w:fldChar w:fldCharType="end"/>
      </w:r>
      <w:r w:rsidRPr="0011329B">
        <w:rPr>
          <w:rFonts w:ascii="Times New Roman" w:hAnsi="Times New Roman"/>
          <w:sz w:val="24"/>
          <w:szCs w:val="24"/>
          <w:shd w:val="clear" w:color="auto" w:fill="FFFFFF"/>
        </w:rPr>
        <w:t xml:space="preserve"> There are many formulation approaches available for enhancing the problem of low solubility, stability and/or bioavailability. However, the vast majority of these approaches, such as </w:t>
      </w:r>
      <w:proofErr w:type="spellStart"/>
      <w:r w:rsidRPr="0011329B">
        <w:rPr>
          <w:rFonts w:ascii="Times New Roman" w:hAnsi="Times New Roman"/>
          <w:sz w:val="24"/>
          <w:szCs w:val="24"/>
          <w:shd w:val="clear" w:color="auto" w:fill="FFFFFF"/>
        </w:rPr>
        <w:t>micronisation</w:t>
      </w:r>
      <w:proofErr w:type="spellEnd"/>
      <w:r w:rsidRPr="0011329B">
        <w:rPr>
          <w:rFonts w:ascii="Times New Roman" w:hAnsi="Times New Roman"/>
          <w:sz w:val="24"/>
          <w:szCs w:val="24"/>
          <w:shd w:val="clear" w:color="auto" w:fill="FFFFFF"/>
        </w:rPr>
        <w:t xml:space="preserve">, solid dispersion method and use of fatty solutions, have limited potential in </w:t>
      </w:r>
      <w:r w:rsidRPr="0011329B">
        <w:rPr>
          <w:rFonts w:ascii="Times New Roman" w:hAnsi="Times New Roman"/>
          <w:sz w:val="24"/>
          <w:szCs w:val="24"/>
          <w:shd w:val="clear" w:color="auto" w:fill="FFFFFF"/>
        </w:rPr>
        <w:lastRenderedPageBreak/>
        <w:t xml:space="preserve">enhancing the bioavailability of poorly soluble </w:t>
      </w:r>
      <w:r w:rsidR="00343322" w:rsidRPr="0011329B">
        <w:rPr>
          <w:rFonts w:ascii="Times New Roman" w:hAnsi="Times New Roman"/>
          <w:sz w:val="24"/>
          <w:szCs w:val="24"/>
          <w:shd w:val="clear" w:color="auto" w:fill="FFFFFF"/>
        </w:rPr>
        <w:t>actives</w:t>
      </w:r>
      <w:r w:rsidRPr="0011329B">
        <w:rPr>
          <w:rFonts w:ascii="Times New Roman" w:hAnsi="Times New Roman"/>
          <w:sz w:val="24"/>
          <w:szCs w:val="24"/>
          <w:shd w:val="clear" w:color="auto" w:fill="FFFFFF"/>
        </w:rPr>
        <w:t>.</w:t>
      </w:r>
      <w:r w:rsidRPr="0011329B">
        <w:rPr>
          <w:rStyle w:val="FootnoteReference"/>
          <w:rFonts w:ascii="Times New Roman" w:hAnsi="Times New Roman"/>
          <w:sz w:val="24"/>
          <w:szCs w:val="24"/>
          <w:shd w:val="clear" w:color="auto" w:fill="FFFFFF"/>
        </w:rPr>
        <w:fldChar w:fldCharType="begin" w:fldLock="1"/>
      </w:r>
      <w:r w:rsidR="003E27A3" w:rsidRPr="0011329B">
        <w:rPr>
          <w:rFonts w:ascii="Times New Roman" w:hAnsi="Times New Roman"/>
          <w:sz w:val="24"/>
          <w:szCs w:val="24"/>
          <w:shd w:val="clear" w:color="auto" w:fill="FFFFFF"/>
        </w:rPr>
        <w:instrText>ADDIN CSL_CITATION {"citationItems":[{"id":"ITEM-1","itemData":{"DOI":"10.4103/2231-4040.82950","ISSN":"2231-4040","abstract":"One of the major problems associated with poorly soluble drugs is very low bioavailability. The problem is even more complex for drugs like itraconazole, simvastatin, and carbamazepine which are poorly soluble in both aqueous and nonaqueous media, belonging to BCS class II as classified by biopharmaceutical classification system. Formulation as nanosuspension is an attractive and promising alternative to solve these problems. Nanosuspension consists of the pure poorly water-soluble drug without any matrix material suspended in dispersion. Preparation of nanosuspension is simple and applicable to all drugs which are water insoluble. A nanosuspension not only solves the problems of poor solubility and bioavailability, but also alters the pharmacokinetics of drug and thus improves drug safety and efficacy. This review article describes the preparation methods, characterization, and applications of the nanosuspension.","author":[{"dropping-particle":"","family":"Agrawal","given":"YK","non-dropping-particle":"","parse-names":false,"suffix":""},{"dropping-particle":"","family":"Patel","given":"VishalR","non-dropping-particle":"","parse-names":false,"suffix":""}],"container-title":"Journal of Advanced Pharmaceutical Technology &amp; Research","id":"ITEM-1","issue":"2","issued":{"date-parts":[["2011"]]},"page":"81-87","publisher":"Medknow","title":"Nanosuspension: An approach to enhance solubility of drugs","type":"article-journal","volume":"2"},"uris":["http://www.mendeley.com/documents/?uuid=62970b5e-f384-3d12-8981-423ed65c6255","http://www.mendeley.com/documents/?uuid=4d4fefd2-0102-4be1-b45f-f7980e289c91"]}],"mendeley":{"formattedCitation":"[5]","plainTextFormattedCitation":"[5]","previouslyFormattedCitation":"[5]"},"properties":{"noteIndex":0},"schema":"https://github.com/citation-style-language/schema/raw/master/csl-citation.json"}</w:instrText>
      </w:r>
      <w:r w:rsidRPr="0011329B">
        <w:rPr>
          <w:rStyle w:val="FootnoteReference"/>
          <w:rFonts w:ascii="Times New Roman" w:hAnsi="Times New Roman"/>
          <w:sz w:val="24"/>
          <w:szCs w:val="24"/>
          <w:shd w:val="clear" w:color="auto" w:fill="FFFFFF"/>
        </w:rPr>
        <w:fldChar w:fldCharType="separate"/>
      </w:r>
      <w:r w:rsidR="003E27A3" w:rsidRPr="0011329B">
        <w:rPr>
          <w:rFonts w:ascii="Times New Roman" w:hAnsi="Times New Roman"/>
          <w:noProof/>
          <w:sz w:val="24"/>
          <w:szCs w:val="24"/>
          <w:shd w:val="clear" w:color="auto" w:fill="FFFFFF"/>
        </w:rPr>
        <w:t>[5]</w:t>
      </w:r>
      <w:r w:rsidRPr="0011329B">
        <w:rPr>
          <w:rStyle w:val="FootnoteReference"/>
          <w:rFonts w:ascii="Times New Roman" w:hAnsi="Times New Roman"/>
          <w:sz w:val="24"/>
          <w:szCs w:val="24"/>
          <w:shd w:val="clear" w:color="auto" w:fill="FFFFFF"/>
        </w:rPr>
        <w:fldChar w:fldCharType="end"/>
      </w:r>
      <w:r w:rsidRPr="0011329B">
        <w:rPr>
          <w:rFonts w:ascii="Times New Roman" w:hAnsi="Times New Roman"/>
          <w:sz w:val="24"/>
          <w:szCs w:val="24"/>
          <w:shd w:val="clear" w:color="auto" w:fill="FFFFFF"/>
        </w:rPr>
        <w:t xml:space="preserve"> A promising approach to enhancing a</w:t>
      </w:r>
      <w:r w:rsidR="00343322" w:rsidRPr="0011329B">
        <w:rPr>
          <w:rFonts w:ascii="Times New Roman" w:hAnsi="Times New Roman"/>
          <w:sz w:val="24"/>
          <w:szCs w:val="24"/>
          <w:shd w:val="clear" w:color="auto" w:fill="FFFFFF"/>
        </w:rPr>
        <w:t>n</w:t>
      </w:r>
      <w:r w:rsidRPr="0011329B">
        <w:rPr>
          <w:rFonts w:ascii="Times New Roman" w:hAnsi="Times New Roman"/>
          <w:sz w:val="24"/>
          <w:szCs w:val="24"/>
          <w:shd w:val="clear" w:color="auto" w:fill="FFFFFF"/>
        </w:rPr>
        <w:t xml:space="preserve"> </w:t>
      </w:r>
      <w:r w:rsidR="00343322" w:rsidRPr="0011329B">
        <w:rPr>
          <w:rFonts w:ascii="Times New Roman" w:hAnsi="Times New Roman"/>
          <w:sz w:val="24"/>
          <w:szCs w:val="24"/>
          <w:shd w:val="clear" w:color="auto" w:fill="FFFFFF"/>
        </w:rPr>
        <w:t xml:space="preserve">active’s </w:t>
      </w:r>
      <w:r w:rsidRPr="0011329B">
        <w:rPr>
          <w:rFonts w:ascii="Times New Roman" w:hAnsi="Times New Roman"/>
          <w:sz w:val="24"/>
          <w:szCs w:val="24"/>
          <w:shd w:val="clear" w:color="auto" w:fill="FFFFFF"/>
        </w:rPr>
        <w:t xml:space="preserve">dissolution rate and stability is to formulate the </w:t>
      </w:r>
      <w:r w:rsidR="00343322" w:rsidRPr="0011329B">
        <w:rPr>
          <w:rFonts w:ascii="Times New Roman" w:hAnsi="Times New Roman"/>
          <w:sz w:val="24"/>
          <w:szCs w:val="24"/>
          <w:shd w:val="clear" w:color="auto" w:fill="FFFFFF"/>
        </w:rPr>
        <w:t xml:space="preserve">compound </w:t>
      </w:r>
      <w:r w:rsidRPr="0011329B">
        <w:rPr>
          <w:rFonts w:ascii="Times New Roman" w:hAnsi="Times New Roman"/>
          <w:sz w:val="24"/>
          <w:szCs w:val="24"/>
          <w:shd w:val="clear" w:color="auto" w:fill="FFFFFF"/>
        </w:rPr>
        <w:t>into nanoparticles, which increases the surface area of the dru</w:t>
      </w:r>
      <w:r w:rsidR="0033309A" w:rsidRPr="0011329B">
        <w:rPr>
          <w:rFonts w:ascii="Times New Roman" w:hAnsi="Times New Roman"/>
          <w:sz w:val="24"/>
          <w:szCs w:val="24"/>
          <w:shd w:val="clear" w:color="auto" w:fill="FFFFFF"/>
        </w:rPr>
        <w:t>g</w:t>
      </w:r>
      <w:r w:rsidRPr="0011329B">
        <w:rPr>
          <w:rFonts w:ascii="Times New Roman" w:hAnsi="Times New Roman"/>
          <w:sz w:val="24"/>
          <w:szCs w:val="24"/>
          <w:shd w:val="clear" w:color="auto" w:fill="FFFFFF"/>
        </w:rPr>
        <w:t>. Such nanoparticle engineering approaches have been widely employed for many therapeutic agents for various pharmaceutical applications.</w:t>
      </w:r>
      <w:r w:rsidR="00141B20" w:rsidRPr="0011329B">
        <w:rPr>
          <w:rFonts w:ascii="Times New Roman" w:hAnsi="Times New Roman"/>
          <w:sz w:val="24"/>
          <w:szCs w:val="24"/>
          <w:shd w:val="clear" w:color="auto" w:fill="FFFFFF"/>
        </w:rPr>
        <w:fldChar w:fldCharType="begin" w:fldLock="1"/>
      </w:r>
      <w:r w:rsidR="00473FAB" w:rsidRPr="0011329B">
        <w:rPr>
          <w:rFonts w:ascii="Times New Roman" w:hAnsi="Times New Roman"/>
          <w:sz w:val="24"/>
          <w:szCs w:val="24"/>
          <w:shd w:val="clear" w:color="auto" w:fill="FFFFFF"/>
        </w:rPr>
        <w:instrText>ADDIN CSL_CITATION {"citationItems":[{"id":"ITEM-1","itemData":{"DOI":"10.1177/0885328215594479","ISSN":"15308022","abstract":"The purpose of the present study was to fabricate polymeric nanoparticles as drug carriers for encapsulated curcumin with enhanced anti-colorectal cancer applications. Nanoparticles were formulated from chitosan and gum arabic, natural polysaccharides, via an emulsification solvent diffusion method. The formation of curcumin nanoparticles was confirmed by Fourier transform infrared spectroscopy and differential scanning calorimeter. The results show that curcumin was entrapped in carriers with +48 mV, 136 nm size, and high encapsulation efficiency (95%). Based on an in vitro release study, we inferred that curcumin nanoparticles could tolerate hydrolysis due to gastric juice or small intestinal enzymes, and therefore, it should reach the colon largely intact. In addition, curcumin nanoparticles had higher anti-colorectal cancer properties than free curcumin due to greater cellular uptake. Therefore, we concluded that curcumin was successfully encapsulated in chitosan-gum arabic nanoparticles with superior anti-colorectal cancer activity.","author":[{"dropping-particle":"","family":"Udompornmongkol","given":"Panisa","non-dropping-particle":"","parse-names":false,"suffix":""},{"dropping-particle":"","family":"Chiang","given":"Been Huang","non-dropping-particle":"","parse-names":false,"suffix":""}],"container-title":"Journal of Biomaterials Applications","id":"ITEM-1","issue":"5","issued":{"date-parts":[["2015","11","1"]]},"page":"537-546","publisher":"SAGE Publications Ltd","title":"Curcumin-loaded polymeric nanoparticles for enhanced anti-colorectal cancer applications","type":"article-journal","volume":"30"},"uris":["http://www.mendeley.com/documents/?uuid=c87a14f2-4403-33cb-83bb-a91c6c93e64d"]}],"mendeley":{"formattedCitation":"[6]","plainTextFormattedCitation":"[6]","previouslyFormattedCitation":"[6]"},"properties":{"noteIndex":0},"schema":"https://github.com/citation-style-language/schema/raw/master/csl-citation.json"}</w:instrText>
      </w:r>
      <w:r w:rsidR="00141B20" w:rsidRPr="0011329B">
        <w:rPr>
          <w:rFonts w:ascii="Times New Roman" w:hAnsi="Times New Roman"/>
          <w:sz w:val="24"/>
          <w:szCs w:val="24"/>
          <w:shd w:val="clear" w:color="auto" w:fill="FFFFFF"/>
        </w:rPr>
        <w:fldChar w:fldCharType="separate"/>
      </w:r>
      <w:r w:rsidR="00141B20" w:rsidRPr="0011329B">
        <w:rPr>
          <w:rFonts w:ascii="Times New Roman" w:hAnsi="Times New Roman"/>
          <w:noProof/>
          <w:sz w:val="24"/>
          <w:szCs w:val="24"/>
          <w:shd w:val="clear" w:color="auto" w:fill="FFFFFF"/>
        </w:rPr>
        <w:t>[6]</w:t>
      </w:r>
      <w:r w:rsidR="00141B20" w:rsidRPr="0011329B">
        <w:rPr>
          <w:rFonts w:ascii="Times New Roman" w:hAnsi="Times New Roman"/>
          <w:sz w:val="24"/>
          <w:szCs w:val="24"/>
          <w:shd w:val="clear" w:color="auto" w:fill="FFFFFF"/>
        </w:rPr>
        <w:fldChar w:fldCharType="end"/>
      </w:r>
      <w:r w:rsidRPr="0011329B">
        <w:rPr>
          <w:rFonts w:ascii="Times New Roman" w:hAnsi="Times New Roman"/>
          <w:sz w:val="24"/>
          <w:szCs w:val="24"/>
          <w:shd w:val="clear" w:color="auto" w:fill="FFFFFF"/>
        </w:rPr>
        <w:t xml:space="preserve"> For example, for curcumin, </w:t>
      </w:r>
      <w:proofErr w:type="spellStart"/>
      <w:r w:rsidRPr="0011329B">
        <w:rPr>
          <w:rFonts w:ascii="Times New Roman" w:hAnsi="Times New Roman"/>
          <w:sz w:val="24"/>
          <w:szCs w:val="24"/>
          <w:shd w:val="clear" w:color="auto" w:fill="FFFFFF"/>
        </w:rPr>
        <w:t>Ubeyitogullari</w:t>
      </w:r>
      <w:proofErr w:type="spellEnd"/>
      <w:r w:rsidRPr="0011329B">
        <w:rPr>
          <w:rFonts w:ascii="Times New Roman" w:hAnsi="Times New Roman"/>
          <w:sz w:val="24"/>
          <w:szCs w:val="24"/>
          <w:shd w:val="clear" w:color="auto" w:fill="FFFFFF"/>
        </w:rPr>
        <w:t xml:space="preserve"> </w:t>
      </w:r>
      <w:r w:rsidRPr="0011329B">
        <w:rPr>
          <w:rFonts w:ascii="Times New Roman" w:hAnsi="Times New Roman"/>
          <w:i/>
          <w:sz w:val="24"/>
          <w:szCs w:val="24"/>
          <w:shd w:val="clear" w:color="auto" w:fill="FFFFFF"/>
        </w:rPr>
        <w:t>et al.</w:t>
      </w:r>
      <w:r w:rsidRPr="0011329B">
        <w:rPr>
          <w:rFonts w:ascii="Times New Roman" w:hAnsi="Times New Roman"/>
          <w:sz w:val="24"/>
          <w:szCs w:val="24"/>
          <w:shd w:val="clear" w:color="auto" w:fill="FFFFFF"/>
        </w:rPr>
        <w:t xml:space="preserve"> prepared curcumin loaded starch aerogel nanoparticles, with mean diameters of 66 nm, which enhanced the solubility of encapsulated curcumin compared to crude curcumin.</w:t>
      </w:r>
      <w:r w:rsidR="00B54931" w:rsidRPr="0011329B">
        <w:rPr>
          <w:rFonts w:ascii="Times New Roman" w:hAnsi="Times New Roman"/>
          <w:sz w:val="24"/>
          <w:szCs w:val="24"/>
          <w:shd w:val="clear" w:color="auto" w:fill="FFFFFF"/>
        </w:rPr>
        <w:fldChar w:fldCharType="begin" w:fldLock="1"/>
      </w:r>
      <w:r w:rsidR="00BC1D3A" w:rsidRPr="0011329B">
        <w:rPr>
          <w:rFonts w:ascii="Times New Roman" w:hAnsi="Times New Roman"/>
          <w:sz w:val="24"/>
          <w:szCs w:val="24"/>
          <w:shd w:val="clear" w:color="auto" w:fill="FFFFFF"/>
        </w:rPr>
        <w:instrText>ADDIN CSL_CITATION {"citationItems":[{"id":"ITEM-1","itemData":{"DOI":"10.1038/s41598-019-55619-4","ISSN":"20452322","PMID":"31836788","abstract":"Health-promoting effects of curcumin are well-known; however, curcumin has a very low bioavailability due to its crystalline structure. The main objective of this study was to develop a novel green nanoparticle formation method to generate low-crystallinity curcumin nanoparticles to enhance the bioavailability of curcumin. Nanoporous starch aerogels (NSAs) (surface area of 60 m2/g, pore size of 20 nm, density of 0.11 g/cm3, and porosity of 93%) were employed as a mold to produce curcumin nanoparticles with the help of supercritical carbon dioxide (SC-CO2). The average particle size of the curcumin nanoparticles was 66 nm. Impregnation into NSAs decreased the crystallinity of curcumin and did not create any chemical bonding between curcumin nanoparticles and the NSA matrix. The highest impregnation capacity was 224.2 mg curcumin/g NSA. Curcumin nanoparticles significantly enhanced the bioaccessibility of curcumin by 173-fold when compared to the original curcumin. The concentration of curcumin in the bioaccessible fraction was improved from 0.003 to 0.125 mg/mL by impregnation of curcumin into NSAs (42-fold). This is a novel approach to produce food grade curcumin nanoparticles with reduced crystallinity and maximize the utilization of curcumin due to increased bioaccessibility.","author":[{"dropping-particle":"","family":"Ubeyitogullari","given":"Ali","non-dropping-particle":"","parse-names":false,"suffix":""},{"dropping-particle":"","family":"Ciftci","given":"Ozan N.","non-dropping-particle":"","parse-names":false,"suffix":""}],"container-title":"Scientific Reports","id":"ITEM-1","issue":"1","issued":{"date-parts":[["2019","12","1"]]},"page":"1-11","publisher":"Nature Research","title":"A novel and green nanoparticle formation approach to forming low-crystallinity curcumin nanoparticles to improve curcumin’s bioaccessibility","type":"article-journal","volume":"9"},"uris":["http://www.mendeley.com/documents/?uuid=ee815757-5477-3e28-abd6-a7f3661ade15"]}],"mendeley":{"formattedCitation":"[7]","plainTextFormattedCitation":"[7]","previouslyFormattedCitation":"[7]"},"properties":{"noteIndex":0},"schema":"https://github.com/citation-style-language/schema/raw/master/csl-citation.json"}</w:instrText>
      </w:r>
      <w:r w:rsidR="00B54931" w:rsidRPr="0011329B">
        <w:rPr>
          <w:rFonts w:ascii="Times New Roman" w:hAnsi="Times New Roman"/>
          <w:sz w:val="24"/>
          <w:szCs w:val="24"/>
          <w:shd w:val="clear" w:color="auto" w:fill="FFFFFF"/>
        </w:rPr>
        <w:fldChar w:fldCharType="separate"/>
      </w:r>
      <w:r w:rsidR="00B54931" w:rsidRPr="0011329B">
        <w:rPr>
          <w:rFonts w:ascii="Times New Roman" w:hAnsi="Times New Roman"/>
          <w:noProof/>
          <w:sz w:val="24"/>
          <w:szCs w:val="24"/>
          <w:shd w:val="clear" w:color="auto" w:fill="FFFFFF"/>
        </w:rPr>
        <w:t>[7]</w:t>
      </w:r>
      <w:r w:rsidR="00B54931" w:rsidRPr="0011329B">
        <w:rPr>
          <w:rFonts w:ascii="Times New Roman" w:hAnsi="Times New Roman"/>
          <w:sz w:val="24"/>
          <w:szCs w:val="24"/>
          <w:shd w:val="clear" w:color="auto" w:fill="FFFFFF"/>
        </w:rPr>
        <w:fldChar w:fldCharType="end"/>
      </w:r>
      <w:r w:rsidRPr="0011329B">
        <w:rPr>
          <w:rFonts w:ascii="Times New Roman" w:hAnsi="Times New Roman"/>
          <w:sz w:val="24"/>
          <w:szCs w:val="24"/>
          <w:shd w:val="clear" w:color="auto" w:fill="FFFFFF"/>
        </w:rPr>
        <w:t xml:space="preserve"> </w:t>
      </w:r>
      <w:proofErr w:type="spellStart"/>
      <w:r w:rsidRPr="0011329B">
        <w:rPr>
          <w:rFonts w:ascii="Times New Roman" w:hAnsi="Times New Roman"/>
          <w:sz w:val="24"/>
          <w:szCs w:val="24"/>
          <w:shd w:val="clear" w:color="auto" w:fill="FFFFFF"/>
        </w:rPr>
        <w:t>Azandeh</w:t>
      </w:r>
      <w:proofErr w:type="spellEnd"/>
      <w:r w:rsidRPr="0011329B">
        <w:rPr>
          <w:rFonts w:ascii="Times New Roman" w:hAnsi="Times New Roman"/>
          <w:sz w:val="24"/>
          <w:szCs w:val="24"/>
          <w:shd w:val="clear" w:color="auto" w:fill="FFFFFF"/>
        </w:rPr>
        <w:t xml:space="preserve"> </w:t>
      </w:r>
      <w:r w:rsidRPr="0011329B">
        <w:rPr>
          <w:rFonts w:ascii="Times New Roman" w:hAnsi="Times New Roman"/>
          <w:i/>
          <w:iCs/>
          <w:sz w:val="24"/>
          <w:szCs w:val="24"/>
          <w:shd w:val="clear" w:color="auto" w:fill="FFFFFF"/>
        </w:rPr>
        <w:t>et al.</w:t>
      </w:r>
      <w:r w:rsidRPr="0011329B">
        <w:rPr>
          <w:rFonts w:ascii="Times New Roman" w:hAnsi="Times New Roman"/>
          <w:sz w:val="24"/>
          <w:szCs w:val="24"/>
          <w:shd w:val="clear" w:color="auto" w:fill="FFFFFF"/>
        </w:rPr>
        <w:t xml:space="preserve"> formulated curcumin loaded PLGA nanoparticles, which demonstrated improved anticancer properties.</w:t>
      </w:r>
      <w:r w:rsidRPr="0011329B">
        <w:rPr>
          <w:rStyle w:val="FootnoteReference"/>
          <w:rFonts w:ascii="Times New Roman" w:hAnsi="Times New Roman"/>
          <w:sz w:val="24"/>
          <w:szCs w:val="24"/>
          <w:shd w:val="clear" w:color="auto" w:fill="FFFFFF"/>
        </w:rPr>
        <w:fldChar w:fldCharType="begin" w:fldLock="1"/>
      </w:r>
      <w:r w:rsidR="00141B20" w:rsidRPr="0011329B">
        <w:rPr>
          <w:rFonts w:ascii="Times New Roman" w:hAnsi="Times New Roman"/>
          <w:sz w:val="24"/>
          <w:szCs w:val="24"/>
          <w:shd w:val="clear" w:color="auto" w:fill="FFFFFF"/>
        </w:rPr>
        <w:instrText>ADDIN CSL_CITATION {"citationItems":[{"id":"ITEM-1","itemData":{"DOI":"10.1177/0885328215594479","ISSN":"15308022","abstract":"The purpose of the present study was to fabricate polymeric nanoparticles as drug carriers for encapsulated curcumin with enhanced anti-colorectal cancer applications. Nanoparticles were formulated from chitosan and gum arabic, natural polysaccharides, via an emulsification solvent diffusion method. The formation of curcumin nanoparticles was confirmed by Fourier transform infrared spectroscopy and differential scanning calorimeter. The results show that curcumin was entrapped in carriers with +48 mV, 136 nm size, and high encapsulation efficiency (95%). Based on an in vitro release study, we inferred that curcumin nanoparticles could tolerate hydrolysis due to gastric juice or small intestinal enzymes, and therefore, it should reach the colon largely intact. In addition, curcumin nanoparticles had higher anti-colorectal cancer properties than free curcumin due to greater cellular uptake. Therefore, we concluded that curcumin was successfully encapsulated in chitosan-gum arabic nanoparticles with superior anti-colorectal cancer activity.","author":[{"dropping-particle":"","family":"Udompornmongkol","given":"Panisa","non-dropping-particle":"","parse-names":false,"suffix":""},{"dropping-particle":"","family":"Chiang","given":"Been Huang","non-dropping-particle":"","parse-names":false,"suffix":""}],"container-title":"Journal of Biomaterials Applications","id":"ITEM-1","issue":"5","issued":{"date-parts":[["2015","11","1"]]},"page":"537-546","publisher":"SAGE Publications Ltd","title":"Curcumin-loaded polymeric nanoparticles for enhanced anti-colorectal cancer applications","type":"article-journal","volume":"30"},"uris":["http://www.mendeley.com/documents/?uuid=c87a14f2-4403-33cb-83bb-a91c6c93e64d","http://www.mendeley.com/documents/?uuid=79b296a8-713d-4026-afdb-528b864e2142"]}],"mendeley":{"formattedCitation":"[6]","plainTextFormattedCitation":"[6]","previouslyFormattedCitation":"[6]"},"properties":{"noteIndex":0},"schema":"https://github.com/citation-style-language/schema/raw/master/csl-citation.json"}</w:instrText>
      </w:r>
      <w:r w:rsidRPr="0011329B">
        <w:rPr>
          <w:rStyle w:val="FootnoteReference"/>
          <w:rFonts w:ascii="Times New Roman" w:hAnsi="Times New Roman"/>
          <w:sz w:val="24"/>
          <w:szCs w:val="24"/>
          <w:shd w:val="clear" w:color="auto" w:fill="FFFFFF"/>
        </w:rPr>
        <w:fldChar w:fldCharType="separate"/>
      </w:r>
      <w:r w:rsidR="00BC1D3A" w:rsidRPr="0011329B">
        <w:rPr>
          <w:rFonts w:ascii="Times New Roman" w:hAnsi="Times New Roman"/>
          <w:noProof/>
          <w:sz w:val="24"/>
          <w:szCs w:val="24"/>
          <w:shd w:val="clear" w:color="auto" w:fill="FFFFFF"/>
        </w:rPr>
        <w:t>[6]</w:t>
      </w:r>
      <w:r w:rsidRPr="0011329B">
        <w:rPr>
          <w:rStyle w:val="FootnoteReference"/>
          <w:rFonts w:ascii="Times New Roman" w:hAnsi="Times New Roman"/>
          <w:sz w:val="24"/>
          <w:szCs w:val="24"/>
          <w:shd w:val="clear" w:color="auto" w:fill="FFFFFF"/>
        </w:rPr>
        <w:fldChar w:fldCharType="end"/>
      </w:r>
      <w:r w:rsidRPr="0011329B">
        <w:rPr>
          <w:rFonts w:ascii="Times New Roman" w:hAnsi="Times New Roman"/>
          <w:sz w:val="24"/>
          <w:szCs w:val="24"/>
          <w:shd w:val="clear" w:color="auto" w:fill="FFFFFF"/>
        </w:rPr>
        <w:t xml:space="preserve">  </w:t>
      </w:r>
      <w:r w:rsidRPr="0011329B">
        <w:rPr>
          <w:rFonts w:ascii="Times New Roman" w:hAnsi="Times New Roman"/>
          <w:sz w:val="24"/>
          <w:szCs w:val="24"/>
        </w:rPr>
        <w:t xml:space="preserve">Gao </w:t>
      </w:r>
      <w:r w:rsidRPr="0011329B">
        <w:rPr>
          <w:rFonts w:ascii="Times New Roman" w:hAnsi="Times New Roman"/>
          <w:i/>
          <w:iCs/>
          <w:sz w:val="24"/>
          <w:szCs w:val="24"/>
        </w:rPr>
        <w:t>et al.</w:t>
      </w:r>
      <w:r w:rsidRPr="0011329B">
        <w:rPr>
          <w:rFonts w:ascii="Times New Roman" w:hAnsi="Times New Roman"/>
          <w:sz w:val="24"/>
          <w:szCs w:val="24"/>
        </w:rPr>
        <w:t xml:space="preserve"> developed polymer micelles loaded with curcumin that showed improved cellular uptake and apoptosis of colon cancer cells compared to curcumin extract. </w:t>
      </w:r>
      <w:r w:rsidRPr="0011329B">
        <w:rPr>
          <w:rFonts w:ascii="Times New Roman" w:hAnsi="Times New Roman"/>
          <w:sz w:val="24"/>
          <w:szCs w:val="24"/>
        </w:rPr>
        <w:fldChar w:fldCharType="begin" w:fldLock="1"/>
      </w:r>
      <w:r w:rsidR="00141B20" w:rsidRPr="0011329B">
        <w:rPr>
          <w:rFonts w:ascii="Times New Roman" w:hAnsi="Times New Roman"/>
          <w:sz w:val="24"/>
          <w:szCs w:val="24"/>
        </w:rPr>
        <w:instrText xml:space="preserve">ADDIN CSL_CITATION {"citationItems":[{"id":"ITEM-1","itemData":{"DOI":"10.1039/c3tb21091j","ISSN":"20507518","abstract":"Curcumin (Cur) showed an antitumor effect by anti-angiogenesis and the induction of apoptosis. However, curcumin is limited in clinical applications by its hydrophobicity. Therefore, improving the water-solublilty and antitumor effect of curcumin are very meaningful. In this work, biodegradable monomethoxy poly(ethylene glycol)poly(lactide) copolymer (MPEG-PLA) micelles were employed to deliver curcumin by a self-assembly method. The obtained curcumin loaded polymeric micelles (Cur/MPEG-PLA) with a drug loading of 8% were monodisperse and </w:instrText>
      </w:r>
      <w:r w:rsidR="00141B20" w:rsidRPr="0011329B">
        <w:rPr>
          <w:rFonts w:ascii="Cambria Math" w:hAnsi="Cambria Math" w:cs="Cambria Math"/>
          <w:sz w:val="24"/>
          <w:szCs w:val="24"/>
        </w:rPr>
        <w:instrText>∼</w:instrText>
      </w:r>
      <w:r w:rsidR="00141B20" w:rsidRPr="0011329B">
        <w:rPr>
          <w:rFonts w:ascii="Times New Roman" w:hAnsi="Times New Roman"/>
          <w:sz w:val="24"/>
          <w:szCs w:val="24"/>
        </w:rPr>
        <w:instrText>30 nm in diameter, which could release curcumin in an extended period in vitro and in vivo. In addition, Cur/MPEG-PLA showed a larger effect on cell growth inhibition and the induction of cell apoptosis than free curcumin in vitro. Furthermore, the therapy efficiency of Cur/MPEG-PLA on a colon cancer mouse model was evaluated in detail. Cur/MPEG-PLA could cause a more significant inhibitory effect on colon tumor growth than free curcumin with the same dose (P &lt; 0.05 or P &lt; 0.05, respectively), which indicated that Cur/MPEG-PLA could improve the antitumor effect of curcumin in vivo. Immunohistochemical and immunofluorescent analysis showed that Cur/MPEG-PLA could induce more tumor cell apoptosis, and inhibit more angiogenesis than the free drug group. Besides, Cur/MPEG-PLA exhibited a larger anti-angiogenesis effect in vivo. Finally, the anti-lung metastasis efficiency of Cur/MPEG-PLA on the colon cancer model was evaluated. Cur/MPEG-PLA could cause a more significant inhibitory effect on lung metastasis than free curcumin with the same dose (P &lt; 0.05), which indicates that Cur/MPEG-PLA could improve the anti-lung metastasis effect of curcumin in vivo. Our data suggested Cur/MPEG-PLA may have potential clinical applications in colon cancer therapy. © 2013 The Royal Society of Chemistry.","author":[{"dropping-particle":"","family":"Gao","given":"Xiang","non-dropping-particle":"","parse-names":false,"suffix":""},{"dropping-particle":"","family":"Zheng","given":"Fengjin","non-dropping-particle":"","parse-names":false,"suffix":""},{"dropping-particle":"","family":"Guo","given":"Gang","non-dropping-particle":"","parse-names":false,"suffix":""},{"dropping-particle":"","family":"Liu","given":"Xiaoxiao","non-dropping-particle":"","parse-names":false,"suffix":""},{"dropping-particle":"","family":"Fan","given":"Rangrang","non-dropping-particle":"","parse-names":false,"suffix":""},{"dropping-particle":"","family":"Qian","given":"Zhi Yong","non-dropping-particle":"","parse-names":false,"suffix":""},{"dropping-particle":"","family":"Huang","given":"Ning","non-dropping-particle":"","parse-names":false,"suffix":""},{"dropping-particle":"","family":"Wei","given":"Yu Quan","non-dropping-particle":"","parse-names":false,"suffix":""}],"container-title":"Journal of Materials Chemistry B","id":"ITEM-1","issue":"42","issued":{"date-parts":[["2013","11","14"]]},"page":"5778-5790","publisher":"The Royal Society of Chemistry","title":"Improving the anti-colon cancer activity of curcumin with biodegradable nano-micelles","type":"article-journal","volume":"1"},"uris":["http://www.mendeley.com/documents/?uuid=c4ba6583-b4c8-3079-9e1f-ff847ca47e16","http://www.mendeley.com/documents/?uuid=db8bf8b3-bb17-4bf5-8fff-0320fc7fef07"]}],"mendeley":{"formattedCitation":"[8]","plainTextFormattedCitation":"[8]","previouslyFormattedCitation":"[8]"},"properties":{"noteIndex":0},"schema":"https://github.com/citation-style-language/schema/raw/master/csl-citation.json"}</w:instrText>
      </w:r>
      <w:r w:rsidRPr="0011329B">
        <w:rPr>
          <w:rFonts w:ascii="Times New Roman" w:hAnsi="Times New Roman"/>
          <w:sz w:val="24"/>
          <w:szCs w:val="24"/>
        </w:rPr>
        <w:fldChar w:fldCharType="separate"/>
      </w:r>
      <w:r w:rsidR="00BC1D3A" w:rsidRPr="0011329B">
        <w:rPr>
          <w:rFonts w:ascii="Times New Roman" w:hAnsi="Times New Roman"/>
          <w:noProof/>
          <w:sz w:val="24"/>
          <w:szCs w:val="24"/>
        </w:rPr>
        <w:t>[8]</w:t>
      </w:r>
      <w:r w:rsidRPr="0011329B">
        <w:rPr>
          <w:rFonts w:ascii="Times New Roman" w:hAnsi="Times New Roman"/>
          <w:sz w:val="24"/>
          <w:szCs w:val="24"/>
        </w:rPr>
        <w:fldChar w:fldCharType="end"/>
      </w:r>
      <w:r w:rsidRPr="0011329B">
        <w:rPr>
          <w:rFonts w:ascii="Times New Roman" w:hAnsi="Times New Roman"/>
          <w:sz w:val="24"/>
          <w:szCs w:val="24"/>
        </w:rPr>
        <w:t xml:space="preserve"> </w:t>
      </w:r>
      <w:r w:rsidR="00343322" w:rsidRPr="0011329B">
        <w:rPr>
          <w:rFonts w:ascii="Times New Roman" w:hAnsi="Times New Roman"/>
          <w:sz w:val="24"/>
          <w:szCs w:val="24"/>
        </w:rPr>
        <w:t xml:space="preserve">Additionally, </w:t>
      </w:r>
      <w:proofErr w:type="spellStart"/>
      <w:r w:rsidRPr="0011329B">
        <w:rPr>
          <w:rFonts w:ascii="Times New Roman" w:hAnsi="Times New Roman"/>
          <w:sz w:val="24"/>
          <w:szCs w:val="24"/>
        </w:rPr>
        <w:t>Gota</w:t>
      </w:r>
      <w:proofErr w:type="spellEnd"/>
      <w:r w:rsidRPr="0011329B">
        <w:rPr>
          <w:rFonts w:ascii="Times New Roman" w:hAnsi="Times New Roman"/>
          <w:sz w:val="24"/>
          <w:szCs w:val="24"/>
        </w:rPr>
        <w:t xml:space="preserve"> </w:t>
      </w:r>
      <w:r w:rsidRPr="0011329B">
        <w:rPr>
          <w:rFonts w:ascii="Times New Roman" w:hAnsi="Times New Roman"/>
          <w:i/>
          <w:iCs/>
          <w:sz w:val="24"/>
          <w:szCs w:val="24"/>
        </w:rPr>
        <w:t xml:space="preserve">et al. </w:t>
      </w:r>
      <w:r w:rsidRPr="0011329B">
        <w:rPr>
          <w:rFonts w:ascii="Times New Roman" w:hAnsi="Times New Roman"/>
          <w:sz w:val="24"/>
          <w:szCs w:val="24"/>
        </w:rPr>
        <w:t xml:space="preserve">prepared solid lipid nanoparticles containing curcumin and administrated these to human volunteers to investigate the bioavailability of developed </w:t>
      </w:r>
      <w:r w:rsidR="00343322" w:rsidRPr="0011329B">
        <w:rPr>
          <w:rFonts w:ascii="Times New Roman" w:hAnsi="Times New Roman"/>
          <w:sz w:val="24"/>
          <w:szCs w:val="24"/>
        </w:rPr>
        <w:t>nanoparticles. The</w:t>
      </w:r>
      <w:r w:rsidRPr="0011329B">
        <w:rPr>
          <w:rFonts w:ascii="Times New Roman" w:hAnsi="Times New Roman"/>
          <w:sz w:val="24"/>
          <w:szCs w:val="24"/>
        </w:rPr>
        <w:t xml:space="preserve"> curcumin concentration in plasma was 22.43 ng/mL for solid lipid nanoparticles after 2.4 hours, while there was no curcumin found in plasma for unformulated curcumin.</w:t>
      </w:r>
      <w:r w:rsidR="00473FAB" w:rsidRPr="0011329B">
        <w:rPr>
          <w:rFonts w:ascii="Times New Roman" w:hAnsi="Times New Roman"/>
          <w:sz w:val="24"/>
          <w:szCs w:val="24"/>
        </w:rPr>
        <w:fldChar w:fldCharType="begin" w:fldLock="1"/>
      </w:r>
      <w:r w:rsidR="001D1164" w:rsidRPr="0011329B">
        <w:rPr>
          <w:rFonts w:ascii="Times New Roman" w:hAnsi="Times New Roman"/>
          <w:sz w:val="24"/>
          <w:szCs w:val="24"/>
        </w:rPr>
        <w:instrText>ADDIN CSL_CITATION {"citationItems":[{"id":"ITEM-1","itemData":{"DOI":"10.1021/jf9024807","ISSN":"00218561","abstract":"Curcumin is the lipid-soluble antioxidant compound obtained from the rhizome of Curcuma longa Linn, also known as turmeric. Curcumin targets multiple chemotherapeutic and inflammatory pathways and has demonstrated safety and tolerability in humans, supporting its potential as a therapeutic agent; however, the clinical literature lacks conclusive evidence supporting its use as a therapeutic agent due to its low bioavailability in humans. The purpose of this study was to quantify plasma levels of free curcumin after dosing of a solid lipid curcumin particle (SLCP) formulation versus unformulated curcumin in healthy volunteers and to determine its tolerability and dose-plasma concentration relationship in late-stage osteosarcoma patients. Doses of 2, 3, and 4 g of SLCP were evaluated in 11 patients with osteosarcoma. Plasma curcumin levels were measured using a validated highperformance liquid chromatography method. The limit of detection of the assay was 1 ng/mL of curcumin. In healthy subjects, the mean peak concentration of curcumin achieved from dosing 650 mg of SLCP was 22.43 ng/mL, whereas plasma curcumin from dosing an equal quantity of unformulated 95% curcuminoids extract was not detected. In both healthy individuals and osteosarcoma patients, high interindividual variability in pharmacokinetics and nonlinear dose dependency was observed, suggesting potentially complex absorption kinetics. Overall, good tolerability was noted in both healthy and osteosarcoma groups. ©2010 American Chemical Sudety.","author":[{"dropping-particle":"","family":"Gota","given":"Vikram S.","non-dropping-particle":"","parse-names":false,"suffix":""},{"dropping-particle":"","family":"Maru","given":"Girish B.","non-dropping-particle":"","parse-names":false,"suffix":""},{"dropping-particle":"","family":"Soni","given":"Tejal G.","non-dropping-particle":"","parse-names":false,"suffix":""},{"dropping-particle":"","family":"Gandhi","given":"Tejal R.","non-dropping-particle":"","parse-names":false,"suffix":""},{"dropping-particle":"","family":"Nltin Kochar","given":"","non-dropping-particle":"","parse-names":false,"suffix":""},{"dropping-particle":"","family":"Agarwal","given":"Manish G.","non-dropping-particle":"","parse-names":false,"suffix":""}],"container-title":"Journal of Agricultural and Food Chemistry","id":"ITEM-1","issue":"4","issued":{"date-parts":[["2010","2","24"]]},"page":"2095-2099","publisher":"J Agric Food Chem","title":"Safety and pharmacokinetics of a solid lipid curcumin particle formulation in osteosarcoma patients and healthy volunteers","type":"article-journal","volume":"58"},"uris":["http://www.mendeley.com/documents/?uuid=4e41b322-0926-3bf9-b3a6-7c16a294b139"]}],"mendeley":{"formattedCitation":"[9]","plainTextFormattedCitation":"[9]","previouslyFormattedCitation":"[9]"},"properties":{"noteIndex":0},"schema":"https://github.com/citation-style-language/schema/raw/master/csl-citation.json"}</w:instrText>
      </w:r>
      <w:r w:rsidR="00473FAB" w:rsidRPr="0011329B">
        <w:rPr>
          <w:rFonts w:ascii="Times New Roman" w:hAnsi="Times New Roman"/>
          <w:sz w:val="24"/>
          <w:szCs w:val="24"/>
        </w:rPr>
        <w:fldChar w:fldCharType="separate"/>
      </w:r>
      <w:r w:rsidR="00473FAB" w:rsidRPr="0011329B">
        <w:rPr>
          <w:rFonts w:ascii="Times New Roman" w:hAnsi="Times New Roman"/>
          <w:noProof/>
          <w:sz w:val="24"/>
          <w:szCs w:val="24"/>
        </w:rPr>
        <w:t>[9]</w:t>
      </w:r>
      <w:r w:rsidR="00473FAB" w:rsidRPr="0011329B">
        <w:rPr>
          <w:rFonts w:ascii="Times New Roman" w:hAnsi="Times New Roman"/>
          <w:sz w:val="24"/>
          <w:szCs w:val="24"/>
        </w:rPr>
        <w:fldChar w:fldCharType="end"/>
      </w:r>
      <w:r w:rsidRPr="0011329B">
        <w:rPr>
          <w:rFonts w:ascii="Times New Roman" w:hAnsi="Times New Roman"/>
          <w:sz w:val="24"/>
          <w:szCs w:val="24"/>
        </w:rPr>
        <w:t xml:space="preserve"> </w:t>
      </w:r>
      <w:r w:rsidRPr="0011329B">
        <w:rPr>
          <w:rFonts w:ascii="Times New Roman" w:hAnsi="Times New Roman"/>
          <w:sz w:val="24"/>
          <w:szCs w:val="24"/>
          <w:shd w:val="clear" w:color="auto" w:fill="FFFFFF"/>
        </w:rPr>
        <w:t xml:space="preserve">Despite the diversity of nanocarriers, the lack of toxicity data for the long-term human exposure to nanocarriers complicates the translations of these nanomedicines to clinical use. Therefore, an appealing approach is to process the </w:t>
      </w:r>
      <w:r w:rsidR="00343322" w:rsidRPr="0011329B">
        <w:rPr>
          <w:rFonts w:ascii="Times New Roman" w:hAnsi="Times New Roman"/>
          <w:sz w:val="24"/>
          <w:szCs w:val="24"/>
          <w:shd w:val="clear" w:color="auto" w:fill="FFFFFF"/>
        </w:rPr>
        <w:t xml:space="preserve">active </w:t>
      </w:r>
      <w:r w:rsidRPr="0011329B">
        <w:rPr>
          <w:rFonts w:ascii="Times New Roman" w:hAnsi="Times New Roman"/>
          <w:sz w:val="24"/>
          <w:szCs w:val="24"/>
          <w:shd w:val="clear" w:color="auto" w:fill="FFFFFF"/>
        </w:rPr>
        <w:t xml:space="preserve">into the form of </w:t>
      </w:r>
      <w:r w:rsidR="00B064E4" w:rsidRPr="0011329B">
        <w:rPr>
          <w:rFonts w:ascii="Times New Roman" w:hAnsi="Times New Roman"/>
          <w:sz w:val="24"/>
          <w:szCs w:val="24"/>
          <w:shd w:val="clear" w:color="auto" w:fill="FFFFFF"/>
        </w:rPr>
        <w:t>a</w:t>
      </w:r>
      <w:r w:rsidRPr="0011329B">
        <w:rPr>
          <w:rFonts w:ascii="Times New Roman" w:hAnsi="Times New Roman"/>
          <w:sz w:val="24"/>
          <w:szCs w:val="24"/>
          <w:shd w:val="clear" w:color="auto" w:fill="FFFFFF"/>
        </w:rPr>
        <w:t xml:space="preserve"> nanosuspensions</w:t>
      </w:r>
      <w:r w:rsidR="00B064E4" w:rsidRPr="0011329B">
        <w:rPr>
          <w:rFonts w:ascii="Times New Roman" w:hAnsi="Times New Roman"/>
          <w:sz w:val="24"/>
          <w:szCs w:val="24"/>
          <w:shd w:val="clear" w:color="auto" w:fill="FFFFFF"/>
        </w:rPr>
        <w:t>, nanoparticles composed entirely o</w:t>
      </w:r>
      <w:r w:rsidR="00686DF9" w:rsidRPr="0011329B">
        <w:rPr>
          <w:rFonts w:ascii="Times New Roman" w:hAnsi="Times New Roman"/>
          <w:sz w:val="24"/>
          <w:szCs w:val="24"/>
          <w:shd w:val="clear" w:color="auto" w:fill="FFFFFF"/>
        </w:rPr>
        <w:t>f</w:t>
      </w:r>
      <w:r w:rsidR="00B064E4" w:rsidRPr="0011329B">
        <w:rPr>
          <w:rFonts w:ascii="Times New Roman" w:hAnsi="Times New Roman"/>
          <w:sz w:val="24"/>
          <w:szCs w:val="24"/>
          <w:shd w:val="clear" w:color="auto" w:fill="FFFFFF"/>
        </w:rPr>
        <w:t xml:space="preserve"> the active molecule</w:t>
      </w:r>
      <w:r w:rsidR="00F268DD" w:rsidRPr="0011329B">
        <w:rPr>
          <w:rFonts w:ascii="Times New Roman" w:hAnsi="Times New Roman"/>
          <w:sz w:val="24"/>
          <w:szCs w:val="24"/>
          <w:shd w:val="clear" w:color="auto" w:fill="FFFFFF"/>
        </w:rPr>
        <w:t>,</w:t>
      </w:r>
      <w:r w:rsidR="00343322" w:rsidRPr="0011329B">
        <w:rPr>
          <w:rFonts w:ascii="Times New Roman" w:hAnsi="Times New Roman"/>
          <w:sz w:val="24"/>
          <w:szCs w:val="24"/>
          <w:shd w:val="clear" w:color="auto" w:fill="FFFFFF"/>
        </w:rPr>
        <w:t xml:space="preserve"> thus</w:t>
      </w:r>
      <w:r w:rsidR="00F268DD" w:rsidRPr="0011329B">
        <w:rPr>
          <w:rFonts w:ascii="Times New Roman" w:hAnsi="Times New Roman"/>
          <w:sz w:val="24"/>
          <w:szCs w:val="24"/>
          <w:shd w:val="clear" w:color="auto" w:fill="FFFFFF"/>
        </w:rPr>
        <w:t xml:space="preserve"> removing the need for carrier materials</w:t>
      </w:r>
      <w:r w:rsidR="00B064E4" w:rsidRPr="0011329B">
        <w:rPr>
          <w:rFonts w:ascii="Times New Roman" w:hAnsi="Times New Roman"/>
          <w:sz w:val="24"/>
          <w:szCs w:val="24"/>
          <w:shd w:val="clear" w:color="auto" w:fill="FFFFFF"/>
        </w:rPr>
        <w:t>.</w:t>
      </w:r>
      <w:r w:rsidR="00F268DD" w:rsidRPr="0011329B">
        <w:rPr>
          <w:rFonts w:ascii="Times New Roman" w:hAnsi="Times New Roman"/>
          <w:sz w:val="24"/>
          <w:szCs w:val="24"/>
          <w:shd w:val="clear" w:color="auto" w:fill="FFFFFF"/>
        </w:rPr>
        <w:t xml:space="preserve"> </w:t>
      </w:r>
      <w:r w:rsidR="00A5272F" w:rsidRPr="0011329B">
        <w:rPr>
          <w:rFonts w:ascii="Times New Roman" w:hAnsi="Times New Roman"/>
          <w:sz w:val="24"/>
          <w:szCs w:val="24"/>
          <w:shd w:val="clear" w:color="auto" w:fill="FFFFFF"/>
        </w:rPr>
        <w:t>The simplicity of</w:t>
      </w:r>
      <w:r w:rsidR="00F268DD" w:rsidRPr="0011329B">
        <w:rPr>
          <w:rFonts w:ascii="Times New Roman" w:hAnsi="Times New Roman"/>
          <w:sz w:val="24"/>
          <w:szCs w:val="24"/>
          <w:shd w:val="clear" w:color="auto" w:fill="FFFFFF"/>
        </w:rPr>
        <w:t xml:space="preserve"> nanosuspension</w:t>
      </w:r>
      <w:r w:rsidR="00A5272F" w:rsidRPr="0011329B">
        <w:rPr>
          <w:rFonts w:ascii="Times New Roman" w:hAnsi="Times New Roman"/>
          <w:sz w:val="24"/>
          <w:szCs w:val="24"/>
          <w:shd w:val="clear" w:color="auto" w:fill="FFFFFF"/>
        </w:rPr>
        <w:t>s</w:t>
      </w:r>
      <w:r w:rsidR="00F268DD" w:rsidRPr="0011329B">
        <w:rPr>
          <w:rFonts w:ascii="Times New Roman" w:hAnsi="Times New Roman"/>
          <w:sz w:val="24"/>
          <w:szCs w:val="24"/>
          <w:shd w:val="clear" w:color="auto" w:fill="FFFFFF"/>
        </w:rPr>
        <w:t xml:space="preserve"> has favoured clinical translation with at least 15</w:t>
      </w:r>
      <w:r w:rsidR="00686DF9" w:rsidRPr="0011329B">
        <w:rPr>
          <w:rFonts w:ascii="Times New Roman" w:hAnsi="Times New Roman"/>
          <w:sz w:val="24"/>
          <w:szCs w:val="24"/>
          <w:shd w:val="clear" w:color="auto" w:fill="FFFFFF"/>
        </w:rPr>
        <w:t xml:space="preserve"> marketed</w:t>
      </w:r>
      <w:r w:rsidR="00F268DD" w:rsidRPr="0011329B">
        <w:rPr>
          <w:rFonts w:ascii="Times New Roman" w:hAnsi="Times New Roman"/>
          <w:sz w:val="24"/>
          <w:szCs w:val="24"/>
          <w:shd w:val="clear" w:color="auto" w:fill="FFFFFF"/>
        </w:rPr>
        <w:t xml:space="preserve"> nanosuspension in clinical use.</w:t>
      </w:r>
      <w:r w:rsidR="00F64EE7" w:rsidRPr="0011329B">
        <w:rPr>
          <w:rFonts w:ascii="Times New Roman" w:hAnsi="Times New Roman"/>
          <w:sz w:val="24"/>
          <w:szCs w:val="24"/>
          <w:shd w:val="clear" w:color="auto" w:fill="FFFFFF"/>
        </w:rPr>
        <w:fldChar w:fldCharType="begin" w:fldLock="1"/>
      </w:r>
      <w:r w:rsidR="00147035" w:rsidRPr="0011329B">
        <w:rPr>
          <w:rFonts w:ascii="Times New Roman" w:hAnsi="Times New Roman"/>
          <w:sz w:val="24"/>
          <w:szCs w:val="24"/>
          <w:shd w:val="clear" w:color="auto" w:fill="FFFFFF"/>
        </w:rPr>
        <w:instrText>ADDIN CSL_CITATION {"citationItems":[{"id":"ITEM-1","itemData":{"DOI":"10.1186/s40824-020-0184-8","ISSN":"20557124","abstract":"Rapid advancement in drug discovery process is leading to a number of potential new drug candidates having excellent drug efficacy but limited aqueous solubility. By virtue of the submicron particle size and distinct physicochemical properties, nanosuspension has the potential ability to tackle many formulation and drug delivery issues typically associated with poorly water and lipid soluble drugs. Conventional size reduction equipment such as media mill and high-pressure homogenizers and formulation approaches such as precipitation, emulsion-solvent evaporation, solvent diffusion and microemulsion techniques can be successfully implemented to prepare and scale-up nanosuspensions. Maintaining the stability in solution as well as in solid state, resuspendability without aggregation are the key factors to be considered for the successful production and scale-up of nanosuspensions. Due to the considerable enhancement of bioavailability, adaptability for surface modification and mucoadhesion for drug targeting have significantly expanded the scope of this novel formulation strategy. The application of nanosuspensions in different drug delivery systems such as oral, ocular, brain, topical, buccal, nasal and transdermal routes are currently undergoing extensive research. Oral drug delivery of nanosuspension with receptor mediated endocytosis has the promising ability to resolve most permeability limited absorption and hepatic first-pass metabolism related issues adversely affecting bioavailability. Advancement of enabling technologies such as nanosuspension can solve many formulation challenges currently faced among protein and peptide-based pharmaceuticals.","author":[{"dropping-particle":"","family":"Jacob","given":"Shery","non-dropping-particle":"","parse-names":false,"suffix":""},{"dropping-particle":"","family":"Nair","given":"Anroop B.","non-dropping-particle":"","parse-names":false,"suffix":""},{"dropping-particle":"","family":"Shah","given":"Jigar","non-dropping-particle":"","parse-names":false,"suffix":""}],"container-title":"Biomat Res","id":"ITEM-1","issue":"1","issued":{"date-parts":[["2020","1","15"]]},"page":"1-16","publisher":"BioMed Central Ltd.","title":"Emerging role of nanosuspensions in drug delivery systems","type":"article-journal","volume":"24"},"uris":["http://www.mendeley.com/documents/?uuid=b29c53b9-1cef-3d78-882c-b581e95a838b"]}],"mendeley":{"formattedCitation":"[10]","plainTextFormattedCitation":"[10]","previouslyFormattedCitation":"[10]"},"properties":{"noteIndex":0},"schema":"https://github.com/citation-style-language/schema/raw/master/csl-citation.json"}</w:instrText>
      </w:r>
      <w:r w:rsidR="00F64EE7" w:rsidRPr="0011329B">
        <w:rPr>
          <w:rFonts w:ascii="Times New Roman" w:hAnsi="Times New Roman"/>
          <w:sz w:val="24"/>
          <w:szCs w:val="24"/>
          <w:shd w:val="clear" w:color="auto" w:fill="FFFFFF"/>
        </w:rPr>
        <w:fldChar w:fldCharType="separate"/>
      </w:r>
      <w:r w:rsidR="00F64EE7" w:rsidRPr="0011329B">
        <w:rPr>
          <w:rFonts w:ascii="Times New Roman" w:hAnsi="Times New Roman"/>
          <w:noProof/>
          <w:sz w:val="24"/>
          <w:szCs w:val="24"/>
          <w:shd w:val="clear" w:color="auto" w:fill="FFFFFF"/>
        </w:rPr>
        <w:t>[10]</w:t>
      </w:r>
      <w:r w:rsidR="00F64EE7" w:rsidRPr="0011329B">
        <w:rPr>
          <w:rFonts w:ascii="Times New Roman" w:hAnsi="Times New Roman"/>
          <w:sz w:val="24"/>
          <w:szCs w:val="24"/>
          <w:shd w:val="clear" w:color="auto" w:fill="FFFFFF"/>
        </w:rPr>
        <w:fldChar w:fldCharType="end"/>
      </w:r>
      <w:r w:rsidRPr="0011329B">
        <w:rPr>
          <w:rFonts w:ascii="Times New Roman" w:hAnsi="Times New Roman"/>
          <w:sz w:val="24"/>
          <w:szCs w:val="24"/>
          <w:shd w:val="clear" w:color="auto" w:fill="FFFFFF"/>
        </w:rPr>
        <w:t xml:space="preserve"> Emulsion templated freeze-drying technique is a common method that has been used in the preparation of</w:t>
      </w:r>
      <w:r w:rsidR="00B064E4" w:rsidRPr="0011329B">
        <w:rPr>
          <w:rFonts w:ascii="Times New Roman" w:hAnsi="Times New Roman"/>
          <w:sz w:val="24"/>
          <w:szCs w:val="24"/>
          <w:shd w:val="clear" w:color="auto" w:fill="FFFFFF"/>
        </w:rPr>
        <w:t xml:space="preserve"> nanosuspensions</w:t>
      </w:r>
      <w:r w:rsidRPr="0011329B">
        <w:rPr>
          <w:rFonts w:ascii="Times New Roman" w:hAnsi="Times New Roman"/>
          <w:sz w:val="24"/>
          <w:szCs w:val="24"/>
          <w:shd w:val="clear" w:color="auto" w:fill="FFFFFF"/>
        </w:rPr>
        <w:t xml:space="preserve"> </w:t>
      </w:r>
      <w:r w:rsidR="00B064E4" w:rsidRPr="0011329B">
        <w:rPr>
          <w:rFonts w:ascii="Times New Roman" w:hAnsi="Times New Roman"/>
          <w:sz w:val="24"/>
          <w:szCs w:val="24"/>
          <w:shd w:val="clear" w:color="auto" w:fill="FFFFFF"/>
        </w:rPr>
        <w:t xml:space="preserve">(sometimes also referred to as </w:t>
      </w:r>
      <w:r w:rsidRPr="0011329B">
        <w:rPr>
          <w:rFonts w:ascii="Times New Roman" w:hAnsi="Times New Roman"/>
          <w:sz w:val="24"/>
          <w:szCs w:val="24"/>
          <w:shd w:val="clear" w:color="auto" w:fill="FFFFFF"/>
        </w:rPr>
        <w:t>SDNs</w:t>
      </w:r>
      <w:r w:rsidR="00B064E4" w:rsidRPr="0011329B">
        <w:rPr>
          <w:rFonts w:ascii="Times New Roman" w:hAnsi="Times New Roman"/>
          <w:sz w:val="24"/>
          <w:szCs w:val="24"/>
          <w:shd w:val="clear" w:color="auto" w:fill="FFFFFF"/>
        </w:rPr>
        <w:t>)</w:t>
      </w:r>
      <w:r w:rsidR="006B4873" w:rsidRPr="0011329B">
        <w:rPr>
          <w:rFonts w:ascii="Times New Roman" w:hAnsi="Times New Roman"/>
          <w:sz w:val="24"/>
          <w:szCs w:val="24"/>
          <w:shd w:val="clear" w:color="auto" w:fill="FFFFFF"/>
        </w:rPr>
        <w:t xml:space="preserve"> with </w:t>
      </w:r>
      <w:r w:rsidR="00343322" w:rsidRPr="0011329B">
        <w:rPr>
          <w:rFonts w:ascii="Times New Roman" w:hAnsi="Times New Roman"/>
          <w:sz w:val="24"/>
          <w:szCs w:val="24"/>
          <w:shd w:val="clear" w:color="auto" w:fill="FFFFFF"/>
        </w:rPr>
        <w:t xml:space="preserve">such formulations displaying </w:t>
      </w:r>
      <w:r w:rsidR="006B4873" w:rsidRPr="0011329B">
        <w:rPr>
          <w:rFonts w:ascii="Times New Roman" w:hAnsi="Times New Roman"/>
          <w:sz w:val="24"/>
          <w:szCs w:val="24"/>
          <w:shd w:val="clear" w:color="auto" w:fill="FFFFFF"/>
        </w:rPr>
        <w:t>improved stability and</w:t>
      </w:r>
      <w:r w:rsidR="00343322" w:rsidRPr="0011329B">
        <w:rPr>
          <w:rFonts w:ascii="Times New Roman" w:hAnsi="Times New Roman"/>
          <w:sz w:val="24"/>
          <w:szCs w:val="24"/>
          <w:shd w:val="clear" w:color="auto" w:fill="FFFFFF"/>
        </w:rPr>
        <w:t xml:space="preserve"> faster</w:t>
      </w:r>
      <w:r w:rsidR="006B4873" w:rsidRPr="0011329B">
        <w:rPr>
          <w:rFonts w:ascii="Times New Roman" w:hAnsi="Times New Roman"/>
          <w:sz w:val="24"/>
          <w:szCs w:val="24"/>
          <w:shd w:val="clear" w:color="auto" w:fill="FFFFFF"/>
        </w:rPr>
        <w:t xml:space="preserve"> dissolution rate</w:t>
      </w:r>
      <w:r w:rsidR="00343322" w:rsidRPr="0011329B">
        <w:rPr>
          <w:rFonts w:ascii="Times New Roman" w:hAnsi="Times New Roman"/>
          <w:sz w:val="24"/>
          <w:szCs w:val="24"/>
          <w:shd w:val="clear" w:color="auto" w:fill="FFFFFF"/>
        </w:rPr>
        <w:t>s</w:t>
      </w:r>
      <w:r w:rsidRPr="0011329B">
        <w:rPr>
          <w:rFonts w:ascii="Times New Roman" w:hAnsi="Times New Roman"/>
          <w:sz w:val="24"/>
          <w:szCs w:val="24"/>
          <w:shd w:val="clear" w:color="auto" w:fill="FFFFFF"/>
        </w:rPr>
        <w:t>.</w:t>
      </w:r>
      <w:r w:rsidRPr="0011329B">
        <w:rPr>
          <w:rFonts w:ascii="Times New Roman" w:hAnsi="Times New Roman"/>
          <w:sz w:val="24"/>
          <w:szCs w:val="24"/>
          <w:shd w:val="clear" w:color="auto" w:fill="FFFFFF"/>
        </w:rPr>
        <w:fldChar w:fldCharType="begin" w:fldLock="1"/>
      </w:r>
      <w:r w:rsidR="00147035" w:rsidRPr="0011329B">
        <w:rPr>
          <w:rFonts w:ascii="Times New Roman" w:hAnsi="Times New Roman"/>
          <w:sz w:val="24"/>
          <w:szCs w:val="24"/>
          <w:shd w:val="clear" w:color="auto" w:fill="FFFFFF"/>
        </w:rPr>
        <w:instrText>ADDIN CSL_CITATION {"citationItems":[{"id":"ITEM-1","itemData":{"DOI":"10.1016/j.jcis.2011.01.056","ISSN":"00219797","PMID":"21315369","abstract":"Low water solubility of a high percentage of pharmaceuticals is a big issue for pharmaceutical applications due to the resulting low bioabsorption and hence limited therapeutic efficacy. Preparation of drug nanoparticles has been one of the mostly investigated routes to address this problem. In this study, we reported the preparation of nanoparticles via an emulsion-freeze-drying approach. Indomethacin (IMC, a poorly water-soluble drug) nanoparticles were formed in situ within porous poly(vinyl alcohol). The IMC nanoparticles could be released into water to form stable nanodispersions simply by rapid dissolution of the porous polymeric scaffold. This study focused on how preparation conditions including phase volume ratios in the emulsions and the concentrations of polymer, surfactant and drug influenced the formation of IMC nanoparticles. It was concluded that the loading and size of IMC nanoparticles could be easily tuned by changing the preparation conditions. ?? 2011 Elsevier Inc.","author":[{"dropping-particle":"","family":"Grant","given":"Neil","non-dropping-particle":"","parse-names":false,"suffix":""},{"dropping-particle":"","family":"Zhang","given":"Haifei","non-dropping-particle":"","parse-names":false,"suffix":""}],"container-title":"Journal of Colloid and Interface Science","id":"ITEM-1","issue":"2","issued":{"date-parts":[["2011"]]},"page":"573-578","publisher":"Elsevier Inc.","title":"Poorly water-soluble drug nanoparticles via an emulsion-freeze-drying approach","type":"article-journal","volume":"356"},"uris":["http://www.mendeley.com/documents/?uuid=850cf83a-0a26-4be3-8359-94850fc9a021"]},{"id":"ITEM-2","itemData":{"DOI":"10.1002/jin2.21","ISSN":"20583273","author":[{"dropping-particle":"","family":"Siccardi","given":"Marco","non-dropping-particle":"","parse-names":false,"suffix":""},{"dropping-particle":"","family":"Martin","given":"Phillip","non-dropping-particle":"","parse-names":false,"suffix":""},{"dropping-particle":"","family":"Smith","given":"Darren","non-dropping-particle":"","parse-names":false,"suffix":""},{"dropping-particle":"","family":"Curley","given":"Paul","non-dropping-particle":"","parse-names":false,"suffix":""},{"dropping-particle":"","family":"McDonald","given":"Tom","non-dropping-particle":"","parse-names":false,"suffix":""},{"dropping-particle":"","family":"Giardiello","given":"Marco","non-dropping-particle":"","parse-names":false,"suffix":""},{"dropping-particle":"","family":"Liptrott","given":"Neill","non-dropping-particle":"","parse-names":false,"suffix":""},{"dropping-particle":"","family":"Rannard","given":"Steve","non-dropping-particle":"","parse-names":false,"suffix":""},{"dropping-particle":"","family":"Owen","given":"Andrew","non-dropping-particle":"","parse-names":false,"suffix":""}],"container-title":"Journal of Interdisciplinary Nanomedicine","id":"ITEM-2","issue":"3","issued":{"date-parts":[["2016","9","1"]]},"page":"110-123","publisher":"Wiley-Blackwell","title":"Towards a rational design of solid drug nanoparticles with optimised pharmacological properties","type":"article-journal","volume":"1"},"uris":["http://www.mendeley.com/documents/?uuid=d8096519-73bf-3f60-b8c7-61e970f8b0a7"]},{"id":"ITEM-3","itemData":{"DOI":"10.1016/j.ejpb.2018.05.015","ISSN":"18733441","abstract":"Oral drug administration remains the preferred approach for treatment of HIV in most patients. Maraviroc (MVC) is the first in class co-receptor antagonist, which blocks HIV entry into host cells. MVC has an oral bioavailability of approximately 33%, which is limited by poor permeability as well as affinity for CYP3A and several drug transporters. While once-daily doses are now the favoured option for HIV therapy, dose-limiting postural hypotension has been of theoretical concern when administering doses high enough to achieve this for MVC (particularly during coadministration of enzyme inhibitors). To overcome low bioavailability and modify the pharmacokinetic profile, a series of 70 wt% MVC solid drug nanoparticle (SDN) formulations (containing 30 wt% of various polymer/surfactant excipients) were generated using emulsion templated freeze-drying. The lead formulation contained PVA and AOT excipients ( MVC SDN PVA/AOT ), and was demonstrated to be fully water-dispersible to release drug nanoparticles with z-average diameter of 728 nm and polydispersity index of 0.3. In vitro and in vivo studies of MVC SDN PVA/AOT showed increased apparent permeability of MVC, compared to a conventional MVC preparation, with in vivo studies in rats showing a 2.5-fold increase in AUC (145.33 vs. 58.71 ng h ml −1 ). MVC tissue distribution was similar or slightly increased in tissues examined compared to the conventional MVC preparation, with the exception of the liver, spleen and kidneys, which showed statistically significant increases in MVC for MVC SDN PVA/AOT . These data support a novel oral format with the potential for dose reduction while maintaining therapeutic MVC exposure and potentially enabling a once-daily fixed dose combination product.","author":[{"dropping-particle":"","family":"Savage","given":"Alison C.","non-dropping-particle":"","parse-names":false,"suffix":""},{"dropping-particle":"","family":"Tatham","given":"Lee M.","non-dropping-particle":"","parse-names":false,"suffix":""},{"dropping-particle":"","family":"Siccardi","given":"Marco","non-dropping-particle":"","parse-names":false,"suffix":""},{"dropping-particle":"","family":"Scott","given":"Trevor","non-dropping-particle":"","parse-names":false,"suffix":""},{"dropping-particle":"","family":"Vourvahis","given":"Manoli","non-dropping-particle":"","parse-names":false,"suffix":""},{"dropping-particle":"","family":"Clark","given":"Andrew","non-dropping-particle":"","parse-names":false,"suffix":""},{"dropping-particle":"","family":"Rannard","given":"Steve P.","non-dropping-particle":"","parse-names":false,"suffix":""},{"dropping-particle":"","family":"Owen","given":"Andrew","non-dropping-particle":"","parse-names":false,"suffix":""}],"container-title":"European Journal of Pharmaceutics and Biopharmaceutics","id":"ITEM-3","issued":{"date-parts":[["2019","5","1"]]},"page":"30-36","publisher":"Elsevier B.V.","title":"Improving maraviroc oral bioavailability by formation of solid drug nanoparticles","type":"article-journal","volume":"138"},"uris":["http://www.mendeley.com/documents/?uuid=38e6f348-5c4b-3655-9a84-7be2450c4b9a"]},{"id":"ITEM-4","itemData":{"DOI":"10.1038/ncomms13184","ISSN":"2041-1723","abstract":"Nanomedicine efficacy in a clinical setting depends on the pharmacological properties of the therapeutic nanoparticles. Here, the authors exemplify an accelerated translational strategy from small-scale screening to clinical scale-up for an orally-dosed aqueous paediatric HIV nanomedicine.","author":[{"dropping-particle":"","family":"Giardiello","given":"Marco","non-dropping-particle":"","parse-names":false,"suffix":""},{"dropping-particle":"","family":"Liptrott","given":"Neill J.","non-dropping-particle":"","parse-names":false,"suffix":""},{"dropping-particle":"","family":"McDonald","given":"Tom O.","non-dropping-particle":"","parse-names":false,"suffix":""},{"dropping-particle":"","family":"Moss","given":"Darren","non-dropping-particle":"","parse-names":false,"suffix":""},{"dropping-particle":"","family":"Siccardi","given":"Marco","non-dropping-particle":"","parse-names":false,"suffix":""},{"dropping-particle":"","family":"Martin","given":"Phil","non-dropping-particle":"","parse-names":false,"suffix":""},{"dropping-particle":"","family":"Smith","given":"Darren","non-dropping-particle":"","parse-names":false,"suffix":""},{"dropping-particle":"","family":"Gurjar","given":"Rohan","non-dropping-particle":"","parse-names":false,"suffix":""},{"dropping-particle":"","family":"Rannard","given":"Steve P.","non-dropping-particle":"","parse-names":false,"suffix":""},{"dropping-particle":"","family":"Owen","given":"Andrew","non-dropping-particle":"","parse-names":false,"suffix":""}],"container-title":"Nature Communications","id":"ITEM-4","issued":{"date-parts":[["2016","10","21"]]},"page":"13184","publisher":"Nature Publishing Group","title":"Accelerated oral nanomedicine discovery from miniaturized screening to clinical production exemplified by paediatric HIV nanotherapies","type":"article-journal","volume":"7"},"uris":["http://www.mendeley.com/documents/?uuid=d831f724-2bb2-3783-a420-60aabf6508e3"]},{"id":"ITEM-5","itemData":{"DOI":"10.1002/adhm.201300280","ISSN":"21922640","PMID":"23997027","abstract":"Nanomedicine strategies have produced many commercial products. However, no orally dosed HIV nanomedicines are available clinically to patients. Although nanosuspensions of drug particles have demonstrated many benefits, experimentally achieving &gt;25 wt% of drug relative to stabilizers is highly challenging. In this study, the emulsion-templated freeze-drying technique for nanoparticles formation is applied for the first time to optimize a nanodispersion of the leading non-nucleoside reverse transcriptase inhibitor efavirenz, using clinically acceptable polymers and surfactants. Dry monoliths containing solid drug nanoparticles with extremely high drug loading (70 wt% relative to polymer and surfactant stabilizers) are stable for several months and reconstitute in aqueous media to provide nanodispersions with z-average diameters of 300 nm. The solid drug nanoparticles exhibit reduced cytoxicity and increased in vitro transport through model gut epithelium. In vivo studies confirm bioavailability benefits with an approximately four-fold higher pharmacokinetic exposure after oral administration to rodents, and predictive modeling suggests dose reduction with the new formulation may be possible.","author":[{"dropping-particle":"","family":"McDonald","given":"Tom O.","non-dropping-particle":"","parse-names":false,"suffix":""},{"dropping-particle":"","family":"Giardiello","given":"Marco","non-dropping-particle":"","parse-names":false,"suffix":""},{"dropping-particle":"","family":"Martin","given":"Philip","non-dropping-particle":"","parse-names":false,"suffix":""},{"dropping-particle":"","family":"Siccardi","given":"Marco","non-dropping-particle":"","parse-names":false,"suffix":""},{"dropping-particle":"","family":"Liptrott","given":"Neill J.","non-dropping-particle":"","parse-names":false,"suffix":""},{"dropping-particle":"","family":"Smith","given":"Darren","non-dropping-particle":"","parse-names":false,"suffix":""},{"dropping-particle":"","family":"Roberts","given":"Phill","non-dropping-particle":"","parse-names":false,"suffix":""},{"dropping-particle":"","family":"Curley","given":"Paul","non-dropping-particle":"","parse-names":false,"suffix":""},{"dropping-particle":"","family":"Schipani","given":"Alessandro","non-dropping-particle":"","parse-names":false,"suffix":""},{"dropping-particle":"","family":"Khoo","given":"Saye H.","non-dropping-particle":"","parse-names":false,"suffix":""},{"dropping-particle":"","family":"Long","given":"James","non-dropping-particle":"","parse-names":false,"suffix":""},{"dropping-particle":"","family":"Foster","given":"Alison J.","non-dropping-particle":"","parse-names":false,"suffix":""},{"dropping-particle":"","family":"Rannard","given":"Steven P.","non-dropping-particle":"","parse-names":false,"suffix":""},{"dropping-particle":"","family":"Owen","given":"Andrew","non-dropping-particle":"","parse-names":false,"suffix":""}],"container-title":"Advanced Healthcare Materials","id":"ITEM-5","issue":"3","issued":{"date-parts":[["2014","3"]]},"page":"400-411","title":"Antiretroviral Solid Drug Nanoparticles with Enhanced Oral Bioavailability: Production, Characterization, and In Vitro-In Vivo Correlation","type":"article-journal","volume":"3"},"uris":["http://www.mendeley.com/documents/?uuid=bb24da7f-b4ac-309e-a8ea-cbb5d0a2d3de"]}],"mendeley":{"formattedCitation":"[11–15]","plainTextFormattedCitation":"[11–15]","previouslyFormattedCitation":"[11–15]"},"properties":{"noteIndex":0},"schema":"https://github.com/citation-style-language/schema/raw/master/csl-citation.json"}</w:instrText>
      </w:r>
      <w:r w:rsidRPr="0011329B">
        <w:rPr>
          <w:rFonts w:ascii="Times New Roman" w:hAnsi="Times New Roman"/>
          <w:sz w:val="24"/>
          <w:szCs w:val="24"/>
          <w:shd w:val="clear" w:color="auto" w:fill="FFFFFF"/>
        </w:rPr>
        <w:fldChar w:fldCharType="separate"/>
      </w:r>
      <w:r w:rsidR="00F64EE7" w:rsidRPr="0011329B">
        <w:rPr>
          <w:rFonts w:ascii="Times New Roman" w:hAnsi="Times New Roman"/>
          <w:noProof/>
          <w:sz w:val="24"/>
          <w:szCs w:val="24"/>
          <w:shd w:val="clear" w:color="auto" w:fill="FFFFFF"/>
        </w:rPr>
        <w:t>[11–15]</w:t>
      </w:r>
      <w:r w:rsidRPr="0011329B">
        <w:rPr>
          <w:rFonts w:ascii="Times New Roman" w:hAnsi="Times New Roman"/>
          <w:sz w:val="24"/>
          <w:szCs w:val="24"/>
          <w:shd w:val="clear" w:color="auto" w:fill="FFFFFF"/>
        </w:rPr>
        <w:fldChar w:fldCharType="end"/>
      </w:r>
      <w:r w:rsidRPr="0011329B">
        <w:rPr>
          <w:rFonts w:ascii="Times New Roman" w:hAnsi="Times New Roman"/>
          <w:sz w:val="24"/>
          <w:szCs w:val="24"/>
          <w:shd w:val="clear" w:color="auto" w:fill="FFFFFF"/>
        </w:rPr>
        <w:t xml:space="preserve"> </w:t>
      </w:r>
      <w:r w:rsidRPr="0011329B">
        <w:rPr>
          <w:rFonts w:ascii="Times New Roman" w:hAnsi="Times New Roman"/>
          <w:sz w:val="24"/>
          <w:szCs w:val="24"/>
        </w:rPr>
        <w:t>This approach requires that the drug is dissolved in an oil phase and the stabiliser is dispersed into a continuous aqueous phase.</w:t>
      </w:r>
      <w:r w:rsidRPr="0011329B">
        <w:rPr>
          <w:rFonts w:ascii="Times New Roman" w:hAnsi="Times New Roman"/>
          <w:sz w:val="24"/>
          <w:szCs w:val="24"/>
          <w:vertAlign w:val="superscript"/>
        </w:rPr>
        <w:t xml:space="preserve"> </w:t>
      </w:r>
      <w:r w:rsidRPr="0011329B">
        <w:rPr>
          <w:rFonts w:ascii="Times New Roman" w:hAnsi="Times New Roman"/>
          <w:sz w:val="24"/>
          <w:szCs w:val="24"/>
        </w:rPr>
        <w:t xml:space="preserve">The emulsification of </w:t>
      </w:r>
      <w:r w:rsidR="00343322" w:rsidRPr="0011329B">
        <w:rPr>
          <w:rFonts w:ascii="Times New Roman" w:hAnsi="Times New Roman"/>
          <w:sz w:val="24"/>
          <w:szCs w:val="24"/>
        </w:rPr>
        <w:t xml:space="preserve">the two </w:t>
      </w:r>
      <w:r w:rsidRPr="0011329B">
        <w:rPr>
          <w:rFonts w:ascii="Times New Roman" w:hAnsi="Times New Roman"/>
          <w:sz w:val="24"/>
          <w:szCs w:val="24"/>
        </w:rPr>
        <w:t>phases is followed by freeze-drying, leading to the supersaturation of both liquids (Fig</w:t>
      </w:r>
      <w:r w:rsidR="008574F5" w:rsidRPr="0011329B">
        <w:rPr>
          <w:rFonts w:ascii="Times New Roman" w:hAnsi="Times New Roman"/>
          <w:sz w:val="24"/>
          <w:szCs w:val="24"/>
        </w:rPr>
        <w:t>.</w:t>
      </w:r>
      <w:r w:rsidRPr="0011329B">
        <w:rPr>
          <w:rFonts w:ascii="Times New Roman" w:hAnsi="Times New Roman"/>
          <w:sz w:val="24"/>
          <w:szCs w:val="24"/>
        </w:rPr>
        <w:t xml:space="preserve"> 1).</w:t>
      </w:r>
      <w:r w:rsidRPr="0011329B">
        <w:rPr>
          <w:rFonts w:ascii="Times New Roman" w:hAnsi="Times New Roman"/>
          <w:sz w:val="24"/>
          <w:szCs w:val="24"/>
        </w:rPr>
        <w:fldChar w:fldCharType="begin" w:fldLock="1"/>
      </w:r>
      <w:r w:rsidR="00147035" w:rsidRPr="0011329B">
        <w:rPr>
          <w:rFonts w:ascii="Times New Roman" w:hAnsi="Times New Roman"/>
          <w:sz w:val="24"/>
          <w:szCs w:val="24"/>
        </w:rPr>
        <w:instrText>ADDIN CSL_CITATION {"citationItems":[{"id":"ITEM-1","itemData":{"DOI":"10.1038/nnano.2008.188","ISSN":"17483395","abstract":"Water-insoluble organic compounds are often used in aqueous environments in various pharmaceutical and consumer products. To overcome insolubility, the particles are dispersed in a medium during product formation, but large particles that are formed may affect product performance and safety. Many techniques have been used to produce nanodispersions-dispersions with nanometre-scale dimensions-that have properties similar to solutions. However, making nanodispersions requires complex processing, and it is difficult to achieve stability over long periods. Here we report a generic method for producing organic nanoparticles with a combination of modified emulsion-templating and freeze-drying. The dry powder composites formed using this method are highly porous, stable and form nanodispersions upon simple addition of water. Aqueous nanodispersions of Triclosan (a commercial antimicrobial agent) produced with this approach show greater activity than organic/aqueous solutions of Triclosan. © 2008 Macmillan Publishers Limited. All rights reserved.","author":[{"dropping-particle":"","family":"Zhang","given":"Haifei","non-dropping-particle":"","parse-names":false,"suffix":""},{"dropping-particle":"","family":"Wang","given":"Dong","non-dropping-particle":"","parse-names":false,"suffix":""},{"dropping-particle":"","family":"Butler","given":"Rachel","non-dropping-particle":"","parse-names":false,"suffix":""},{"dropping-particle":"","family":"Campbell","given":"Neil L.","non-dropping-particle":"","parse-names":false,"suffix":""},{"dropping-particle":"","family":"Long","given":"James","non-dropping-particle":"","parse-names":false,"suffix":""},{"dropping-particle":"","family":"Tan","given":"Bien","non-dropping-particle":"","parse-names":false,"suffix":""},{"dropping-particle":"","family":"Duncalf","given":"David J.","non-dropping-particle":"","parse-names":false,"suffix":""},{"dropping-particle":"","family":"Foster","given":"Alison J.","non-dropping-particle":"","parse-names":false,"suffix":""},{"dropping-particle":"","family":"Hopkinson","given":"Andrew","non-dropping-particle":"","parse-names":false,"suffix":""},{"dropping-particle":"","family":"Taylor","given":"David","non-dropping-particle":"","parse-names":false,"suffix":""},{"dropping-particle":"","family":"Angus","given":"Doris","non-dropping-particle":"","parse-names":false,"suffix":""},{"dropping-particle":"","family":"Cooper","given":"Andrew I.","non-dropping-particle":"","parse-names":false,"suffix":""},{"dropping-particle":"","family":"Rannard","given":"Steven P.","non-dropping-particle":"","parse-names":false,"suffix":""}],"container-title":"Nature Nanotechnology","id":"ITEM-1","issue":"8","issued":{"date-parts":[["2008","7","6"]]},"page":"506-511","publisher":"Nature Publishing Group","title":"Formation and enhanced biocidal activity of water-dispersable organic nanoparticles","type":"article-journal","volume":"3"},"uris":["http://www.mendeley.com/documents/?uuid=7f48ff36-e88c-3972-9dd8-2cfdc8d36c79"]},{"id":"ITEM-2","itemData":{"DOI":"10.1002/adhm.201300280","ISSN":"21922640","PMID":"23997027","abstract":"Nanomedicine strategies have produced many commercial products. However, no orally dosed HIV nanomedicines are available clinically to patients. Although nanosuspensions of drug particles have demonstrated many benefits, experimentally achieving &gt;25 wt% of drug relative to stabilizers is highly challenging. In this study, the emulsion-templated freeze-drying technique for nanoparticles formation is applied for the first time to optimize a nanodispersion of the leading non-nucleoside reverse transcriptase inhibitor efavirenz, using clinically acceptable polymers and surfactants. Dry monoliths containing solid drug nanoparticles with extremely high drug loading (70 wt% relative to polymer and surfactant stabilizers) are stable for several months and reconstitute in aqueous media to provide nanodispersions with z-average diameters of 300 nm. The solid drug nanoparticles exhibit reduced cytoxicity and increased in vitro transport through model gut epithelium. In vivo studies confirm bioavailability benefits with an approximately four-fold higher pharmacokinetic exposure after oral administration to rodents, and predictive modeling suggests dose reduction with the new formulation may be possible.","author":[{"dropping-particle":"","family":"McDonald","given":"Tom O.","non-dropping-particle":"","parse-names":false,"suffix":""},{"dropping-particle":"","family":"Giardiello","given":"Marco","non-dropping-particle":"","parse-names":false,"suffix":""},{"dropping-particle":"","family":"Martin","given":"Philip","non-dropping-particle":"","parse-names":false,"suffix":""},{"dropping-particle":"","family":"Siccardi","given":"Marco","non-dropping-particle":"","parse-names":false,"suffix":""},{"dropping-particle":"","family":"Liptrott","given":"Neill J.","non-dropping-particle":"","parse-names":false,"suffix":""},{"dropping-particle":"","family":"Smith","given":"Darren","non-dropping-particle":"","parse-names":false,"suffix":""},{"dropping-particle":"","family":"Roberts","given":"Phill","non-dropping-particle":"","parse-names":false,"suffix":""},{"dropping-particle":"","family":"Curley","given":"Paul","non-dropping-particle":"","parse-names":false,"suffix":""},{"dropping-particle":"","family":"Schipani","given":"Alessandro","non-dropping-particle":"","parse-names":false,"suffix":""},{"dropping-particle":"","family":"Khoo","given":"Saye H.","non-dropping-particle":"","parse-names":false,"suffix":""},{"dropping-particle":"","family":"Long","given":"James","non-dropping-particle":"","parse-names":false,"suffix":""},{"dropping-particle":"","family":"Foster","given":"Alison J.","non-dropping-particle":"","parse-names":false,"suffix":""},{"dropping-particle":"","family":"Rannard","given":"Steven P.","non-dropping-particle":"","parse-names":false,"suffix":""},{"dropping-particle":"","family":"Owen","given":"Andrew","non-dropping-particle":"","parse-names":false,"suffix":""}],"container-title":"Advanced Healthcare Materials","id":"ITEM-2","issue":"3","issued":{"date-parts":[["2014","3"]]},"page":"400-411","title":"Antiretroviral Solid Drug Nanoparticles with Enhanced Oral Bioavailability: Production, Characterization, and In Vitro-In Vivo Correlation","type":"article-journal","volume":"3"},"uris":["http://www.mendeley.com/documents/?uuid=bb24da7f-b4ac-309e-a8ea-cbb5d0a2d3de"]}],"mendeley":{"formattedCitation":"[15,16]","plainTextFormattedCitation":"[15,16]","previouslyFormattedCitation":"[15,16]"},"properties":{"noteIndex":0},"schema":"https://github.com/citation-style-language/schema/raw/master/csl-citation.json"}</w:instrText>
      </w:r>
      <w:r w:rsidRPr="0011329B">
        <w:rPr>
          <w:rFonts w:ascii="Times New Roman" w:hAnsi="Times New Roman"/>
          <w:sz w:val="24"/>
          <w:szCs w:val="24"/>
        </w:rPr>
        <w:fldChar w:fldCharType="separate"/>
      </w:r>
      <w:r w:rsidR="00F64EE7" w:rsidRPr="0011329B">
        <w:rPr>
          <w:rFonts w:ascii="Times New Roman" w:hAnsi="Times New Roman"/>
          <w:noProof/>
          <w:sz w:val="24"/>
          <w:szCs w:val="24"/>
        </w:rPr>
        <w:t>[15,16]</w:t>
      </w:r>
      <w:r w:rsidRPr="0011329B">
        <w:rPr>
          <w:rFonts w:ascii="Times New Roman" w:hAnsi="Times New Roman"/>
          <w:sz w:val="24"/>
          <w:szCs w:val="24"/>
        </w:rPr>
        <w:fldChar w:fldCharType="end"/>
      </w:r>
      <w:r w:rsidRPr="0011329B">
        <w:rPr>
          <w:rFonts w:ascii="Times New Roman" w:hAnsi="Times New Roman"/>
          <w:sz w:val="24"/>
          <w:szCs w:val="24"/>
        </w:rPr>
        <w:t xml:space="preserve"> The volatile oil phase and water sublimate leaving the solidified matrix, consisting of the water-soluble stabilisers containing nanoparticles of drug. These nanoparticles are dispersed in water along with the stabiliser at the point of use. The formation of </w:t>
      </w:r>
      <w:r w:rsidR="00B064E4" w:rsidRPr="0011329B">
        <w:rPr>
          <w:rFonts w:ascii="Times New Roman" w:hAnsi="Times New Roman"/>
          <w:sz w:val="24"/>
          <w:szCs w:val="24"/>
        </w:rPr>
        <w:t>nanosuspensions by the e</w:t>
      </w:r>
      <w:r w:rsidR="00B064E4" w:rsidRPr="0011329B">
        <w:rPr>
          <w:rFonts w:ascii="Times New Roman" w:hAnsi="Times New Roman"/>
          <w:sz w:val="24"/>
          <w:szCs w:val="24"/>
          <w:shd w:val="clear" w:color="auto" w:fill="FFFFFF"/>
        </w:rPr>
        <w:t>mulsion templated freeze-drying technique</w:t>
      </w:r>
      <w:r w:rsidR="00B064E4" w:rsidRPr="0011329B">
        <w:rPr>
          <w:rFonts w:ascii="Times New Roman" w:hAnsi="Times New Roman"/>
          <w:sz w:val="24"/>
          <w:szCs w:val="24"/>
        </w:rPr>
        <w:t xml:space="preserve"> </w:t>
      </w:r>
      <w:r w:rsidRPr="0011329B">
        <w:rPr>
          <w:rFonts w:ascii="Times New Roman" w:hAnsi="Times New Roman"/>
          <w:sz w:val="24"/>
          <w:szCs w:val="24"/>
        </w:rPr>
        <w:t>is often carried out in a screening process, where different excipients were used</w:t>
      </w:r>
      <w:r w:rsidR="0035242B" w:rsidRPr="0011329B">
        <w:rPr>
          <w:rFonts w:ascii="Times New Roman" w:hAnsi="Times New Roman"/>
          <w:sz w:val="24"/>
          <w:szCs w:val="24"/>
        </w:rPr>
        <w:t xml:space="preserve"> aiming to identify the best excipients that could </w:t>
      </w:r>
      <w:r w:rsidR="0035242B" w:rsidRPr="0011329B">
        <w:rPr>
          <w:rFonts w:ascii="Times New Roman" w:hAnsi="Times New Roman"/>
          <w:sz w:val="24"/>
          <w:szCs w:val="24"/>
        </w:rPr>
        <w:lastRenderedPageBreak/>
        <w:t xml:space="preserve">improve the physicochemical properties of the chosen </w:t>
      </w:r>
      <w:r w:rsidR="00343322" w:rsidRPr="0011329B">
        <w:rPr>
          <w:rFonts w:ascii="Times New Roman" w:hAnsi="Times New Roman"/>
          <w:sz w:val="24"/>
          <w:szCs w:val="24"/>
        </w:rPr>
        <w:t>active</w:t>
      </w:r>
      <w:r w:rsidR="0035242B" w:rsidRPr="0011329B">
        <w:rPr>
          <w:rFonts w:ascii="Times New Roman" w:hAnsi="Times New Roman"/>
          <w:sz w:val="24"/>
          <w:szCs w:val="24"/>
        </w:rPr>
        <w:t xml:space="preserve">. Nonetheless, </w:t>
      </w:r>
      <w:r w:rsidR="00343322" w:rsidRPr="0011329B">
        <w:rPr>
          <w:rFonts w:ascii="Times New Roman" w:hAnsi="Times New Roman"/>
          <w:sz w:val="24"/>
          <w:szCs w:val="24"/>
        </w:rPr>
        <w:t>different actives have been found to</w:t>
      </w:r>
      <w:r w:rsidR="0035242B" w:rsidRPr="0011329B">
        <w:rPr>
          <w:rFonts w:ascii="Times New Roman" w:hAnsi="Times New Roman"/>
          <w:sz w:val="24"/>
          <w:szCs w:val="24"/>
        </w:rPr>
        <w:t xml:space="preserve"> require different </w:t>
      </w:r>
      <w:r w:rsidR="00247E3A" w:rsidRPr="0011329B">
        <w:rPr>
          <w:rFonts w:ascii="Times New Roman" w:hAnsi="Times New Roman"/>
          <w:sz w:val="24"/>
          <w:szCs w:val="24"/>
        </w:rPr>
        <w:t>excipients</w:t>
      </w:r>
      <w:r w:rsidR="0035242B" w:rsidRPr="0011329B">
        <w:rPr>
          <w:rFonts w:ascii="Times New Roman" w:hAnsi="Times New Roman"/>
          <w:sz w:val="24"/>
          <w:szCs w:val="24"/>
        </w:rPr>
        <w:t xml:space="preserve">, and no single </w:t>
      </w:r>
      <w:r w:rsidR="00247E3A" w:rsidRPr="0011329B">
        <w:rPr>
          <w:rFonts w:ascii="Times New Roman" w:hAnsi="Times New Roman"/>
          <w:sz w:val="24"/>
          <w:szCs w:val="24"/>
        </w:rPr>
        <w:t>excipients</w:t>
      </w:r>
      <w:r w:rsidR="0035242B" w:rsidRPr="0011329B">
        <w:rPr>
          <w:rFonts w:ascii="Times New Roman" w:hAnsi="Times New Roman"/>
          <w:sz w:val="24"/>
          <w:szCs w:val="24"/>
        </w:rPr>
        <w:t xml:space="preserve"> can be used for all drugs because there are no empirical or theoretical guidelines for </w:t>
      </w:r>
      <w:r w:rsidR="00247E3A" w:rsidRPr="0011329B">
        <w:rPr>
          <w:rFonts w:ascii="Times New Roman" w:hAnsi="Times New Roman"/>
          <w:sz w:val="24"/>
          <w:szCs w:val="24"/>
        </w:rPr>
        <w:t>excipients</w:t>
      </w:r>
      <w:r w:rsidR="0035242B" w:rsidRPr="0011329B">
        <w:rPr>
          <w:rFonts w:ascii="Times New Roman" w:hAnsi="Times New Roman"/>
          <w:sz w:val="24"/>
          <w:szCs w:val="24"/>
        </w:rPr>
        <w:t xml:space="preserve"> selection</w:t>
      </w:r>
      <w:r w:rsidRPr="0011329B">
        <w:rPr>
          <w:rFonts w:ascii="Times New Roman" w:hAnsi="Times New Roman"/>
          <w:sz w:val="24"/>
          <w:szCs w:val="24"/>
        </w:rPr>
        <w:t>.</w:t>
      </w:r>
      <w:r w:rsidRPr="0011329B">
        <w:rPr>
          <w:rFonts w:ascii="Times New Roman" w:hAnsi="Times New Roman"/>
          <w:sz w:val="24"/>
          <w:szCs w:val="24"/>
        </w:rPr>
        <w:fldChar w:fldCharType="begin" w:fldLock="1"/>
      </w:r>
      <w:r w:rsidR="00147035" w:rsidRPr="0011329B">
        <w:rPr>
          <w:rFonts w:ascii="Times New Roman" w:hAnsi="Times New Roman"/>
          <w:sz w:val="24"/>
          <w:szCs w:val="24"/>
        </w:rPr>
        <w:instrText>ADDIN CSL_CITATION {"citationItems":[{"id":"ITEM-1","itemData":{"DOI":"10.1038/s41467-017-02603-z","ISSN":"2041-1723","abstract":"Chemoprophylaxis is currently the best available prevention from malaria, but its efficacy is compromised by non-adherence to medication. Here we develop a long-acting injectable formulation of atovaquone solid drug nanoparticles that confers long-lived prophylaxis against Plasmodium berghei ANKA malaria in C57BL/6 mice. Protection is obtained at plasma concentrations above 200 ng ml-1 and is causal, attributable to drug activity against liver stage parasites. Parasites that appear after subtherapeutic doses remain atovaquone-sensitive. Pharmacokinetic–pharmacodynamic analysis indicates protection can translate to humans at clinically achievable and safe drug concentrations, potentially offering protection for at least 1 month after a single administration. These findings support the use of long-acting injectable formulations as a new approach for malaria prophylaxis in travellers and for malaria control in the field.","author":[{"dropping-particle":"","family":"Bakshi","given":"Rahul P.","non-dropping-particle":"","parse-names":false,"suffix":""},{"dropping-particle":"","family":"Tatham","given":"Lee M.","non-dropping-particle":"","parse-names":false,"suffix":""},{"dropping-particle":"","family":"Savage","given":"Alison C.","non-dropping-particle":"","parse-names":false,"suffix":""},{"dropping-particle":"","family":"Tripathi","given":"Abhai K.","non-dropping-particle":"","parse-names":false,"suffix":""},{"dropping-particle":"","family":"Mlambo","given":"Godfree","non-dropping-particle":"","parse-names":false,"suffix":""},{"dropping-particle":"","family":"Ippolito","given":"Matthew M.","non-dropping-particle":"","parse-names":false,"suffix":""},{"dropping-particle":"","family":"Nenortas","given":"Elizabeth","non-dropping-particle":"","parse-names":false,"suffix":""},{"dropping-particle":"","family":"Rannard","given":"Steve P.","non-dropping-particle":"","parse-names":false,"suffix":""},{"dropping-particle":"","family":"Owen","given":"Andrew","non-dropping-particle":"","parse-names":false,"suffix":""},{"dropping-particle":"","family":"Shapiro","given":"Theresa A.","non-dropping-particle":"","parse-names":false,"suffix":""}],"container-title":"Nature Communications","id":"ITEM-1","issue":"1","issued":{"date-parts":[["2018","12","22"]]},"page":"315","publisher":"Nature Publishing Group","title":"Long-acting injectable atovaquone nanomedicines for malaria prophylaxis","type":"article-journal","volume":"9"},"uris":["http://www.mendeley.com/documents/?uuid=56b3fe57-b4a5-3ea5-8f42-cef606b77216"]},{"id":"ITEM-2","itemData":{"DOI":"10.1016/j.ejpb.2018.05.015","ISSN":"18733441","abstract":"Oral drug administration remains the preferred approach for treatment of HIV in most patients. Maraviroc (MVC) is the first in class co-receptor antagonist, which blocks HIV entry into host cells. MVC has an oral bioavailability of approximately 33%, which is limited by poor permeability as well as affinity for CYP3A and several drug transporters. While once-daily doses are now the favoured option for HIV therapy, dose-limiting postural hypotension has been of theoretical concern when administering doses high enough to achieve this for MVC (particularly during coadministration of enzyme inhibitors). To overcome low bioavailability and modify the pharmacokinetic profile, a series of 70 wt% MVC solid drug nanoparticle (SDN) formulations (containing 30 wt% of various polymer/surfactant excipients) were generated using emulsion templated freeze-drying. The lead formulation contained PVA and AOT excipients ( MVC SDN PVA/AOT ), and was demonstrated to be fully water-dispersible to release drug nanoparticles with z-average diameter of 728 nm and polydispersity index of 0.3. In vitro and in vivo studies of MVC SDN PVA/AOT showed increased apparent permeability of MVC, compared to a conventional MVC preparation, with in vivo studies in rats showing a 2.5-fold increase in AUC (145.33 vs. 58.71 ng h ml −1 ). MVC tissue distribution was similar or slightly increased in tissues examined compared to the conventional MVC preparation, with the exception of the liver, spleen and kidneys, which showed statistically significant increases in MVC for MVC SDN PVA/AOT . These data support a novel oral format with the potential for dose reduction while maintaining therapeutic MVC exposure and potentially enabling a once-daily fixed dose combination product.","author":[{"dropping-particle":"","family":"Savage","given":"Alison C.","non-dropping-particle":"","parse-names":false,"suffix":""},{"dropping-particle":"","family":"Tatham","given":"Lee M.","non-dropping-particle":"","parse-names":false,"suffix":""},{"dropping-particle":"","family":"Siccardi","given":"Marco","non-dropping-particle":"","parse-names":false,"suffix":""},{"dropping-particle":"","family":"Scott","given":"Trevor","non-dropping-particle":"","parse-names":false,"suffix":""},{"dropping-particle":"","family":"Vourvahis","given":"Manoli","non-dropping-particle":"","parse-names":false,"suffix":""},{"dropping-particle":"","family":"Clark","given":"Andrew","non-dropping-particle":"","parse-names":false,"suffix":""},{"dropping-particle":"","family":"Rannard","given":"Steve P.","non-dropping-particle":"","parse-names":false,"suffix":""},{"dropping-particle":"","family":"Owen","given":"Andrew","non-dropping-particle":"","parse-names":false,"suffix":""}],"container-title":"European Journal of Pharmaceutics and Biopharmaceutics","id":"ITEM-2","issued":{"date-parts":[["2019","5","1"]]},"page":"30-36","publisher":"Elsevier B.V.","title":"Improving maraviroc oral bioavailability by formation of solid drug nanoparticles","type":"article-journal","volume":"138"},"uris":["http://www.mendeley.com/documents/?uuid=38e6f348-5c4b-3655-9a84-7be2450c4b9a"]},{"id":"ITEM-3","itemData":{"DOI":"10.1038/ncomms13184","ISSN":"2041-1723","abstract":"Nanomedicine efficacy in a clinical setting depends on the pharmacological properties of the therapeutic nanoparticles. Here, the authors exemplify an accelerated translational strategy from small-scale screening to clinical scale-up for an orally-dosed aqueous paediatric HIV nanomedicine.","author":[{"dropping-particle":"","family":"Giardiello","given":"Marco","non-dropping-particle":"","parse-names":false,"suffix":""},{"dropping-particle":"","family":"Liptrott","given":"Neill J.","non-dropping-particle":"","parse-names":false,"suffix":""},{"dropping-particle":"","family":"McDonald","given":"Tom O.","non-dropping-particle":"","parse-names":false,"suffix":""},{"dropping-particle":"","family":"Moss","given":"Darren","non-dropping-particle":"","parse-names":false,"suffix":""},{"dropping-particle":"","family":"Siccardi","given":"Marco","non-dropping-particle":"","parse-names":false,"suffix":""},{"dropping-particle":"","family":"Martin","given":"Phil","non-dropping-particle":"","parse-names":false,"suffix":""},{"dropping-particle":"","family":"Smith","given":"Darren","non-dropping-particle":"","parse-names":false,"suffix":""},{"dropping-particle":"","family":"Gurjar","given":"Rohan","non-dropping-particle":"","parse-names":false,"suffix":""},{"dropping-particle":"","family":"Rannard","given":"Steve P.","non-dropping-particle":"","parse-names":false,"suffix":""},{"dropping-particle":"","family":"Owen","given":"Andrew","non-dropping-particle":"","parse-names":false,"suffix":""}],"container-title":"Nature Communications","id":"ITEM-3","issued":{"date-parts":[["2016","10","21"]]},"page":"13184","publisher":"Nature Publishing Group","title":"Accelerated oral nanomedicine discovery from miniaturized screening to clinical production exemplified by paediatric HIV nanotherapies","type":"article-journal","volume":"7"},"uris":["http://www.mendeley.com/documents/?uuid=d831f724-2bb2-3783-a420-60aabf6508e3"]},{"id":"ITEM-4","itemData":{"DOI":"10.1002/adhm.201300280","ISSN":"21922640","PMID":"23997027","abstract":"Nanomedicine strategies have produced many commercial products. However, no orally dosed HIV nanomedicines are available clinically to patients. Although nanosuspensions of drug particles have demonstrated many benefits, experimentally achieving &gt;25 wt% of drug relative to stabilizers is highly challenging. In this study, the emulsion-templated freeze-drying technique for nanoparticles formation is applied for the first time to optimize a nanodispersion of the leading non-nucleoside reverse transcriptase inhibitor efavirenz, using clinically acceptable polymers and surfactants. Dry monoliths containing solid drug nanoparticles with extremely high drug loading (70 wt% relative to polymer and surfactant stabilizers) are stable for several months and reconstitute in aqueous media to provide nanodispersions with z-average diameters of 300 nm. The solid drug nanoparticles exhibit reduced cytoxicity and increased in vitro transport through model gut epithelium. In vivo studies confirm bioavailability benefits with an approximately four-fold higher pharmacokinetic exposure after oral administration to rodents, and predictive modeling suggests dose reduction with the new formulation may be possible.","author":[{"dropping-particle":"","family":"McDonald","given":"Tom O.","non-dropping-particle":"","parse-names":false,"suffix":""},{"dropping-particle":"","family":"Giardiello","given":"Marco","non-dropping-particle":"","parse-names":false,"suffix":""},{"dropping-particle":"","family":"Martin","given":"Philip","non-dropping-particle":"","parse-names":false,"suffix":""},{"dropping-particle":"","family":"Siccardi","given":"Marco","non-dropping-particle":"","parse-names":false,"suffix":""},{"dropping-particle":"","family":"Liptrott","given":"Neill J.","non-dropping-particle":"","parse-names":false,"suffix":""},{"dropping-particle":"","family":"Smith","given":"Darren","non-dropping-particle":"","parse-names":false,"suffix":""},{"dropping-particle":"","family":"Roberts","given":"Phill","non-dropping-particle":"","parse-names":false,"suffix":""},{"dropping-particle":"","family":"Curley","given":"Paul","non-dropping-particle":"","parse-names":false,"suffix":""},{"dropping-particle":"","family":"Schipani","given":"Alessandro","non-dropping-particle":"","parse-names":false,"suffix":""},{"dropping-particle":"","family":"Khoo","given":"Saye H.","non-dropping-particle":"","parse-names":false,"suffix":""},{"dropping-particle":"","family":"Long","given":"James","non-dropping-particle":"","parse-names":false,"suffix":""},{"dropping-particle":"","family":"Foster","given":"Alison J.","non-dropping-particle":"","parse-names":false,"suffix":""},{"dropping-particle":"","family":"Rannard","given":"Steven P.","non-dropping-particle":"","parse-names":false,"suffix":""},{"dropping-particle":"","family":"Owen","given":"Andrew","non-dropping-particle":"","parse-names":false,"suffix":""}],"container-title":"Advanced Healthcare Materials","id":"ITEM-4","issue":"3","issued":{"date-parts":[["2014","3"]]},"page":"400-411","title":"Antiretroviral Solid Drug Nanoparticles with Enhanced Oral Bioavailability: Production, Characterization, and In Vitro-In Vivo Correlation","type":"article-journal","volume":"3"},"uris":["http://www.mendeley.com/documents/?uuid=bb24da7f-b4ac-309e-a8ea-cbb5d0a2d3de"]}],"mendeley":{"formattedCitation":"[13–15,17]","plainTextFormattedCitation":"[13–15,17]","previouslyFormattedCitation":"[13–15,17]"},"properties":{"noteIndex":0},"schema":"https://github.com/citation-style-language/schema/raw/master/csl-citation.json"}</w:instrText>
      </w:r>
      <w:r w:rsidRPr="0011329B">
        <w:rPr>
          <w:rFonts w:ascii="Times New Roman" w:hAnsi="Times New Roman"/>
          <w:sz w:val="24"/>
          <w:szCs w:val="24"/>
        </w:rPr>
        <w:fldChar w:fldCharType="separate"/>
      </w:r>
      <w:r w:rsidR="00F64EE7" w:rsidRPr="0011329B">
        <w:rPr>
          <w:rFonts w:ascii="Times New Roman" w:hAnsi="Times New Roman"/>
          <w:noProof/>
          <w:sz w:val="24"/>
          <w:szCs w:val="24"/>
        </w:rPr>
        <w:t>[13–15,17]</w:t>
      </w:r>
      <w:r w:rsidRPr="0011329B">
        <w:rPr>
          <w:rFonts w:ascii="Times New Roman" w:hAnsi="Times New Roman"/>
          <w:sz w:val="24"/>
          <w:szCs w:val="24"/>
        </w:rPr>
        <w:fldChar w:fldCharType="end"/>
      </w:r>
      <w:r w:rsidRPr="0011329B">
        <w:rPr>
          <w:rFonts w:ascii="Times New Roman" w:hAnsi="Times New Roman"/>
          <w:sz w:val="24"/>
          <w:szCs w:val="24"/>
        </w:rPr>
        <w:t xml:space="preserve"> Consequently, the choice of appropriate stabilisers is crucial for the successful formulation of</w:t>
      </w:r>
      <w:r w:rsidR="00B064E4" w:rsidRPr="0011329B">
        <w:rPr>
          <w:rFonts w:ascii="Times New Roman" w:hAnsi="Times New Roman"/>
          <w:sz w:val="24"/>
          <w:szCs w:val="24"/>
        </w:rPr>
        <w:t xml:space="preserve"> redispersible</w:t>
      </w:r>
      <w:r w:rsidRPr="0011329B">
        <w:rPr>
          <w:rFonts w:ascii="Times New Roman" w:hAnsi="Times New Roman"/>
          <w:sz w:val="24"/>
          <w:szCs w:val="24"/>
        </w:rPr>
        <w:t xml:space="preserve"> </w:t>
      </w:r>
      <w:r w:rsidR="00B064E4" w:rsidRPr="0011329B">
        <w:rPr>
          <w:rFonts w:ascii="Times New Roman" w:hAnsi="Times New Roman"/>
          <w:sz w:val="24"/>
          <w:szCs w:val="24"/>
        </w:rPr>
        <w:t>nanosuspensions</w:t>
      </w:r>
      <w:r w:rsidRPr="0011329B">
        <w:rPr>
          <w:rFonts w:ascii="Times New Roman" w:hAnsi="Times New Roman"/>
          <w:sz w:val="24"/>
          <w:szCs w:val="24"/>
        </w:rPr>
        <w:t xml:space="preserve">. It is also important to employ the appropriate concentration of </w:t>
      </w:r>
      <w:r w:rsidR="00343322" w:rsidRPr="0011329B">
        <w:rPr>
          <w:rFonts w:ascii="Times New Roman" w:hAnsi="Times New Roman"/>
          <w:sz w:val="24"/>
          <w:szCs w:val="24"/>
        </w:rPr>
        <w:t xml:space="preserve">active </w:t>
      </w:r>
      <w:r w:rsidRPr="0011329B">
        <w:rPr>
          <w:rFonts w:ascii="Times New Roman" w:hAnsi="Times New Roman"/>
          <w:sz w:val="24"/>
          <w:szCs w:val="24"/>
        </w:rPr>
        <w:t xml:space="preserve">to obtain a completely dispersed drug in aqueous environment and simultaneously avoid nanoparticle aggregation. </w:t>
      </w:r>
    </w:p>
    <w:p w14:paraId="51DB0238" w14:textId="2ADDA3B5" w:rsidR="0035242B" w:rsidRPr="0011329B" w:rsidRDefault="0035242B" w:rsidP="002F10E8">
      <w:pPr>
        <w:pStyle w:val="RSCB02ArticleText"/>
        <w:spacing w:line="360" w:lineRule="auto"/>
        <w:rPr>
          <w:rFonts w:ascii="Times New Roman" w:hAnsi="Times New Roman"/>
          <w:sz w:val="24"/>
          <w:szCs w:val="24"/>
        </w:rPr>
      </w:pPr>
    </w:p>
    <w:p w14:paraId="469B2067" w14:textId="19D62731" w:rsidR="008F4997" w:rsidRPr="0011329B" w:rsidRDefault="008F4997" w:rsidP="002F10E8">
      <w:pPr>
        <w:pStyle w:val="RSCB02ArticleText"/>
        <w:spacing w:line="360" w:lineRule="auto"/>
        <w:rPr>
          <w:rFonts w:ascii="Times New Roman" w:hAnsi="Times New Roman"/>
          <w:sz w:val="24"/>
          <w:szCs w:val="24"/>
          <w:shd w:val="clear" w:color="auto" w:fill="FFFFFF"/>
        </w:rPr>
      </w:pPr>
      <w:r w:rsidRPr="0011329B">
        <w:rPr>
          <w:rFonts w:ascii="Times New Roman" w:hAnsi="Times New Roman"/>
          <w:sz w:val="24"/>
          <w:szCs w:val="24"/>
          <w:shd w:val="clear" w:color="auto" w:fill="FFFFFF"/>
        </w:rPr>
        <w:t>Emulsion templated freeze-drying</w:t>
      </w:r>
      <w:r w:rsidR="00343322" w:rsidRPr="0011329B">
        <w:rPr>
          <w:rFonts w:ascii="Times New Roman" w:hAnsi="Times New Roman"/>
          <w:sz w:val="24"/>
          <w:szCs w:val="24"/>
          <w:shd w:val="clear" w:color="auto" w:fill="FFFFFF"/>
        </w:rPr>
        <w:t xml:space="preserve"> also offers an additional benefit; it</w:t>
      </w:r>
      <w:r w:rsidRPr="0011329B">
        <w:rPr>
          <w:rFonts w:ascii="Times New Roman" w:hAnsi="Times New Roman"/>
          <w:sz w:val="24"/>
          <w:szCs w:val="24"/>
          <w:shd w:val="clear" w:color="auto" w:fill="FFFFFF"/>
        </w:rPr>
        <w:t xml:space="preserve"> results in a solid monolith that can easily be stored in a dry form prior to use</w:t>
      </w:r>
      <w:r w:rsidR="006B4873" w:rsidRPr="0011329B">
        <w:rPr>
          <w:rFonts w:ascii="Times New Roman" w:hAnsi="Times New Roman"/>
          <w:sz w:val="24"/>
          <w:szCs w:val="24"/>
          <w:shd w:val="clear" w:color="auto" w:fill="FFFFFF"/>
        </w:rPr>
        <w:t>, which in turn improve and prolong</w:t>
      </w:r>
      <w:r w:rsidR="00343322" w:rsidRPr="0011329B">
        <w:rPr>
          <w:rFonts w:ascii="Times New Roman" w:hAnsi="Times New Roman"/>
          <w:sz w:val="24"/>
          <w:szCs w:val="24"/>
          <w:shd w:val="clear" w:color="auto" w:fill="FFFFFF"/>
        </w:rPr>
        <w:t xml:space="preserve"> the</w:t>
      </w:r>
      <w:r w:rsidR="006B4873" w:rsidRPr="0011329B">
        <w:rPr>
          <w:rFonts w:ascii="Times New Roman" w:hAnsi="Times New Roman"/>
          <w:sz w:val="24"/>
          <w:szCs w:val="24"/>
          <w:shd w:val="clear" w:color="auto" w:fill="FFFFFF"/>
        </w:rPr>
        <w:t xml:space="preserve"> storage stability</w:t>
      </w:r>
      <w:r w:rsidR="00343322" w:rsidRPr="0011329B">
        <w:rPr>
          <w:rFonts w:ascii="Times New Roman" w:hAnsi="Times New Roman"/>
          <w:sz w:val="24"/>
          <w:szCs w:val="24"/>
          <w:shd w:val="clear" w:color="auto" w:fill="FFFFFF"/>
        </w:rPr>
        <w:t xml:space="preserve"> of the formulation</w:t>
      </w:r>
      <w:r w:rsidRPr="0011329B">
        <w:rPr>
          <w:rFonts w:ascii="Times New Roman" w:hAnsi="Times New Roman"/>
          <w:sz w:val="24"/>
          <w:szCs w:val="24"/>
          <w:shd w:val="clear" w:color="auto" w:fill="FFFFFF"/>
        </w:rPr>
        <w:t>. These solid monoliths consist of a matrix of excipients in which drug nanoparticles are contained. The addition of water to the solid matrix results in the dispersion of the nanoparticles</w:t>
      </w:r>
      <w:r w:rsidR="009135A8" w:rsidRPr="0011329B">
        <w:rPr>
          <w:rFonts w:ascii="Times New Roman" w:hAnsi="Times New Roman"/>
          <w:sz w:val="24"/>
          <w:szCs w:val="24"/>
          <w:shd w:val="clear" w:color="auto" w:fill="FFFFFF"/>
        </w:rPr>
        <w:t xml:space="preserve"> made of the active</w:t>
      </w:r>
      <w:r w:rsidRPr="0011329B">
        <w:rPr>
          <w:rFonts w:ascii="Times New Roman" w:hAnsi="Times New Roman"/>
          <w:sz w:val="24"/>
          <w:szCs w:val="24"/>
          <w:shd w:val="clear" w:color="auto" w:fill="FFFFFF"/>
        </w:rPr>
        <w:t xml:space="preserve">, which are themselves stabilised by the excipients. It is likely that </w:t>
      </w:r>
      <w:r w:rsidRPr="0011329B">
        <w:rPr>
          <w:rFonts w:ascii="Times New Roman" w:hAnsi="Times New Roman"/>
          <w:sz w:val="24"/>
          <w:szCs w:val="24"/>
        </w:rPr>
        <w:t xml:space="preserve">the stabilisers bind to the surface of the </w:t>
      </w:r>
      <w:r w:rsidR="009135A8" w:rsidRPr="0011329B">
        <w:rPr>
          <w:rFonts w:ascii="Times New Roman" w:hAnsi="Times New Roman"/>
          <w:sz w:val="24"/>
          <w:szCs w:val="24"/>
        </w:rPr>
        <w:t xml:space="preserve">active </w:t>
      </w:r>
      <w:r w:rsidRPr="0011329B">
        <w:rPr>
          <w:rFonts w:ascii="Times New Roman" w:hAnsi="Times New Roman"/>
          <w:sz w:val="24"/>
          <w:szCs w:val="24"/>
        </w:rPr>
        <w:t xml:space="preserve">nanoparticles to minimise the solid-liquid interfacial tension, preventing uncontrolled growth of the nanoparticles and stabilising the </w:t>
      </w:r>
      <w:r w:rsidR="009135A8" w:rsidRPr="0011329B">
        <w:rPr>
          <w:rFonts w:ascii="Times New Roman" w:hAnsi="Times New Roman"/>
          <w:sz w:val="24"/>
          <w:szCs w:val="24"/>
        </w:rPr>
        <w:t xml:space="preserve">active </w:t>
      </w:r>
      <w:r w:rsidRPr="0011329B">
        <w:rPr>
          <w:rFonts w:ascii="Times New Roman" w:hAnsi="Times New Roman"/>
          <w:sz w:val="24"/>
          <w:szCs w:val="24"/>
        </w:rPr>
        <w:t>particles after dispersion.</w:t>
      </w:r>
      <w:r w:rsidRPr="0011329B">
        <w:rPr>
          <w:rStyle w:val="FootnoteReference"/>
          <w:rFonts w:ascii="Times New Roman" w:hAnsi="Times New Roman"/>
          <w:sz w:val="24"/>
          <w:szCs w:val="24"/>
        </w:rPr>
        <w:fldChar w:fldCharType="begin" w:fldLock="1"/>
      </w:r>
      <w:r w:rsidR="00147035" w:rsidRPr="0011329B">
        <w:rPr>
          <w:rFonts w:ascii="Times New Roman" w:hAnsi="Times New Roman"/>
          <w:sz w:val="24"/>
          <w:szCs w:val="24"/>
        </w:rPr>
        <w:instrText>ADDIN CSL_CITATION {"citationItems":[{"id":"ITEM-1","itemData":{"DOI":"10.1016/j.ejpb.2018.05.015","ISSN":"18733441","abstract":"Oral drug administration remains the preferred approach for treatment of HIV in most patients. Maraviroc (MVC) is the first in class co-receptor antagonist, which blocks HIV entry into host cells. MVC has an oral bioavailability of approximately 33%, which is limited by poor permeability as well as affinity for CYP3A and several drug transporters. While once-daily doses are now the favoured option for HIV therapy, dose-limiting postural hypotension has been of theoretical concern when administering doses high enough to achieve this for MVC (particularly during coadministration of enzyme inhibitors). To overcome low bioavailability and modify the pharmacokinetic profile, a series of 70 wt% MVC solid drug nanoparticle (SDN) formulations (containing 30 wt% of various polymer/surfactant excipients) were generated using emulsion templated freeze-drying. The lead formulation contained PVA and AOT excipients ( MVC SDN PVA/AOT ), and was demonstrated to be fully water-dispersible to release drug nanoparticles with z-average diameter of 728 nm and polydispersity index of 0.3. In vitro and in vivo studies of MVC SDN PVA/AOT showed increased apparent permeability of MVC, compared to a conventional MVC preparation, with in vivo studies in rats showing a 2.5-fold increase in AUC (145.33 vs. 58.71 ng h ml −1 ). MVC tissue distribution was similar or slightly increased in tissues examined compared to the conventional MVC preparation, with the exception of the liver, spleen and kidneys, which showed statistically significant increases in MVC for MVC SDN PVA/AOT . These data support a novel oral format with the potential for dose reduction while maintaining therapeutic MVC exposure and potentially enabling a once-daily fixed dose combination product.","author":[{"dropping-particle":"","family":"Savage","given":"Alison C.","non-dropping-particle":"","parse-names":false,"suffix":""},{"dropping-particle":"","family":"Tatham","given":"Lee M.","non-dropping-particle":"","parse-names":false,"suffix":""},{"dropping-particle":"","family":"Siccardi","given":"Marco","non-dropping-particle":"","parse-names":false,"suffix":""},{"dropping-particle":"","family":"Scott","given":"Trevor","non-dropping-particle":"","parse-names":false,"suffix":""},{"dropping-particle":"","family":"Vourvahis","given":"Manoli","non-dropping-particle":"","parse-names":false,"suffix":""},{"dropping-particle":"","family":"Clark","given":"Andrew","non-dropping-particle":"","parse-names":false,"suffix":""},{"dropping-particle":"","family":"Rannard","given":"Steve P.","non-dropping-particle":"","parse-names":false,"suffix":""},{"dropping-particle":"","family":"Owen","given":"Andrew","non-dropping-particle":"","parse-names":false,"suffix":""}],"container-title":"European Journal of Pharmaceutics and Biopharmaceutics","id":"ITEM-1","issued":{"date-parts":[["2019","5","1"]]},"page":"30-36","publisher":"Elsevier B.V.","title":"Improving maraviroc oral bioavailability by formation of solid drug nanoparticles","type":"article-journal","volume":"138"},"uris":["http://www.mendeley.com/documents/?uuid=38e6f348-5c4b-3655-9a84-7be2450c4b9a"]}],"mendeley":{"formattedCitation":"[13]","plainTextFormattedCitation":"[13]","previouslyFormattedCitation":"[13]"},"properties":{"noteIndex":0},"schema":"https://github.com/citation-style-language/schema/raw/master/csl-citation.json"}</w:instrText>
      </w:r>
      <w:r w:rsidRPr="0011329B">
        <w:rPr>
          <w:rStyle w:val="FootnoteReference"/>
          <w:rFonts w:ascii="Times New Roman" w:hAnsi="Times New Roman"/>
          <w:sz w:val="24"/>
          <w:szCs w:val="24"/>
        </w:rPr>
        <w:fldChar w:fldCharType="separate"/>
      </w:r>
      <w:r w:rsidR="00F64EE7" w:rsidRPr="0011329B">
        <w:rPr>
          <w:rFonts w:ascii="Times New Roman" w:hAnsi="Times New Roman"/>
          <w:noProof/>
          <w:sz w:val="24"/>
          <w:szCs w:val="24"/>
        </w:rPr>
        <w:t>[13]</w:t>
      </w:r>
      <w:r w:rsidRPr="0011329B">
        <w:rPr>
          <w:rStyle w:val="FootnoteReference"/>
          <w:rFonts w:ascii="Times New Roman" w:hAnsi="Times New Roman"/>
          <w:sz w:val="24"/>
          <w:szCs w:val="24"/>
        </w:rPr>
        <w:fldChar w:fldCharType="end"/>
      </w:r>
      <w:r w:rsidRPr="0011329B">
        <w:rPr>
          <w:rFonts w:ascii="Times New Roman" w:hAnsi="Times New Roman"/>
          <w:sz w:val="24"/>
          <w:szCs w:val="24"/>
        </w:rPr>
        <w:t xml:space="preserve"> </w:t>
      </w:r>
      <w:r w:rsidR="00B064E4" w:rsidRPr="0011329B">
        <w:rPr>
          <w:rFonts w:ascii="Times New Roman" w:hAnsi="Times New Roman"/>
          <w:sz w:val="24"/>
          <w:szCs w:val="24"/>
        </w:rPr>
        <w:t xml:space="preserve"> Nanosuspensions</w:t>
      </w:r>
      <w:r w:rsidRPr="0011329B">
        <w:rPr>
          <w:rFonts w:ascii="Times New Roman" w:hAnsi="Times New Roman"/>
          <w:sz w:val="24"/>
          <w:szCs w:val="24"/>
          <w:shd w:val="clear" w:color="auto" w:fill="FFFFFF"/>
        </w:rPr>
        <w:t xml:space="preserve"> can be used for enhancing the aqueous dissolution behaviour of many poorly water-soluble or poorly permeable </w:t>
      </w:r>
      <w:r w:rsidR="00E878E8" w:rsidRPr="0011329B">
        <w:rPr>
          <w:rFonts w:ascii="Times New Roman" w:hAnsi="Times New Roman"/>
          <w:sz w:val="24"/>
          <w:szCs w:val="24"/>
          <w:shd w:val="clear" w:color="auto" w:fill="FFFFFF"/>
        </w:rPr>
        <w:t xml:space="preserve">actives </w:t>
      </w:r>
      <w:r w:rsidRPr="0011329B">
        <w:rPr>
          <w:rFonts w:ascii="Times New Roman" w:hAnsi="Times New Roman"/>
          <w:sz w:val="24"/>
          <w:szCs w:val="24"/>
          <w:shd w:val="clear" w:color="auto" w:fill="FFFFFF"/>
        </w:rPr>
        <w:t>resulting in increasing the dissolution rate of the active agents, and thus increasing the oral bioavailability of drugs.</w:t>
      </w:r>
      <w:r w:rsidRPr="0011329B">
        <w:rPr>
          <w:rStyle w:val="FootnoteReference"/>
          <w:rFonts w:ascii="Times New Roman" w:hAnsi="Times New Roman"/>
          <w:sz w:val="24"/>
          <w:szCs w:val="24"/>
          <w:shd w:val="clear" w:color="auto" w:fill="FFFFFF"/>
        </w:rPr>
        <w:fldChar w:fldCharType="begin" w:fldLock="1"/>
      </w:r>
      <w:r w:rsidR="00147035" w:rsidRPr="0011329B">
        <w:rPr>
          <w:rFonts w:ascii="Times New Roman" w:hAnsi="Times New Roman"/>
          <w:sz w:val="24"/>
          <w:szCs w:val="24"/>
          <w:shd w:val="clear" w:color="auto" w:fill="FFFFFF"/>
        </w:rPr>
        <w:instrText>ADDIN CSL_CITATION {"citationItems":[{"id":"ITEM-1","itemData":{"DOI":"10.1002/adhm.201300280","ISSN":"21922640","PMID":"23997027","abstract":"Nanomedicine strategies have produced many commercial products. However, no orally dosed HIV nanomedicines are available clinically to patients. Although nanosuspensions of drug particles have demonstrated many benefits, experimentally achieving &gt;25 wt% of drug relative to stabilizers is highly challenging. In this study, the emulsion-templated freeze-drying technique for nanoparticles formation is applied for the first time to optimize a nanodispersion of the leading non-nucleoside reverse transcriptase inhibitor efavirenz, using clinically acceptable polymers and surfactants. Dry monoliths containing solid drug nanoparticles with extremely high drug loading (70 wt% relative to polymer and surfactant stabilizers) are stable for several months and reconstitute in aqueous media to provide nanodispersions with z-average diameters of 300 nm. The solid drug nanoparticles exhibit reduced cytoxicity and increased in vitro transport through model gut epithelium. In vivo studies confirm bioavailability benefits with an approximately four-fold higher pharmacokinetic exposure after oral administration to rodents, and predictive modeling suggests dose reduction with the new formulation may be possible.","author":[{"dropping-particle":"","family":"McDonald","given":"Tom O.","non-dropping-particle":"","parse-names":false,"suffix":""},{"dropping-particle":"","family":"Giardiello","given":"Marco","non-dropping-particle":"","parse-names":false,"suffix":""},{"dropping-particle":"","family":"Martin","given":"Philip","non-dropping-particle":"","parse-names":false,"suffix":""},{"dropping-particle":"","family":"Siccardi","given":"Marco","non-dropping-particle":"","parse-names":false,"suffix":""},{"dropping-particle":"","family":"Liptrott","given":"Neill J.","non-dropping-particle":"","parse-names":false,"suffix":""},{"dropping-particle":"","family":"Smith","given":"Darren","non-dropping-particle":"","parse-names":false,"suffix":""},{"dropping-particle":"","family":"Roberts","given":"Phill","non-dropping-particle":"","parse-names":false,"suffix":""},{"dropping-particle":"","family":"Curley","given":"Paul","non-dropping-particle":"","parse-names":false,"suffix":""},{"dropping-particle":"","family":"Schipani","given":"Alessandro","non-dropping-particle":"","parse-names":false,"suffix":""},{"dropping-particle":"","family":"Khoo","given":"Saye H.","non-dropping-particle":"","parse-names":false,"suffix":""},{"dropping-particle":"","family":"Long","given":"James","non-dropping-particle":"","parse-names":false,"suffix":""},{"dropping-particle":"","family":"Foster","given":"Alison J.","non-dropping-particle":"","parse-names":false,"suffix":""},{"dropping-particle":"","family":"Rannard","given":"Steven P.","non-dropping-particle":"","parse-names":false,"suffix":""},{"dropping-particle":"","family":"Owen","given":"Andrew","non-dropping-particle":"","parse-names":false,"suffix":""}],"container-title":"Advanced Healthcare Materials","id":"ITEM-1","issue":"3","issued":{"date-parts":[["2014","3"]]},"page":"400-411","title":"Antiretroviral Solid Drug Nanoparticles with Enhanced Oral Bioavailability: Production, Characterization, and In Vitro-In Vivo Correlation","type":"article-journal","volume":"3"},"uris":["http://www.mendeley.com/documents/?uuid=bb24da7f-b4ac-309e-a8ea-cbb5d0a2d3de"]}],"mendeley":{"formattedCitation":"[15]","plainTextFormattedCitation":"[15]","previouslyFormattedCitation":"[15]"},"properties":{"noteIndex":0},"schema":"https://github.com/citation-style-language/schema/raw/master/csl-citation.json"}</w:instrText>
      </w:r>
      <w:r w:rsidRPr="0011329B">
        <w:rPr>
          <w:rStyle w:val="FootnoteReference"/>
          <w:rFonts w:ascii="Times New Roman" w:hAnsi="Times New Roman"/>
          <w:sz w:val="24"/>
          <w:szCs w:val="24"/>
          <w:shd w:val="clear" w:color="auto" w:fill="FFFFFF"/>
        </w:rPr>
        <w:fldChar w:fldCharType="separate"/>
      </w:r>
      <w:r w:rsidR="00F64EE7" w:rsidRPr="0011329B">
        <w:rPr>
          <w:rFonts w:ascii="Times New Roman" w:hAnsi="Times New Roman"/>
          <w:noProof/>
          <w:sz w:val="24"/>
          <w:szCs w:val="24"/>
          <w:shd w:val="clear" w:color="auto" w:fill="FFFFFF"/>
        </w:rPr>
        <w:t>[15]</w:t>
      </w:r>
      <w:r w:rsidRPr="0011329B">
        <w:rPr>
          <w:rStyle w:val="FootnoteReference"/>
          <w:rFonts w:ascii="Times New Roman" w:hAnsi="Times New Roman"/>
          <w:sz w:val="24"/>
          <w:szCs w:val="24"/>
          <w:shd w:val="clear" w:color="auto" w:fill="FFFFFF"/>
        </w:rPr>
        <w:fldChar w:fldCharType="end"/>
      </w:r>
      <w:r w:rsidRPr="0011329B">
        <w:rPr>
          <w:rFonts w:ascii="Times New Roman" w:hAnsi="Times New Roman"/>
          <w:sz w:val="24"/>
          <w:szCs w:val="24"/>
          <w:shd w:val="clear" w:color="auto" w:fill="FFFFFF"/>
        </w:rPr>
        <w:t xml:space="preserve"> There are a small number of examples where curcumin has been processed as </w:t>
      </w:r>
      <w:r w:rsidR="00B064E4" w:rsidRPr="0011329B">
        <w:rPr>
          <w:rFonts w:ascii="Times New Roman" w:hAnsi="Times New Roman"/>
          <w:sz w:val="24"/>
          <w:szCs w:val="24"/>
          <w:shd w:val="clear" w:color="auto" w:fill="FFFFFF"/>
        </w:rPr>
        <w:t>a nanosuspension</w:t>
      </w:r>
      <w:r w:rsidRPr="0011329B">
        <w:rPr>
          <w:rFonts w:ascii="Times New Roman" w:hAnsi="Times New Roman"/>
          <w:sz w:val="24"/>
          <w:szCs w:val="24"/>
          <w:shd w:val="clear" w:color="auto" w:fill="FFFFFF"/>
        </w:rPr>
        <w:t xml:space="preserve">, for example, </w:t>
      </w:r>
      <w:r w:rsidRPr="0011329B">
        <w:rPr>
          <w:rFonts w:ascii="Times New Roman" w:hAnsi="Times New Roman"/>
          <w:sz w:val="24"/>
          <w:szCs w:val="24"/>
        </w:rPr>
        <w:t xml:space="preserve">Wang </w:t>
      </w:r>
      <w:r w:rsidRPr="0011329B">
        <w:rPr>
          <w:rFonts w:ascii="Times New Roman" w:hAnsi="Times New Roman"/>
          <w:i/>
          <w:iCs/>
          <w:sz w:val="24"/>
          <w:szCs w:val="24"/>
        </w:rPr>
        <w:t xml:space="preserve">et al. </w:t>
      </w:r>
      <w:r w:rsidRPr="0011329B">
        <w:rPr>
          <w:rFonts w:ascii="Times New Roman" w:hAnsi="Times New Roman"/>
          <w:sz w:val="24"/>
          <w:szCs w:val="24"/>
        </w:rPr>
        <w:t xml:space="preserve">formulated </w:t>
      </w:r>
      <w:r w:rsidR="00240BFE" w:rsidRPr="0011329B">
        <w:rPr>
          <w:rFonts w:ascii="Times New Roman" w:hAnsi="Times New Roman"/>
          <w:sz w:val="24"/>
          <w:szCs w:val="24"/>
        </w:rPr>
        <w:t xml:space="preserve">nanosuspensions </w:t>
      </w:r>
      <w:r w:rsidRPr="0011329B">
        <w:rPr>
          <w:rFonts w:ascii="Times New Roman" w:hAnsi="Times New Roman"/>
          <w:sz w:val="24"/>
          <w:szCs w:val="24"/>
        </w:rPr>
        <w:t xml:space="preserve">of curcumin with several stabilisers such as tocopherol polyethylene glycol-1000 succinate, Brij78, and Pluronic-F68, where the </w:t>
      </w:r>
      <w:r w:rsidR="00B064E4" w:rsidRPr="0011329B">
        <w:rPr>
          <w:rFonts w:ascii="Times New Roman" w:hAnsi="Times New Roman"/>
          <w:sz w:val="24"/>
          <w:szCs w:val="24"/>
        </w:rPr>
        <w:t xml:space="preserve">nanosuspensions </w:t>
      </w:r>
      <w:r w:rsidRPr="0011329B">
        <w:rPr>
          <w:rFonts w:ascii="Times New Roman" w:hAnsi="Times New Roman"/>
          <w:sz w:val="24"/>
          <w:szCs w:val="24"/>
        </w:rPr>
        <w:t>revealed an enhanced dissolution rate and bioavailability.</w:t>
      </w:r>
      <w:r w:rsidR="00F333CB" w:rsidRPr="0011329B">
        <w:rPr>
          <w:rFonts w:ascii="Times New Roman" w:hAnsi="Times New Roman"/>
          <w:sz w:val="24"/>
          <w:szCs w:val="24"/>
        </w:rPr>
        <w:fldChar w:fldCharType="begin" w:fldLock="1"/>
      </w:r>
      <w:r w:rsidR="00147035" w:rsidRPr="0011329B">
        <w:rPr>
          <w:rFonts w:ascii="Times New Roman" w:hAnsi="Times New Roman"/>
          <w:sz w:val="24"/>
          <w:szCs w:val="24"/>
        </w:rPr>
        <w:instrText>ADDIN CSL_CITATION {"citationItems":[{"id":"ITEM-1","itemData":{"DOI":"10.1016/j.jcis.2016.09.003","ISSN":"10957103","abstract":"Background Nanosuspension is one of the most promising strategies to improve the oral bioavailability of insoluble drugs. The existing techniques applied to produce nanosuspensions are classified as “bottom-up” or “top-down” methods, or a combination of both. Curcumin (CUR), a Biopharmaceutics Classification System (BCS) class IV substance, is a promising drug candidate in view of its good bioactivity, but its use is limited due to its poor solubility and permeability. In the present study, CUR nanosuspensions were developed to enhance CUR oral bioavailability using a cost-effective method different from conventional techniques. Results The physicochemical properties of CUR nanosuspensions were characterized by dynamic light scattering (DLS) and transmission electron microscopy (TEM). The crystalline state of CUR in different nanosuspensions analyzed using differential scanning calorimeter (DSC) and X-ray diffraction analysis (PXRD) confirmed its amorphous state. In vitro dissolution degree of the prepared CUR nanosuspensions using TPGS or Brij78 as stabilizer was greatly increased. Pharmacokinetic studies demonstrated that the oral bioavailability of CUR was increased 3.18 and 3.7 times after administration of CUR/TPGS nanosuspensions or CUR/Brij78 nanosuspensions, when compared with the administration of CUR suspension. Conclusions CUR nanosuspensions produced by our cost-effective method could improve its oral bioavailability. In addition, the low-cost and time-saving method reported here is highly suitable for a fast and inexpensive preparation.","author":[{"dropping-particle":"","family":"Wang","given":"Yutong","non-dropping-particle":"","parse-names":false,"suffix":""},{"dropping-particle":"","family":"Wang","given":"Changyuan","non-dropping-particle":"","parse-names":false,"suffix":""},{"dropping-particle":"","family":"Zhao","given":"Jing","non-dropping-particle":"","parse-names":false,"suffix":""},{"dropping-particle":"","family":"Ding","given":"Yanfang","non-dropping-particle":"","parse-names":false,"suffix":""},{"dropping-particle":"","family":"Li","given":"Lei","non-dropping-particle":"","parse-names":false,"suffix":""}],"container-title":"Journal of Colloid and Interface Science","id":"ITEM-1","issued":{"date-parts":[["2017","1","1"]]},"page":"91-98","publisher":"Academic Press Inc.","title":"A cost-effective method to prepare curcumin nanosuspensions with enhanced oral bioavailability","type":"article-journal","volume":"485"},"uris":["http://www.mendeley.com/documents/?uuid=308f2b79-f530-306c-82f8-113c1bfb2f59"]}],"mendeley":{"formattedCitation":"[18]","plainTextFormattedCitation":"[18]","previouslyFormattedCitation":"[18]"},"properties":{"noteIndex":0},"schema":"https://github.com/citation-style-language/schema/raw/master/csl-citation.json"}</w:instrText>
      </w:r>
      <w:r w:rsidR="00F333CB" w:rsidRPr="0011329B">
        <w:rPr>
          <w:rFonts w:ascii="Times New Roman" w:hAnsi="Times New Roman"/>
          <w:sz w:val="24"/>
          <w:szCs w:val="24"/>
        </w:rPr>
        <w:fldChar w:fldCharType="separate"/>
      </w:r>
      <w:r w:rsidR="00F64EE7" w:rsidRPr="0011329B">
        <w:rPr>
          <w:rFonts w:ascii="Times New Roman" w:hAnsi="Times New Roman"/>
          <w:noProof/>
          <w:sz w:val="24"/>
          <w:szCs w:val="24"/>
        </w:rPr>
        <w:t>[18]</w:t>
      </w:r>
      <w:r w:rsidR="00F333CB" w:rsidRPr="0011329B">
        <w:rPr>
          <w:rFonts w:ascii="Times New Roman" w:hAnsi="Times New Roman"/>
          <w:sz w:val="24"/>
          <w:szCs w:val="24"/>
        </w:rPr>
        <w:fldChar w:fldCharType="end"/>
      </w:r>
      <w:r w:rsidR="001D1164" w:rsidRPr="0011329B">
        <w:rPr>
          <w:rFonts w:ascii="Times New Roman" w:hAnsi="Times New Roman"/>
          <w:sz w:val="24"/>
          <w:szCs w:val="24"/>
        </w:rPr>
        <w:t xml:space="preserve"> </w:t>
      </w:r>
      <w:proofErr w:type="spellStart"/>
      <w:r w:rsidRPr="0011329B">
        <w:rPr>
          <w:rFonts w:ascii="Times New Roman" w:hAnsi="Times New Roman"/>
          <w:sz w:val="24"/>
          <w:szCs w:val="24"/>
        </w:rPr>
        <w:t>Hirlekar</w:t>
      </w:r>
      <w:proofErr w:type="spellEnd"/>
      <w:r w:rsidRPr="0011329B">
        <w:rPr>
          <w:rFonts w:ascii="Times New Roman" w:hAnsi="Times New Roman"/>
          <w:sz w:val="24"/>
          <w:szCs w:val="24"/>
        </w:rPr>
        <w:t xml:space="preserve"> </w:t>
      </w:r>
      <w:r w:rsidRPr="0011329B">
        <w:rPr>
          <w:rFonts w:ascii="Times New Roman" w:hAnsi="Times New Roman"/>
          <w:i/>
          <w:iCs/>
          <w:sz w:val="24"/>
          <w:szCs w:val="24"/>
        </w:rPr>
        <w:t>et al</w:t>
      </w:r>
      <w:r w:rsidRPr="0011329B">
        <w:rPr>
          <w:rFonts w:ascii="Times New Roman" w:hAnsi="Times New Roman"/>
          <w:sz w:val="24"/>
          <w:szCs w:val="24"/>
        </w:rPr>
        <w:t xml:space="preserve">. also reported an enhanced dissolution rate and stability of curcumin </w:t>
      </w:r>
      <w:r w:rsidR="00B064E4" w:rsidRPr="0011329B">
        <w:rPr>
          <w:rFonts w:ascii="Times New Roman" w:hAnsi="Times New Roman"/>
          <w:sz w:val="24"/>
          <w:szCs w:val="24"/>
        </w:rPr>
        <w:t>nanosuspensions</w:t>
      </w:r>
      <w:r w:rsidR="00B064E4" w:rsidRPr="0011329B" w:rsidDel="00B064E4">
        <w:rPr>
          <w:rFonts w:ascii="Times New Roman" w:hAnsi="Times New Roman"/>
          <w:sz w:val="24"/>
          <w:szCs w:val="24"/>
        </w:rPr>
        <w:t xml:space="preserve"> </w:t>
      </w:r>
      <w:r w:rsidRPr="0011329B">
        <w:rPr>
          <w:rFonts w:ascii="Times New Roman" w:hAnsi="Times New Roman"/>
          <w:sz w:val="24"/>
          <w:szCs w:val="24"/>
        </w:rPr>
        <w:t>which was prepared in combination of poloxamer-188 as a stabiliser.</w:t>
      </w:r>
      <w:r w:rsidR="00F333CB" w:rsidRPr="0011329B">
        <w:rPr>
          <w:rFonts w:ascii="Times New Roman" w:hAnsi="Times New Roman"/>
          <w:sz w:val="24"/>
          <w:szCs w:val="24"/>
        </w:rPr>
        <w:fldChar w:fldCharType="begin" w:fldLock="1"/>
      </w:r>
      <w:r w:rsidR="00147035" w:rsidRPr="0011329B">
        <w:rPr>
          <w:rFonts w:ascii="Times New Roman" w:hAnsi="Times New Roman"/>
          <w:sz w:val="24"/>
          <w:szCs w:val="24"/>
        </w:rPr>
        <w:instrText>ADDIN CSL_CITATION {"citationItems":[{"id":"ITEM-1","itemData":{"DOI":"10.22159/ijpps.2018v10i6.22027","abstract":"Objective: The principle objective of the present research work was to improve the bioavailability of curcumin (CUR) by decreasing its particle size. Nanosuspension (NS) of CUR was prepared using poloxamer-188 (P188) as a surfactant. The prepared NSs were characterized for particle size, polydispersity index (PDI), zeta potential, drug loading, saturation solubility, and drug release kinetic studies.Methods: Components required for NS preparation, such as solvent, anti-solvent and surfactant were screened. Precipitation high-speed homogenization (HSH) method was used for the preparation of NS using selected components. Evaluation of NS for particle size, PDI, drug loading, saturation solubility and in vitro drug release was done. Pharmacokinetic studies of the NS in sprague dawley (SD) rats were performed.Results: The particle size, PDI and zeta potential of the optimized formulation was 596.5±5 nm, 0.233±0.010 and-23±2 mV respectively. The pH of all the formulations was in the range of 5-6 which is acceptable when related to drug stability. The optimized formulation showed an increase in saturation solubility in water and phosphate buffer pH 6.8 when compared to plain CUR suspension (S). Results of pharmacokinetic studies indicated that Cmax and AUC0-6 were increased 8 and 10 times respectively from plain CUR S to CUR NS.Conclusion: CUR NS was prepared using P188 as the stabilizer. Amongst various stabilizers screened P188 rendered a stable NS with the particle size in nano range. Pharmacokinetic studies revealed the better performance of CUR NS as compared to plain CUR S.","author":[{"dropping-particle":"","family":"Hirlekar","given":"Sneha Dekate Shreeram","non-dropping-particle":"","parse-names":false,"suffix":""},{"dropping-particle":"","family":"Bhairy","given":"Srinivas","non-dropping-particle":"","parse-names":false,"suffix":""},{"dropping-particle":"","family":"Bhairy","given":"Srinivas","non-dropping-particle":"","parse-names":false,"suffix":""},{"dropping-particle":"","family":"Hirlekar","given":"Rajashree","non-dropping-particle":"","parse-names":false,"suffix":""},{"dropping-particle":"","family":"Hirlekar","given":"Rajashree","non-dropping-particle":"","parse-names":false,"suffix":""}],"container-title":"International Journal of Pharmacy and Pharmaceutical Sciences","id":"ITEM-1","issue":"6","issued":{"date-parts":[["2018","6","1"]]},"page":"90-95","publisher":"Innovare Academic Sciences Pvt Ltd","title":"Preparation and characterization of Oral Nanosuspension loaded with Curcumin","type":"article-journal","volume":"10"},"uris":["http://www.mendeley.com/documents/?uuid=8f13ba0c-28b2-3310-81e8-e60eb83f91c7"]}],"mendeley":{"formattedCitation":"[19]","plainTextFormattedCitation":"[19]","previouslyFormattedCitation":"[19]"},"properties":{"noteIndex":0},"schema":"https://github.com/citation-style-language/schema/raw/master/csl-citation.json"}</w:instrText>
      </w:r>
      <w:r w:rsidR="00F333CB" w:rsidRPr="0011329B">
        <w:rPr>
          <w:rFonts w:ascii="Times New Roman" w:hAnsi="Times New Roman"/>
          <w:sz w:val="24"/>
          <w:szCs w:val="24"/>
        </w:rPr>
        <w:fldChar w:fldCharType="separate"/>
      </w:r>
      <w:r w:rsidR="00F64EE7" w:rsidRPr="0011329B">
        <w:rPr>
          <w:rFonts w:ascii="Times New Roman" w:hAnsi="Times New Roman"/>
          <w:noProof/>
          <w:sz w:val="24"/>
          <w:szCs w:val="24"/>
        </w:rPr>
        <w:t>[19]</w:t>
      </w:r>
      <w:r w:rsidR="00F333CB" w:rsidRPr="0011329B">
        <w:rPr>
          <w:rFonts w:ascii="Times New Roman" w:hAnsi="Times New Roman"/>
          <w:sz w:val="24"/>
          <w:szCs w:val="24"/>
        </w:rPr>
        <w:fldChar w:fldCharType="end"/>
      </w:r>
      <w:r w:rsidR="00E00806" w:rsidRPr="0011329B">
        <w:rPr>
          <w:rFonts w:ascii="Times New Roman" w:hAnsi="Times New Roman"/>
          <w:sz w:val="24"/>
          <w:szCs w:val="24"/>
        </w:rPr>
        <w:t xml:space="preserve"> Both these prior examples of curcumin </w:t>
      </w:r>
      <w:r w:rsidR="00B064E4" w:rsidRPr="0011329B">
        <w:rPr>
          <w:rFonts w:ascii="Times New Roman" w:hAnsi="Times New Roman"/>
          <w:sz w:val="24"/>
          <w:szCs w:val="24"/>
        </w:rPr>
        <w:t>nanosuspensions</w:t>
      </w:r>
      <w:r w:rsidR="00B064E4" w:rsidRPr="0011329B" w:rsidDel="00B064E4">
        <w:rPr>
          <w:rFonts w:ascii="Times New Roman" w:hAnsi="Times New Roman"/>
          <w:sz w:val="24"/>
          <w:szCs w:val="24"/>
        </w:rPr>
        <w:t xml:space="preserve"> </w:t>
      </w:r>
      <w:r w:rsidR="00E00806" w:rsidRPr="0011329B">
        <w:rPr>
          <w:rFonts w:ascii="Times New Roman" w:hAnsi="Times New Roman"/>
          <w:sz w:val="24"/>
          <w:szCs w:val="24"/>
        </w:rPr>
        <w:t>resulted in dispersions</w:t>
      </w:r>
      <w:r w:rsidR="003C7535" w:rsidRPr="0011329B">
        <w:rPr>
          <w:rFonts w:ascii="Times New Roman" w:hAnsi="Times New Roman"/>
          <w:sz w:val="24"/>
          <w:szCs w:val="24"/>
        </w:rPr>
        <w:t>, which may present a challenge for long-term storage. There is a need to</w:t>
      </w:r>
      <w:r w:rsidR="00E00806" w:rsidRPr="0011329B">
        <w:rPr>
          <w:rFonts w:ascii="Times New Roman" w:hAnsi="Times New Roman"/>
          <w:sz w:val="24"/>
          <w:szCs w:val="24"/>
        </w:rPr>
        <w:t xml:space="preserve"> </w:t>
      </w:r>
      <w:r w:rsidR="003C7535" w:rsidRPr="0011329B">
        <w:rPr>
          <w:rFonts w:ascii="Times New Roman" w:hAnsi="Times New Roman"/>
          <w:sz w:val="24"/>
          <w:szCs w:val="24"/>
        </w:rPr>
        <w:t>produce a formulation of curcumin that can be dispersed on demand to give</w:t>
      </w:r>
      <w:r w:rsidR="00E878E8" w:rsidRPr="0011329B">
        <w:rPr>
          <w:rFonts w:ascii="Times New Roman" w:hAnsi="Times New Roman"/>
          <w:sz w:val="24"/>
          <w:szCs w:val="24"/>
        </w:rPr>
        <w:t xml:space="preserve"> a curcumin</w:t>
      </w:r>
      <w:r w:rsidR="003C7535" w:rsidRPr="0011329B">
        <w:rPr>
          <w:rFonts w:ascii="Times New Roman" w:hAnsi="Times New Roman"/>
          <w:sz w:val="24"/>
          <w:szCs w:val="24"/>
        </w:rPr>
        <w:t xml:space="preserve"> </w:t>
      </w:r>
      <w:r w:rsidR="00B064E4" w:rsidRPr="0011329B">
        <w:rPr>
          <w:rFonts w:ascii="Times New Roman" w:hAnsi="Times New Roman"/>
          <w:sz w:val="24"/>
          <w:szCs w:val="24"/>
        </w:rPr>
        <w:t>nanosuspension.</w:t>
      </w:r>
      <w:r w:rsidR="003C7535" w:rsidRPr="0011329B">
        <w:rPr>
          <w:rFonts w:ascii="Times New Roman" w:hAnsi="Times New Roman"/>
          <w:sz w:val="24"/>
          <w:szCs w:val="24"/>
        </w:rPr>
        <w:t xml:space="preserve"> </w:t>
      </w:r>
    </w:p>
    <w:p w14:paraId="4836D819" w14:textId="77777777" w:rsidR="008F4997" w:rsidRPr="0011329B" w:rsidRDefault="008F4997" w:rsidP="002F10E8">
      <w:pPr>
        <w:pStyle w:val="RSCB02ArticleText"/>
        <w:spacing w:line="360" w:lineRule="auto"/>
        <w:rPr>
          <w:rFonts w:ascii="Times New Roman" w:hAnsi="Times New Roman"/>
          <w:sz w:val="24"/>
          <w:szCs w:val="24"/>
        </w:rPr>
      </w:pPr>
    </w:p>
    <w:p w14:paraId="292ED1E7" w14:textId="42C76D1D" w:rsidR="006B4873" w:rsidRPr="0011329B" w:rsidRDefault="008F4997" w:rsidP="002F10E8">
      <w:pPr>
        <w:pStyle w:val="RSCB02ArticleText"/>
        <w:spacing w:line="360" w:lineRule="auto"/>
        <w:rPr>
          <w:rFonts w:ascii="Times New Roman" w:hAnsi="Times New Roman"/>
          <w:sz w:val="24"/>
          <w:szCs w:val="24"/>
        </w:rPr>
      </w:pPr>
      <w:r w:rsidRPr="0011329B">
        <w:rPr>
          <w:rFonts w:ascii="Times New Roman" w:hAnsi="Times New Roman"/>
          <w:sz w:val="24"/>
          <w:szCs w:val="24"/>
        </w:rPr>
        <w:lastRenderedPageBreak/>
        <w:t xml:space="preserve">In this work, curcumin was formulated into </w:t>
      </w:r>
      <w:r w:rsidR="00B064E4" w:rsidRPr="0011329B">
        <w:rPr>
          <w:rFonts w:ascii="Times New Roman" w:hAnsi="Times New Roman"/>
          <w:sz w:val="24"/>
          <w:szCs w:val="24"/>
        </w:rPr>
        <w:t>nanosuspensions</w:t>
      </w:r>
      <w:r w:rsidR="00B064E4" w:rsidRPr="0011329B" w:rsidDel="00B064E4">
        <w:rPr>
          <w:rFonts w:ascii="Times New Roman" w:hAnsi="Times New Roman"/>
          <w:sz w:val="24"/>
          <w:szCs w:val="24"/>
        </w:rPr>
        <w:t xml:space="preserve"> </w:t>
      </w:r>
      <w:r w:rsidRPr="0011329B">
        <w:rPr>
          <w:rFonts w:ascii="Times New Roman" w:hAnsi="Times New Roman"/>
          <w:sz w:val="24"/>
          <w:szCs w:val="24"/>
        </w:rPr>
        <w:t>using the emulsion-templated freeze-drying technique</w:t>
      </w:r>
      <w:r w:rsidR="00E00806" w:rsidRPr="0011329B">
        <w:rPr>
          <w:rFonts w:ascii="Times New Roman" w:hAnsi="Times New Roman"/>
          <w:sz w:val="24"/>
          <w:szCs w:val="24"/>
        </w:rPr>
        <w:t>, to produce a solid that could be dispersed to give a nanosuspension</w:t>
      </w:r>
      <w:r w:rsidRPr="0011329B">
        <w:rPr>
          <w:rFonts w:ascii="Times New Roman" w:hAnsi="Times New Roman"/>
          <w:sz w:val="24"/>
          <w:szCs w:val="24"/>
        </w:rPr>
        <w:t xml:space="preserve">. A screening process was carried out using different excipients, combined with characterising the z-average diameter and polydispersity index of resultant </w:t>
      </w:r>
      <w:r w:rsidR="00B064E4" w:rsidRPr="0011329B">
        <w:rPr>
          <w:rFonts w:ascii="Times New Roman" w:hAnsi="Times New Roman"/>
          <w:sz w:val="24"/>
          <w:szCs w:val="24"/>
        </w:rPr>
        <w:t>nanosuspensions</w:t>
      </w:r>
      <w:r w:rsidRPr="0011329B">
        <w:rPr>
          <w:rFonts w:ascii="Times New Roman" w:hAnsi="Times New Roman"/>
          <w:sz w:val="24"/>
          <w:szCs w:val="24"/>
        </w:rPr>
        <w:t xml:space="preserve">. The samples were evaluated against criteria to </w:t>
      </w:r>
      <w:r w:rsidR="006B366D" w:rsidRPr="0011329B">
        <w:rPr>
          <w:rFonts w:ascii="Times New Roman" w:hAnsi="Times New Roman"/>
          <w:sz w:val="24"/>
          <w:szCs w:val="24"/>
        </w:rPr>
        <w:t>refine nanoparticles properties</w:t>
      </w:r>
      <w:r w:rsidRPr="0011329B">
        <w:rPr>
          <w:rFonts w:ascii="Times New Roman" w:hAnsi="Times New Roman"/>
          <w:sz w:val="24"/>
          <w:szCs w:val="24"/>
        </w:rPr>
        <w:t xml:space="preserve">, with the focus being on lower polydispersity index values and reproducibility between samples. One sample that contained only PEG as a stabiliser was chosen for further </w:t>
      </w:r>
      <w:r w:rsidR="006B366D" w:rsidRPr="0011329B">
        <w:rPr>
          <w:rFonts w:ascii="Times New Roman" w:hAnsi="Times New Roman"/>
          <w:sz w:val="24"/>
          <w:szCs w:val="24"/>
        </w:rPr>
        <w:t xml:space="preserve">investigation </w:t>
      </w:r>
      <w:r w:rsidRPr="0011329B">
        <w:rPr>
          <w:rFonts w:ascii="Times New Roman" w:hAnsi="Times New Roman"/>
          <w:sz w:val="24"/>
          <w:szCs w:val="24"/>
        </w:rPr>
        <w:t xml:space="preserve">via varying different parameters, such as </w:t>
      </w:r>
      <w:r w:rsidR="00F71897" w:rsidRPr="0011329B">
        <w:rPr>
          <w:rFonts w:ascii="Times New Roman" w:hAnsi="Times New Roman"/>
          <w:sz w:val="24"/>
          <w:szCs w:val="24"/>
        </w:rPr>
        <w:t xml:space="preserve">curcumin </w:t>
      </w:r>
      <w:r w:rsidRPr="0011329B">
        <w:rPr>
          <w:rFonts w:ascii="Times New Roman" w:hAnsi="Times New Roman"/>
          <w:sz w:val="24"/>
          <w:szCs w:val="24"/>
        </w:rPr>
        <w:t>concentration, excipient concentration and sonication time. The aim of th</w:t>
      </w:r>
      <w:r w:rsidR="006B366D" w:rsidRPr="0011329B">
        <w:rPr>
          <w:rFonts w:ascii="Times New Roman" w:hAnsi="Times New Roman"/>
          <w:sz w:val="24"/>
          <w:szCs w:val="24"/>
        </w:rPr>
        <w:t>ese studies</w:t>
      </w:r>
      <w:r w:rsidRPr="0011329B">
        <w:rPr>
          <w:rFonts w:ascii="Times New Roman" w:hAnsi="Times New Roman"/>
          <w:sz w:val="24"/>
          <w:szCs w:val="24"/>
        </w:rPr>
        <w:t xml:space="preserve"> was to increase </w:t>
      </w:r>
      <w:r w:rsidR="00F71897" w:rsidRPr="0011329B">
        <w:rPr>
          <w:rFonts w:ascii="Times New Roman" w:hAnsi="Times New Roman"/>
          <w:sz w:val="24"/>
          <w:szCs w:val="24"/>
        </w:rPr>
        <w:t>curcumin</w:t>
      </w:r>
      <w:r w:rsidRPr="0011329B">
        <w:rPr>
          <w:rFonts w:ascii="Times New Roman" w:hAnsi="Times New Roman"/>
          <w:sz w:val="24"/>
          <w:szCs w:val="24"/>
        </w:rPr>
        <w:t xml:space="preserve"> loading, reduce polydispersity and ensure sample-to-samples reproducibility. The physical properties such as chemical and colloidal stability of chosen </w:t>
      </w:r>
      <w:r w:rsidR="00B064E4" w:rsidRPr="0011329B">
        <w:rPr>
          <w:rFonts w:ascii="Times New Roman" w:hAnsi="Times New Roman"/>
          <w:sz w:val="24"/>
          <w:szCs w:val="24"/>
        </w:rPr>
        <w:t>nanosuspension</w:t>
      </w:r>
      <w:r w:rsidR="00B064E4" w:rsidRPr="0011329B" w:rsidDel="00B064E4">
        <w:rPr>
          <w:rFonts w:ascii="Times New Roman" w:hAnsi="Times New Roman"/>
          <w:sz w:val="24"/>
          <w:szCs w:val="24"/>
        </w:rPr>
        <w:t xml:space="preserve"> </w:t>
      </w:r>
      <w:r w:rsidRPr="0011329B">
        <w:rPr>
          <w:rFonts w:ascii="Times New Roman" w:hAnsi="Times New Roman"/>
          <w:sz w:val="24"/>
          <w:szCs w:val="24"/>
        </w:rPr>
        <w:t xml:space="preserve">sample was then studied. Moreover, the </w:t>
      </w:r>
      <w:r w:rsidRPr="0011329B">
        <w:rPr>
          <w:rFonts w:ascii="Times New Roman" w:hAnsi="Times New Roman"/>
          <w:i/>
          <w:iCs/>
          <w:sz w:val="24"/>
          <w:szCs w:val="24"/>
        </w:rPr>
        <w:t>in vitro</w:t>
      </w:r>
      <w:r w:rsidRPr="0011329B">
        <w:rPr>
          <w:rFonts w:ascii="Times New Roman" w:hAnsi="Times New Roman"/>
          <w:sz w:val="24"/>
          <w:szCs w:val="24"/>
        </w:rPr>
        <w:t xml:space="preserve"> bioaccessibility and cytotoxicity of the chosen </w:t>
      </w:r>
      <w:r w:rsidR="00B064E4" w:rsidRPr="0011329B">
        <w:rPr>
          <w:rFonts w:ascii="Times New Roman" w:hAnsi="Times New Roman"/>
          <w:sz w:val="24"/>
          <w:szCs w:val="24"/>
        </w:rPr>
        <w:t>nanosuspensions</w:t>
      </w:r>
      <w:r w:rsidR="00B064E4" w:rsidRPr="0011329B" w:rsidDel="00B064E4">
        <w:rPr>
          <w:rFonts w:ascii="Times New Roman" w:hAnsi="Times New Roman"/>
          <w:sz w:val="24"/>
          <w:szCs w:val="24"/>
        </w:rPr>
        <w:t xml:space="preserve"> </w:t>
      </w:r>
      <w:r w:rsidRPr="0011329B">
        <w:rPr>
          <w:rFonts w:ascii="Times New Roman" w:hAnsi="Times New Roman"/>
          <w:sz w:val="24"/>
          <w:szCs w:val="24"/>
        </w:rPr>
        <w:t>sample were studied compared to unformulated curcumin.</w:t>
      </w:r>
    </w:p>
    <w:p w14:paraId="4068B2BC" w14:textId="549180BF" w:rsidR="008F4997" w:rsidRPr="0011329B" w:rsidRDefault="008F4997" w:rsidP="002F10E8">
      <w:pPr>
        <w:pStyle w:val="RSCB04AHeadingSection"/>
        <w:numPr>
          <w:ilvl w:val="0"/>
          <w:numId w:val="2"/>
        </w:numPr>
        <w:spacing w:line="360" w:lineRule="auto"/>
        <w:rPr>
          <w:rFonts w:ascii="Times New Roman" w:hAnsi="Times New Roman" w:cs="Times New Roman"/>
          <w:sz w:val="28"/>
          <w:szCs w:val="28"/>
        </w:rPr>
      </w:pPr>
      <w:r w:rsidRPr="0011329B">
        <w:rPr>
          <w:rFonts w:ascii="Times New Roman" w:hAnsi="Times New Roman" w:cs="Times New Roman"/>
          <w:sz w:val="28"/>
          <w:szCs w:val="28"/>
        </w:rPr>
        <w:t>Experimental</w:t>
      </w:r>
    </w:p>
    <w:p w14:paraId="0B9D9B76" w14:textId="09CD0F66" w:rsidR="008F4997" w:rsidRPr="0011329B" w:rsidRDefault="00937D88" w:rsidP="00937D88">
      <w:pPr>
        <w:pStyle w:val="RSCB06BHeadingSub-Section"/>
        <w:spacing w:line="360" w:lineRule="auto"/>
        <w:ind w:left="180"/>
        <w:rPr>
          <w:rFonts w:ascii="Times New Roman" w:hAnsi="Times New Roman" w:cs="Times New Roman"/>
          <w:sz w:val="24"/>
          <w:szCs w:val="24"/>
        </w:rPr>
      </w:pPr>
      <w:r w:rsidRPr="0011329B">
        <w:rPr>
          <w:rFonts w:ascii="Times New Roman" w:hAnsi="Times New Roman" w:cs="Times New Roman"/>
          <w:sz w:val="24"/>
          <w:szCs w:val="24"/>
        </w:rPr>
        <w:t xml:space="preserve"> 2.1. </w:t>
      </w:r>
      <w:r w:rsidR="008F4997" w:rsidRPr="0011329B">
        <w:rPr>
          <w:rFonts w:ascii="Times New Roman" w:hAnsi="Times New Roman" w:cs="Times New Roman"/>
          <w:sz w:val="24"/>
          <w:szCs w:val="24"/>
        </w:rPr>
        <w:t>Materials</w:t>
      </w:r>
    </w:p>
    <w:p w14:paraId="5D900160" w14:textId="41EEB468" w:rsidR="00F64EE7" w:rsidRPr="0011329B" w:rsidRDefault="0092064B">
      <w:pPr>
        <w:spacing w:line="360" w:lineRule="auto"/>
        <w:jc w:val="both"/>
        <w:rPr>
          <w:rStyle w:val="normaltextrun"/>
          <w:rFonts w:eastAsiaTheme="majorEastAsia"/>
          <w:shd w:val="clear" w:color="auto" w:fill="FFFFFF"/>
          <w:lang w:val="en-GB"/>
        </w:rPr>
      </w:pPr>
      <w:r w:rsidRPr="0011329B">
        <w:rPr>
          <w:rStyle w:val="normaltextrun"/>
          <w:rFonts w:eastAsiaTheme="majorEastAsia"/>
          <w:shd w:val="clear" w:color="auto" w:fill="FFFFFF"/>
          <w:lang w:val="en-GB"/>
        </w:rPr>
        <w:t>Curcumin (CAS 458-37-7</w:t>
      </w:r>
      <w:r w:rsidR="00715E1C" w:rsidRPr="0011329B">
        <w:rPr>
          <w:rStyle w:val="normaltextrun"/>
          <w:rFonts w:eastAsiaTheme="majorEastAsia"/>
          <w:shd w:val="clear" w:color="auto" w:fill="FFFFFF"/>
          <w:lang w:val="en-GB"/>
        </w:rPr>
        <w:t>, purity</w:t>
      </w:r>
      <w:r w:rsidR="00715E1C" w:rsidRPr="0011329B">
        <w:rPr>
          <w:lang w:val="en-GB"/>
        </w:rPr>
        <w:t>≥94%</w:t>
      </w:r>
      <w:r w:rsidRPr="0011329B">
        <w:rPr>
          <w:rStyle w:val="normaltextrun"/>
          <w:rFonts w:eastAsiaTheme="majorEastAsia"/>
          <w:shd w:val="clear" w:color="auto" w:fill="FFFFFF"/>
          <w:lang w:val="en-GB"/>
        </w:rPr>
        <w:t xml:space="preserve">) </w:t>
      </w:r>
      <w:r w:rsidR="008F4997" w:rsidRPr="0011329B">
        <w:rPr>
          <w:rStyle w:val="normaltextrun"/>
          <w:rFonts w:eastAsiaTheme="majorEastAsia"/>
          <w:shd w:val="clear" w:color="auto" w:fill="FFFFFF"/>
          <w:lang w:val="en-GB"/>
        </w:rPr>
        <w:t xml:space="preserve">Sodium carboxymethyl-cellulose (CMC) degree of substitution 0.7 (average </w:t>
      </w:r>
      <w:r w:rsidR="008F4997" w:rsidRPr="0011329B">
        <w:rPr>
          <w:rStyle w:val="normaltextrun"/>
          <w:rFonts w:eastAsiaTheme="majorEastAsia"/>
          <w:iCs/>
          <w:shd w:val="clear" w:color="auto" w:fill="FFFFFF"/>
          <w:lang w:val="en-GB"/>
        </w:rPr>
        <w:t>M</w:t>
      </w:r>
      <w:r w:rsidR="008F4997" w:rsidRPr="0011329B">
        <w:rPr>
          <w:rStyle w:val="normaltextrun"/>
          <w:rFonts w:eastAsiaTheme="majorEastAsia"/>
          <w:shd w:val="clear" w:color="auto" w:fill="FFFFFF"/>
          <w:lang w:val="en-GB"/>
        </w:rPr>
        <w:t>W ~250,000)</w:t>
      </w:r>
      <w:r w:rsidR="008C422D" w:rsidRPr="0011329B">
        <w:rPr>
          <w:rStyle w:val="normaltextrun"/>
          <w:rFonts w:eastAsiaTheme="majorEastAsia"/>
          <w:shd w:val="clear" w:color="auto" w:fill="FFFFFF"/>
          <w:lang w:val="en-GB"/>
        </w:rPr>
        <w:t xml:space="preserve"> (CAS  9004-32-4)</w:t>
      </w:r>
      <w:r w:rsidR="008F4997" w:rsidRPr="0011329B">
        <w:rPr>
          <w:rStyle w:val="normaltextrun"/>
          <w:rFonts w:eastAsiaTheme="majorEastAsia"/>
          <w:shd w:val="clear" w:color="auto" w:fill="FFFFFF"/>
          <w:lang w:val="en-GB"/>
        </w:rPr>
        <w:t xml:space="preserve">, poly(styrene sulfonate) (PSS) (average </w:t>
      </w:r>
      <w:r w:rsidR="008F4997" w:rsidRPr="0011329B">
        <w:rPr>
          <w:rStyle w:val="normaltextrun"/>
          <w:rFonts w:eastAsiaTheme="majorEastAsia"/>
          <w:iCs/>
          <w:shd w:val="clear" w:color="auto" w:fill="FFFFFF"/>
          <w:lang w:val="en-GB"/>
        </w:rPr>
        <w:t>M</w:t>
      </w:r>
      <w:r w:rsidR="008F4997" w:rsidRPr="0011329B">
        <w:rPr>
          <w:rStyle w:val="normaltextrun"/>
          <w:rFonts w:eastAsiaTheme="majorEastAsia"/>
          <w:shd w:val="clear" w:color="auto" w:fill="FFFFFF"/>
          <w:lang w:val="en-GB"/>
        </w:rPr>
        <w:t>W</w:t>
      </w:r>
      <w:r w:rsidR="008F4997" w:rsidRPr="0011329B">
        <w:rPr>
          <w:rStyle w:val="normaltextrun"/>
          <w:rFonts w:eastAsiaTheme="majorEastAsia"/>
          <w:shd w:val="clear" w:color="auto" w:fill="FFFFFF"/>
          <w:vertAlign w:val="subscript"/>
          <w:lang w:val="en-GB"/>
        </w:rPr>
        <w:t xml:space="preserve"> </w:t>
      </w:r>
      <w:r w:rsidR="008F4997" w:rsidRPr="0011329B">
        <w:rPr>
          <w:rStyle w:val="normaltextrun"/>
          <w:rFonts w:eastAsiaTheme="majorEastAsia"/>
          <w:shd w:val="clear" w:color="auto" w:fill="FFFFFF"/>
          <w:lang w:val="en-GB"/>
        </w:rPr>
        <w:t>~70,000)</w:t>
      </w:r>
      <w:r w:rsidR="00152CA4" w:rsidRPr="0011329B">
        <w:rPr>
          <w:rStyle w:val="normaltextrun"/>
          <w:rFonts w:eastAsiaTheme="majorEastAsia"/>
          <w:shd w:val="clear" w:color="auto" w:fill="FFFFFF"/>
          <w:lang w:val="en-GB"/>
        </w:rPr>
        <w:t xml:space="preserve"> (CAS  25704-18-1)</w:t>
      </w:r>
      <w:r w:rsidR="00152CA4" w:rsidRPr="0011329B">
        <w:rPr>
          <w:lang w:val="en-GB"/>
        </w:rPr>
        <w:t>,</w:t>
      </w:r>
      <w:r w:rsidR="008F4997" w:rsidRPr="0011329B">
        <w:rPr>
          <w:rStyle w:val="normaltextrun"/>
          <w:rFonts w:eastAsiaTheme="majorEastAsia"/>
          <w:shd w:val="clear" w:color="auto" w:fill="FFFFFF"/>
          <w:lang w:val="en-GB"/>
        </w:rPr>
        <w:t xml:space="preserve"> sodium alginate (ALG) (from brown algae, medium viscosity</w:t>
      </w:r>
      <w:r w:rsidR="00152CA4" w:rsidRPr="0011329B">
        <w:rPr>
          <w:rStyle w:val="normaltextrun"/>
          <w:rFonts w:eastAsiaTheme="majorEastAsia"/>
          <w:shd w:val="clear" w:color="auto" w:fill="FFFFFF"/>
          <w:lang w:val="en-GB"/>
        </w:rPr>
        <w:t>, CAS 9005-38-3</w:t>
      </w:r>
      <w:r w:rsidR="008F4997" w:rsidRPr="0011329B">
        <w:rPr>
          <w:rStyle w:val="normaltextrun"/>
          <w:rFonts w:eastAsiaTheme="majorEastAsia"/>
          <w:shd w:val="clear" w:color="auto" w:fill="FFFFFF"/>
          <w:lang w:val="en-GB"/>
        </w:rPr>
        <w:t>), polyvinylpyrrolidone  (PVP) (</w:t>
      </w:r>
      <w:r w:rsidR="008F4997" w:rsidRPr="0011329B">
        <w:rPr>
          <w:rStyle w:val="normaltextrun"/>
          <w:rFonts w:eastAsiaTheme="majorEastAsia"/>
          <w:iCs/>
          <w:shd w:val="clear" w:color="auto" w:fill="FFFFFF"/>
          <w:lang w:val="en-GB"/>
        </w:rPr>
        <w:t>M</w:t>
      </w:r>
      <w:r w:rsidR="008F4997" w:rsidRPr="0011329B">
        <w:rPr>
          <w:rStyle w:val="normaltextrun"/>
          <w:rFonts w:eastAsiaTheme="majorEastAsia"/>
          <w:shd w:val="clear" w:color="auto" w:fill="FFFFFF"/>
          <w:lang w:val="en-GB"/>
        </w:rPr>
        <w:t>W ~40,000</w:t>
      </w:r>
      <w:r w:rsidR="00152CA4" w:rsidRPr="0011329B">
        <w:rPr>
          <w:rStyle w:val="normaltextrun"/>
          <w:rFonts w:eastAsiaTheme="majorEastAsia"/>
          <w:shd w:val="clear" w:color="auto" w:fill="FFFFFF"/>
          <w:lang w:val="en-GB"/>
        </w:rPr>
        <w:t>, CAS 9003-39-8</w:t>
      </w:r>
      <w:r w:rsidR="008F4997" w:rsidRPr="0011329B">
        <w:rPr>
          <w:rStyle w:val="normaltextrun"/>
          <w:rFonts w:eastAsiaTheme="majorEastAsia"/>
          <w:shd w:val="clear" w:color="auto" w:fill="FFFFFF"/>
          <w:lang w:val="en-GB"/>
        </w:rPr>
        <w:t>), sodium dodecyl sulphate (SDS)</w:t>
      </w:r>
      <w:r w:rsidR="00152CA4" w:rsidRPr="0011329B">
        <w:rPr>
          <w:rStyle w:val="normaltextrun"/>
          <w:rFonts w:eastAsiaTheme="majorEastAsia"/>
          <w:shd w:val="clear" w:color="auto" w:fill="FFFFFF"/>
          <w:lang w:val="en-GB"/>
        </w:rPr>
        <w:t xml:space="preserve"> (CAS</w:t>
      </w:r>
      <w:r w:rsidRPr="0011329B">
        <w:rPr>
          <w:rStyle w:val="normaltextrun"/>
          <w:rFonts w:eastAsiaTheme="majorEastAsia"/>
          <w:shd w:val="clear" w:color="auto" w:fill="FFFFFF"/>
          <w:lang w:val="en-GB"/>
        </w:rPr>
        <w:t xml:space="preserve"> </w:t>
      </w:r>
      <w:r w:rsidR="00152CA4" w:rsidRPr="0011329B">
        <w:rPr>
          <w:rStyle w:val="normaltextrun"/>
          <w:rFonts w:eastAsiaTheme="majorEastAsia"/>
          <w:shd w:val="clear" w:color="auto" w:fill="FFFFFF"/>
          <w:lang w:val="en-GB"/>
        </w:rPr>
        <w:t>151-21-3)</w:t>
      </w:r>
      <w:r w:rsidR="008F4997" w:rsidRPr="0011329B">
        <w:rPr>
          <w:rStyle w:val="normaltextrun"/>
          <w:rFonts w:eastAsiaTheme="majorEastAsia"/>
          <w:shd w:val="clear" w:color="auto" w:fill="FFFFFF"/>
          <w:lang w:val="en-GB"/>
        </w:rPr>
        <w:t>, polyethylene glycol (PEG) (</w:t>
      </w:r>
      <w:r w:rsidR="008F4997" w:rsidRPr="0011329B">
        <w:rPr>
          <w:rStyle w:val="normaltextrun"/>
          <w:rFonts w:eastAsiaTheme="majorEastAsia"/>
          <w:iCs/>
          <w:shd w:val="clear" w:color="auto" w:fill="FFFFFF"/>
          <w:lang w:val="en-GB"/>
        </w:rPr>
        <w:t>M</w:t>
      </w:r>
      <w:r w:rsidR="008F4997" w:rsidRPr="0011329B">
        <w:rPr>
          <w:rStyle w:val="normaltextrun"/>
          <w:rFonts w:eastAsiaTheme="majorEastAsia"/>
          <w:shd w:val="clear" w:color="auto" w:fill="FFFFFF"/>
          <w:lang w:val="en-GB"/>
        </w:rPr>
        <w:t>W 10,000</w:t>
      </w:r>
      <w:r w:rsidR="00152CA4" w:rsidRPr="0011329B">
        <w:rPr>
          <w:rStyle w:val="normaltextrun"/>
          <w:rFonts w:eastAsiaTheme="majorEastAsia"/>
          <w:shd w:val="clear" w:color="auto" w:fill="FFFFFF"/>
          <w:lang w:val="en-GB"/>
        </w:rPr>
        <w:t>, CAS 25322-68-3</w:t>
      </w:r>
      <w:r w:rsidR="008F4997" w:rsidRPr="0011329B">
        <w:rPr>
          <w:rStyle w:val="normaltextrun"/>
          <w:rFonts w:eastAsiaTheme="majorEastAsia"/>
          <w:shd w:val="clear" w:color="auto" w:fill="FFFFFF"/>
          <w:lang w:val="en-GB"/>
        </w:rPr>
        <w:t>), polyvinyl alcohol (</w:t>
      </w:r>
      <w:r w:rsidR="008F4997" w:rsidRPr="0011329B">
        <w:rPr>
          <w:rStyle w:val="normaltextrun"/>
          <w:rFonts w:eastAsiaTheme="majorEastAsia"/>
          <w:iCs/>
          <w:shd w:val="clear" w:color="auto" w:fill="FFFFFF"/>
          <w:lang w:val="en-GB"/>
        </w:rPr>
        <w:t>M</w:t>
      </w:r>
      <w:r w:rsidR="008F4997" w:rsidRPr="0011329B">
        <w:rPr>
          <w:rStyle w:val="normaltextrun"/>
          <w:rFonts w:eastAsiaTheme="majorEastAsia"/>
          <w:shd w:val="clear" w:color="auto" w:fill="FFFFFF"/>
          <w:lang w:val="en-GB"/>
        </w:rPr>
        <w:t>W ~61,000</w:t>
      </w:r>
      <w:r w:rsidR="00841F0D" w:rsidRPr="0011329B">
        <w:rPr>
          <w:rStyle w:val="normaltextrun"/>
          <w:rFonts w:eastAsiaTheme="majorEastAsia"/>
          <w:shd w:val="clear" w:color="auto" w:fill="FFFFFF"/>
          <w:lang w:val="en-GB"/>
        </w:rPr>
        <w:t>, CAS</w:t>
      </w:r>
      <w:r w:rsidRPr="0011329B">
        <w:rPr>
          <w:rStyle w:val="normaltextrun"/>
          <w:rFonts w:eastAsiaTheme="majorEastAsia"/>
          <w:shd w:val="clear" w:color="auto" w:fill="FFFFFF"/>
          <w:lang w:val="en-GB"/>
        </w:rPr>
        <w:t xml:space="preserve"> </w:t>
      </w:r>
      <w:r w:rsidR="00841F0D" w:rsidRPr="0011329B">
        <w:rPr>
          <w:rStyle w:val="normaltextrun"/>
          <w:rFonts w:eastAsiaTheme="majorEastAsia"/>
          <w:shd w:val="clear" w:color="auto" w:fill="FFFFFF"/>
          <w:lang w:val="en-GB"/>
        </w:rPr>
        <w:t>9002-89-5</w:t>
      </w:r>
      <w:r w:rsidR="008F4997" w:rsidRPr="0011329B">
        <w:rPr>
          <w:rStyle w:val="normaltextrun"/>
          <w:rFonts w:eastAsiaTheme="majorEastAsia"/>
          <w:shd w:val="clear" w:color="auto" w:fill="FFFFFF"/>
          <w:lang w:val="en-GB"/>
        </w:rPr>
        <w:t>), dextran (DEX)</w:t>
      </w:r>
      <w:r w:rsidR="00841F0D" w:rsidRPr="0011329B">
        <w:rPr>
          <w:rStyle w:val="normaltextrun"/>
          <w:rFonts w:eastAsiaTheme="majorEastAsia"/>
          <w:shd w:val="clear" w:color="auto" w:fill="FFFFFF"/>
          <w:lang w:val="en-GB"/>
        </w:rPr>
        <w:t xml:space="preserve"> (CA</w:t>
      </w:r>
      <w:r w:rsidR="00B064E4" w:rsidRPr="0011329B">
        <w:rPr>
          <w:rStyle w:val="normaltextrun"/>
          <w:rFonts w:eastAsiaTheme="majorEastAsia"/>
          <w:shd w:val="clear" w:color="auto" w:fill="FFFFFF"/>
          <w:lang w:val="en-GB"/>
        </w:rPr>
        <w:t>S</w:t>
      </w:r>
      <w:r w:rsidR="00841F0D" w:rsidRPr="0011329B">
        <w:rPr>
          <w:rStyle w:val="normaltextrun"/>
          <w:rFonts w:eastAsiaTheme="majorEastAsia"/>
          <w:shd w:val="clear" w:color="auto" w:fill="FFFFFF"/>
          <w:lang w:val="en-GB"/>
        </w:rPr>
        <w:t xml:space="preserve">  9004-54-0)</w:t>
      </w:r>
      <w:r w:rsidR="008F4997" w:rsidRPr="0011329B">
        <w:rPr>
          <w:rStyle w:val="normaltextrun"/>
          <w:rFonts w:eastAsiaTheme="majorEastAsia"/>
          <w:shd w:val="clear" w:color="auto" w:fill="FFFFFF"/>
          <w:lang w:val="en-GB"/>
        </w:rPr>
        <w:t>, Pluronic F-127 (PF-127)</w:t>
      </w:r>
      <w:r w:rsidR="00B064E4" w:rsidRPr="0011329B">
        <w:rPr>
          <w:rStyle w:val="normaltextrun"/>
          <w:rFonts w:eastAsiaTheme="majorEastAsia"/>
          <w:shd w:val="clear" w:color="auto" w:fill="FFFFFF"/>
          <w:lang w:val="en-GB"/>
        </w:rPr>
        <w:t xml:space="preserve"> </w:t>
      </w:r>
      <w:r w:rsidR="00841F0D" w:rsidRPr="0011329B">
        <w:rPr>
          <w:rStyle w:val="normaltextrun"/>
          <w:rFonts w:eastAsiaTheme="majorEastAsia"/>
          <w:shd w:val="clear" w:color="auto" w:fill="FFFFFF"/>
          <w:lang w:val="en-GB"/>
        </w:rPr>
        <w:t>(CAS 9003-11-6)</w:t>
      </w:r>
      <w:r w:rsidR="008F4997" w:rsidRPr="0011329B">
        <w:rPr>
          <w:rStyle w:val="normaltextrun"/>
          <w:rFonts w:eastAsiaTheme="majorEastAsia"/>
          <w:shd w:val="clear" w:color="auto" w:fill="FFFFFF"/>
          <w:lang w:val="en-GB"/>
        </w:rPr>
        <w:t>, ascorbic acid (ASA)</w:t>
      </w:r>
      <w:r w:rsidR="00B064E4" w:rsidRPr="0011329B">
        <w:rPr>
          <w:rStyle w:val="normaltextrun"/>
          <w:rFonts w:eastAsiaTheme="majorEastAsia"/>
          <w:shd w:val="clear" w:color="auto" w:fill="FFFFFF"/>
          <w:lang w:val="en-GB"/>
        </w:rPr>
        <w:t xml:space="preserve"> </w:t>
      </w:r>
      <w:r w:rsidR="00841F0D" w:rsidRPr="0011329B">
        <w:rPr>
          <w:rStyle w:val="normaltextrun"/>
          <w:rFonts w:eastAsiaTheme="majorEastAsia"/>
          <w:shd w:val="clear" w:color="auto" w:fill="FFFFFF"/>
          <w:lang w:val="en-GB"/>
        </w:rPr>
        <w:t>(CAS 50-81-7)</w:t>
      </w:r>
      <w:r w:rsidR="008F4997" w:rsidRPr="0011329B">
        <w:rPr>
          <w:rStyle w:val="normaltextrun"/>
          <w:rFonts w:eastAsiaTheme="majorEastAsia"/>
          <w:shd w:val="clear" w:color="auto" w:fill="FFFFFF"/>
          <w:lang w:val="en-GB"/>
        </w:rPr>
        <w:t>, polysorbate 80 (PS-80)</w:t>
      </w:r>
      <w:r w:rsidR="00B064E4" w:rsidRPr="0011329B">
        <w:rPr>
          <w:rStyle w:val="normaltextrun"/>
          <w:rFonts w:eastAsiaTheme="majorEastAsia"/>
          <w:shd w:val="clear" w:color="auto" w:fill="FFFFFF"/>
          <w:lang w:val="en-GB"/>
        </w:rPr>
        <w:t xml:space="preserve"> </w:t>
      </w:r>
      <w:r w:rsidR="00841F0D" w:rsidRPr="0011329B">
        <w:rPr>
          <w:rStyle w:val="normaltextrun"/>
          <w:rFonts w:eastAsiaTheme="majorEastAsia"/>
          <w:shd w:val="clear" w:color="auto" w:fill="FFFFFF"/>
          <w:lang w:val="en-GB"/>
        </w:rPr>
        <w:t>(CAS</w:t>
      </w:r>
      <w:r w:rsidRPr="0011329B">
        <w:rPr>
          <w:rStyle w:val="normaltextrun"/>
          <w:rFonts w:eastAsiaTheme="majorEastAsia"/>
          <w:shd w:val="clear" w:color="auto" w:fill="FFFFFF"/>
          <w:lang w:val="en-GB"/>
        </w:rPr>
        <w:t xml:space="preserve"> </w:t>
      </w:r>
      <w:r w:rsidR="00841F0D" w:rsidRPr="0011329B">
        <w:rPr>
          <w:rStyle w:val="normaltextrun"/>
          <w:rFonts w:eastAsiaTheme="majorEastAsia"/>
          <w:shd w:val="clear" w:color="auto" w:fill="FFFFFF"/>
          <w:lang w:val="en-GB"/>
        </w:rPr>
        <w:t>9005-67-8)</w:t>
      </w:r>
      <w:r w:rsidR="008F4997" w:rsidRPr="0011329B">
        <w:rPr>
          <w:rStyle w:val="normaltextrun"/>
          <w:rFonts w:eastAsiaTheme="majorEastAsia"/>
          <w:shd w:val="clear" w:color="auto" w:fill="FFFFFF"/>
          <w:lang w:val="en-GB"/>
        </w:rPr>
        <w:t>, polyethyleneimine (branched</w:t>
      </w:r>
      <w:r w:rsidR="00841F0D" w:rsidRPr="0011329B">
        <w:rPr>
          <w:rStyle w:val="normaltextrun"/>
          <w:rFonts w:eastAsiaTheme="majorEastAsia"/>
          <w:shd w:val="clear" w:color="auto" w:fill="FFFFFF"/>
          <w:lang w:val="en-GB"/>
        </w:rPr>
        <w:t xml:space="preserve">, </w:t>
      </w:r>
      <w:r w:rsidR="008F4997" w:rsidRPr="0011329B">
        <w:rPr>
          <w:rStyle w:val="normaltextrun"/>
          <w:rFonts w:eastAsiaTheme="majorEastAsia"/>
          <w:iCs/>
          <w:shd w:val="clear" w:color="auto" w:fill="FFFFFF"/>
          <w:lang w:val="en-GB"/>
        </w:rPr>
        <w:t>M</w:t>
      </w:r>
      <w:r w:rsidR="008F4997" w:rsidRPr="0011329B">
        <w:rPr>
          <w:rStyle w:val="normaltextrun"/>
          <w:rFonts w:eastAsiaTheme="majorEastAsia"/>
          <w:shd w:val="clear" w:color="auto" w:fill="FFFFFF"/>
          <w:lang w:val="en-GB"/>
        </w:rPr>
        <w:t>W ~25,000</w:t>
      </w:r>
      <w:r w:rsidR="00841F0D" w:rsidRPr="0011329B">
        <w:rPr>
          <w:rStyle w:val="normaltextrun"/>
          <w:rFonts w:eastAsiaTheme="majorEastAsia"/>
          <w:shd w:val="clear" w:color="auto" w:fill="FFFFFF"/>
          <w:lang w:val="en-GB"/>
        </w:rPr>
        <w:t>, CAS 9002-98-6</w:t>
      </w:r>
      <w:r w:rsidR="008F4997" w:rsidRPr="0011329B">
        <w:rPr>
          <w:rStyle w:val="normaltextrun"/>
          <w:rFonts w:eastAsiaTheme="majorEastAsia"/>
          <w:shd w:val="clear" w:color="auto" w:fill="FFFFFF"/>
          <w:lang w:val="en-GB"/>
        </w:rPr>
        <w:t>), ethanol, phosphate buffered saline (PBS), tween-80</w:t>
      </w:r>
      <w:r w:rsidR="00900D59" w:rsidRPr="0011329B">
        <w:rPr>
          <w:rStyle w:val="normaltextrun"/>
          <w:rFonts w:eastAsiaTheme="majorEastAsia"/>
          <w:shd w:val="clear" w:color="auto" w:fill="FFFFFF"/>
          <w:lang w:val="en-GB"/>
        </w:rPr>
        <w:t xml:space="preserve"> (CAS 9005-65-6)</w:t>
      </w:r>
      <w:r w:rsidR="008F4997" w:rsidRPr="0011329B">
        <w:rPr>
          <w:rStyle w:val="normaltextrun"/>
          <w:rFonts w:eastAsiaTheme="majorEastAsia"/>
          <w:shd w:val="clear" w:color="auto" w:fill="FFFFFF"/>
          <w:lang w:val="en-GB"/>
        </w:rPr>
        <w:t>, pepsin</w:t>
      </w:r>
      <w:r w:rsidR="00900D59" w:rsidRPr="0011329B">
        <w:rPr>
          <w:rStyle w:val="normaltextrun"/>
          <w:rFonts w:eastAsiaTheme="majorEastAsia"/>
          <w:shd w:val="clear" w:color="auto" w:fill="FFFFFF"/>
          <w:lang w:val="en-GB"/>
        </w:rPr>
        <w:t xml:space="preserve"> (CAS 9001-75-6)</w:t>
      </w:r>
      <w:r w:rsidR="008F4997" w:rsidRPr="0011329B">
        <w:rPr>
          <w:rStyle w:val="normaltextrun"/>
          <w:rFonts w:eastAsiaTheme="majorEastAsia"/>
          <w:shd w:val="clear" w:color="auto" w:fill="FFFFFF"/>
          <w:lang w:val="en-GB"/>
        </w:rPr>
        <w:t>, mucin</w:t>
      </w:r>
      <w:r w:rsidR="00B064E4" w:rsidRPr="0011329B">
        <w:rPr>
          <w:rStyle w:val="normaltextrun"/>
          <w:rFonts w:eastAsiaTheme="majorEastAsia"/>
          <w:shd w:val="clear" w:color="auto" w:fill="FFFFFF"/>
          <w:lang w:val="en-GB"/>
        </w:rPr>
        <w:t xml:space="preserve"> </w:t>
      </w:r>
      <w:r w:rsidR="00900D59" w:rsidRPr="0011329B">
        <w:rPr>
          <w:rStyle w:val="normaltextrun"/>
          <w:rFonts w:eastAsiaTheme="majorEastAsia"/>
          <w:shd w:val="clear" w:color="auto" w:fill="FFFFFF"/>
          <w:lang w:val="en-GB"/>
        </w:rPr>
        <w:t>(CAS</w:t>
      </w:r>
      <w:r w:rsidRPr="0011329B">
        <w:rPr>
          <w:rStyle w:val="normaltextrun"/>
          <w:rFonts w:eastAsiaTheme="majorEastAsia"/>
          <w:shd w:val="clear" w:color="auto" w:fill="FFFFFF"/>
          <w:lang w:val="en-GB"/>
        </w:rPr>
        <w:t xml:space="preserve"> </w:t>
      </w:r>
      <w:r w:rsidR="00900D59" w:rsidRPr="0011329B">
        <w:rPr>
          <w:rStyle w:val="normaltextrun"/>
          <w:rFonts w:eastAsiaTheme="majorEastAsia"/>
          <w:shd w:val="clear" w:color="auto" w:fill="FFFFFF"/>
          <w:lang w:val="en-GB"/>
        </w:rPr>
        <w:t>84082-64-4)</w:t>
      </w:r>
      <w:r w:rsidR="008F4997" w:rsidRPr="0011329B">
        <w:rPr>
          <w:rStyle w:val="normaltextrun"/>
          <w:rFonts w:eastAsiaTheme="majorEastAsia"/>
          <w:shd w:val="clear" w:color="auto" w:fill="FFFFFF"/>
          <w:lang w:val="en-GB"/>
        </w:rPr>
        <w:t>, pancreatin</w:t>
      </w:r>
      <w:r w:rsidRPr="0011329B">
        <w:rPr>
          <w:rStyle w:val="normaltextrun"/>
          <w:rFonts w:eastAsiaTheme="majorEastAsia"/>
          <w:shd w:val="clear" w:color="auto" w:fill="FFFFFF"/>
          <w:lang w:val="en-GB"/>
        </w:rPr>
        <w:t xml:space="preserve"> </w:t>
      </w:r>
      <w:r w:rsidR="00900D59" w:rsidRPr="0011329B">
        <w:rPr>
          <w:rStyle w:val="normaltextrun"/>
          <w:rFonts w:eastAsiaTheme="majorEastAsia"/>
          <w:shd w:val="clear" w:color="auto" w:fill="FFFFFF"/>
          <w:lang w:val="en-GB"/>
        </w:rPr>
        <w:t>(CAS 8049-47-6)</w:t>
      </w:r>
      <w:r w:rsidR="008F4997" w:rsidRPr="0011329B">
        <w:rPr>
          <w:rStyle w:val="normaltextrun"/>
          <w:rFonts w:eastAsiaTheme="majorEastAsia"/>
          <w:shd w:val="clear" w:color="auto" w:fill="FFFFFF"/>
          <w:lang w:val="en-GB"/>
        </w:rPr>
        <w:t>, bile extract</w:t>
      </w:r>
      <w:r w:rsidR="00900D59" w:rsidRPr="0011329B">
        <w:rPr>
          <w:rStyle w:val="normaltextrun"/>
          <w:rFonts w:eastAsiaTheme="majorEastAsia"/>
          <w:shd w:val="clear" w:color="auto" w:fill="FFFFFF"/>
          <w:lang w:val="en-GB"/>
        </w:rPr>
        <w:t xml:space="preserve"> (CAS 8008-63-7)</w:t>
      </w:r>
      <w:r w:rsidR="008F4997" w:rsidRPr="0011329B">
        <w:rPr>
          <w:rStyle w:val="normaltextrun"/>
          <w:rFonts w:eastAsiaTheme="majorEastAsia"/>
          <w:shd w:val="clear" w:color="auto" w:fill="FFFFFF"/>
          <w:lang w:val="en-GB"/>
        </w:rPr>
        <w:t>, calcium chloride</w:t>
      </w:r>
      <w:r w:rsidR="00900D59" w:rsidRPr="0011329B">
        <w:rPr>
          <w:rStyle w:val="normaltextrun"/>
          <w:rFonts w:eastAsiaTheme="majorEastAsia"/>
          <w:shd w:val="clear" w:color="auto" w:fill="FFFFFF"/>
          <w:lang w:val="en-GB"/>
        </w:rPr>
        <w:t xml:space="preserve"> (CAS 1035-04-8)</w:t>
      </w:r>
      <w:r w:rsidR="008F4997" w:rsidRPr="0011329B">
        <w:rPr>
          <w:rStyle w:val="normaltextrun"/>
          <w:rFonts w:eastAsiaTheme="majorEastAsia"/>
          <w:shd w:val="clear" w:color="auto" w:fill="FFFFFF"/>
          <w:lang w:val="en-GB"/>
        </w:rPr>
        <w:t>, glacial acetic acid</w:t>
      </w:r>
      <w:r w:rsidRPr="0011329B">
        <w:rPr>
          <w:rStyle w:val="normaltextrun"/>
          <w:rFonts w:eastAsiaTheme="majorEastAsia"/>
          <w:shd w:val="clear" w:color="auto" w:fill="FFFFFF"/>
          <w:lang w:val="en-GB"/>
        </w:rPr>
        <w:t xml:space="preserve"> </w:t>
      </w:r>
      <w:r w:rsidR="003B3CE7" w:rsidRPr="0011329B">
        <w:rPr>
          <w:rStyle w:val="normaltextrun"/>
          <w:rFonts w:eastAsiaTheme="majorEastAsia"/>
          <w:shd w:val="clear" w:color="auto" w:fill="FFFFFF"/>
          <w:lang w:val="en-GB"/>
        </w:rPr>
        <w:t>(CAS 64-19-7)</w:t>
      </w:r>
      <w:r w:rsidR="008F4997" w:rsidRPr="0011329B">
        <w:rPr>
          <w:rStyle w:val="normaltextrun"/>
          <w:rFonts w:eastAsiaTheme="majorEastAsia"/>
          <w:shd w:val="clear" w:color="auto" w:fill="FFFFFF"/>
          <w:lang w:val="en-GB"/>
        </w:rPr>
        <w:t xml:space="preserve">, </w:t>
      </w:r>
      <w:r w:rsidR="008F4997" w:rsidRPr="0011329B">
        <w:rPr>
          <w:lang w:val="en-GB"/>
        </w:rPr>
        <w:t>sodium chloride</w:t>
      </w:r>
      <w:r w:rsidR="003B3CE7" w:rsidRPr="0011329B">
        <w:rPr>
          <w:lang w:val="en-GB"/>
        </w:rPr>
        <w:t xml:space="preserve"> (</w:t>
      </w:r>
      <w:r w:rsidR="003B3CE7" w:rsidRPr="0011329B">
        <w:rPr>
          <w:rStyle w:val="normaltextrun"/>
          <w:rFonts w:eastAsiaTheme="majorEastAsia"/>
          <w:shd w:val="clear" w:color="auto" w:fill="FFFFFF"/>
          <w:lang w:val="en-GB"/>
        </w:rPr>
        <w:t>CAS 7647-14-5</w:t>
      </w:r>
      <w:r w:rsidR="003B3CE7" w:rsidRPr="0011329B">
        <w:rPr>
          <w:lang w:val="en-GB"/>
        </w:rPr>
        <w:t>)</w:t>
      </w:r>
      <w:r w:rsidR="008F4997" w:rsidRPr="0011329B">
        <w:rPr>
          <w:lang w:val="en-GB"/>
        </w:rPr>
        <w:t>, ammonium nitrate</w:t>
      </w:r>
      <w:r w:rsidR="003B3CE7" w:rsidRPr="0011329B">
        <w:rPr>
          <w:lang w:val="en-GB"/>
        </w:rPr>
        <w:t xml:space="preserve"> (CAS 6484-52-2)</w:t>
      </w:r>
      <w:r w:rsidR="008F4997" w:rsidRPr="0011329B">
        <w:rPr>
          <w:lang w:val="en-GB"/>
        </w:rPr>
        <w:t>, potassium phosphate</w:t>
      </w:r>
      <w:r w:rsidR="003B3CE7" w:rsidRPr="0011329B">
        <w:rPr>
          <w:lang w:val="en-GB"/>
        </w:rPr>
        <w:t xml:space="preserve"> (CAS </w:t>
      </w:r>
      <w:r w:rsidR="009E7B86" w:rsidRPr="0011329B">
        <w:rPr>
          <w:lang w:val="en-GB"/>
        </w:rPr>
        <w:t>7758-11-4</w:t>
      </w:r>
      <w:r w:rsidR="003B3CE7" w:rsidRPr="0011329B">
        <w:rPr>
          <w:lang w:val="en-GB"/>
        </w:rPr>
        <w:t>)</w:t>
      </w:r>
      <w:r w:rsidR="008F4997" w:rsidRPr="0011329B">
        <w:rPr>
          <w:lang w:val="en-GB"/>
        </w:rPr>
        <w:t>, potassium chloride</w:t>
      </w:r>
      <w:r w:rsidR="003B3CE7" w:rsidRPr="0011329B">
        <w:rPr>
          <w:lang w:val="en-GB"/>
        </w:rPr>
        <w:t xml:space="preserve"> (CAS 7778-77-0),</w:t>
      </w:r>
      <w:r w:rsidR="008F4997" w:rsidRPr="0011329B">
        <w:rPr>
          <w:lang w:val="en-GB"/>
        </w:rPr>
        <w:t xml:space="preserve"> potassium citrate</w:t>
      </w:r>
      <w:r w:rsidR="003B3CE7" w:rsidRPr="0011329B">
        <w:rPr>
          <w:lang w:val="en-GB"/>
        </w:rPr>
        <w:t xml:space="preserve"> (CAS 866-83-1)</w:t>
      </w:r>
      <w:r w:rsidR="008F4997" w:rsidRPr="0011329B">
        <w:rPr>
          <w:lang w:val="en-GB"/>
        </w:rPr>
        <w:t>, urea</w:t>
      </w:r>
      <w:r w:rsidR="003B3CE7" w:rsidRPr="0011329B">
        <w:rPr>
          <w:lang w:val="en-GB"/>
        </w:rPr>
        <w:t xml:space="preserve"> (CAS</w:t>
      </w:r>
      <w:r w:rsidR="009E7B86" w:rsidRPr="0011329B">
        <w:rPr>
          <w:lang w:val="en-GB"/>
        </w:rPr>
        <w:t xml:space="preserve"> </w:t>
      </w:r>
      <w:r w:rsidR="003B3CE7" w:rsidRPr="0011329B">
        <w:rPr>
          <w:lang w:val="en-GB"/>
        </w:rPr>
        <w:t>57-13-6)</w:t>
      </w:r>
      <w:r w:rsidR="008F4997" w:rsidRPr="0011329B">
        <w:rPr>
          <w:lang w:val="en-GB"/>
        </w:rPr>
        <w:t>, lactic acid sodium salt</w:t>
      </w:r>
      <w:r w:rsidR="003B3CE7" w:rsidRPr="0011329B">
        <w:rPr>
          <w:lang w:val="en-GB"/>
        </w:rPr>
        <w:t xml:space="preserve"> (CAS 867-56-1)</w:t>
      </w:r>
      <w:r w:rsidR="008F4997" w:rsidRPr="0011329B">
        <w:rPr>
          <w:lang w:val="en-GB"/>
        </w:rPr>
        <w:t xml:space="preserve">, </w:t>
      </w:r>
      <w:r w:rsidR="003B3CE7" w:rsidRPr="0011329B">
        <w:rPr>
          <w:lang w:val="en-GB"/>
        </w:rPr>
        <w:t xml:space="preserve">and </w:t>
      </w:r>
      <w:r w:rsidR="008F4997" w:rsidRPr="0011329B">
        <w:rPr>
          <w:lang w:val="en-GB"/>
        </w:rPr>
        <w:t>uric acid</w:t>
      </w:r>
      <w:r w:rsidR="003B3CE7" w:rsidRPr="0011329B">
        <w:rPr>
          <w:lang w:val="en-GB"/>
        </w:rPr>
        <w:t xml:space="preserve"> (CAS 69-93-2) </w:t>
      </w:r>
      <w:r w:rsidR="008F4997" w:rsidRPr="0011329B">
        <w:rPr>
          <w:rStyle w:val="normaltextrun"/>
          <w:rFonts w:eastAsiaTheme="majorEastAsia"/>
          <w:shd w:val="clear" w:color="auto" w:fill="FFFFFF"/>
          <w:lang w:val="en-GB"/>
        </w:rPr>
        <w:t xml:space="preserve">were purchased from Sigma-Aldrich. Dichloromethane </w:t>
      </w:r>
      <w:r w:rsidR="003B3CE7" w:rsidRPr="0011329B">
        <w:rPr>
          <w:rStyle w:val="normaltextrun"/>
          <w:rFonts w:eastAsiaTheme="majorEastAsia"/>
          <w:shd w:val="clear" w:color="auto" w:fill="FFFFFF"/>
          <w:lang w:val="en-GB"/>
        </w:rPr>
        <w:t>(CAS</w:t>
      </w:r>
      <w:r w:rsidR="009E7B86" w:rsidRPr="0011329B">
        <w:rPr>
          <w:rStyle w:val="normaltextrun"/>
          <w:rFonts w:eastAsiaTheme="majorEastAsia"/>
          <w:shd w:val="clear" w:color="auto" w:fill="FFFFFF"/>
          <w:lang w:val="en-GB"/>
        </w:rPr>
        <w:t xml:space="preserve"> </w:t>
      </w:r>
      <w:r w:rsidR="003B3CE7" w:rsidRPr="0011329B">
        <w:rPr>
          <w:lang w:val="en-GB"/>
        </w:rPr>
        <w:t>75-09-2</w:t>
      </w:r>
      <w:r w:rsidR="003B3CE7" w:rsidRPr="0011329B">
        <w:rPr>
          <w:rStyle w:val="normaltextrun"/>
          <w:rFonts w:eastAsiaTheme="majorEastAsia"/>
          <w:shd w:val="clear" w:color="auto" w:fill="FFFFFF"/>
          <w:lang w:val="en-GB"/>
        </w:rPr>
        <w:t xml:space="preserve">) </w:t>
      </w:r>
      <w:r w:rsidR="008F4997" w:rsidRPr="0011329B">
        <w:rPr>
          <w:rStyle w:val="normaltextrun"/>
          <w:rFonts w:eastAsiaTheme="majorEastAsia"/>
          <w:shd w:val="clear" w:color="auto" w:fill="FFFFFF"/>
          <w:lang w:val="en-GB"/>
        </w:rPr>
        <w:t>and acetonitrile</w:t>
      </w:r>
      <w:r w:rsidR="003B3CE7" w:rsidRPr="0011329B">
        <w:rPr>
          <w:rStyle w:val="normaltextrun"/>
          <w:rFonts w:eastAsiaTheme="majorEastAsia"/>
          <w:shd w:val="clear" w:color="auto" w:fill="FFFFFF"/>
          <w:lang w:val="en-GB"/>
        </w:rPr>
        <w:t xml:space="preserve"> </w:t>
      </w:r>
      <w:r w:rsidR="003B3CE7" w:rsidRPr="0011329B">
        <w:rPr>
          <w:lang w:val="en-GB"/>
        </w:rPr>
        <w:t>(CAS</w:t>
      </w:r>
      <w:r w:rsidR="009E7B86" w:rsidRPr="0011329B">
        <w:rPr>
          <w:lang w:val="en-GB"/>
        </w:rPr>
        <w:t xml:space="preserve"> </w:t>
      </w:r>
      <w:r w:rsidR="003B3CE7" w:rsidRPr="0011329B">
        <w:rPr>
          <w:lang w:val="en-GB"/>
        </w:rPr>
        <w:t>75-05-8)</w:t>
      </w:r>
      <w:r w:rsidR="008F4997" w:rsidRPr="0011329B">
        <w:rPr>
          <w:rStyle w:val="normaltextrun"/>
          <w:rFonts w:eastAsiaTheme="majorEastAsia"/>
          <w:shd w:val="clear" w:color="auto" w:fill="FFFFFF"/>
          <w:lang w:val="en-GB"/>
        </w:rPr>
        <w:t xml:space="preserve"> were purchased from Thermo-</w:t>
      </w:r>
      <w:r w:rsidR="008F4997" w:rsidRPr="0011329B">
        <w:rPr>
          <w:rStyle w:val="normaltextrun"/>
          <w:rFonts w:eastAsiaTheme="majorEastAsia"/>
          <w:shd w:val="clear" w:color="auto" w:fill="FFFFFF"/>
          <w:lang w:val="en-GB"/>
        </w:rPr>
        <w:lastRenderedPageBreak/>
        <w:t>Fisher Scientific. All chemicals were used without further purification. Deionised water was used in all experiments.</w:t>
      </w:r>
    </w:p>
    <w:p w14:paraId="41EBDBC7" w14:textId="2ADEE402" w:rsidR="0092064B" w:rsidRPr="0011329B" w:rsidRDefault="0092064B" w:rsidP="00F82FDC">
      <w:pPr>
        <w:spacing w:line="360" w:lineRule="auto"/>
        <w:jc w:val="both"/>
        <w:rPr>
          <w:rFonts w:eastAsiaTheme="majorEastAsia"/>
          <w:shd w:val="clear" w:color="auto" w:fill="FFFFFF"/>
          <w:lang w:val="en-GB"/>
        </w:rPr>
      </w:pPr>
    </w:p>
    <w:p w14:paraId="62C2CA2F" w14:textId="77777777" w:rsidR="0092064B" w:rsidRPr="0011329B" w:rsidRDefault="0092064B" w:rsidP="00F82FDC">
      <w:pPr>
        <w:spacing w:line="360" w:lineRule="auto"/>
        <w:jc w:val="both"/>
      </w:pPr>
    </w:p>
    <w:p w14:paraId="37E806F4" w14:textId="77777777" w:rsidR="00937D88" w:rsidRPr="0011329B" w:rsidRDefault="00937D88" w:rsidP="00937D88">
      <w:pPr>
        <w:pStyle w:val="RSCB06BHeadingSub-Section"/>
        <w:numPr>
          <w:ilvl w:val="1"/>
          <w:numId w:val="2"/>
        </w:numPr>
        <w:spacing w:line="360" w:lineRule="auto"/>
        <w:rPr>
          <w:rFonts w:ascii="Times New Roman" w:hAnsi="Times New Roman" w:cs="Times New Roman"/>
          <w:sz w:val="24"/>
          <w:szCs w:val="24"/>
        </w:rPr>
      </w:pPr>
      <w:r w:rsidRPr="0011329B">
        <w:rPr>
          <w:rFonts w:ascii="Times New Roman" w:hAnsi="Times New Roman" w:cs="Times New Roman"/>
          <w:sz w:val="24"/>
          <w:szCs w:val="24"/>
        </w:rPr>
        <w:t xml:space="preserve"> Methods </w:t>
      </w:r>
    </w:p>
    <w:p w14:paraId="046F8C53" w14:textId="7D8BD424" w:rsidR="008F4997" w:rsidRPr="0011329B" w:rsidRDefault="008F4997" w:rsidP="00937D88">
      <w:pPr>
        <w:pStyle w:val="RSCB06BHeadingSub-Section"/>
        <w:numPr>
          <w:ilvl w:val="2"/>
          <w:numId w:val="2"/>
        </w:numPr>
        <w:spacing w:line="360" w:lineRule="auto"/>
        <w:rPr>
          <w:rFonts w:ascii="Times New Roman" w:hAnsi="Times New Roman" w:cs="Times New Roman"/>
          <w:sz w:val="24"/>
          <w:szCs w:val="24"/>
        </w:rPr>
      </w:pPr>
      <w:r w:rsidRPr="0011329B">
        <w:rPr>
          <w:rFonts w:ascii="Times New Roman" w:hAnsi="Times New Roman" w:cs="Times New Roman"/>
          <w:sz w:val="24"/>
          <w:szCs w:val="24"/>
        </w:rPr>
        <w:t xml:space="preserve">Emulsion-templated freeze-drying technique of curcumin </w:t>
      </w:r>
      <w:r w:rsidR="00A017E0" w:rsidRPr="0011329B">
        <w:rPr>
          <w:rFonts w:ascii="Times New Roman" w:hAnsi="Times New Roman" w:cs="Times New Roman"/>
          <w:sz w:val="24"/>
          <w:szCs w:val="24"/>
        </w:rPr>
        <w:t xml:space="preserve">nanosuspensions </w:t>
      </w:r>
    </w:p>
    <w:p w14:paraId="1DD53809" w14:textId="784715B7" w:rsidR="008F4997" w:rsidRPr="0011329B" w:rsidRDefault="008F4997" w:rsidP="002F10E8">
      <w:pPr>
        <w:pStyle w:val="RSCB02ArticleText"/>
        <w:spacing w:line="360" w:lineRule="auto"/>
        <w:rPr>
          <w:rFonts w:ascii="Times New Roman" w:hAnsi="Times New Roman"/>
          <w:sz w:val="24"/>
          <w:szCs w:val="24"/>
        </w:rPr>
      </w:pPr>
      <w:r w:rsidRPr="0011329B">
        <w:rPr>
          <w:rFonts w:ascii="Times New Roman" w:hAnsi="Times New Roman"/>
          <w:sz w:val="24"/>
          <w:szCs w:val="24"/>
        </w:rPr>
        <w:t>Curcumin solid drug nanoparticles were prepared based on a modified emulsion-templated freeze-drying technique.</w:t>
      </w:r>
      <w:r w:rsidRPr="0011329B">
        <w:rPr>
          <w:rStyle w:val="FootnoteReference"/>
          <w:rFonts w:ascii="Times New Roman" w:hAnsi="Times New Roman"/>
          <w:sz w:val="24"/>
          <w:szCs w:val="24"/>
        </w:rPr>
        <w:fldChar w:fldCharType="begin" w:fldLock="1"/>
      </w:r>
      <w:r w:rsidR="00147035" w:rsidRPr="0011329B">
        <w:rPr>
          <w:rFonts w:ascii="Times New Roman" w:hAnsi="Times New Roman"/>
          <w:sz w:val="24"/>
          <w:szCs w:val="24"/>
        </w:rPr>
        <w:instrText>ADDIN CSL_CITATION {"citationItems":[{"id":"ITEM-1","itemData":{"DOI":"10.1016/j.ejpb.2018.05.015","ISSN":"18733441","abstract":"Oral drug administration remains the preferred approach for treatment of HIV in most patients. Maraviroc (MVC) is the first in class co-receptor antagonist, which blocks HIV entry into host cells. MVC has an oral bioavailability of approximately 33%, which is limited by poor permeability as well as affinity for CYP3A and several drug transporters. While once-daily doses are now the favoured option for HIV therapy, dose-limiting postural hypotension has been of theoretical concern when administering doses high enough to achieve this for MVC (particularly during coadministration of enzyme inhibitors). To overcome low bioavailability and modify the pharmacokinetic profile, a series of 70 wt% MVC solid drug nanoparticle (SDN) formulations (containing 30 wt% of various polymer/surfactant excipients) were generated using emulsion templated freeze-drying. The lead formulation contained PVA and AOT excipients ( MVC SDN PVA/AOT ), and was demonstrated to be fully water-dispersible to release drug nanoparticles with z-average diameter of 728 nm and polydispersity index of 0.3. In vitro and in vivo studies of MVC SDN PVA/AOT showed increased apparent permeability of MVC, compared to a conventional MVC preparation, with in vivo studies in rats showing a 2.5-fold increase in AUC (145.33 vs. 58.71 ng h ml −1 ). MVC tissue distribution was similar or slightly increased in tissues examined compared to the conventional MVC preparation, with the exception of the liver, spleen and kidneys, which showed statistically significant increases in MVC for MVC SDN PVA/AOT . These data support a novel oral format with the potential for dose reduction while maintaining therapeutic MVC exposure and potentially enabling a once-daily fixed dose combination product.","author":[{"dropping-particle":"","family":"Savage","given":"Alison C.","non-dropping-particle":"","parse-names":false,"suffix":""},{"dropping-particle":"","family":"Tatham","given":"Lee M.","non-dropping-particle":"","parse-names":false,"suffix":""},{"dropping-particle":"","family":"Siccardi","given":"Marco","non-dropping-particle":"","parse-names":false,"suffix":""},{"dropping-particle":"","family":"Scott","given":"Trevor","non-dropping-particle":"","parse-names":false,"suffix":""},{"dropping-particle":"","family":"Vourvahis","given":"Manoli","non-dropping-particle":"","parse-names":false,"suffix":""},{"dropping-particle":"","family":"Clark","given":"Andrew","non-dropping-particle":"","parse-names":false,"suffix":""},{"dropping-particle":"","family":"Rannard","given":"Steve P.","non-dropping-particle":"","parse-names":false,"suffix":""},{"dropping-particle":"","family":"Owen","given":"Andrew","non-dropping-particle":"","parse-names":false,"suffix":""}],"container-title":"European Journal of Pharmaceutics and Biopharmaceutics","id":"ITEM-1","issued":{"date-parts":[["2019","5","1"]]},"page":"30-36","publisher":"Elsevier B.V.","title":"Improving maraviroc oral bioavailability by formation of solid drug nanoparticles","type":"article-journal","volume":"138"},"uris":["http://www.mendeley.com/documents/?uuid=38e6f348-5c4b-3655-9a84-7be2450c4b9a"]},{"id":"ITEM-2","itemData":{"DOI":"10.1002/jin2.21","ISSN":"20583273","author":[{"dropping-particle":"","family":"Siccardi","given":"Marco","non-dropping-particle":"","parse-names":false,"suffix":""},{"dropping-particle":"","family":"Martin","given":"Phillip","non-dropping-particle":"","parse-names":false,"suffix":""},{"dropping-particle":"","family":"Smith","given":"Darren","non-dropping-particle":"","parse-names":false,"suffix":""},{"dropping-particle":"","family":"Curley","given":"Paul","non-dropping-particle":"","parse-names":false,"suffix":""},{"dropping-particle":"","family":"McDonald","given":"Tom","non-dropping-particle":"","parse-names":false,"suffix":""},{"dropping-particle":"","family":"Giardiello","given":"Marco","non-dropping-particle":"","parse-names":false,"suffix":""},{"dropping-particle":"","family":"Liptrott","given":"Neill","non-dropping-particle":"","parse-names":false,"suffix":""},{"dropping-particle":"","family":"Rannard","given":"Steve","non-dropping-particle":"","parse-names":false,"suffix":""},{"dropping-particle":"","family":"Owen","given":"Andrew","non-dropping-particle":"","parse-names":false,"suffix":""}],"container-title":"Journal of Interdisciplinary Nanomedicine","id":"ITEM-2","issue":"3","issued":{"date-parts":[["2016","9","1"]]},"page":"110-123","publisher":"Wiley-Blackwell","title":"Towards a rational design of solid drug nanoparticles with optimised pharmacological properties","type":"article-journal","volume":"1"},"uris":["http://www.mendeley.com/documents/?uuid=d8096519-73bf-3f60-b8c7-61e970f8b0a7"]},{"id":"ITEM-3","itemData":{"DOI":"10.1002/adhm.201300280","ISSN":"21922640","PMID":"23997027","abstract":"Nanomedicine strategies have produced many commercial products. However, no orally dosed HIV nanomedicines are available clinically to patients. Although nanosuspensions of drug particles have demonstrated many benefits, experimentally achieving &gt;25 wt% of drug relative to stabilizers is highly challenging. In this study, the emulsion-templated freeze-drying technique for nanoparticles formation is applied for the first time to optimize a nanodispersion of the leading non-nucleoside reverse transcriptase inhibitor efavirenz, using clinically acceptable polymers and surfactants. Dry monoliths containing solid drug nanoparticles with extremely high drug loading (70 wt% relative to polymer and surfactant stabilizers) are stable for several months and reconstitute in aqueous media to provide nanodispersions with z-average diameters of 300 nm. The solid drug nanoparticles exhibit reduced cytoxicity and increased in vitro transport through model gut epithelium. In vivo studies confirm bioavailability benefits with an approximately four-fold higher pharmacokinetic exposure after oral administration to rodents, and predictive modeling suggests dose reduction with the new formulation may be possible.","author":[{"dropping-particle":"","family":"McDonald","given":"Tom O.","non-dropping-particle":"","parse-names":false,"suffix":""},{"dropping-particle":"","family":"Giardiello","given":"Marco","non-dropping-particle":"","parse-names":false,"suffix":""},{"dropping-particle":"","family":"Martin","given":"Philip","non-dropping-particle":"","parse-names":false,"suffix":""},{"dropping-particle":"","family":"Siccardi","given":"Marco","non-dropping-particle":"","parse-names":false,"suffix":""},{"dropping-particle":"","family":"Liptrott","given":"Neill J.","non-dropping-particle":"","parse-names":false,"suffix":""},{"dropping-particle":"","family":"Smith","given":"Darren","non-dropping-particle":"","parse-names":false,"suffix":""},{"dropping-particle":"","family":"Roberts","given":"Phill","non-dropping-particle":"","parse-names":false,"suffix":""},{"dropping-particle":"","family":"Curley","given":"Paul","non-dropping-particle":"","parse-names":false,"suffix":""},{"dropping-particle":"","family":"Schipani","given":"Alessandro","non-dropping-particle":"","parse-names":false,"suffix":""},{"dropping-particle":"","family":"Khoo","given":"Saye H.","non-dropping-particle":"","parse-names":false,"suffix":""},{"dropping-particle":"","family":"Long","given":"James","non-dropping-particle":"","parse-names":false,"suffix":""},{"dropping-particle":"","family":"Foster","given":"Alison J.","non-dropping-particle":"","parse-names":false,"suffix":""},{"dropping-particle":"","family":"Rannard","given":"Steven P.","non-dropping-particle":"","parse-names":false,"suffix":""},{"dropping-particle":"","family":"Owen","given":"Andrew","non-dropping-particle":"","parse-names":false,"suffix":""}],"container-title":"Advanced Healthcare Materials","id":"ITEM-3","issue":"3","issued":{"date-parts":[["2014","3"]]},"page":"400-411","title":"Antiretroviral Solid Drug Nanoparticles with Enhanced Oral Bioavailability: Production, Characterization, and In Vitro-In Vivo Correlation","type":"article-journal","volume":"3"},"uris":["http://www.mendeley.com/documents/?uuid=bb24da7f-b4ac-309e-a8ea-cbb5d0a2d3de"]}],"mendeley":{"formattedCitation":"[12,13,15]","plainTextFormattedCitation":"[12,13,15]","previouslyFormattedCitation":"[12,13,15]"},"properties":{"noteIndex":0},"schema":"https://github.com/citation-style-language/schema/raw/master/csl-citation.json"}</w:instrText>
      </w:r>
      <w:r w:rsidRPr="0011329B">
        <w:rPr>
          <w:rStyle w:val="FootnoteReference"/>
          <w:rFonts w:ascii="Times New Roman" w:hAnsi="Times New Roman"/>
          <w:sz w:val="24"/>
          <w:szCs w:val="24"/>
        </w:rPr>
        <w:fldChar w:fldCharType="separate"/>
      </w:r>
      <w:r w:rsidR="00F64EE7" w:rsidRPr="0011329B">
        <w:rPr>
          <w:rFonts w:ascii="Times New Roman" w:hAnsi="Times New Roman"/>
          <w:noProof/>
          <w:sz w:val="24"/>
          <w:szCs w:val="24"/>
        </w:rPr>
        <w:t>[12,13,15]</w:t>
      </w:r>
      <w:r w:rsidRPr="0011329B">
        <w:rPr>
          <w:rStyle w:val="FootnoteReference"/>
          <w:rFonts w:ascii="Times New Roman" w:hAnsi="Times New Roman"/>
          <w:sz w:val="24"/>
          <w:szCs w:val="24"/>
        </w:rPr>
        <w:fldChar w:fldCharType="end"/>
      </w:r>
      <w:r w:rsidR="00D6745C" w:rsidRPr="0011329B">
        <w:rPr>
          <w:rStyle w:val="FootnoteReference"/>
          <w:rFonts w:ascii="Times New Roman" w:hAnsi="Times New Roman"/>
          <w:sz w:val="24"/>
          <w:szCs w:val="24"/>
        </w:rPr>
        <w:t xml:space="preserve"> </w:t>
      </w:r>
      <w:r w:rsidR="00D6745C" w:rsidRPr="0011329B">
        <w:rPr>
          <w:rFonts w:ascii="Times New Roman" w:hAnsi="Times New Roman"/>
          <w:sz w:val="24"/>
          <w:szCs w:val="24"/>
        </w:rPr>
        <w:t xml:space="preserve">A curcumin content in the formulation of 10 </w:t>
      </w:r>
      <w:proofErr w:type="spellStart"/>
      <w:r w:rsidR="00D6745C" w:rsidRPr="0011329B">
        <w:rPr>
          <w:rFonts w:ascii="Times New Roman" w:hAnsi="Times New Roman"/>
          <w:sz w:val="24"/>
          <w:szCs w:val="24"/>
        </w:rPr>
        <w:t>wt</w:t>
      </w:r>
      <w:proofErr w:type="spellEnd"/>
      <w:r w:rsidR="00D6745C" w:rsidRPr="0011329B">
        <w:rPr>
          <w:rFonts w:ascii="Times New Roman" w:hAnsi="Times New Roman"/>
          <w:sz w:val="24"/>
          <w:szCs w:val="24"/>
        </w:rPr>
        <w:t>% was targeted. To achieve this, c</w:t>
      </w:r>
      <w:r w:rsidRPr="0011329B">
        <w:rPr>
          <w:rFonts w:ascii="Times New Roman" w:hAnsi="Times New Roman"/>
          <w:sz w:val="24"/>
          <w:szCs w:val="24"/>
        </w:rPr>
        <w:t>urcumin was dissolved (10 mg/mL) in a mixture of dichloromethane</w:t>
      </w:r>
      <w:r w:rsidR="00DC569E" w:rsidRPr="0011329B">
        <w:rPr>
          <w:rFonts w:ascii="Times New Roman" w:hAnsi="Times New Roman"/>
          <w:sz w:val="24"/>
          <w:szCs w:val="24"/>
        </w:rPr>
        <w:t xml:space="preserve"> (4.5 mL)</w:t>
      </w:r>
      <w:r w:rsidRPr="0011329B">
        <w:rPr>
          <w:rFonts w:ascii="Times New Roman" w:hAnsi="Times New Roman"/>
          <w:sz w:val="24"/>
          <w:szCs w:val="24"/>
        </w:rPr>
        <w:t xml:space="preserve"> and ethanol</w:t>
      </w:r>
      <w:r w:rsidR="00291F36" w:rsidRPr="0011329B">
        <w:rPr>
          <w:rFonts w:ascii="Times New Roman" w:hAnsi="Times New Roman"/>
          <w:sz w:val="24"/>
          <w:szCs w:val="24"/>
        </w:rPr>
        <w:t xml:space="preserve"> (0.5 mL)</w:t>
      </w:r>
      <w:r w:rsidRPr="0011329B">
        <w:rPr>
          <w:rFonts w:ascii="Times New Roman" w:hAnsi="Times New Roman"/>
          <w:sz w:val="24"/>
          <w:szCs w:val="24"/>
        </w:rPr>
        <w:t xml:space="preserve"> with ratio 9:1 v/v. Aqueous stock solutions of various excipients were prepared at a concentration of 22.5 mg/</w:t>
      </w:r>
      <w:proofErr w:type="spellStart"/>
      <w:r w:rsidRPr="0011329B">
        <w:rPr>
          <w:rFonts w:ascii="Times New Roman" w:hAnsi="Times New Roman"/>
          <w:sz w:val="24"/>
          <w:szCs w:val="24"/>
        </w:rPr>
        <w:t>mL.</w:t>
      </w:r>
      <w:proofErr w:type="spellEnd"/>
      <w:r w:rsidRPr="0011329B">
        <w:rPr>
          <w:rFonts w:ascii="Times New Roman" w:hAnsi="Times New Roman"/>
          <w:sz w:val="24"/>
          <w:szCs w:val="24"/>
        </w:rPr>
        <w:t xml:space="preserve"> The excipients were divided into two groups, polymers or lower MW polymers/surfactants</w:t>
      </w:r>
      <w:r w:rsidR="003E3AD4" w:rsidRPr="0011329B">
        <w:rPr>
          <w:rFonts w:ascii="Times New Roman" w:hAnsi="Times New Roman"/>
          <w:sz w:val="24"/>
          <w:szCs w:val="24"/>
        </w:rPr>
        <w:t xml:space="preserve"> (termed surfactants from hereon)</w:t>
      </w:r>
      <w:r w:rsidRPr="0011329B">
        <w:rPr>
          <w:rFonts w:ascii="Times New Roman" w:hAnsi="Times New Roman"/>
          <w:sz w:val="24"/>
          <w:szCs w:val="24"/>
        </w:rPr>
        <w:t xml:space="preserve">. 400 </w:t>
      </w:r>
      <w:proofErr w:type="spellStart"/>
      <w:r w:rsidRPr="0011329B">
        <w:rPr>
          <w:rFonts w:ascii="Times New Roman" w:hAnsi="Times New Roman"/>
          <w:sz w:val="24"/>
          <w:szCs w:val="24"/>
        </w:rPr>
        <w:t>μ</w:t>
      </w:r>
      <w:r w:rsidR="009E7B86" w:rsidRPr="0011329B">
        <w:rPr>
          <w:rFonts w:ascii="Times New Roman" w:hAnsi="Times New Roman"/>
          <w:sz w:val="24"/>
          <w:szCs w:val="24"/>
        </w:rPr>
        <w:t>L</w:t>
      </w:r>
      <w:proofErr w:type="spellEnd"/>
      <w:r w:rsidRPr="0011329B">
        <w:rPr>
          <w:rFonts w:ascii="Times New Roman" w:hAnsi="Times New Roman"/>
          <w:sz w:val="24"/>
          <w:szCs w:val="24"/>
        </w:rPr>
        <w:t xml:space="preserve"> of excipients were mixed at 2:1 ratio (266 </w:t>
      </w:r>
      <w:proofErr w:type="spellStart"/>
      <w:r w:rsidRPr="0011329B">
        <w:rPr>
          <w:rFonts w:ascii="Times New Roman" w:hAnsi="Times New Roman"/>
          <w:sz w:val="24"/>
          <w:szCs w:val="24"/>
        </w:rPr>
        <w:t>μ</w:t>
      </w:r>
      <w:r w:rsidR="009E7B86" w:rsidRPr="0011329B">
        <w:rPr>
          <w:rFonts w:ascii="Times New Roman" w:hAnsi="Times New Roman"/>
          <w:sz w:val="24"/>
          <w:szCs w:val="24"/>
        </w:rPr>
        <w:t>L</w:t>
      </w:r>
      <w:proofErr w:type="spellEnd"/>
      <w:r w:rsidRPr="0011329B">
        <w:rPr>
          <w:rFonts w:ascii="Times New Roman" w:hAnsi="Times New Roman"/>
          <w:sz w:val="24"/>
          <w:szCs w:val="24"/>
        </w:rPr>
        <w:t xml:space="preserve"> of polymer and 133 </w:t>
      </w:r>
      <w:proofErr w:type="spellStart"/>
      <w:r w:rsidRPr="0011329B">
        <w:rPr>
          <w:rFonts w:ascii="Times New Roman" w:hAnsi="Times New Roman"/>
          <w:sz w:val="24"/>
          <w:szCs w:val="24"/>
        </w:rPr>
        <w:t>μ</w:t>
      </w:r>
      <w:r w:rsidR="009E7B86" w:rsidRPr="0011329B">
        <w:rPr>
          <w:rFonts w:ascii="Times New Roman" w:hAnsi="Times New Roman"/>
          <w:sz w:val="24"/>
          <w:szCs w:val="24"/>
        </w:rPr>
        <w:t>L</w:t>
      </w:r>
      <w:proofErr w:type="spellEnd"/>
      <w:r w:rsidR="009E7B86" w:rsidRPr="0011329B">
        <w:rPr>
          <w:rFonts w:ascii="Times New Roman" w:hAnsi="Times New Roman"/>
          <w:sz w:val="24"/>
          <w:szCs w:val="24"/>
        </w:rPr>
        <w:t xml:space="preserve"> </w:t>
      </w:r>
      <w:r w:rsidRPr="0011329B">
        <w:rPr>
          <w:rFonts w:ascii="Times New Roman" w:hAnsi="Times New Roman"/>
          <w:sz w:val="24"/>
          <w:szCs w:val="24"/>
        </w:rPr>
        <w:t xml:space="preserve">of </w:t>
      </w:r>
      <w:r w:rsidRPr="0011329B">
        <w:rPr>
          <w:rFonts w:ascii="Times New Roman" w:hAnsi="Times New Roman"/>
          <w:sz w:val="24"/>
          <w:szCs w:val="24"/>
          <w:shd w:val="clear" w:color="auto" w:fill="FFFFFF"/>
        </w:rPr>
        <w:t>lower MW polymer/surfactant</w:t>
      </w:r>
      <w:r w:rsidRPr="0011329B">
        <w:rPr>
          <w:rStyle w:val="CommentReference"/>
          <w:rFonts w:ascii="Times New Roman" w:hAnsi="Times New Roman"/>
          <w:sz w:val="24"/>
          <w:szCs w:val="24"/>
        </w:rPr>
        <w:t>)</w:t>
      </w:r>
      <w:r w:rsidRPr="0011329B">
        <w:rPr>
          <w:rFonts w:ascii="Times New Roman" w:hAnsi="Times New Roman"/>
          <w:sz w:val="24"/>
          <w:szCs w:val="24"/>
        </w:rPr>
        <w:t xml:space="preserve"> followed by the addition of 100 </w:t>
      </w:r>
      <w:proofErr w:type="spellStart"/>
      <w:r w:rsidRPr="0011329B">
        <w:rPr>
          <w:rFonts w:ascii="Times New Roman" w:hAnsi="Times New Roman"/>
          <w:sz w:val="24"/>
          <w:szCs w:val="24"/>
        </w:rPr>
        <w:t>μ</w:t>
      </w:r>
      <w:r w:rsidR="009E7B86" w:rsidRPr="0011329B">
        <w:rPr>
          <w:rFonts w:ascii="Times New Roman" w:hAnsi="Times New Roman"/>
          <w:sz w:val="24"/>
          <w:szCs w:val="24"/>
        </w:rPr>
        <w:t>L</w:t>
      </w:r>
      <w:proofErr w:type="spellEnd"/>
      <w:r w:rsidRPr="0011329B">
        <w:rPr>
          <w:rFonts w:ascii="Times New Roman" w:hAnsi="Times New Roman"/>
          <w:sz w:val="24"/>
          <w:szCs w:val="24"/>
        </w:rPr>
        <w:t xml:space="preserve"> of curcumin solution (</w:t>
      </w:r>
      <w:r w:rsidR="00715E1C" w:rsidRPr="0011329B">
        <w:rPr>
          <w:rFonts w:ascii="Times New Roman" w:hAnsi="Times New Roman"/>
          <w:sz w:val="24"/>
          <w:szCs w:val="24"/>
        </w:rPr>
        <w:t>oil: water</w:t>
      </w:r>
      <w:r w:rsidRPr="0011329B">
        <w:rPr>
          <w:rFonts w:ascii="Times New Roman" w:hAnsi="Times New Roman"/>
          <w:sz w:val="24"/>
          <w:szCs w:val="24"/>
        </w:rPr>
        <w:t xml:space="preserve"> ratio 1:4</w:t>
      </w:r>
      <w:r w:rsidR="009705E1" w:rsidRPr="0011329B">
        <w:rPr>
          <w:rFonts w:ascii="Times New Roman" w:hAnsi="Times New Roman"/>
          <w:sz w:val="24"/>
          <w:szCs w:val="24"/>
        </w:rPr>
        <w:t xml:space="preserve"> v/v</w:t>
      </w:r>
      <w:r w:rsidRPr="0011329B">
        <w:rPr>
          <w:rFonts w:ascii="Times New Roman" w:hAnsi="Times New Roman"/>
          <w:sz w:val="24"/>
          <w:szCs w:val="24"/>
        </w:rPr>
        <w:t xml:space="preserve">). The resulting mixture was emulsified with a </w:t>
      </w:r>
      <w:proofErr w:type="spellStart"/>
      <w:r w:rsidRPr="0011329B">
        <w:rPr>
          <w:rFonts w:ascii="Times New Roman" w:hAnsi="Times New Roman"/>
          <w:sz w:val="24"/>
          <w:szCs w:val="24"/>
        </w:rPr>
        <w:t>Covaris</w:t>
      </w:r>
      <w:proofErr w:type="spellEnd"/>
      <w:r w:rsidRPr="0011329B">
        <w:rPr>
          <w:rFonts w:ascii="Times New Roman" w:hAnsi="Times New Roman"/>
          <w:sz w:val="24"/>
          <w:szCs w:val="24"/>
        </w:rPr>
        <w:t xml:space="preserve"> S2x for 15 seconds with a duty cycle of 20, intensity of 10 and 500 cycles/bursts in frequency sweeping mode. </w:t>
      </w:r>
      <w:bookmarkStart w:id="0" w:name="_Hlk74570722"/>
      <w:r w:rsidRPr="0011329B">
        <w:rPr>
          <w:rFonts w:ascii="Times New Roman" w:hAnsi="Times New Roman"/>
          <w:sz w:val="24"/>
          <w:szCs w:val="24"/>
        </w:rPr>
        <w:t xml:space="preserve">Samples were then immediately cryogenically frozen in liquid </w:t>
      </w:r>
      <w:proofErr w:type="gramStart"/>
      <w:r w:rsidRPr="0011329B">
        <w:rPr>
          <w:rFonts w:ascii="Times New Roman" w:hAnsi="Times New Roman"/>
          <w:sz w:val="24"/>
          <w:szCs w:val="24"/>
        </w:rPr>
        <w:t>nitrogen</w:t>
      </w:r>
      <w:r w:rsidR="003E3AD4" w:rsidRPr="0011329B">
        <w:rPr>
          <w:rFonts w:ascii="Times New Roman" w:hAnsi="Times New Roman"/>
          <w:sz w:val="24"/>
          <w:szCs w:val="24"/>
        </w:rPr>
        <w:t>,</w:t>
      </w:r>
      <w:proofErr w:type="gramEnd"/>
      <w:r w:rsidR="003E3AD4" w:rsidRPr="0011329B">
        <w:rPr>
          <w:rFonts w:ascii="Times New Roman" w:hAnsi="Times New Roman"/>
          <w:sz w:val="24"/>
          <w:szCs w:val="24"/>
        </w:rPr>
        <w:t xml:space="preserve"> these samples were then</w:t>
      </w:r>
      <w:r w:rsidRPr="0011329B">
        <w:rPr>
          <w:rFonts w:ascii="Times New Roman" w:hAnsi="Times New Roman"/>
          <w:sz w:val="24"/>
          <w:szCs w:val="24"/>
        </w:rPr>
        <w:t xml:space="preserve"> lyophilised using a </w:t>
      </w:r>
      <w:proofErr w:type="spellStart"/>
      <w:r w:rsidRPr="0011329B">
        <w:rPr>
          <w:rFonts w:ascii="Times New Roman" w:hAnsi="Times New Roman"/>
          <w:sz w:val="24"/>
          <w:szCs w:val="24"/>
        </w:rPr>
        <w:t>Virtis</w:t>
      </w:r>
      <w:proofErr w:type="spellEnd"/>
      <w:r w:rsidRPr="0011329B">
        <w:rPr>
          <w:rFonts w:ascii="Times New Roman" w:hAnsi="Times New Roman"/>
          <w:sz w:val="24"/>
          <w:szCs w:val="24"/>
        </w:rPr>
        <w:t xml:space="preserve"> benchtop K freeze dryer for 48 hours.</w:t>
      </w:r>
      <w:bookmarkEnd w:id="0"/>
      <w:r w:rsidRPr="0011329B">
        <w:rPr>
          <w:rFonts w:ascii="Times New Roman" w:hAnsi="Times New Roman"/>
          <w:sz w:val="24"/>
          <w:szCs w:val="24"/>
        </w:rPr>
        <w:t xml:space="preserve"> All the samples were sealed immediately after lyophilisation until analysis. </w:t>
      </w:r>
      <w:r w:rsidR="003E3AD4" w:rsidRPr="0011329B">
        <w:rPr>
          <w:rFonts w:ascii="Times New Roman" w:hAnsi="Times New Roman"/>
          <w:sz w:val="24"/>
          <w:szCs w:val="24"/>
        </w:rPr>
        <w:t xml:space="preserve">The initial screen was composed of 32 samples made of </w:t>
      </w:r>
      <w:r w:rsidR="00F22DD7" w:rsidRPr="0011329B">
        <w:rPr>
          <w:rFonts w:ascii="Times New Roman" w:hAnsi="Times New Roman"/>
          <w:sz w:val="24"/>
          <w:szCs w:val="24"/>
        </w:rPr>
        <w:t xml:space="preserve">binary combinations of the </w:t>
      </w:r>
      <w:r w:rsidR="009B6930" w:rsidRPr="0011329B">
        <w:rPr>
          <w:rFonts w:ascii="Times New Roman" w:hAnsi="Times New Roman"/>
          <w:sz w:val="24"/>
          <w:szCs w:val="24"/>
        </w:rPr>
        <w:t>two excipient groups</w:t>
      </w:r>
      <w:r w:rsidR="00CE43BA" w:rsidRPr="0011329B">
        <w:rPr>
          <w:rFonts w:ascii="Times New Roman" w:hAnsi="Times New Roman"/>
          <w:sz w:val="24"/>
          <w:szCs w:val="24"/>
        </w:rPr>
        <w:t>, the composition of the formulations is shown in table 1</w:t>
      </w:r>
      <w:r w:rsidR="00F22DD7" w:rsidRPr="0011329B">
        <w:rPr>
          <w:rFonts w:ascii="Times New Roman" w:hAnsi="Times New Roman"/>
          <w:sz w:val="24"/>
          <w:szCs w:val="24"/>
        </w:rPr>
        <w:t>.</w:t>
      </w:r>
    </w:p>
    <w:p w14:paraId="3F282468" w14:textId="32867F10" w:rsidR="008964F9" w:rsidRPr="0011329B" w:rsidRDefault="008964F9" w:rsidP="002F10E8">
      <w:pPr>
        <w:pStyle w:val="RSCB02ArticleText"/>
        <w:spacing w:line="360" w:lineRule="auto"/>
        <w:rPr>
          <w:rFonts w:ascii="Times New Roman" w:hAnsi="Times New Roman"/>
          <w:sz w:val="24"/>
          <w:szCs w:val="24"/>
        </w:rPr>
      </w:pPr>
    </w:p>
    <w:p w14:paraId="6CC54A5F" w14:textId="631F5F57" w:rsidR="007863CB" w:rsidRPr="0011329B" w:rsidRDefault="007863CB" w:rsidP="002F10E8">
      <w:pPr>
        <w:pStyle w:val="RSCB02ArticleText"/>
        <w:spacing w:line="360" w:lineRule="auto"/>
        <w:rPr>
          <w:rFonts w:ascii="Times New Roman" w:hAnsi="Times New Roman"/>
          <w:sz w:val="24"/>
          <w:szCs w:val="24"/>
        </w:rPr>
      </w:pPr>
    </w:p>
    <w:p w14:paraId="45997ECC" w14:textId="661A681A" w:rsidR="007863CB" w:rsidRPr="0011329B" w:rsidRDefault="007863CB" w:rsidP="002F10E8">
      <w:pPr>
        <w:pStyle w:val="RSCB02ArticleText"/>
        <w:spacing w:line="360" w:lineRule="auto"/>
        <w:rPr>
          <w:rFonts w:ascii="Times New Roman" w:hAnsi="Times New Roman"/>
          <w:sz w:val="24"/>
          <w:szCs w:val="24"/>
        </w:rPr>
      </w:pPr>
    </w:p>
    <w:p w14:paraId="1E18A9D4" w14:textId="213084B3" w:rsidR="007863CB" w:rsidRPr="0011329B" w:rsidRDefault="007863CB" w:rsidP="002F10E8">
      <w:pPr>
        <w:pStyle w:val="RSCB02ArticleText"/>
        <w:spacing w:line="360" w:lineRule="auto"/>
        <w:rPr>
          <w:rFonts w:ascii="Times New Roman" w:hAnsi="Times New Roman"/>
          <w:sz w:val="24"/>
          <w:szCs w:val="24"/>
        </w:rPr>
      </w:pPr>
    </w:p>
    <w:p w14:paraId="5D5F8E95" w14:textId="25306A42" w:rsidR="007863CB" w:rsidRPr="0011329B" w:rsidRDefault="007863CB" w:rsidP="002F10E8">
      <w:pPr>
        <w:pStyle w:val="RSCB02ArticleText"/>
        <w:spacing w:line="360" w:lineRule="auto"/>
        <w:rPr>
          <w:rFonts w:ascii="Times New Roman" w:hAnsi="Times New Roman"/>
          <w:sz w:val="24"/>
          <w:szCs w:val="24"/>
        </w:rPr>
      </w:pPr>
    </w:p>
    <w:p w14:paraId="4D693BD8" w14:textId="201ED720" w:rsidR="007863CB" w:rsidRPr="0011329B" w:rsidRDefault="007863CB" w:rsidP="002F10E8">
      <w:pPr>
        <w:pStyle w:val="RSCB02ArticleText"/>
        <w:spacing w:line="360" w:lineRule="auto"/>
        <w:rPr>
          <w:rFonts w:ascii="Times New Roman" w:hAnsi="Times New Roman"/>
          <w:sz w:val="24"/>
          <w:szCs w:val="24"/>
        </w:rPr>
      </w:pPr>
    </w:p>
    <w:p w14:paraId="5A2FB9F2" w14:textId="3D8A84D4" w:rsidR="007863CB" w:rsidRPr="0011329B" w:rsidRDefault="007863CB" w:rsidP="002F10E8">
      <w:pPr>
        <w:pStyle w:val="RSCB02ArticleText"/>
        <w:spacing w:line="360" w:lineRule="auto"/>
        <w:rPr>
          <w:rFonts w:ascii="Times New Roman" w:hAnsi="Times New Roman"/>
          <w:sz w:val="24"/>
          <w:szCs w:val="24"/>
        </w:rPr>
      </w:pPr>
    </w:p>
    <w:p w14:paraId="06169C13" w14:textId="78125499" w:rsidR="007863CB" w:rsidRPr="0011329B" w:rsidRDefault="007863CB">
      <w:pPr>
        <w:rPr>
          <w:rFonts w:eastAsiaTheme="minorHAnsi"/>
          <w:w w:val="108"/>
          <w:lang w:val="en-GB"/>
        </w:rPr>
      </w:pPr>
      <w:r w:rsidRPr="0011329B">
        <w:br w:type="page"/>
      </w:r>
    </w:p>
    <w:p w14:paraId="72447501" w14:textId="77777777" w:rsidR="007863CB" w:rsidRPr="0011329B" w:rsidRDefault="007863CB" w:rsidP="002F10E8">
      <w:pPr>
        <w:pStyle w:val="RSCB02ArticleText"/>
        <w:spacing w:line="360" w:lineRule="auto"/>
        <w:rPr>
          <w:rFonts w:ascii="Times New Roman" w:hAnsi="Times New Roman"/>
          <w:sz w:val="24"/>
          <w:szCs w:val="24"/>
        </w:rPr>
      </w:pPr>
    </w:p>
    <w:p w14:paraId="0086B59C" w14:textId="4AB605E0" w:rsidR="008964F9" w:rsidRPr="0011329B" w:rsidRDefault="008964F9" w:rsidP="002F10E8">
      <w:pPr>
        <w:pStyle w:val="RSCB02ArticleText"/>
        <w:spacing w:line="360" w:lineRule="auto"/>
        <w:rPr>
          <w:rFonts w:ascii="Times New Roman" w:hAnsi="Times New Roman"/>
          <w:sz w:val="24"/>
          <w:szCs w:val="24"/>
        </w:rPr>
      </w:pPr>
      <w:r w:rsidRPr="0011329B">
        <w:rPr>
          <w:rFonts w:ascii="Times New Roman" w:hAnsi="Times New Roman"/>
          <w:b/>
          <w:bCs/>
          <w:color w:val="000000" w:themeColor="text1"/>
          <w:sz w:val="24"/>
          <w:szCs w:val="24"/>
        </w:rPr>
        <w:t>Table 1:</w:t>
      </w:r>
      <w:r w:rsidRPr="0011329B">
        <w:rPr>
          <w:rFonts w:ascii="Times New Roman" w:hAnsi="Times New Roman"/>
          <w:sz w:val="24"/>
          <w:szCs w:val="24"/>
        </w:rPr>
        <w:t xml:space="preserve"> A 32-sample screen of 10 </w:t>
      </w:r>
      <w:proofErr w:type="spellStart"/>
      <w:r w:rsidRPr="0011329B">
        <w:rPr>
          <w:rFonts w:ascii="Times New Roman" w:hAnsi="Times New Roman"/>
          <w:sz w:val="24"/>
          <w:szCs w:val="24"/>
        </w:rPr>
        <w:t>wt</w:t>
      </w:r>
      <w:proofErr w:type="spellEnd"/>
      <w:r w:rsidRPr="0011329B">
        <w:rPr>
          <w:rFonts w:ascii="Times New Roman" w:hAnsi="Times New Roman"/>
          <w:sz w:val="24"/>
          <w:szCs w:val="24"/>
        </w:rPr>
        <w:t>% curcumin nanosuspensions.</w:t>
      </w:r>
      <w:r w:rsidRPr="0011329B">
        <w:rPr>
          <w:rFonts w:ascii="Times New Roman" w:hAnsi="Times New Roman"/>
          <w:b/>
          <w:sz w:val="24"/>
          <w:szCs w:val="24"/>
        </w:rPr>
        <w:t xml:space="preserve"> </w:t>
      </w:r>
      <w:r w:rsidRPr="0011329B">
        <w:rPr>
          <w:rFonts w:ascii="Times New Roman" w:hAnsi="Times New Roman"/>
          <w:bCs/>
          <w:sz w:val="24"/>
          <w:szCs w:val="24"/>
        </w:rPr>
        <w:t>A 32-sample library was prepared using different excipients to form binary combinations</w:t>
      </w:r>
      <w:r w:rsidRPr="0011329B">
        <w:rPr>
          <w:rFonts w:ascii="Times New Roman" w:hAnsi="Times New Roman"/>
          <w:b/>
          <w:sz w:val="24"/>
          <w:szCs w:val="24"/>
        </w:rPr>
        <w:t>.</w:t>
      </w:r>
      <w:r w:rsidRPr="0011329B">
        <w:rPr>
          <w:rFonts w:ascii="Times New Roman" w:hAnsi="Times New Roman"/>
          <w:bCs/>
          <w:sz w:val="24"/>
          <w:szCs w:val="24"/>
        </w:rPr>
        <w:t xml:space="preserve"> The excipients were categorised as either surfactants or polymers to differentiate their volumes during the preparation process. The masses given show the composition of the excipients in each formulation along with the 1 mg of curcumin that was contained in all formulations.</w:t>
      </w:r>
    </w:p>
    <w:p w14:paraId="710CFCA4" w14:textId="2E478789" w:rsidR="00F22DD7" w:rsidRPr="0011329B" w:rsidRDefault="00F22DD7" w:rsidP="002F10E8">
      <w:pPr>
        <w:pStyle w:val="RSCB02ArticleText"/>
        <w:spacing w:line="360" w:lineRule="auto"/>
        <w:rPr>
          <w:rFonts w:ascii="Times New Roman" w:hAnsi="Times New Roman"/>
          <w:sz w:val="24"/>
          <w:szCs w:val="24"/>
        </w:rPr>
      </w:pPr>
    </w:p>
    <w:tbl>
      <w:tblPr>
        <w:tblStyle w:val="TableGrid"/>
        <w:tblpPr w:leftFromText="180" w:rightFromText="180" w:vertAnchor="page" w:horzAnchor="margin" w:tblpY="3891"/>
        <w:tblW w:w="4826" w:type="pct"/>
        <w:tblLook w:val="0420" w:firstRow="1" w:lastRow="0" w:firstColumn="0" w:lastColumn="0" w:noHBand="0" w:noVBand="1"/>
      </w:tblPr>
      <w:tblGrid>
        <w:gridCol w:w="1106"/>
        <w:gridCol w:w="987"/>
        <w:gridCol w:w="990"/>
        <w:gridCol w:w="990"/>
        <w:gridCol w:w="991"/>
        <w:gridCol w:w="993"/>
        <w:gridCol w:w="993"/>
        <w:gridCol w:w="993"/>
        <w:gridCol w:w="970"/>
        <w:gridCol w:w="16"/>
      </w:tblGrid>
      <w:tr w:rsidR="00F64EE7" w:rsidRPr="0011329B" w14:paraId="0629C414" w14:textId="77777777" w:rsidTr="007863CB">
        <w:trPr>
          <w:gridAfter w:val="1"/>
          <w:wAfter w:w="9" w:type="pct"/>
          <w:trHeight w:val="412"/>
        </w:trPr>
        <w:tc>
          <w:tcPr>
            <w:tcW w:w="612" w:type="pct"/>
            <w:tcBorders>
              <w:top w:val="nil"/>
              <w:left w:val="nil"/>
            </w:tcBorders>
            <w:hideMark/>
          </w:tcPr>
          <w:p w14:paraId="5ED7DD84" w14:textId="77777777" w:rsidR="00F64EE7" w:rsidRPr="0011329B" w:rsidRDefault="00F64EE7" w:rsidP="007863CB">
            <w:pPr>
              <w:spacing w:line="360" w:lineRule="auto"/>
              <w:jc w:val="both"/>
              <w:rPr>
                <w:color w:val="000000" w:themeColor="text1"/>
                <w:sz w:val="18"/>
              </w:rPr>
            </w:pPr>
          </w:p>
        </w:tc>
        <w:tc>
          <w:tcPr>
            <w:tcW w:w="4379" w:type="pct"/>
            <w:gridSpan w:val="8"/>
            <w:hideMark/>
          </w:tcPr>
          <w:p w14:paraId="1A59E819" w14:textId="77777777" w:rsidR="00F64EE7" w:rsidRPr="0011329B" w:rsidRDefault="00F64EE7" w:rsidP="007863CB">
            <w:pPr>
              <w:spacing w:line="360" w:lineRule="auto"/>
              <w:jc w:val="center"/>
              <w:rPr>
                <w:color w:val="000000" w:themeColor="text1"/>
                <w:sz w:val="18"/>
              </w:rPr>
            </w:pPr>
            <w:r w:rsidRPr="0011329B">
              <w:rPr>
                <w:b/>
                <w:bCs/>
                <w:color w:val="000000" w:themeColor="text1"/>
                <w:sz w:val="18"/>
              </w:rPr>
              <w:t>Polymers</w:t>
            </w:r>
          </w:p>
        </w:tc>
      </w:tr>
      <w:tr w:rsidR="00F64EE7" w:rsidRPr="0011329B" w14:paraId="7037B444" w14:textId="77777777" w:rsidTr="007863CB">
        <w:trPr>
          <w:trHeight w:val="412"/>
        </w:trPr>
        <w:tc>
          <w:tcPr>
            <w:tcW w:w="612" w:type="pct"/>
          </w:tcPr>
          <w:p w14:paraId="0B53E133" w14:textId="77777777" w:rsidR="00F64EE7" w:rsidRPr="0011329B" w:rsidRDefault="00F64EE7" w:rsidP="007863CB">
            <w:pPr>
              <w:spacing w:line="360" w:lineRule="auto"/>
              <w:jc w:val="center"/>
              <w:rPr>
                <w:b/>
                <w:bCs/>
                <w:color w:val="000000" w:themeColor="text1"/>
                <w:sz w:val="18"/>
              </w:rPr>
            </w:pPr>
            <w:r w:rsidRPr="0011329B">
              <w:rPr>
                <w:b/>
                <w:bCs/>
                <w:color w:val="000000" w:themeColor="text1"/>
                <w:sz w:val="18"/>
              </w:rPr>
              <w:t>Surfactants</w:t>
            </w:r>
          </w:p>
        </w:tc>
        <w:tc>
          <w:tcPr>
            <w:tcW w:w="547" w:type="pct"/>
          </w:tcPr>
          <w:p w14:paraId="2BF32244" w14:textId="77777777" w:rsidR="00F64EE7" w:rsidRPr="0011329B" w:rsidRDefault="00F64EE7" w:rsidP="007863CB">
            <w:pPr>
              <w:spacing w:line="360" w:lineRule="auto"/>
              <w:jc w:val="center"/>
              <w:rPr>
                <w:bCs/>
                <w:color w:val="000000" w:themeColor="text1"/>
                <w:sz w:val="18"/>
              </w:rPr>
            </w:pPr>
            <w:r w:rsidRPr="0011329B">
              <w:rPr>
                <w:bCs/>
                <w:color w:val="000000" w:themeColor="text1"/>
                <w:sz w:val="18"/>
              </w:rPr>
              <w:t>ALG</w:t>
            </w:r>
          </w:p>
        </w:tc>
        <w:tc>
          <w:tcPr>
            <w:tcW w:w="548" w:type="pct"/>
          </w:tcPr>
          <w:p w14:paraId="29766225" w14:textId="77777777" w:rsidR="00F64EE7" w:rsidRPr="0011329B" w:rsidRDefault="00F64EE7" w:rsidP="007863CB">
            <w:pPr>
              <w:spacing w:line="360" w:lineRule="auto"/>
              <w:jc w:val="center"/>
              <w:rPr>
                <w:bCs/>
                <w:color w:val="000000" w:themeColor="text1"/>
                <w:sz w:val="18"/>
              </w:rPr>
            </w:pPr>
            <w:r w:rsidRPr="0011329B">
              <w:rPr>
                <w:bCs/>
                <w:color w:val="000000" w:themeColor="text1"/>
                <w:sz w:val="18"/>
              </w:rPr>
              <w:t>CMC</w:t>
            </w:r>
          </w:p>
        </w:tc>
        <w:tc>
          <w:tcPr>
            <w:tcW w:w="548" w:type="pct"/>
          </w:tcPr>
          <w:p w14:paraId="3D9FFE4F" w14:textId="77777777" w:rsidR="00F64EE7" w:rsidRPr="0011329B" w:rsidRDefault="00F64EE7" w:rsidP="007863CB">
            <w:pPr>
              <w:spacing w:line="360" w:lineRule="auto"/>
              <w:jc w:val="center"/>
              <w:rPr>
                <w:bCs/>
                <w:color w:val="000000" w:themeColor="text1"/>
                <w:sz w:val="18"/>
              </w:rPr>
            </w:pPr>
            <w:r w:rsidRPr="0011329B">
              <w:rPr>
                <w:bCs/>
                <w:color w:val="000000" w:themeColor="text1"/>
                <w:sz w:val="18"/>
              </w:rPr>
              <w:t>PF-127</w:t>
            </w:r>
          </w:p>
        </w:tc>
        <w:tc>
          <w:tcPr>
            <w:tcW w:w="549" w:type="pct"/>
          </w:tcPr>
          <w:p w14:paraId="3DEBE083" w14:textId="77777777" w:rsidR="00F64EE7" w:rsidRPr="0011329B" w:rsidRDefault="00F64EE7" w:rsidP="007863CB">
            <w:pPr>
              <w:spacing w:line="360" w:lineRule="auto"/>
              <w:jc w:val="center"/>
              <w:rPr>
                <w:bCs/>
                <w:color w:val="000000" w:themeColor="text1"/>
                <w:sz w:val="18"/>
              </w:rPr>
            </w:pPr>
            <w:r w:rsidRPr="0011329B">
              <w:rPr>
                <w:bCs/>
                <w:color w:val="000000" w:themeColor="text1"/>
                <w:sz w:val="18"/>
              </w:rPr>
              <w:t>DEX</w:t>
            </w:r>
          </w:p>
        </w:tc>
        <w:tc>
          <w:tcPr>
            <w:tcW w:w="550" w:type="pct"/>
          </w:tcPr>
          <w:p w14:paraId="1D10C3D4" w14:textId="77777777" w:rsidR="00F64EE7" w:rsidRPr="0011329B" w:rsidRDefault="00F64EE7" w:rsidP="007863CB">
            <w:pPr>
              <w:spacing w:line="360" w:lineRule="auto"/>
              <w:jc w:val="center"/>
              <w:rPr>
                <w:bCs/>
                <w:color w:val="000000" w:themeColor="text1"/>
                <w:sz w:val="18"/>
              </w:rPr>
            </w:pPr>
            <w:r w:rsidRPr="0011329B">
              <w:rPr>
                <w:bCs/>
                <w:color w:val="000000" w:themeColor="text1"/>
                <w:sz w:val="18"/>
              </w:rPr>
              <w:t>PEI</w:t>
            </w:r>
          </w:p>
        </w:tc>
        <w:tc>
          <w:tcPr>
            <w:tcW w:w="550" w:type="pct"/>
          </w:tcPr>
          <w:p w14:paraId="2735655F" w14:textId="77777777" w:rsidR="00F64EE7" w:rsidRPr="0011329B" w:rsidRDefault="00F64EE7" w:rsidP="007863CB">
            <w:pPr>
              <w:spacing w:line="360" w:lineRule="auto"/>
              <w:jc w:val="center"/>
              <w:rPr>
                <w:bCs/>
                <w:color w:val="000000" w:themeColor="text1"/>
                <w:sz w:val="18"/>
              </w:rPr>
            </w:pPr>
            <w:r w:rsidRPr="0011329B">
              <w:rPr>
                <w:bCs/>
                <w:color w:val="000000" w:themeColor="text1"/>
                <w:sz w:val="18"/>
              </w:rPr>
              <w:t>PVP</w:t>
            </w:r>
          </w:p>
        </w:tc>
        <w:tc>
          <w:tcPr>
            <w:tcW w:w="550" w:type="pct"/>
          </w:tcPr>
          <w:p w14:paraId="467EC0AF" w14:textId="77777777" w:rsidR="00F64EE7" w:rsidRPr="0011329B" w:rsidRDefault="00F64EE7" w:rsidP="007863CB">
            <w:pPr>
              <w:spacing w:line="360" w:lineRule="auto"/>
              <w:jc w:val="center"/>
              <w:rPr>
                <w:bCs/>
                <w:color w:val="000000" w:themeColor="text1"/>
                <w:sz w:val="18"/>
              </w:rPr>
            </w:pPr>
            <w:r w:rsidRPr="0011329B">
              <w:rPr>
                <w:bCs/>
                <w:color w:val="000000" w:themeColor="text1"/>
                <w:sz w:val="18"/>
              </w:rPr>
              <w:t>PEG</w:t>
            </w:r>
          </w:p>
        </w:tc>
        <w:tc>
          <w:tcPr>
            <w:tcW w:w="546" w:type="pct"/>
            <w:gridSpan w:val="2"/>
          </w:tcPr>
          <w:p w14:paraId="07B2C4E2" w14:textId="77777777" w:rsidR="00F64EE7" w:rsidRPr="0011329B" w:rsidRDefault="00F64EE7" w:rsidP="007863CB">
            <w:pPr>
              <w:spacing w:line="360" w:lineRule="auto"/>
              <w:jc w:val="center"/>
              <w:rPr>
                <w:bCs/>
                <w:color w:val="000000" w:themeColor="text1"/>
                <w:sz w:val="18"/>
              </w:rPr>
            </w:pPr>
            <w:r w:rsidRPr="0011329B">
              <w:rPr>
                <w:bCs/>
                <w:color w:val="000000" w:themeColor="text1"/>
                <w:sz w:val="18"/>
              </w:rPr>
              <w:t>PS-80</w:t>
            </w:r>
          </w:p>
        </w:tc>
      </w:tr>
      <w:tr w:rsidR="00F64EE7" w:rsidRPr="0011329B" w14:paraId="72140AED" w14:textId="77777777" w:rsidTr="007863CB">
        <w:trPr>
          <w:trHeight w:val="449"/>
        </w:trPr>
        <w:tc>
          <w:tcPr>
            <w:tcW w:w="612" w:type="pct"/>
            <w:hideMark/>
          </w:tcPr>
          <w:p w14:paraId="240B8E50" w14:textId="77777777" w:rsidR="00F64EE7" w:rsidRPr="0011329B" w:rsidRDefault="00F64EE7" w:rsidP="007863CB">
            <w:pPr>
              <w:spacing w:line="360" w:lineRule="auto"/>
              <w:jc w:val="center"/>
              <w:rPr>
                <w:color w:val="000000" w:themeColor="text1"/>
                <w:sz w:val="18"/>
              </w:rPr>
            </w:pPr>
            <w:r w:rsidRPr="0011329B">
              <w:rPr>
                <w:color w:val="000000" w:themeColor="text1"/>
                <w:sz w:val="18"/>
              </w:rPr>
              <w:t>SDS</w:t>
            </w:r>
          </w:p>
        </w:tc>
        <w:tc>
          <w:tcPr>
            <w:tcW w:w="547" w:type="pct"/>
            <w:hideMark/>
          </w:tcPr>
          <w:p w14:paraId="6A5F6568" w14:textId="77777777" w:rsidR="00F64EE7" w:rsidRPr="0011329B" w:rsidRDefault="00F64EE7" w:rsidP="007863CB">
            <w:pPr>
              <w:spacing w:line="360" w:lineRule="auto"/>
              <w:jc w:val="center"/>
              <w:rPr>
                <w:color w:val="000000" w:themeColor="text1"/>
                <w:sz w:val="18"/>
              </w:rPr>
            </w:pPr>
            <w:r w:rsidRPr="0011329B">
              <w:rPr>
                <w:color w:val="000000" w:themeColor="text1"/>
                <w:sz w:val="18"/>
              </w:rPr>
              <w:t>SDS- 3.0 mg &amp; ALG- 6.0 mg</w:t>
            </w:r>
          </w:p>
          <w:p w14:paraId="68C23885" w14:textId="77777777" w:rsidR="00F64EE7" w:rsidRPr="0011329B" w:rsidRDefault="00F64EE7" w:rsidP="007863CB">
            <w:pPr>
              <w:spacing w:line="360" w:lineRule="auto"/>
              <w:jc w:val="center"/>
              <w:rPr>
                <w:color w:val="000000" w:themeColor="text1"/>
                <w:sz w:val="18"/>
              </w:rPr>
            </w:pPr>
          </w:p>
        </w:tc>
        <w:tc>
          <w:tcPr>
            <w:tcW w:w="548" w:type="pct"/>
            <w:hideMark/>
          </w:tcPr>
          <w:p w14:paraId="7DFF3C2D" w14:textId="77777777" w:rsidR="00F64EE7" w:rsidRPr="0011329B" w:rsidRDefault="00F64EE7" w:rsidP="007863CB">
            <w:pPr>
              <w:spacing w:line="360" w:lineRule="auto"/>
              <w:jc w:val="center"/>
              <w:rPr>
                <w:color w:val="000000" w:themeColor="text1"/>
                <w:sz w:val="18"/>
              </w:rPr>
            </w:pPr>
            <w:r w:rsidRPr="0011329B">
              <w:rPr>
                <w:color w:val="000000" w:themeColor="text1"/>
                <w:sz w:val="18"/>
              </w:rPr>
              <w:t>SDS- 3.0 mg &amp; CMC- 6.0 mg</w:t>
            </w:r>
          </w:p>
          <w:p w14:paraId="43B47FD6" w14:textId="77777777" w:rsidR="00F64EE7" w:rsidRPr="0011329B" w:rsidRDefault="00F64EE7" w:rsidP="007863CB">
            <w:pPr>
              <w:spacing w:line="360" w:lineRule="auto"/>
              <w:rPr>
                <w:color w:val="000000" w:themeColor="text1"/>
                <w:sz w:val="18"/>
              </w:rPr>
            </w:pPr>
          </w:p>
        </w:tc>
        <w:tc>
          <w:tcPr>
            <w:tcW w:w="548" w:type="pct"/>
            <w:hideMark/>
          </w:tcPr>
          <w:p w14:paraId="7E990762" w14:textId="77777777" w:rsidR="00F64EE7" w:rsidRPr="0011329B" w:rsidRDefault="00F64EE7" w:rsidP="007863CB">
            <w:pPr>
              <w:spacing w:line="360" w:lineRule="auto"/>
              <w:jc w:val="center"/>
              <w:rPr>
                <w:color w:val="000000" w:themeColor="text1"/>
                <w:sz w:val="18"/>
              </w:rPr>
            </w:pPr>
            <w:r w:rsidRPr="0011329B">
              <w:rPr>
                <w:color w:val="000000" w:themeColor="text1"/>
                <w:sz w:val="18"/>
              </w:rPr>
              <w:t>SDS- 3.0 mg &amp; PF-127- 6.0 mg</w:t>
            </w:r>
          </w:p>
          <w:p w14:paraId="4FBD4837" w14:textId="77777777" w:rsidR="00F64EE7" w:rsidRPr="0011329B" w:rsidRDefault="00F64EE7" w:rsidP="007863CB">
            <w:pPr>
              <w:spacing w:line="360" w:lineRule="auto"/>
              <w:jc w:val="center"/>
              <w:rPr>
                <w:color w:val="000000" w:themeColor="text1"/>
                <w:sz w:val="18"/>
              </w:rPr>
            </w:pPr>
          </w:p>
        </w:tc>
        <w:tc>
          <w:tcPr>
            <w:tcW w:w="549" w:type="pct"/>
            <w:hideMark/>
          </w:tcPr>
          <w:p w14:paraId="2B884B83" w14:textId="77777777" w:rsidR="00F64EE7" w:rsidRPr="0011329B" w:rsidRDefault="00F64EE7" w:rsidP="007863CB">
            <w:pPr>
              <w:spacing w:line="360" w:lineRule="auto"/>
              <w:jc w:val="center"/>
              <w:rPr>
                <w:color w:val="000000" w:themeColor="text1"/>
                <w:sz w:val="18"/>
              </w:rPr>
            </w:pPr>
            <w:r w:rsidRPr="0011329B">
              <w:rPr>
                <w:color w:val="000000" w:themeColor="text1"/>
                <w:sz w:val="18"/>
              </w:rPr>
              <w:t>SDS- 3.0 mg &amp; DEX- 6.0 mg</w:t>
            </w:r>
          </w:p>
          <w:p w14:paraId="26C598CA" w14:textId="77777777" w:rsidR="00F64EE7" w:rsidRPr="0011329B" w:rsidRDefault="00F64EE7" w:rsidP="007863CB">
            <w:pPr>
              <w:spacing w:line="360" w:lineRule="auto"/>
              <w:jc w:val="center"/>
              <w:rPr>
                <w:color w:val="000000" w:themeColor="text1"/>
                <w:sz w:val="18"/>
              </w:rPr>
            </w:pPr>
          </w:p>
        </w:tc>
        <w:tc>
          <w:tcPr>
            <w:tcW w:w="550" w:type="pct"/>
            <w:hideMark/>
          </w:tcPr>
          <w:p w14:paraId="058339B4" w14:textId="77777777" w:rsidR="00F64EE7" w:rsidRPr="0011329B" w:rsidRDefault="00F64EE7" w:rsidP="007863CB">
            <w:pPr>
              <w:spacing w:line="360" w:lineRule="auto"/>
              <w:jc w:val="center"/>
              <w:rPr>
                <w:color w:val="000000" w:themeColor="text1"/>
                <w:sz w:val="18"/>
              </w:rPr>
            </w:pPr>
            <w:r w:rsidRPr="0011329B">
              <w:rPr>
                <w:color w:val="000000" w:themeColor="text1"/>
                <w:sz w:val="18"/>
              </w:rPr>
              <w:t>SDS- 3.0 mg &amp; PEI- 6.0 mg</w:t>
            </w:r>
          </w:p>
          <w:p w14:paraId="16496A56" w14:textId="77777777" w:rsidR="00F64EE7" w:rsidRPr="0011329B" w:rsidRDefault="00F64EE7" w:rsidP="007863CB">
            <w:pPr>
              <w:spacing w:line="360" w:lineRule="auto"/>
              <w:jc w:val="center"/>
              <w:rPr>
                <w:color w:val="000000" w:themeColor="text1"/>
                <w:sz w:val="18"/>
              </w:rPr>
            </w:pPr>
          </w:p>
        </w:tc>
        <w:tc>
          <w:tcPr>
            <w:tcW w:w="550" w:type="pct"/>
            <w:hideMark/>
          </w:tcPr>
          <w:p w14:paraId="198124B6" w14:textId="77777777" w:rsidR="00F64EE7" w:rsidRPr="0011329B" w:rsidRDefault="00F64EE7" w:rsidP="007863CB">
            <w:pPr>
              <w:spacing w:line="360" w:lineRule="auto"/>
              <w:jc w:val="center"/>
              <w:rPr>
                <w:color w:val="000000" w:themeColor="text1"/>
                <w:sz w:val="18"/>
              </w:rPr>
            </w:pPr>
            <w:r w:rsidRPr="0011329B">
              <w:rPr>
                <w:color w:val="000000" w:themeColor="text1"/>
                <w:sz w:val="18"/>
              </w:rPr>
              <w:t>SDS- 3.0 mg &amp; PVP- 6.0 mg</w:t>
            </w:r>
          </w:p>
          <w:p w14:paraId="0A6A07D4" w14:textId="77777777" w:rsidR="00F64EE7" w:rsidRPr="0011329B" w:rsidRDefault="00F64EE7" w:rsidP="007863CB">
            <w:pPr>
              <w:spacing w:line="360" w:lineRule="auto"/>
              <w:jc w:val="center"/>
              <w:rPr>
                <w:color w:val="000000" w:themeColor="text1"/>
                <w:sz w:val="18"/>
              </w:rPr>
            </w:pPr>
          </w:p>
        </w:tc>
        <w:tc>
          <w:tcPr>
            <w:tcW w:w="550" w:type="pct"/>
            <w:hideMark/>
          </w:tcPr>
          <w:p w14:paraId="20BAFBDA" w14:textId="77777777" w:rsidR="00F64EE7" w:rsidRPr="0011329B" w:rsidRDefault="00F64EE7" w:rsidP="007863CB">
            <w:pPr>
              <w:spacing w:line="360" w:lineRule="auto"/>
              <w:jc w:val="center"/>
              <w:rPr>
                <w:color w:val="000000" w:themeColor="text1"/>
                <w:sz w:val="18"/>
              </w:rPr>
            </w:pPr>
            <w:r w:rsidRPr="0011329B">
              <w:rPr>
                <w:color w:val="000000" w:themeColor="text1"/>
                <w:sz w:val="18"/>
              </w:rPr>
              <w:t>SDS- 3.0 mg &amp; PEG- 6.0 mg</w:t>
            </w:r>
          </w:p>
          <w:p w14:paraId="405C97A3" w14:textId="77777777" w:rsidR="00F64EE7" w:rsidRPr="0011329B" w:rsidRDefault="00F64EE7" w:rsidP="007863CB">
            <w:pPr>
              <w:spacing w:line="360" w:lineRule="auto"/>
              <w:jc w:val="center"/>
              <w:rPr>
                <w:color w:val="000000" w:themeColor="text1"/>
                <w:sz w:val="18"/>
              </w:rPr>
            </w:pPr>
          </w:p>
        </w:tc>
        <w:tc>
          <w:tcPr>
            <w:tcW w:w="546" w:type="pct"/>
            <w:gridSpan w:val="2"/>
            <w:hideMark/>
          </w:tcPr>
          <w:p w14:paraId="3B321FF5" w14:textId="77777777" w:rsidR="00F64EE7" w:rsidRPr="0011329B" w:rsidRDefault="00F64EE7" w:rsidP="007863CB">
            <w:pPr>
              <w:spacing w:line="360" w:lineRule="auto"/>
              <w:jc w:val="center"/>
              <w:rPr>
                <w:color w:val="000000" w:themeColor="text1"/>
                <w:sz w:val="18"/>
              </w:rPr>
            </w:pPr>
            <w:r w:rsidRPr="0011329B">
              <w:rPr>
                <w:color w:val="000000" w:themeColor="text1"/>
                <w:sz w:val="18"/>
              </w:rPr>
              <w:t>SDS- 3.0 mg &amp; PS-80- 6.0 mg</w:t>
            </w:r>
          </w:p>
          <w:p w14:paraId="0D00C862" w14:textId="77777777" w:rsidR="00F64EE7" w:rsidRPr="0011329B" w:rsidRDefault="00F64EE7" w:rsidP="007863CB">
            <w:pPr>
              <w:spacing w:line="360" w:lineRule="auto"/>
              <w:jc w:val="center"/>
              <w:rPr>
                <w:color w:val="000000" w:themeColor="text1"/>
                <w:sz w:val="18"/>
              </w:rPr>
            </w:pPr>
          </w:p>
        </w:tc>
      </w:tr>
      <w:tr w:rsidR="00F64EE7" w:rsidRPr="0011329B" w14:paraId="4E9A80DF" w14:textId="77777777" w:rsidTr="007863CB">
        <w:trPr>
          <w:trHeight w:val="449"/>
        </w:trPr>
        <w:tc>
          <w:tcPr>
            <w:tcW w:w="612" w:type="pct"/>
            <w:hideMark/>
          </w:tcPr>
          <w:p w14:paraId="05F41033" w14:textId="77777777" w:rsidR="00F64EE7" w:rsidRPr="0011329B" w:rsidRDefault="00F64EE7" w:rsidP="007863CB">
            <w:pPr>
              <w:spacing w:line="360" w:lineRule="auto"/>
              <w:jc w:val="center"/>
              <w:rPr>
                <w:color w:val="000000" w:themeColor="text1"/>
                <w:sz w:val="18"/>
              </w:rPr>
            </w:pPr>
            <w:r w:rsidRPr="0011329B">
              <w:rPr>
                <w:color w:val="000000" w:themeColor="text1"/>
                <w:sz w:val="18"/>
              </w:rPr>
              <w:t>PVA</w:t>
            </w:r>
          </w:p>
        </w:tc>
        <w:tc>
          <w:tcPr>
            <w:tcW w:w="547" w:type="pct"/>
            <w:hideMark/>
          </w:tcPr>
          <w:p w14:paraId="7F1E2FCB" w14:textId="77777777" w:rsidR="00F64EE7" w:rsidRPr="0011329B" w:rsidRDefault="00F64EE7" w:rsidP="007863CB">
            <w:pPr>
              <w:spacing w:line="360" w:lineRule="auto"/>
              <w:jc w:val="center"/>
              <w:rPr>
                <w:color w:val="000000" w:themeColor="text1"/>
                <w:sz w:val="18"/>
              </w:rPr>
            </w:pPr>
            <w:r w:rsidRPr="0011329B">
              <w:rPr>
                <w:color w:val="000000" w:themeColor="text1"/>
                <w:sz w:val="18"/>
              </w:rPr>
              <w:t>PVA- 3.0 mg &amp; ALG- 6.0 mg</w:t>
            </w:r>
          </w:p>
          <w:p w14:paraId="441C7296" w14:textId="77777777" w:rsidR="00F64EE7" w:rsidRPr="0011329B" w:rsidRDefault="00F64EE7" w:rsidP="007863CB">
            <w:pPr>
              <w:spacing w:line="360" w:lineRule="auto"/>
              <w:jc w:val="center"/>
              <w:rPr>
                <w:color w:val="000000" w:themeColor="text1"/>
                <w:sz w:val="18"/>
              </w:rPr>
            </w:pPr>
          </w:p>
        </w:tc>
        <w:tc>
          <w:tcPr>
            <w:tcW w:w="548" w:type="pct"/>
            <w:hideMark/>
          </w:tcPr>
          <w:p w14:paraId="1264B771" w14:textId="77777777" w:rsidR="00F64EE7" w:rsidRPr="0011329B" w:rsidRDefault="00F64EE7" w:rsidP="007863CB">
            <w:pPr>
              <w:spacing w:line="360" w:lineRule="auto"/>
              <w:jc w:val="center"/>
              <w:rPr>
                <w:color w:val="000000" w:themeColor="text1"/>
                <w:sz w:val="18"/>
              </w:rPr>
            </w:pPr>
            <w:r w:rsidRPr="0011329B">
              <w:rPr>
                <w:color w:val="000000" w:themeColor="text1"/>
                <w:sz w:val="18"/>
              </w:rPr>
              <w:t>PVA- 3.0 mg &amp; CMC- 6.0 mg</w:t>
            </w:r>
          </w:p>
          <w:p w14:paraId="3CDE2073" w14:textId="77777777" w:rsidR="00F64EE7" w:rsidRPr="0011329B" w:rsidRDefault="00F64EE7" w:rsidP="007863CB">
            <w:pPr>
              <w:spacing w:line="360" w:lineRule="auto"/>
              <w:jc w:val="center"/>
              <w:rPr>
                <w:color w:val="000000" w:themeColor="text1"/>
                <w:sz w:val="18"/>
              </w:rPr>
            </w:pPr>
          </w:p>
        </w:tc>
        <w:tc>
          <w:tcPr>
            <w:tcW w:w="548" w:type="pct"/>
            <w:hideMark/>
          </w:tcPr>
          <w:p w14:paraId="308FB0AC" w14:textId="77777777" w:rsidR="00F64EE7" w:rsidRPr="0011329B" w:rsidRDefault="00F64EE7" w:rsidP="007863CB">
            <w:pPr>
              <w:spacing w:line="360" w:lineRule="auto"/>
              <w:jc w:val="center"/>
              <w:rPr>
                <w:color w:val="000000" w:themeColor="text1"/>
                <w:sz w:val="18"/>
              </w:rPr>
            </w:pPr>
            <w:r w:rsidRPr="0011329B">
              <w:rPr>
                <w:color w:val="000000" w:themeColor="text1"/>
                <w:sz w:val="18"/>
              </w:rPr>
              <w:t>PVA- 3.0 mg &amp; PF-127- 6.0 mg</w:t>
            </w:r>
          </w:p>
          <w:p w14:paraId="1379889C" w14:textId="77777777" w:rsidR="00F64EE7" w:rsidRPr="0011329B" w:rsidRDefault="00F64EE7" w:rsidP="007863CB">
            <w:pPr>
              <w:spacing w:line="360" w:lineRule="auto"/>
              <w:jc w:val="center"/>
              <w:rPr>
                <w:color w:val="000000" w:themeColor="text1"/>
                <w:sz w:val="18"/>
              </w:rPr>
            </w:pPr>
          </w:p>
        </w:tc>
        <w:tc>
          <w:tcPr>
            <w:tcW w:w="549" w:type="pct"/>
            <w:hideMark/>
          </w:tcPr>
          <w:p w14:paraId="387A7F25" w14:textId="77777777" w:rsidR="00F64EE7" w:rsidRPr="0011329B" w:rsidRDefault="00F64EE7" w:rsidP="007863CB">
            <w:pPr>
              <w:spacing w:line="360" w:lineRule="auto"/>
              <w:jc w:val="center"/>
              <w:rPr>
                <w:color w:val="000000" w:themeColor="text1"/>
                <w:sz w:val="18"/>
              </w:rPr>
            </w:pPr>
            <w:r w:rsidRPr="0011329B">
              <w:rPr>
                <w:color w:val="000000" w:themeColor="text1"/>
                <w:sz w:val="18"/>
              </w:rPr>
              <w:t>PVA- 3.0 mg &amp; DEX- 6.0 mg</w:t>
            </w:r>
          </w:p>
          <w:p w14:paraId="4E6C8A4E" w14:textId="77777777" w:rsidR="00F64EE7" w:rsidRPr="0011329B" w:rsidRDefault="00F64EE7" w:rsidP="007863CB">
            <w:pPr>
              <w:spacing w:line="360" w:lineRule="auto"/>
              <w:jc w:val="center"/>
              <w:rPr>
                <w:color w:val="000000" w:themeColor="text1"/>
                <w:sz w:val="18"/>
              </w:rPr>
            </w:pPr>
          </w:p>
        </w:tc>
        <w:tc>
          <w:tcPr>
            <w:tcW w:w="550" w:type="pct"/>
            <w:hideMark/>
          </w:tcPr>
          <w:p w14:paraId="3502A056" w14:textId="77777777" w:rsidR="00F64EE7" w:rsidRPr="0011329B" w:rsidRDefault="00F64EE7" w:rsidP="007863CB">
            <w:pPr>
              <w:spacing w:line="360" w:lineRule="auto"/>
              <w:jc w:val="center"/>
              <w:rPr>
                <w:color w:val="000000" w:themeColor="text1"/>
                <w:sz w:val="18"/>
              </w:rPr>
            </w:pPr>
            <w:r w:rsidRPr="0011329B">
              <w:rPr>
                <w:color w:val="000000" w:themeColor="text1"/>
                <w:sz w:val="18"/>
              </w:rPr>
              <w:t>PVA- 3.0 mg &amp; PEI- 6.0 mg</w:t>
            </w:r>
          </w:p>
          <w:p w14:paraId="40CDE074" w14:textId="77777777" w:rsidR="00F64EE7" w:rsidRPr="0011329B" w:rsidRDefault="00F64EE7" w:rsidP="007863CB">
            <w:pPr>
              <w:spacing w:line="360" w:lineRule="auto"/>
              <w:jc w:val="center"/>
              <w:rPr>
                <w:color w:val="000000" w:themeColor="text1"/>
                <w:sz w:val="18"/>
              </w:rPr>
            </w:pPr>
          </w:p>
        </w:tc>
        <w:tc>
          <w:tcPr>
            <w:tcW w:w="550" w:type="pct"/>
            <w:hideMark/>
          </w:tcPr>
          <w:p w14:paraId="35289A7B" w14:textId="77777777" w:rsidR="00F64EE7" w:rsidRPr="0011329B" w:rsidRDefault="00F64EE7" w:rsidP="007863CB">
            <w:pPr>
              <w:spacing w:line="360" w:lineRule="auto"/>
              <w:jc w:val="center"/>
              <w:rPr>
                <w:color w:val="000000" w:themeColor="text1"/>
                <w:sz w:val="18"/>
              </w:rPr>
            </w:pPr>
            <w:r w:rsidRPr="0011329B">
              <w:rPr>
                <w:color w:val="000000" w:themeColor="text1"/>
                <w:sz w:val="18"/>
              </w:rPr>
              <w:t>PVA- 3.0 mg &amp; PVP- 6.0 mg</w:t>
            </w:r>
          </w:p>
          <w:p w14:paraId="71BB4070" w14:textId="77777777" w:rsidR="00F64EE7" w:rsidRPr="0011329B" w:rsidRDefault="00F64EE7" w:rsidP="007863CB">
            <w:pPr>
              <w:spacing w:line="360" w:lineRule="auto"/>
              <w:jc w:val="center"/>
              <w:rPr>
                <w:color w:val="000000" w:themeColor="text1"/>
                <w:sz w:val="18"/>
              </w:rPr>
            </w:pPr>
          </w:p>
        </w:tc>
        <w:tc>
          <w:tcPr>
            <w:tcW w:w="550" w:type="pct"/>
            <w:hideMark/>
          </w:tcPr>
          <w:p w14:paraId="37A40E23" w14:textId="77777777" w:rsidR="00F64EE7" w:rsidRPr="0011329B" w:rsidRDefault="00F64EE7" w:rsidP="007863CB">
            <w:pPr>
              <w:spacing w:line="360" w:lineRule="auto"/>
              <w:jc w:val="center"/>
              <w:rPr>
                <w:color w:val="000000" w:themeColor="text1"/>
                <w:sz w:val="18"/>
              </w:rPr>
            </w:pPr>
            <w:r w:rsidRPr="0011329B">
              <w:rPr>
                <w:color w:val="000000" w:themeColor="text1"/>
                <w:sz w:val="18"/>
              </w:rPr>
              <w:t>PVA- 3.0 mg &amp; PEG- 6.0 mg</w:t>
            </w:r>
          </w:p>
          <w:p w14:paraId="2BBF1B86" w14:textId="77777777" w:rsidR="00F64EE7" w:rsidRPr="0011329B" w:rsidRDefault="00F64EE7" w:rsidP="007863CB">
            <w:pPr>
              <w:spacing w:line="360" w:lineRule="auto"/>
              <w:jc w:val="center"/>
              <w:rPr>
                <w:color w:val="000000" w:themeColor="text1"/>
                <w:sz w:val="18"/>
              </w:rPr>
            </w:pPr>
          </w:p>
        </w:tc>
        <w:tc>
          <w:tcPr>
            <w:tcW w:w="546" w:type="pct"/>
            <w:gridSpan w:val="2"/>
            <w:hideMark/>
          </w:tcPr>
          <w:p w14:paraId="5D8FB01B" w14:textId="77777777" w:rsidR="00F64EE7" w:rsidRPr="0011329B" w:rsidRDefault="00F64EE7" w:rsidP="007863CB">
            <w:pPr>
              <w:spacing w:line="360" w:lineRule="auto"/>
              <w:jc w:val="center"/>
              <w:rPr>
                <w:color w:val="000000" w:themeColor="text1"/>
                <w:sz w:val="18"/>
              </w:rPr>
            </w:pPr>
            <w:r w:rsidRPr="0011329B">
              <w:rPr>
                <w:color w:val="000000" w:themeColor="text1"/>
                <w:sz w:val="18"/>
              </w:rPr>
              <w:t>PVA- 3.0 mg &amp; PS-80- 6.0 mg</w:t>
            </w:r>
          </w:p>
          <w:p w14:paraId="6C63E023" w14:textId="77777777" w:rsidR="00F64EE7" w:rsidRPr="0011329B" w:rsidRDefault="00F64EE7" w:rsidP="007863CB">
            <w:pPr>
              <w:spacing w:line="360" w:lineRule="auto"/>
              <w:jc w:val="center"/>
              <w:rPr>
                <w:color w:val="000000" w:themeColor="text1"/>
                <w:sz w:val="18"/>
              </w:rPr>
            </w:pPr>
          </w:p>
        </w:tc>
      </w:tr>
      <w:tr w:rsidR="00F64EE7" w:rsidRPr="0011329B" w14:paraId="05775431" w14:textId="77777777" w:rsidTr="007863CB">
        <w:trPr>
          <w:trHeight w:val="449"/>
        </w:trPr>
        <w:tc>
          <w:tcPr>
            <w:tcW w:w="612" w:type="pct"/>
            <w:hideMark/>
          </w:tcPr>
          <w:p w14:paraId="184EC30E" w14:textId="77777777" w:rsidR="00F64EE7" w:rsidRPr="0011329B" w:rsidRDefault="00F64EE7" w:rsidP="007863CB">
            <w:pPr>
              <w:spacing w:line="360" w:lineRule="auto"/>
              <w:jc w:val="center"/>
              <w:rPr>
                <w:color w:val="000000" w:themeColor="text1"/>
                <w:sz w:val="18"/>
              </w:rPr>
            </w:pPr>
            <w:r w:rsidRPr="0011329B">
              <w:rPr>
                <w:color w:val="000000" w:themeColor="text1"/>
                <w:sz w:val="18"/>
              </w:rPr>
              <w:t>PEG</w:t>
            </w:r>
          </w:p>
        </w:tc>
        <w:tc>
          <w:tcPr>
            <w:tcW w:w="547" w:type="pct"/>
            <w:hideMark/>
          </w:tcPr>
          <w:p w14:paraId="209DB3F9" w14:textId="77777777" w:rsidR="00F64EE7" w:rsidRPr="0011329B" w:rsidRDefault="00F64EE7" w:rsidP="007863CB">
            <w:pPr>
              <w:spacing w:line="360" w:lineRule="auto"/>
              <w:jc w:val="center"/>
              <w:rPr>
                <w:color w:val="000000" w:themeColor="text1"/>
                <w:sz w:val="18"/>
              </w:rPr>
            </w:pPr>
            <w:r w:rsidRPr="0011329B">
              <w:rPr>
                <w:color w:val="000000" w:themeColor="text1"/>
                <w:sz w:val="18"/>
              </w:rPr>
              <w:t>PEG- 3.0 mg &amp; ALG- 6.0 mg</w:t>
            </w:r>
          </w:p>
          <w:p w14:paraId="5D0E20A9" w14:textId="77777777" w:rsidR="00F64EE7" w:rsidRPr="0011329B" w:rsidRDefault="00F64EE7" w:rsidP="007863CB">
            <w:pPr>
              <w:spacing w:line="360" w:lineRule="auto"/>
              <w:jc w:val="center"/>
              <w:rPr>
                <w:color w:val="000000" w:themeColor="text1"/>
                <w:sz w:val="18"/>
              </w:rPr>
            </w:pPr>
          </w:p>
        </w:tc>
        <w:tc>
          <w:tcPr>
            <w:tcW w:w="548" w:type="pct"/>
            <w:hideMark/>
          </w:tcPr>
          <w:p w14:paraId="0207DEFF" w14:textId="77777777" w:rsidR="00F64EE7" w:rsidRPr="0011329B" w:rsidRDefault="00F64EE7" w:rsidP="007863CB">
            <w:pPr>
              <w:spacing w:line="360" w:lineRule="auto"/>
              <w:jc w:val="center"/>
              <w:rPr>
                <w:color w:val="000000" w:themeColor="text1"/>
                <w:sz w:val="18"/>
              </w:rPr>
            </w:pPr>
            <w:r w:rsidRPr="0011329B">
              <w:rPr>
                <w:color w:val="000000" w:themeColor="text1"/>
                <w:sz w:val="18"/>
              </w:rPr>
              <w:t>PEG- 3.0 mg &amp; CMC- 6.0 mg</w:t>
            </w:r>
          </w:p>
          <w:p w14:paraId="030289D3" w14:textId="77777777" w:rsidR="00F64EE7" w:rsidRPr="0011329B" w:rsidRDefault="00F64EE7" w:rsidP="007863CB">
            <w:pPr>
              <w:spacing w:line="360" w:lineRule="auto"/>
              <w:jc w:val="center"/>
              <w:rPr>
                <w:color w:val="000000" w:themeColor="text1"/>
                <w:sz w:val="18"/>
              </w:rPr>
            </w:pPr>
          </w:p>
        </w:tc>
        <w:tc>
          <w:tcPr>
            <w:tcW w:w="548" w:type="pct"/>
            <w:hideMark/>
          </w:tcPr>
          <w:p w14:paraId="136E0513" w14:textId="77777777" w:rsidR="00F64EE7" w:rsidRPr="0011329B" w:rsidRDefault="00F64EE7" w:rsidP="007863CB">
            <w:pPr>
              <w:spacing w:line="360" w:lineRule="auto"/>
              <w:jc w:val="center"/>
              <w:rPr>
                <w:color w:val="000000" w:themeColor="text1"/>
                <w:sz w:val="18"/>
              </w:rPr>
            </w:pPr>
            <w:r w:rsidRPr="0011329B">
              <w:rPr>
                <w:color w:val="000000" w:themeColor="text1"/>
                <w:sz w:val="18"/>
              </w:rPr>
              <w:t>PEG- 3.0 mg &amp; PF-127- 6.0 mg</w:t>
            </w:r>
          </w:p>
          <w:p w14:paraId="7EC574D3" w14:textId="77777777" w:rsidR="00F64EE7" w:rsidRPr="0011329B" w:rsidRDefault="00F64EE7" w:rsidP="007863CB">
            <w:pPr>
              <w:spacing w:line="360" w:lineRule="auto"/>
              <w:jc w:val="center"/>
              <w:rPr>
                <w:color w:val="000000" w:themeColor="text1"/>
                <w:sz w:val="18"/>
              </w:rPr>
            </w:pPr>
          </w:p>
        </w:tc>
        <w:tc>
          <w:tcPr>
            <w:tcW w:w="549" w:type="pct"/>
            <w:hideMark/>
          </w:tcPr>
          <w:p w14:paraId="781FAD71" w14:textId="77777777" w:rsidR="00F64EE7" w:rsidRPr="0011329B" w:rsidRDefault="00F64EE7" w:rsidP="007863CB">
            <w:pPr>
              <w:spacing w:line="360" w:lineRule="auto"/>
              <w:jc w:val="center"/>
              <w:rPr>
                <w:color w:val="000000" w:themeColor="text1"/>
                <w:sz w:val="18"/>
              </w:rPr>
            </w:pPr>
            <w:r w:rsidRPr="0011329B">
              <w:rPr>
                <w:color w:val="000000" w:themeColor="text1"/>
                <w:sz w:val="18"/>
              </w:rPr>
              <w:t>PEG- 3.0 mg &amp; DEX- 6.0 mg</w:t>
            </w:r>
          </w:p>
          <w:p w14:paraId="724DBA50" w14:textId="77777777" w:rsidR="00F64EE7" w:rsidRPr="0011329B" w:rsidRDefault="00F64EE7" w:rsidP="007863CB">
            <w:pPr>
              <w:spacing w:line="360" w:lineRule="auto"/>
              <w:jc w:val="center"/>
              <w:rPr>
                <w:color w:val="000000" w:themeColor="text1"/>
                <w:sz w:val="18"/>
              </w:rPr>
            </w:pPr>
          </w:p>
        </w:tc>
        <w:tc>
          <w:tcPr>
            <w:tcW w:w="550" w:type="pct"/>
            <w:hideMark/>
          </w:tcPr>
          <w:p w14:paraId="2AF18F6B" w14:textId="77777777" w:rsidR="00F64EE7" w:rsidRPr="0011329B" w:rsidRDefault="00F64EE7" w:rsidP="007863CB">
            <w:pPr>
              <w:spacing w:line="360" w:lineRule="auto"/>
              <w:jc w:val="center"/>
              <w:rPr>
                <w:color w:val="000000" w:themeColor="text1"/>
                <w:sz w:val="18"/>
              </w:rPr>
            </w:pPr>
            <w:r w:rsidRPr="0011329B">
              <w:rPr>
                <w:color w:val="000000" w:themeColor="text1"/>
                <w:sz w:val="18"/>
              </w:rPr>
              <w:t>PEG- 3.0 mg &amp; PEI- 6.0 mg</w:t>
            </w:r>
          </w:p>
          <w:p w14:paraId="1017B532" w14:textId="77777777" w:rsidR="00F64EE7" w:rsidRPr="0011329B" w:rsidRDefault="00F64EE7" w:rsidP="007863CB">
            <w:pPr>
              <w:spacing w:line="360" w:lineRule="auto"/>
              <w:jc w:val="center"/>
              <w:rPr>
                <w:color w:val="000000" w:themeColor="text1"/>
                <w:sz w:val="18"/>
              </w:rPr>
            </w:pPr>
          </w:p>
        </w:tc>
        <w:tc>
          <w:tcPr>
            <w:tcW w:w="550" w:type="pct"/>
            <w:hideMark/>
          </w:tcPr>
          <w:p w14:paraId="788EF0EA" w14:textId="77777777" w:rsidR="00F64EE7" w:rsidRPr="0011329B" w:rsidRDefault="00F64EE7" w:rsidP="007863CB">
            <w:pPr>
              <w:spacing w:line="360" w:lineRule="auto"/>
              <w:jc w:val="center"/>
              <w:rPr>
                <w:color w:val="000000" w:themeColor="text1"/>
                <w:sz w:val="18"/>
              </w:rPr>
            </w:pPr>
            <w:r w:rsidRPr="0011329B">
              <w:rPr>
                <w:color w:val="000000" w:themeColor="text1"/>
                <w:sz w:val="18"/>
              </w:rPr>
              <w:t>PEG- 3.0 mg &amp; PVP- 6.0 mg</w:t>
            </w:r>
          </w:p>
          <w:p w14:paraId="1EBD323A" w14:textId="77777777" w:rsidR="00F64EE7" w:rsidRPr="0011329B" w:rsidRDefault="00F64EE7" w:rsidP="007863CB">
            <w:pPr>
              <w:spacing w:line="360" w:lineRule="auto"/>
              <w:jc w:val="center"/>
              <w:rPr>
                <w:color w:val="000000" w:themeColor="text1"/>
                <w:sz w:val="18"/>
              </w:rPr>
            </w:pPr>
          </w:p>
        </w:tc>
        <w:tc>
          <w:tcPr>
            <w:tcW w:w="550" w:type="pct"/>
            <w:hideMark/>
          </w:tcPr>
          <w:p w14:paraId="5B3CA03A" w14:textId="77777777" w:rsidR="00F64EE7" w:rsidRPr="0011329B" w:rsidRDefault="00F64EE7" w:rsidP="007863CB">
            <w:pPr>
              <w:spacing w:line="360" w:lineRule="auto"/>
              <w:jc w:val="center"/>
              <w:rPr>
                <w:color w:val="000000" w:themeColor="text1"/>
                <w:sz w:val="18"/>
              </w:rPr>
            </w:pPr>
            <w:r w:rsidRPr="0011329B">
              <w:rPr>
                <w:color w:val="000000" w:themeColor="text1"/>
                <w:sz w:val="18"/>
              </w:rPr>
              <w:t>PEG- 9.0 mg</w:t>
            </w:r>
          </w:p>
        </w:tc>
        <w:tc>
          <w:tcPr>
            <w:tcW w:w="546" w:type="pct"/>
            <w:gridSpan w:val="2"/>
            <w:hideMark/>
          </w:tcPr>
          <w:p w14:paraId="3FDBC403" w14:textId="77777777" w:rsidR="00F64EE7" w:rsidRPr="0011329B" w:rsidRDefault="00F64EE7" w:rsidP="007863CB">
            <w:pPr>
              <w:spacing w:line="360" w:lineRule="auto"/>
              <w:jc w:val="center"/>
              <w:rPr>
                <w:color w:val="000000" w:themeColor="text1"/>
                <w:sz w:val="18"/>
              </w:rPr>
            </w:pPr>
            <w:r w:rsidRPr="0011329B">
              <w:rPr>
                <w:color w:val="000000" w:themeColor="text1"/>
                <w:sz w:val="18"/>
              </w:rPr>
              <w:t>PEG- 3.0 mg &amp; PS-80- 6.0 mg</w:t>
            </w:r>
          </w:p>
          <w:p w14:paraId="6CFB72FD" w14:textId="77777777" w:rsidR="00F64EE7" w:rsidRPr="0011329B" w:rsidRDefault="00F64EE7" w:rsidP="007863CB">
            <w:pPr>
              <w:spacing w:line="360" w:lineRule="auto"/>
              <w:jc w:val="center"/>
              <w:rPr>
                <w:color w:val="000000" w:themeColor="text1"/>
                <w:sz w:val="18"/>
              </w:rPr>
            </w:pPr>
          </w:p>
        </w:tc>
      </w:tr>
      <w:tr w:rsidR="00F64EE7" w:rsidRPr="0011329B" w14:paraId="1A1F2F0E" w14:textId="77777777" w:rsidTr="007863CB">
        <w:trPr>
          <w:trHeight w:val="449"/>
        </w:trPr>
        <w:tc>
          <w:tcPr>
            <w:tcW w:w="612" w:type="pct"/>
            <w:hideMark/>
          </w:tcPr>
          <w:p w14:paraId="4DE58E14" w14:textId="77777777" w:rsidR="00F64EE7" w:rsidRPr="0011329B" w:rsidRDefault="00F64EE7" w:rsidP="007863CB">
            <w:pPr>
              <w:spacing w:line="360" w:lineRule="auto"/>
              <w:jc w:val="center"/>
              <w:rPr>
                <w:color w:val="000000" w:themeColor="text1"/>
                <w:sz w:val="18"/>
              </w:rPr>
            </w:pPr>
            <w:r w:rsidRPr="0011329B">
              <w:rPr>
                <w:color w:val="000000" w:themeColor="text1"/>
                <w:sz w:val="18"/>
              </w:rPr>
              <w:t>ASA</w:t>
            </w:r>
          </w:p>
        </w:tc>
        <w:tc>
          <w:tcPr>
            <w:tcW w:w="547" w:type="pct"/>
            <w:hideMark/>
          </w:tcPr>
          <w:p w14:paraId="7A886A88" w14:textId="77777777" w:rsidR="00F64EE7" w:rsidRPr="0011329B" w:rsidRDefault="00F64EE7" w:rsidP="007863CB">
            <w:pPr>
              <w:spacing w:line="360" w:lineRule="auto"/>
              <w:jc w:val="center"/>
              <w:rPr>
                <w:color w:val="000000" w:themeColor="text1"/>
                <w:sz w:val="18"/>
              </w:rPr>
            </w:pPr>
            <w:r w:rsidRPr="0011329B">
              <w:rPr>
                <w:color w:val="000000" w:themeColor="text1"/>
                <w:sz w:val="18"/>
              </w:rPr>
              <w:t>ASA- 3.0 mg &amp; ALG- 6.0 mg</w:t>
            </w:r>
          </w:p>
          <w:p w14:paraId="5E6BD85E" w14:textId="77777777" w:rsidR="00F64EE7" w:rsidRPr="0011329B" w:rsidRDefault="00F64EE7" w:rsidP="007863CB">
            <w:pPr>
              <w:spacing w:line="360" w:lineRule="auto"/>
              <w:jc w:val="center"/>
              <w:rPr>
                <w:color w:val="000000" w:themeColor="text1"/>
                <w:sz w:val="18"/>
              </w:rPr>
            </w:pPr>
          </w:p>
        </w:tc>
        <w:tc>
          <w:tcPr>
            <w:tcW w:w="548" w:type="pct"/>
            <w:hideMark/>
          </w:tcPr>
          <w:p w14:paraId="6A587CD1" w14:textId="77777777" w:rsidR="00F64EE7" w:rsidRPr="0011329B" w:rsidRDefault="00F64EE7" w:rsidP="007863CB">
            <w:pPr>
              <w:spacing w:line="360" w:lineRule="auto"/>
              <w:jc w:val="center"/>
              <w:rPr>
                <w:color w:val="000000" w:themeColor="text1"/>
                <w:sz w:val="18"/>
              </w:rPr>
            </w:pPr>
            <w:r w:rsidRPr="0011329B">
              <w:rPr>
                <w:color w:val="000000" w:themeColor="text1"/>
                <w:sz w:val="18"/>
              </w:rPr>
              <w:t>ASA- 3.0 mg &amp; CMC- 6.0 mg</w:t>
            </w:r>
          </w:p>
          <w:p w14:paraId="5FB942A1" w14:textId="77777777" w:rsidR="00F64EE7" w:rsidRPr="0011329B" w:rsidRDefault="00F64EE7" w:rsidP="007863CB">
            <w:pPr>
              <w:spacing w:line="360" w:lineRule="auto"/>
              <w:jc w:val="center"/>
              <w:rPr>
                <w:color w:val="000000" w:themeColor="text1"/>
                <w:sz w:val="18"/>
              </w:rPr>
            </w:pPr>
          </w:p>
        </w:tc>
        <w:tc>
          <w:tcPr>
            <w:tcW w:w="548" w:type="pct"/>
            <w:hideMark/>
          </w:tcPr>
          <w:p w14:paraId="613DF91F" w14:textId="77777777" w:rsidR="00F64EE7" w:rsidRPr="0011329B" w:rsidRDefault="00F64EE7" w:rsidP="007863CB">
            <w:pPr>
              <w:spacing w:line="360" w:lineRule="auto"/>
              <w:jc w:val="center"/>
              <w:rPr>
                <w:color w:val="000000" w:themeColor="text1"/>
                <w:sz w:val="18"/>
              </w:rPr>
            </w:pPr>
            <w:r w:rsidRPr="0011329B">
              <w:rPr>
                <w:color w:val="000000" w:themeColor="text1"/>
                <w:sz w:val="18"/>
              </w:rPr>
              <w:t>ASA- 3.0 mg &amp; PF-127- 6.0 mg</w:t>
            </w:r>
          </w:p>
          <w:p w14:paraId="218B03EA" w14:textId="77777777" w:rsidR="00F64EE7" w:rsidRPr="0011329B" w:rsidRDefault="00F64EE7" w:rsidP="007863CB">
            <w:pPr>
              <w:spacing w:line="360" w:lineRule="auto"/>
              <w:jc w:val="center"/>
              <w:rPr>
                <w:color w:val="000000" w:themeColor="text1"/>
                <w:sz w:val="18"/>
              </w:rPr>
            </w:pPr>
          </w:p>
        </w:tc>
        <w:tc>
          <w:tcPr>
            <w:tcW w:w="549" w:type="pct"/>
            <w:hideMark/>
          </w:tcPr>
          <w:p w14:paraId="6D21DFD4" w14:textId="77777777" w:rsidR="00F64EE7" w:rsidRPr="0011329B" w:rsidRDefault="00F64EE7" w:rsidP="007863CB">
            <w:pPr>
              <w:spacing w:line="360" w:lineRule="auto"/>
              <w:jc w:val="center"/>
              <w:rPr>
                <w:color w:val="000000" w:themeColor="text1"/>
                <w:sz w:val="18"/>
              </w:rPr>
            </w:pPr>
            <w:r w:rsidRPr="0011329B">
              <w:rPr>
                <w:color w:val="000000" w:themeColor="text1"/>
                <w:sz w:val="18"/>
              </w:rPr>
              <w:t>ASA- 3.0 mg &amp; DEX- 6.0 mg</w:t>
            </w:r>
          </w:p>
          <w:p w14:paraId="4794AE38" w14:textId="77777777" w:rsidR="00F64EE7" w:rsidRPr="0011329B" w:rsidRDefault="00F64EE7" w:rsidP="007863CB">
            <w:pPr>
              <w:spacing w:line="360" w:lineRule="auto"/>
              <w:jc w:val="center"/>
              <w:rPr>
                <w:color w:val="000000" w:themeColor="text1"/>
                <w:sz w:val="18"/>
              </w:rPr>
            </w:pPr>
          </w:p>
        </w:tc>
        <w:tc>
          <w:tcPr>
            <w:tcW w:w="550" w:type="pct"/>
            <w:hideMark/>
          </w:tcPr>
          <w:p w14:paraId="2DEC6AE5" w14:textId="77777777" w:rsidR="00F64EE7" w:rsidRPr="0011329B" w:rsidRDefault="00F64EE7" w:rsidP="007863CB">
            <w:pPr>
              <w:spacing w:line="360" w:lineRule="auto"/>
              <w:jc w:val="center"/>
              <w:rPr>
                <w:color w:val="000000" w:themeColor="text1"/>
                <w:sz w:val="18"/>
              </w:rPr>
            </w:pPr>
            <w:r w:rsidRPr="0011329B">
              <w:rPr>
                <w:color w:val="000000" w:themeColor="text1"/>
                <w:sz w:val="18"/>
              </w:rPr>
              <w:t>ASA- 3.0 mg &amp; PEI- 6.0 mg</w:t>
            </w:r>
          </w:p>
          <w:p w14:paraId="61CD90C8" w14:textId="77777777" w:rsidR="00F64EE7" w:rsidRPr="0011329B" w:rsidRDefault="00F64EE7" w:rsidP="007863CB">
            <w:pPr>
              <w:spacing w:line="360" w:lineRule="auto"/>
              <w:jc w:val="center"/>
              <w:rPr>
                <w:color w:val="000000" w:themeColor="text1"/>
                <w:sz w:val="18"/>
              </w:rPr>
            </w:pPr>
          </w:p>
        </w:tc>
        <w:tc>
          <w:tcPr>
            <w:tcW w:w="550" w:type="pct"/>
            <w:hideMark/>
          </w:tcPr>
          <w:p w14:paraId="26382E56" w14:textId="77777777" w:rsidR="00F64EE7" w:rsidRPr="0011329B" w:rsidRDefault="00F64EE7" w:rsidP="007863CB">
            <w:pPr>
              <w:spacing w:line="360" w:lineRule="auto"/>
              <w:jc w:val="center"/>
              <w:rPr>
                <w:color w:val="000000" w:themeColor="text1"/>
                <w:sz w:val="18"/>
              </w:rPr>
            </w:pPr>
            <w:r w:rsidRPr="0011329B">
              <w:rPr>
                <w:color w:val="000000" w:themeColor="text1"/>
                <w:sz w:val="18"/>
              </w:rPr>
              <w:t>ASA- 3.0 mg &amp; PVP- 6.0 mg</w:t>
            </w:r>
          </w:p>
          <w:p w14:paraId="54565F60" w14:textId="77777777" w:rsidR="00F64EE7" w:rsidRPr="0011329B" w:rsidRDefault="00F64EE7" w:rsidP="007863CB">
            <w:pPr>
              <w:spacing w:line="360" w:lineRule="auto"/>
              <w:jc w:val="center"/>
              <w:rPr>
                <w:color w:val="000000" w:themeColor="text1"/>
                <w:sz w:val="18"/>
              </w:rPr>
            </w:pPr>
          </w:p>
        </w:tc>
        <w:tc>
          <w:tcPr>
            <w:tcW w:w="550" w:type="pct"/>
            <w:hideMark/>
          </w:tcPr>
          <w:p w14:paraId="1095C051" w14:textId="77777777" w:rsidR="00F64EE7" w:rsidRPr="0011329B" w:rsidRDefault="00F64EE7" w:rsidP="007863CB">
            <w:pPr>
              <w:spacing w:line="360" w:lineRule="auto"/>
              <w:jc w:val="center"/>
              <w:rPr>
                <w:color w:val="000000" w:themeColor="text1"/>
                <w:sz w:val="18"/>
              </w:rPr>
            </w:pPr>
            <w:r w:rsidRPr="0011329B">
              <w:rPr>
                <w:color w:val="000000" w:themeColor="text1"/>
                <w:sz w:val="18"/>
              </w:rPr>
              <w:t>ASA- 3.0 mg &amp; PEG- 6.0 mg</w:t>
            </w:r>
          </w:p>
          <w:p w14:paraId="5BFFA01E" w14:textId="77777777" w:rsidR="00F64EE7" w:rsidRPr="0011329B" w:rsidRDefault="00F64EE7" w:rsidP="007863CB">
            <w:pPr>
              <w:spacing w:line="360" w:lineRule="auto"/>
              <w:jc w:val="center"/>
              <w:rPr>
                <w:color w:val="000000" w:themeColor="text1"/>
                <w:sz w:val="18"/>
              </w:rPr>
            </w:pPr>
          </w:p>
        </w:tc>
        <w:tc>
          <w:tcPr>
            <w:tcW w:w="546" w:type="pct"/>
            <w:gridSpan w:val="2"/>
            <w:hideMark/>
          </w:tcPr>
          <w:p w14:paraId="78AE7DAE" w14:textId="77777777" w:rsidR="00F64EE7" w:rsidRPr="0011329B" w:rsidRDefault="00F64EE7" w:rsidP="007863CB">
            <w:pPr>
              <w:spacing w:line="360" w:lineRule="auto"/>
              <w:jc w:val="center"/>
              <w:rPr>
                <w:color w:val="000000" w:themeColor="text1"/>
                <w:sz w:val="18"/>
              </w:rPr>
            </w:pPr>
            <w:r w:rsidRPr="0011329B">
              <w:rPr>
                <w:color w:val="000000" w:themeColor="text1"/>
                <w:sz w:val="18"/>
              </w:rPr>
              <w:t>ASA- 3.0 mg &amp; PS-80- 6.0 mg</w:t>
            </w:r>
          </w:p>
          <w:p w14:paraId="591873CC" w14:textId="77777777" w:rsidR="00F64EE7" w:rsidRPr="0011329B" w:rsidRDefault="00F64EE7" w:rsidP="007863CB">
            <w:pPr>
              <w:spacing w:line="360" w:lineRule="auto"/>
              <w:jc w:val="center"/>
              <w:rPr>
                <w:color w:val="000000" w:themeColor="text1"/>
                <w:sz w:val="18"/>
              </w:rPr>
            </w:pPr>
          </w:p>
        </w:tc>
      </w:tr>
    </w:tbl>
    <w:p w14:paraId="36654DBA" w14:textId="77777777" w:rsidR="008964F9" w:rsidRPr="0011329B" w:rsidRDefault="008964F9" w:rsidP="008964F9">
      <w:pPr>
        <w:jc w:val="both"/>
        <w:rPr>
          <w:rFonts w:cstheme="minorHAnsi"/>
          <w:sz w:val="20"/>
          <w:szCs w:val="20"/>
          <w:lang w:val="en-GB"/>
        </w:rPr>
      </w:pPr>
      <w:r w:rsidRPr="0011329B">
        <w:rPr>
          <w:rFonts w:cstheme="minorHAnsi"/>
          <w:sz w:val="20"/>
          <w:szCs w:val="20"/>
          <w:lang w:val="en-GB"/>
        </w:rPr>
        <w:t>SDS: Sodium Dodecyl sulfate, PVA: Polyvinyl alcohol, PEG: Polyethylene glycol, ASA: Ascorbic acid</w:t>
      </w:r>
    </w:p>
    <w:p w14:paraId="6763B554" w14:textId="77777777" w:rsidR="008964F9" w:rsidRPr="0011329B" w:rsidRDefault="008964F9" w:rsidP="008964F9">
      <w:pPr>
        <w:jc w:val="both"/>
        <w:rPr>
          <w:rFonts w:cstheme="minorHAnsi"/>
          <w:sz w:val="20"/>
          <w:szCs w:val="20"/>
          <w:lang w:val="en-GB"/>
        </w:rPr>
      </w:pPr>
      <w:r w:rsidRPr="0011329B">
        <w:rPr>
          <w:rFonts w:cstheme="minorHAnsi"/>
          <w:sz w:val="20"/>
          <w:szCs w:val="20"/>
          <w:lang w:val="en-GB"/>
        </w:rPr>
        <w:t xml:space="preserve">ALG: Sodium alginate, CMC: Carboxymethyl cellulose, PF-127: Pluronic F-127, DEX: Dextran, </w:t>
      </w:r>
    </w:p>
    <w:p w14:paraId="773052C5" w14:textId="77777777" w:rsidR="008964F9" w:rsidRPr="0011329B" w:rsidRDefault="008964F9" w:rsidP="008964F9">
      <w:pPr>
        <w:jc w:val="both"/>
        <w:rPr>
          <w:rFonts w:cstheme="minorHAnsi"/>
          <w:sz w:val="20"/>
          <w:szCs w:val="20"/>
          <w:lang w:val="en-GB"/>
        </w:rPr>
      </w:pPr>
      <w:r w:rsidRPr="0011329B">
        <w:rPr>
          <w:rFonts w:cstheme="minorHAnsi"/>
          <w:sz w:val="20"/>
          <w:szCs w:val="20"/>
          <w:lang w:val="en-GB"/>
        </w:rPr>
        <w:t>PEI: Polyethylenimine, PVP: Polyvinylpyrrolidone, PEG: Polyethylene glycol, PS-80: Polysorbate-80</w:t>
      </w:r>
    </w:p>
    <w:p w14:paraId="778F4BB1" w14:textId="77777777" w:rsidR="00C72EBC" w:rsidRPr="0011329B" w:rsidRDefault="00C72EBC" w:rsidP="002F10E8">
      <w:pPr>
        <w:pStyle w:val="RSCB02ArticleText"/>
        <w:spacing w:line="360" w:lineRule="auto"/>
        <w:rPr>
          <w:rFonts w:ascii="Times New Roman" w:hAnsi="Times New Roman"/>
          <w:sz w:val="24"/>
          <w:szCs w:val="24"/>
        </w:rPr>
      </w:pPr>
    </w:p>
    <w:p w14:paraId="17D37B27" w14:textId="77777777" w:rsidR="008F4997" w:rsidRPr="0011329B" w:rsidRDefault="008F4997" w:rsidP="002F10E8">
      <w:pPr>
        <w:pStyle w:val="RSCB02ArticleText"/>
        <w:spacing w:line="360" w:lineRule="auto"/>
        <w:rPr>
          <w:rFonts w:ascii="Times New Roman" w:hAnsi="Times New Roman"/>
          <w:sz w:val="24"/>
          <w:szCs w:val="24"/>
        </w:rPr>
      </w:pPr>
    </w:p>
    <w:p w14:paraId="27283E64" w14:textId="3DE08FED" w:rsidR="008F4997" w:rsidRPr="0011329B" w:rsidRDefault="00A017E0" w:rsidP="00937D88">
      <w:pPr>
        <w:pStyle w:val="RSCB06BHeadingSub-Section"/>
        <w:numPr>
          <w:ilvl w:val="3"/>
          <w:numId w:val="2"/>
        </w:numPr>
        <w:spacing w:line="360" w:lineRule="auto"/>
        <w:rPr>
          <w:rFonts w:ascii="Times New Roman" w:hAnsi="Times New Roman" w:cs="Times New Roman"/>
          <w:sz w:val="24"/>
          <w:szCs w:val="24"/>
        </w:rPr>
      </w:pPr>
      <w:r w:rsidRPr="0011329B">
        <w:rPr>
          <w:rFonts w:ascii="Times New Roman" w:hAnsi="Times New Roman" w:cs="Times New Roman"/>
          <w:sz w:val="24"/>
          <w:szCs w:val="24"/>
        </w:rPr>
        <w:t xml:space="preserve"> Tuning the properties of </w:t>
      </w:r>
      <w:r w:rsidR="008F4997" w:rsidRPr="0011329B">
        <w:rPr>
          <w:rFonts w:ascii="Times New Roman" w:hAnsi="Times New Roman" w:cs="Times New Roman"/>
          <w:sz w:val="24"/>
          <w:szCs w:val="24"/>
        </w:rPr>
        <w:t xml:space="preserve">a chosen </w:t>
      </w:r>
      <w:r w:rsidRPr="0011329B">
        <w:rPr>
          <w:rFonts w:ascii="Times New Roman" w:hAnsi="Times New Roman" w:cs="Times New Roman"/>
          <w:sz w:val="24"/>
          <w:szCs w:val="24"/>
        </w:rPr>
        <w:t>nanosuspension formulation</w:t>
      </w:r>
      <w:r w:rsidR="008F4997" w:rsidRPr="0011329B">
        <w:rPr>
          <w:rFonts w:ascii="Times New Roman" w:hAnsi="Times New Roman" w:cs="Times New Roman"/>
          <w:sz w:val="24"/>
          <w:szCs w:val="24"/>
        </w:rPr>
        <w:t xml:space="preserve"> containing only PEG as the excipient</w:t>
      </w:r>
    </w:p>
    <w:p w14:paraId="3D109B6C" w14:textId="26E9AF46" w:rsidR="009D3F0E" w:rsidRPr="0011329B" w:rsidRDefault="00326305" w:rsidP="00F82FDC">
      <w:pPr>
        <w:pStyle w:val="RSCB02ArticleText"/>
        <w:spacing w:line="360" w:lineRule="auto"/>
        <w:rPr>
          <w:rFonts w:ascii="Times New Roman" w:hAnsi="Times New Roman"/>
          <w:sz w:val="24"/>
          <w:szCs w:val="24"/>
        </w:rPr>
      </w:pPr>
      <w:r w:rsidRPr="0011329B">
        <w:rPr>
          <w:rFonts w:ascii="Times New Roman" w:hAnsi="Times New Roman"/>
          <w:color w:val="000000" w:themeColor="text1"/>
          <w:sz w:val="24"/>
          <w:szCs w:val="24"/>
        </w:rPr>
        <w:t xml:space="preserve">One </w:t>
      </w:r>
      <w:r w:rsidR="00A017E0" w:rsidRPr="0011329B">
        <w:rPr>
          <w:rFonts w:ascii="Times New Roman" w:hAnsi="Times New Roman"/>
          <w:color w:val="000000" w:themeColor="text1"/>
          <w:sz w:val="24"/>
          <w:szCs w:val="24"/>
        </w:rPr>
        <w:t>nanosuspension formulation</w:t>
      </w:r>
      <w:r w:rsidRPr="0011329B">
        <w:rPr>
          <w:rFonts w:ascii="Times New Roman" w:hAnsi="Times New Roman"/>
          <w:color w:val="000000" w:themeColor="text1"/>
          <w:sz w:val="24"/>
          <w:szCs w:val="24"/>
        </w:rPr>
        <w:t xml:space="preserve"> containing only PEG as an excipient was chosen for further </w:t>
      </w:r>
      <w:r w:rsidR="00766D90" w:rsidRPr="0011329B">
        <w:rPr>
          <w:rFonts w:ascii="Times New Roman" w:hAnsi="Times New Roman"/>
          <w:color w:val="000000" w:themeColor="text1"/>
          <w:sz w:val="24"/>
          <w:szCs w:val="24"/>
        </w:rPr>
        <w:t>investigation</w:t>
      </w:r>
      <w:r w:rsidRPr="0011329B">
        <w:rPr>
          <w:rFonts w:ascii="Times New Roman" w:hAnsi="Times New Roman"/>
          <w:color w:val="000000" w:themeColor="text1"/>
          <w:sz w:val="24"/>
          <w:szCs w:val="24"/>
        </w:rPr>
        <w:t xml:space="preserve">. </w:t>
      </w:r>
      <w:r w:rsidRPr="0011329B">
        <w:rPr>
          <w:rFonts w:ascii="Times New Roman" w:hAnsi="Times New Roman"/>
          <w:sz w:val="24"/>
          <w:szCs w:val="24"/>
        </w:rPr>
        <w:t xml:space="preserve">The variables affecting the size of </w:t>
      </w:r>
      <w:r w:rsidR="00714F4D" w:rsidRPr="0011329B">
        <w:rPr>
          <w:rFonts w:ascii="Times New Roman" w:hAnsi="Times New Roman"/>
          <w:sz w:val="24"/>
          <w:szCs w:val="24"/>
        </w:rPr>
        <w:t>nanosuspension</w:t>
      </w:r>
      <w:r w:rsidRPr="0011329B">
        <w:rPr>
          <w:rFonts w:ascii="Times New Roman" w:hAnsi="Times New Roman"/>
          <w:sz w:val="24"/>
          <w:szCs w:val="24"/>
        </w:rPr>
        <w:t xml:space="preserve"> sample such as sonication time (15, 30, and 60 seconds), PEG concentrations (11.25, 22.5, and 45 mg/mL), </w:t>
      </w:r>
      <w:r w:rsidR="00F71897" w:rsidRPr="0011329B">
        <w:rPr>
          <w:rFonts w:ascii="Times New Roman" w:hAnsi="Times New Roman"/>
          <w:sz w:val="24"/>
          <w:szCs w:val="24"/>
        </w:rPr>
        <w:t>curcumin</w:t>
      </w:r>
      <w:r w:rsidRPr="0011329B">
        <w:rPr>
          <w:rFonts w:ascii="Times New Roman" w:hAnsi="Times New Roman"/>
          <w:sz w:val="24"/>
          <w:szCs w:val="24"/>
        </w:rPr>
        <w:t xml:space="preserve"> loading (10, 13, 23 mg/mL) were studied. </w:t>
      </w:r>
    </w:p>
    <w:p w14:paraId="05478425" w14:textId="77777777" w:rsidR="00326305" w:rsidRPr="0011329B" w:rsidRDefault="00326305" w:rsidP="00F82FDC">
      <w:pPr>
        <w:pStyle w:val="RSCB02ArticleText"/>
        <w:spacing w:line="360" w:lineRule="auto"/>
      </w:pPr>
    </w:p>
    <w:p w14:paraId="35536266" w14:textId="28C6827F" w:rsidR="000A106C" w:rsidRPr="0011329B" w:rsidRDefault="00326305" w:rsidP="00326305">
      <w:pPr>
        <w:pStyle w:val="RSCB06BHeadingSub-Section"/>
        <w:numPr>
          <w:ilvl w:val="3"/>
          <w:numId w:val="2"/>
        </w:numPr>
        <w:spacing w:line="360" w:lineRule="auto"/>
        <w:rPr>
          <w:rFonts w:ascii="Times New Roman" w:hAnsi="Times New Roman" w:cs="Times New Roman"/>
          <w:sz w:val="56"/>
          <w:szCs w:val="56"/>
        </w:rPr>
      </w:pPr>
      <w:r w:rsidRPr="0011329B">
        <w:rPr>
          <w:rFonts w:ascii="Times New Roman" w:hAnsi="Times New Roman" w:cs="Times New Roman"/>
          <w:sz w:val="24"/>
          <w:szCs w:val="36"/>
        </w:rPr>
        <w:t xml:space="preserve"> </w:t>
      </w:r>
      <w:r w:rsidR="000A106C" w:rsidRPr="0011329B">
        <w:rPr>
          <w:rFonts w:ascii="Times New Roman" w:hAnsi="Times New Roman" w:cs="Times New Roman"/>
          <w:sz w:val="24"/>
          <w:szCs w:val="36"/>
        </w:rPr>
        <w:t>Studying the effect of varying PEG concentrations</w:t>
      </w:r>
    </w:p>
    <w:p w14:paraId="72F40E5C" w14:textId="3E70E27C" w:rsidR="000A106C" w:rsidRPr="0011329B" w:rsidRDefault="000A106C" w:rsidP="00F82FDC">
      <w:pPr>
        <w:spacing w:after="200" w:line="360" w:lineRule="auto"/>
        <w:jc w:val="both"/>
        <w:rPr>
          <w:color w:val="000000" w:themeColor="text1"/>
        </w:rPr>
      </w:pPr>
      <w:r w:rsidRPr="0011329B">
        <w:rPr>
          <w:color w:val="000000" w:themeColor="text1"/>
          <w:lang w:val="en-GB"/>
        </w:rPr>
        <w:t xml:space="preserve">A range of PEG concentrations (11.25, 22.5, and 45 mg/mL) were prepared, while the experimental parameters such as curcumin concentration (10 mg/mL), sonication time (15 seconds) and oil: water ratio (1:4 v/v) were kept constant. 400 </w:t>
      </w:r>
      <w:proofErr w:type="spellStart"/>
      <w:r w:rsidRPr="0011329B">
        <w:rPr>
          <w:color w:val="000000" w:themeColor="text1"/>
          <w:lang w:val="en-GB"/>
        </w:rPr>
        <w:t>μL</w:t>
      </w:r>
      <w:proofErr w:type="spellEnd"/>
      <w:r w:rsidRPr="0011329B">
        <w:rPr>
          <w:color w:val="000000" w:themeColor="text1"/>
          <w:lang w:val="en-GB"/>
        </w:rPr>
        <w:t xml:space="preserve"> of each concentration of PEG was mixed with 100 µL of curcumin (10 mg/mL). Afterwards, the samples were emulsified with a </w:t>
      </w:r>
      <w:proofErr w:type="spellStart"/>
      <w:r w:rsidRPr="0011329B">
        <w:rPr>
          <w:color w:val="000000" w:themeColor="text1"/>
          <w:lang w:val="en-GB"/>
        </w:rPr>
        <w:t>Covaris</w:t>
      </w:r>
      <w:proofErr w:type="spellEnd"/>
      <w:r w:rsidRPr="0011329B">
        <w:rPr>
          <w:color w:val="000000" w:themeColor="text1"/>
          <w:lang w:val="en-GB"/>
        </w:rPr>
        <w:t xml:space="preserve"> S2x for 15 seconds and then were frozen and lyophilised as mentioned above. </w:t>
      </w:r>
    </w:p>
    <w:p w14:paraId="44A510A9" w14:textId="626B6F11" w:rsidR="00326305" w:rsidRPr="0011329B" w:rsidRDefault="00B16759" w:rsidP="00326305">
      <w:pPr>
        <w:pStyle w:val="RSCB06BHeadingSub-Section"/>
        <w:numPr>
          <w:ilvl w:val="3"/>
          <w:numId w:val="2"/>
        </w:numPr>
        <w:spacing w:line="360" w:lineRule="auto"/>
        <w:rPr>
          <w:rFonts w:ascii="Times New Roman" w:hAnsi="Times New Roman" w:cs="Times New Roman"/>
          <w:sz w:val="56"/>
          <w:szCs w:val="56"/>
        </w:rPr>
      </w:pPr>
      <w:r w:rsidRPr="0011329B">
        <w:rPr>
          <w:rFonts w:ascii="Times New Roman" w:hAnsi="Times New Roman" w:cs="Times New Roman"/>
          <w:sz w:val="24"/>
          <w:szCs w:val="36"/>
        </w:rPr>
        <w:t xml:space="preserve"> </w:t>
      </w:r>
      <w:r w:rsidR="00326305" w:rsidRPr="0011329B">
        <w:rPr>
          <w:rFonts w:ascii="Times New Roman" w:hAnsi="Times New Roman" w:cs="Times New Roman"/>
          <w:sz w:val="24"/>
          <w:szCs w:val="36"/>
        </w:rPr>
        <w:t xml:space="preserve">Studying the effect of varying </w:t>
      </w:r>
      <w:r w:rsidR="00326305" w:rsidRPr="0011329B">
        <w:rPr>
          <w:rFonts w:ascii="Times New Roman" w:hAnsi="Times New Roman" w:cs="Times New Roman"/>
          <w:bCs/>
          <w:sz w:val="24"/>
          <w:szCs w:val="44"/>
        </w:rPr>
        <w:t>sonication time</w:t>
      </w:r>
    </w:p>
    <w:p w14:paraId="5773A3EC" w14:textId="0BAD7961" w:rsidR="00326305" w:rsidRPr="0011329B" w:rsidRDefault="00326305" w:rsidP="00F82FDC">
      <w:pPr>
        <w:spacing w:after="200" w:line="360" w:lineRule="auto"/>
        <w:jc w:val="both"/>
        <w:rPr>
          <w:color w:val="000000" w:themeColor="text1"/>
        </w:rPr>
      </w:pPr>
      <w:r w:rsidRPr="0011329B">
        <w:rPr>
          <w:color w:val="000000" w:themeColor="text1"/>
          <w:lang w:val="en-GB"/>
        </w:rPr>
        <w:t xml:space="preserve">To investigate the effect of sonication/emulsification time on the size of the chosen </w:t>
      </w:r>
      <w:r w:rsidR="00714F4D" w:rsidRPr="0011329B">
        <w:rPr>
          <w:color w:val="000000" w:themeColor="text1"/>
          <w:lang w:val="en-GB"/>
        </w:rPr>
        <w:t>nanosuspension</w:t>
      </w:r>
      <w:r w:rsidRPr="0011329B">
        <w:rPr>
          <w:color w:val="000000" w:themeColor="text1"/>
          <w:lang w:val="en-GB"/>
        </w:rPr>
        <w:t xml:space="preserve"> sample, all the experimental parameters such as curcumin and PEG concentration and oil: water ratio were kept constant, while varying the sonication time (15, 30, and 60 seconds). Three experiments were carried out, where each glass vial contains 400 µ</w:t>
      </w:r>
      <w:r w:rsidR="000824F4" w:rsidRPr="0011329B">
        <w:rPr>
          <w:color w:val="000000" w:themeColor="text1"/>
          <w:lang w:val="en-GB"/>
        </w:rPr>
        <w:t>L</w:t>
      </w:r>
      <w:r w:rsidRPr="0011329B">
        <w:rPr>
          <w:color w:val="000000" w:themeColor="text1"/>
          <w:lang w:val="en-GB"/>
        </w:rPr>
        <w:t xml:space="preserve"> of PEG (22.5mg/mL) was mixed with 100 µ</w:t>
      </w:r>
      <w:r w:rsidR="000824F4" w:rsidRPr="0011329B">
        <w:rPr>
          <w:color w:val="000000" w:themeColor="text1"/>
          <w:lang w:val="en-GB"/>
        </w:rPr>
        <w:t xml:space="preserve">L </w:t>
      </w:r>
      <w:r w:rsidRPr="0011329B">
        <w:rPr>
          <w:color w:val="000000" w:themeColor="text1"/>
          <w:lang w:val="en-GB"/>
        </w:rPr>
        <w:t xml:space="preserve">of curcumin (10 mg/mL) and then the samples were emulsified with a </w:t>
      </w:r>
      <w:proofErr w:type="spellStart"/>
      <w:r w:rsidRPr="0011329B">
        <w:rPr>
          <w:color w:val="000000" w:themeColor="text1"/>
          <w:lang w:val="en-GB"/>
        </w:rPr>
        <w:t>Covaris</w:t>
      </w:r>
      <w:proofErr w:type="spellEnd"/>
      <w:r w:rsidRPr="0011329B">
        <w:rPr>
          <w:color w:val="000000" w:themeColor="text1"/>
          <w:lang w:val="en-GB"/>
        </w:rPr>
        <w:t xml:space="preserve"> S2x for 15 seconds and were frozen and lyophilised as mentioned above.</w:t>
      </w:r>
    </w:p>
    <w:p w14:paraId="445F27AB" w14:textId="3E40ADD7" w:rsidR="00326305" w:rsidRPr="0011329B" w:rsidRDefault="00B16759" w:rsidP="00937D88">
      <w:pPr>
        <w:pStyle w:val="RSCB06BHeadingSub-Section"/>
        <w:numPr>
          <w:ilvl w:val="3"/>
          <w:numId w:val="2"/>
        </w:numPr>
        <w:spacing w:line="360" w:lineRule="auto"/>
        <w:rPr>
          <w:rStyle w:val="SubtleEmphasis"/>
          <w:rFonts w:ascii="Times New Roman" w:hAnsi="Times New Roman" w:cs="Times New Roman"/>
          <w:i w:val="0"/>
          <w:iCs w:val="0"/>
          <w:color w:val="auto"/>
          <w:sz w:val="56"/>
          <w:szCs w:val="56"/>
        </w:rPr>
      </w:pPr>
      <w:r w:rsidRPr="0011329B">
        <w:rPr>
          <w:rFonts w:ascii="Times New Roman" w:hAnsi="Times New Roman" w:cs="Times New Roman"/>
          <w:sz w:val="24"/>
          <w:szCs w:val="36"/>
        </w:rPr>
        <w:t xml:space="preserve"> </w:t>
      </w:r>
      <w:r w:rsidR="00326305" w:rsidRPr="0011329B">
        <w:rPr>
          <w:rFonts w:ascii="Times New Roman" w:hAnsi="Times New Roman" w:cs="Times New Roman"/>
          <w:sz w:val="24"/>
          <w:szCs w:val="36"/>
        </w:rPr>
        <w:t>Studying the effect of varying</w:t>
      </w:r>
      <w:r w:rsidR="00326305" w:rsidRPr="0011329B">
        <w:rPr>
          <w:rStyle w:val="SubtleEmphasis"/>
          <w:rFonts w:ascii="Times New Roman" w:hAnsi="Times New Roman" w:cs="Times New Roman"/>
          <w:bCs/>
          <w:color w:val="000000" w:themeColor="text1"/>
          <w:sz w:val="24"/>
          <w:szCs w:val="44"/>
        </w:rPr>
        <w:t xml:space="preserve"> </w:t>
      </w:r>
      <w:r w:rsidR="00F71897" w:rsidRPr="0011329B">
        <w:rPr>
          <w:rFonts w:ascii="Times New Roman" w:hAnsi="Times New Roman"/>
          <w:sz w:val="24"/>
          <w:szCs w:val="24"/>
        </w:rPr>
        <w:t>curcumin</w:t>
      </w:r>
      <w:r w:rsidR="00326305" w:rsidRPr="0011329B">
        <w:rPr>
          <w:rStyle w:val="SubtleEmphasis"/>
          <w:rFonts w:ascii="Times New Roman" w:hAnsi="Times New Roman" w:cs="Times New Roman"/>
          <w:bCs/>
          <w:color w:val="000000" w:themeColor="text1"/>
          <w:sz w:val="24"/>
          <w:szCs w:val="44"/>
        </w:rPr>
        <w:t xml:space="preserve"> </w:t>
      </w:r>
      <w:r w:rsidR="00326305" w:rsidRPr="0011329B">
        <w:rPr>
          <w:rStyle w:val="SubtleEmphasis"/>
          <w:rFonts w:ascii="Times New Roman" w:hAnsi="Times New Roman" w:cs="Times New Roman"/>
          <w:bCs/>
          <w:i w:val="0"/>
          <w:iCs w:val="0"/>
          <w:color w:val="000000" w:themeColor="text1"/>
          <w:sz w:val="24"/>
          <w:szCs w:val="44"/>
        </w:rPr>
        <w:t>concentration</w:t>
      </w:r>
    </w:p>
    <w:p w14:paraId="3811B2D5" w14:textId="191638E9" w:rsidR="000824F4" w:rsidRPr="0011329B" w:rsidRDefault="00326305" w:rsidP="000824F4">
      <w:pPr>
        <w:spacing w:after="200" w:line="360" w:lineRule="auto"/>
        <w:jc w:val="both"/>
        <w:rPr>
          <w:color w:val="000000" w:themeColor="text1"/>
          <w:lang w:val="en-GB"/>
        </w:rPr>
      </w:pPr>
      <w:r w:rsidRPr="0011329B">
        <w:rPr>
          <w:color w:val="000000" w:themeColor="text1"/>
          <w:lang w:val="en-GB"/>
        </w:rPr>
        <w:t xml:space="preserve">To increase drug loading of the chosen </w:t>
      </w:r>
      <w:r w:rsidR="00714F4D" w:rsidRPr="0011329B">
        <w:rPr>
          <w:color w:val="000000" w:themeColor="text1"/>
          <w:lang w:val="en-GB"/>
        </w:rPr>
        <w:t>nanosuspension</w:t>
      </w:r>
      <w:r w:rsidRPr="0011329B">
        <w:rPr>
          <w:color w:val="000000" w:themeColor="text1"/>
          <w:lang w:val="en-GB"/>
        </w:rPr>
        <w:t xml:space="preserve"> sample, different concentrations of curcumin (10, 13, 23 mg/mL) were varied along with PEG concentrations of 22.5 mg/mL</w:t>
      </w:r>
      <w:r w:rsidR="009705E1" w:rsidRPr="0011329B">
        <w:rPr>
          <w:color w:val="000000" w:themeColor="text1"/>
          <w:lang w:val="en-GB"/>
        </w:rPr>
        <w:t>, oil: water ratio of 1:4 v/v and sonication time of 15 seconds</w:t>
      </w:r>
      <w:r w:rsidRPr="0011329B">
        <w:rPr>
          <w:color w:val="000000" w:themeColor="text1"/>
          <w:lang w:val="en-GB"/>
        </w:rPr>
        <w:t xml:space="preserve">. 100 </w:t>
      </w:r>
      <w:proofErr w:type="spellStart"/>
      <w:r w:rsidRPr="0011329B">
        <w:rPr>
          <w:color w:val="000000" w:themeColor="text1"/>
          <w:lang w:val="en-GB"/>
        </w:rPr>
        <w:t>μ</w:t>
      </w:r>
      <w:r w:rsidR="000824F4" w:rsidRPr="0011329B">
        <w:rPr>
          <w:color w:val="000000" w:themeColor="text1"/>
          <w:lang w:val="en-GB"/>
        </w:rPr>
        <w:t>L</w:t>
      </w:r>
      <w:proofErr w:type="spellEnd"/>
      <w:r w:rsidRPr="0011329B">
        <w:rPr>
          <w:color w:val="000000" w:themeColor="text1"/>
          <w:lang w:val="en-GB"/>
        </w:rPr>
        <w:t xml:space="preserve"> of each concentration of curcumin was mixed with 400 </w:t>
      </w:r>
      <w:proofErr w:type="spellStart"/>
      <w:r w:rsidRPr="0011329B">
        <w:rPr>
          <w:color w:val="000000" w:themeColor="text1"/>
          <w:lang w:val="en-GB"/>
        </w:rPr>
        <w:t>μ</w:t>
      </w:r>
      <w:r w:rsidR="000824F4" w:rsidRPr="0011329B">
        <w:rPr>
          <w:color w:val="000000" w:themeColor="text1"/>
          <w:lang w:val="en-GB"/>
        </w:rPr>
        <w:t>L</w:t>
      </w:r>
      <w:proofErr w:type="spellEnd"/>
      <w:r w:rsidRPr="0011329B">
        <w:rPr>
          <w:color w:val="000000" w:themeColor="text1"/>
          <w:lang w:val="en-GB"/>
        </w:rPr>
        <w:t xml:space="preserve"> of PEG solution (22.5 mg/mL). Afterwards, the samples were emulsified with a </w:t>
      </w:r>
      <w:proofErr w:type="spellStart"/>
      <w:r w:rsidRPr="0011329B">
        <w:rPr>
          <w:color w:val="000000" w:themeColor="text1"/>
          <w:lang w:val="en-GB"/>
        </w:rPr>
        <w:t>Covaris</w:t>
      </w:r>
      <w:proofErr w:type="spellEnd"/>
      <w:r w:rsidRPr="0011329B">
        <w:rPr>
          <w:color w:val="000000" w:themeColor="text1"/>
          <w:lang w:val="en-GB"/>
        </w:rPr>
        <w:t xml:space="preserve"> S2x for 15 s</w:t>
      </w:r>
      <w:r w:rsidR="000824F4" w:rsidRPr="0011329B">
        <w:rPr>
          <w:color w:val="000000" w:themeColor="text1"/>
          <w:lang w:val="en-GB"/>
        </w:rPr>
        <w:t>econds</w:t>
      </w:r>
      <w:r w:rsidRPr="0011329B">
        <w:rPr>
          <w:color w:val="000000" w:themeColor="text1"/>
          <w:lang w:val="en-GB"/>
        </w:rPr>
        <w:t xml:space="preserve"> </w:t>
      </w:r>
      <w:r w:rsidR="000824F4" w:rsidRPr="0011329B">
        <w:rPr>
          <w:color w:val="000000" w:themeColor="text1"/>
          <w:lang w:val="en-GB"/>
        </w:rPr>
        <w:t>and then were frozen and lyophilised as mentioned above.</w:t>
      </w:r>
    </w:p>
    <w:p w14:paraId="4B9217F5" w14:textId="77777777" w:rsidR="008F4997" w:rsidRPr="0011329B" w:rsidRDefault="008F4997" w:rsidP="002F10E8">
      <w:pPr>
        <w:pStyle w:val="RSCB06BHeadingSub-Section"/>
        <w:spacing w:line="360" w:lineRule="auto"/>
        <w:rPr>
          <w:rFonts w:ascii="Times New Roman" w:hAnsi="Times New Roman" w:cs="Times New Roman"/>
          <w:bCs/>
          <w:sz w:val="24"/>
          <w:szCs w:val="24"/>
        </w:rPr>
      </w:pPr>
    </w:p>
    <w:p w14:paraId="3EADF2F6" w14:textId="1091A4D4" w:rsidR="008F4997" w:rsidRPr="0011329B" w:rsidRDefault="008F4997" w:rsidP="00937D88">
      <w:pPr>
        <w:pStyle w:val="RSCB06BHeadingSub-Section"/>
        <w:numPr>
          <w:ilvl w:val="2"/>
          <w:numId w:val="2"/>
        </w:numPr>
        <w:spacing w:line="360" w:lineRule="auto"/>
        <w:rPr>
          <w:rFonts w:ascii="Times New Roman" w:hAnsi="Times New Roman" w:cs="Times New Roman"/>
          <w:sz w:val="24"/>
          <w:szCs w:val="24"/>
        </w:rPr>
      </w:pPr>
      <w:r w:rsidRPr="0011329B">
        <w:rPr>
          <w:rFonts w:ascii="Times New Roman" w:hAnsi="Times New Roman" w:cs="Times New Roman"/>
          <w:bCs/>
          <w:sz w:val="24"/>
          <w:szCs w:val="24"/>
        </w:rPr>
        <w:t>Chemical</w:t>
      </w:r>
      <w:r w:rsidRPr="0011329B">
        <w:rPr>
          <w:rFonts w:ascii="Times New Roman" w:hAnsi="Times New Roman" w:cs="Times New Roman"/>
          <w:sz w:val="24"/>
          <w:szCs w:val="24"/>
        </w:rPr>
        <w:t xml:space="preserve"> stability study</w:t>
      </w:r>
    </w:p>
    <w:p w14:paraId="324EA2DB" w14:textId="420B8863" w:rsidR="008F4997" w:rsidRPr="0011329B" w:rsidRDefault="008F4997" w:rsidP="00F82FDC">
      <w:pPr>
        <w:shd w:val="clear" w:color="auto" w:fill="FFFFFF" w:themeFill="background1"/>
        <w:spacing w:line="360" w:lineRule="auto"/>
        <w:jc w:val="both"/>
        <w:rPr>
          <w:b/>
          <w:bCs/>
          <w:color w:val="000000"/>
          <w:lang w:eastAsia="en-GB"/>
        </w:rPr>
      </w:pPr>
      <w:r w:rsidRPr="0011329B">
        <w:rPr>
          <w:lang w:val="en-GB"/>
        </w:rPr>
        <w:t xml:space="preserve">The chemical stability of the chosen SDN formulation and unformulated curcumin was carried out in different media including PBS (pH 7.4 and 6.8) and 0.1 M HCl (pH 1.2) </w:t>
      </w:r>
      <w:r w:rsidRPr="0011329B">
        <w:rPr>
          <w:lang w:val="en-GB" w:eastAsia="en-GB"/>
        </w:rPr>
        <w:t>under dark conditions</w:t>
      </w:r>
      <w:r w:rsidRPr="0011329B">
        <w:rPr>
          <w:lang w:val="en-GB"/>
        </w:rPr>
        <w:t>. The unformulated curcumin was dissolved in ethanol followed by the addition of each media with a ratio of 1:1, ethanol solution: aqueous solution. 1 mL of each media was added to</w:t>
      </w:r>
      <w:r w:rsidR="00714F4D" w:rsidRPr="0011329B">
        <w:rPr>
          <w:lang w:val="en-GB"/>
        </w:rPr>
        <w:t xml:space="preserve"> the</w:t>
      </w:r>
      <w:r w:rsidRPr="0011329B">
        <w:rPr>
          <w:lang w:val="en-GB"/>
        </w:rPr>
        <w:t xml:space="preserve"> </w:t>
      </w:r>
      <w:r w:rsidR="00714F4D" w:rsidRPr="0011329B">
        <w:rPr>
          <w:color w:val="000000" w:themeColor="text1"/>
          <w:lang w:val="en-GB"/>
        </w:rPr>
        <w:t>nanosuspension</w:t>
      </w:r>
      <w:r w:rsidRPr="0011329B">
        <w:rPr>
          <w:lang w:val="en-GB"/>
        </w:rPr>
        <w:t xml:space="preserve"> to give a final concentration of 1 mg/</w:t>
      </w:r>
      <w:proofErr w:type="spellStart"/>
      <w:r w:rsidRPr="0011329B">
        <w:rPr>
          <w:lang w:val="en-GB"/>
        </w:rPr>
        <w:t>mL.</w:t>
      </w:r>
      <w:proofErr w:type="spellEnd"/>
      <w:r w:rsidRPr="0011329B">
        <w:rPr>
          <w:lang w:val="en-GB"/>
        </w:rPr>
        <w:t xml:space="preserve"> The concentration of curcumin was measured by HPLC over 24 hours</w:t>
      </w:r>
      <w:r w:rsidR="009B6930" w:rsidRPr="0011329B">
        <w:rPr>
          <w:lang w:val="en-GB"/>
        </w:rPr>
        <w:t>.</w:t>
      </w:r>
      <w:r w:rsidRPr="0011329B">
        <w:rPr>
          <w:lang w:val="en-GB"/>
        </w:rPr>
        <w:t xml:space="preserve"> </w:t>
      </w:r>
    </w:p>
    <w:p w14:paraId="0DCA7D15" w14:textId="77777777" w:rsidR="008F4997" w:rsidRPr="0011329B" w:rsidRDefault="008F4997" w:rsidP="002F10E8">
      <w:pPr>
        <w:pStyle w:val="RSCB02ArticleText"/>
        <w:spacing w:line="360" w:lineRule="auto"/>
        <w:rPr>
          <w:rFonts w:ascii="Times New Roman" w:hAnsi="Times New Roman"/>
          <w:sz w:val="24"/>
          <w:szCs w:val="24"/>
        </w:rPr>
      </w:pPr>
    </w:p>
    <w:p w14:paraId="2C2D5A15" w14:textId="62D8E7C5" w:rsidR="008F4997" w:rsidRPr="0011329B" w:rsidRDefault="008F4997" w:rsidP="00937D88">
      <w:pPr>
        <w:pStyle w:val="RSCB06BHeadingSub-Section"/>
        <w:numPr>
          <w:ilvl w:val="2"/>
          <w:numId w:val="2"/>
        </w:numPr>
        <w:spacing w:line="360" w:lineRule="auto"/>
        <w:rPr>
          <w:rFonts w:ascii="Times New Roman" w:hAnsi="Times New Roman" w:cs="Times New Roman"/>
          <w:bCs/>
          <w:sz w:val="24"/>
          <w:szCs w:val="24"/>
        </w:rPr>
      </w:pPr>
      <w:r w:rsidRPr="0011329B">
        <w:rPr>
          <w:rFonts w:ascii="Times New Roman" w:hAnsi="Times New Roman" w:cs="Times New Roman"/>
          <w:bCs/>
          <w:sz w:val="24"/>
          <w:szCs w:val="24"/>
        </w:rPr>
        <w:lastRenderedPageBreak/>
        <w:t>Colloidal</w:t>
      </w:r>
      <w:r w:rsidRPr="0011329B">
        <w:rPr>
          <w:rFonts w:ascii="Times New Roman" w:hAnsi="Times New Roman" w:cs="Times New Roman"/>
          <w:sz w:val="24"/>
          <w:szCs w:val="24"/>
        </w:rPr>
        <w:t xml:space="preserve"> stability study</w:t>
      </w:r>
    </w:p>
    <w:p w14:paraId="532D6038" w14:textId="444CD4D0" w:rsidR="00D838CF" w:rsidRPr="0011329B" w:rsidRDefault="008F4997" w:rsidP="00D838CF">
      <w:pPr>
        <w:shd w:val="clear" w:color="auto" w:fill="FFFFFF" w:themeFill="background1"/>
        <w:spacing w:line="360" w:lineRule="auto"/>
        <w:jc w:val="both"/>
        <w:rPr>
          <w:lang w:val="en-GB"/>
        </w:rPr>
      </w:pPr>
      <w:r w:rsidRPr="0011329B">
        <w:rPr>
          <w:lang w:val="en-GB"/>
        </w:rPr>
        <w:t xml:space="preserve">The colloidal stability of chosen </w:t>
      </w:r>
      <w:r w:rsidR="001E7277" w:rsidRPr="0011329B">
        <w:rPr>
          <w:lang w:val="en-GB"/>
        </w:rPr>
        <w:t xml:space="preserve">nanosuspension formulation </w:t>
      </w:r>
      <w:r w:rsidRPr="0011329B">
        <w:rPr>
          <w:lang w:val="en-GB"/>
        </w:rPr>
        <w:t xml:space="preserve">was determined in deionised water </w:t>
      </w:r>
      <w:r w:rsidRPr="0011329B">
        <w:rPr>
          <w:lang w:val="en-GB" w:eastAsia="en-GB"/>
        </w:rPr>
        <w:t>under dark conditions</w:t>
      </w:r>
      <w:r w:rsidRPr="0011329B">
        <w:rPr>
          <w:lang w:val="en-GB"/>
        </w:rPr>
        <w:t xml:space="preserve">. The stability was determined in water as follows: SDN samples (1 mg) were dispersed in 1 mL deionised water. The z-average diameters were determined by DLS at various time intervals over 21 days. All </w:t>
      </w:r>
      <w:r w:rsidR="00714F4D" w:rsidRPr="0011329B">
        <w:rPr>
          <w:color w:val="000000" w:themeColor="text1"/>
          <w:lang w:val="en-GB"/>
        </w:rPr>
        <w:t>nanosuspension</w:t>
      </w:r>
      <w:r w:rsidRPr="0011329B">
        <w:rPr>
          <w:lang w:val="en-GB"/>
        </w:rPr>
        <w:t xml:space="preserve"> samples were vortexed prior to DLS measurements. </w:t>
      </w:r>
    </w:p>
    <w:p w14:paraId="7C45E10E" w14:textId="2C73AEE4" w:rsidR="002F10E8" w:rsidRPr="0011329B" w:rsidRDefault="002F10E8">
      <w:pPr>
        <w:pStyle w:val="RSCB02ArticleText"/>
        <w:spacing w:line="360" w:lineRule="auto"/>
        <w:rPr>
          <w:rFonts w:ascii="Times New Roman" w:hAnsi="Times New Roman"/>
          <w:sz w:val="24"/>
          <w:szCs w:val="24"/>
        </w:rPr>
      </w:pPr>
    </w:p>
    <w:p w14:paraId="6E59DF03" w14:textId="312CEE73" w:rsidR="008F4997" w:rsidRPr="0011329B" w:rsidRDefault="008F4997" w:rsidP="00937D88">
      <w:pPr>
        <w:pStyle w:val="RSCB06BHeadingSub-Section"/>
        <w:numPr>
          <w:ilvl w:val="2"/>
          <w:numId w:val="2"/>
        </w:numPr>
        <w:spacing w:line="360" w:lineRule="auto"/>
        <w:rPr>
          <w:rFonts w:ascii="Times New Roman" w:hAnsi="Times New Roman" w:cs="Times New Roman"/>
          <w:sz w:val="24"/>
          <w:szCs w:val="24"/>
          <w:lang w:eastAsia="en-GB"/>
        </w:rPr>
      </w:pPr>
      <w:r w:rsidRPr="0011329B">
        <w:rPr>
          <w:rFonts w:ascii="Times New Roman" w:hAnsi="Times New Roman" w:cs="Times New Roman"/>
          <w:i/>
          <w:sz w:val="24"/>
          <w:szCs w:val="24"/>
          <w:lang w:eastAsia="en-GB"/>
        </w:rPr>
        <w:t>In vitro</w:t>
      </w:r>
      <w:r w:rsidRPr="0011329B">
        <w:rPr>
          <w:rFonts w:ascii="Times New Roman" w:hAnsi="Times New Roman" w:cs="Times New Roman"/>
          <w:iCs/>
          <w:sz w:val="24"/>
          <w:szCs w:val="24"/>
          <w:lang w:eastAsia="en-GB"/>
        </w:rPr>
        <w:t xml:space="preserve"> </w:t>
      </w:r>
      <w:r w:rsidRPr="0011329B">
        <w:rPr>
          <w:rFonts w:ascii="Times New Roman" w:hAnsi="Times New Roman" w:cs="Times New Roman"/>
          <w:sz w:val="24"/>
          <w:szCs w:val="24"/>
          <w:lang w:eastAsia="en-GB"/>
        </w:rPr>
        <w:t xml:space="preserve">bioaccessibility </w:t>
      </w:r>
      <w:r w:rsidRPr="0011329B">
        <w:rPr>
          <w:rFonts w:ascii="Times New Roman" w:hAnsi="Times New Roman" w:cs="Times New Roman"/>
          <w:iCs/>
          <w:sz w:val="24"/>
          <w:szCs w:val="24"/>
          <w:lang w:eastAsia="en-GB"/>
        </w:rPr>
        <w:t>study</w:t>
      </w:r>
    </w:p>
    <w:p w14:paraId="08CD59D3" w14:textId="71DD1E0C" w:rsidR="008F4997" w:rsidRPr="0011329B" w:rsidRDefault="008F4997" w:rsidP="002F10E8">
      <w:pPr>
        <w:pStyle w:val="RSCB02ArticleText"/>
        <w:spacing w:line="360" w:lineRule="auto"/>
        <w:rPr>
          <w:rFonts w:ascii="Times New Roman" w:hAnsi="Times New Roman"/>
          <w:sz w:val="24"/>
          <w:szCs w:val="24"/>
          <w:lang w:eastAsia="en-GB"/>
        </w:rPr>
      </w:pPr>
      <w:r w:rsidRPr="0011329B">
        <w:rPr>
          <w:rFonts w:ascii="Times New Roman" w:hAnsi="Times New Roman"/>
          <w:sz w:val="24"/>
          <w:szCs w:val="24"/>
          <w:lang w:eastAsia="en-GB"/>
        </w:rPr>
        <w:t xml:space="preserve">The </w:t>
      </w:r>
      <w:r w:rsidRPr="0011329B">
        <w:rPr>
          <w:rFonts w:ascii="Times New Roman" w:hAnsi="Times New Roman"/>
          <w:i/>
          <w:sz w:val="24"/>
          <w:szCs w:val="24"/>
          <w:lang w:eastAsia="en-GB"/>
        </w:rPr>
        <w:t>in vitro</w:t>
      </w:r>
      <w:r w:rsidRPr="0011329B">
        <w:rPr>
          <w:rFonts w:ascii="Times New Roman" w:hAnsi="Times New Roman"/>
          <w:sz w:val="24"/>
          <w:szCs w:val="24"/>
          <w:lang w:eastAsia="en-GB"/>
        </w:rPr>
        <w:t xml:space="preserve"> bioaccessibility of curcumin was evaluated by passing unformulated curcumin and </w:t>
      </w:r>
      <w:r w:rsidR="00714F4D" w:rsidRPr="0011329B">
        <w:rPr>
          <w:rFonts w:ascii="Times New Roman" w:hAnsi="Times New Roman"/>
          <w:sz w:val="24"/>
          <w:szCs w:val="24"/>
          <w:lang w:eastAsia="en-GB"/>
        </w:rPr>
        <w:t>nanosuspension</w:t>
      </w:r>
      <w:r w:rsidRPr="0011329B">
        <w:rPr>
          <w:rFonts w:ascii="Times New Roman" w:hAnsi="Times New Roman"/>
          <w:sz w:val="24"/>
          <w:szCs w:val="24"/>
          <w:lang w:eastAsia="en-GB"/>
        </w:rPr>
        <w:t xml:space="preserve"> through a simulated gastrointestinal tract (GIT) consisting of conditions that mimic the mouth, stomach and small intestine</w:t>
      </w:r>
      <w:r w:rsidR="00E6269A" w:rsidRPr="0011329B">
        <w:rPr>
          <w:rFonts w:ascii="Times New Roman" w:hAnsi="Times New Roman"/>
          <w:sz w:val="24"/>
          <w:szCs w:val="24"/>
          <w:lang w:eastAsia="en-GB"/>
        </w:rPr>
        <w:t xml:space="preserve"> (Fig. S3)</w:t>
      </w:r>
      <w:r w:rsidRPr="0011329B">
        <w:rPr>
          <w:rFonts w:ascii="Times New Roman" w:hAnsi="Times New Roman"/>
          <w:sz w:val="24"/>
          <w:szCs w:val="24"/>
          <w:lang w:eastAsia="en-GB"/>
        </w:rPr>
        <w:t>, in accordance to a method previously described in the literature.</w:t>
      </w:r>
      <w:r w:rsidR="00C830E4" w:rsidRPr="0011329B">
        <w:rPr>
          <w:rFonts w:ascii="Times New Roman" w:hAnsi="Times New Roman"/>
          <w:sz w:val="24"/>
          <w:szCs w:val="24"/>
          <w:lang w:eastAsia="en-GB"/>
        </w:rPr>
        <w:fldChar w:fldCharType="begin" w:fldLock="1"/>
      </w:r>
      <w:r w:rsidR="00147035" w:rsidRPr="0011329B">
        <w:rPr>
          <w:rFonts w:ascii="Times New Roman" w:hAnsi="Times New Roman"/>
          <w:sz w:val="24"/>
          <w:szCs w:val="24"/>
          <w:lang w:eastAsia="en-GB"/>
        </w:rPr>
        <w:instrText>ADDIN CSL_CITATION {"citationItems":[{"id":"ITEM-1","itemData":{"DOI":"10.1021/acs.jafc.7b05478","ISSN":"0021-8561","author":[{"dropping-particle":"","family":"Peng","given":"Shengfeng","non-dropping-particle":"","parse-names":false,"suffix":""},{"dropping-particle":"","family":"Li","given":"Ziling","non-dropping-particle":"","parse-names":false,"suffix":""},{"dropping-particle":"","family":"Zou","given":"Liqiang","non-dropping-particle":"","parse-names":false,"suffix":""},{"dropping-particle":"","family":"Liu","given":"Wei","non-dropping-particle":"","parse-names":false,"suffix":""},{"dropping-particle":"","family":"Liu","given":"Chengmei","non-dropping-particle":"","parse-names":false,"suffix":""},{"dropping-particle":"","family":"McClements","given":"David Julian","non-dropping-particle":"","parse-names":false,"suffix":""}],"container-title":"Journal of Agricultural and Food Chemistry","id":"ITEM-1","issue":"6","issued":{"date-parts":[["2018","2","14"]]},"page":"1488-1497","title":"Enhancement of Curcumin Bioavailability by Encapsulation in Sophorolipid-Coated Nanoparticles: An in Vitro and in Vivo Study","type":"article-journal","volume":"66"},"uris":["http://www.mendeley.com/documents/?uuid=29827fc0-fd28-3c86-86df-33f52a5cd885"]}],"mendeley":{"formattedCitation":"[20]","plainTextFormattedCitation":"[20]","previouslyFormattedCitation":"[20]"},"properties":{"noteIndex":0},"schema":"https://github.com/citation-style-language/schema/raw/master/csl-citation.json"}</w:instrText>
      </w:r>
      <w:r w:rsidR="00C830E4" w:rsidRPr="0011329B">
        <w:rPr>
          <w:rFonts w:ascii="Times New Roman" w:hAnsi="Times New Roman"/>
          <w:sz w:val="24"/>
          <w:szCs w:val="24"/>
          <w:lang w:eastAsia="en-GB"/>
        </w:rPr>
        <w:fldChar w:fldCharType="separate"/>
      </w:r>
      <w:r w:rsidR="00F64EE7" w:rsidRPr="0011329B">
        <w:rPr>
          <w:rFonts w:ascii="Times New Roman" w:hAnsi="Times New Roman"/>
          <w:noProof/>
          <w:sz w:val="24"/>
          <w:szCs w:val="24"/>
          <w:lang w:eastAsia="en-GB"/>
        </w:rPr>
        <w:t>[20]</w:t>
      </w:r>
      <w:r w:rsidR="00C830E4" w:rsidRPr="0011329B">
        <w:rPr>
          <w:rFonts w:ascii="Times New Roman" w:hAnsi="Times New Roman"/>
          <w:sz w:val="24"/>
          <w:szCs w:val="24"/>
          <w:lang w:eastAsia="en-GB"/>
        </w:rPr>
        <w:fldChar w:fldCharType="end"/>
      </w:r>
      <w:r w:rsidR="00C830E4" w:rsidRPr="0011329B">
        <w:rPr>
          <w:rFonts w:ascii="Times New Roman" w:hAnsi="Times New Roman"/>
          <w:sz w:val="24"/>
          <w:szCs w:val="24"/>
          <w:lang w:eastAsia="en-GB"/>
        </w:rPr>
        <w:t xml:space="preserve"> </w:t>
      </w:r>
      <w:r w:rsidR="00DC5BF8" w:rsidRPr="0011329B">
        <w:rPr>
          <w:rFonts w:ascii="Times New Roman" w:hAnsi="Times New Roman"/>
          <w:sz w:val="24"/>
          <w:szCs w:val="24"/>
          <w:lang w:eastAsia="en-GB"/>
        </w:rPr>
        <w:t>Firstly, t</w:t>
      </w:r>
      <w:r w:rsidRPr="0011329B">
        <w:rPr>
          <w:rFonts w:ascii="Times New Roman" w:hAnsi="Times New Roman"/>
          <w:sz w:val="24"/>
          <w:szCs w:val="24"/>
          <w:lang w:eastAsia="en-GB"/>
        </w:rPr>
        <w:t>he simulated saliva fluid contained mucin (30 mg/mL) and different salts</w:t>
      </w:r>
      <w:r w:rsidR="00F64EE7" w:rsidRPr="0011329B">
        <w:rPr>
          <w:rFonts w:ascii="Times New Roman" w:hAnsi="Times New Roman"/>
          <w:sz w:val="24"/>
          <w:szCs w:val="24"/>
          <w:lang w:eastAsia="en-GB"/>
        </w:rPr>
        <w:t xml:space="preserve"> (Table S1)</w:t>
      </w:r>
      <w:r w:rsidRPr="0011329B">
        <w:rPr>
          <w:rFonts w:ascii="Times New Roman" w:hAnsi="Times New Roman"/>
          <w:sz w:val="24"/>
          <w:szCs w:val="24"/>
          <w:lang w:eastAsia="en-GB"/>
        </w:rPr>
        <w:t xml:space="preserve"> as mentioned in the literature, and adjusted to pH 6. 1 mL of the unformulated curcumin and curcumin </w:t>
      </w:r>
      <w:r w:rsidR="00714F4D" w:rsidRPr="0011329B">
        <w:rPr>
          <w:rFonts w:ascii="Times New Roman" w:hAnsi="Times New Roman"/>
          <w:sz w:val="24"/>
          <w:szCs w:val="24"/>
          <w:lang w:eastAsia="en-GB"/>
        </w:rPr>
        <w:t>nanosuspension</w:t>
      </w:r>
      <w:r w:rsidRPr="0011329B">
        <w:rPr>
          <w:rFonts w:ascii="Times New Roman" w:hAnsi="Times New Roman"/>
          <w:sz w:val="24"/>
          <w:szCs w:val="24"/>
          <w:lang w:eastAsia="en-GB"/>
        </w:rPr>
        <w:t xml:space="preserve"> (both at 1 mg/mL</w:t>
      </w:r>
      <w:r w:rsidR="00B22311" w:rsidRPr="0011329B">
        <w:rPr>
          <w:rFonts w:ascii="Times New Roman" w:hAnsi="Times New Roman"/>
          <w:sz w:val="24"/>
          <w:szCs w:val="24"/>
          <w:lang w:eastAsia="en-GB"/>
        </w:rPr>
        <w:t xml:space="preserve"> with respect to curcumin</w:t>
      </w:r>
      <w:r w:rsidRPr="0011329B">
        <w:rPr>
          <w:rFonts w:ascii="Times New Roman" w:hAnsi="Times New Roman"/>
          <w:sz w:val="24"/>
          <w:szCs w:val="24"/>
          <w:lang w:eastAsia="en-GB"/>
        </w:rPr>
        <w:t>) were dispersed in water and each sample was mixed with 1 mL of the stimulated saliva fluid and shaken for 10 minutes at 37</w:t>
      </w:r>
      <w:r w:rsidRPr="0011329B">
        <w:rPr>
          <w:rFonts w:ascii="Times New Roman" w:hAnsi="Times New Roman"/>
          <w:sz w:val="24"/>
          <w:szCs w:val="24"/>
        </w:rPr>
        <w:t>°C</w:t>
      </w:r>
      <w:r w:rsidRPr="0011329B">
        <w:rPr>
          <w:rFonts w:ascii="Times New Roman" w:hAnsi="Times New Roman"/>
          <w:sz w:val="24"/>
          <w:szCs w:val="24"/>
          <w:lang w:eastAsia="en-GB"/>
        </w:rPr>
        <w:t>. Stimulated gastric fluid was prepared as an aqueous solution of 200 mL of sodium chloride (2 mg/mL), 700 mL of HCl (7 mg/mL) added to 1000 mL of deionised water. 2 mL of stimulated gastric fluid containing pepsin (3.2 mg/mL) was added to the samples and shaken at 100 rpm at 37</w:t>
      </w:r>
      <w:r w:rsidRPr="0011329B">
        <w:rPr>
          <w:rFonts w:ascii="Times New Roman" w:hAnsi="Times New Roman"/>
          <w:sz w:val="24"/>
          <w:szCs w:val="24"/>
        </w:rPr>
        <w:t>°C</w:t>
      </w:r>
      <w:r w:rsidRPr="0011329B">
        <w:rPr>
          <w:rFonts w:ascii="Times New Roman" w:hAnsi="Times New Roman"/>
          <w:sz w:val="24"/>
          <w:szCs w:val="24"/>
          <w:lang w:eastAsia="en-GB"/>
        </w:rPr>
        <w:t xml:space="preserve"> for 2 hours to mimic stomach transition time. Then, the pH of the samples was adjusted to pH 7 using 0.5 mL of 0.05 M sodium hydroxide aqueous solution, followed by the addition of 4 mL small intestinal fluids and incubation at 37</w:t>
      </w:r>
      <w:r w:rsidRPr="0011329B">
        <w:rPr>
          <w:rFonts w:ascii="Times New Roman" w:hAnsi="Times New Roman"/>
          <w:sz w:val="24"/>
          <w:szCs w:val="24"/>
        </w:rPr>
        <w:t>°C</w:t>
      </w:r>
      <w:r w:rsidRPr="0011329B">
        <w:rPr>
          <w:rFonts w:ascii="Times New Roman" w:hAnsi="Times New Roman"/>
          <w:sz w:val="24"/>
          <w:szCs w:val="24"/>
          <w:lang w:eastAsia="en-GB"/>
        </w:rPr>
        <w:t xml:space="preserve"> for 3 hours. The stimulated small intestinal fluid contained pancreatin (24 mg/mL), bile extract solution (50 mg/mL) and saline solution containing (7.5 M sodium chloride and 0.5 M calcium chloride) and then adjusted to pH 7 using 0.05 M sodium hydroxide. After passing through the simulated fluids, 1 mL of the release media was collected, and the remaining media was centrifuged at 12</w:t>
      </w:r>
      <w:r w:rsidR="00D778D2" w:rsidRPr="0011329B">
        <w:rPr>
          <w:rFonts w:ascii="Times New Roman" w:hAnsi="Times New Roman"/>
          <w:sz w:val="24"/>
          <w:szCs w:val="24"/>
          <w:lang w:eastAsia="en-GB"/>
        </w:rPr>
        <w:t>,</w:t>
      </w:r>
      <w:r w:rsidRPr="0011329B">
        <w:rPr>
          <w:rFonts w:ascii="Times New Roman" w:hAnsi="Times New Roman"/>
          <w:sz w:val="24"/>
          <w:szCs w:val="24"/>
          <w:lang w:eastAsia="en-GB"/>
        </w:rPr>
        <w:t>0</w:t>
      </w:r>
      <w:r w:rsidR="009705E1" w:rsidRPr="0011329B">
        <w:rPr>
          <w:rFonts w:ascii="Times New Roman" w:hAnsi="Times New Roman"/>
          <w:sz w:val="24"/>
          <w:szCs w:val="24"/>
          <w:lang w:eastAsia="en-GB"/>
        </w:rPr>
        <w:t>0</w:t>
      </w:r>
      <w:r w:rsidRPr="0011329B">
        <w:rPr>
          <w:rFonts w:ascii="Times New Roman" w:hAnsi="Times New Roman"/>
          <w:sz w:val="24"/>
          <w:szCs w:val="24"/>
          <w:lang w:eastAsia="en-GB"/>
        </w:rPr>
        <w:t>0 g for 40 minutes at 4</w:t>
      </w:r>
      <w:r w:rsidRPr="0011329B">
        <w:rPr>
          <w:rFonts w:ascii="Times New Roman" w:hAnsi="Times New Roman"/>
          <w:sz w:val="24"/>
          <w:szCs w:val="24"/>
        </w:rPr>
        <w:t>°C</w:t>
      </w:r>
      <w:r w:rsidRPr="0011329B">
        <w:rPr>
          <w:rFonts w:ascii="Times New Roman" w:hAnsi="Times New Roman"/>
          <w:sz w:val="24"/>
          <w:szCs w:val="24"/>
          <w:lang w:eastAsia="en-GB"/>
        </w:rPr>
        <w:t xml:space="preserve">. The resulting supernatant was collected and assumed to be the amount of curcumin solubilised in a </w:t>
      </w:r>
      <w:proofErr w:type="spellStart"/>
      <w:r w:rsidRPr="0011329B">
        <w:rPr>
          <w:rFonts w:ascii="Times New Roman" w:hAnsi="Times New Roman"/>
          <w:sz w:val="24"/>
          <w:szCs w:val="24"/>
          <w:lang w:eastAsia="en-GB"/>
        </w:rPr>
        <w:t>bioaccessible</w:t>
      </w:r>
      <w:proofErr w:type="spellEnd"/>
      <w:r w:rsidRPr="0011329B">
        <w:rPr>
          <w:rFonts w:ascii="Times New Roman" w:hAnsi="Times New Roman"/>
          <w:sz w:val="24"/>
          <w:szCs w:val="24"/>
          <w:lang w:eastAsia="en-GB"/>
        </w:rPr>
        <w:t xml:space="preserve"> form. The solubilised curcumin was diluted with acetonitrile (ratio 1:1) and a</w:t>
      </w:r>
      <w:r w:rsidR="005C66A2" w:rsidRPr="0011329B">
        <w:rPr>
          <w:rFonts w:ascii="Times New Roman" w:hAnsi="Times New Roman"/>
          <w:sz w:val="24"/>
          <w:szCs w:val="24"/>
          <w:lang w:eastAsia="en-GB"/>
        </w:rPr>
        <w:t xml:space="preserve">nalysed </w:t>
      </w:r>
      <w:r w:rsidRPr="0011329B">
        <w:rPr>
          <w:rFonts w:ascii="Times New Roman" w:hAnsi="Times New Roman"/>
          <w:sz w:val="24"/>
          <w:szCs w:val="24"/>
          <w:lang w:eastAsia="en-GB"/>
        </w:rPr>
        <w:t xml:space="preserve">by </w:t>
      </w:r>
      <w:r w:rsidRPr="0011329B">
        <w:rPr>
          <w:rFonts w:ascii="Times New Roman" w:hAnsi="Times New Roman"/>
          <w:spacing w:val="-5"/>
          <w:sz w:val="24"/>
          <w:szCs w:val="24"/>
        </w:rPr>
        <w:t>HPLC. The stability and bioaccessibility were determined using the following equations (1) and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496"/>
      </w:tblGrid>
      <w:tr w:rsidR="008F4997" w:rsidRPr="0011329B" w14:paraId="136B7FE8" w14:textId="77777777" w:rsidTr="003B3CE7">
        <w:tc>
          <w:tcPr>
            <w:tcW w:w="8642" w:type="dxa"/>
          </w:tcPr>
          <w:p w14:paraId="48FB9E23" w14:textId="77777777" w:rsidR="008F4997" w:rsidRPr="0011329B" w:rsidRDefault="008F4997" w:rsidP="008574F5">
            <w:pPr>
              <w:pStyle w:val="RSCB03MathematicsGreeketc"/>
              <w:spacing w:line="360" w:lineRule="auto"/>
              <w:jc w:val="center"/>
              <w:rPr>
                <w:sz w:val="24"/>
                <w:szCs w:val="24"/>
              </w:rPr>
            </w:pPr>
            <w:r w:rsidRPr="0011329B">
              <w:rPr>
                <w:sz w:val="24"/>
                <w:szCs w:val="24"/>
              </w:rPr>
              <w:lastRenderedPageBreak/>
              <w:t>Stability (%) = C</w:t>
            </w:r>
            <w:r w:rsidRPr="0011329B">
              <w:rPr>
                <w:sz w:val="24"/>
                <w:szCs w:val="24"/>
                <w:vertAlign w:val="subscript"/>
              </w:rPr>
              <w:t>R</w:t>
            </w:r>
            <w:r w:rsidRPr="0011329B">
              <w:rPr>
                <w:sz w:val="24"/>
                <w:szCs w:val="24"/>
              </w:rPr>
              <w:t>/ C</w:t>
            </w:r>
            <w:r w:rsidRPr="0011329B">
              <w:rPr>
                <w:sz w:val="24"/>
                <w:szCs w:val="24"/>
                <w:vertAlign w:val="subscript"/>
              </w:rPr>
              <w:t>I</w:t>
            </w:r>
            <w:r w:rsidRPr="0011329B">
              <w:rPr>
                <w:sz w:val="24"/>
                <w:szCs w:val="24"/>
              </w:rPr>
              <w:t xml:space="preserve"> x 100</w:t>
            </w:r>
          </w:p>
        </w:tc>
        <w:tc>
          <w:tcPr>
            <w:tcW w:w="374" w:type="dxa"/>
          </w:tcPr>
          <w:p w14:paraId="77EE7E2D" w14:textId="77777777" w:rsidR="008F4997" w:rsidRPr="0011329B" w:rsidRDefault="008F4997" w:rsidP="002F10E8">
            <w:pPr>
              <w:pStyle w:val="RSCB03MathematicsGreeketc"/>
              <w:spacing w:line="360" w:lineRule="auto"/>
              <w:rPr>
                <w:sz w:val="24"/>
                <w:szCs w:val="24"/>
              </w:rPr>
            </w:pPr>
            <w:r w:rsidRPr="0011329B">
              <w:rPr>
                <w:sz w:val="24"/>
                <w:szCs w:val="24"/>
              </w:rPr>
              <w:t>(1)</w:t>
            </w:r>
          </w:p>
        </w:tc>
      </w:tr>
      <w:tr w:rsidR="008F4997" w:rsidRPr="0011329B" w14:paraId="34D6F7AD" w14:textId="77777777" w:rsidTr="003B3CE7">
        <w:tc>
          <w:tcPr>
            <w:tcW w:w="8642" w:type="dxa"/>
          </w:tcPr>
          <w:p w14:paraId="1E16AEFD" w14:textId="77777777" w:rsidR="008F4997" w:rsidRPr="0011329B" w:rsidRDefault="008F4997" w:rsidP="008574F5">
            <w:pPr>
              <w:pStyle w:val="RSCB03MathematicsGreeketc"/>
              <w:spacing w:line="360" w:lineRule="auto"/>
              <w:jc w:val="center"/>
              <w:rPr>
                <w:sz w:val="24"/>
                <w:szCs w:val="24"/>
              </w:rPr>
            </w:pPr>
            <w:r w:rsidRPr="0011329B">
              <w:rPr>
                <w:sz w:val="24"/>
                <w:szCs w:val="24"/>
              </w:rPr>
              <w:t>Bioaccessibility (%) = C</w:t>
            </w:r>
            <w:r w:rsidRPr="0011329B">
              <w:rPr>
                <w:sz w:val="24"/>
                <w:szCs w:val="24"/>
                <w:vertAlign w:val="subscript"/>
              </w:rPr>
              <w:t>N</w:t>
            </w:r>
            <w:r w:rsidRPr="0011329B">
              <w:rPr>
                <w:sz w:val="24"/>
                <w:szCs w:val="24"/>
              </w:rPr>
              <w:t>/ C</w:t>
            </w:r>
            <w:r w:rsidRPr="0011329B">
              <w:rPr>
                <w:sz w:val="24"/>
                <w:szCs w:val="24"/>
                <w:vertAlign w:val="subscript"/>
              </w:rPr>
              <w:t>I</w:t>
            </w:r>
            <w:r w:rsidRPr="0011329B">
              <w:rPr>
                <w:sz w:val="24"/>
                <w:szCs w:val="24"/>
              </w:rPr>
              <w:t xml:space="preserve"> x 100</w:t>
            </w:r>
          </w:p>
        </w:tc>
        <w:tc>
          <w:tcPr>
            <w:tcW w:w="374" w:type="dxa"/>
          </w:tcPr>
          <w:p w14:paraId="6743F33A" w14:textId="77777777" w:rsidR="008F4997" w:rsidRPr="0011329B" w:rsidRDefault="008F4997" w:rsidP="002F10E8">
            <w:pPr>
              <w:pStyle w:val="RSCB03MathematicsGreeketc"/>
              <w:spacing w:line="360" w:lineRule="auto"/>
              <w:rPr>
                <w:sz w:val="24"/>
                <w:szCs w:val="24"/>
              </w:rPr>
            </w:pPr>
            <w:r w:rsidRPr="0011329B">
              <w:rPr>
                <w:sz w:val="24"/>
                <w:szCs w:val="24"/>
              </w:rPr>
              <w:t>(2)</w:t>
            </w:r>
          </w:p>
        </w:tc>
      </w:tr>
    </w:tbl>
    <w:p w14:paraId="728A9962" w14:textId="4AD6AE5E" w:rsidR="00D838CF" w:rsidRPr="0011329B" w:rsidRDefault="008F4997" w:rsidP="00D838CF">
      <w:pPr>
        <w:pStyle w:val="RSCB02ArticleText"/>
        <w:spacing w:line="360" w:lineRule="auto"/>
        <w:rPr>
          <w:rFonts w:ascii="Times New Roman" w:hAnsi="Times New Roman"/>
          <w:spacing w:val="-5"/>
          <w:sz w:val="24"/>
          <w:szCs w:val="24"/>
        </w:rPr>
      </w:pPr>
      <w:r w:rsidRPr="0011329B">
        <w:rPr>
          <w:rFonts w:ascii="Times New Roman" w:hAnsi="Times New Roman"/>
          <w:sz w:val="24"/>
          <w:szCs w:val="24"/>
          <w:lang w:eastAsia="en-GB"/>
        </w:rPr>
        <w:t>C</w:t>
      </w:r>
      <w:r w:rsidRPr="0011329B">
        <w:rPr>
          <w:rFonts w:ascii="Times New Roman" w:hAnsi="Times New Roman"/>
          <w:sz w:val="24"/>
          <w:szCs w:val="24"/>
          <w:vertAlign w:val="subscript"/>
          <w:lang w:eastAsia="en-GB"/>
        </w:rPr>
        <w:t>R</w:t>
      </w:r>
      <w:r w:rsidRPr="0011329B">
        <w:rPr>
          <w:rFonts w:ascii="Times New Roman" w:hAnsi="Times New Roman"/>
          <w:sz w:val="24"/>
          <w:szCs w:val="24"/>
          <w:lang w:eastAsia="en-GB"/>
        </w:rPr>
        <w:t xml:space="preserve"> is the concentration of curcumin in the release media after exposure to the simulated gastrointestinal fluids (assuming that there is no degradation occurring in the simulated GIT),</w:t>
      </w:r>
      <w:r w:rsidRPr="0011329B">
        <w:rPr>
          <w:rFonts w:ascii="Times New Roman" w:hAnsi="Times New Roman"/>
          <w:spacing w:val="-5"/>
          <w:sz w:val="24"/>
          <w:szCs w:val="24"/>
        </w:rPr>
        <w:t xml:space="preserve"> C</w:t>
      </w:r>
      <w:r w:rsidRPr="0011329B">
        <w:rPr>
          <w:rFonts w:ascii="Times New Roman" w:hAnsi="Times New Roman"/>
          <w:spacing w:val="-5"/>
          <w:sz w:val="24"/>
          <w:szCs w:val="24"/>
          <w:vertAlign w:val="subscript"/>
        </w:rPr>
        <w:t>N</w:t>
      </w:r>
      <w:r w:rsidRPr="0011329B">
        <w:rPr>
          <w:rFonts w:ascii="Times New Roman" w:hAnsi="Times New Roman"/>
          <w:spacing w:val="-5"/>
          <w:sz w:val="24"/>
          <w:szCs w:val="24"/>
        </w:rPr>
        <w:t xml:space="preserve"> is the concertation of curcumin in the supernatant, and C</w:t>
      </w:r>
      <w:r w:rsidRPr="0011329B">
        <w:rPr>
          <w:rFonts w:ascii="Times New Roman" w:hAnsi="Times New Roman"/>
          <w:spacing w:val="-5"/>
          <w:sz w:val="24"/>
          <w:szCs w:val="24"/>
          <w:vertAlign w:val="subscript"/>
        </w:rPr>
        <w:t>I</w:t>
      </w:r>
      <w:r w:rsidRPr="0011329B">
        <w:rPr>
          <w:rFonts w:ascii="Times New Roman" w:hAnsi="Times New Roman"/>
          <w:spacing w:val="-5"/>
          <w:sz w:val="24"/>
          <w:szCs w:val="24"/>
        </w:rPr>
        <w:t xml:space="preserve"> is the initial concentration of curcumin in the system. The initial concentration of curcumin was assumed to be the total amount of curcumin that would be present in the small intestine if there were no losses due to the chemical degradation. It is important to note that this simple </w:t>
      </w:r>
      <w:r w:rsidRPr="0011329B">
        <w:rPr>
          <w:rFonts w:ascii="Times New Roman" w:hAnsi="Times New Roman"/>
          <w:i/>
          <w:iCs/>
          <w:spacing w:val="-5"/>
          <w:sz w:val="24"/>
          <w:szCs w:val="24"/>
        </w:rPr>
        <w:t>in vitro</w:t>
      </w:r>
      <w:r w:rsidRPr="0011329B">
        <w:rPr>
          <w:rFonts w:ascii="Times New Roman" w:hAnsi="Times New Roman"/>
          <w:spacing w:val="-5"/>
          <w:sz w:val="24"/>
          <w:szCs w:val="24"/>
        </w:rPr>
        <w:t xml:space="preserve"> GIT model cannot accurately simulate the complex process takes place in the gastrointestinal tract, but it is a useful way to rapidly screen different samples and identify their physicochemical properties.</w:t>
      </w:r>
      <w:r w:rsidR="00D838CF" w:rsidRPr="0011329B">
        <w:rPr>
          <w:rFonts w:ascii="Times New Roman" w:hAnsi="Times New Roman"/>
          <w:spacing w:val="-5"/>
          <w:sz w:val="24"/>
          <w:szCs w:val="24"/>
        </w:rPr>
        <w:t xml:space="preserve"> </w:t>
      </w:r>
    </w:p>
    <w:p w14:paraId="40A35A21" w14:textId="77777777" w:rsidR="00D838CF" w:rsidRPr="0011329B" w:rsidRDefault="00D838CF" w:rsidP="00F82FDC">
      <w:pPr>
        <w:pStyle w:val="RSCB06BHeadingSub-Section"/>
        <w:spacing w:line="360" w:lineRule="auto"/>
        <w:rPr>
          <w:rFonts w:ascii="Times New Roman" w:hAnsi="Times New Roman" w:cs="Times New Roman"/>
          <w:sz w:val="24"/>
          <w:szCs w:val="24"/>
        </w:rPr>
      </w:pPr>
    </w:p>
    <w:p w14:paraId="76A73341" w14:textId="5002E830" w:rsidR="00D838CF" w:rsidRPr="0011329B" w:rsidRDefault="0058032E" w:rsidP="00937D88">
      <w:pPr>
        <w:pStyle w:val="RSCB06BHeadingSub-Section"/>
        <w:numPr>
          <w:ilvl w:val="2"/>
          <w:numId w:val="2"/>
        </w:numPr>
        <w:spacing w:line="360" w:lineRule="auto"/>
        <w:rPr>
          <w:rFonts w:ascii="Times New Roman" w:hAnsi="Times New Roman" w:cs="Times New Roman"/>
          <w:sz w:val="24"/>
          <w:szCs w:val="24"/>
        </w:rPr>
      </w:pPr>
      <w:r w:rsidRPr="0011329B">
        <w:rPr>
          <w:rFonts w:ascii="Times New Roman" w:hAnsi="Times New Roman" w:cs="Times New Roman"/>
          <w:sz w:val="24"/>
          <w:szCs w:val="24"/>
        </w:rPr>
        <w:t>Statistical analysis</w:t>
      </w:r>
    </w:p>
    <w:p w14:paraId="02B3F193" w14:textId="0446C5EF" w:rsidR="00D838CF" w:rsidRPr="0011329B" w:rsidRDefault="00D838CF" w:rsidP="00F82FDC">
      <w:pPr>
        <w:pStyle w:val="RSCB02ArticleText"/>
        <w:spacing w:line="360" w:lineRule="auto"/>
        <w:rPr>
          <w:rFonts w:ascii="Times New Roman" w:hAnsi="Times New Roman"/>
          <w:spacing w:val="-5"/>
          <w:sz w:val="24"/>
          <w:szCs w:val="24"/>
        </w:rPr>
      </w:pPr>
      <w:r w:rsidRPr="0011329B">
        <w:rPr>
          <w:rFonts w:ascii="Times New Roman" w:hAnsi="Times New Roman"/>
          <w:sz w:val="24"/>
          <w:szCs w:val="24"/>
        </w:rPr>
        <w:t>For determining the P values for significance, unpair</w:t>
      </w:r>
      <w:r w:rsidR="001E7277" w:rsidRPr="0011329B">
        <w:rPr>
          <w:rFonts w:ascii="Times New Roman" w:hAnsi="Times New Roman"/>
          <w:sz w:val="24"/>
          <w:szCs w:val="24"/>
        </w:rPr>
        <w:t>ed</w:t>
      </w:r>
      <w:r w:rsidRPr="0011329B">
        <w:rPr>
          <w:rFonts w:ascii="Times New Roman" w:hAnsi="Times New Roman"/>
          <w:sz w:val="24"/>
          <w:szCs w:val="24"/>
        </w:rPr>
        <w:t xml:space="preserve"> t-test</w:t>
      </w:r>
      <w:r w:rsidR="001E7277" w:rsidRPr="0011329B">
        <w:rPr>
          <w:rFonts w:ascii="Times New Roman" w:hAnsi="Times New Roman"/>
          <w:sz w:val="24"/>
          <w:szCs w:val="24"/>
        </w:rPr>
        <w:t xml:space="preserve"> (within </w:t>
      </w:r>
      <w:proofErr w:type="spellStart"/>
      <w:r w:rsidR="001E7277" w:rsidRPr="0011329B">
        <w:rPr>
          <w:rFonts w:ascii="Times New Roman" w:hAnsi="Times New Roman"/>
          <w:sz w:val="24"/>
          <w:szCs w:val="24"/>
        </w:rPr>
        <w:t>Graphpad</w:t>
      </w:r>
      <w:proofErr w:type="spellEnd"/>
      <w:r w:rsidR="001E7277" w:rsidRPr="0011329B">
        <w:rPr>
          <w:rFonts w:ascii="Times New Roman" w:hAnsi="Times New Roman"/>
          <w:sz w:val="24"/>
          <w:szCs w:val="24"/>
        </w:rPr>
        <w:t xml:space="preserve"> Prism Version 8)</w:t>
      </w:r>
      <w:r w:rsidRPr="0011329B">
        <w:rPr>
          <w:rFonts w:ascii="Times New Roman" w:hAnsi="Times New Roman"/>
          <w:sz w:val="24"/>
          <w:szCs w:val="24"/>
        </w:rPr>
        <w:t xml:space="preserve"> was used to determine the significance between the means and mean ± standard deviation of </w:t>
      </w:r>
      <w:r w:rsidR="00714F4D" w:rsidRPr="0011329B">
        <w:rPr>
          <w:rFonts w:ascii="Times New Roman" w:hAnsi="Times New Roman"/>
          <w:sz w:val="24"/>
          <w:szCs w:val="24"/>
        </w:rPr>
        <w:t>nanosuspension</w:t>
      </w:r>
      <w:r w:rsidRPr="0011329B">
        <w:rPr>
          <w:rFonts w:ascii="Times New Roman" w:hAnsi="Times New Roman"/>
          <w:sz w:val="24"/>
          <w:szCs w:val="24"/>
        </w:rPr>
        <w:t xml:space="preserve"> at different pH values.</w:t>
      </w:r>
    </w:p>
    <w:p w14:paraId="2C87FCB2" w14:textId="77777777" w:rsidR="00D838CF" w:rsidRPr="0011329B" w:rsidRDefault="00D838CF" w:rsidP="00F82FDC">
      <w:pPr>
        <w:pStyle w:val="RSCB06BHeadingSub-Section"/>
        <w:spacing w:line="360" w:lineRule="auto"/>
        <w:rPr>
          <w:rFonts w:ascii="Times New Roman" w:hAnsi="Times New Roman" w:cs="Times New Roman"/>
          <w:sz w:val="24"/>
          <w:szCs w:val="24"/>
        </w:rPr>
      </w:pPr>
    </w:p>
    <w:p w14:paraId="1FA64359" w14:textId="2FF030AC" w:rsidR="008F4997" w:rsidRPr="0011329B" w:rsidRDefault="008F4997" w:rsidP="00937D88">
      <w:pPr>
        <w:pStyle w:val="RSCB06BHeadingSub-Section"/>
        <w:numPr>
          <w:ilvl w:val="2"/>
          <w:numId w:val="2"/>
        </w:numPr>
        <w:spacing w:line="360" w:lineRule="auto"/>
        <w:rPr>
          <w:rFonts w:ascii="Times New Roman" w:hAnsi="Times New Roman" w:cs="Times New Roman"/>
          <w:sz w:val="24"/>
          <w:szCs w:val="24"/>
        </w:rPr>
      </w:pPr>
      <w:r w:rsidRPr="0011329B">
        <w:rPr>
          <w:rFonts w:ascii="Times New Roman" w:hAnsi="Times New Roman" w:cs="Times New Roman"/>
          <w:i/>
          <w:iCs/>
          <w:sz w:val="24"/>
          <w:szCs w:val="24"/>
        </w:rPr>
        <w:t>In vitro</w:t>
      </w:r>
      <w:r w:rsidRPr="0011329B">
        <w:rPr>
          <w:rFonts w:ascii="Times New Roman" w:hAnsi="Times New Roman" w:cs="Times New Roman"/>
          <w:sz w:val="24"/>
          <w:szCs w:val="24"/>
        </w:rPr>
        <w:t xml:space="preserve"> cytotoxicity MTT assay </w:t>
      </w:r>
    </w:p>
    <w:p w14:paraId="48726EE5" w14:textId="4C8BB291" w:rsidR="008F4997" w:rsidRPr="0011329B" w:rsidRDefault="008F4997" w:rsidP="002F10E8">
      <w:pPr>
        <w:pStyle w:val="RSCB02ArticleText"/>
        <w:spacing w:line="360" w:lineRule="auto"/>
        <w:rPr>
          <w:rFonts w:ascii="Times New Roman" w:hAnsi="Times New Roman"/>
          <w:sz w:val="24"/>
          <w:szCs w:val="24"/>
        </w:rPr>
      </w:pPr>
      <w:r w:rsidRPr="0011329B">
        <w:rPr>
          <w:rFonts w:ascii="Times New Roman" w:hAnsi="Times New Roman"/>
          <w:sz w:val="24"/>
          <w:szCs w:val="24"/>
        </w:rPr>
        <w:t>Caco-2 and HT-29-MTX cells were seeded at a density of 1 x 10</w:t>
      </w:r>
      <w:r w:rsidRPr="0011329B">
        <w:rPr>
          <w:rFonts w:ascii="Times New Roman" w:hAnsi="Times New Roman"/>
          <w:sz w:val="24"/>
          <w:szCs w:val="24"/>
          <w:vertAlign w:val="superscript"/>
        </w:rPr>
        <w:t>4</w:t>
      </w:r>
      <w:r w:rsidRPr="0011329B">
        <w:rPr>
          <w:rFonts w:ascii="Times New Roman" w:hAnsi="Times New Roman"/>
          <w:sz w:val="24"/>
          <w:szCs w:val="24"/>
        </w:rPr>
        <w:t xml:space="preserve"> cells/100 µl into each well of a 96-well plate and incubated for 24h at 37°C, 5% CO</w:t>
      </w:r>
      <w:r w:rsidRPr="0011329B">
        <w:rPr>
          <w:rFonts w:ascii="Times New Roman" w:hAnsi="Times New Roman"/>
          <w:sz w:val="24"/>
          <w:szCs w:val="24"/>
          <w:vertAlign w:val="subscript"/>
        </w:rPr>
        <w:t>2</w:t>
      </w:r>
      <w:r w:rsidRPr="0011329B">
        <w:rPr>
          <w:rFonts w:ascii="Times New Roman" w:hAnsi="Times New Roman"/>
          <w:sz w:val="24"/>
          <w:szCs w:val="24"/>
        </w:rPr>
        <w:t>. Following incubation, 50 µ</w:t>
      </w:r>
      <w:r w:rsidR="003305A6" w:rsidRPr="0011329B">
        <w:rPr>
          <w:rFonts w:ascii="Times New Roman" w:hAnsi="Times New Roman"/>
          <w:sz w:val="24"/>
          <w:szCs w:val="24"/>
        </w:rPr>
        <w:t>L</w:t>
      </w:r>
      <w:r w:rsidRPr="0011329B">
        <w:rPr>
          <w:rFonts w:ascii="Times New Roman" w:hAnsi="Times New Roman"/>
          <w:sz w:val="24"/>
          <w:szCs w:val="24"/>
        </w:rPr>
        <w:t xml:space="preserve"> of the media was aspirated and replaced with 50 µ</w:t>
      </w:r>
      <w:r w:rsidR="003305A6" w:rsidRPr="0011329B">
        <w:rPr>
          <w:rFonts w:ascii="Times New Roman" w:hAnsi="Times New Roman"/>
          <w:sz w:val="24"/>
          <w:szCs w:val="24"/>
        </w:rPr>
        <w:t xml:space="preserve">L </w:t>
      </w:r>
      <w:r w:rsidRPr="0011329B">
        <w:rPr>
          <w:rFonts w:ascii="Times New Roman" w:hAnsi="Times New Roman"/>
          <w:sz w:val="24"/>
          <w:szCs w:val="24"/>
        </w:rPr>
        <w:t>of media containing curcumin, either as a nanodispersion or aqueous solution (&lt;1% DMSO in media) at a final well concentration of 100, 50, 25, 12.5, 6.25, 3.13, 1.56, or 0 µM curcumin. Following addition of each treatment and control, the 96-well plates were incubated for 48 hours at 37°C, 5% CO</w:t>
      </w:r>
      <w:r w:rsidRPr="0011329B">
        <w:rPr>
          <w:rFonts w:ascii="Times New Roman" w:hAnsi="Times New Roman"/>
          <w:sz w:val="24"/>
          <w:szCs w:val="24"/>
          <w:vertAlign w:val="subscript"/>
        </w:rPr>
        <w:t>2</w:t>
      </w:r>
      <w:r w:rsidRPr="0011329B">
        <w:rPr>
          <w:rFonts w:ascii="Times New Roman" w:hAnsi="Times New Roman"/>
          <w:sz w:val="24"/>
          <w:szCs w:val="24"/>
        </w:rPr>
        <w:t>. Subsequently, the cytotoxicity of each treatment and control was assessed using the (3-(4,5-dimethylthiazol-2-yl)-2,5-diphenyltetrazolium bromide) (MTT) cell viability assay. Briefly, the media containing treatment was carefully aspirated from each well of the 96-well plates, leaving the adhered cells, and replaced with 150 µ</w:t>
      </w:r>
      <w:r w:rsidR="003305A6" w:rsidRPr="0011329B">
        <w:rPr>
          <w:rFonts w:ascii="Times New Roman" w:hAnsi="Times New Roman"/>
          <w:sz w:val="24"/>
          <w:szCs w:val="24"/>
        </w:rPr>
        <w:t>L</w:t>
      </w:r>
      <w:r w:rsidRPr="0011329B">
        <w:rPr>
          <w:rFonts w:ascii="Times New Roman" w:hAnsi="Times New Roman"/>
          <w:sz w:val="24"/>
          <w:szCs w:val="24"/>
        </w:rPr>
        <w:t xml:space="preserve"> of pre-warmed (37°C) DMEM. 50 </w:t>
      </w:r>
      <w:proofErr w:type="spellStart"/>
      <w:r w:rsidRPr="0011329B">
        <w:rPr>
          <w:rFonts w:ascii="Times New Roman" w:hAnsi="Times New Roman"/>
          <w:sz w:val="24"/>
          <w:szCs w:val="24"/>
        </w:rPr>
        <w:t>μL</w:t>
      </w:r>
      <w:proofErr w:type="spellEnd"/>
      <w:r w:rsidRPr="0011329B">
        <w:rPr>
          <w:rFonts w:ascii="Times New Roman" w:hAnsi="Times New Roman"/>
          <w:sz w:val="24"/>
          <w:szCs w:val="24"/>
        </w:rPr>
        <w:t xml:space="preserve"> of a pre-warmed (37°C) 5 mg/ml thiazolyl blue tetrazolium bromide solution, prepared in PBS, was also added to each well and the 96-well plates were further </w:t>
      </w:r>
      <w:r w:rsidRPr="0011329B">
        <w:rPr>
          <w:rFonts w:ascii="Times New Roman" w:hAnsi="Times New Roman"/>
          <w:sz w:val="24"/>
          <w:szCs w:val="24"/>
        </w:rPr>
        <w:lastRenderedPageBreak/>
        <w:t>incubated for 4 hours at 37</w:t>
      </w:r>
      <w:r w:rsidRPr="0011329B">
        <w:rPr>
          <w:rFonts w:ascii="Times New Roman" w:hAnsi="Times New Roman"/>
          <w:sz w:val="24"/>
          <w:szCs w:val="24"/>
          <w:vertAlign w:val="superscript"/>
        </w:rPr>
        <w:t>o</w:t>
      </w:r>
      <w:r w:rsidRPr="0011329B">
        <w:rPr>
          <w:rFonts w:ascii="Times New Roman" w:hAnsi="Times New Roman"/>
          <w:sz w:val="24"/>
          <w:szCs w:val="24"/>
        </w:rPr>
        <w:t>C, 5% CO</w:t>
      </w:r>
      <w:r w:rsidRPr="0011329B">
        <w:rPr>
          <w:rFonts w:ascii="Times New Roman" w:hAnsi="Times New Roman"/>
          <w:sz w:val="24"/>
          <w:szCs w:val="24"/>
          <w:vertAlign w:val="subscript"/>
        </w:rPr>
        <w:t>2</w:t>
      </w:r>
      <w:r w:rsidRPr="0011329B">
        <w:rPr>
          <w:rFonts w:ascii="Times New Roman" w:hAnsi="Times New Roman"/>
          <w:sz w:val="24"/>
          <w:szCs w:val="24"/>
        </w:rPr>
        <w:t>. Subsequently, the media was carefully aspirated from each well and replaced with 50 µ</w:t>
      </w:r>
      <w:r w:rsidR="003305A6" w:rsidRPr="0011329B">
        <w:rPr>
          <w:rFonts w:ascii="Times New Roman" w:hAnsi="Times New Roman"/>
          <w:sz w:val="24"/>
          <w:szCs w:val="24"/>
        </w:rPr>
        <w:t>L</w:t>
      </w:r>
      <w:r w:rsidRPr="0011329B">
        <w:rPr>
          <w:rFonts w:ascii="Times New Roman" w:hAnsi="Times New Roman"/>
          <w:sz w:val="24"/>
          <w:szCs w:val="24"/>
        </w:rPr>
        <w:t xml:space="preserve"> of DMSO to solubilise any formed formazan crystals. Absorbance was measured at 570 and 620 nm using a </w:t>
      </w:r>
      <w:proofErr w:type="spellStart"/>
      <w:r w:rsidRPr="0011329B">
        <w:rPr>
          <w:rFonts w:ascii="Times New Roman" w:hAnsi="Times New Roman"/>
          <w:sz w:val="24"/>
          <w:szCs w:val="24"/>
        </w:rPr>
        <w:t>CLARIOstar</w:t>
      </w:r>
      <w:proofErr w:type="spellEnd"/>
      <w:r w:rsidRPr="0011329B">
        <w:rPr>
          <w:rFonts w:ascii="Times New Roman" w:hAnsi="Times New Roman"/>
          <w:sz w:val="24"/>
          <w:szCs w:val="24"/>
        </w:rPr>
        <w:t xml:space="preserve"> Plus plate reader (BMG Labtech, Germany). Four replicates of each condition were tested and IC</w:t>
      </w:r>
      <w:r w:rsidRPr="0011329B">
        <w:rPr>
          <w:rFonts w:ascii="Times New Roman" w:hAnsi="Times New Roman"/>
          <w:sz w:val="24"/>
          <w:szCs w:val="24"/>
          <w:vertAlign w:val="subscript"/>
        </w:rPr>
        <w:t>50</w:t>
      </w:r>
      <w:r w:rsidRPr="0011329B">
        <w:rPr>
          <w:rFonts w:ascii="Times New Roman" w:hAnsi="Times New Roman"/>
          <w:sz w:val="24"/>
          <w:szCs w:val="24"/>
        </w:rPr>
        <w:t xml:space="preserve"> values were calculated using Prism version 7.04 (GraphPad, US). The plotted average percentage cell viabilities were calculated using equation (3). </w:t>
      </w:r>
    </w:p>
    <w:p w14:paraId="69151E8E" w14:textId="77777777" w:rsidR="008F4997" w:rsidRPr="0011329B" w:rsidRDefault="008F4997" w:rsidP="002F10E8">
      <w:pPr>
        <w:pStyle w:val="RSCB02ArticleText"/>
        <w:spacing w:line="360" w:lineRule="auto"/>
        <w:rPr>
          <w:rFonts w:ascii="Times New Roman" w:hAnsi="Times New Roman"/>
          <w:sz w:val="24"/>
          <w:szCs w:val="24"/>
        </w:rPr>
      </w:pPr>
    </w:p>
    <w:p w14:paraId="06B2BDC4" w14:textId="1E055C4A" w:rsidR="008F4997" w:rsidRPr="0011329B" w:rsidRDefault="008F4997" w:rsidP="008574F5">
      <w:pPr>
        <w:pStyle w:val="RSCB03MathematicsGreeketc"/>
        <w:spacing w:line="360" w:lineRule="auto"/>
        <w:jc w:val="right"/>
        <w:rPr>
          <w:rFonts w:cs="Times New Roman"/>
          <w:sz w:val="24"/>
          <w:szCs w:val="24"/>
        </w:rPr>
      </w:pPr>
      <m:oMath>
        <m:r>
          <m:rPr>
            <m:nor/>
          </m:rPr>
          <w:rPr>
            <w:rFonts w:cs="Times New Roman"/>
            <w:sz w:val="24"/>
            <w:szCs w:val="24"/>
          </w:rPr>
          <m:t xml:space="preserve">Cell viability </m:t>
        </m:r>
        <m:d>
          <m:dPr>
            <m:ctrlPr>
              <w:rPr>
                <w:rFonts w:ascii="Cambria Math" w:hAnsi="Cambria Math" w:cs="Times New Roman"/>
                <w:i/>
                <w:sz w:val="24"/>
                <w:szCs w:val="24"/>
              </w:rPr>
            </m:ctrlPr>
          </m:dPr>
          <m:e>
            <m:r>
              <m:rPr>
                <m:nor/>
              </m:rPr>
              <w:rPr>
                <w:rFonts w:cs="Times New Roman"/>
                <w:sz w:val="24"/>
                <w:szCs w:val="24"/>
              </w:rPr>
              <m:t>%</m:t>
            </m:r>
          </m:e>
        </m:d>
        <m:r>
          <m:rPr>
            <m:nor/>
          </m:rPr>
          <w:rPr>
            <w:rFonts w:cs="Times New Roman"/>
            <w:sz w:val="24"/>
            <w:szCs w:val="24"/>
          </w:rPr>
          <m:t>=</m:t>
        </m:r>
        <m:f>
          <m:fPr>
            <m:ctrlPr>
              <w:rPr>
                <w:rFonts w:ascii="Cambria Math" w:hAnsi="Cambria Math" w:cs="Times New Roman"/>
                <w:i/>
                <w:sz w:val="24"/>
                <w:szCs w:val="24"/>
              </w:rPr>
            </m:ctrlPr>
          </m:fPr>
          <m:num>
            <m:r>
              <m:rPr>
                <m:nor/>
              </m:rPr>
              <w:rPr>
                <w:rFonts w:cs="Times New Roman"/>
                <w:sz w:val="24"/>
                <w:szCs w:val="24"/>
              </w:rPr>
              <m:t>Abs.</m:t>
            </m:r>
            <m:r>
              <m:rPr>
                <m:nor/>
              </m:rPr>
              <w:rPr>
                <w:rFonts w:cs="Times New Roman"/>
                <w:sz w:val="24"/>
                <w:szCs w:val="24"/>
                <w:vertAlign w:val="subscript"/>
              </w:rPr>
              <m:t xml:space="preserve"> </m:t>
            </m:r>
            <m:r>
              <m:rPr>
                <m:nor/>
              </m:rPr>
              <w:rPr>
                <w:rFonts w:cs="Times New Roman"/>
                <w:sz w:val="24"/>
                <w:szCs w:val="24"/>
              </w:rPr>
              <m:t>test sample - Abs.</m:t>
            </m:r>
            <m:r>
              <m:rPr>
                <m:nor/>
              </m:rPr>
              <w:rPr>
                <w:rFonts w:cs="Times New Roman"/>
                <w:sz w:val="24"/>
                <w:szCs w:val="24"/>
                <w:vertAlign w:val="subscript"/>
              </w:rPr>
              <m:t xml:space="preserve"> </m:t>
            </m:r>
            <m:r>
              <m:rPr>
                <m:nor/>
              </m:rPr>
              <w:rPr>
                <w:rFonts w:cs="Times New Roman"/>
                <w:sz w:val="24"/>
                <w:szCs w:val="24"/>
              </w:rPr>
              <m:t>blank</m:t>
            </m:r>
            <m:r>
              <m:rPr>
                <m:nor/>
              </m:rPr>
              <w:rPr>
                <w:rFonts w:cs="Times New Roman"/>
                <w:sz w:val="24"/>
                <w:szCs w:val="24"/>
                <w:vertAlign w:val="subscript"/>
              </w:rPr>
              <m:t xml:space="preserve"> </m:t>
            </m:r>
          </m:num>
          <m:den>
            <m:r>
              <m:rPr>
                <m:nor/>
              </m:rPr>
              <w:rPr>
                <w:rFonts w:cs="Times New Roman"/>
                <w:sz w:val="24"/>
                <w:szCs w:val="24"/>
              </w:rPr>
              <m:t>Abs. control</m:t>
            </m:r>
          </m:den>
        </m:f>
        <m:r>
          <m:rPr>
            <m:nor/>
          </m:rPr>
          <w:rPr>
            <w:rFonts w:cs="Times New Roman"/>
            <w:sz w:val="24"/>
            <w:szCs w:val="24"/>
          </w:rPr>
          <m:t xml:space="preserve"> </m:t>
        </m:r>
        <m:r>
          <m:rPr>
            <m:nor/>
          </m:rPr>
          <w:rPr>
            <w:rFonts w:cs="Times New Roman"/>
            <w:spacing w:val="-5"/>
            <w:sz w:val="24"/>
            <w:szCs w:val="24"/>
          </w:rPr>
          <m:t>x</m:t>
        </m:r>
        <m:r>
          <m:rPr>
            <m:nor/>
          </m:rPr>
          <w:rPr>
            <w:rFonts w:cs="Times New Roman"/>
            <w:sz w:val="24"/>
            <w:szCs w:val="24"/>
          </w:rPr>
          <m:t xml:space="preserve"> 100</m:t>
        </m:r>
      </m:oMath>
      <w:r w:rsidRPr="0011329B">
        <w:rPr>
          <w:rFonts w:cs="Times New Roman"/>
          <w:sz w:val="24"/>
          <w:szCs w:val="24"/>
        </w:rPr>
        <w:t xml:space="preserve">                      </w:t>
      </w:r>
      <w:r w:rsidR="008574F5" w:rsidRPr="0011329B">
        <w:rPr>
          <w:rFonts w:cs="Times New Roman"/>
          <w:sz w:val="24"/>
          <w:szCs w:val="24"/>
        </w:rPr>
        <w:t xml:space="preserve">                     </w:t>
      </w:r>
      <w:r w:rsidRPr="0011329B">
        <w:rPr>
          <w:rFonts w:cs="Times New Roman"/>
          <w:sz w:val="24"/>
          <w:szCs w:val="24"/>
        </w:rPr>
        <w:t xml:space="preserve">   (3)</w:t>
      </w:r>
    </w:p>
    <w:p w14:paraId="1226CA11" w14:textId="1A4EAD1D" w:rsidR="008F4997" w:rsidRPr="0011329B" w:rsidRDefault="00D11D3D" w:rsidP="00937D88">
      <w:pPr>
        <w:pStyle w:val="RSCB06BHeadingSub-Section"/>
        <w:numPr>
          <w:ilvl w:val="1"/>
          <w:numId w:val="2"/>
        </w:numPr>
        <w:spacing w:line="360" w:lineRule="auto"/>
        <w:rPr>
          <w:rFonts w:ascii="Times New Roman" w:hAnsi="Times New Roman" w:cs="Times New Roman"/>
          <w:sz w:val="24"/>
          <w:szCs w:val="24"/>
        </w:rPr>
      </w:pPr>
      <w:r w:rsidRPr="0011329B">
        <w:rPr>
          <w:rFonts w:ascii="Times New Roman" w:hAnsi="Times New Roman" w:cs="Times New Roman"/>
          <w:sz w:val="24"/>
          <w:szCs w:val="24"/>
        </w:rPr>
        <w:t xml:space="preserve"> </w:t>
      </w:r>
      <w:r w:rsidR="008F4997" w:rsidRPr="0011329B">
        <w:rPr>
          <w:rFonts w:ascii="Times New Roman" w:hAnsi="Times New Roman" w:cs="Times New Roman"/>
          <w:sz w:val="24"/>
          <w:szCs w:val="24"/>
        </w:rPr>
        <w:t xml:space="preserve">Characterisation techniques </w:t>
      </w:r>
    </w:p>
    <w:p w14:paraId="7522BB0D" w14:textId="41A0F288" w:rsidR="008F4997" w:rsidRPr="0011329B" w:rsidRDefault="008F4997" w:rsidP="00937D88">
      <w:pPr>
        <w:pStyle w:val="RSCB06BHeadingSub-Section"/>
        <w:numPr>
          <w:ilvl w:val="2"/>
          <w:numId w:val="2"/>
        </w:numPr>
        <w:spacing w:line="360" w:lineRule="auto"/>
        <w:rPr>
          <w:rFonts w:ascii="Times New Roman" w:hAnsi="Times New Roman" w:cs="Times New Roman"/>
          <w:sz w:val="24"/>
          <w:szCs w:val="24"/>
        </w:rPr>
      </w:pPr>
      <w:r w:rsidRPr="0011329B">
        <w:rPr>
          <w:rFonts w:ascii="Times New Roman" w:hAnsi="Times New Roman" w:cs="Times New Roman"/>
          <w:sz w:val="24"/>
          <w:szCs w:val="24"/>
        </w:rPr>
        <w:t>Scanning Electron Microscopy (SEM)</w:t>
      </w:r>
    </w:p>
    <w:p w14:paraId="506EC97F" w14:textId="5D218B8B" w:rsidR="008F4997" w:rsidRPr="0011329B" w:rsidRDefault="008F4997" w:rsidP="002F10E8">
      <w:pPr>
        <w:pStyle w:val="RSCB02ArticleText"/>
        <w:spacing w:line="360" w:lineRule="auto"/>
        <w:rPr>
          <w:rFonts w:ascii="Times New Roman" w:hAnsi="Times New Roman"/>
          <w:sz w:val="24"/>
          <w:szCs w:val="24"/>
        </w:rPr>
      </w:pPr>
      <w:r w:rsidRPr="0011329B">
        <w:rPr>
          <w:rFonts w:ascii="Times New Roman" w:hAnsi="Times New Roman"/>
          <w:sz w:val="24"/>
          <w:szCs w:val="24"/>
        </w:rPr>
        <w:t xml:space="preserve">The morphology of SDN sample was characterised with a </w:t>
      </w:r>
      <w:proofErr w:type="spellStart"/>
      <w:r w:rsidRPr="0011329B">
        <w:rPr>
          <w:rFonts w:ascii="Times New Roman" w:hAnsi="Times New Roman"/>
          <w:sz w:val="24"/>
          <w:szCs w:val="24"/>
        </w:rPr>
        <w:t>Tescan</w:t>
      </w:r>
      <w:proofErr w:type="spellEnd"/>
      <w:r w:rsidRPr="0011329B">
        <w:rPr>
          <w:rFonts w:ascii="Times New Roman" w:hAnsi="Times New Roman"/>
          <w:sz w:val="24"/>
          <w:szCs w:val="24"/>
        </w:rPr>
        <w:t xml:space="preserve"> FIB SEM S8000G. For FIB SEM S8000G, the samples were imaged in ultra-high vacuum at 5 kV. </w:t>
      </w:r>
      <w:r w:rsidR="003305A6" w:rsidRPr="0011329B">
        <w:rPr>
          <w:rFonts w:ascii="Times New Roman" w:hAnsi="Times New Roman"/>
          <w:sz w:val="24"/>
          <w:szCs w:val="24"/>
        </w:rPr>
        <w:t xml:space="preserve">The </w:t>
      </w:r>
      <w:r w:rsidRPr="0011329B">
        <w:rPr>
          <w:rFonts w:ascii="Times New Roman" w:hAnsi="Times New Roman"/>
          <w:sz w:val="24"/>
          <w:szCs w:val="24"/>
        </w:rPr>
        <w:t xml:space="preserve">SEM samples </w:t>
      </w:r>
      <w:r w:rsidR="003305A6" w:rsidRPr="0011329B">
        <w:rPr>
          <w:rFonts w:ascii="Times New Roman" w:hAnsi="Times New Roman"/>
          <w:sz w:val="24"/>
          <w:szCs w:val="24"/>
        </w:rPr>
        <w:t xml:space="preserve">was </w:t>
      </w:r>
      <w:r w:rsidRPr="0011329B">
        <w:rPr>
          <w:rFonts w:ascii="Times New Roman" w:hAnsi="Times New Roman"/>
          <w:sz w:val="24"/>
          <w:szCs w:val="24"/>
        </w:rPr>
        <w:t xml:space="preserve">prepared as follows; carbon tape was deposited on the aluminium stub followed by adding a glass slide. Then, each sample of </w:t>
      </w:r>
      <w:r w:rsidR="00714F4D" w:rsidRPr="0011329B">
        <w:rPr>
          <w:rFonts w:ascii="Times New Roman" w:hAnsi="Times New Roman"/>
          <w:sz w:val="24"/>
          <w:szCs w:val="24"/>
        </w:rPr>
        <w:t>freeze-dried formulation</w:t>
      </w:r>
      <w:r w:rsidRPr="0011329B">
        <w:rPr>
          <w:rFonts w:ascii="Times New Roman" w:hAnsi="Times New Roman"/>
          <w:sz w:val="24"/>
          <w:szCs w:val="24"/>
        </w:rPr>
        <w:t xml:space="preserve"> was dispersed in 1 ml water (1 mg/mL</w:t>
      </w:r>
      <w:r w:rsidR="001E7277" w:rsidRPr="0011329B">
        <w:rPr>
          <w:rFonts w:ascii="Times New Roman" w:hAnsi="Times New Roman"/>
          <w:sz w:val="24"/>
          <w:szCs w:val="24"/>
        </w:rPr>
        <w:t xml:space="preserve"> with regards to curcumin</w:t>
      </w:r>
      <w:r w:rsidRPr="0011329B">
        <w:rPr>
          <w:rFonts w:ascii="Times New Roman" w:hAnsi="Times New Roman"/>
          <w:sz w:val="24"/>
          <w:szCs w:val="24"/>
        </w:rPr>
        <w:t>)</w:t>
      </w:r>
      <w:r w:rsidR="00714F4D" w:rsidRPr="0011329B">
        <w:rPr>
          <w:rFonts w:ascii="Times New Roman" w:hAnsi="Times New Roman"/>
          <w:sz w:val="24"/>
          <w:szCs w:val="24"/>
        </w:rPr>
        <w:t xml:space="preserve"> to give a nanosuspension</w:t>
      </w:r>
      <w:r w:rsidRPr="0011329B">
        <w:rPr>
          <w:rFonts w:ascii="Times New Roman" w:hAnsi="Times New Roman"/>
          <w:sz w:val="24"/>
          <w:szCs w:val="24"/>
        </w:rPr>
        <w:t xml:space="preserve"> and a drop of each sample was added on the cover slide and subsequently dried in air. Afterwards, </w:t>
      </w:r>
      <w:r w:rsidR="003305A6" w:rsidRPr="0011329B">
        <w:rPr>
          <w:rFonts w:ascii="Times New Roman" w:hAnsi="Times New Roman"/>
          <w:sz w:val="24"/>
          <w:szCs w:val="24"/>
        </w:rPr>
        <w:t xml:space="preserve">each </w:t>
      </w:r>
      <w:r w:rsidRPr="0011329B">
        <w:rPr>
          <w:rFonts w:ascii="Times New Roman" w:hAnsi="Times New Roman"/>
          <w:sz w:val="24"/>
          <w:szCs w:val="24"/>
        </w:rPr>
        <w:t xml:space="preserve">sample </w:t>
      </w:r>
      <w:r w:rsidR="003305A6" w:rsidRPr="0011329B">
        <w:rPr>
          <w:rFonts w:ascii="Times New Roman" w:hAnsi="Times New Roman"/>
          <w:sz w:val="24"/>
          <w:szCs w:val="24"/>
        </w:rPr>
        <w:t xml:space="preserve">was </w:t>
      </w:r>
      <w:r w:rsidRPr="0011329B">
        <w:rPr>
          <w:rFonts w:ascii="Times New Roman" w:hAnsi="Times New Roman"/>
          <w:sz w:val="24"/>
          <w:szCs w:val="24"/>
        </w:rPr>
        <w:t>coated with a gold layer. The coating was performed using by Quorum Q150T ES using gold as a target with thickness 5-10 nm and 10 mA current for 30 seconds. High purity argon was used as sputter gas with pressure between 5x10</w:t>
      </w:r>
      <w:r w:rsidRPr="0011329B">
        <w:rPr>
          <w:rFonts w:ascii="Times New Roman" w:hAnsi="Times New Roman"/>
          <w:sz w:val="24"/>
          <w:szCs w:val="24"/>
          <w:vertAlign w:val="superscript"/>
        </w:rPr>
        <w:t>-1</w:t>
      </w:r>
      <w:r w:rsidRPr="0011329B">
        <w:rPr>
          <w:rFonts w:ascii="Times New Roman" w:hAnsi="Times New Roman"/>
          <w:sz w:val="24"/>
          <w:szCs w:val="24"/>
        </w:rPr>
        <w:t xml:space="preserve"> and 5x10</w:t>
      </w:r>
      <w:r w:rsidRPr="0011329B">
        <w:rPr>
          <w:rFonts w:ascii="Times New Roman" w:hAnsi="Times New Roman"/>
          <w:sz w:val="24"/>
          <w:szCs w:val="24"/>
          <w:vertAlign w:val="superscript"/>
        </w:rPr>
        <w:t>-3</w:t>
      </w:r>
      <w:r w:rsidRPr="0011329B">
        <w:rPr>
          <w:rFonts w:ascii="Times New Roman" w:hAnsi="Times New Roman"/>
          <w:sz w:val="24"/>
          <w:szCs w:val="24"/>
        </w:rPr>
        <w:t xml:space="preserve"> mbar and distance between the specimen and sample was around 100 mm.</w:t>
      </w:r>
    </w:p>
    <w:p w14:paraId="0086464F" w14:textId="5CC08095" w:rsidR="008964F9" w:rsidRPr="0011329B" w:rsidRDefault="008964F9" w:rsidP="002F10E8">
      <w:pPr>
        <w:pStyle w:val="RSCB02ArticleText"/>
        <w:spacing w:line="360" w:lineRule="auto"/>
        <w:rPr>
          <w:rFonts w:ascii="Times New Roman" w:hAnsi="Times New Roman"/>
          <w:sz w:val="24"/>
          <w:szCs w:val="24"/>
        </w:rPr>
      </w:pPr>
    </w:p>
    <w:p w14:paraId="4534FD01" w14:textId="77777777" w:rsidR="008F4997" w:rsidRPr="0011329B" w:rsidRDefault="008F4997" w:rsidP="002F10E8">
      <w:pPr>
        <w:pStyle w:val="RSCB02ArticleText"/>
        <w:spacing w:line="360" w:lineRule="auto"/>
        <w:rPr>
          <w:rFonts w:ascii="Times New Roman" w:hAnsi="Times New Roman"/>
          <w:sz w:val="24"/>
          <w:szCs w:val="24"/>
        </w:rPr>
      </w:pPr>
    </w:p>
    <w:p w14:paraId="1CDAF079" w14:textId="65FE4F23" w:rsidR="008F4997" w:rsidRPr="0011329B" w:rsidRDefault="008F4997" w:rsidP="00937D88">
      <w:pPr>
        <w:pStyle w:val="RSCB06BHeadingSub-Section"/>
        <w:numPr>
          <w:ilvl w:val="2"/>
          <w:numId w:val="2"/>
        </w:numPr>
        <w:spacing w:line="360" w:lineRule="auto"/>
        <w:rPr>
          <w:rFonts w:ascii="Times New Roman" w:hAnsi="Times New Roman" w:cs="Times New Roman"/>
          <w:i/>
          <w:sz w:val="24"/>
          <w:szCs w:val="24"/>
        </w:rPr>
      </w:pPr>
      <w:r w:rsidRPr="0011329B">
        <w:rPr>
          <w:rFonts w:ascii="Times New Roman" w:eastAsia="Calibri" w:hAnsi="Times New Roman" w:cs="Times New Roman"/>
          <w:sz w:val="24"/>
          <w:szCs w:val="24"/>
        </w:rPr>
        <w:t>Dynamic</w:t>
      </w:r>
      <w:r w:rsidRPr="0011329B">
        <w:rPr>
          <w:rFonts w:ascii="Times New Roman" w:hAnsi="Times New Roman" w:cs="Times New Roman"/>
          <w:sz w:val="24"/>
          <w:szCs w:val="24"/>
        </w:rPr>
        <w:t xml:space="preserve"> Light Scattering (DLS)</w:t>
      </w:r>
    </w:p>
    <w:p w14:paraId="16481505" w14:textId="7FB8A066" w:rsidR="008F4997" w:rsidRPr="0011329B" w:rsidRDefault="008F4997" w:rsidP="002F10E8">
      <w:pPr>
        <w:pStyle w:val="RSCB02ArticleText"/>
        <w:spacing w:line="360" w:lineRule="auto"/>
        <w:rPr>
          <w:rFonts w:ascii="Times New Roman" w:eastAsia="Calibri" w:hAnsi="Times New Roman"/>
          <w:sz w:val="24"/>
          <w:szCs w:val="24"/>
        </w:rPr>
      </w:pPr>
      <w:r w:rsidRPr="0011329B">
        <w:rPr>
          <w:rFonts w:ascii="Times New Roman" w:eastAsia="Calibri" w:hAnsi="Times New Roman"/>
          <w:sz w:val="24"/>
          <w:szCs w:val="24"/>
        </w:rPr>
        <w:t>The z-average diameter and zeta potential of</w:t>
      </w:r>
      <w:r w:rsidR="00714F4D" w:rsidRPr="0011329B">
        <w:rPr>
          <w:rFonts w:ascii="Times New Roman" w:eastAsia="Calibri" w:hAnsi="Times New Roman"/>
          <w:sz w:val="24"/>
          <w:szCs w:val="24"/>
        </w:rPr>
        <w:t xml:space="preserve"> the</w:t>
      </w:r>
      <w:r w:rsidRPr="0011329B">
        <w:rPr>
          <w:rFonts w:ascii="Times New Roman" w:eastAsia="Calibri" w:hAnsi="Times New Roman"/>
          <w:sz w:val="24"/>
          <w:szCs w:val="24"/>
        </w:rPr>
        <w:t xml:space="preserve"> </w:t>
      </w:r>
      <w:r w:rsidR="00714F4D" w:rsidRPr="0011329B">
        <w:rPr>
          <w:rFonts w:ascii="Times New Roman" w:eastAsia="Calibri" w:hAnsi="Times New Roman"/>
          <w:sz w:val="24"/>
          <w:szCs w:val="24"/>
        </w:rPr>
        <w:t>nanosuspensions</w:t>
      </w:r>
      <w:r w:rsidRPr="0011329B">
        <w:rPr>
          <w:rFonts w:ascii="Times New Roman" w:eastAsia="Calibri" w:hAnsi="Times New Roman"/>
          <w:sz w:val="24"/>
          <w:szCs w:val="24"/>
        </w:rPr>
        <w:t xml:space="preserve"> were measured using a Malvern Zetasizer ZS instrument. </w:t>
      </w:r>
      <w:r w:rsidRPr="0011329B">
        <w:rPr>
          <w:rFonts w:ascii="Times New Roman" w:hAnsi="Times New Roman"/>
          <w:sz w:val="24"/>
          <w:szCs w:val="24"/>
        </w:rPr>
        <w:t xml:space="preserve">Each sample </w:t>
      </w:r>
      <w:r w:rsidR="001E7277" w:rsidRPr="0011329B">
        <w:rPr>
          <w:rFonts w:ascii="Times New Roman" w:hAnsi="Times New Roman"/>
          <w:sz w:val="24"/>
          <w:szCs w:val="24"/>
        </w:rPr>
        <w:t xml:space="preserve">containing </w:t>
      </w:r>
      <w:r w:rsidRPr="0011329B">
        <w:rPr>
          <w:rFonts w:ascii="Times New Roman" w:hAnsi="Times New Roman"/>
          <w:sz w:val="24"/>
          <w:szCs w:val="24"/>
        </w:rPr>
        <w:t xml:space="preserve">of 1 mg of </w:t>
      </w:r>
      <w:r w:rsidR="001E7277" w:rsidRPr="0011329B">
        <w:rPr>
          <w:rFonts w:ascii="Times New Roman" w:eastAsia="Calibri" w:hAnsi="Times New Roman"/>
          <w:sz w:val="24"/>
          <w:szCs w:val="24"/>
        </w:rPr>
        <w:t xml:space="preserve">curcumin </w:t>
      </w:r>
      <w:r w:rsidR="001E7277" w:rsidRPr="0011329B">
        <w:rPr>
          <w:rFonts w:ascii="Times New Roman" w:hAnsi="Times New Roman"/>
          <w:sz w:val="24"/>
          <w:szCs w:val="24"/>
        </w:rPr>
        <w:t>was</w:t>
      </w:r>
      <w:r w:rsidRPr="0011329B">
        <w:rPr>
          <w:rFonts w:ascii="Times New Roman" w:hAnsi="Times New Roman"/>
          <w:sz w:val="24"/>
          <w:szCs w:val="24"/>
        </w:rPr>
        <w:t xml:space="preserve"> dispersed in 1 mL deionised water</w:t>
      </w:r>
      <w:r w:rsidR="001E7277" w:rsidRPr="0011329B">
        <w:rPr>
          <w:rFonts w:ascii="Times New Roman" w:hAnsi="Times New Roman"/>
          <w:sz w:val="24"/>
          <w:szCs w:val="24"/>
        </w:rPr>
        <w:t xml:space="preserve"> </w:t>
      </w:r>
      <w:r w:rsidR="001E7277" w:rsidRPr="0011329B">
        <w:rPr>
          <w:rFonts w:ascii="Times New Roman" w:eastAsia="Calibri" w:hAnsi="Times New Roman"/>
          <w:sz w:val="24"/>
          <w:szCs w:val="24"/>
        </w:rPr>
        <w:t xml:space="preserve">at 25 </w:t>
      </w:r>
      <w:r w:rsidR="001E7277" w:rsidRPr="0011329B">
        <w:rPr>
          <w:rFonts w:ascii="Times New Roman" w:hAnsi="Times New Roman"/>
          <w:sz w:val="24"/>
          <w:szCs w:val="24"/>
          <w:shd w:val="clear" w:color="auto" w:fill="FFFFFF"/>
        </w:rPr>
        <w:t>°</w:t>
      </w:r>
      <w:r w:rsidR="001E7277" w:rsidRPr="0011329B">
        <w:rPr>
          <w:rFonts w:ascii="Times New Roman" w:eastAsia="Calibri" w:hAnsi="Times New Roman"/>
          <w:sz w:val="24"/>
          <w:szCs w:val="24"/>
        </w:rPr>
        <w:t xml:space="preserve">C. </w:t>
      </w:r>
      <w:r w:rsidRPr="0011329B">
        <w:rPr>
          <w:rFonts w:ascii="Times New Roman" w:eastAsia="Calibri" w:hAnsi="Times New Roman"/>
          <w:sz w:val="24"/>
          <w:szCs w:val="24"/>
        </w:rPr>
        <w:t>The zeta potential measurement was performed with Malvern Zetasizer Nano ZS by adding 1 mL of each sample in a disposable folded capillary cell using automatic measurement optimi</w:t>
      </w:r>
      <w:r w:rsidR="00766D90" w:rsidRPr="0011329B">
        <w:rPr>
          <w:rFonts w:ascii="Times New Roman" w:eastAsia="Calibri" w:hAnsi="Times New Roman"/>
          <w:sz w:val="24"/>
          <w:szCs w:val="24"/>
        </w:rPr>
        <w:t>z</w:t>
      </w:r>
      <w:r w:rsidRPr="0011329B">
        <w:rPr>
          <w:rFonts w:ascii="Times New Roman" w:eastAsia="Calibri" w:hAnsi="Times New Roman"/>
          <w:sz w:val="24"/>
          <w:szCs w:val="24"/>
        </w:rPr>
        <w:t xml:space="preserve">ation. Both DLS and zeta potential </w:t>
      </w:r>
      <w:r w:rsidRPr="0011329B">
        <w:rPr>
          <w:rFonts w:ascii="Times New Roman" w:eastAsia="Calibri" w:hAnsi="Times New Roman"/>
          <w:sz w:val="24"/>
          <w:szCs w:val="24"/>
        </w:rPr>
        <w:lastRenderedPageBreak/>
        <w:t>measurements used Malvern Zetasizer software version 7.11 for analysis</w:t>
      </w:r>
      <w:r w:rsidR="001E7277" w:rsidRPr="0011329B">
        <w:rPr>
          <w:rFonts w:ascii="Times New Roman" w:eastAsia="Calibri" w:hAnsi="Times New Roman"/>
          <w:sz w:val="24"/>
          <w:szCs w:val="24"/>
        </w:rPr>
        <w:t>, with each sample was analysed in and the results averaged.</w:t>
      </w:r>
      <w:r w:rsidR="003305A6" w:rsidRPr="0011329B">
        <w:rPr>
          <w:rFonts w:ascii="Times New Roman" w:eastAsia="Calibri" w:hAnsi="Times New Roman"/>
          <w:sz w:val="24"/>
          <w:szCs w:val="24"/>
        </w:rPr>
        <w:t xml:space="preserve"> </w:t>
      </w:r>
    </w:p>
    <w:p w14:paraId="665B2A18" w14:textId="77777777" w:rsidR="008F4997" w:rsidRPr="0011329B" w:rsidRDefault="008F4997" w:rsidP="002F10E8">
      <w:pPr>
        <w:pStyle w:val="RSCB02ArticleText"/>
        <w:spacing w:line="360" w:lineRule="auto"/>
        <w:rPr>
          <w:rFonts w:ascii="Times New Roman" w:eastAsia="Calibri" w:hAnsi="Times New Roman"/>
          <w:sz w:val="24"/>
          <w:szCs w:val="24"/>
        </w:rPr>
      </w:pPr>
    </w:p>
    <w:p w14:paraId="526ACD49" w14:textId="75B73178" w:rsidR="008F4997" w:rsidRPr="0011329B" w:rsidRDefault="008F4997" w:rsidP="00937D88">
      <w:pPr>
        <w:pStyle w:val="RSCB06BHeadingSub-Section"/>
        <w:numPr>
          <w:ilvl w:val="2"/>
          <w:numId w:val="2"/>
        </w:numPr>
        <w:spacing w:line="360" w:lineRule="auto"/>
        <w:rPr>
          <w:rFonts w:ascii="Times New Roman" w:hAnsi="Times New Roman" w:cs="Times New Roman"/>
          <w:sz w:val="24"/>
          <w:szCs w:val="24"/>
        </w:rPr>
      </w:pPr>
      <w:r w:rsidRPr="0011329B">
        <w:rPr>
          <w:rFonts w:ascii="Times New Roman" w:hAnsi="Times New Roman" w:cs="Times New Roman"/>
          <w:sz w:val="24"/>
          <w:szCs w:val="24"/>
        </w:rPr>
        <w:t>High Performance Liquid Chromatography (HPLC)</w:t>
      </w:r>
    </w:p>
    <w:p w14:paraId="665238F1" w14:textId="7467C755" w:rsidR="008F4997" w:rsidRPr="0011329B" w:rsidRDefault="001E7277" w:rsidP="002F10E8">
      <w:pPr>
        <w:pStyle w:val="RSCB02ArticleText"/>
        <w:spacing w:line="360" w:lineRule="auto"/>
        <w:rPr>
          <w:rFonts w:ascii="Times New Roman" w:hAnsi="Times New Roman"/>
          <w:sz w:val="24"/>
          <w:szCs w:val="24"/>
          <w:shd w:val="clear" w:color="auto" w:fill="FFFFFF"/>
        </w:rPr>
      </w:pPr>
      <w:r w:rsidRPr="0011329B">
        <w:rPr>
          <w:rFonts w:ascii="Times New Roman" w:hAnsi="Times New Roman"/>
          <w:sz w:val="24"/>
          <w:szCs w:val="24"/>
          <w:shd w:val="clear" w:color="auto" w:fill="FFFFFF"/>
        </w:rPr>
        <w:t xml:space="preserve">The </w:t>
      </w:r>
      <w:r w:rsidR="00D11D3D" w:rsidRPr="0011329B">
        <w:rPr>
          <w:rFonts w:ascii="Times New Roman" w:hAnsi="Times New Roman"/>
          <w:sz w:val="24"/>
          <w:szCs w:val="24"/>
          <w:shd w:val="clear" w:color="auto" w:fill="FFFFFF"/>
        </w:rPr>
        <w:t>chemical stability</w:t>
      </w:r>
      <w:r w:rsidRPr="0011329B">
        <w:rPr>
          <w:rFonts w:ascii="Times New Roman" w:hAnsi="Times New Roman"/>
          <w:sz w:val="24"/>
          <w:szCs w:val="24"/>
          <w:shd w:val="clear" w:color="auto" w:fill="FFFFFF"/>
        </w:rPr>
        <w:t xml:space="preserve"> of curcumin</w:t>
      </w:r>
      <w:r w:rsidR="00D11D3D" w:rsidRPr="0011329B">
        <w:rPr>
          <w:rFonts w:ascii="Times New Roman" w:hAnsi="Times New Roman"/>
          <w:sz w:val="24"/>
          <w:szCs w:val="24"/>
          <w:shd w:val="clear" w:color="auto" w:fill="FFFFFF"/>
        </w:rPr>
        <w:t xml:space="preserve"> and </w:t>
      </w:r>
      <w:r w:rsidR="00D11D3D" w:rsidRPr="0011329B">
        <w:rPr>
          <w:rFonts w:ascii="Times New Roman" w:hAnsi="Times New Roman"/>
          <w:i/>
          <w:iCs/>
          <w:sz w:val="24"/>
          <w:szCs w:val="24"/>
          <w:shd w:val="clear" w:color="auto" w:fill="FFFFFF"/>
        </w:rPr>
        <w:t>in-vitro</w:t>
      </w:r>
      <w:r w:rsidR="00D11D3D" w:rsidRPr="0011329B">
        <w:rPr>
          <w:rFonts w:ascii="Times New Roman" w:hAnsi="Times New Roman"/>
          <w:sz w:val="24"/>
          <w:szCs w:val="24"/>
          <w:shd w:val="clear" w:color="auto" w:fill="FFFFFF"/>
        </w:rPr>
        <w:t xml:space="preserve"> bioaccessibility</w:t>
      </w:r>
      <w:r w:rsidRPr="0011329B">
        <w:rPr>
          <w:rFonts w:ascii="Times New Roman" w:hAnsi="Times New Roman"/>
          <w:sz w:val="24"/>
          <w:szCs w:val="24"/>
          <w:shd w:val="clear" w:color="auto" w:fill="FFFFFF"/>
        </w:rPr>
        <w:t xml:space="preserve"> experiment</w:t>
      </w:r>
      <w:r w:rsidR="00D11D3D" w:rsidRPr="0011329B">
        <w:rPr>
          <w:rFonts w:ascii="Times New Roman" w:hAnsi="Times New Roman"/>
          <w:sz w:val="24"/>
          <w:szCs w:val="24"/>
          <w:shd w:val="clear" w:color="auto" w:fill="FFFFFF"/>
        </w:rPr>
        <w:t xml:space="preserve"> were determined by HPLC.  A</w:t>
      </w:r>
      <w:r w:rsidR="008F4997" w:rsidRPr="0011329B">
        <w:rPr>
          <w:rFonts w:ascii="Times New Roman" w:hAnsi="Times New Roman"/>
          <w:sz w:val="24"/>
          <w:szCs w:val="24"/>
          <w:shd w:val="clear" w:color="auto" w:fill="FFFFFF"/>
        </w:rPr>
        <w:t xml:space="preserve"> HPLC system </w:t>
      </w:r>
      <w:r w:rsidR="008F4997" w:rsidRPr="0011329B">
        <w:rPr>
          <w:rFonts w:ascii="Times New Roman" w:hAnsi="Times New Roman"/>
          <w:spacing w:val="-5"/>
          <w:sz w:val="24"/>
          <w:szCs w:val="24"/>
        </w:rPr>
        <w:t>(</w:t>
      </w:r>
      <w:r w:rsidR="00D11D3D" w:rsidRPr="0011329B">
        <w:rPr>
          <w:rFonts w:ascii="Times New Roman" w:hAnsi="Times New Roman"/>
          <w:spacing w:val="-5"/>
          <w:sz w:val="24"/>
          <w:szCs w:val="24"/>
        </w:rPr>
        <w:t xml:space="preserve">1260 </w:t>
      </w:r>
      <w:r w:rsidR="008F4997" w:rsidRPr="0011329B">
        <w:rPr>
          <w:rFonts w:ascii="Times New Roman" w:hAnsi="Times New Roman"/>
          <w:spacing w:val="-5"/>
          <w:sz w:val="24"/>
          <w:szCs w:val="24"/>
        </w:rPr>
        <w:t xml:space="preserve">Agilent Technologies, Santa Clara, CA, USA) </w:t>
      </w:r>
      <w:r w:rsidR="008F4997" w:rsidRPr="0011329B">
        <w:rPr>
          <w:rFonts w:ascii="Times New Roman" w:hAnsi="Times New Roman"/>
          <w:sz w:val="24"/>
          <w:szCs w:val="24"/>
          <w:shd w:val="clear" w:color="auto" w:fill="FFFFFF"/>
        </w:rPr>
        <w:t>equipped with a pump and an ultraviolet-visible spectroscopy detector at 425 nm was used</w:t>
      </w:r>
      <w:r w:rsidR="00D11D3D" w:rsidRPr="0011329B">
        <w:rPr>
          <w:rFonts w:ascii="Times New Roman" w:hAnsi="Times New Roman"/>
          <w:sz w:val="24"/>
          <w:szCs w:val="24"/>
          <w:shd w:val="clear" w:color="auto" w:fill="FFFFFF"/>
        </w:rPr>
        <w:t>.</w:t>
      </w:r>
      <w:r w:rsidR="008F4997" w:rsidRPr="0011329B">
        <w:rPr>
          <w:rFonts w:ascii="Times New Roman" w:hAnsi="Times New Roman"/>
          <w:sz w:val="24"/>
          <w:szCs w:val="24"/>
          <w:shd w:val="clear" w:color="auto" w:fill="FFFFFF"/>
        </w:rPr>
        <w:t xml:space="preserve"> The mobile phase was a mixture of 0.1% formic acid and acetonitrile at a ratio of 1:1, the flow rate was 1 mL/</w:t>
      </w:r>
      <w:r w:rsidR="008574F5" w:rsidRPr="0011329B">
        <w:rPr>
          <w:rFonts w:ascii="Times New Roman" w:hAnsi="Times New Roman"/>
          <w:sz w:val="24"/>
          <w:szCs w:val="24"/>
          <w:shd w:val="clear" w:color="auto" w:fill="FFFFFF"/>
        </w:rPr>
        <w:t>min,</w:t>
      </w:r>
      <w:r w:rsidR="008F4997" w:rsidRPr="0011329B">
        <w:rPr>
          <w:rFonts w:ascii="Times New Roman" w:hAnsi="Times New Roman"/>
          <w:sz w:val="24"/>
          <w:szCs w:val="24"/>
          <w:shd w:val="clear" w:color="auto" w:fill="FFFFFF"/>
        </w:rPr>
        <w:t xml:space="preserve"> and the run time was 15 minutes. A ZORBAX C18 column (</w:t>
      </w:r>
      <w:proofErr w:type="spellStart"/>
      <w:r w:rsidR="008F4997" w:rsidRPr="0011329B">
        <w:rPr>
          <w:rFonts w:ascii="Times New Roman" w:hAnsi="Times New Roman"/>
          <w:sz w:val="24"/>
          <w:szCs w:val="24"/>
          <w:shd w:val="clear" w:color="auto" w:fill="FFFFFF"/>
        </w:rPr>
        <w:t>Stablebond</w:t>
      </w:r>
      <w:proofErr w:type="spellEnd"/>
      <w:r w:rsidR="008F4997" w:rsidRPr="0011329B">
        <w:rPr>
          <w:rFonts w:ascii="Times New Roman" w:hAnsi="Times New Roman"/>
          <w:sz w:val="24"/>
          <w:szCs w:val="24"/>
          <w:shd w:val="clear" w:color="auto" w:fill="FFFFFF"/>
        </w:rPr>
        <w:t xml:space="preserve"> Analytical, C18 4.6 x 250 mm) was </w:t>
      </w:r>
      <w:r w:rsidR="008574F5" w:rsidRPr="0011329B">
        <w:rPr>
          <w:rFonts w:ascii="Times New Roman" w:hAnsi="Times New Roman"/>
          <w:sz w:val="24"/>
          <w:szCs w:val="24"/>
          <w:shd w:val="clear" w:color="auto" w:fill="FFFFFF"/>
        </w:rPr>
        <w:t>used,</w:t>
      </w:r>
      <w:r w:rsidR="008F4997" w:rsidRPr="0011329B">
        <w:rPr>
          <w:rFonts w:ascii="Times New Roman" w:hAnsi="Times New Roman"/>
          <w:sz w:val="24"/>
          <w:szCs w:val="24"/>
          <w:shd w:val="clear" w:color="auto" w:fill="FFFFFF"/>
        </w:rPr>
        <w:t xml:space="preserve"> and the injection volume was 20 </w:t>
      </w:r>
      <w:r w:rsidR="008F4997" w:rsidRPr="0011329B">
        <w:rPr>
          <w:rFonts w:ascii="Times New Roman" w:hAnsi="Times New Roman"/>
          <w:sz w:val="24"/>
          <w:szCs w:val="24"/>
          <w:lang w:eastAsia="en-GB"/>
        </w:rPr>
        <w:t>µ</w:t>
      </w:r>
      <w:r w:rsidR="0086258B" w:rsidRPr="0011329B">
        <w:rPr>
          <w:rFonts w:ascii="Times New Roman" w:hAnsi="Times New Roman"/>
          <w:sz w:val="24"/>
          <w:szCs w:val="24"/>
          <w:lang w:eastAsia="en-GB"/>
        </w:rPr>
        <w:t>L</w:t>
      </w:r>
      <w:r w:rsidR="008F4997" w:rsidRPr="0011329B">
        <w:rPr>
          <w:rFonts w:ascii="Times New Roman" w:hAnsi="Times New Roman"/>
          <w:sz w:val="24"/>
          <w:szCs w:val="24"/>
          <w:lang w:eastAsia="en-GB"/>
        </w:rPr>
        <w:t>.</w:t>
      </w:r>
      <w:r w:rsidR="008F4997" w:rsidRPr="0011329B">
        <w:rPr>
          <w:rFonts w:ascii="Times New Roman" w:hAnsi="Times New Roman"/>
          <w:sz w:val="24"/>
          <w:szCs w:val="24"/>
          <w:shd w:val="clear" w:color="auto" w:fill="FFFFFF"/>
        </w:rPr>
        <w:t xml:space="preserve"> </w:t>
      </w:r>
      <w:r w:rsidR="00D11D3D" w:rsidRPr="0011329B">
        <w:rPr>
          <w:rFonts w:ascii="Times New Roman" w:hAnsi="Times New Roman"/>
          <w:sz w:val="24"/>
          <w:szCs w:val="24"/>
          <w:shd w:val="clear" w:color="auto" w:fill="FFFFFF"/>
        </w:rPr>
        <w:t>A calibration curve was prepared using d</w:t>
      </w:r>
      <w:r w:rsidR="00D11D3D" w:rsidRPr="0011329B">
        <w:rPr>
          <w:rFonts w:ascii="Times New Roman" w:hAnsi="Times New Roman"/>
          <w:bCs/>
          <w:sz w:val="24"/>
          <w:szCs w:val="36"/>
          <w:lang w:eastAsia="en-GB"/>
        </w:rPr>
        <w:t>ifferent masses of curcumin (1.25, 2.5, 5, 10, 12.5, 25, and 50 µg) dissolved in a mixture of acetonitrile and PBS (1:1 with regards to volume). The curcumin purity was analysed</w:t>
      </w:r>
      <w:r w:rsidR="00412E36" w:rsidRPr="0011329B">
        <w:rPr>
          <w:rFonts w:ascii="Times New Roman" w:hAnsi="Times New Roman"/>
          <w:bCs/>
          <w:sz w:val="24"/>
          <w:szCs w:val="36"/>
          <w:lang w:eastAsia="en-GB"/>
        </w:rPr>
        <w:t xml:space="preserve"> and is shown in</w:t>
      </w:r>
      <w:r w:rsidR="00D11D3D" w:rsidRPr="0011329B">
        <w:rPr>
          <w:rFonts w:ascii="Times New Roman" w:hAnsi="Times New Roman"/>
          <w:sz w:val="24"/>
          <w:szCs w:val="24"/>
          <w:shd w:val="clear" w:color="auto" w:fill="FFFFFF"/>
        </w:rPr>
        <w:t xml:space="preserve"> Fig. S1</w:t>
      </w:r>
      <w:r w:rsidR="00412E36" w:rsidRPr="0011329B">
        <w:rPr>
          <w:rFonts w:ascii="Times New Roman" w:hAnsi="Times New Roman"/>
          <w:sz w:val="24"/>
          <w:szCs w:val="24"/>
          <w:shd w:val="clear" w:color="auto" w:fill="FFFFFF"/>
        </w:rPr>
        <w:t>,</w:t>
      </w:r>
      <w:r w:rsidR="00D11D3D" w:rsidRPr="0011329B">
        <w:rPr>
          <w:rFonts w:ascii="Times New Roman" w:hAnsi="Times New Roman"/>
          <w:sz w:val="24"/>
          <w:szCs w:val="24"/>
          <w:shd w:val="clear" w:color="auto" w:fill="FFFFFF"/>
        </w:rPr>
        <w:t xml:space="preserve"> the </w:t>
      </w:r>
      <w:r w:rsidR="00DC2BC4" w:rsidRPr="0011329B">
        <w:rPr>
          <w:rFonts w:ascii="Times New Roman" w:hAnsi="Times New Roman"/>
          <w:sz w:val="24"/>
          <w:szCs w:val="24"/>
          <w:shd w:val="clear" w:color="auto" w:fill="FFFFFF"/>
        </w:rPr>
        <w:t>calibration curve is shown in</w:t>
      </w:r>
      <w:r w:rsidR="00D11D3D" w:rsidRPr="0011329B">
        <w:rPr>
          <w:rFonts w:ascii="Times New Roman" w:hAnsi="Times New Roman"/>
          <w:sz w:val="24"/>
          <w:szCs w:val="24"/>
          <w:shd w:val="clear" w:color="auto" w:fill="FFFFFF"/>
        </w:rPr>
        <w:t xml:space="preserve"> Fig. S2.</w:t>
      </w:r>
    </w:p>
    <w:p w14:paraId="7B5F6411" w14:textId="77777777" w:rsidR="008F4997" w:rsidRPr="0011329B" w:rsidRDefault="008F4997" w:rsidP="002F10E8">
      <w:pPr>
        <w:pStyle w:val="RSCB02ArticleText"/>
        <w:spacing w:line="360" w:lineRule="auto"/>
        <w:rPr>
          <w:rFonts w:ascii="Times New Roman" w:hAnsi="Times New Roman"/>
          <w:sz w:val="24"/>
          <w:szCs w:val="24"/>
          <w:shd w:val="clear" w:color="auto" w:fill="FFFFFF"/>
        </w:rPr>
      </w:pPr>
    </w:p>
    <w:p w14:paraId="158EDD4F" w14:textId="2A8DB2CB" w:rsidR="008F4997" w:rsidRPr="0011329B" w:rsidRDefault="008F4997" w:rsidP="00F82FDC">
      <w:pPr>
        <w:pStyle w:val="RSCB06BHeadingSub-Section"/>
        <w:numPr>
          <w:ilvl w:val="2"/>
          <w:numId w:val="2"/>
        </w:numPr>
        <w:spacing w:line="360" w:lineRule="auto"/>
        <w:rPr>
          <w:rFonts w:ascii="Times New Roman" w:hAnsi="Times New Roman" w:cs="Times New Roman"/>
          <w:sz w:val="24"/>
          <w:szCs w:val="24"/>
        </w:rPr>
      </w:pPr>
      <w:r w:rsidRPr="0011329B">
        <w:rPr>
          <w:rFonts w:ascii="Times New Roman" w:hAnsi="Times New Roman" w:cs="Times New Roman"/>
          <w:sz w:val="24"/>
          <w:szCs w:val="24"/>
          <w:shd w:val="clear" w:color="auto" w:fill="FFFFFF"/>
        </w:rPr>
        <w:t>Fourier-transform Infrared (FTIR) Spectroscopy</w:t>
      </w:r>
    </w:p>
    <w:p w14:paraId="24CCE05D" w14:textId="22552D45" w:rsidR="008F4997" w:rsidRPr="0011329B" w:rsidRDefault="008F4997" w:rsidP="002F10E8">
      <w:pPr>
        <w:pStyle w:val="RSCB02ArticleText"/>
        <w:spacing w:line="360" w:lineRule="auto"/>
        <w:rPr>
          <w:rFonts w:ascii="Times New Roman" w:hAnsi="Times New Roman"/>
          <w:sz w:val="24"/>
          <w:szCs w:val="24"/>
        </w:rPr>
      </w:pPr>
      <w:r w:rsidRPr="0011329B">
        <w:rPr>
          <w:rFonts w:ascii="Times New Roman" w:hAnsi="Times New Roman"/>
          <w:sz w:val="24"/>
          <w:szCs w:val="24"/>
        </w:rPr>
        <w:t xml:space="preserve">The chemical composition of curcumin </w:t>
      </w:r>
      <w:r w:rsidR="004C3492" w:rsidRPr="0011329B">
        <w:rPr>
          <w:rFonts w:ascii="Times New Roman" w:hAnsi="Times New Roman"/>
          <w:sz w:val="24"/>
          <w:szCs w:val="24"/>
        </w:rPr>
        <w:t xml:space="preserve">nanosuspensions </w:t>
      </w:r>
      <w:r w:rsidRPr="0011329B">
        <w:rPr>
          <w:rFonts w:ascii="Times New Roman" w:hAnsi="Times New Roman"/>
          <w:sz w:val="24"/>
          <w:szCs w:val="24"/>
        </w:rPr>
        <w:t>was investigated using FTIR spectroscopy (VERTEX 70, Bruker, USA). Spectra were obtained between 400-4000 cm</w:t>
      </w:r>
      <w:r w:rsidRPr="0011329B">
        <w:rPr>
          <w:rFonts w:ascii="Times New Roman" w:hAnsi="Times New Roman"/>
          <w:sz w:val="24"/>
          <w:szCs w:val="24"/>
          <w:vertAlign w:val="superscript"/>
        </w:rPr>
        <w:t xml:space="preserve">-1 </w:t>
      </w:r>
      <w:r w:rsidRPr="0011329B">
        <w:rPr>
          <w:rFonts w:ascii="Times New Roman" w:hAnsi="Times New Roman"/>
          <w:sz w:val="24"/>
          <w:szCs w:val="24"/>
        </w:rPr>
        <w:t>with a resolution of 4 cm</w:t>
      </w:r>
      <w:r w:rsidRPr="0011329B">
        <w:rPr>
          <w:rFonts w:ascii="Times New Roman" w:hAnsi="Times New Roman"/>
          <w:sz w:val="24"/>
          <w:szCs w:val="24"/>
          <w:vertAlign w:val="superscript"/>
        </w:rPr>
        <w:t>-1</w:t>
      </w:r>
      <w:r w:rsidRPr="0011329B">
        <w:rPr>
          <w:rFonts w:ascii="Times New Roman" w:hAnsi="Times New Roman"/>
          <w:sz w:val="24"/>
          <w:szCs w:val="24"/>
        </w:rPr>
        <w:t xml:space="preserve"> and an average of 16 scans.  Each sample including curcumin, PEG, and</w:t>
      </w:r>
      <w:r w:rsidR="00B00E6E" w:rsidRPr="0011329B">
        <w:rPr>
          <w:rFonts w:ascii="Times New Roman" w:hAnsi="Times New Roman"/>
          <w:sz w:val="24"/>
          <w:szCs w:val="24"/>
        </w:rPr>
        <w:t xml:space="preserve"> the</w:t>
      </w:r>
      <w:r w:rsidRPr="0011329B">
        <w:rPr>
          <w:rFonts w:ascii="Times New Roman" w:hAnsi="Times New Roman"/>
          <w:sz w:val="24"/>
          <w:szCs w:val="24"/>
        </w:rPr>
        <w:t xml:space="preserve"> curcumin</w:t>
      </w:r>
      <w:r w:rsidR="006869D4" w:rsidRPr="0011329B">
        <w:rPr>
          <w:rFonts w:ascii="Times New Roman" w:hAnsi="Times New Roman"/>
          <w:sz w:val="24"/>
          <w:szCs w:val="24"/>
        </w:rPr>
        <w:t xml:space="preserve"> </w:t>
      </w:r>
      <w:r w:rsidR="00B00E6E" w:rsidRPr="0011329B">
        <w:rPr>
          <w:rFonts w:ascii="Times New Roman" w:hAnsi="Times New Roman"/>
          <w:sz w:val="24"/>
          <w:szCs w:val="24"/>
        </w:rPr>
        <w:t>nanosuspension formulation</w:t>
      </w:r>
      <w:r w:rsidRPr="0011329B">
        <w:rPr>
          <w:rFonts w:ascii="Times New Roman" w:hAnsi="Times New Roman"/>
          <w:sz w:val="24"/>
          <w:szCs w:val="24"/>
        </w:rPr>
        <w:t xml:space="preserve"> w</w:t>
      </w:r>
      <w:r w:rsidR="00B00E6E" w:rsidRPr="0011329B">
        <w:rPr>
          <w:rFonts w:ascii="Times New Roman" w:hAnsi="Times New Roman"/>
          <w:sz w:val="24"/>
          <w:szCs w:val="24"/>
        </w:rPr>
        <w:t>ere</w:t>
      </w:r>
      <w:r w:rsidRPr="0011329B">
        <w:rPr>
          <w:rFonts w:ascii="Times New Roman" w:hAnsi="Times New Roman"/>
          <w:sz w:val="24"/>
          <w:szCs w:val="24"/>
        </w:rPr>
        <w:t xml:space="preserve"> measured as powders at 25 °C.</w:t>
      </w:r>
    </w:p>
    <w:p w14:paraId="62C82042" w14:textId="1F2E72A3" w:rsidR="008F4997" w:rsidRPr="0011329B" w:rsidRDefault="008F4997" w:rsidP="00F82FDC">
      <w:pPr>
        <w:pStyle w:val="RSCB04AHeadingSection"/>
        <w:numPr>
          <w:ilvl w:val="0"/>
          <w:numId w:val="2"/>
        </w:numPr>
        <w:spacing w:line="360" w:lineRule="auto"/>
        <w:rPr>
          <w:rFonts w:ascii="Times New Roman" w:hAnsi="Times New Roman" w:cs="Times New Roman"/>
          <w:sz w:val="28"/>
          <w:szCs w:val="28"/>
        </w:rPr>
      </w:pPr>
      <w:r w:rsidRPr="0011329B">
        <w:rPr>
          <w:rFonts w:ascii="Times New Roman" w:hAnsi="Times New Roman" w:cs="Times New Roman"/>
          <w:sz w:val="28"/>
          <w:szCs w:val="28"/>
        </w:rPr>
        <w:t xml:space="preserve">Results and Discussion </w:t>
      </w:r>
    </w:p>
    <w:p w14:paraId="328A60F7" w14:textId="6FEC2D89" w:rsidR="008F4997" w:rsidRPr="0011329B" w:rsidRDefault="00937D88" w:rsidP="002F10E8">
      <w:pPr>
        <w:pStyle w:val="RSCB06BHeadingSub-Section"/>
        <w:spacing w:line="360" w:lineRule="auto"/>
        <w:rPr>
          <w:rFonts w:ascii="Times New Roman" w:hAnsi="Times New Roman" w:cs="Times New Roman"/>
          <w:sz w:val="24"/>
          <w:szCs w:val="24"/>
        </w:rPr>
      </w:pPr>
      <w:r w:rsidRPr="0011329B">
        <w:rPr>
          <w:rFonts w:ascii="Times New Roman" w:hAnsi="Times New Roman" w:cs="Times New Roman"/>
          <w:sz w:val="24"/>
          <w:szCs w:val="24"/>
        </w:rPr>
        <w:t xml:space="preserve">3.1. </w:t>
      </w:r>
      <w:r w:rsidR="00766D90" w:rsidRPr="0011329B">
        <w:rPr>
          <w:rFonts w:ascii="Times New Roman" w:hAnsi="Times New Roman" w:cs="Times New Roman"/>
          <w:sz w:val="24"/>
          <w:szCs w:val="24"/>
        </w:rPr>
        <w:t xml:space="preserve">Investigating </w:t>
      </w:r>
      <w:r w:rsidR="001E7277" w:rsidRPr="0011329B">
        <w:rPr>
          <w:rFonts w:ascii="Times New Roman" w:hAnsi="Times New Roman" w:cs="Times New Roman"/>
          <w:sz w:val="24"/>
          <w:szCs w:val="24"/>
        </w:rPr>
        <w:t>e</w:t>
      </w:r>
      <w:r w:rsidR="008F4997" w:rsidRPr="0011329B">
        <w:rPr>
          <w:rFonts w:ascii="Times New Roman" w:hAnsi="Times New Roman" w:cs="Times New Roman"/>
          <w:sz w:val="24"/>
          <w:szCs w:val="24"/>
        </w:rPr>
        <w:t xml:space="preserve">mulsion-templated freeze-drying technique for the formation of curcumin </w:t>
      </w:r>
      <w:r w:rsidR="00766D90" w:rsidRPr="0011329B">
        <w:rPr>
          <w:rFonts w:ascii="Times New Roman" w:hAnsi="Times New Roman" w:cs="Times New Roman"/>
          <w:sz w:val="24"/>
          <w:szCs w:val="24"/>
        </w:rPr>
        <w:t>nanosuspensions</w:t>
      </w:r>
    </w:p>
    <w:p w14:paraId="01B6A72C" w14:textId="0D610370" w:rsidR="008F4997" w:rsidRPr="0011329B" w:rsidRDefault="008F4997" w:rsidP="002F10E8">
      <w:pPr>
        <w:pStyle w:val="RSCB02ArticleText"/>
        <w:spacing w:line="360" w:lineRule="auto"/>
        <w:rPr>
          <w:rFonts w:ascii="Times New Roman" w:hAnsi="Times New Roman"/>
          <w:sz w:val="24"/>
          <w:szCs w:val="24"/>
          <w:shd w:val="clear" w:color="auto" w:fill="FFFFFF"/>
        </w:rPr>
      </w:pPr>
      <w:r w:rsidRPr="0011329B">
        <w:rPr>
          <w:rFonts w:ascii="Times New Roman" w:hAnsi="Times New Roman"/>
          <w:sz w:val="24"/>
          <w:szCs w:val="24"/>
          <w:shd w:val="clear" w:color="auto" w:fill="FFFFFF"/>
        </w:rPr>
        <w:t xml:space="preserve">Curcumin </w:t>
      </w:r>
      <w:r w:rsidR="00766D90" w:rsidRPr="0011329B">
        <w:rPr>
          <w:rFonts w:ascii="Times New Roman" w:hAnsi="Times New Roman"/>
          <w:sz w:val="24"/>
          <w:szCs w:val="24"/>
          <w:shd w:val="clear" w:color="auto" w:fill="FFFFFF"/>
        </w:rPr>
        <w:t>nanosuspensions</w:t>
      </w:r>
      <w:r w:rsidRPr="0011329B">
        <w:rPr>
          <w:rFonts w:ascii="Times New Roman" w:hAnsi="Times New Roman"/>
          <w:sz w:val="24"/>
          <w:szCs w:val="24"/>
          <w:shd w:val="clear" w:color="auto" w:fill="FFFFFF"/>
        </w:rPr>
        <w:t xml:space="preserve"> were prepared using an emulsion-templated freeze-drying technique. The </w:t>
      </w:r>
      <w:r w:rsidR="00B00E6E" w:rsidRPr="0011329B">
        <w:rPr>
          <w:rFonts w:ascii="Times New Roman" w:hAnsi="Times New Roman"/>
          <w:sz w:val="24"/>
          <w:szCs w:val="24"/>
          <w:shd w:val="clear" w:color="auto" w:fill="FFFFFF"/>
        </w:rPr>
        <w:t xml:space="preserve">nanosuspension </w:t>
      </w:r>
      <w:r w:rsidRPr="0011329B">
        <w:rPr>
          <w:rFonts w:ascii="Times New Roman" w:hAnsi="Times New Roman"/>
          <w:sz w:val="24"/>
          <w:szCs w:val="24"/>
          <w:shd w:val="clear" w:color="auto" w:fill="FFFFFF"/>
        </w:rPr>
        <w:t>library preparation was carried out using 12 water-soluble excipients, these</w:t>
      </w:r>
      <w:r w:rsidR="00B87965" w:rsidRPr="0011329B">
        <w:rPr>
          <w:rFonts w:ascii="Times New Roman" w:hAnsi="Times New Roman"/>
          <w:sz w:val="24"/>
          <w:szCs w:val="24"/>
          <w:shd w:val="clear" w:color="auto" w:fill="FFFFFF"/>
        </w:rPr>
        <w:t xml:space="preserve"> water-soluble excipients</w:t>
      </w:r>
      <w:r w:rsidRPr="0011329B">
        <w:rPr>
          <w:rFonts w:ascii="Times New Roman" w:hAnsi="Times New Roman"/>
          <w:sz w:val="24"/>
          <w:szCs w:val="24"/>
          <w:shd w:val="clear" w:color="auto" w:fill="FFFFFF"/>
        </w:rPr>
        <w:t xml:space="preserve"> were separated into two </w:t>
      </w:r>
      <w:r w:rsidR="008574F5" w:rsidRPr="0011329B">
        <w:rPr>
          <w:rFonts w:ascii="Times New Roman" w:hAnsi="Times New Roman"/>
          <w:sz w:val="24"/>
          <w:szCs w:val="24"/>
          <w:shd w:val="clear" w:color="auto" w:fill="FFFFFF"/>
        </w:rPr>
        <w:t>groups:</w:t>
      </w:r>
      <w:r w:rsidRPr="0011329B">
        <w:rPr>
          <w:rFonts w:ascii="Times New Roman" w:hAnsi="Times New Roman"/>
          <w:sz w:val="24"/>
          <w:szCs w:val="24"/>
          <w:shd w:val="clear" w:color="auto" w:fill="FFFFFF"/>
        </w:rPr>
        <w:t xml:space="preserve"> higher MW polymers and lower MW polymers and surfactants.  The main aim of using a combination of polymers and surfactants was to obtain </w:t>
      </w:r>
      <w:r w:rsidR="00920091" w:rsidRPr="0011329B">
        <w:rPr>
          <w:rFonts w:ascii="Times New Roman" w:hAnsi="Times New Roman"/>
          <w:sz w:val="24"/>
          <w:szCs w:val="24"/>
          <w:shd w:val="clear" w:color="auto" w:fill="FFFFFF"/>
        </w:rPr>
        <w:t xml:space="preserve">a redispersible nanosuspension of curcumin </w:t>
      </w:r>
      <w:r w:rsidRPr="0011329B">
        <w:rPr>
          <w:rFonts w:ascii="Times New Roman" w:hAnsi="Times New Roman"/>
          <w:sz w:val="24"/>
          <w:szCs w:val="24"/>
          <w:shd w:val="clear" w:color="auto" w:fill="FFFFFF"/>
        </w:rPr>
        <w:t xml:space="preserve">with colloidal stability via electrostatic and/or steric mechanism. Eight polymers and four lower </w:t>
      </w:r>
      <w:r w:rsidRPr="0011329B">
        <w:rPr>
          <w:rFonts w:ascii="Times New Roman" w:hAnsi="Times New Roman"/>
          <w:sz w:val="24"/>
          <w:szCs w:val="24"/>
          <w:shd w:val="clear" w:color="auto" w:fill="FFFFFF"/>
        </w:rPr>
        <w:lastRenderedPageBreak/>
        <w:t xml:space="preserve">MW polymers/surfactants were then used in binary combinations to form a 32-sample screen. Curcumin was dissolved in a mixture of dichloromethane and ethanol (9:1 ratio) and was used with a concentration of 10 </w:t>
      </w:r>
      <w:proofErr w:type="spellStart"/>
      <w:r w:rsidRPr="0011329B">
        <w:rPr>
          <w:rFonts w:ascii="Times New Roman" w:hAnsi="Times New Roman"/>
          <w:sz w:val="24"/>
          <w:szCs w:val="24"/>
          <w:shd w:val="clear" w:color="auto" w:fill="FFFFFF"/>
        </w:rPr>
        <w:t>wt</w:t>
      </w:r>
      <w:proofErr w:type="spellEnd"/>
      <w:r w:rsidRPr="0011329B">
        <w:rPr>
          <w:rFonts w:ascii="Times New Roman" w:hAnsi="Times New Roman"/>
          <w:sz w:val="24"/>
          <w:szCs w:val="24"/>
          <w:shd w:val="clear" w:color="auto" w:fill="FFFFFF"/>
        </w:rPr>
        <w:t xml:space="preserve">% </w:t>
      </w:r>
      <w:r w:rsidR="00F71897" w:rsidRPr="0011329B">
        <w:rPr>
          <w:rFonts w:ascii="Times New Roman" w:hAnsi="Times New Roman"/>
          <w:sz w:val="24"/>
          <w:szCs w:val="24"/>
          <w:shd w:val="clear" w:color="auto" w:fill="FFFFFF"/>
        </w:rPr>
        <w:t>curcumin</w:t>
      </w:r>
      <w:r w:rsidRPr="0011329B">
        <w:rPr>
          <w:rFonts w:ascii="Times New Roman" w:hAnsi="Times New Roman"/>
          <w:sz w:val="24"/>
          <w:szCs w:val="24"/>
          <w:shd w:val="clear" w:color="auto" w:fill="FFFFFF"/>
        </w:rPr>
        <w:t xml:space="preserve"> loading relative to the excipients. The mixture was emulsified using ultrasonication and immediately frozen to preserve the emulsion template</w:t>
      </w:r>
      <w:r w:rsidR="00920091" w:rsidRPr="0011329B">
        <w:rPr>
          <w:rFonts w:ascii="Times New Roman" w:hAnsi="Times New Roman"/>
          <w:sz w:val="24"/>
          <w:szCs w:val="24"/>
          <w:shd w:val="clear" w:color="auto" w:fill="FFFFFF"/>
        </w:rPr>
        <w:t>d structure</w:t>
      </w:r>
      <w:r w:rsidRPr="0011329B">
        <w:rPr>
          <w:rFonts w:ascii="Times New Roman" w:hAnsi="Times New Roman"/>
          <w:sz w:val="24"/>
          <w:szCs w:val="24"/>
          <w:shd w:val="clear" w:color="auto" w:fill="FFFFFF"/>
        </w:rPr>
        <w:t xml:space="preserve"> before freeze-drying. During freeze-drying all volatile components were removed, leaving dry porous matrices of water-soluble excipients containing curcumin </w:t>
      </w:r>
      <w:r w:rsidR="00B00E6E" w:rsidRPr="0011329B">
        <w:rPr>
          <w:rFonts w:ascii="Times New Roman" w:hAnsi="Times New Roman"/>
          <w:sz w:val="24"/>
          <w:szCs w:val="24"/>
          <w:shd w:val="clear" w:color="auto" w:fill="FFFFFF"/>
        </w:rPr>
        <w:t>nanoparticles</w:t>
      </w:r>
      <w:r w:rsidRPr="0011329B">
        <w:rPr>
          <w:rFonts w:ascii="Times New Roman" w:hAnsi="Times New Roman"/>
          <w:sz w:val="24"/>
          <w:szCs w:val="24"/>
          <w:shd w:val="clear" w:color="auto" w:fill="FFFFFF"/>
        </w:rPr>
        <w:t>. By dispersing</w:t>
      </w:r>
      <w:r w:rsidR="00B00E6E" w:rsidRPr="0011329B">
        <w:rPr>
          <w:rFonts w:ascii="Times New Roman" w:hAnsi="Times New Roman"/>
          <w:sz w:val="24"/>
          <w:szCs w:val="24"/>
          <w:shd w:val="clear" w:color="auto" w:fill="FFFFFF"/>
        </w:rPr>
        <w:t xml:space="preserve"> the formulation </w:t>
      </w:r>
      <w:r w:rsidR="00920091" w:rsidRPr="0011329B">
        <w:rPr>
          <w:rFonts w:ascii="Times New Roman" w:hAnsi="Times New Roman"/>
          <w:sz w:val="24"/>
          <w:szCs w:val="24"/>
          <w:shd w:val="clear" w:color="auto" w:fill="FFFFFF"/>
        </w:rPr>
        <w:t xml:space="preserve">with water </w:t>
      </w:r>
      <w:r w:rsidR="00B00E6E" w:rsidRPr="0011329B">
        <w:rPr>
          <w:rFonts w:ascii="Times New Roman" w:hAnsi="Times New Roman"/>
          <w:sz w:val="24"/>
          <w:szCs w:val="24"/>
          <w:shd w:val="clear" w:color="auto" w:fill="FFFFFF"/>
        </w:rPr>
        <w:t>at</w:t>
      </w:r>
      <w:r w:rsidRPr="0011329B">
        <w:rPr>
          <w:rFonts w:ascii="Times New Roman" w:hAnsi="Times New Roman"/>
          <w:sz w:val="24"/>
          <w:szCs w:val="24"/>
          <w:shd w:val="clear" w:color="auto" w:fill="FFFFFF"/>
        </w:rPr>
        <w:t xml:space="preserve"> 1</w:t>
      </w:r>
      <w:r w:rsidR="00B00E6E" w:rsidRPr="0011329B">
        <w:rPr>
          <w:rFonts w:ascii="Times New Roman" w:hAnsi="Times New Roman"/>
          <w:sz w:val="24"/>
          <w:szCs w:val="24"/>
          <w:shd w:val="clear" w:color="auto" w:fill="FFFFFF"/>
        </w:rPr>
        <w:t xml:space="preserve"> </w:t>
      </w:r>
      <w:r w:rsidRPr="0011329B">
        <w:rPr>
          <w:rFonts w:ascii="Times New Roman" w:hAnsi="Times New Roman"/>
          <w:sz w:val="24"/>
          <w:szCs w:val="24"/>
          <w:shd w:val="clear" w:color="auto" w:fill="FFFFFF"/>
        </w:rPr>
        <w:t>mg/mL</w:t>
      </w:r>
      <w:r w:rsidR="00920091" w:rsidRPr="0011329B">
        <w:rPr>
          <w:rFonts w:ascii="Times New Roman" w:hAnsi="Times New Roman"/>
          <w:sz w:val="24"/>
          <w:szCs w:val="24"/>
          <w:shd w:val="clear" w:color="auto" w:fill="FFFFFF"/>
        </w:rPr>
        <w:t xml:space="preserve"> with regards to curcumin</w:t>
      </w:r>
      <w:r w:rsidRPr="0011329B">
        <w:rPr>
          <w:rFonts w:ascii="Times New Roman" w:hAnsi="Times New Roman"/>
          <w:sz w:val="24"/>
          <w:szCs w:val="24"/>
          <w:shd w:val="clear" w:color="auto" w:fill="FFFFFF"/>
        </w:rPr>
        <w:t xml:space="preserve"> of water, </w:t>
      </w:r>
      <w:r w:rsidR="00B00E6E" w:rsidRPr="0011329B">
        <w:rPr>
          <w:rFonts w:ascii="Times New Roman" w:hAnsi="Times New Roman"/>
          <w:sz w:val="24"/>
          <w:szCs w:val="24"/>
          <w:shd w:val="clear" w:color="auto" w:fill="FFFFFF"/>
        </w:rPr>
        <w:t>the curcumin nanosuspension</w:t>
      </w:r>
      <w:r w:rsidR="00920091" w:rsidRPr="0011329B">
        <w:rPr>
          <w:rFonts w:ascii="Times New Roman" w:hAnsi="Times New Roman"/>
          <w:sz w:val="24"/>
          <w:szCs w:val="24"/>
          <w:shd w:val="clear" w:color="auto" w:fill="FFFFFF"/>
        </w:rPr>
        <w:t>s</w:t>
      </w:r>
      <w:r w:rsidR="00B00E6E" w:rsidRPr="0011329B">
        <w:rPr>
          <w:rFonts w:ascii="Times New Roman" w:hAnsi="Times New Roman"/>
          <w:sz w:val="24"/>
          <w:szCs w:val="24"/>
          <w:shd w:val="clear" w:color="auto" w:fill="FFFFFF"/>
        </w:rPr>
        <w:t xml:space="preserve"> w</w:t>
      </w:r>
      <w:r w:rsidR="00920091" w:rsidRPr="0011329B">
        <w:rPr>
          <w:rFonts w:ascii="Times New Roman" w:hAnsi="Times New Roman"/>
          <w:sz w:val="24"/>
          <w:szCs w:val="24"/>
          <w:shd w:val="clear" w:color="auto" w:fill="FFFFFF"/>
        </w:rPr>
        <w:t>ere</w:t>
      </w:r>
      <w:r w:rsidR="00B00E6E" w:rsidRPr="0011329B">
        <w:rPr>
          <w:rFonts w:ascii="Times New Roman" w:hAnsi="Times New Roman"/>
          <w:sz w:val="24"/>
          <w:szCs w:val="24"/>
          <w:shd w:val="clear" w:color="auto" w:fill="FFFFFF"/>
        </w:rPr>
        <w:t xml:space="preserve"> formed with the nanoparticles</w:t>
      </w:r>
      <w:r w:rsidRPr="0011329B">
        <w:rPr>
          <w:rFonts w:ascii="Times New Roman" w:hAnsi="Times New Roman"/>
          <w:sz w:val="24"/>
          <w:szCs w:val="24"/>
          <w:shd w:val="clear" w:color="auto" w:fill="FFFFFF"/>
        </w:rPr>
        <w:t xml:space="preserve"> stabilised by the adsorption of water-soluble excipient (Fig</w:t>
      </w:r>
      <w:r w:rsidR="008574F5" w:rsidRPr="0011329B">
        <w:rPr>
          <w:rFonts w:ascii="Times New Roman" w:hAnsi="Times New Roman"/>
          <w:sz w:val="24"/>
          <w:szCs w:val="24"/>
          <w:shd w:val="clear" w:color="auto" w:fill="FFFFFF"/>
        </w:rPr>
        <w:t>.</w:t>
      </w:r>
      <w:r w:rsidRPr="0011329B">
        <w:rPr>
          <w:rFonts w:ascii="Times New Roman" w:hAnsi="Times New Roman"/>
          <w:sz w:val="24"/>
          <w:szCs w:val="24"/>
          <w:shd w:val="clear" w:color="auto" w:fill="FFFFFF"/>
        </w:rPr>
        <w:t xml:space="preserve"> 1).</w:t>
      </w:r>
      <w:r w:rsidRPr="0011329B">
        <w:rPr>
          <w:rStyle w:val="FootnoteReference"/>
          <w:rFonts w:ascii="Times New Roman" w:hAnsi="Times New Roman"/>
          <w:sz w:val="24"/>
          <w:szCs w:val="24"/>
          <w:shd w:val="clear" w:color="auto" w:fill="FFFFFF"/>
        </w:rPr>
        <w:fldChar w:fldCharType="begin" w:fldLock="1"/>
      </w:r>
      <w:r w:rsidR="00147035" w:rsidRPr="0011329B">
        <w:rPr>
          <w:rFonts w:ascii="Times New Roman" w:hAnsi="Times New Roman"/>
          <w:sz w:val="24"/>
          <w:szCs w:val="24"/>
          <w:shd w:val="clear" w:color="auto" w:fill="FFFFFF"/>
        </w:rPr>
        <w:instrText>ADDIN CSL_CITATION {"citationItems":[{"id":"ITEM-1","itemData":{"DOI":"10.1016/j.ejpb.2018.05.015","ISSN":"18733441","abstract":"Oral drug administration remains the preferred approach for treatment of HIV in most patients. Maraviroc (MVC) is the first in class co-receptor antagonist, which blocks HIV entry into host cells. MVC has an oral bioavailability of approximately 33%, which is limited by poor permeability as well as affinity for CYP3A and several drug transporters. While once-daily doses are now the favoured option for HIV therapy, dose-limiting postural hypotension has been of theoretical concern when administering doses high enough to achieve this for MVC (particularly during coadministration of enzyme inhibitors). To overcome low bioavailability and modify the pharmacokinetic profile, a series of 70 wt% MVC solid drug nanoparticle (SDN) formulations (containing 30 wt% of various polymer/surfactant excipients) were generated using emulsion templated freeze-drying. The lead formulation contained PVA and AOT excipients ( MVC SDN PVA/AOT ), and was demonstrated to be fully water-dispersible to release drug nanoparticles with z-average diameter of 728 nm and polydispersity index of 0.3. In vitro and in vivo studies of MVC SDN PVA/AOT showed increased apparent permeability of MVC, compared to a conventional MVC preparation, with in vivo studies in rats showing a 2.5-fold increase in AUC (145.33 vs. 58.71 ng h ml −1 ). MVC tissue distribution was similar or slightly increased in tissues examined compared to the conventional MVC preparation, with the exception of the liver, spleen and kidneys, which showed statistically significant increases in MVC for MVC SDN PVA/AOT . These data support a novel oral format with the potential for dose reduction while maintaining therapeutic MVC exposure and potentially enabling a once-daily fixed dose combination product.","author":[{"dropping-particle":"","family":"Savage","given":"Alison C.","non-dropping-particle":"","parse-names":false,"suffix":""},{"dropping-particle":"","family":"Tatham","given":"Lee M.","non-dropping-particle":"","parse-names":false,"suffix":""},{"dropping-particle":"","family":"Siccardi","given":"Marco","non-dropping-particle":"","parse-names":false,"suffix":""},{"dropping-particle":"","family":"Scott","given":"Trevor","non-dropping-particle":"","parse-names":false,"suffix":""},{"dropping-particle":"","family":"Vourvahis","given":"Manoli","non-dropping-particle":"","parse-names":false,"suffix":""},{"dropping-particle":"","family":"Clark","given":"Andrew","non-dropping-particle":"","parse-names":false,"suffix":""},{"dropping-particle":"","family":"Rannard","given":"Steve P.","non-dropping-particle":"","parse-names":false,"suffix":""},{"dropping-particle":"","family":"Owen","given":"Andrew","non-dropping-particle":"","parse-names":false,"suffix":""}],"container-title":"European Journal of Pharmaceutics and Biopharmaceutics","id":"ITEM-1","issued":{"date-parts":[["2019","5","1"]]},"page":"30-36","publisher":"Elsevier B.V.","title":"Improving maraviroc oral bioavailability by formation of solid drug nanoparticles","type":"article-journal","volume":"138"},"uris":["http://www.mendeley.com/documents/?uuid=38e6f348-5c4b-3655-9a84-7be2450c4b9a"]},{"id":"ITEM-2","itemData":{"DOI":"10.1002/jin2.21","ISSN":"20583273","author":[{"dropping-particle":"","family":"Siccardi","given":"Marco","non-dropping-particle":"","parse-names":false,"suffix":""},{"dropping-particle":"","family":"Martin","given":"Phillip","non-dropping-particle":"","parse-names":false,"suffix":""},{"dropping-particle":"","family":"Smith","given":"Darren","non-dropping-particle":"","parse-names":false,"suffix":""},{"dropping-particle":"","family":"Curley","given":"Paul","non-dropping-particle":"","parse-names":false,"suffix":""},{"dropping-particle":"","family":"McDonald","given":"Tom","non-dropping-particle":"","parse-names":false,"suffix":""},{"dropping-particle":"","family":"Giardiello","given":"Marco","non-dropping-particle":"","parse-names":false,"suffix":""},{"dropping-particle":"","family":"Liptrott","given":"Neill","non-dropping-particle":"","parse-names":false,"suffix":""},{"dropping-particle":"","family":"Rannard","given":"Steve","non-dropping-particle":"","parse-names":false,"suffix":""},{"dropping-particle":"","family":"Owen","given":"Andrew","non-dropping-particle":"","parse-names":false,"suffix":""}],"container-title":"Journal of Interdisciplinary Nanomedicine","id":"ITEM-2","issue":"3","issued":{"date-parts":[["2016","9","1"]]},"page":"110-123","publisher":"Wiley-Blackwell","title":"Towards a rational design of solid drug nanoparticles with optimised pharmacological properties","type":"article-journal","volume":"1"},"uris":["http://www.mendeley.com/documents/?uuid=d8096519-73bf-3f60-b8c7-61e970f8b0a7"]},{"id":"ITEM-3","itemData":{"DOI":"10.1002/adhm.201300280","ISSN":"21922640","PMID":"23997027","abstract":"Nanomedicine strategies have produced many commercial products. However, no orally dosed HIV nanomedicines are available clinically to patients. Although nanosuspensions of drug particles have demonstrated many benefits, experimentally achieving &gt;25 wt% of drug relative to stabilizers is highly challenging. In this study, the emulsion-templated freeze-drying technique for nanoparticles formation is applied for the first time to optimize a nanodispersion of the leading non-nucleoside reverse transcriptase inhibitor efavirenz, using clinically acceptable polymers and surfactants. Dry monoliths containing solid drug nanoparticles with extremely high drug loading (70 wt% relative to polymer and surfactant stabilizers) are stable for several months and reconstitute in aqueous media to provide nanodispersions with z-average diameters of 300 nm. The solid drug nanoparticles exhibit reduced cytoxicity and increased in vitro transport through model gut epithelium. In vivo studies confirm bioavailability benefits with an approximately four-fold higher pharmacokinetic exposure after oral administration to rodents, and predictive modeling suggests dose reduction with the new formulation may be possible.","author":[{"dropping-particle":"","family":"McDonald","given":"Tom O.","non-dropping-particle":"","parse-names":false,"suffix":""},{"dropping-particle":"","family":"Giardiello","given":"Marco","non-dropping-particle":"","parse-names":false,"suffix":""},{"dropping-particle":"","family":"Martin","given":"Philip","non-dropping-particle":"","parse-names":false,"suffix":""},{"dropping-particle":"","family":"Siccardi","given":"Marco","non-dropping-particle":"","parse-names":false,"suffix":""},{"dropping-particle":"","family":"Liptrott","given":"Neill J.","non-dropping-particle":"","parse-names":false,"suffix":""},{"dropping-particle":"","family":"Smith","given":"Darren","non-dropping-particle":"","parse-names":false,"suffix":""},{"dropping-particle":"","family":"Roberts","given":"Phill","non-dropping-particle":"","parse-names":false,"suffix":""},{"dropping-particle":"","family":"Curley","given":"Paul","non-dropping-particle":"","parse-names":false,"suffix":""},{"dropping-particle":"","family":"Schipani","given":"Alessandro","non-dropping-particle":"","parse-names":false,"suffix":""},{"dropping-particle":"","family":"Khoo","given":"Saye H.","non-dropping-particle":"","parse-names":false,"suffix":""},{"dropping-particle":"","family":"Long","given":"James","non-dropping-particle":"","parse-names":false,"suffix":""},{"dropping-particle":"","family":"Foster","given":"Alison J.","non-dropping-particle":"","parse-names":false,"suffix":""},{"dropping-particle":"","family":"Rannard","given":"Steven P.","non-dropping-particle":"","parse-names":false,"suffix":""},{"dropping-particle":"","family":"Owen","given":"Andrew","non-dropping-particle":"","parse-names":false,"suffix":""}],"container-title":"Advanced Healthcare Materials","id":"ITEM-3","issue":"3","issued":{"date-parts":[["2014","3"]]},"page":"400-411","title":"Antiretroviral Solid Drug Nanoparticles with Enhanced Oral Bioavailability: Production, Characterization, and In Vitro-In Vivo Correlation","type":"article-journal","volume":"3"},"uris":["http://www.mendeley.com/documents/?uuid=bb24da7f-b4ac-309e-a8ea-cbb5d0a2d3de"]}],"mendeley":{"formattedCitation":"[12,13,15]","plainTextFormattedCitation":"[12,13,15]","previouslyFormattedCitation":"[12,13,15]"},"properties":{"noteIndex":0},"schema":"https://github.com/citation-style-language/schema/raw/master/csl-citation.json"}</w:instrText>
      </w:r>
      <w:r w:rsidRPr="0011329B">
        <w:rPr>
          <w:rStyle w:val="FootnoteReference"/>
          <w:rFonts w:ascii="Times New Roman" w:hAnsi="Times New Roman"/>
          <w:sz w:val="24"/>
          <w:szCs w:val="24"/>
          <w:shd w:val="clear" w:color="auto" w:fill="FFFFFF"/>
        </w:rPr>
        <w:fldChar w:fldCharType="separate"/>
      </w:r>
      <w:r w:rsidR="00F64EE7" w:rsidRPr="0011329B">
        <w:rPr>
          <w:rFonts w:ascii="Times New Roman" w:hAnsi="Times New Roman"/>
          <w:noProof/>
          <w:sz w:val="24"/>
          <w:szCs w:val="24"/>
          <w:shd w:val="clear" w:color="auto" w:fill="FFFFFF"/>
        </w:rPr>
        <w:t>[12,13,15]</w:t>
      </w:r>
      <w:r w:rsidRPr="0011329B">
        <w:rPr>
          <w:rStyle w:val="FootnoteReference"/>
          <w:rFonts w:ascii="Times New Roman" w:hAnsi="Times New Roman"/>
          <w:sz w:val="24"/>
          <w:szCs w:val="24"/>
          <w:shd w:val="clear" w:color="auto" w:fill="FFFFFF"/>
        </w:rPr>
        <w:fldChar w:fldCharType="end"/>
      </w:r>
      <w:r w:rsidRPr="0011329B" w:rsidDel="00611B5F">
        <w:rPr>
          <w:rFonts w:ascii="Times New Roman" w:hAnsi="Times New Roman"/>
          <w:sz w:val="24"/>
          <w:szCs w:val="24"/>
          <w:shd w:val="clear" w:color="auto" w:fill="FFFFFF"/>
        </w:rPr>
        <w:t xml:space="preserve"> </w:t>
      </w:r>
    </w:p>
    <w:p w14:paraId="5DCD9CC1" w14:textId="77777777" w:rsidR="00A6114F" w:rsidRPr="0011329B" w:rsidRDefault="00A6114F" w:rsidP="002F10E8">
      <w:pPr>
        <w:pStyle w:val="RSCB02ArticleText"/>
        <w:spacing w:line="360" w:lineRule="auto"/>
        <w:rPr>
          <w:rFonts w:ascii="Times New Roman" w:hAnsi="Times New Roman"/>
          <w:sz w:val="24"/>
          <w:szCs w:val="24"/>
          <w:shd w:val="clear" w:color="auto" w:fill="FFFFFF"/>
        </w:rPr>
      </w:pPr>
    </w:p>
    <w:p w14:paraId="254E7D24" w14:textId="345EF01F" w:rsidR="008F4997" w:rsidRPr="0011329B" w:rsidRDefault="00781A17" w:rsidP="002F10E8">
      <w:pPr>
        <w:spacing w:line="360" w:lineRule="auto"/>
        <w:rPr>
          <w:lang w:val="en-GB"/>
        </w:rPr>
      </w:pPr>
      <w:r w:rsidRPr="0011329B">
        <w:rPr>
          <w:noProof/>
          <w:lang w:val="en-GB"/>
        </w:rPr>
        <w:drawing>
          <wp:inline distT="0" distB="0" distL="0" distR="0" wp14:anchorId="77C44DB2" wp14:editId="31C3997F">
            <wp:extent cx="3240000" cy="1784495"/>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0000" cy="1784495"/>
                    </a:xfrm>
                    <a:prstGeom prst="rect">
                      <a:avLst/>
                    </a:prstGeom>
                    <a:noFill/>
                  </pic:spPr>
                </pic:pic>
              </a:graphicData>
            </a:graphic>
          </wp:inline>
        </w:drawing>
      </w:r>
    </w:p>
    <w:p w14:paraId="69AAE592" w14:textId="76261DF7" w:rsidR="0021250B" w:rsidRPr="0011329B" w:rsidRDefault="0021250B" w:rsidP="0021250B">
      <w:pPr>
        <w:pStyle w:val="RSCI04CaptiontoFigureSchemeChart"/>
        <w:spacing w:line="360" w:lineRule="auto"/>
        <w:jc w:val="left"/>
        <w:rPr>
          <w:rFonts w:ascii="Times New Roman" w:hAnsi="Times New Roman" w:cs="Times New Roman"/>
          <w:sz w:val="22"/>
          <w:szCs w:val="22"/>
        </w:rPr>
      </w:pPr>
      <w:r w:rsidRPr="0011329B">
        <w:rPr>
          <w:b/>
          <w:bCs w:val="0"/>
          <w:sz w:val="22"/>
          <w:szCs w:val="22"/>
        </w:rPr>
        <w:t>Figure 1:</w:t>
      </w:r>
      <w:r w:rsidRPr="0011329B">
        <w:rPr>
          <w:bCs w:val="0"/>
          <w:sz w:val="22"/>
          <w:szCs w:val="22"/>
        </w:rPr>
        <w:t xml:space="preserve"> Solid drug nanoparticles can be prepared by the emulsion-templated freeze-drying method. Several excipients such as polymers and surfactants were mixed with a</w:t>
      </w:r>
      <w:r w:rsidR="00B87965" w:rsidRPr="0011329B">
        <w:rPr>
          <w:bCs w:val="0"/>
          <w:sz w:val="22"/>
          <w:szCs w:val="22"/>
        </w:rPr>
        <w:t>n</w:t>
      </w:r>
      <w:r w:rsidRPr="0011329B">
        <w:rPr>
          <w:bCs w:val="0"/>
          <w:sz w:val="22"/>
          <w:szCs w:val="22"/>
        </w:rPr>
        <w:t xml:space="preserve"> </w:t>
      </w:r>
      <w:r w:rsidR="00030DE4" w:rsidRPr="0011329B">
        <w:rPr>
          <w:bCs w:val="0"/>
          <w:sz w:val="22"/>
          <w:szCs w:val="22"/>
        </w:rPr>
        <w:t xml:space="preserve">active agent </w:t>
      </w:r>
      <w:r w:rsidRPr="0011329B">
        <w:rPr>
          <w:bCs w:val="0"/>
          <w:sz w:val="22"/>
          <w:szCs w:val="22"/>
        </w:rPr>
        <w:t xml:space="preserve">(curcumin) and emulsified in a screening process followed by freeze-drying. The z-average diameter of all samples </w:t>
      </w:r>
      <w:proofErr w:type="gramStart"/>
      <w:r w:rsidRPr="0011329B">
        <w:rPr>
          <w:bCs w:val="0"/>
          <w:sz w:val="22"/>
          <w:szCs w:val="22"/>
        </w:rPr>
        <w:t>were</w:t>
      </w:r>
      <w:proofErr w:type="gramEnd"/>
      <w:r w:rsidRPr="0011329B">
        <w:rPr>
          <w:bCs w:val="0"/>
          <w:sz w:val="22"/>
          <w:szCs w:val="22"/>
        </w:rPr>
        <w:t xml:space="preserve"> then characterised by DLS.</w:t>
      </w:r>
      <w:r w:rsidR="00920091" w:rsidRPr="0011329B">
        <w:rPr>
          <w:rFonts w:ascii="Times New Roman" w:hAnsi="Times New Roman" w:cs="Times New Roman"/>
          <w:sz w:val="22"/>
          <w:szCs w:val="22"/>
        </w:rPr>
        <w:t xml:space="preserve"> </w:t>
      </w:r>
    </w:p>
    <w:p w14:paraId="2CBF5294" w14:textId="76B3655B" w:rsidR="008F4997" w:rsidRPr="0011329B" w:rsidRDefault="008F4997" w:rsidP="002F10E8">
      <w:pPr>
        <w:pStyle w:val="RSCB02ArticleText"/>
        <w:spacing w:line="360" w:lineRule="auto"/>
        <w:rPr>
          <w:rFonts w:ascii="Times New Roman" w:hAnsi="Times New Roman"/>
          <w:sz w:val="24"/>
          <w:szCs w:val="24"/>
        </w:rPr>
      </w:pPr>
      <w:r w:rsidRPr="0011329B">
        <w:rPr>
          <w:rFonts w:ascii="Times New Roman" w:hAnsi="Times New Roman"/>
          <w:sz w:val="24"/>
          <w:szCs w:val="24"/>
          <w:shd w:val="clear" w:color="auto" w:fill="FFFFFF"/>
        </w:rPr>
        <w:t xml:space="preserve">The z-average diameter and zeta potential of </w:t>
      </w:r>
      <w:r w:rsidR="00B00E6E" w:rsidRPr="0011329B">
        <w:rPr>
          <w:rFonts w:ascii="Times New Roman" w:hAnsi="Times New Roman"/>
          <w:sz w:val="24"/>
          <w:szCs w:val="24"/>
          <w:shd w:val="clear" w:color="auto" w:fill="FFFFFF"/>
        </w:rPr>
        <w:t xml:space="preserve">nanosuspensions </w:t>
      </w:r>
      <w:r w:rsidRPr="0011329B">
        <w:rPr>
          <w:rFonts w:ascii="Times New Roman" w:hAnsi="Times New Roman"/>
          <w:sz w:val="24"/>
          <w:szCs w:val="24"/>
          <w:shd w:val="clear" w:color="auto" w:fill="FFFFFF"/>
        </w:rPr>
        <w:t>w</w:t>
      </w:r>
      <w:r w:rsidR="00B87965" w:rsidRPr="0011329B">
        <w:rPr>
          <w:rFonts w:ascii="Times New Roman" w:hAnsi="Times New Roman"/>
          <w:sz w:val="24"/>
          <w:szCs w:val="24"/>
          <w:shd w:val="clear" w:color="auto" w:fill="FFFFFF"/>
        </w:rPr>
        <w:t>ere</w:t>
      </w:r>
      <w:r w:rsidRPr="0011329B">
        <w:rPr>
          <w:rFonts w:ascii="Times New Roman" w:hAnsi="Times New Roman"/>
          <w:sz w:val="24"/>
          <w:szCs w:val="24"/>
          <w:shd w:val="clear" w:color="auto" w:fill="FFFFFF"/>
        </w:rPr>
        <w:t xml:space="preserve"> determined by DLS (Fig</w:t>
      </w:r>
      <w:r w:rsidR="008574F5" w:rsidRPr="0011329B">
        <w:rPr>
          <w:rFonts w:ascii="Times New Roman" w:hAnsi="Times New Roman"/>
          <w:sz w:val="24"/>
          <w:szCs w:val="24"/>
          <w:shd w:val="clear" w:color="auto" w:fill="FFFFFF"/>
        </w:rPr>
        <w:t>.</w:t>
      </w:r>
      <w:r w:rsidRPr="0011329B">
        <w:rPr>
          <w:rFonts w:ascii="Times New Roman" w:hAnsi="Times New Roman"/>
          <w:sz w:val="24"/>
          <w:szCs w:val="24"/>
          <w:shd w:val="clear" w:color="auto" w:fill="FFFFFF"/>
        </w:rPr>
        <w:t xml:space="preserve"> 2A) and electrophoretic mobility measurements (Fig</w:t>
      </w:r>
      <w:r w:rsidR="008574F5" w:rsidRPr="0011329B">
        <w:rPr>
          <w:rFonts w:ascii="Times New Roman" w:hAnsi="Times New Roman"/>
          <w:sz w:val="24"/>
          <w:szCs w:val="24"/>
          <w:shd w:val="clear" w:color="auto" w:fill="FFFFFF"/>
        </w:rPr>
        <w:t>.</w:t>
      </w:r>
      <w:r w:rsidRPr="0011329B">
        <w:rPr>
          <w:rFonts w:ascii="Times New Roman" w:hAnsi="Times New Roman"/>
          <w:sz w:val="24"/>
          <w:szCs w:val="24"/>
          <w:shd w:val="clear" w:color="auto" w:fill="FFFFFF"/>
        </w:rPr>
        <w:t xml:space="preserve"> 2B). </w:t>
      </w:r>
      <w:r w:rsidR="00B00E6E" w:rsidRPr="0011329B">
        <w:rPr>
          <w:rFonts w:ascii="Times New Roman" w:hAnsi="Times New Roman"/>
          <w:sz w:val="24"/>
          <w:szCs w:val="24"/>
          <w:shd w:val="clear" w:color="auto" w:fill="FFFFFF"/>
        </w:rPr>
        <w:t>Nanosuspensions</w:t>
      </w:r>
      <w:r w:rsidR="00B00E6E" w:rsidRPr="0011329B" w:rsidDel="00B00E6E">
        <w:rPr>
          <w:rFonts w:ascii="Times New Roman" w:hAnsi="Times New Roman"/>
          <w:sz w:val="24"/>
          <w:szCs w:val="24"/>
          <w:shd w:val="clear" w:color="auto" w:fill="FFFFFF"/>
        </w:rPr>
        <w:t xml:space="preserve"> </w:t>
      </w:r>
      <w:r w:rsidRPr="0011329B">
        <w:rPr>
          <w:rFonts w:ascii="Times New Roman" w:hAnsi="Times New Roman"/>
          <w:sz w:val="24"/>
          <w:szCs w:val="24"/>
          <w:shd w:val="clear" w:color="auto" w:fill="FFFFFF"/>
        </w:rPr>
        <w:t>from the screen were evaluated based on the following criteria: (i) complete aqueous dispersion, (ii) z-average diameter &lt;500 nm, (iii) standard deviation</w:t>
      </w:r>
      <w:r w:rsidR="00781A17" w:rsidRPr="0011329B">
        <w:rPr>
          <w:rFonts w:ascii="Times New Roman" w:hAnsi="Times New Roman"/>
          <w:sz w:val="24"/>
          <w:szCs w:val="24"/>
          <w:shd w:val="clear" w:color="auto" w:fill="FFFFFF"/>
        </w:rPr>
        <w:t xml:space="preserve"> (SD) between the three repeat measurements</w:t>
      </w:r>
      <w:r w:rsidRPr="0011329B">
        <w:rPr>
          <w:rFonts w:ascii="Times New Roman" w:hAnsi="Times New Roman"/>
          <w:sz w:val="24"/>
          <w:szCs w:val="24"/>
          <w:shd w:val="clear" w:color="auto" w:fill="FFFFFF"/>
        </w:rPr>
        <w:t xml:space="preserve"> &lt;15%, and (iv) polydispersity index (PDI) &lt;0.3. Of the </w:t>
      </w:r>
      <w:r w:rsidRPr="0011329B">
        <w:rPr>
          <w:rFonts w:ascii="Times New Roman" w:hAnsi="Times New Roman"/>
          <w:sz w:val="24"/>
          <w:szCs w:val="24"/>
        </w:rPr>
        <w:t>32 samples, four samples met these requirements as shown by the filled bars on Fi</w:t>
      </w:r>
      <w:r w:rsidR="00E6269A" w:rsidRPr="0011329B">
        <w:rPr>
          <w:rFonts w:ascii="Times New Roman" w:hAnsi="Times New Roman"/>
          <w:sz w:val="24"/>
          <w:szCs w:val="24"/>
        </w:rPr>
        <w:t>g</w:t>
      </w:r>
      <w:r w:rsidR="008574F5" w:rsidRPr="0011329B">
        <w:rPr>
          <w:rFonts w:ascii="Times New Roman" w:hAnsi="Times New Roman"/>
          <w:sz w:val="24"/>
          <w:szCs w:val="24"/>
        </w:rPr>
        <w:t>.</w:t>
      </w:r>
      <w:r w:rsidRPr="0011329B">
        <w:rPr>
          <w:rFonts w:ascii="Times New Roman" w:hAnsi="Times New Roman"/>
          <w:sz w:val="24"/>
          <w:szCs w:val="24"/>
        </w:rPr>
        <w:t xml:space="preserve"> 2A and the PDI values of </w:t>
      </w:r>
      <w:r w:rsidR="00B00E6E" w:rsidRPr="0011329B">
        <w:rPr>
          <w:rFonts w:ascii="Times New Roman" w:hAnsi="Times New Roman"/>
          <w:sz w:val="24"/>
          <w:szCs w:val="24"/>
        </w:rPr>
        <w:t xml:space="preserve">the </w:t>
      </w:r>
      <w:r w:rsidRPr="0011329B">
        <w:rPr>
          <w:rFonts w:ascii="Times New Roman" w:hAnsi="Times New Roman"/>
          <w:sz w:val="24"/>
          <w:szCs w:val="24"/>
        </w:rPr>
        <w:t xml:space="preserve">32 </w:t>
      </w:r>
      <w:r w:rsidR="00B00E6E" w:rsidRPr="0011329B">
        <w:rPr>
          <w:rFonts w:ascii="Times New Roman" w:hAnsi="Times New Roman"/>
          <w:sz w:val="24"/>
          <w:szCs w:val="24"/>
          <w:shd w:val="clear" w:color="auto" w:fill="FFFFFF"/>
        </w:rPr>
        <w:t>nanosuspensions</w:t>
      </w:r>
      <w:r w:rsidR="00B00E6E" w:rsidRPr="0011329B" w:rsidDel="00B00E6E">
        <w:rPr>
          <w:rFonts w:ascii="Times New Roman" w:hAnsi="Times New Roman"/>
          <w:sz w:val="24"/>
          <w:szCs w:val="24"/>
        </w:rPr>
        <w:t xml:space="preserve"> </w:t>
      </w:r>
      <w:r w:rsidR="00781A17" w:rsidRPr="0011329B">
        <w:rPr>
          <w:rFonts w:ascii="Times New Roman" w:hAnsi="Times New Roman"/>
          <w:sz w:val="24"/>
          <w:szCs w:val="24"/>
        </w:rPr>
        <w:t>as</w:t>
      </w:r>
      <w:r w:rsidR="00B00E6E" w:rsidRPr="0011329B">
        <w:rPr>
          <w:rFonts w:ascii="Times New Roman" w:hAnsi="Times New Roman"/>
          <w:sz w:val="24"/>
          <w:szCs w:val="24"/>
        </w:rPr>
        <w:t xml:space="preserve"> </w:t>
      </w:r>
      <w:r w:rsidRPr="0011329B">
        <w:rPr>
          <w:rFonts w:ascii="Times New Roman" w:hAnsi="Times New Roman"/>
          <w:sz w:val="24"/>
          <w:szCs w:val="24"/>
        </w:rPr>
        <w:t>shown in Table S</w:t>
      </w:r>
      <w:r w:rsidR="000C587C" w:rsidRPr="0011329B">
        <w:rPr>
          <w:rFonts w:ascii="Times New Roman" w:hAnsi="Times New Roman"/>
          <w:sz w:val="24"/>
          <w:szCs w:val="24"/>
        </w:rPr>
        <w:t>2</w:t>
      </w:r>
      <w:r w:rsidRPr="0011329B">
        <w:rPr>
          <w:rFonts w:ascii="Times New Roman" w:hAnsi="Times New Roman"/>
          <w:sz w:val="24"/>
          <w:szCs w:val="24"/>
        </w:rPr>
        <w:t xml:space="preserve">.  The successful combinations of excipients generally contained PEG, such as PVA/PEG, PEG/PF127, PEG/DEX, and PEG/PEG. There is currently limited data in literature explaining the exact mechanism behind the formation of </w:t>
      </w:r>
      <w:r w:rsidR="00B00E6E" w:rsidRPr="0011329B">
        <w:rPr>
          <w:rFonts w:ascii="Times New Roman" w:hAnsi="Times New Roman"/>
          <w:sz w:val="24"/>
          <w:szCs w:val="24"/>
          <w:shd w:val="clear" w:color="auto" w:fill="FFFFFF"/>
        </w:rPr>
        <w:t>nanosuspensions</w:t>
      </w:r>
      <w:r w:rsidR="00B00E6E" w:rsidRPr="0011329B" w:rsidDel="00B00E6E">
        <w:rPr>
          <w:rFonts w:ascii="Times New Roman" w:hAnsi="Times New Roman"/>
          <w:sz w:val="24"/>
          <w:szCs w:val="24"/>
        </w:rPr>
        <w:t xml:space="preserve"> </w:t>
      </w:r>
      <w:r w:rsidR="00B00E6E" w:rsidRPr="0011329B">
        <w:rPr>
          <w:rFonts w:ascii="Times New Roman" w:hAnsi="Times New Roman"/>
          <w:sz w:val="24"/>
          <w:szCs w:val="24"/>
        </w:rPr>
        <w:t xml:space="preserve">by the emulsion templated </w:t>
      </w:r>
      <w:r w:rsidR="00781A17" w:rsidRPr="0011329B">
        <w:rPr>
          <w:rFonts w:ascii="Times New Roman" w:hAnsi="Times New Roman"/>
          <w:sz w:val="24"/>
          <w:szCs w:val="24"/>
        </w:rPr>
        <w:t>freeze-drying</w:t>
      </w:r>
      <w:r w:rsidR="00B00E6E" w:rsidRPr="0011329B">
        <w:rPr>
          <w:rFonts w:ascii="Times New Roman" w:hAnsi="Times New Roman"/>
          <w:sz w:val="24"/>
          <w:szCs w:val="24"/>
        </w:rPr>
        <w:t xml:space="preserve"> process</w:t>
      </w:r>
      <w:r w:rsidRPr="0011329B">
        <w:rPr>
          <w:rFonts w:ascii="Times New Roman" w:hAnsi="Times New Roman"/>
          <w:sz w:val="24"/>
          <w:szCs w:val="24"/>
        </w:rPr>
        <w:t xml:space="preserve">. </w:t>
      </w:r>
      <w:r w:rsidRPr="0011329B">
        <w:rPr>
          <w:rFonts w:ascii="Times New Roman" w:hAnsi="Times New Roman"/>
          <w:sz w:val="24"/>
          <w:szCs w:val="24"/>
        </w:rPr>
        <w:lastRenderedPageBreak/>
        <w:t xml:space="preserve">One of the explanation for the success of PEG could be </w:t>
      </w:r>
      <w:r w:rsidR="00781A17" w:rsidRPr="0011329B">
        <w:rPr>
          <w:rFonts w:ascii="Times New Roman" w:hAnsi="Times New Roman"/>
          <w:sz w:val="24"/>
          <w:szCs w:val="24"/>
        </w:rPr>
        <w:t>because it has previously been reported as</w:t>
      </w:r>
      <w:r w:rsidRPr="0011329B">
        <w:rPr>
          <w:rFonts w:ascii="Times New Roman" w:hAnsi="Times New Roman"/>
          <w:sz w:val="24"/>
          <w:szCs w:val="24"/>
        </w:rPr>
        <w:t xml:space="preserve"> a good cryoprotectant, which prevents nanoparticles aggregation during freeze drying and facilities the re-dispersion of nanoparticles with small sizes and low PDI.</w:t>
      </w:r>
      <w:r w:rsidRPr="0011329B">
        <w:rPr>
          <w:rFonts w:ascii="Times New Roman" w:hAnsi="Times New Roman"/>
          <w:sz w:val="24"/>
          <w:szCs w:val="24"/>
        </w:rPr>
        <w:fldChar w:fldCharType="begin" w:fldLock="1"/>
      </w:r>
      <w:r w:rsidR="00147035" w:rsidRPr="0011329B">
        <w:rPr>
          <w:rFonts w:ascii="Times New Roman" w:hAnsi="Times New Roman"/>
          <w:sz w:val="24"/>
          <w:szCs w:val="24"/>
        </w:rPr>
        <w:instrText>ADDIN CSL_CITATION {"citationItems":[{"id":"ITEM-1","itemData":{"DOI":"10.1002/jps.21786","ISSN":"15206017","abstract":"Drug nanoparticles are often prepared in a liquid medium, and a drying method such as freeze drying is used to convert them to an oral solid dosage form. When the dried form is reconstituted in an aqueous system, it may be redispersed to achieve its original particle size. The redispersibility of dried nanoparticles depends on the parameters of the freeze drying process. In this study, an apparatus with a freezing rate gradient was used to systematically investigate the effect of cryoprotectants on the redispersibility of nanoparticles as a function of freezing rate. Sucrose, lactose, mannitol, and polyethylene glycol were used as cryoprotectants for a naproxen nano-suspension. A fast freezing rate and a high cryoprotectant concentration were generally favored. However, under certain conditions, a slower freezing rate resulted in better redispersibility. This is probably because slow freezing can produce a more cryo-concentrated liquid phase, and the concentrated cryoprotectant in the liquid phase can more effectively protect the nanoparticles. An irreversible aggregation map was constructed as a function of the freezing rate and the cryoprotectant concentration, and shows both the favorable and unfavorable effects of cryoprotectants. © 2009 Wiley-Liss, Inc. and the American Pharmacists Association.","author":[{"dropping-particle":"","family":"Lee","given":"Min Kyung","non-dropping-particle":"","parse-names":false,"suffix":""},{"dropping-particle":"","family":"Kim","given":"Min Young","non-dropping-particle":"","parse-names":false,"suffix":""},{"dropping-particle":"","family":"Kim","given":"Sujung","non-dropping-particle":"","parse-names":false,"suffix":""},{"dropping-particle":"","family":"Lee","given":"Jonghwi","non-dropping-particle":"","parse-names":false,"suffix":""}],"container-title":"Journal of Pharmaceutical Sciences","id":"ITEM-1","issue":"12","issued":{"date-parts":[["2009"]]},"page":"4808-4817","publisher":"John Wiley and Sons Inc.","title":"Cryoprotectants for freeze drying of drug nano-suspensions: Effect of freezing rate","type":"article-journal","volume":"98"},"uris":["http://www.mendeley.com/documents/?uuid=579fc76f-5b25-3da8-92c7-72fbcffa97e3","http://www.mendeley.com/documents/?uuid=6c47b3ab-aed8-40b0-9100-5f238fb4a492"]},{"id":"ITEM-2","itemData":{"DOI":"10.1098/rsif.2011.0414","ISSN":"1742-5689","abstract":"Rifampicin-loaded poly(ε-caprolactone)-b-poly(ethylene glycol)-poly(ε-caprolactone) flower-like polymeric micelles display low aqueous physical stability over time and undergo substantial secondary aggregation. To improve their physical stability, the lyoprotection- lyophilization process was thoroughly characterized. The preliminary cryoprotectant performance of mono- and disaccharides (e.g. maltose, glucose), hydroxypropyl-β-cyclodextrin (HPβCD) and poly(ethylene glycol) (PEG) of different molecular weights was assessed in freeze-thawing assays at -20°C, -80°C and -196°C. The size and size distribution of the micelles at the different stages were measured by dynamic light scattering (DLS). A cryoprotectant factor (fc) was determined by taking the ratio between the size immediately after the addition of the cryoprotectant and the size after the preliminary freeze-thawing assay. The benefit of a synergistic cryoprotection by means of saccharide/ PEG mixtures was also assessed. Glucose (1 : 20), maltose (1 : 20), HPβCD (1 : 5) and glucose or maltose mixtures with PEG3350 (1 : 20) (copolymer:cryoprotectant weight ratio) were the most effective systems to protect 1 per cent micellar systems. Conversely, only HPβCD (1 : 5) cryoprotected more concentrated drug-loaded micelles (4% and 6%). Then, those micelle/ cryoprotectant systems that displayed fc values smaller than 2 were freeze-dried. The morphology of freeze-dried powders was characterized by scanning electron microscopy and atomic force microscopy and the residual water content analysed by the Karl Fisher method. The HPβCD-added lyophilisates were brittle porous cakes (residual water was between 0.8% and 3%), easily redispersable in water to form transparent systems with a minimal increase in the micellar size, as determined by DLS. © 2011 The Royal Society.","author":[{"dropping-particle":"","family":"Moretton","given":"Marcela A.","non-dropping-particle":"","parse-names":false,"suffix":""},{"dropping-particle":"","family":"Chiappetta","given":"Diego A.","non-dropping-particle":"","parse-names":false,"suffix":""},{"dropping-particle":"","family":"Sosnik","given":"Alejandro","non-dropping-particle":"","parse-names":false,"suffix":""}],"container-title":"Journal of The Royal Society Interface","id":"ITEM-2","issue":"68","issued":{"date-parts":[["2012","3","7"]]},"page":"487-502","publisher":"Royal Society","title":"Cryoprotection–lyophilization and physical stabilization of rifampicin-loaded flower-like polymeric micelles","type":"article-journal","volume":"9"},"uris":["http://www.mendeley.com/documents/?uuid=143eb2d7-085c-3362-9d49-054da1b8d213","http://www.mendeley.com/documents/?uuid=a6ef9f1c-4cd3-408a-b9f5-ef41af911474"]}],"mendeley":{"formattedCitation":"[21,22]","plainTextFormattedCitation":"[21,22]","previouslyFormattedCitation":"[21,22]"},"properties":{"noteIndex":0},"schema":"https://github.com/citation-style-language/schema/raw/master/csl-citation.json"}</w:instrText>
      </w:r>
      <w:r w:rsidRPr="0011329B">
        <w:rPr>
          <w:rFonts w:ascii="Times New Roman" w:hAnsi="Times New Roman"/>
          <w:sz w:val="24"/>
          <w:szCs w:val="24"/>
        </w:rPr>
        <w:fldChar w:fldCharType="separate"/>
      </w:r>
      <w:r w:rsidR="00F64EE7" w:rsidRPr="0011329B">
        <w:rPr>
          <w:rFonts w:ascii="Times New Roman" w:hAnsi="Times New Roman"/>
          <w:noProof/>
          <w:sz w:val="24"/>
          <w:szCs w:val="24"/>
        </w:rPr>
        <w:t>[21,22]</w:t>
      </w:r>
      <w:r w:rsidRPr="0011329B">
        <w:rPr>
          <w:rFonts w:ascii="Times New Roman" w:hAnsi="Times New Roman"/>
          <w:sz w:val="24"/>
          <w:szCs w:val="24"/>
        </w:rPr>
        <w:fldChar w:fldCharType="end"/>
      </w:r>
      <w:r w:rsidRPr="0011329B">
        <w:rPr>
          <w:rFonts w:ascii="Times New Roman" w:hAnsi="Times New Roman"/>
          <w:sz w:val="24"/>
          <w:szCs w:val="24"/>
        </w:rPr>
        <w:t xml:space="preserve"> </w:t>
      </w:r>
      <w:r w:rsidR="00781A17" w:rsidRPr="0011329B">
        <w:rPr>
          <w:rFonts w:ascii="Times New Roman" w:hAnsi="Times New Roman"/>
          <w:sz w:val="24"/>
          <w:szCs w:val="24"/>
        </w:rPr>
        <w:t xml:space="preserve">For example, </w:t>
      </w:r>
      <w:r w:rsidRPr="0011329B">
        <w:rPr>
          <w:rFonts w:ascii="Times New Roman" w:hAnsi="Times New Roman"/>
          <w:sz w:val="24"/>
          <w:szCs w:val="24"/>
        </w:rPr>
        <w:t xml:space="preserve">Lee </w:t>
      </w:r>
      <w:r w:rsidRPr="0011329B">
        <w:rPr>
          <w:rFonts w:ascii="Times New Roman" w:hAnsi="Times New Roman"/>
          <w:i/>
          <w:iCs/>
          <w:sz w:val="24"/>
          <w:szCs w:val="24"/>
        </w:rPr>
        <w:t>et al.</w:t>
      </w:r>
      <w:r w:rsidRPr="0011329B">
        <w:rPr>
          <w:rFonts w:ascii="Times New Roman" w:hAnsi="Times New Roman"/>
          <w:sz w:val="24"/>
          <w:szCs w:val="24"/>
        </w:rPr>
        <w:t xml:space="preserve"> reported that naproxen nanosuspension containing PEG with 40 </w:t>
      </w:r>
      <w:proofErr w:type="spellStart"/>
      <w:r w:rsidRPr="0011329B">
        <w:rPr>
          <w:rFonts w:ascii="Times New Roman" w:hAnsi="Times New Roman"/>
          <w:sz w:val="24"/>
          <w:szCs w:val="24"/>
        </w:rPr>
        <w:t>wt</w:t>
      </w:r>
      <w:proofErr w:type="spellEnd"/>
      <w:r w:rsidRPr="0011329B">
        <w:rPr>
          <w:rFonts w:ascii="Times New Roman" w:hAnsi="Times New Roman"/>
          <w:sz w:val="24"/>
          <w:szCs w:val="24"/>
        </w:rPr>
        <w:t>% demonstrated small sizes without any observed</w:t>
      </w:r>
      <w:r w:rsidRPr="0011329B">
        <w:rPr>
          <w:rFonts w:ascii="Times New Roman" w:hAnsi="Times New Roman"/>
          <w:sz w:val="24"/>
          <w:szCs w:val="24"/>
          <w:shd w:val="clear" w:color="auto" w:fill="FFFFFF"/>
        </w:rPr>
        <w:t xml:space="preserve"> </w:t>
      </w:r>
      <w:r w:rsidRPr="0011329B">
        <w:rPr>
          <w:rFonts w:ascii="Times New Roman" w:hAnsi="Times New Roman"/>
          <w:sz w:val="24"/>
          <w:szCs w:val="24"/>
        </w:rPr>
        <w:t>aggregation.</w:t>
      </w:r>
      <w:r w:rsidRPr="0011329B">
        <w:rPr>
          <w:rFonts w:ascii="Times New Roman" w:hAnsi="Times New Roman"/>
          <w:sz w:val="24"/>
          <w:szCs w:val="24"/>
        </w:rPr>
        <w:fldChar w:fldCharType="begin" w:fldLock="1"/>
      </w:r>
      <w:r w:rsidR="00147035" w:rsidRPr="0011329B">
        <w:rPr>
          <w:rFonts w:ascii="Times New Roman" w:hAnsi="Times New Roman"/>
          <w:sz w:val="24"/>
          <w:szCs w:val="24"/>
        </w:rPr>
        <w:instrText>ADDIN CSL_CITATION {"citationItems":[{"id":"ITEM-1","itemData":{"author":[{"dropping-particle":"","family":"Min Kyung Lee, Min Young Kim, Sujung Kim","given":"Jonghwi Lee","non-dropping-particle":"","parse-names":false,"suffix":""}],"container-title":"Journal of Pharmaceutical Sciences","id":"ITEM-1","issue":"12","issued":{"date-parts":[["2009"]]},"page":"4808-4817","title":"Cryoprotectants for freeze drying of drug nano-suspensions: Effect of freezing rate","type":"article-journal","volume":"98"},"uris":["http://www.mendeley.com/documents/?uuid=077f12c9-6549-4e4c-bb70-452c22251e34","http://www.mendeley.com/documents/?uuid=070a3b36-8a3b-4496-9fff-de9f2ef3699e"]}],"mendeley":{"formattedCitation":"[23]","plainTextFormattedCitation":"[23]","previouslyFormattedCitation":"[23]"},"properties":{"noteIndex":0},"schema":"https://github.com/citation-style-language/schema/raw/master/csl-citation.json"}</w:instrText>
      </w:r>
      <w:r w:rsidRPr="0011329B">
        <w:rPr>
          <w:rFonts w:ascii="Times New Roman" w:hAnsi="Times New Roman"/>
          <w:sz w:val="24"/>
          <w:szCs w:val="24"/>
        </w:rPr>
        <w:fldChar w:fldCharType="separate"/>
      </w:r>
      <w:r w:rsidR="00F64EE7" w:rsidRPr="0011329B">
        <w:rPr>
          <w:rFonts w:ascii="Times New Roman" w:hAnsi="Times New Roman"/>
          <w:noProof/>
          <w:sz w:val="24"/>
          <w:szCs w:val="24"/>
        </w:rPr>
        <w:t>[23]</w:t>
      </w:r>
      <w:r w:rsidRPr="0011329B">
        <w:rPr>
          <w:rFonts w:ascii="Times New Roman" w:hAnsi="Times New Roman"/>
          <w:sz w:val="24"/>
          <w:szCs w:val="24"/>
        </w:rPr>
        <w:fldChar w:fldCharType="end"/>
      </w:r>
      <w:r w:rsidRPr="0011329B">
        <w:rPr>
          <w:rFonts w:ascii="Times New Roman" w:hAnsi="Times New Roman"/>
          <w:sz w:val="24"/>
          <w:szCs w:val="24"/>
        </w:rPr>
        <w:t xml:space="preserve"> </w:t>
      </w:r>
      <w:r w:rsidR="00977047" w:rsidRPr="0011329B">
        <w:rPr>
          <w:rFonts w:ascii="Times New Roman" w:hAnsi="Times New Roman"/>
          <w:sz w:val="24"/>
          <w:szCs w:val="24"/>
        </w:rPr>
        <w:t>It has been suggested that</w:t>
      </w:r>
      <w:r w:rsidRPr="0011329B">
        <w:rPr>
          <w:rFonts w:ascii="Times New Roman" w:hAnsi="Times New Roman"/>
          <w:sz w:val="24"/>
          <w:szCs w:val="24"/>
        </w:rPr>
        <w:t xml:space="preserve"> PEG can migrate into the liquid phase leading to a high local concentration of PEG in the liquid phase and thus improving the aggregation prevention effect.</w:t>
      </w:r>
      <w:r w:rsidR="00977047" w:rsidRPr="0011329B">
        <w:rPr>
          <w:rFonts w:ascii="Times New Roman" w:hAnsi="Times New Roman"/>
          <w:sz w:val="24"/>
          <w:szCs w:val="24"/>
        </w:rPr>
        <w:t xml:space="preserve"> Further analysis of our curcumin nanosuspensions by z</w:t>
      </w:r>
      <w:r w:rsidRPr="0011329B">
        <w:rPr>
          <w:rFonts w:ascii="Times New Roman" w:hAnsi="Times New Roman"/>
          <w:sz w:val="24"/>
          <w:szCs w:val="24"/>
        </w:rPr>
        <w:t>eta potential measurements (Fig</w:t>
      </w:r>
      <w:r w:rsidR="008574F5" w:rsidRPr="0011329B">
        <w:rPr>
          <w:rFonts w:ascii="Times New Roman" w:hAnsi="Times New Roman"/>
          <w:sz w:val="24"/>
          <w:szCs w:val="24"/>
        </w:rPr>
        <w:t>.</w:t>
      </w:r>
      <w:r w:rsidRPr="0011329B">
        <w:rPr>
          <w:rFonts w:ascii="Times New Roman" w:hAnsi="Times New Roman"/>
          <w:sz w:val="24"/>
          <w:szCs w:val="24"/>
        </w:rPr>
        <w:t xml:space="preserve"> 2B) revealed that all of the four out of formulations were negatively charged, with values of -12 mV for PVA/PEG, -7 mV for PEG/PF-127, -46 mV for PEG/DEX, and -25 mV for PEG/PEG. The negative charge of </w:t>
      </w:r>
      <w:r w:rsidR="00B00E6E" w:rsidRPr="0011329B">
        <w:rPr>
          <w:rFonts w:ascii="Times New Roman" w:hAnsi="Times New Roman"/>
          <w:sz w:val="24"/>
          <w:szCs w:val="24"/>
        </w:rPr>
        <w:t xml:space="preserve">the nanosuspension </w:t>
      </w:r>
      <w:r w:rsidRPr="0011329B">
        <w:rPr>
          <w:rFonts w:ascii="Times New Roman" w:hAnsi="Times New Roman"/>
          <w:sz w:val="24"/>
          <w:szCs w:val="24"/>
        </w:rPr>
        <w:t>was attributed to the keto form of curcumin, it is known that this form</w:t>
      </w:r>
      <w:r w:rsidRPr="0011329B">
        <w:rPr>
          <w:rFonts w:ascii="Times New Roman" w:hAnsi="Times New Roman"/>
          <w:sz w:val="24"/>
          <w:szCs w:val="24"/>
          <w:shd w:val="clear" w:color="auto" w:fill="FFFFFF"/>
        </w:rPr>
        <w:t xml:space="preserve"> (proton donor)</w:t>
      </w:r>
      <w:r w:rsidRPr="0011329B">
        <w:rPr>
          <w:rFonts w:ascii="Times New Roman" w:hAnsi="Times New Roman"/>
          <w:sz w:val="24"/>
          <w:szCs w:val="24"/>
        </w:rPr>
        <w:t xml:space="preserve"> dominates in neutral medium (Fig</w:t>
      </w:r>
      <w:r w:rsidR="008574F5" w:rsidRPr="0011329B">
        <w:rPr>
          <w:rFonts w:ascii="Times New Roman" w:hAnsi="Times New Roman"/>
          <w:sz w:val="24"/>
          <w:szCs w:val="24"/>
        </w:rPr>
        <w:t>.</w:t>
      </w:r>
      <w:r w:rsidRPr="0011329B">
        <w:rPr>
          <w:rFonts w:ascii="Times New Roman" w:hAnsi="Times New Roman"/>
          <w:sz w:val="24"/>
          <w:szCs w:val="24"/>
        </w:rPr>
        <w:t xml:space="preserve"> </w:t>
      </w:r>
      <w:r w:rsidR="00E6269A" w:rsidRPr="0011329B">
        <w:rPr>
          <w:rFonts w:ascii="Times New Roman" w:hAnsi="Times New Roman"/>
          <w:sz w:val="24"/>
          <w:szCs w:val="24"/>
        </w:rPr>
        <w:t>S4</w:t>
      </w:r>
      <w:r w:rsidRPr="0011329B">
        <w:rPr>
          <w:rFonts w:ascii="Times New Roman" w:hAnsi="Times New Roman"/>
          <w:sz w:val="24"/>
          <w:szCs w:val="24"/>
        </w:rPr>
        <w:t>).</w:t>
      </w:r>
      <w:r w:rsidRPr="0011329B">
        <w:rPr>
          <w:rFonts w:ascii="Times New Roman" w:eastAsiaTheme="minorEastAsia" w:hAnsi="Times New Roman"/>
          <w:sz w:val="24"/>
          <w:szCs w:val="24"/>
        </w:rPr>
        <w:fldChar w:fldCharType="begin" w:fldLock="1"/>
      </w:r>
      <w:r w:rsidR="00147035" w:rsidRPr="0011329B">
        <w:rPr>
          <w:rFonts w:ascii="Times New Roman" w:hAnsi="Times New Roman"/>
          <w:sz w:val="24"/>
          <w:szCs w:val="24"/>
        </w:rPr>
        <w:instrText>ADDIN CSL_CITATION {"citationItems":[{"id":"ITEM-1","itemData":{"DOI":"10.2174/1570159x11311040002","ISSN":"1570159X","abstract":"Curcumin (diferuloylmethane), a polyphenol extracted from the plant Curcuma longa, is widely used in Southeast Asia, China and India in food preparation and for medicinal purposes. Since the second half of the last century, this traditional medicine has attracted the attention of scientists from multiple disciplines to elucidate its pharmacological properties. Of significant interest is curcumin's role to treat neurodegenerative diseases including Alzheimer's disease (AD), and Parkinson's disease (PD) and malignancy. These diseases all share an inflammatory basis, involving increased cellular reactive oxygen species (ROS) accumulation and oxidative damage to lipids, nucleic acids and proteins. The therapeutic benefits of curcumin for these neurodegenerative diseases appear multifactorial via regulation of transcription factors, cytokines and enzymes associated with (Nuclear factor kappa beta) NF$κ$B activity. This review describes the historical use of curcumin in medicine, its chemistry, stability and biological activities, including curcumin's anti-cancer, anti-microbial, anti-oxidant, and anti-inflammatory properties. The review further discusses the pharmacology of curcumin and provides new perspectives on its therapeutic potential and limitations. Especially, the review focuses in detail on the effectiveness of curcumin and its mechanism of actions in treating neurodegenerative diseases such as Alzheimer's and Parkinson's diseases and brain malignancies.","author":[{"dropping-particle":"","family":"Lee","given":"Wing-Hin","non-dropping-particle":"","parse-names":false,"suffix":""},{"dropping-particle":"","family":"Loo","given":"Ching-Yee","non-dropping-particle":"","parse-names":false,"suffix":""},{"dropping-particle":"","family":"Bebawy","given":"Mary","non-dropping-particle":"","parse-names":false,"suffix":""},{"dropping-particle":"","family":"Luk","given":"Frederick","non-dropping-particle":"","parse-names":false,"suffix":""},{"dropping-particle":"","family":"Mason","given":"Rebecca","non-dropping-particle":"","parse-names":false,"suffix":""},{"dropping-particle":"","family":"Rohanizadeh","given":"Ramin","non-dropping-particle":"","parse-names":false,"suffix":""}],"container-title":"Curr. Neuropharmaco.","id":"ITEM-1","issue":"4","issued":{"date-parts":[["2013","7","5"]]},"page":"338-378","publisher":"Bentham Science Publishers Ltd.","title":"Curcumin and its Derivatives: Their Application in Neuropharmacology and Neuroscience in the 21st Century","type":"article-journal","volume":"11"},"uris":["http://www.mendeley.com/documents/?uuid=f6bfa7e8-089d-3c57-abce-76365490aef7","http://www.mendeley.com/documents/?uuid=fbe29a5d-4987-47e0-a50d-72e1f13ecca4"]},{"id":"ITEM-2","itemData":{"DOI":"10.1007/s13659-018-0170-1","ISSN":"2192-2195","abstract":"Curcumin is a medicinal agent that exhibits anti-cancer properties and bioactive pigment in Turmeric has a huge therapeutic value. It has a keto-enol moiety that gives rise to many of its chemical properties. A recent study has shown that keto-enol tautomerisation at this moiety is implicated the effect of curcumin. The tautomerisation of curcumin in methanol, acetone and acetonitrile are used in nuclear magnetic resonance (1H, 13C) spectroscopy. It was characterized using UV, IR and Raman spectral values. The molecular electrostatic potential surface of the Curcumin has been visualized in electropositive potential in the region of the CH3+ group and most electronegative potential in the two oxygen atom has very strong binding group. In the following, the modality of structural and thermo dynamical parameters, electrophilicity (ω), chemical potential (μ), chemical hardness (η) and electronic charge transfer confirms the local reactivity. The rate constant of tautomerisation of curcumin shows strong temperature dependence. Molecular electrostatic potential and Temperature dependence of various thermodynamic properties like (Cp,m0,Sm0,andHm0) is increase with increase in temperature for monomer and dimer of various electrical fields.","author":[{"dropping-particle":"","family":"Manimaran","given":"S.","non-dropping-particle":"","parse-names":false,"suffix":""},{"dropping-particle":"","family":"SambathKumar","given":"K.","non-dropping-particle":"","parse-names":false,"suffix":""},{"dropping-particle":"","family":"Gayathri","given":"R.","non-dropping-particle":"","parse-names":false,"suffix":""},{"dropping-particle":"","family":"Raja","given":"K.","non-dropping-particle":"","parse-names":false,"suffix":""},{"dropping-particle":"","family":"Rajkamal","given":"N.","non-dropping-particle":"","parse-names":false,"suffix":""},{"dropping-particle":"","family":"Venkatachalapathy","given":"M.","non-dropping-particle":"","parse-names":false,"suffix":""},{"dropping-particle":"","family":"Ravichandran","given":"G.","non-dropping-particle":"","parse-names":false,"suffix":""},{"dropping-particle":"","family":"Lourdu EdisonRaj","given":"C.","non-dropping-particle":"","parse-names":false,"suffix":""}],"container-title":"Natural Products and Bioprospecting","id":"ITEM-2","issue":"5","issued":{"date-parts":[["2018","10","22"]]},"page":"369-390","publisher":"Springer","title":"Medicinal Plant Using Ground State Stabilization of Natural Antioxidant Curcumin by Keto-Enol Tautomerisation","type":"article-journal","volume":"8"},"uris":["http://www.mendeley.com/documents/?uuid=bc3ac97f-e0ab-3d6b-b6cf-897aafe3511b","http://www.mendeley.com/documents/?uuid=11004914-bdab-458e-b3d7-e7ac75275a36"]}],"mendeley":{"formattedCitation":"[24,25]","plainTextFormattedCitation":"[24,25]","previouslyFormattedCitation":"[24,25]"},"properties":{"noteIndex":0},"schema":"https://github.com/citation-style-language/schema/raw/master/csl-citation.json"}</w:instrText>
      </w:r>
      <w:r w:rsidRPr="0011329B">
        <w:rPr>
          <w:rFonts w:ascii="Times New Roman" w:eastAsiaTheme="minorEastAsia" w:hAnsi="Times New Roman"/>
          <w:sz w:val="24"/>
          <w:szCs w:val="24"/>
        </w:rPr>
        <w:fldChar w:fldCharType="separate"/>
      </w:r>
      <w:r w:rsidR="00F64EE7" w:rsidRPr="0011329B">
        <w:rPr>
          <w:rFonts w:ascii="Times New Roman" w:hAnsi="Times New Roman"/>
          <w:noProof/>
          <w:sz w:val="24"/>
          <w:szCs w:val="24"/>
        </w:rPr>
        <w:t>[24,25]</w:t>
      </w:r>
      <w:r w:rsidRPr="0011329B">
        <w:rPr>
          <w:rFonts w:ascii="Times New Roman" w:eastAsiaTheme="minorEastAsia" w:hAnsi="Times New Roman"/>
          <w:sz w:val="24"/>
          <w:szCs w:val="24"/>
        </w:rPr>
        <w:fldChar w:fldCharType="end"/>
      </w:r>
      <w:r w:rsidRPr="0011329B">
        <w:rPr>
          <w:rFonts w:ascii="Times New Roman" w:hAnsi="Times New Roman"/>
          <w:sz w:val="24"/>
          <w:szCs w:val="24"/>
        </w:rPr>
        <w:t xml:space="preserve"> As PVA, DEX and PEG are neutral polymers,</w:t>
      </w:r>
      <w:r w:rsidRPr="0011329B">
        <w:rPr>
          <w:rFonts w:ascii="Times New Roman" w:eastAsiaTheme="minorEastAsia" w:hAnsi="Times New Roman"/>
          <w:sz w:val="24"/>
          <w:szCs w:val="24"/>
        </w:rPr>
        <w:fldChar w:fldCharType="begin" w:fldLock="1"/>
      </w:r>
      <w:r w:rsidR="00147035" w:rsidRPr="0011329B">
        <w:rPr>
          <w:rFonts w:ascii="Times New Roman" w:hAnsi="Times New Roman"/>
          <w:sz w:val="24"/>
          <w:szCs w:val="24"/>
        </w:rPr>
        <w:instrText>ADDIN CSL_CITATION {"citationItems":[{"id":"ITEM-1","itemData":{"DOI":"10.1007/12_100","ISBN":"9783540371021","ISSN":"00653195","abstract":"Dextran, comprising a family of neutral polysaccharides consisting of an α-(1→6) linked d-glucose main chain with varying proportions of linkages and branches, depending on the bacteria used, is an interesting starting material for chemical modification reactions for the design of new functional polymers with promising properties. The review summarises recent results on structure characterisation of dextran including some comments on biosynthesis of this important class of biopolymers. Applications of dextran are discussed as well. Chemical modification reactions of dextran are increasingly studied for the structure and hence property design. The review highlights recent progress in esterification of dextran, both inorganic and organic polysaccharide esters, etherification reactions towards ionic and non-ionic ethers, and the huge variety of different conversions mainly developed for the binding of drugs. It summarises recent developments in the application of dextran derivatives with a focus on the chemical structures behind these materials such as prodrugs, bioactivity of inorganic dextran esters, heparin sulfate mimics, hydrogels, nanoparticles and self assembly structures for surface modification. © 2006 Springer-Verlag.","author":[{"dropping-particle":"","family":"Heinze","given":"Thomas","non-dropping-particle":"","parse-names":false,"suffix":""},{"dropping-particle":"","family":"Liebert","given":"Tim","non-dropping-particle":"","parse-names":false,"suffix":""},{"dropping-particle":"","family":"Heublein","given":"Brigitte","non-dropping-particle":"","parse-names":false,"suffix":""},{"dropping-particle":"","family":"Hornig","given":"Stephanie","non-dropping-particle":"","parse-names":false,"suffix":""}],"container-title":"Adv. Polymer Sci","id":"ITEM-1","issue":"1","issued":{"date-parts":[["2006"]]},"page":"199-291","title":"Functional polymers based on dextran","type":"article-journal","volume":"205"},"uris":["http://www.mendeley.com/documents/?uuid=79eff861-b012-34c6-93ce-b1dc26698514","http://www.mendeley.com/documents/?uuid=10275322-4e93-46ab-b9f0-13046b1ec9dc"]},{"id":"ITEM-2","itemData":{"DOI":"10.1039/c4py01356e","ISSN":"17599962","abstract":"Nonspecific protein adsorption and/or microbial adsorption on biomedical materials adversely affects the efficacy of a range of biomedical systems, from implants and biosensors to nanoparticles. To address this problem, antibiofouling polymers can be coated on biomedical devices or built into nanoparticles to confer protein and/or microbial repellent properties. The current review provides an overview of the range of synthetic polymers currently used to this end and explores their biomedical potential. The most widely-used antifouling polymer, poly(ethylene glycol) (PEG) is reviewed alongside several promising alternatives, including zwitterionic polymers, poly(hydroxyfunctional acrylates), poly(2-oxazoline)s, poly(vinylpyrrolidone), poly(glycerol), peptides and peptoids. For each material, notable applications for both nanomedicine and macroscopic surface coatings are highlighted.","author":[{"dropping-particle":"","family":"Lowe","given":"Sean","non-dropping-particle":"","parse-names":false,"suffix":""},{"dropping-particle":"","family":"O'Brien-Simpson","given":"Neil M.","non-dropping-particle":"","parse-names":false,"suffix":""},{"dropping-particle":"","family":"Connal","given":"Luke A.","non-dropping-particle":"","parse-names":false,"suffix":""}],"container-title":"Polymer Chemistry","id":"ITEM-2","issue":"2","issued":{"date-parts":[["2015","1","14"]]},"page":"198-212","publisher":"Royal Society of Chemistry","title":"Antibiofouling polymer interfaces: Poly(ethylene glycol) and other promising candidates","type":"article","volume":"6"},"uris":["http://www.mendeley.com/documents/?uuid=046be53b-9a5b-3033-bd20-f96a2448b6cb","http://www.mendeley.com/documents/?uuid=023f8228-737a-4e1f-8421-a7381ef3939b"]},{"id":"ITEM-3","itemData":{"DOI":"10.1080/17425247.2016.1182485","ISSN":"17447593","abstract":"Introduction: Polyethylene glycol (PEG) is a polymer of choice in drug delivery systems. This USFDA-approved polymer is popular due to its tunable properties and well-established safety profile: prime requisites considered during the selection of any excipient in formulation development. Areas covered: The unique properties and applications of PEG have been discussed at length in the existing literature. However, a proper guidance on selection of PEG grade to cater to one’s purpose is lacking. This article provides preliminary guidelines to formulators on selection of appropriate PEG grade, typically based on its physico-chemical properties and role-based functional application in pharmaceuticals. It should be noted that the aim article is not to deep dive in each application area. Expert opinion: Guidance on PEG application and grade of choice is lacking in the available literature. The authors have discussed and provided guidance to formulators on the appropriate PEG grade selection for particular application based on the available in vitro and in vivo literature data. In this review a State-of-the-art use of PEG in therapeutic applications, its clinical status and commercial use is also summarized. Nevertheless, toxicities related to different PEG grades and related impurities are discussed in this review.","author":[{"dropping-particle":"","family":"D’souza","given":"Anisha A.","non-dropping-particle":"","parse-names":false,"suffix":""},{"dropping-particle":"","family":"Shegokar","given":"Ranjita","non-dropping-particle":"","parse-names":false,"suffix":""}],"container-title":"Expert Opin. Drug Deliv.","id":"ITEM-3","issue":"9","issued":{"date-parts":[["2016","9","1"]]},"page":"1257-1275","publisher":"Taylor and Francis Ltd","title":"Polyethylene glycol (PEG): a versatile polymer for pharmaceutical applications","type":"article-journal","volume":"13"},"uris":["http://www.mendeley.com/documents/?uuid=a4345eb5-8299-3425-be4e-eb2ff0dc0b34","http://www.mendeley.com/documents/?uuid=4aa7864a-37d9-4bf6-a638-3687ac26cdf9"]},{"id":"ITEM-4","itemData":{"DOI":"10.1007/s003960100528","ISSN":"0303402X","abstract":"We studied the adsorption of two neutral polymers [poly(vinyl pyrrolidone) and poly(vinyl alcohol) (PVA)] on negatively charged liposomes composed of 25:2:3 (molar ratio) soy lecithin/dicetyl phosphate/cholesterol. The liposomes were prepared in buffered solution at pH 7.4 and were mixed with the solution of the polymers in the desired polymer/lipid ratios. Adsorption was measured by determination of the equilibrium bulk concentration of the polymer. Protamine hydrochloride was used to aggregate the liposomes with polymers adsorbed on their surface and to facilitate their separation from the equilibrium bulk solution. In the case of PVA, quantitative adsorption measurements with a specific reagent were possible. Adsorption isotherms were recorded at 25 ± 0.2 °C. It was concluded that adsorbed and non-adsorbed PVA molecules are in equilibrium even at low polymer/lipide ratios. The results were confirmed by dynamic laser light scattering, X-ray diffraction and thermal activity monitoring experiments.","author":[{"dropping-particle":"","family":"Dékány","given":"Gy","non-dropping-particle":"","parse-names":false,"suffix":""},{"dropping-particle":"","family":"Csóka","given":"I.","non-dropping-particle":"","parse-names":false,"suffix":""},{"dropping-particle":"","family":"Erös","given":"I.","non-dropping-particle":"","parse-names":false,"suffix":""}],"container-title":"Colloid and Polymer Science","id":"ITEM-4","issue":"10","issued":{"date-parts":[["2001"]]},"page":"966-975","publisher":"Springer","title":"Adsorption of neutral polymers on negatively charged liposomes. A novel quantitative method to measure the rate of polymer adsorption on the liposomal surface","type":"article-journal","volume":"279"},"uris":["http://www.mendeley.com/documents/?uuid=716a685e-3771-3b90-a3f0-93b368d820f5","http://www.mendeley.com/documents/?uuid=b1c35799-0286-48c8-b89a-2b3068733841"]}],"mendeley":{"formattedCitation":"[26–29]","plainTextFormattedCitation":"[26–29]","previouslyFormattedCitation":"[26–29]"},"properties":{"noteIndex":0},"schema":"https://github.com/citation-style-language/schema/raw/master/csl-citation.json"}</w:instrText>
      </w:r>
      <w:r w:rsidRPr="0011329B">
        <w:rPr>
          <w:rFonts w:ascii="Times New Roman" w:eastAsiaTheme="minorEastAsia" w:hAnsi="Times New Roman"/>
          <w:sz w:val="24"/>
          <w:szCs w:val="24"/>
        </w:rPr>
        <w:fldChar w:fldCharType="separate"/>
      </w:r>
      <w:r w:rsidR="00F64EE7" w:rsidRPr="0011329B">
        <w:rPr>
          <w:rFonts w:ascii="Times New Roman" w:hAnsi="Times New Roman"/>
          <w:noProof/>
          <w:sz w:val="24"/>
          <w:szCs w:val="24"/>
        </w:rPr>
        <w:t>[26–29]</w:t>
      </w:r>
      <w:r w:rsidRPr="0011329B">
        <w:rPr>
          <w:rFonts w:ascii="Times New Roman" w:eastAsiaTheme="minorEastAsia" w:hAnsi="Times New Roman"/>
          <w:sz w:val="24"/>
          <w:szCs w:val="24"/>
        </w:rPr>
        <w:fldChar w:fldCharType="end"/>
      </w:r>
      <w:r w:rsidRPr="0011329B">
        <w:rPr>
          <w:rFonts w:ascii="Times New Roman" w:hAnsi="Times New Roman"/>
          <w:sz w:val="24"/>
          <w:szCs w:val="24"/>
        </w:rPr>
        <w:t xml:space="preserve"> the result showed that the interaction between the excipients and curcumin affect the overall charge of </w:t>
      </w:r>
      <w:r w:rsidR="00B00E6E" w:rsidRPr="0011329B">
        <w:rPr>
          <w:rFonts w:ascii="Times New Roman" w:hAnsi="Times New Roman"/>
          <w:sz w:val="24"/>
          <w:szCs w:val="24"/>
        </w:rPr>
        <w:t>the nanoparticles</w:t>
      </w:r>
      <w:r w:rsidRPr="0011329B">
        <w:rPr>
          <w:rFonts w:ascii="Times New Roman" w:hAnsi="Times New Roman"/>
          <w:sz w:val="24"/>
          <w:szCs w:val="24"/>
        </w:rPr>
        <w:t xml:space="preserve">. For instance, the sample containing PEG/PF-127 showed a masking of the negative charge of curcumin with a zeta potential of -7 mV, while the sample containing PEG/DEX had zeta potential of -46 mV. This suggests that PF-127 could be shielding the curcumin charge, as compared to DEX, in presence of PEG. This adds to the theory that there is a difference in excipient interactions with curcumin depending on their structures. </w:t>
      </w:r>
    </w:p>
    <w:p w14:paraId="1451D230" w14:textId="77777777" w:rsidR="008F4997" w:rsidRPr="0011329B" w:rsidRDefault="008F4997" w:rsidP="002F10E8">
      <w:pPr>
        <w:pStyle w:val="RSCB02ArticleText"/>
        <w:spacing w:line="360" w:lineRule="auto"/>
        <w:rPr>
          <w:rFonts w:ascii="Times New Roman" w:hAnsi="Times New Roman"/>
          <w:sz w:val="24"/>
          <w:szCs w:val="24"/>
        </w:rPr>
      </w:pPr>
    </w:p>
    <w:p w14:paraId="23A06E8F" w14:textId="508DFE46" w:rsidR="008F4997" w:rsidRPr="0011329B" w:rsidRDefault="008F4997" w:rsidP="00363DDD">
      <w:pPr>
        <w:pStyle w:val="RSCB02ArticleText"/>
        <w:spacing w:line="360" w:lineRule="auto"/>
        <w:rPr>
          <w:rFonts w:ascii="Times New Roman" w:hAnsi="Times New Roman"/>
          <w:sz w:val="24"/>
          <w:szCs w:val="24"/>
        </w:rPr>
      </w:pPr>
      <w:r w:rsidRPr="0011329B">
        <w:rPr>
          <w:rFonts w:ascii="Times New Roman" w:hAnsi="Times New Roman"/>
          <w:sz w:val="24"/>
          <w:szCs w:val="24"/>
        </w:rPr>
        <w:t xml:space="preserve">The </w:t>
      </w:r>
      <w:r w:rsidR="00B00E6E" w:rsidRPr="0011329B">
        <w:rPr>
          <w:rFonts w:ascii="Times New Roman" w:hAnsi="Times New Roman"/>
          <w:sz w:val="24"/>
          <w:szCs w:val="24"/>
        </w:rPr>
        <w:t xml:space="preserve">nanosuspension formulation </w:t>
      </w:r>
      <w:r w:rsidRPr="0011329B">
        <w:rPr>
          <w:rFonts w:ascii="Times New Roman" w:hAnsi="Times New Roman"/>
          <w:sz w:val="24"/>
          <w:szCs w:val="24"/>
        </w:rPr>
        <w:t xml:space="preserve">containing PEG only as an excipient showed the smallest </w:t>
      </w:r>
      <w:r w:rsidR="00977047" w:rsidRPr="0011329B">
        <w:rPr>
          <w:rFonts w:ascii="Times New Roman" w:hAnsi="Times New Roman"/>
          <w:sz w:val="24"/>
          <w:szCs w:val="24"/>
        </w:rPr>
        <w:t xml:space="preserve">diameter </w:t>
      </w:r>
      <w:r w:rsidRPr="0011329B">
        <w:rPr>
          <w:rFonts w:ascii="Times New Roman" w:hAnsi="Times New Roman"/>
          <w:sz w:val="24"/>
          <w:szCs w:val="24"/>
        </w:rPr>
        <w:t xml:space="preserve">and low PDI of the different formulations. </w:t>
      </w:r>
      <w:r w:rsidR="00977047" w:rsidRPr="0011329B">
        <w:rPr>
          <w:rFonts w:ascii="Times New Roman" w:hAnsi="Times New Roman"/>
          <w:sz w:val="24"/>
          <w:szCs w:val="24"/>
        </w:rPr>
        <w:t xml:space="preserve">These particles properties can potentially </w:t>
      </w:r>
      <w:r w:rsidRPr="0011329B">
        <w:rPr>
          <w:rFonts w:ascii="Times New Roman" w:hAnsi="Times New Roman"/>
          <w:sz w:val="24"/>
          <w:szCs w:val="24"/>
        </w:rPr>
        <w:t>be ascribed to the presence of PEG, which acts as a cryoprotectant and stabiliser. The presence of PEG facilities the re-dispersion of nanoparticles following freeze drying as well as potentially stabilising the re-dispersed nanoparticles.</w:t>
      </w:r>
      <w:r w:rsidRPr="0011329B">
        <w:rPr>
          <w:rFonts w:ascii="Times New Roman" w:hAnsi="Times New Roman"/>
          <w:sz w:val="24"/>
          <w:szCs w:val="24"/>
        </w:rPr>
        <w:fldChar w:fldCharType="begin" w:fldLock="1"/>
      </w:r>
      <w:r w:rsidR="00147035" w:rsidRPr="0011329B">
        <w:rPr>
          <w:rFonts w:ascii="Times New Roman" w:hAnsi="Times New Roman"/>
          <w:sz w:val="24"/>
          <w:szCs w:val="24"/>
        </w:rPr>
        <w:instrText>ADDIN CSL_CITATION {"citationItems":[{"id":"ITEM-1","itemData":{"DOI":"10.1002/jps.21786","ISSN":"15206017","abstract":"Drug nanoparticles are often prepared in a liquid medium, and a drying method such as freeze drying is used to convert them to an oral solid dosage form. When the dried form is reconstituted in an aqueous system, it may be redispersed to achieve its original particle size. The redispersibility of dried nanoparticles depends on the parameters of the freeze drying process. In this study, an apparatus with a freezing rate gradient was used to systematically investigate the effect of cryoprotectants on the redispersibility of nanoparticles as a function of freezing rate. Sucrose, lactose, mannitol, and polyethylene glycol were used as cryoprotectants for a naproxen nano-suspension. A fast freezing rate and a high cryoprotectant concentration were generally favored. However, under certain conditions, a slower freezing rate resulted in better redispersibility. This is probably because slow freezing can produce a more cryo-concentrated liquid phase, and the concentrated cryoprotectant in the liquid phase can more effectively protect the nanoparticles. An irreversible aggregation map was constructed as a function of the freezing rate and the cryoprotectant concentration, and shows both the favorable and unfavorable effects of cryoprotectants. © 2009 Wiley-Liss, Inc. and the American Pharmacists Association.","author":[{"dropping-particle":"","family":"Lee","given":"Min Kyung","non-dropping-particle":"","parse-names":false,"suffix":""},{"dropping-particle":"","family":"Kim","given":"Min Young","non-dropping-particle":"","parse-names":false,"suffix":""},{"dropping-particle":"","family":"Kim","given":"Sujung","non-dropping-particle":"","parse-names":false,"suffix":""},{"dropping-particle":"","family":"Lee","given":"Jonghwi","non-dropping-particle":"","parse-names":false,"suffix":""}],"container-title":"Journal of Pharmaceutical Sciences","id":"ITEM-1","issue":"12","issued":{"date-parts":[["2009"]]},"page":"4808-4817","publisher":"John Wiley and Sons Inc.","title":"Cryoprotectants for freeze drying of drug nano-suspensions: Effect of freezing rate","type":"article-journal","volume":"98"},"uris":["http://www.mendeley.com/documents/?uuid=579fc76f-5b25-3da8-92c7-72fbcffa97e3"]},{"id":"ITEM-2","itemData":{"DOI":"10.1016/J.JCONREL.2013.08.006","ISSN":"0168-3659","abstract":"Nanosuspensions are nanosized colloidal dispersion systems that are stabilized by surfactants and/or polymers. Because nanosizing results in the creation of new interfaces and in a positive Gibbs free energy change, nanosuspensions are thermodynamically unstable systems with a tendency toward agglomeration or crystal growth. Despite extensive research on nanosuspension technology, stability remains a limitation for pharmaceutical or industrial applications of nanosuspensions. Furthermore, the empirical relationship between stabilizer efficacy and nanosuspension stability has not been well characterized. This review focuses on the issue of nanosuspension stability in drug delivery to present the state of the art of nanosuspensions. Therefore, this review will discuss unstable suspensions, methods and guidelines for selecting and optimizing stabilizers, approaches for enhancing stability, and other factors that influence nanosuspension stability. This review could serve as a reference for the educated selection of a stabilizer for a specific drug candidate and the optimization of the operational parameters for nanosuspension formulation, rather than the currently practiced trial-and-error approach.","author":[{"dropping-particle":"","family":"Wang","given":"Yancai","non-dropping-particle":"","parse-names":false,"suffix":""},{"dropping-particle":"","family":"Zheng","given":"Ying","non-dropping-particle":"","parse-names":false,"suffix":""},{"dropping-particle":"","family":"Zhang","given":"Ling","non-dropping-particle":"","parse-names":false,"suffix":""},{"dropping-particle":"","family":"Wang","given":"Qiwei","non-dropping-particle":"","parse-names":false,"suffix":""},{"dropping-particle":"","family":"Zhang","given":"Dianrui","non-dropping-particle":"","parse-names":false,"suffix":""}],"container-title":"J.Controlled Release","id":"ITEM-2","issue":"3","issued":{"date-parts":[["2013","12","28"]]},"page":"1126-1141","publisher":"Elsevier","title":"Stability of nanosuspensions in drug delivery","type":"article-journal","volume":"172"},"uris":["http://www.mendeley.com/documents/?uuid=bdb3bf22-774e-3b6b-aa83-26c88bbf93f8"]}],"mendeley":{"formattedCitation":"[21,30]","plainTextFormattedCitation":"[21,30]","previouslyFormattedCitation":"[21,30]"},"properties":{"noteIndex":0},"schema":"https://github.com/citation-style-language/schema/raw/master/csl-citation.json"}</w:instrText>
      </w:r>
      <w:r w:rsidRPr="0011329B">
        <w:rPr>
          <w:rFonts w:ascii="Times New Roman" w:hAnsi="Times New Roman"/>
          <w:sz w:val="24"/>
          <w:szCs w:val="24"/>
        </w:rPr>
        <w:fldChar w:fldCharType="separate"/>
      </w:r>
      <w:r w:rsidR="00F64EE7" w:rsidRPr="0011329B">
        <w:rPr>
          <w:rFonts w:ascii="Times New Roman" w:hAnsi="Times New Roman"/>
          <w:noProof/>
          <w:sz w:val="24"/>
          <w:szCs w:val="24"/>
        </w:rPr>
        <w:t>[21,30]</w:t>
      </w:r>
      <w:r w:rsidRPr="0011329B">
        <w:rPr>
          <w:rFonts w:ascii="Times New Roman" w:hAnsi="Times New Roman"/>
          <w:sz w:val="24"/>
          <w:szCs w:val="24"/>
        </w:rPr>
        <w:fldChar w:fldCharType="end"/>
      </w:r>
      <w:r w:rsidRPr="0011329B">
        <w:rPr>
          <w:rFonts w:ascii="Times New Roman" w:hAnsi="Times New Roman"/>
          <w:sz w:val="24"/>
          <w:szCs w:val="24"/>
        </w:rPr>
        <w:t xml:space="preserve"> PEG is uncharged polymer,</w:t>
      </w:r>
      <w:r w:rsidR="001D41C2" w:rsidRPr="0011329B">
        <w:rPr>
          <w:rFonts w:ascii="Times New Roman" w:hAnsi="Times New Roman"/>
          <w:sz w:val="24"/>
          <w:szCs w:val="24"/>
        </w:rPr>
        <w:t xml:space="preserve"> and any absorbed polymer may provide a degree of </w:t>
      </w:r>
      <w:r w:rsidRPr="0011329B">
        <w:rPr>
          <w:rFonts w:ascii="Times New Roman" w:hAnsi="Times New Roman"/>
          <w:sz w:val="24"/>
          <w:szCs w:val="24"/>
        </w:rPr>
        <w:t xml:space="preserve">steric </w:t>
      </w:r>
      <w:r w:rsidR="001D41C2" w:rsidRPr="0011329B">
        <w:rPr>
          <w:rFonts w:ascii="Times New Roman" w:hAnsi="Times New Roman"/>
          <w:sz w:val="24"/>
          <w:szCs w:val="24"/>
        </w:rPr>
        <w:t xml:space="preserve">to the nanosuspension. </w:t>
      </w:r>
      <w:r w:rsidR="00977047" w:rsidRPr="0011329B">
        <w:rPr>
          <w:rFonts w:ascii="Times New Roman" w:hAnsi="Times New Roman"/>
          <w:sz w:val="24"/>
          <w:szCs w:val="24"/>
        </w:rPr>
        <w:t xml:space="preserve"> </w:t>
      </w:r>
      <w:r w:rsidR="001D41C2" w:rsidRPr="0011329B">
        <w:rPr>
          <w:rFonts w:ascii="Times New Roman" w:hAnsi="Times New Roman"/>
          <w:sz w:val="24"/>
          <w:szCs w:val="24"/>
        </w:rPr>
        <w:t>Additionally, t</w:t>
      </w:r>
      <w:r w:rsidR="00977047" w:rsidRPr="0011329B">
        <w:rPr>
          <w:rFonts w:ascii="Times New Roman" w:hAnsi="Times New Roman"/>
          <w:sz w:val="24"/>
          <w:szCs w:val="24"/>
        </w:rPr>
        <w:t>he zeta potential</w:t>
      </w:r>
      <w:r w:rsidR="001D41C2" w:rsidRPr="0011329B">
        <w:rPr>
          <w:rFonts w:ascii="Times New Roman" w:hAnsi="Times New Roman"/>
          <w:sz w:val="24"/>
          <w:szCs w:val="24"/>
        </w:rPr>
        <w:t xml:space="preserve"> value</w:t>
      </w:r>
      <w:r w:rsidR="00977047" w:rsidRPr="0011329B">
        <w:rPr>
          <w:rFonts w:ascii="Times New Roman" w:hAnsi="Times New Roman"/>
          <w:sz w:val="24"/>
          <w:szCs w:val="24"/>
        </w:rPr>
        <w:t xml:space="preserve"> of </w:t>
      </w:r>
      <w:r w:rsidRPr="0011329B">
        <w:rPr>
          <w:rFonts w:ascii="Times New Roman" w:hAnsi="Times New Roman"/>
          <w:sz w:val="24"/>
          <w:szCs w:val="24"/>
        </w:rPr>
        <w:t>-25 mV</w:t>
      </w:r>
      <w:r w:rsidR="00977047" w:rsidRPr="0011329B">
        <w:rPr>
          <w:rFonts w:ascii="Times New Roman" w:hAnsi="Times New Roman"/>
          <w:sz w:val="24"/>
          <w:szCs w:val="24"/>
        </w:rPr>
        <w:t xml:space="preserve"> suggests that electrostatic repulsion may likely be </w:t>
      </w:r>
      <w:r w:rsidR="001D41C2" w:rsidRPr="0011329B">
        <w:rPr>
          <w:rFonts w:ascii="Times New Roman" w:hAnsi="Times New Roman"/>
          <w:sz w:val="24"/>
          <w:szCs w:val="24"/>
        </w:rPr>
        <w:t>contributing</w:t>
      </w:r>
      <w:r w:rsidR="00977047" w:rsidRPr="0011329B">
        <w:rPr>
          <w:rFonts w:ascii="Times New Roman" w:hAnsi="Times New Roman"/>
          <w:sz w:val="24"/>
          <w:szCs w:val="24"/>
        </w:rPr>
        <w:t xml:space="preserve"> to the colloidal stability </w:t>
      </w:r>
      <w:r w:rsidRPr="0011329B">
        <w:rPr>
          <w:rFonts w:ascii="Times New Roman" w:hAnsi="Times New Roman"/>
          <w:sz w:val="24"/>
          <w:szCs w:val="24"/>
        </w:rPr>
        <w:t>of</w:t>
      </w:r>
      <w:r w:rsidR="00977047" w:rsidRPr="0011329B">
        <w:rPr>
          <w:rFonts w:ascii="Times New Roman" w:hAnsi="Times New Roman"/>
          <w:sz w:val="24"/>
          <w:szCs w:val="24"/>
        </w:rPr>
        <w:t xml:space="preserve"> the</w:t>
      </w:r>
      <w:r w:rsidRPr="0011329B">
        <w:rPr>
          <w:rFonts w:ascii="Times New Roman" w:hAnsi="Times New Roman"/>
          <w:sz w:val="24"/>
          <w:szCs w:val="24"/>
        </w:rPr>
        <w:t xml:space="preserve"> </w:t>
      </w:r>
      <w:r w:rsidR="00B00E6E" w:rsidRPr="0011329B">
        <w:rPr>
          <w:rFonts w:ascii="Times New Roman" w:hAnsi="Times New Roman"/>
          <w:sz w:val="24"/>
          <w:szCs w:val="24"/>
        </w:rPr>
        <w:t>formulation</w:t>
      </w:r>
      <w:r w:rsidR="001D41C2" w:rsidRPr="0011329B">
        <w:rPr>
          <w:rFonts w:ascii="Times New Roman" w:hAnsi="Times New Roman"/>
          <w:sz w:val="24"/>
          <w:szCs w:val="24"/>
        </w:rPr>
        <w:t xml:space="preserve">. </w:t>
      </w:r>
      <w:r w:rsidRPr="0011329B">
        <w:rPr>
          <w:rFonts w:ascii="Times New Roman" w:hAnsi="Times New Roman"/>
          <w:sz w:val="24"/>
          <w:szCs w:val="24"/>
        </w:rPr>
        <w:t xml:space="preserve"> Based on this screening, the </w:t>
      </w:r>
      <w:r w:rsidR="004A4AA6" w:rsidRPr="0011329B">
        <w:rPr>
          <w:rFonts w:ascii="Times New Roman" w:hAnsi="Times New Roman"/>
          <w:sz w:val="24"/>
          <w:szCs w:val="24"/>
        </w:rPr>
        <w:t xml:space="preserve">nanosuspension </w:t>
      </w:r>
      <w:r w:rsidRPr="0011329B">
        <w:rPr>
          <w:rFonts w:ascii="Times New Roman" w:hAnsi="Times New Roman"/>
          <w:sz w:val="24"/>
          <w:szCs w:val="24"/>
        </w:rPr>
        <w:t>formulation containing PEG as the only excipient</w:t>
      </w:r>
      <w:r w:rsidR="00A017DE" w:rsidRPr="0011329B">
        <w:rPr>
          <w:rFonts w:ascii="Times New Roman" w:hAnsi="Times New Roman"/>
          <w:sz w:val="24"/>
          <w:szCs w:val="24"/>
        </w:rPr>
        <w:t xml:space="preserve"> confer</w:t>
      </w:r>
      <w:r w:rsidR="00B87965" w:rsidRPr="0011329B">
        <w:rPr>
          <w:rFonts w:ascii="Times New Roman" w:hAnsi="Times New Roman"/>
          <w:sz w:val="24"/>
          <w:szCs w:val="24"/>
        </w:rPr>
        <w:t>red</w:t>
      </w:r>
      <w:r w:rsidR="00A017DE" w:rsidRPr="0011329B">
        <w:rPr>
          <w:rFonts w:ascii="Times New Roman" w:hAnsi="Times New Roman"/>
          <w:sz w:val="24"/>
          <w:szCs w:val="24"/>
        </w:rPr>
        <w:t xml:space="preserve"> the required stability and fulfil the </w:t>
      </w:r>
      <w:r w:rsidR="00B87965" w:rsidRPr="0011329B">
        <w:rPr>
          <w:rFonts w:ascii="Times New Roman" w:hAnsi="Times New Roman"/>
          <w:sz w:val="24"/>
          <w:szCs w:val="24"/>
        </w:rPr>
        <w:t xml:space="preserve">above </w:t>
      </w:r>
      <w:r w:rsidR="00A017DE" w:rsidRPr="0011329B">
        <w:rPr>
          <w:rFonts w:ascii="Times New Roman" w:hAnsi="Times New Roman"/>
          <w:sz w:val="24"/>
          <w:szCs w:val="24"/>
        </w:rPr>
        <w:t xml:space="preserve">criteria </w:t>
      </w:r>
      <w:r w:rsidR="00B87965" w:rsidRPr="0011329B">
        <w:rPr>
          <w:rFonts w:ascii="Times New Roman" w:hAnsi="Times New Roman"/>
          <w:sz w:val="24"/>
          <w:szCs w:val="24"/>
        </w:rPr>
        <w:t xml:space="preserve">and therefore this sample </w:t>
      </w:r>
      <w:r w:rsidR="00A017DE" w:rsidRPr="0011329B">
        <w:rPr>
          <w:rFonts w:ascii="Times New Roman" w:hAnsi="Times New Roman"/>
          <w:sz w:val="24"/>
          <w:szCs w:val="24"/>
        </w:rPr>
        <w:t xml:space="preserve">was chosen </w:t>
      </w:r>
      <w:r w:rsidRPr="0011329B">
        <w:rPr>
          <w:rFonts w:ascii="Times New Roman" w:hAnsi="Times New Roman"/>
          <w:sz w:val="24"/>
          <w:szCs w:val="24"/>
        </w:rPr>
        <w:t xml:space="preserve">for further studies.   </w:t>
      </w:r>
    </w:p>
    <w:p w14:paraId="4BFBAB6B" w14:textId="5C4262C8" w:rsidR="0021250B" w:rsidRPr="0011329B" w:rsidRDefault="0021250B" w:rsidP="0021250B">
      <w:pPr>
        <w:pStyle w:val="RSCI04CaptiontoFigureSchemeChart"/>
        <w:spacing w:line="360" w:lineRule="auto"/>
        <w:jc w:val="left"/>
        <w:rPr>
          <w:rFonts w:ascii="Times New Roman" w:hAnsi="Times New Roman" w:cs="Times New Roman"/>
          <w:b/>
          <w:sz w:val="22"/>
          <w:szCs w:val="22"/>
        </w:rPr>
      </w:pPr>
      <w:r w:rsidRPr="0011329B">
        <w:rPr>
          <w:rFonts w:ascii="Times New Roman" w:hAnsi="Times New Roman" w:cs="Times New Roman"/>
          <w:b/>
          <w:noProof/>
          <w:sz w:val="22"/>
          <w:szCs w:val="22"/>
        </w:rPr>
        <w:lastRenderedPageBreak/>
        <w:drawing>
          <wp:inline distT="0" distB="0" distL="0" distR="0" wp14:anchorId="71FE8330" wp14:editId="5E7226AB">
            <wp:extent cx="6123305" cy="24276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l="2444" r="7512"/>
                    <a:stretch>
                      <a:fillRect/>
                    </a:stretch>
                  </pic:blipFill>
                  <pic:spPr bwMode="auto">
                    <a:xfrm>
                      <a:off x="0" y="0"/>
                      <a:ext cx="6123305" cy="2427605"/>
                    </a:xfrm>
                    <a:prstGeom prst="rect">
                      <a:avLst/>
                    </a:prstGeom>
                    <a:noFill/>
                    <a:ln>
                      <a:noFill/>
                    </a:ln>
                  </pic:spPr>
                </pic:pic>
              </a:graphicData>
            </a:graphic>
          </wp:inline>
        </w:drawing>
      </w:r>
    </w:p>
    <w:p w14:paraId="10EBFFC4" w14:textId="77777777" w:rsidR="0021250B" w:rsidRPr="0011329B" w:rsidRDefault="0021250B" w:rsidP="0021250B">
      <w:pPr>
        <w:pStyle w:val="RSCI04CaptiontoFigureSchemeChart"/>
        <w:spacing w:line="360" w:lineRule="auto"/>
        <w:jc w:val="left"/>
        <w:rPr>
          <w:rFonts w:ascii="Times New Roman" w:hAnsi="Times New Roman" w:cs="Times New Roman"/>
          <w:sz w:val="22"/>
          <w:szCs w:val="22"/>
        </w:rPr>
      </w:pPr>
      <w:r w:rsidRPr="0011329B">
        <w:rPr>
          <w:rFonts w:ascii="Times New Roman" w:hAnsi="Times New Roman" w:cs="Times New Roman"/>
          <w:sz w:val="22"/>
          <w:szCs w:val="22"/>
        </w:rPr>
        <w:t xml:space="preserve"> </w:t>
      </w:r>
    </w:p>
    <w:p w14:paraId="48BFB827" w14:textId="5BB390A5" w:rsidR="0021250B" w:rsidRPr="0011329B" w:rsidRDefault="0021250B" w:rsidP="0021250B">
      <w:pPr>
        <w:pStyle w:val="RSCI04CaptiontoFigureSchemeChart"/>
        <w:spacing w:line="360" w:lineRule="auto"/>
        <w:jc w:val="left"/>
        <w:rPr>
          <w:rFonts w:ascii="Times New Roman" w:hAnsi="Times New Roman" w:cs="Times New Roman"/>
          <w:sz w:val="22"/>
          <w:szCs w:val="22"/>
        </w:rPr>
      </w:pPr>
      <w:r w:rsidRPr="0011329B">
        <w:rPr>
          <w:rFonts w:ascii="Times New Roman" w:hAnsi="Times New Roman" w:cs="Times New Roman"/>
          <w:b/>
          <w:bCs w:val="0"/>
          <w:sz w:val="22"/>
          <w:szCs w:val="22"/>
        </w:rPr>
        <w:t xml:space="preserve">Figure 2: </w:t>
      </w:r>
      <w:r w:rsidRPr="0011329B">
        <w:rPr>
          <w:rFonts w:ascii="Times New Roman" w:hAnsi="Times New Roman" w:cs="Times New Roman"/>
          <w:bCs w:val="0"/>
          <w:sz w:val="22"/>
          <w:szCs w:val="22"/>
        </w:rPr>
        <w:t>Screening different excipients to identify viable SDN formulations.</w:t>
      </w:r>
      <w:r w:rsidRPr="0011329B">
        <w:rPr>
          <w:rFonts w:ascii="Times New Roman" w:hAnsi="Times New Roman" w:cs="Times New Roman"/>
          <w:sz w:val="22"/>
          <w:szCs w:val="22"/>
        </w:rPr>
        <w:t xml:space="preserve"> (A) 32-sample screen of 10 </w:t>
      </w:r>
      <w:proofErr w:type="spellStart"/>
      <w:r w:rsidRPr="0011329B">
        <w:rPr>
          <w:rFonts w:ascii="Times New Roman" w:hAnsi="Times New Roman" w:cs="Times New Roman"/>
          <w:sz w:val="22"/>
          <w:szCs w:val="22"/>
        </w:rPr>
        <w:t>wt</w:t>
      </w:r>
      <w:proofErr w:type="spellEnd"/>
      <w:r w:rsidRPr="0011329B">
        <w:rPr>
          <w:rFonts w:ascii="Times New Roman" w:hAnsi="Times New Roman" w:cs="Times New Roman"/>
          <w:sz w:val="22"/>
          <w:szCs w:val="22"/>
        </w:rPr>
        <w:t xml:space="preserve">% curcumin </w:t>
      </w:r>
      <w:r w:rsidR="00240BFE" w:rsidRPr="0011329B">
        <w:rPr>
          <w:rFonts w:ascii="Times New Roman" w:hAnsi="Times New Roman" w:cs="Times New Roman"/>
          <w:sz w:val="22"/>
          <w:szCs w:val="22"/>
        </w:rPr>
        <w:t>nanosuspensions</w:t>
      </w:r>
      <w:r w:rsidRPr="0011329B">
        <w:rPr>
          <w:rFonts w:ascii="Times New Roman" w:hAnsi="Times New Roman" w:cs="Times New Roman"/>
          <w:sz w:val="22"/>
          <w:szCs w:val="22"/>
        </w:rPr>
        <w:t xml:space="preserve">. ‘Hits’ highlighted in green meet the following criteria: size &lt;500 nm, PDI &lt;0.3 and SD &lt;15% and fully dispersed in water. The z-average diameter of </w:t>
      </w:r>
      <w:r w:rsidR="00240BFE" w:rsidRPr="0011329B">
        <w:rPr>
          <w:rFonts w:ascii="Times New Roman" w:hAnsi="Times New Roman" w:cs="Times New Roman"/>
          <w:sz w:val="22"/>
          <w:szCs w:val="22"/>
        </w:rPr>
        <w:t xml:space="preserve">the nanosuspensions </w:t>
      </w:r>
      <w:r w:rsidRPr="0011329B">
        <w:rPr>
          <w:rFonts w:ascii="Times New Roman" w:hAnsi="Times New Roman" w:cs="Times New Roman"/>
          <w:sz w:val="22"/>
          <w:szCs w:val="22"/>
        </w:rPr>
        <w:t xml:space="preserve">was measured with DLS (1 mg/mL). The structures of the different excipients are shown close to their names. (B) ‘Hits’ highlighted in blue meet the following criteria: size &lt;500 nm, PDI &lt;0.3 and SD &lt;15% and fully dispersed in water. The zeta potential of </w:t>
      </w:r>
      <w:r w:rsidR="00240BFE" w:rsidRPr="0011329B">
        <w:rPr>
          <w:rFonts w:ascii="Times New Roman" w:hAnsi="Times New Roman" w:cs="Times New Roman"/>
          <w:sz w:val="22"/>
          <w:szCs w:val="22"/>
        </w:rPr>
        <w:t>nanosuspensions</w:t>
      </w:r>
      <w:r w:rsidR="00240BFE" w:rsidRPr="0011329B" w:rsidDel="00240BFE">
        <w:rPr>
          <w:rFonts w:ascii="Times New Roman" w:hAnsi="Times New Roman" w:cs="Times New Roman"/>
          <w:sz w:val="22"/>
          <w:szCs w:val="22"/>
        </w:rPr>
        <w:t xml:space="preserve"> </w:t>
      </w:r>
      <w:r w:rsidRPr="0011329B">
        <w:rPr>
          <w:rFonts w:ascii="Times New Roman" w:hAnsi="Times New Roman" w:cs="Times New Roman"/>
          <w:sz w:val="22"/>
          <w:szCs w:val="22"/>
        </w:rPr>
        <w:t>was measured with electrophoretic mobility measurement (1 mg/mL).</w:t>
      </w:r>
      <w:r w:rsidR="00993E95" w:rsidRPr="0011329B">
        <w:rPr>
          <w:rFonts w:ascii="Times New Roman" w:hAnsi="Times New Roman" w:cs="Times New Roman"/>
          <w:sz w:val="22"/>
          <w:szCs w:val="22"/>
        </w:rPr>
        <w:t xml:space="preserve"> </w:t>
      </w:r>
    </w:p>
    <w:p w14:paraId="46CFA6BD" w14:textId="115BCE60" w:rsidR="008F4997" w:rsidRPr="0011329B" w:rsidRDefault="00937D88" w:rsidP="002F10E8">
      <w:pPr>
        <w:pStyle w:val="RSCB06BHeadingSub-Section"/>
        <w:spacing w:line="360" w:lineRule="auto"/>
        <w:rPr>
          <w:rFonts w:ascii="Times New Roman" w:hAnsi="Times New Roman" w:cs="Times New Roman"/>
          <w:sz w:val="24"/>
          <w:szCs w:val="24"/>
        </w:rPr>
      </w:pPr>
      <w:r w:rsidRPr="0011329B">
        <w:rPr>
          <w:rFonts w:ascii="Times New Roman" w:hAnsi="Times New Roman" w:cs="Times New Roman"/>
          <w:sz w:val="24"/>
          <w:szCs w:val="24"/>
        </w:rPr>
        <w:t xml:space="preserve">3.1.1. </w:t>
      </w:r>
      <w:r w:rsidR="00240BFE" w:rsidRPr="0011329B">
        <w:rPr>
          <w:rFonts w:ascii="Times New Roman" w:hAnsi="Times New Roman" w:cs="Times New Roman"/>
          <w:sz w:val="24"/>
          <w:szCs w:val="24"/>
        </w:rPr>
        <w:t>Tuning the properties of nanosuspensions that contained</w:t>
      </w:r>
      <w:r w:rsidR="008F4997" w:rsidRPr="0011329B">
        <w:rPr>
          <w:rFonts w:ascii="Times New Roman" w:hAnsi="Times New Roman" w:cs="Times New Roman"/>
          <w:sz w:val="24"/>
          <w:szCs w:val="24"/>
        </w:rPr>
        <w:t xml:space="preserve"> PEG only as an excipient</w:t>
      </w:r>
    </w:p>
    <w:p w14:paraId="744CD381" w14:textId="3F95EC68" w:rsidR="008F4997" w:rsidRPr="0011329B" w:rsidRDefault="008F4997" w:rsidP="008574F5">
      <w:pPr>
        <w:pStyle w:val="RSCB02ArticleText"/>
        <w:spacing w:line="360" w:lineRule="auto"/>
        <w:rPr>
          <w:rFonts w:ascii="Times New Roman" w:hAnsi="Times New Roman"/>
          <w:sz w:val="24"/>
          <w:szCs w:val="24"/>
        </w:rPr>
      </w:pPr>
      <w:r w:rsidRPr="0011329B">
        <w:rPr>
          <w:rFonts w:ascii="Times New Roman" w:hAnsi="Times New Roman"/>
          <w:sz w:val="24"/>
          <w:szCs w:val="24"/>
        </w:rPr>
        <w:t xml:space="preserve">Various experimental parameters such as polymer concentration, sonication time, and </w:t>
      </w:r>
      <w:r w:rsidR="00030DE4" w:rsidRPr="0011329B">
        <w:rPr>
          <w:rFonts w:ascii="Times New Roman" w:hAnsi="Times New Roman"/>
          <w:sz w:val="24"/>
          <w:szCs w:val="24"/>
        </w:rPr>
        <w:t xml:space="preserve">curcumin </w:t>
      </w:r>
      <w:r w:rsidRPr="0011329B">
        <w:rPr>
          <w:rFonts w:ascii="Times New Roman" w:hAnsi="Times New Roman"/>
          <w:sz w:val="24"/>
          <w:szCs w:val="24"/>
        </w:rPr>
        <w:t xml:space="preserve">concentration were varied to investigate their influence on z-average diameter of </w:t>
      </w:r>
      <w:r w:rsidR="00240BFE" w:rsidRPr="0011329B">
        <w:rPr>
          <w:rFonts w:ascii="Times New Roman" w:hAnsi="Times New Roman"/>
          <w:sz w:val="24"/>
          <w:szCs w:val="24"/>
        </w:rPr>
        <w:t>the resulting nanosuspensions</w:t>
      </w:r>
      <w:r w:rsidRPr="0011329B">
        <w:rPr>
          <w:rFonts w:ascii="Times New Roman" w:hAnsi="Times New Roman"/>
          <w:sz w:val="24"/>
          <w:szCs w:val="24"/>
        </w:rPr>
        <w:t>. By varying the polymer concentration</w:t>
      </w:r>
      <w:r w:rsidR="00773EDB" w:rsidRPr="0011329B">
        <w:rPr>
          <w:rFonts w:ascii="Times New Roman" w:hAnsi="Times New Roman"/>
          <w:sz w:val="24"/>
          <w:szCs w:val="24"/>
        </w:rPr>
        <w:t xml:space="preserve"> while curcumin concentration was 10 mg/mL</w:t>
      </w:r>
      <w:r w:rsidR="000A106C" w:rsidRPr="0011329B">
        <w:rPr>
          <w:rFonts w:ascii="Times New Roman" w:hAnsi="Times New Roman"/>
          <w:sz w:val="24"/>
          <w:szCs w:val="24"/>
        </w:rPr>
        <w:t xml:space="preserve"> and sonication time was 15 seconds</w:t>
      </w:r>
      <w:r w:rsidRPr="0011329B">
        <w:rPr>
          <w:rFonts w:ascii="Times New Roman" w:hAnsi="Times New Roman"/>
          <w:sz w:val="24"/>
          <w:szCs w:val="24"/>
        </w:rPr>
        <w:t xml:space="preserve">, it was found that the z-average diameter of </w:t>
      </w:r>
      <w:r w:rsidR="00240BFE" w:rsidRPr="0011329B">
        <w:rPr>
          <w:rFonts w:ascii="Times New Roman" w:hAnsi="Times New Roman"/>
          <w:sz w:val="24"/>
          <w:szCs w:val="24"/>
        </w:rPr>
        <w:t xml:space="preserve">nanosuspensions </w:t>
      </w:r>
      <w:r w:rsidR="00075ECB" w:rsidRPr="0011329B">
        <w:rPr>
          <w:rFonts w:ascii="Times New Roman" w:hAnsi="Times New Roman"/>
          <w:sz w:val="24"/>
          <w:szCs w:val="24"/>
        </w:rPr>
        <w:t xml:space="preserve">increased </w:t>
      </w:r>
      <w:r w:rsidRPr="0011329B">
        <w:rPr>
          <w:rFonts w:ascii="Times New Roman" w:hAnsi="Times New Roman"/>
          <w:sz w:val="24"/>
          <w:szCs w:val="24"/>
        </w:rPr>
        <w:t xml:space="preserve">along with </w:t>
      </w:r>
      <w:r w:rsidR="00075ECB" w:rsidRPr="0011329B">
        <w:rPr>
          <w:rFonts w:ascii="Times New Roman" w:hAnsi="Times New Roman"/>
          <w:sz w:val="24"/>
          <w:szCs w:val="24"/>
        </w:rPr>
        <w:t xml:space="preserve">increasing </w:t>
      </w:r>
      <w:r w:rsidRPr="0011329B">
        <w:rPr>
          <w:rFonts w:ascii="Times New Roman" w:hAnsi="Times New Roman"/>
          <w:sz w:val="24"/>
          <w:szCs w:val="24"/>
        </w:rPr>
        <w:t>the concentration of PEG concentration (Fig</w:t>
      </w:r>
      <w:r w:rsidR="008574F5" w:rsidRPr="0011329B">
        <w:rPr>
          <w:rFonts w:ascii="Times New Roman" w:hAnsi="Times New Roman"/>
          <w:sz w:val="24"/>
          <w:szCs w:val="24"/>
        </w:rPr>
        <w:t>.</w:t>
      </w:r>
      <w:r w:rsidRPr="0011329B">
        <w:rPr>
          <w:rFonts w:ascii="Times New Roman" w:hAnsi="Times New Roman"/>
          <w:sz w:val="24"/>
          <w:szCs w:val="24"/>
        </w:rPr>
        <w:t xml:space="preserve"> 3A)</w:t>
      </w:r>
      <w:r w:rsidR="00D21C69" w:rsidRPr="0011329B">
        <w:rPr>
          <w:rFonts w:ascii="Times New Roman" w:hAnsi="Times New Roman"/>
          <w:sz w:val="24"/>
          <w:szCs w:val="24"/>
        </w:rPr>
        <w:t>.</w:t>
      </w:r>
      <w:r w:rsidRPr="0011329B">
        <w:rPr>
          <w:rFonts w:ascii="Times New Roman" w:hAnsi="Times New Roman"/>
          <w:sz w:val="24"/>
          <w:szCs w:val="24"/>
        </w:rPr>
        <w:t xml:space="preserve"> For example, </w:t>
      </w:r>
      <w:proofErr w:type="gramStart"/>
      <w:r w:rsidRPr="0011329B">
        <w:rPr>
          <w:rFonts w:ascii="Times New Roman" w:hAnsi="Times New Roman"/>
          <w:sz w:val="24"/>
          <w:szCs w:val="24"/>
        </w:rPr>
        <w:t>a</w:t>
      </w:r>
      <w:proofErr w:type="gramEnd"/>
      <w:r w:rsidRPr="0011329B">
        <w:rPr>
          <w:rFonts w:ascii="Times New Roman" w:hAnsi="Times New Roman"/>
          <w:sz w:val="24"/>
          <w:szCs w:val="24"/>
        </w:rPr>
        <w:t xml:space="preserve"> SDN sample containing 11.25 mg/mL of PEG had a z-average diameter of 210 nm, while increasing PEG concentration to 45 mg/mL, increased the z-average diameter of </w:t>
      </w:r>
      <w:r w:rsidR="00240BFE" w:rsidRPr="0011329B">
        <w:rPr>
          <w:rFonts w:ascii="Times New Roman" w:hAnsi="Times New Roman"/>
          <w:sz w:val="24"/>
          <w:szCs w:val="24"/>
        </w:rPr>
        <w:t xml:space="preserve">nanosuspensions </w:t>
      </w:r>
      <w:r w:rsidRPr="0011329B">
        <w:rPr>
          <w:rFonts w:ascii="Times New Roman" w:hAnsi="Times New Roman"/>
          <w:sz w:val="24"/>
          <w:szCs w:val="24"/>
        </w:rPr>
        <w:t>to 440 nm. The PDI values for all samples was ≤0.21, with the lowest particle size distribution obtained when the PEG concentration was 22.5 mg/</w:t>
      </w:r>
      <w:proofErr w:type="spellStart"/>
      <w:r w:rsidRPr="0011329B">
        <w:rPr>
          <w:rFonts w:ascii="Times New Roman" w:hAnsi="Times New Roman"/>
          <w:sz w:val="24"/>
          <w:szCs w:val="24"/>
        </w:rPr>
        <w:t>mL.</w:t>
      </w:r>
      <w:proofErr w:type="spellEnd"/>
      <w:r w:rsidRPr="0011329B">
        <w:rPr>
          <w:rFonts w:ascii="Times New Roman" w:hAnsi="Times New Roman"/>
          <w:sz w:val="24"/>
          <w:szCs w:val="24"/>
        </w:rPr>
        <w:t xml:space="preserve"> The trend in the size of the </w:t>
      </w:r>
      <w:r w:rsidR="00240BFE" w:rsidRPr="0011329B">
        <w:rPr>
          <w:rFonts w:ascii="Times New Roman" w:hAnsi="Times New Roman"/>
          <w:sz w:val="24"/>
          <w:szCs w:val="24"/>
        </w:rPr>
        <w:t xml:space="preserve">nanosuspensions </w:t>
      </w:r>
      <w:r w:rsidRPr="0011329B">
        <w:rPr>
          <w:rFonts w:ascii="Times New Roman" w:hAnsi="Times New Roman"/>
          <w:sz w:val="24"/>
          <w:szCs w:val="24"/>
        </w:rPr>
        <w:t xml:space="preserve">with increasing PEG concentration may be due to the higher viscosity of aqueous phase at the higher PEG concentrations. It is likely that increase in viscosity would likely have resulted </w:t>
      </w:r>
      <w:r w:rsidRPr="0011329B">
        <w:rPr>
          <w:rFonts w:ascii="Times New Roman" w:hAnsi="Times New Roman"/>
          <w:sz w:val="24"/>
          <w:szCs w:val="24"/>
        </w:rPr>
        <w:lastRenderedPageBreak/>
        <w:t xml:space="preserve">in larger emulsion droplets during the sonication step of the emulsion templated freeze-drying method, which would in turn influence the size of the </w:t>
      </w:r>
      <w:r w:rsidR="00240BFE" w:rsidRPr="0011329B">
        <w:rPr>
          <w:rFonts w:ascii="Times New Roman" w:hAnsi="Times New Roman"/>
          <w:sz w:val="24"/>
          <w:szCs w:val="24"/>
        </w:rPr>
        <w:t xml:space="preserve">nanosuspension </w:t>
      </w:r>
      <w:r w:rsidRPr="0011329B">
        <w:rPr>
          <w:rFonts w:ascii="Times New Roman" w:hAnsi="Times New Roman"/>
          <w:sz w:val="24"/>
          <w:szCs w:val="24"/>
        </w:rPr>
        <w:t xml:space="preserve">formed upon freezing. This hypothesis might have been confirmed by DLS measurement of the emulsions however, as it is not possible to accurately measure experimentally due to the high concentration of oil droplets in the emulsion resulting in multiple scattering. It was also found that increasing the concentration of PEG resulted in reduced surface charge on the </w:t>
      </w:r>
      <w:r w:rsidR="007B077E" w:rsidRPr="0011329B">
        <w:rPr>
          <w:rFonts w:ascii="Times New Roman" w:hAnsi="Times New Roman"/>
          <w:sz w:val="24"/>
          <w:szCs w:val="24"/>
        </w:rPr>
        <w:t xml:space="preserve">nanoparticles </w:t>
      </w:r>
      <w:r w:rsidRPr="0011329B">
        <w:rPr>
          <w:rFonts w:ascii="Times New Roman" w:hAnsi="Times New Roman"/>
          <w:sz w:val="24"/>
          <w:szCs w:val="24"/>
        </w:rPr>
        <w:t>(an increase in the zeta potential) (Fig</w:t>
      </w:r>
      <w:r w:rsidR="008574F5" w:rsidRPr="0011329B">
        <w:rPr>
          <w:rFonts w:ascii="Times New Roman" w:hAnsi="Times New Roman"/>
          <w:sz w:val="24"/>
          <w:szCs w:val="24"/>
        </w:rPr>
        <w:t xml:space="preserve">. </w:t>
      </w:r>
      <w:r w:rsidRPr="0011329B">
        <w:rPr>
          <w:rFonts w:ascii="Times New Roman" w:hAnsi="Times New Roman"/>
          <w:sz w:val="24"/>
          <w:szCs w:val="24"/>
        </w:rPr>
        <w:t xml:space="preserve">3B), which could be associated with the PEG masking the surface charge on the negatively charged curcumin, indicating that while PEG does not possess an amphiphilic character, the polymer was adsorbing onto the surfaces of the nanoparticles. From this initial </w:t>
      </w:r>
      <w:r w:rsidR="001D3263" w:rsidRPr="0011329B">
        <w:rPr>
          <w:rFonts w:ascii="Times New Roman" w:hAnsi="Times New Roman"/>
          <w:sz w:val="24"/>
          <w:szCs w:val="24"/>
        </w:rPr>
        <w:t>experiment,</w:t>
      </w:r>
      <w:r w:rsidR="00766D90" w:rsidRPr="0011329B">
        <w:rPr>
          <w:rFonts w:ascii="Times New Roman" w:hAnsi="Times New Roman"/>
          <w:sz w:val="24"/>
          <w:szCs w:val="24"/>
        </w:rPr>
        <w:t xml:space="preserve"> </w:t>
      </w:r>
      <w:r w:rsidRPr="0011329B">
        <w:rPr>
          <w:rFonts w:ascii="Times New Roman" w:hAnsi="Times New Roman"/>
          <w:sz w:val="24"/>
          <w:szCs w:val="24"/>
        </w:rPr>
        <w:t xml:space="preserve">the SDN formulation prepared using a PEG concentration of 22.5 mg/mL was selected for further </w:t>
      </w:r>
      <w:r w:rsidR="00766D90" w:rsidRPr="0011329B">
        <w:rPr>
          <w:rFonts w:ascii="Times New Roman" w:hAnsi="Times New Roman"/>
          <w:sz w:val="24"/>
          <w:szCs w:val="24"/>
        </w:rPr>
        <w:t xml:space="preserve">investigation </w:t>
      </w:r>
      <w:r w:rsidR="000A106C" w:rsidRPr="0011329B">
        <w:rPr>
          <w:rFonts w:ascii="Times New Roman" w:hAnsi="Times New Roman"/>
          <w:sz w:val="24"/>
          <w:szCs w:val="24"/>
        </w:rPr>
        <w:t xml:space="preserve">as </w:t>
      </w:r>
      <w:r w:rsidRPr="0011329B">
        <w:rPr>
          <w:rFonts w:ascii="Times New Roman" w:hAnsi="Times New Roman"/>
          <w:sz w:val="24"/>
          <w:szCs w:val="24"/>
        </w:rPr>
        <w:t xml:space="preserve">it showed small size, complete water dispersion and narrowest PDI).  </w:t>
      </w:r>
    </w:p>
    <w:p w14:paraId="61E018A9" w14:textId="5167A61E" w:rsidR="001D3263" w:rsidRPr="0011329B" w:rsidRDefault="001D3263" w:rsidP="008574F5">
      <w:pPr>
        <w:pStyle w:val="RSCB02ArticleText"/>
        <w:spacing w:line="360" w:lineRule="auto"/>
        <w:rPr>
          <w:rFonts w:ascii="Times New Roman" w:hAnsi="Times New Roman"/>
          <w:sz w:val="24"/>
          <w:szCs w:val="24"/>
        </w:rPr>
      </w:pPr>
    </w:p>
    <w:p w14:paraId="105CB248" w14:textId="5305787D" w:rsidR="001D3263" w:rsidRPr="0011329B" w:rsidRDefault="001D3263" w:rsidP="008574F5">
      <w:pPr>
        <w:pStyle w:val="RSCB02ArticleText"/>
        <w:spacing w:line="360" w:lineRule="auto"/>
        <w:rPr>
          <w:rFonts w:ascii="Times New Roman" w:hAnsi="Times New Roman"/>
          <w:sz w:val="24"/>
          <w:szCs w:val="24"/>
        </w:rPr>
      </w:pPr>
    </w:p>
    <w:p w14:paraId="13EC3425" w14:textId="405C81B5" w:rsidR="001D3263" w:rsidRPr="0011329B" w:rsidRDefault="001D3263" w:rsidP="008574F5">
      <w:pPr>
        <w:pStyle w:val="RSCB02ArticleText"/>
        <w:spacing w:line="360" w:lineRule="auto"/>
        <w:rPr>
          <w:rFonts w:ascii="Times New Roman" w:hAnsi="Times New Roman"/>
          <w:sz w:val="24"/>
          <w:szCs w:val="24"/>
        </w:rPr>
      </w:pPr>
    </w:p>
    <w:p w14:paraId="37E8C895" w14:textId="77777777" w:rsidR="001D3263" w:rsidRPr="0011329B" w:rsidRDefault="001D3263" w:rsidP="008574F5">
      <w:pPr>
        <w:pStyle w:val="RSCB02ArticleText"/>
        <w:spacing w:line="360" w:lineRule="auto"/>
        <w:rPr>
          <w:rFonts w:ascii="Times New Roman" w:hAnsi="Times New Roman"/>
          <w:sz w:val="24"/>
          <w:szCs w:val="24"/>
        </w:rPr>
      </w:pPr>
    </w:p>
    <w:p w14:paraId="7EEAAF35" w14:textId="5398D90A" w:rsidR="002A6C14" w:rsidRPr="0011329B" w:rsidRDefault="002A6C14" w:rsidP="002A6C14">
      <w:pPr>
        <w:pStyle w:val="RSCI04CaptiontoFigureSchemeChart"/>
        <w:spacing w:line="360" w:lineRule="auto"/>
        <w:jc w:val="left"/>
        <w:rPr>
          <w:rFonts w:ascii="Times New Roman" w:hAnsi="Times New Roman" w:cs="Times New Roman"/>
          <w:b/>
          <w:sz w:val="22"/>
          <w:szCs w:val="22"/>
        </w:rPr>
      </w:pPr>
      <w:r w:rsidRPr="0011329B">
        <w:rPr>
          <w:rFonts w:ascii="Times New Roman" w:hAnsi="Times New Roman" w:cs="Times New Roman"/>
          <w:b/>
          <w:noProof/>
          <w:sz w:val="22"/>
          <w:szCs w:val="22"/>
        </w:rPr>
        <w:lastRenderedPageBreak/>
        <w:drawing>
          <wp:inline distT="0" distB="0" distL="0" distR="0" wp14:anchorId="72C4B1EC" wp14:editId="6CD8C8B6">
            <wp:extent cx="2879090" cy="4282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9090" cy="4282440"/>
                    </a:xfrm>
                    <a:prstGeom prst="rect">
                      <a:avLst/>
                    </a:prstGeom>
                    <a:noFill/>
                    <a:ln>
                      <a:noFill/>
                    </a:ln>
                  </pic:spPr>
                </pic:pic>
              </a:graphicData>
            </a:graphic>
          </wp:inline>
        </w:drawing>
      </w:r>
    </w:p>
    <w:p w14:paraId="0C507A92" w14:textId="5EB12FBD" w:rsidR="002A6C14" w:rsidRPr="0011329B" w:rsidRDefault="002A6C14" w:rsidP="00F82FDC">
      <w:pPr>
        <w:autoSpaceDE w:val="0"/>
        <w:autoSpaceDN w:val="0"/>
        <w:adjustRightInd w:val="0"/>
        <w:spacing w:line="360" w:lineRule="auto"/>
        <w:rPr>
          <w:rFonts w:eastAsiaTheme="minorHAnsi"/>
          <w:sz w:val="22"/>
          <w:szCs w:val="22"/>
          <w:lang w:val="en-GB"/>
        </w:rPr>
      </w:pPr>
      <w:r w:rsidRPr="0011329B">
        <w:rPr>
          <w:b/>
          <w:sz w:val="22"/>
          <w:szCs w:val="22"/>
          <w:lang w:val="en-GB"/>
        </w:rPr>
        <w:t>Figure 3:</w:t>
      </w:r>
      <w:r w:rsidRPr="0011329B">
        <w:rPr>
          <w:sz w:val="22"/>
          <w:szCs w:val="22"/>
          <w:lang w:val="en-GB"/>
        </w:rPr>
        <w:t xml:space="preserve"> Influence of polymer concentration on the z-average diameter (A) and zeta potential (B) of </w:t>
      </w:r>
      <w:r w:rsidR="007B077E" w:rsidRPr="0011329B">
        <w:rPr>
          <w:sz w:val="22"/>
          <w:szCs w:val="22"/>
          <w:lang w:val="en-GB"/>
        </w:rPr>
        <w:t>the nanosuspensions</w:t>
      </w:r>
      <w:r w:rsidRPr="0011329B">
        <w:rPr>
          <w:sz w:val="22"/>
          <w:szCs w:val="22"/>
          <w:lang w:val="en-GB"/>
        </w:rPr>
        <w:t>.</w:t>
      </w:r>
      <w:r w:rsidR="00993E95" w:rsidRPr="0011329B">
        <w:rPr>
          <w:sz w:val="22"/>
          <w:szCs w:val="22"/>
          <w:lang w:val="en-GB"/>
        </w:rPr>
        <w:t xml:space="preserve"> </w:t>
      </w:r>
      <w:r w:rsidR="00993E95" w:rsidRPr="0011329B">
        <w:rPr>
          <w:rFonts w:eastAsiaTheme="minorHAnsi"/>
          <w:sz w:val="22"/>
          <w:szCs w:val="22"/>
          <w:lang w:val="en-GB"/>
        </w:rPr>
        <w:t xml:space="preserve">All </w:t>
      </w:r>
      <w:r w:rsidR="000A106C" w:rsidRPr="0011329B">
        <w:rPr>
          <w:rFonts w:eastAsiaTheme="minorHAnsi"/>
          <w:sz w:val="22"/>
          <w:szCs w:val="22"/>
          <w:lang w:val="en-GB"/>
        </w:rPr>
        <w:t>the</w:t>
      </w:r>
      <w:r w:rsidR="000A106C" w:rsidRPr="0011329B">
        <w:rPr>
          <w:sz w:val="22"/>
          <w:szCs w:val="22"/>
          <w:lang w:val="en-GB"/>
        </w:rPr>
        <w:t xml:space="preserve"> z-average diameter and zeta potential</w:t>
      </w:r>
      <w:r w:rsidR="000A106C" w:rsidRPr="0011329B">
        <w:rPr>
          <w:rFonts w:eastAsiaTheme="minorHAnsi"/>
          <w:sz w:val="22"/>
          <w:szCs w:val="22"/>
          <w:lang w:val="en-GB"/>
        </w:rPr>
        <w:t xml:space="preserve"> </w:t>
      </w:r>
      <w:r w:rsidR="00993E95" w:rsidRPr="0011329B">
        <w:rPr>
          <w:rFonts w:eastAsiaTheme="minorHAnsi"/>
          <w:sz w:val="22"/>
          <w:szCs w:val="22"/>
          <w:lang w:val="en-GB"/>
        </w:rPr>
        <w:t xml:space="preserve">measurements were </w:t>
      </w:r>
      <w:r w:rsidR="007B077E" w:rsidRPr="0011329B">
        <w:rPr>
          <w:rFonts w:eastAsiaTheme="minorHAnsi"/>
          <w:sz w:val="22"/>
          <w:szCs w:val="22"/>
          <w:lang w:val="en-GB"/>
        </w:rPr>
        <w:t>carried out</w:t>
      </w:r>
      <w:r w:rsidR="00993E95" w:rsidRPr="0011329B">
        <w:rPr>
          <w:rFonts w:eastAsiaTheme="minorHAnsi"/>
          <w:sz w:val="22"/>
          <w:szCs w:val="22"/>
          <w:lang w:val="en-GB"/>
        </w:rPr>
        <w:t xml:space="preserve"> in triplicate.</w:t>
      </w:r>
    </w:p>
    <w:p w14:paraId="4ECC5466" w14:textId="77777777" w:rsidR="00993E95" w:rsidRPr="0011329B" w:rsidRDefault="00993E95" w:rsidP="00F82FDC">
      <w:pPr>
        <w:autoSpaceDE w:val="0"/>
        <w:autoSpaceDN w:val="0"/>
        <w:adjustRightInd w:val="0"/>
      </w:pPr>
    </w:p>
    <w:p w14:paraId="4B355B0E" w14:textId="57CF2149" w:rsidR="008F4997" w:rsidRPr="0011329B" w:rsidRDefault="008F4997" w:rsidP="002F10E8">
      <w:pPr>
        <w:pStyle w:val="RSCB02ArticleText"/>
        <w:spacing w:line="360" w:lineRule="auto"/>
        <w:rPr>
          <w:rFonts w:ascii="Times New Roman" w:hAnsi="Times New Roman"/>
          <w:sz w:val="24"/>
          <w:szCs w:val="24"/>
        </w:rPr>
      </w:pPr>
      <w:r w:rsidRPr="0011329B">
        <w:rPr>
          <w:rFonts w:ascii="Times New Roman" w:hAnsi="Times New Roman"/>
          <w:sz w:val="24"/>
          <w:szCs w:val="24"/>
        </w:rPr>
        <w:t xml:space="preserve">As sonication was used to form an emulsion of the curcumin-containing oil droplets in the aqueous solution of PEG. The previous experiments used a sonication time of 15 seconds. Therefore, experiments were undertaken with increased sonication times to study the impact on the z-average diameters of </w:t>
      </w:r>
      <w:r w:rsidR="007B077E" w:rsidRPr="0011329B">
        <w:rPr>
          <w:rFonts w:ascii="Times New Roman" w:hAnsi="Times New Roman"/>
          <w:sz w:val="24"/>
          <w:szCs w:val="24"/>
        </w:rPr>
        <w:t>the nanosuspensions</w:t>
      </w:r>
      <w:r w:rsidRPr="0011329B">
        <w:rPr>
          <w:rFonts w:ascii="Times New Roman" w:hAnsi="Times New Roman"/>
          <w:sz w:val="24"/>
          <w:szCs w:val="24"/>
        </w:rPr>
        <w:t>. Sonication times of 15, 30, and 60 seconds were used, while oil: water ratio (1:4) and PEG concentration at 22.5 mg/mL and curcumin concentration (10 mg/mL) remained constant. A change in sonication time showed no influence on z-average diameters in the formulation with PEG concentrations (22.5 mg/mL) as shown in Fig</w:t>
      </w:r>
      <w:r w:rsidR="00E6269A" w:rsidRPr="0011329B">
        <w:rPr>
          <w:rFonts w:ascii="Times New Roman" w:hAnsi="Times New Roman"/>
          <w:sz w:val="24"/>
          <w:szCs w:val="24"/>
        </w:rPr>
        <w:t>.</w:t>
      </w:r>
      <w:r w:rsidRPr="0011329B">
        <w:rPr>
          <w:rFonts w:ascii="Times New Roman" w:hAnsi="Times New Roman"/>
          <w:sz w:val="24"/>
          <w:szCs w:val="24"/>
        </w:rPr>
        <w:t xml:space="preserve"> S</w:t>
      </w:r>
      <w:r w:rsidR="00E6269A" w:rsidRPr="0011329B">
        <w:rPr>
          <w:rFonts w:ascii="Times New Roman" w:hAnsi="Times New Roman"/>
          <w:sz w:val="24"/>
          <w:szCs w:val="24"/>
        </w:rPr>
        <w:t>5</w:t>
      </w:r>
      <w:r w:rsidRPr="0011329B">
        <w:rPr>
          <w:rFonts w:ascii="Times New Roman" w:hAnsi="Times New Roman"/>
          <w:sz w:val="24"/>
          <w:szCs w:val="24"/>
        </w:rPr>
        <w:t xml:space="preserve">. However, increasing the sonication time from 15 to 30 and 60 seconds negatively influenced the ability for the freeze-dried solid monoliths to redisperse in water, as observed by the presence insoluble particles in the samples that could be seen by eye. The presence of insoluble particles could be due to the increased sonication </w:t>
      </w:r>
      <w:r w:rsidRPr="0011329B">
        <w:rPr>
          <w:rFonts w:ascii="Times New Roman" w:hAnsi="Times New Roman"/>
          <w:sz w:val="24"/>
          <w:szCs w:val="24"/>
        </w:rPr>
        <w:lastRenderedPageBreak/>
        <w:t>time resulting in scission of the PEG chains.</w:t>
      </w:r>
      <w:r w:rsidRPr="0011329B">
        <w:rPr>
          <w:rFonts w:ascii="Times New Roman" w:hAnsi="Times New Roman"/>
          <w:sz w:val="24"/>
          <w:szCs w:val="24"/>
        </w:rPr>
        <w:fldChar w:fldCharType="begin" w:fldLock="1"/>
      </w:r>
      <w:r w:rsidR="00147035" w:rsidRPr="0011329B">
        <w:rPr>
          <w:rFonts w:ascii="Times New Roman" w:hAnsi="Times New Roman"/>
          <w:sz w:val="24"/>
          <w:szCs w:val="24"/>
        </w:rPr>
        <w:instrText>ADDIN CSL_CITATION {"citationItems":[{"id":"ITEM-1","itemData":{"DOI":"10.1007/978-1-4939-6646-2_10","ISSN":"10643745","PMID":"28150202","abstract":"Polyethylene glycol (PEG) and related polymers are often used in the solubilization and noncovalent functionalization of carbon nanomaterials by sonication. For example, carbon nanotubes are frequently sonicated with PEG-containing surfactants of the Pluronic® series or phospholipid-PEG polymers to noncovalently functionalize the nanotubes. However, PEG is very sensitive to degradation upon sonication and the degradation products can be toxic to mammalian cells and to organisms such as zebrafish embryos. It is therefore useful to have a simple and inexpensive method to determine the extent of potential PEG sonolysis, as described in this chapter. Intact PEG polymers and degraded fragments are resolved on sodium dodecyl sulfate polyacrylamide gels by electrophoresis and visualized by staining with barium iodine (BaI2). Digitized images of gels are acquired using a flatbed photo scanner and the intensities of BaI2-stained PEG bands are quantified using ImageJ software. Degradation of PEG polymers after sonication is readily detected by the reduction of band intensities in gels compared to those of non-sonicated, intact PEG polymers. In addition, the approach can be used to rapidly screen various sonication conditions to identify those that might minimize PEG degradation to acceptable levels.","author":[{"dropping-particle":"","family":"Wang","given":"Ruhung","non-dropping-particle":"","parse-names":false,"suffix":""},{"dropping-particle":"","family":"Murali","given":"Vasanth S.","non-dropping-particle":"","parse-names":false,"suffix":""},{"dropping-particle":"","family":"Draper","given":"Rockford","non-dropping-particle":"","parse-names":false,"suffix":""}],"container-title":"Methods in Molecular Biology","id":"ITEM-1","issued":{"date-parts":[["2017"]]},"page":"147-164","publisher":"Humana Press Inc.","title":"Detecting sonolysis of polyethylene glycol upon functionalizing carbon nanotubes","type":"chapter","volume":"1530"},"uris":["http://www.mendeley.com/documents/?uuid=00cbfcd9-4e61-3aff-9075-2a255ce92e3a","http://www.mendeley.com/documents/?uuid=de1c5885-045b-490d-8262-e8d02df70236"]}],"mendeley":{"formattedCitation":"[31]","plainTextFormattedCitation":"[31]","previouslyFormattedCitation":"[31]"},"properties":{"noteIndex":0},"schema":"https://github.com/citation-style-language/schema/raw/master/csl-citation.json"}</w:instrText>
      </w:r>
      <w:r w:rsidRPr="0011329B">
        <w:rPr>
          <w:rFonts w:ascii="Times New Roman" w:hAnsi="Times New Roman"/>
          <w:sz w:val="24"/>
          <w:szCs w:val="24"/>
        </w:rPr>
        <w:fldChar w:fldCharType="separate"/>
      </w:r>
      <w:r w:rsidR="00F64EE7" w:rsidRPr="0011329B">
        <w:rPr>
          <w:rFonts w:ascii="Times New Roman" w:hAnsi="Times New Roman"/>
          <w:noProof/>
          <w:sz w:val="24"/>
          <w:szCs w:val="24"/>
        </w:rPr>
        <w:t>[31]</w:t>
      </w:r>
      <w:r w:rsidRPr="0011329B">
        <w:rPr>
          <w:rFonts w:ascii="Times New Roman" w:hAnsi="Times New Roman"/>
          <w:sz w:val="24"/>
          <w:szCs w:val="24"/>
        </w:rPr>
        <w:fldChar w:fldCharType="end"/>
      </w:r>
      <w:r w:rsidRPr="0011329B">
        <w:rPr>
          <w:rFonts w:ascii="Times New Roman" w:hAnsi="Times New Roman"/>
          <w:sz w:val="24"/>
          <w:szCs w:val="24"/>
        </w:rPr>
        <w:t xml:space="preserve"> As a result, PEG </w:t>
      </w:r>
      <w:r w:rsidR="00C00157" w:rsidRPr="0011329B">
        <w:rPr>
          <w:rFonts w:ascii="Times New Roman" w:hAnsi="Times New Roman"/>
          <w:sz w:val="24"/>
          <w:szCs w:val="24"/>
        </w:rPr>
        <w:t xml:space="preserve">likely became </w:t>
      </w:r>
      <w:r w:rsidRPr="0011329B">
        <w:rPr>
          <w:rFonts w:ascii="Times New Roman" w:hAnsi="Times New Roman"/>
          <w:sz w:val="24"/>
          <w:szCs w:val="24"/>
        </w:rPr>
        <w:t xml:space="preserve">less effective at stabilising the </w:t>
      </w:r>
      <w:r w:rsidR="007B077E" w:rsidRPr="0011329B">
        <w:rPr>
          <w:rFonts w:ascii="Times New Roman" w:hAnsi="Times New Roman"/>
          <w:sz w:val="24"/>
          <w:szCs w:val="24"/>
        </w:rPr>
        <w:t>nanoparticles</w:t>
      </w:r>
      <w:r w:rsidRPr="0011329B">
        <w:rPr>
          <w:rFonts w:ascii="Times New Roman" w:hAnsi="Times New Roman"/>
          <w:sz w:val="24"/>
          <w:szCs w:val="24"/>
        </w:rPr>
        <w:t>. Hence, PEG concentration 22.5 mg/mL and sonication time 15 seconds was</w:t>
      </w:r>
      <w:r w:rsidR="00965269" w:rsidRPr="0011329B">
        <w:rPr>
          <w:rFonts w:ascii="Times New Roman" w:hAnsi="Times New Roman"/>
          <w:sz w:val="24"/>
          <w:szCs w:val="24"/>
        </w:rPr>
        <w:t xml:space="preserve"> chosen and used</w:t>
      </w:r>
      <w:r w:rsidRPr="0011329B">
        <w:rPr>
          <w:rFonts w:ascii="Times New Roman" w:hAnsi="Times New Roman"/>
          <w:sz w:val="24"/>
          <w:szCs w:val="24"/>
        </w:rPr>
        <w:t xml:space="preserve"> for further studies. </w:t>
      </w:r>
    </w:p>
    <w:p w14:paraId="58F3066B" w14:textId="77777777" w:rsidR="008F4997" w:rsidRPr="0011329B" w:rsidRDefault="008F4997" w:rsidP="002F10E8">
      <w:pPr>
        <w:pStyle w:val="RSCB02ArticleText"/>
        <w:spacing w:line="360" w:lineRule="auto"/>
        <w:rPr>
          <w:rFonts w:ascii="Times New Roman" w:hAnsi="Times New Roman"/>
          <w:sz w:val="24"/>
          <w:szCs w:val="24"/>
        </w:rPr>
      </w:pPr>
      <w:r w:rsidRPr="0011329B">
        <w:rPr>
          <w:rFonts w:ascii="Times New Roman" w:hAnsi="Times New Roman"/>
          <w:sz w:val="24"/>
          <w:szCs w:val="24"/>
        </w:rPr>
        <w:t xml:space="preserve">  </w:t>
      </w:r>
    </w:p>
    <w:p w14:paraId="7E4A2B02" w14:textId="60C71DAE" w:rsidR="008F4997" w:rsidRPr="0011329B" w:rsidRDefault="008F4997" w:rsidP="002F10E8">
      <w:pPr>
        <w:pStyle w:val="RSCB02ArticleText"/>
        <w:spacing w:line="360" w:lineRule="auto"/>
        <w:rPr>
          <w:rFonts w:ascii="Times New Roman" w:hAnsi="Times New Roman"/>
          <w:sz w:val="24"/>
          <w:szCs w:val="24"/>
        </w:rPr>
      </w:pPr>
      <w:r w:rsidRPr="0011329B">
        <w:rPr>
          <w:rFonts w:ascii="Times New Roman" w:hAnsi="Times New Roman"/>
          <w:sz w:val="24"/>
          <w:szCs w:val="24"/>
        </w:rPr>
        <w:t xml:space="preserve">As the earlier results indicating the PEG concentration of 22.5 mg/mL was superior compared to other concentrations, the </w:t>
      </w:r>
      <w:r w:rsidR="00030DE4" w:rsidRPr="0011329B">
        <w:rPr>
          <w:rFonts w:ascii="Times New Roman" w:hAnsi="Times New Roman"/>
          <w:sz w:val="24"/>
          <w:szCs w:val="24"/>
        </w:rPr>
        <w:t xml:space="preserve">curcumin </w:t>
      </w:r>
      <w:r w:rsidRPr="0011329B">
        <w:rPr>
          <w:rFonts w:ascii="Times New Roman" w:hAnsi="Times New Roman"/>
          <w:sz w:val="24"/>
          <w:szCs w:val="24"/>
        </w:rPr>
        <w:t xml:space="preserve">concentration was also adjusted in the </w:t>
      </w:r>
      <w:r w:rsidR="007B077E" w:rsidRPr="0011329B">
        <w:rPr>
          <w:rFonts w:ascii="Times New Roman" w:hAnsi="Times New Roman"/>
          <w:sz w:val="24"/>
          <w:szCs w:val="24"/>
        </w:rPr>
        <w:t xml:space="preserve">formulation </w:t>
      </w:r>
      <w:r w:rsidRPr="0011329B">
        <w:rPr>
          <w:rFonts w:ascii="Times New Roman" w:hAnsi="Times New Roman"/>
          <w:sz w:val="24"/>
          <w:szCs w:val="24"/>
        </w:rPr>
        <w:t xml:space="preserve">to aid with particle stabilisation and dispersity.  The influence of increasing the </w:t>
      </w:r>
      <w:r w:rsidR="00030DE4" w:rsidRPr="0011329B">
        <w:rPr>
          <w:rFonts w:ascii="Times New Roman" w:hAnsi="Times New Roman"/>
          <w:sz w:val="24"/>
          <w:szCs w:val="24"/>
        </w:rPr>
        <w:t xml:space="preserve">curcumin </w:t>
      </w:r>
      <w:r w:rsidRPr="0011329B">
        <w:rPr>
          <w:rFonts w:ascii="Times New Roman" w:hAnsi="Times New Roman"/>
          <w:sz w:val="24"/>
          <w:szCs w:val="24"/>
        </w:rPr>
        <w:t xml:space="preserve">concentration used in the emulsion templated freeze-drying process was then studied, while other parameters were fixed (PEG concentration (22.5 mg/mL), sonication time (15 seconds) and oil: water ratio (1:4). Increasing the concentration of curcumin from 10, 13 to 23 mg/mL, while using PEG concentration of 22.5 mg/mL, showed an increase in the z-average diameter of </w:t>
      </w:r>
      <w:r w:rsidR="007B077E" w:rsidRPr="0011329B">
        <w:rPr>
          <w:rFonts w:ascii="Times New Roman" w:hAnsi="Times New Roman"/>
          <w:sz w:val="24"/>
          <w:szCs w:val="24"/>
        </w:rPr>
        <w:t xml:space="preserve">nanosuspension </w:t>
      </w:r>
      <w:r w:rsidRPr="0011329B">
        <w:rPr>
          <w:rFonts w:ascii="Times New Roman" w:hAnsi="Times New Roman"/>
          <w:sz w:val="24"/>
          <w:szCs w:val="24"/>
        </w:rPr>
        <w:t>and PDI (Fig</w:t>
      </w:r>
      <w:r w:rsidR="008574F5" w:rsidRPr="0011329B">
        <w:rPr>
          <w:rFonts w:ascii="Times New Roman" w:hAnsi="Times New Roman"/>
          <w:sz w:val="24"/>
          <w:szCs w:val="24"/>
        </w:rPr>
        <w:t>.</w:t>
      </w:r>
      <w:r w:rsidRPr="0011329B">
        <w:rPr>
          <w:rFonts w:ascii="Times New Roman" w:hAnsi="Times New Roman"/>
          <w:sz w:val="24"/>
          <w:szCs w:val="24"/>
        </w:rPr>
        <w:t xml:space="preserve"> 4). This increase in size was due to the presence of a higher concentration of </w:t>
      </w:r>
      <w:r w:rsidR="00030DE4" w:rsidRPr="0011329B">
        <w:rPr>
          <w:rFonts w:ascii="Times New Roman" w:hAnsi="Times New Roman"/>
          <w:sz w:val="24"/>
          <w:szCs w:val="24"/>
        </w:rPr>
        <w:t>curcumin</w:t>
      </w:r>
      <w:r w:rsidRPr="0011329B">
        <w:rPr>
          <w:rFonts w:ascii="Times New Roman" w:hAnsi="Times New Roman"/>
          <w:sz w:val="24"/>
          <w:szCs w:val="24"/>
        </w:rPr>
        <w:t>, which led to the formation of more nuclei in the solution, accelerating the growth process.</w:t>
      </w:r>
      <w:r w:rsidRPr="0011329B">
        <w:rPr>
          <w:rFonts w:ascii="Times New Roman" w:hAnsi="Times New Roman"/>
          <w:sz w:val="24"/>
          <w:szCs w:val="24"/>
        </w:rPr>
        <w:fldChar w:fldCharType="begin" w:fldLock="1"/>
      </w:r>
      <w:r w:rsidR="00147035" w:rsidRPr="0011329B">
        <w:rPr>
          <w:rFonts w:ascii="Times New Roman" w:hAnsi="Times New Roman"/>
          <w:sz w:val="24"/>
          <w:szCs w:val="24"/>
        </w:rPr>
        <w:instrText>ADDIN CSL_CITATION {"citationItems":[{"id":"ITEM-1","itemData":{"abstract":"In the drug research and development field, more and more new drug candidates has been found to be practically insoluble in aqueous solvents and many of them are simultaneously poorly soluble in organic solvents. Since nanosuspension drug delivery system (DDS) was firstly developed in 1994, nanosuspension DDS has attracted more and more attention as a formation solution for the poorly soluble drugs. In this chapter, the preparation methods, the characterization methods, the postproduction process including the solidification techniques and surface modification process, the common dosage forms, and clinical applications of nanosuspension DDS are introduced and discussed. This chapter provides a comprehensive information of nanosuspension DDS and will benefit pharmaceutical scientists and engineers.","author":[{"dropping-particle":"","family":"Zhang","given":"Jiuhong","non-dropping-particle":"","parse-names":false,"suffix":""},{"dropping-particle":"","family":"Xie","given":"Zhiqiang","non-dropping-particle":"","parse-names":false,"suffix":""},{"dropping-particle":"","family":"Zhang","given":"Nan","non-dropping-particle":"","parse-names":false,"suffix":""},{"dropping-particle":"","family":"Zhong","given":"Jian","non-dropping-particle":"","parse-names":false,"suffix":""}],"container-title":"Nanostructures for Drug Delivery","id":"ITEM-1","issued":{"date-parts":[["2017"]]},"page":"413-443","title":"Nanosuspension drug delivery system: preparation, characterization, postproduction processing, dosage form, and application","type":"chapter"},"uris":["http://www.mendeley.com/documents/?uuid=b294c171-5d29-3db8-883b-5ebfd291b213","http://www.mendeley.com/documents/?uuid=7fdf8ed7-673f-40b5-8779-a3cffc390398"]}],"mendeley":{"formattedCitation":"[32]","plainTextFormattedCitation":"[32]","previouslyFormattedCitation":"[32]"},"properties":{"noteIndex":0},"schema":"https://github.com/citation-style-language/schema/raw/master/csl-citation.json"}</w:instrText>
      </w:r>
      <w:r w:rsidRPr="0011329B">
        <w:rPr>
          <w:rFonts w:ascii="Times New Roman" w:hAnsi="Times New Roman"/>
          <w:sz w:val="24"/>
          <w:szCs w:val="24"/>
        </w:rPr>
        <w:fldChar w:fldCharType="separate"/>
      </w:r>
      <w:r w:rsidR="00F64EE7" w:rsidRPr="0011329B">
        <w:rPr>
          <w:rFonts w:ascii="Times New Roman" w:hAnsi="Times New Roman"/>
          <w:noProof/>
          <w:sz w:val="24"/>
          <w:szCs w:val="24"/>
        </w:rPr>
        <w:t>[32]</w:t>
      </w:r>
      <w:r w:rsidRPr="0011329B">
        <w:rPr>
          <w:rFonts w:ascii="Times New Roman" w:hAnsi="Times New Roman"/>
          <w:sz w:val="24"/>
          <w:szCs w:val="24"/>
        </w:rPr>
        <w:fldChar w:fldCharType="end"/>
      </w:r>
      <w:r w:rsidRPr="0011329B">
        <w:rPr>
          <w:rFonts w:ascii="Times New Roman" w:hAnsi="Times New Roman"/>
          <w:sz w:val="24"/>
          <w:szCs w:val="24"/>
        </w:rPr>
        <w:t xml:space="preserve"> This larger number of particle nuclei were potentially not effectively stabilised by the amount of PEG available, leading the formation of aggregates.</w:t>
      </w:r>
      <w:r w:rsidRPr="0011329B">
        <w:rPr>
          <w:rFonts w:ascii="Times New Roman" w:hAnsi="Times New Roman"/>
          <w:sz w:val="24"/>
          <w:szCs w:val="24"/>
        </w:rPr>
        <w:fldChar w:fldCharType="begin" w:fldLock="1"/>
      </w:r>
      <w:r w:rsidR="00147035" w:rsidRPr="0011329B">
        <w:rPr>
          <w:rFonts w:ascii="Times New Roman" w:hAnsi="Times New Roman"/>
          <w:sz w:val="24"/>
          <w:szCs w:val="24"/>
        </w:rPr>
        <w:instrText>ADDIN CSL_CITATION {"citationItems":[{"id":"ITEM-1","itemData":{"URL":"https://www.researchgate.net/publication/26575865_Nanosuspensions_A_Novel_Approach_In_Drug_Delivery","accessed":{"date-parts":[["2020","4","30"]]},"container-title":"Pharmaceutical reviews","id":"ITEM-1","issued":{"date-parts":[["2008"]]},"page":"1-11","title":"Nanosuspensions : A Novel Approach In Drug Delivery","type":"webpage"},"uris":["http://www.mendeley.com/documents/?uuid=e5154159-caf9-3137-be4e-f8af7587f1d5","http://www.mendeley.com/documents/?uuid=4f5c6d8b-8889-4a11-adfc-a3cd985fe420"]}],"mendeley":{"formattedCitation":"[33]","plainTextFormattedCitation":"[33]","previouslyFormattedCitation":"[33]"},"properties":{"noteIndex":0},"schema":"https://github.com/citation-style-language/schema/raw/master/csl-citation.json"}</w:instrText>
      </w:r>
      <w:r w:rsidRPr="0011329B">
        <w:rPr>
          <w:rFonts w:ascii="Times New Roman" w:hAnsi="Times New Roman"/>
          <w:sz w:val="24"/>
          <w:szCs w:val="24"/>
        </w:rPr>
        <w:fldChar w:fldCharType="separate"/>
      </w:r>
      <w:r w:rsidR="00F64EE7" w:rsidRPr="0011329B">
        <w:rPr>
          <w:rFonts w:ascii="Times New Roman" w:hAnsi="Times New Roman"/>
          <w:noProof/>
          <w:sz w:val="24"/>
          <w:szCs w:val="24"/>
        </w:rPr>
        <w:t>[33]</w:t>
      </w:r>
      <w:r w:rsidRPr="0011329B">
        <w:rPr>
          <w:rFonts w:ascii="Times New Roman" w:hAnsi="Times New Roman"/>
          <w:sz w:val="24"/>
          <w:szCs w:val="24"/>
        </w:rPr>
        <w:fldChar w:fldCharType="end"/>
      </w:r>
      <w:r w:rsidRPr="0011329B">
        <w:rPr>
          <w:rFonts w:ascii="Times New Roman" w:hAnsi="Times New Roman"/>
          <w:sz w:val="24"/>
          <w:szCs w:val="24"/>
        </w:rPr>
        <w:t xml:space="preserve"> Moreover, </w:t>
      </w:r>
      <w:r w:rsidR="007B077E" w:rsidRPr="0011329B">
        <w:rPr>
          <w:rFonts w:ascii="Times New Roman" w:hAnsi="Times New Roman"/>
          <w:sz w:val="24"/>
          <w:szCs w:val="24"/>
        </w:rPr>
        <w:t>the nanosuspension</w:t>
      </w:r>
      <w:r w:rsidRPr="0011329B">
        <w:rPr>
          <w:rFonts w:ascii="Times New Roman" w:hAnsi="Times New Roman"/>
          <w:sz w:val="24"/>
          <w:szCs w:val="24"/>
        </w:rPr>
        <w:t xml:space="preserve"> prepared at curcumin concentration 13 mg and 23 mg/mL showed incomplete water dispersion. The poor water dispersion was observed by the presence of insoluble particles/aggregates within the samples. This could be due to an insufficient concentration of PEG to stabilise the curcumin nanoparticles. Therefore, the </w:t>
      </w:r>
      <w:r w:rsidR="00A6114F" w:rsidRPr="0011329B">
        <w:rPr>
          <w:rFonts w:ascii="Times New Roman" w:hAnsi="Times New Roman"/>
          <w:sz w:val="24"/>
          <w:szCs w:val="24"/>
        </w:rPr>
        <w:t xml:space="preserve">tuned parameters selected were a </w:t>
      </w:r>
      <w:r w:rsidR="00030DE4" w:rsidRPr="0011329B">
        <w:rPr>
          <w:rFonts w:ascii="Times New Roman" w:hAnsi="Times New Roman"/>
          <w:sz w:val="24"/>
          <w:szCs w:val="24"/>
        </w:rPr>
        <w:t>curcumin</w:t>
      </w:r>
      <w:r w:rsidR="00030DE4" w:rsidRPr="0011329B" w:rsidDel="00030DE4">
        <w:rPr>
          <w:rFonts w:ascii="Times New Roman" w:hAnsi="Times New Roman"/>
          <w:sz w:val="24"/>
          <w:szCs w:val="24"/>
        </w:rPr>
        <w:t xml:space="preserve"> </w:t>
      </w:r>
      <w:r w:rsidRPr="0011329B">
        <w:rPr>
          <w:rFonts w:ascii="Times New Roman" w:hAnsi="Times New Roman"/>
          <w:sz w:val="24"/>
          <w:szCs w:val="24"/>
        </w:rPr>
        <w:t xml:space="preserve">concentration </w:t>
      </w:r>
      <w:r w:rsidR="00A6114F" w:rsidRPr="0011329B">
        <w:rPr>
          <w:rFonts w:ascii="Times New Roman" w:hAnsi="Times New Roman"/>
          <w:sz w:val="24"/>
          <w:szCs w:val="24"/>
        </w:rPr>
        <w:t>of</w:t>
      </w:r>
      <w:r w:rsidRPr="0011329B">
        <w:rPr>
          <w:rFonts w:ascii="Times New Roman" w:hAnsi="Times New Roman"/>
          <w:sz w:val="24"/>
          <w:szCs w:val="24"/>
        </w:rPr>
        <w:t xml:space="preserve"> 10 mg/mL with a PEG concentration of 22.5 mg/mL</w:t>
      </w:r>
      <w:r w:rsidR="00965269" w:rsidRPr="0011329B">
        <w:rPr>
          <w:rFonts w:ascii="Times New Roman" w:hAnsi="Times New Roman"/>
          <w:sz w:val="24"/>
          <w:szCs w:val="24"/>
        </w:rPr>
        <w:t xml:space="preserve"> and sonication time of 15 seconds</w:t>
      </w:r>
      <w:r w:rsidRPr="0011329B">
        <w:rPr>
          <w:rFonts w:ascii="Times New Roman" w:hAnsi="Times New Roman"/>
          <w:sz w:val="24"/>
          <w:szCs w:val="24"/>
        </w:rPr>
        <w:t>.</w:t>
      </w:r>
    </w:p>
    <w:p w14:paraId="6BA94F0E" w14:textId="760F6DB9" w:rsidR="008C342E" w:rsidRPr="0011329B" w:rsidRDefault="008C342E" w:rsidP="008574F5">
      <w:pPr>
        <w:pStyle w:val="RSCI04CaptiontoFigureSchemeChart"/>
        <w:spacing w:line="360" w:lineRule="auto"/>
        <w:jc w:val="center"/>
        <w:rPr>
          <w:rFonts w:ascii="Times New Roman" w:hAnsi="Times New Roman" w:cs="Times New Roman"/>
          <w:b/>
          <w:bCs w:val="0"/>
          <w:sz w:val="24"/>
          <w:szCs w:val="24"/>
        </w:rPr>
      </w:pPr>
    </w:p>
    <w:p w14:paraId="48F1588E" w14:textId="77777777" w:rsidR="00965269" w:rsidRPr="0011329B" w:rsidRDefault="00965269" w:rsidP="008574F5">
      <w:pPr>
        <w:pStyle w:val="RSCI04CaptiontoFigureSchemeChart"/>
        <w:spacing w:line="360" w:lineRule="auto"/>
        <w:jc w:val="center"/>
        <w:rPr>
          <w:rFonts w:ascii="Times New Roman" w:hAnsi="Times New Roman" w:cs="Times New Roman"/>
          <w:b/>
          <w:bCs w:val="0"/>
          <w:sz w:val="24"/>
          <w:szCs w:val="24"/>
        </w:rPr>
      </w:pPr>
    </w:p>
    <w:p w14:paraId="20BDBBFC" w14:textId="77777777" w:rsidR="008C342E" w:rsidRPr="0011329B" w:rsidRDefault="008C342E" w:rsidP="008574F5">
      <w:pPr>
        <w:pStyle w:val="RSCI04CaptiontoFigureSchemeChart"/>
        <w:spacing w:line="360" w:lineRule="auto"/>
        <w:jc w:val="center"/>
        <w:rPr>
          <w:rFonts w:ascii="Times New Roman" w:hAnsi="Times New Roman" w:cs="Times New Roman"/>
          <w:b/>
          <w:bCs w:val="0"/>
          <w:sz w:val="24"/>
          <w:szCs w:val="24"/>
        </w:rPr>
      </w:pPr>
    </w:p>
    <w:p w14:paraId="1215B1BF" w14:textId="46654F13" w:rsidR="008C342E" w:rsidRPr="0011329B" w:rsidRDefault="008C342E" w:rsidP="008C342E">
      <w:pPr>
        <w:pStyle w:val="RSCI04CaptiontoFigureSchemeChart"/>
        <w:spacing w:line="360" w:lineRule="auto"/>
        <w:jc w:val="left"/>
        <w:rPr>
          <w:rFonts w:ascii="Times New Roman" w:hAnsi="Times New Roman" w:cs="Times New Roman"/>
          <w:b/>
          <w:sz w:val="22"/>
          <w:szCs w:val="22"/>
        </w:rPr>
      </w:pPr>
      <w:r w:rsidRPr="0011329B">
        <w:rPr>
          <w:rFonts w:ascii="Times New Roman" w:hAnsi="Times New Roman" w:cs="Times New Roman"/>
          <w:noProof/>
          <w:sz w:val="22"/>
          <w:szCs w:val="22"/>
        </w:rPr>
        <w:lastRenderedPageBreak/>
        <w:drawing>
          <wp:inline distT="0" distB="0" distL="0" distR="0" wp14:anchorId="63280A08" wp14:editId="1C8F7417">
            <wp:extent cx="2879090" cy="2078990"/>
            <wp:effectExtent l="0" t="0" r="0" b="0"/>
            <wp:docPr id="6" name="Picture 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 scatter ch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9090" cy="2078990"/>
                    </a:xfrm>
                    <a:prstGeom prst="rect">
                      <a:avLst/>
                    </a:prstGeom>
                    <a:noFill/>
                    <a:ln>
                      <a:noFill/>
                    </a:ln>
                  </pic:spPr>
                </pic:pic>
              </a:graphicData>
            </a:graphic>
          </wp:inline>
        </w:drawing>
      </w:r>
    </w:p>
    <w:p w14:paraId="6550A1E2" w14:textId="524DFFD3" w:rsidR="008C342E" w:rsidRPr="0011329B" w:rsidRDefault="008C342E" w:rsidP="00F82FDC">
      <w:pPr>
        <w:autoSpaceDE w:val="0"/>
        <w:autoSpaceDN w:val="0"/>
        <w:adjustRightInd w:val="0"/>
        <w:spacing w:line="360" w:lineRule="auto"/>
      </w:pPr>
      <w:r w:rsidRPr="0011329B">
        <w:rPr>
          <w:b/>
          <w:sz w:val="22"/>
          <w:szCs w:val="22"/>
          <w:lang w:val="en-GB"/>
        </w:rPr>
        <w:t xml:space="preserve">Figure 4: </w:t>
      </w:r>
      <w:r w:rsidRPr="0011329B">
        <w:rPr>
          <w:sz w:val="22"/>
          <w:szCs w:val="22"/>
          <w:lang w:val="en-GB"/>
        </w:rPr>
        <w:t xml:space="preserve">The influence of </w:t>
      </w:r>
      <w:r w:rsidR="00F71897" w:rsidRPr="0011329B">
        <w:rPr>
          <w:lang w:val="en-GB"/>
        </w:rPr>
        <w:t>curcumin</w:t>
      </w:r>
      <w:r w:rsidR="00F71897" w:rsidRPr="0011329B">
        <w:rPr>
          <w:sz w:val="22"/>
          <w:szCs w:val="22"/>
          <w:lang w:val="en-GB"/>
        </w:rPr>
        <w:t xml:space="preserve"> </w:t>
      </w:r>
      <w:r w:rsidRPr="0011329B">
        <w:rPr>
          <w:lang w:val="en-GB"/>
        </w:rPr>
        <w:t xml:space="preserve">concentration (10, 13, and 23 mg/mL) at PEG concentrations 22.5 mg/mL on the z-average diameter of </w:t>
      </w:r>
      <w:r w:rsidR="007B077E" w:rsidRPr="0011329B">
        <w:rPr>
          <w:lang w:val="en-GB"/>
        </w:rPr>
        <w:t>the nanosuspensions</w:t>
      </w:r>
      <w:r w:rsidRPr="0011329B">
        <w:rPr>
          <w:lang w:val="en-GB"/>
        </w:rPr>
        <w:t>.</w:t>
      </w:r>
      <w:r w:rsidR="00993E95" w:rsidRPr="0011329B">
        <w:rPr>
          <w:lang w:val="en-GB"/>
        </w:rPr>
        <w:t xml:space="preserve"> </w:t>
      </w:r>
      <w:r w:rsidR="00993E95" w:rsidRPr="0011329B">
        <w:rPr>
          <w:rFonts w:eastAsiaTheme="minorHAnsi"/>
          <w:lang w:val="en-GB"/>
        </w:rPr>
        <w:t xml:space="preserve">All </w:t>
      </w:r>
      <w:r w:rsidR="00657086" w:rsidRPr="0011329B">
        <w:rPr>
          <w:rFonts w:eastAsiaTheme="minorHAnsi"/>
          <w:lang w:val="en-GB"/>
        </w:rPr>
        <w:t xml:space="preserve">the </w:t>
      </w:r>
      <w:r w:rsidR="00965269" w:rsidRPr="0011329B">
        <w:rPr>
          <w:lang w:val="en-GB"/>
        </w:rPr>
        <w:t xml:space="preserve">z-average diameter </w:t>
      </w:r>
      <w:r w:rsidR="00993E95" w:rsidRPr="0011329B">
        <w:rPr>
          <w:rFonts w:eastAsiaTheme="minorHAnsi"/>
          <w:lang w:val="en-GB"/>
        </w:rPr>
        <w:t xml:space="preserve">measurements were </w:t>
      </w:r>
      <w:r w:rsidR="007B077E" w:rsidRPr="0011329B">
        <w:rPr>
          <w:rFonts w:eastAsiaTheme="minorHAnsi"/>
          <w:lang w:val="en-GB"/>
        </w:rPr>
        <w:t>carried out</w:t>
      </w:r>
      <w:r w:rsidR="00993E95" w:rsidRPr="0011329B">
        <w:rPr>
          <w:rFonts w:eastAsiaTheme="minorHAnsi"/>
          <w:lang w:val="en-GB"/>
        </w:rPr>
        <w:t xml:space="preserve"> in triplicate.</w:t>
      </w:r>
    </w:p>
    <w:p w14:paraId="2D1360E5" w14:textId="77777777" w:rsidR="008C342E" w:rsidRPr="0011329B" w:rsidRDefault="008C342E" w:rsidP="008C342E">
      <w:pPr>
        <w:pStyle w:val="RSCB06BHeadingSub-Section"/>
        <w:spacing w:line="360" w:lineRule="auto"/>
        <w:rPr>
          <w:rFonts w:ascii="Times New Roman" w:hAnsi="Times New Roman" w:cs="Times New Roman"/>
          <w:sz w:val="24"/>
          <w:szCs w:val="24"/>
        </w:rPr>
      </w:pPr>
    </w:p>
    <w:p w14:paraId="7E549645" w14:textId="29DC69EF" w:rsidR="008F4997" w:rsidRPr="0011329B" w:rsidRDefault="008F4997" w:rsidP="00F82FDC">
      <w:pPr>
        <w:pStyle w:val="RSCB06BHeadingSub-Section"/>
        <w:numPr>
          <w:ilvl w:val="1"/>
          <w:numId w:val="2"/>
        </w:numPr>
        <w:spacing w:line="360" w:lineRule="auto"/>
        <w:rPr>
          <w:rFonts w:ascii="Times New Roman" w:hAnsi="Times New Roman" w:cs="Times New Roman"/>
          <w:sz w:val="24"/>
          <w:szCs w:val="24"/>
        </w:rPr>
      </w:pPr>
      <w:r w:rsidRPr="0011329B">
        <w:rPr>
          <w:rFonts w:ascii="Times New Roman" w:hAnsi="Times New Roman" w:cs="Times New Roman"/>
          <w:sz w:val="24"/>
          <w:szCs w:val="24"/>
        </w:rPr>
        <w:t xml:space="preserve">Characterisation of </w:t>
      </w:r>
      <w:r w:rsidR="007B077E" w:rsidRPr="0011329B">
        <w:rPr>
          <w:rFonts w:ascii="Times New Roman" w:hAnsi="Times New Roman" w:cs="Times New Roman"/>
          <w:sz w:val="24"/>
          <w:szCs w:val="24"/>
        </w:rPr>
        <w:t>the selected nanosuspension formulation</w:t>
      </w:r>
    </w:p>
    <w:p w14:paraId="671BAA0A" w14:textId="766969EB" w:rsidR="008F4997" w:rsidRPr="0011329B" w:rsidRDefault="008F4997" w:rsidP="008574F5">
      <w:pPr>
        <w:spacing w:line="360" w:lineRule="auto"/>
        <w:jc w:val="both"/>
        <w:rPr>
          <w:lang w:val="en-GB"/>
        </w:rPr>
      </w:pPr>
      <w:r w:rsidRPr="0011329B">
        <w:rPr>
          <w:lang w:val="en-GB"/>
        </w:rPr>
        <w:t xml:space="preserve">Analysis of the </w:t>
      </w:r>
      <w:r w:rsidR="007B077E" w:rsidRPr="0011329B">
        <w:rPr>
          <w:lang w:val="en-GB"/>
        </w:rPr>
        <w:t>selected nanosuspension</w:t>
      </w:r>
      <w:r w:rsidRPr="0011329B">
        <w:rPr>
          <w:lang w:val="en-GB"/>
        </w:rPr>
        <w:t xml:space="preserve"> sample by SEM showed that the </w:t>
      </w:r>
      <w:r w:rsidR="007B077E" w:rsidRPr="0011329B">
        <w:rPr>
          <w:lang w:val="en-GB"/>
        </w:rPr>
        <w:t xml:space="preserve">nanoparticles </w:t>
      </w:r>
      <w:r w:rsidRPr="0011329B">
        <w:rPr>
          <w:lang w:val="en-GB"/>
        </w:rPr>
        <w:t>had a spherical shape and smallest size (50-100 nm)</w:t>
      </w:r>
      <w:r w:rsidR="00D64345" w:rsidRPr="0011329B">
        <w:rPr>
          <w:lang w:val="en-GB"/>
        </w:rPr>
        <w:t>,</w:t>
      </w:r>
      <w:r w:rsidRPr="0011329B">
        <w:rPr>
          <w:lang w:val="en-GB"/>
        </w:rPr>
        <w:t xml:space="preserve"> low polydispersity (Fig</w:t>
      </w:r>
      <w:r w:rsidR="008574F5" w:rsidRPr="0011329B">
        <w:rPr>
          <w:lang w:val="en-GB"/>
        </w:rPr>
        <w:t>.</w:t>
      </w:r>
      <w:r w:rsidRPr="0011329B">
        <w:rPr>
          <w:lang w:val="en-GB"/>
        </w:rPr>
        <w:t xml:space="preserve"> 5A)</w:t>
      </w:r>
      <w:r w:rsidR="00D64345" w:rsidRPr="0011329B">
        <w:rPr>
          <w:lang w:val="en-GB"/>
        </w:rPr>
        <w:t xml:space="preserve"> and complete</w:t>
      </w:r>
      <w:r w:rsidR="00A6114F" w:rsidRPr="0011329B">
        <w:rPr>
          <w:lang w:val="en-GB"/>
        </w:rPr>
        <w:t xml:space="preserve"> dispersion in</w:t>
      </w:r>
      <w:r w:rsidR="00D64345" w:rsidRPr="0011329B">
        <w:rPr>
          <w:lang w:val="en-GB"/>
        </w:rPr>
        <w:t xml:space="preserve"> water (</w:t>
      </w:r>
      <w:r w:rsidR="00A6114F" w:rsidRPr="0011329B">
        <w:rPr>
          <w:lang w:val="en-GB"/>
        </w:rPr>
        <w:t xml:space="preserve">the visual appearance of a dispersed formulation can be seen in </w:t>
      </w:r>
      <w:r w:rsidR="00D64345" w:rsidRPr="0011329B">
        <w:rPr>
          <w:lang w:val="en-GB"/>
        </w:rPr>
        <w:t>Fig. S6)</w:t>
      </w:r>
      <w:r w:rsidRPr="0011329B">
        <w:rPr>
          <w:lang w:val="en-GB"/>
        </w:rPr>
        <w:t xml:space="preserve">. The narrow distribution of </w:t>
      </w:r>
      <w:r w:rsidR="007B077E" w:rsidRPr="0011329B">
        <w:rPr>
          <w:lang w:val="en-GB"/>
        </w:rPr>
        <w:t xml:space="preserve">nanoparticles </w:t>
      </w:r>
      <w:r w:rsidRPr="0011329B">
        <w:rPr>
          <w:lang w:val="en-GB"/>
        </w:rPr>
        <w:t>was also confirmed in the size distribution obtained by DLS as shown in Fig</w:t>
      </w:r>
      <w:r w:rsidR="008574F5" w:rsidRPr="0011329B">
        <w:rPr>
          <w:lang w:val="en-GB"/>
        </w:rPr>
        <w:t>.</w:t>
      </w:r>
      <w:r w:rsidRPr="0011329B">
        <w:rPr>
          <w:lang w:val="en-GB"/>
        </w:rPr>
        <w:t xml:space="preserve"> 5B.</w:t>
      </w:r>
    </w:p>
    <w:p w14:paraId="09E7C997" w14:textId="67A48A8D" w:rsidR="008F4997" w:rsidRPr="0011329B" w:rsidRDefault="008F4997" w:rsidP="002F10E8">
      <w:pPr>
        <w:spacing w:line="360" w:lineRule="auto"/>
        <w:rPr>
          <w:lang w:val="en-GB"/>
        </w:rPr>
      </w:pPr>
    </w:p>
    <w:p w14:paraId="0F4248CA" w14:textId="6B0513C3" w:rsidR="008C342E" w:rsidRPr="0011329B" w:rsidRDefault="008C342E" w:rsidP="008C342E">
      <w:pPr>
        <w:pStyle w:val="RSCI04CaptiontoFigureSchemeChart"/>
        <w:spacing w:line="360" w:lineRule="auto"/>
        <w:jc w:val="left"/>
        <w:rPr>
          <w:rFonts w:ascii="Times New Roman" w:hAnsi="Times New Roman" w:cs="Times New Roman"/>
          <w:b/>
          <w:bCs w:val="0"/>
          <w:sz w:val="22"/>
          <w:szCs w:val="22"/>
        </w:rPr>
      </w:pPr>
      <w:r w:rsidRPr="0011329B">
        <w:rPr>
          <w:noProof/>
        </w:rPr>
        <w:lastRenderedPageBreak/>
        <w:drawing>
          <wp:inline distT="0" distB="0" distL="0" distR="0" wp14:anchorId="431F0006" wp14:editId="1750B96E">
            <wp:extent cx="2879725" cy="432371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9725" cy="4323715"/>
                    </a:xfrm>
                    <a:prstGeom prst="rect">
                      <a:avLst/>
                    </a:prstGeom>
                    <a:noFill/>
                  </pic:spPr>
                </pic:pic>
              </a:graphicData>
            </a:graphic>
          </wp:inline>
        </w:drawing>
      </w:r>
    </w:p>
    <w:p w14:paraId="7CEF2DD1" w14:textId="7C34EE56" w:rsidR="008C342E" w:rsidRPr="0011329B" w:rsidRDefault="008C342E" w:rsidP="00993E95">
      <w:pPr>
        <w:autoSpaceDE w:val="0"/>
        <w:autoSpaceDN w:val="0"/>
        <w:adjustRightInd w:val="0"/>
        <w:spacing w:line="360" w:lineRule="auto"/>
        <w:rPr>
          <w:rFonts w:eastAsiaTheme="minorHAnsi"/>
          <w:sz w:val="22"/>
          <w:szCs w:val="22"/>
          <w:lang w:val="en-GB"/>
        </w:rPr>
      </w:pPr>
      <w:r w:rsidRPr="0011329B">
        <w:rPr>
          <w:b/>
          <w:sz w:val="22"/>
          <w:szCs w:val="22"/>
          <w:lang w:val="en-GB"/>
        </w:rPr>
        <w:t>Figure 5:</w:t>
      </w:r>
      <w:r w:rsidR="007B077E" w:rsidRPr="0011329B">
        <w:rPr>
          <w:b/>
          <w:sz w:val="22"/>
          <w:szCs w:val="22"/>
          <w:lang w:val="en-GB"/>
        </w:rPr>
        <w:t xml:space="preserve"> </w:t>
      </w:r>
      <w:r w:rsidR="007B077E" w:rsidRPr="0011329B">
        <w:rPr>
          <w:sz w:val="22"/>
          <w:szCs w:val="22"/>
          <w:lang w:val="en-GB"/>
        </w:rPr>
        <w:t>Characterisation of the</w:t>
      </w:r>
      <w:r w:rsidR="00607A69" w:rsidRPr="0011329B">
        <w:rPr>
          <w:sz w:val="22"/>
          <w:szCs w:val="22"/>
          <w:lang w:val="en-GB"/>
        </w:rPr>
        <w:t xml:space="preserve"> selected curcumin nanosuspension formulation (22.5 mg/mL for PEG concentration, 10 mg/mL for curcumin concentration, 15 seconds sonication time, and </w:t>
      </w:r>
      <w:proofErr w:type="spellStart"/>
      <w:r w:rsidR="00607A69" w:rsidRPr="0011329B">
        <w:rPr>
          <w:sz w:val="22"/>
          <w:szCs w:val="22"/>
          <w:lang w:val="en-GB"/>
        </w:rPr>
        <w:t>oil:water</w:t>
      </w:r>
      <w:proofErr w:type="spellEnd"/>
      <w:r w:rsidR="00607A69" w:rsidRPr="0011329B">
        <w:rPr>
          <w:sz w:val="22"/>
          <w:szCs w:val="22"/>
          <w:lang w:val="en-GB"/>
        </w:rPr>
        <w:t xml:space="preserve"> ratio 1:4).</w:t>
      </w:r>
      <w:r w:rsidRPr="0011329B">
        <w:rPr>
          <w:sz w:val="22"/>
          <w:szCs w:val="22"/>
          <w:lang w:val="en-GB"/>
        </w:rPr>
        <w:t xml:space="preserve"> (A) SEM of</w:t>
      </w:r>
      <w:r w:rsidR="00607A69" w:rsidRPr="0011329B">
        <w:rPr>
          <w:sz w:val="22"/>
          <w:szCs w:val="22"/>
          <w:lang w:val="en-GB"/>
        </w:rPr>
        <w:t xml:space="preserve"> the curcumin</w:t>
      </w:r>
      <w:r w:rsidRPr="0011329B">
        <w:rPr>
          <w:sz w:val="22"/>
          <w:szCs w:val="22"/>
          <w:lang w:val="en-GB"/>
        </w:rPr>
        <w:t xml:space="preserve"> </w:t>
      </w:r>
      <w:r w:rsidR="00607A69" w:rsidRPr="0011329B">
        <w:rPr>
          <w:sz w:val="22"/>
          <w:szCs w:val="22"/>
          <w:lang w:val="en-GB"/>
        </w:rPr>
        <w:t>nanosuspension</w:t>
      </w:r>
      <w:r w:rsidRPr="0011329B">
        <w:rPr>
          <w:sz w:val="22"/>
          <w:szCs w:val="22"/>
          <w:lang w:val="en-GB"/>
        </w:rPr>
        <w:t xml:space="preserve">. B) </w:t>
      </w:r>
      <w:r w:rsidR="00607A69" w:rsidRPr="0011329B">
        <w:rPr>
          <w:sz w:val="22"/>
          <w:szCs w:val="22"/>
          <w:lang w:val="en-GB"/>
        </w:rPr>
        <w:t>The s</w:t>
      </w:r>
      <w:r w:rsidRPr="0011329B">
        <w:rPr>
          <w:sz w:val="22"/>
          <w:szCs w:val="22"/>
          <w:lang w:val="en-GB"/>
        </w:rPr>
        <w:t xml:space="preserve">ize distribution was obtained by DLS </w:t>
      </w:r>
      <w:r w:rsidR="00607A69" w:rsidRPr="0011329B">
        <w:rPr>
          <w:sz w:val="22"/>
          <w:szCs w:val="22"/>
          <w:lang w:val="en-GB"/>
        </w:rPr>
        <w:t xml:space="preserve">(the </w:t>
      </w:r>
      <w:r w:rsidR="00675789" w:rsidRPr="0011329B">
        <w:rPr>
          <w:sz w:val="22"/>
          <w:szCs w:val="22"/>
          <w:lang w:val="en-GB"/>
        </w:rPr>
        <w:t>z</w:t>
      </w:r>
      <w:r w:rsidRPr="0011329B">
        <w:rPr>
          <w:sz w:val="22"/>
          <w:szCs w:val="22"/>
          <w:lang w:val="en-GB"/>
        </w:rPr>
        <w:t>-average diameter</w:t>
      </w:r>
      <w:r w:rsidR="00675789" w:rsidRPr="0011329B">
        <w:rPr>
          <w:sz w:val="22"/>
          <w:szCs w:val="22"/>
          <w:lang w:val="en-GB"/>
        </w:rPr>
        <w:t xml:space="preserve"> was</w:t>
      </w:r>
      <w:r w:rsidRPr="0011329B">
        <w:rPr>
          <w:sz w:val="22"/>
          <w:szCs w:val="22"/>
          <w:lang w:val="en-GB"/>
        </w:rPr>
        <w:t xml:space="preserve"> 216 nm and PDI </w:t>
      </w:r>
      <w:r w:rsidR="00675789" w:rsidRPr="0011329B">
        <w:rPr>
          <w:sz w:val="22"/>
          <w:szCs w:val="22"/>
          <w:lang w:val="en-GB"/>
        </w:rPr>
        <w:t>was</w:t>
      </w:r>
      <w:r w:rsidRPr="0011329B">
        <w:rPr>
          <w:sz w:val="22"/>
          <w:szCs w:val="22"/>
          <w:lang w:val="en-GB"/>
        </w:rPr>
        <w:t xml:space="preserve"> 0.05</w:t>
      </w:r>
      <w:r w:rsidR="00607A69" w:rsidRPr="0011329B">
        <w:rPr>
          <w:sz w:val="22"/>
          <w:szCs w:val="22"/>
          <w:lang w:val="en-GB"/>
        </w:rPr>
        <w:t>)</w:t>
      </w:r>
      <w:r w:rsidRPr="0011329B">
        <w:rPr>
          <w:sz w:val="22"/>
          <w:szCs w:val="22"/>
          <w:lang w:val="en-GB"/>
        </w:rPr>
        <w:t xml:space="preserve">. </w:t>
      </w:r>
    </w:p>
    <w:p w14:paraId="731D7351" w14:textId="77777777" w:rsidR="00993E95" w:rsidRPr="0011329B" w:rsidRDefault="00993E95" w:rsidP="00F82FDC">
      <w:pPr>
        <w:autoSpaceDE w:val="0"/>
        <w:autoSpaceDN w:val="0"/>
        <w:adjustRightInd w:val="0"/>
        <w:spacing w:line="360" w:lineRule="auto"/>
        <w:rPr>
          <w:bCs/>
          <w:sz w:val="22"/>
          <w:szCs w:val="22"/>
        </w:rPr>
      </w:pPr>
    </w:p>
    <w:p w14:paraId="522EBD1F" w14:textId="7C32FB76" w:rsidR="008F4997" w:rsidRPr="0011329B" w:rsidRDefault="008F4997" w:rsidP="002F10E8">
      <w:pPr>
        <w:pStyle w:val="RSCB02ArticleText"/>
        <w:spacing w:line="360" w:lineRule="auto"/>
        <w:rPr>
          <w:rFonts w:ascii="Times New Roman" w:hAnsi="Times New Roman"/>
          <w:sz w:val="24"/>
          <w:szCs w:val="24"/>
        </w:rPr>
      </w:pPr>
      <w:r w:rsidRPr="0011329B">
        <w:rPr>
          <w:rFonts w:ascii="Times New Roman" w:hAnsi="Times New Roman"/>
          <w:sz w:val="24"/>
          <w:szCs w:val="24"/>
        </w:rPr>
        <w:t xml:space="preserve">The </w:t>
      </w:r>
      <w:r w:rsidR="00607A69" w:rsidRPr="0011329B">
        <w:rPr>
          <w:rFonts w:ascii="Times New Roman" w:hAnsi="Times New Roman"/>
          <w:sz w:val="24"/>
          <w:szCs w:val="24"/>
        </w:rPr>
        <w:t>selected nanosuspension formulation</w:t>
      </w:r>
      <w:r w:rsidRPr="0011329B">
        <w:rPr>
          <w:rFonts w:ascii="Times New Roman" w:hAnsi="Times New Roman"/>
          <w:sz w:val="24"/>
          <w:szCs w:val="24"/>
        </w:rPr>
        <w:t xml:space="preserve"> was characterised with FTIR spectrometry to identify the chemical composition of curcumin SDN powder after freeze-drying. FTIR spectra of unformulated curcumin, PEG and </w:t>
      </w:r>
      <w:r w:rsidR="00007A6A" w:rsidRPr="0011329B">
        <w:rPr>
          <w:rFonts w:ascii="Times New Roman" w:hAnsi="Times New Roman"/>
          <w:sz w:val="24"/>
          <w:szCs w:val="24"/>
        </w:rPr>
        <w:t xml:space="preserve">curcumin nanosuspension formulation </w:t>
      </w:r>
      <w:r w:rsidR="00525407" w:rsidRPr="0011329B">
        <w:rPr>
          <w:rFonts w:ascii="Times New Roman" w:hAnsi="Times New Roman"/>
          <w:sz w:val="24"/>
          <w:szCs w:val="24"/>
        </w:rPr>
        <w:t xml:space="preserve">are </w:t>
      </w:r>
      <w:r w:rsidRPr="0011329B">
        <w:rPr>
          <w:rFonts w:ascii="Times New Roman" w:hAnsi="Times New Roman"/>
          <w:sz w:val="24"/>
          <w:szCs w:val="24"/>
        </w:rPr>
        <w:t>shown in Fig</w:t>
      </w:r>
      <w:r w:rsidR="008574F5" w:rsidRPr="0011329B">
        <w:rPr>
          <w:rFonts w:ascii="Times New Roman" w:hAnsi="Times New Roman"/>
          <w:sz w:val="24"/>
          <w:szCs w:val="24"/>
        </w:rPr>
        <w:t>.</w:t>
      </w:r>
      <w:r w:rsidRPr="0011329B">
        <w:rPr>
          <w:rFonts w:ascii="Times New Roman" w:hAnsi="Times New Roman"/>
          <w:sz w:val="24"/>
          <w:szCs w:val="24"/>
        </w:rPr>
        <w:t>6. The spectrum of unformulated curcumin showed a sharp peak at 1626 cm</w:t>
      </w:r>
      <w:r w:rsidRPr="0011329B">
        <w:rPr>
          <w:rFonts w:ascii="Times New Roman" w:hAnsi="Times New Roman"/>
          <w:sz w:val="24"/>
          <w:szCs w:val="24"/>
          <w:vertAlign w:val="superscript"/>
        </w:rPr>
        <w:t>-1</w:t>
      </w:r>
      <w:r w:rsidRPr="0011329B">
        <w:rPr>
          <w:rFonts w:ascii="Times New Roman" w:hAnsi="Times New Roman"/>
          <w:sz w:val="24"/>
          <w:szCs w:val="24"/>
        </w:rPr>
        <w:t xml:space="preserve"> assigned to the enol carbonyl stretching, a peak at 1600 cm</w:t>
      </w:r>
      <w:r w:rsidRPr="0011329B">
        <w:rPr>
          <w:rFonts w:ascii="Times New Roman" w:hAnsi="Times New Roman"/>
          <w:sz w:val="24"/>
          <w:szCs w:val="24"/>
          <w:vertAlign w:val="superscript"/>
        </w:rPr>
        <w:t xml:space="preserve">-1 </w:t>
      </w:r>
      <w:r w:rsidRPr="0011329B">
        <w:rPr>
          <w:rFonts w:ascii="Times New Roman" w:hAnsi="Times New Roman"/>
          <w:sz w:val="24"/>
          <w:szCs w:val="24"/>
        </w:rPr>
        <w:t>assigned for aromatic ring stretching and a peak at 1500 cm</w:t>
      </w:r>
      <w:r w:rsidRPr="0011329B">
        <w:rPr>
          <w:rFonts w:ascii="Times New Roman" w:hAnsi="Times New Roman"/>
          <w:sz w:val="24"/>
          <w:szCs w:val="24"/>
          <w:vertAlign w:val="superscript"/>
        </w:rPr>
        <w:t xml:space="preserve">-1 </w:t>
      </w:r>
      <w:r w:rsidRPr="0011329B">
        <w:rPr>
          <w:rFonts w:ascii="Times New Roman" w:hAnsi="Times New Roman"/>
          <w:sz w:val="24"/>
          <w:szCs w:val="24"/>
        </w:rPr>
        <w:t>corresponded to C-O and C-C vibration. A strong peak at 3507 cm</w:t>
      </w:r>
      <w:r w:rsidRPr="0011329B">
        <w:rPr>
          <w:rFonts w:ascii="Times New Roman" w:hAnsi="Times New Roman"/>
          <w:sz w:val="24"/>
          <w:szCs w:val="24"/>
          <w:vertAlign w:val="superscript"/>
        </w:rPr>
        <w:t>-1</w:t>
      </w:r>
      <w:r w:rsidRPr="0011329B">
        <w:rPr>
          <w:rFonts w:ascii="Times New Roman" w:hAnsi="Times New Roman"/>
          <w:sz w:val="24"/>
          <w:szCs w:val="24"/>
        </w:rPr>
        <w:t xml:space="preserve"> assigned to O-H stretching.</w:t>
      </w:r>
      <w:r w:rsidR="00EF1C36" w:rsidRPr="0011329B">
        <w:rPr>
          <w:rFonts w:ascii="Times New Roman" w:hAnsi="Times New Roman"/>
          <w:sz w:val="24"/>
          <w:szCs w:val="24"/>
        </w:rPr>
        <w:fldChar w:fldCharType="begin" w:fldLock="1"/>
      </w:r>
      <w:r w:rsidR="00147035" w:rsidRPr="0011329B">
        <w:rPr>
          <w:rFonts w:ascii="Times New Roman" w:hAnsi="Times New Roman"/>
          <w:sz w:val="24"/>
          <w:szCs w:val="24"/>
        </w:rPr>
        <w:instrText>ADDIN CSL_CITATION {"citationItems":[{"id":"ITEM-1","itemData":{"DOI":"10.1111/jphp.12575","ISSN":"00223573","abstract":"Objectives: We developed Cur nanosuspension (Cur-NS) with PVPK30 and SDS as stabilizers to improve poor water solubility and short biological half-time of Cur. Methods: Physicochemical characterization of Cur-NS was characterized systematically. The in-vitro dissolution, cytotoxicity and in-vivo pharmacokinetic experiments of Cur-NS were also evaluated. Key findings: Scanning electron microscope indicated that the morphologies of Cur-NS were spherical or ellipsoidal in shape. X-ray diffraction verified that Cur was successfully developed as nanoparticles with an amorphous phase in Cur-NS. Fourier transform infrared spectroscopy suggested there was no degradation about Cur in the Cur-NS. Furthermore, the in-vitro study showed that the cumulative release of the Cur-NS was 82.16 ± 2.62% within 34 h and the cytotoxicity of the Cur-NS against HepG2 cells was much better than raw Cur. Besides, in-vivo pharmacokinetics in rats by intravenous injection displayed that the in-vivo process of Cur-NS pertained to two-compartment model. Meanwhile, the t1/2 and AUC0–t of Cur-NS were enhanced by 11.0-fold and 4.2-fold comparing to Cur solution. Conclusions: The Cur-NS significantly increased the water solubility and half-time of Cur, suggesting its potential as a nanocarrier in the delivery of Cur for future clinical application.","author":[{"dropping-particle":"","family":"Li","given":"Xin","non-dropping-particle":"","parse-names":false,"suffix":""},{"dropping-particle":"","family":"Yuan","given":"Huiling","non-dropping-particle":"","parse-names":false,"suffix":""},{"dropping-particle":"","family":"Zhang","given":"Caiyun","non-dropping-particle":"","parse-names":false,"suffix":""},{"dropping-particle":"","family":"Chen","given":"Weidong","non-dropping-particle":"","parse-names":false,"suffix":""},{"dropping-particle":"","family":"Cheng","given":"Weiye","non-dropping-particle":"","parse-names":false,"suffix":""},{"dropping-particle":"","family":"Chen","given":"Xin","non-dropping-particle":"","parse-names":false,"suffix":""},{"dropping-particle":"","family":"Ye","given":"Xi","non-dropping-particle":"","parse-names":false,"suffix":""}],"container-title":"Journal of Pharmacy and Pharmacology","id":"ITEM-1","issue":"8","issued":{"date-parts":[["2016","8","1"]]},"page":"980-988","publisher":"Blackwell Publishing Ltd","title":"Preparation and &lt;i&gt;in-vitro&lt;/i&gt; / &lt;i&gt;in-vivo&lt;/i&gt; evaluation of curcumin nanosuspension with solubility enhancement","type":"article-journal","volume":"68"},"uris":["http://www.mendeley.com/documents/?uuid=798741cd-8418-31fc-b18e-f9872232f587"]},{"id":"ITEM-2","itemData":{"DOI":"10.1038/s41598-017-02523-4","ISSN":"20452322","abstract":"An increase in number of newly developed synthetic drugs displays bioavailability constraints because of poor water solubility. Nanosuspensions formulation may help to overwhelm these problems by increasing dissolution velocity and saturation solubility. In the present study, cyadox (Cyx) nanosuspension was successfully prepared by recrystallization based on acid-base neutralization combined with high pressure homogenization method using Polyvinylpyrrolidone K30 (PVP) as stabilizer. The nanosuspension had uniform particle distribution, excellent sedimentation rate and redispersibility. The nanosuspension significantly improved the solubility, dissolution and bioavailability. The saturation solubility of Cyx nanocrystal was higher than that of bulk Cyx and released the total drug in very short time. Further, pharmacokinetics of Cyx nanosuspension and normal suspension following oral administration was investigated in beagle dogs. Nanosuspension improved the bioavailability of Cyx which could be beneficial for intestinal bacterial infection in animals. Maximum concentration and area under concentration time curve were increased with particles size reduction which might give rise to pronounce fluctuations in plasma concentration and more intensified antibacterial effects. The terminal half-life and mean resident time of Cyx nanosuspension had also increased compared to normal Cyx suspension. In conclusion, nanosuspensions may be a suitable delivery approach to increase the bioavailability of poorly soluble drugs.","author":[{"dropping-particle":"","family":"Sattar","given":"Adeel","non-dropping-particle":"","parse-names":false,"suffix":""},{"dropping-particle":"","family":"Chen","given":"Dongmei","non-dropping-particle":"","parse-names":false,"suffix":""},{"dropping-particle":"","family":"Jiang","given":"Lishun","non-dropping-particle":"","parse-names":false,"suffix":""},{"dropping-particle":"","family":"Pan","given":"Yuanhu","non-dropping-particle":"","parse-names":false,"suffix":""},{"dropping-particle":"","family":"Tao","given":"Yanfei","non-dropping-particle":"","parse-names":false,"suffix":""},{"dropping-particle":"","family":"Huang","given":"Lingli","non-dropping-particle":"","parse-names":false,"suffix":""},{"dropping-particle":"","family":"Liu","given":"Zhenli","non-dropping-particle":"","parse-names":false,"suffix":""},{"dropping-particle":"","family":"Xie","given":"Shuyu","non-dropping-particle":"","parse-names":false,"suffix":""},{"dropping-particle":"","family":"Yuan","given":"Zonghui","non-dropping-particle":"","parse-names":false,"suffix":""}],"container-title":"Sci Rep","id":"ITEM-2","issue":"1","issued":{"date-parts":[["2017","12","1"]]},"page":"1-9","publisher":"Nature Publishing Group","title":"Preparation, characterization and pharmacokinetics of cyadox nanosuspension","type":"article-journal","volume":"7"},"uris":["http://www.mendeley.com/documents/?uuid=a0d4f251-887d-3486-86a6-43665cfc78e7"]}],"mendeley":{"formattedCitation":"[34,35]","plainTextFormattedCitation":"[34,35]","previouslyFormattedCitation":"[34,35]"},"properties":{"noteIndex":0},"schema":"https://github.com/citation-style-language/schema/raw/master/csl-citation.json"}</w:instrText>
      </w:r>
      <w:r w:rsidR="00EF1C36" w:rsidRPr="0011329B">
        <w:rPr>
          <w:rFonts w:ascii="Times New Roman" w:hAnsi="Times New Roman"/>
          <w:sz w:val="24"/>
          <w:szCs w:val="24"/>
        </w:rPr>
        <w:fldChar w:fldCharType="separate"/>
      </w:r>
      <w:r w:rsidR="00F64EE7" w:rsidRPr="0011329B">
        <w:rPr>
          <w:rFonts w:ascii="Times New Roman" w:hAnsi="Times New Roman"/>
          <w:noProof/>
          <w:sz w:val="24"/>
          <w:szCs w:val="24"/>
        </w:rPr>
        <w:t>[34,35]</w:t>
      </w:r>
      <w:r w:rsidR="00EF1C36" w:rsidRPr="0011329B">
        <w:rPr>
          <w:rFonts w:ascii="Times New Roman" w:hAnsi="Times New Roman"/>
          <w:sz w:val="24"/>
          <w:szCs w:val="24"/>
        </w:rPr>
        <w:fldChar w:fldCharType="end"/>
      </w:r>
      <w:r w:rsidRPr="0011329B">
        <w:rPr>
          <w:rFonts w:ascii="Times New Roman" w:hAnsi="Times New Roman"/>
          <w:sz w:val="24"/>
          <w:szCs w:val="24"/>
        </w:rPr>
        <w:t xml:space="preserve"> The spectrum of PEG showed peaks assigned as O-H stretching of hydroxyl groups at 3489 cm</w:t>
      </w:r>
      <w:r w:rsidRPr="0011329B">
        <w:rPr>
          <w:rFonts w:ascii="Times New Roman" w:hAnsi="Times New Roman"/>
          <w:sz w:val="24"/>
          <w:szCs w:val="24"/>
          <w:vertAlign w:val="superscript"/>
        </w:rPr>
        <w:t xml:space="preserve">-1 </w:t>
      </w:r>
      <w:r w:rsidRPr="0011329B">
        <w:rPr>
          <w:rFonts w:ascii="Times New Roman" w:hAnsi="Times New Roman"/>
          <w:sz w:val="24"/>
          <w:szCs w:val="24"/>
        </w:rPr>
        <w:t>and a peak corresponded to C-H stretching of alkanes at 2879 cm</w:t>
      </w:r>
      <w:r w:rsidRPr="0011329B">
        <w:rPr>
          <w:rFonts w:ascii="Times New Roman" w:hAnsi="Times New Roman"/>
          <w:sz w:val="24"/>
          <w:szCs w:val="24"/>
          <w:vertAlign w:val="superscript"/>
        </w:rPr>
        <w:t>-1</w:t>
      </w:r>
      <w:r w:rsidRPr="0011329B">
        <w:rPr>
          <w:rFonts w:ascii="Times New Roman" w:hAnsi="Times New Roman"/>
          <w:sz w:val="24"/>
          <w:szCs w:val="24"/>
        </w:rPr>
        <w:t>, C-H scissor and bending at 1466-1278 cm</w:t>
      </w:r>
      <w:r w:rsidRPr="0011329B">
        <w:rPr>
          <w:rFonts w:ascii="Times New Roman" w:hAnsi="Times New Roman"/>
          <w:sz w:val="24"/>
          <w:szCs w:val="24"/>
          <w:vertAlign w:val="superscript"/>
        </w:rPr>
        <w:t>-1</w:t>
      </w:r>
      <w:r w:rsidRPr="0011329B">
        <w:rPr>
          <w:rFonts w:ascii="Times New Roman" w:hAnsi="Times New Roman"/>
          <w:sz w:val="24"/>
          <w:szCs w:val="24"/>
        </w:rPr>
        <w:t xml:space="preserve">, C-O </w:t>
      </w:r>
      <w:r w:rsidRPr="0011329B">
        <w:rPr>
          <w:rFonts w:ascii="Times New Roman" w:hAnsi="Times New Roman"/>
          <w:sz w:val="24"/>
          <w:szCs w:val="24"/>
        </w:rPr>
        <w:lastRenderedPageBreak/>
        <w:t>stretching of alcohol at 1240 cm</w:t>
      </w:r>
      <w:r w:rsidRPr="0011329B">
        <w:rPr>
          <w:rFonts w:ascii="Times New Roman" w:hAnsi="Times New Roman"/>
          <w:sz w:val="24"/>
          <w:szCs w:val="24"/>
          <w:vertAlign w:val="superscript"/>
        </w:rPr>
        <w:t>-1</w:t>
      </w:r>
      <w:r w:rsidRPr="0011329B">
        <w:rPr>
          <w:rFonts w:ascii="Times New Roman" w:hAnsi="Times New Roman"/>
          <w:sz w:val="24"/>
          <w:szCs w:val="24"/>
        </w:rPr>
        <w:t xml:space="preserve"> and C-O-C stretching of ether at 1094-1059 cm</w:t>
      </w:r>
      <w:r w:rsidRPr="0011329B">
        <w:rPr>
          <w:rFonts w:ascii="Times New Roman" w:hAnsi="Times New Roman"/>
          <w:sz w:val="24"/>
          <w:szCs w:val="24"/>
          <w:vertAlign w:val="superscript"/>
        </w:rPr>
        <w:t>-1</w:t>
      </w:r>
      <w:r w:rsidRPr="0011329B">
        <w:rPr>
          <w:rFonts w:ascii="Times New Roman" w:hAnsi="Times New Roman"/>
          <w:sz w:val="24"/>
          <w:szCs w:val="24"/>
        </w:rPr>
        <w:t>.</w:t>
      </w:r>
      <w:r w:rsidRPr="0011329B">
        <w:rPr>
          <w:rStyle w:val="FootnoteReference"/>
          <w:rFonts w:ascii="Times New Roman" w:hAnsi="Times New Roman"/>
          <w:sz w:val="24"/>
          <w:szCs w:val="24"/>
        </w:rPr>
        <w:fldChar w:fldCharType="begin" w:fldLock="1"/>
      </w:r>
      <w:r w:rsidR="00147035" w:rsidRPr="0011329B">
        <w:rPr>
          <w:rFonts w:ascii="Times New Roman" w:hAnsi="Times New Roman"/>
          <w:sz w:val="24"/>
          <w:szCs w:val="24"/>
        </w:rPr>
        <w:instrText>ADDIN CSL_CITATION {"citationItems":[{"id":"ITEM-1","itemData":{"DOI":"10.1021/jf1031026","ISSN":"00218561","abstract":"The effects of molecular weight and concentration of plasticizer on physicochemical properties and stability of shellac films were investigated. Type of plasticizer was previously reported to have some effects on the stability of shellac films, and polyethylene glycol (PEG) was the plasticizer of choice for plasticizing shellac films. In this study, different molecular weights of PEG (200, 400 and 4000) were chosen at a concentration of 10% w/w of shellac films. Shellac in alcohol was prepared in a free film. The stability of shellac film was then performed at 75% RH, 40 °C for 3 months. The comparison was made between the film with and without plasticizer. Shellac films were then determined for acid value, insoluble solid, mechanical properties and water vapor permeability coefficient. It was reported that different molecular weights of PEG had some influence on physicochemical properties of the shellac films. Among different molecular weights of PEG, PEG 400 showed a suitable molecular weight that could protect the shellac chain at the carboxylic and hydroxyl groups. Therefore, the molecular weight of plasticizer played a crucial role for the protective ability at active sites. Further study was performed to investigate the effect of concentrations of PEG 400 on the stability. The results demonstrated that PEG 400 at a concentration of 10% (w/w) could prevent the polymerization process for only 4 months and a significant change of all parameters was then reported. However, a higher concentration, 20% (w/w) of PEG 400, could prolong the stability of shellac for 6 months of study. Therefore, the drawback of shellac as a natural polymer in pharmaceutical and food industries could be tackled by the appropriate size and concentration of plasticizer. © 2010 American Chemical Society.","author":[{"dropping-particle":"","family":"Luangtana-Anan","given":"Manee","non-dropping-particle":"","parse-names":false,"suffix":""},{"dropping-particle":"","family":"Nunthanid","given":"Jurairat","non-dropping-particle":"","parse-names":false,"suffix":""},{"dropping-particle":"","family":"Limmatvapirat","given":"Sontaya","non-dropping-particle":"","parse-names":false,"suffix":""}],"container-title":"Journal of Agricultural and Food Chemistry","id":"ITEM-1","issue":"24","issued":{"date-parts":[["2010","12","22"]]},"page":"12934-12940","publisher":"American Chemical Society","title":"Effect of molecular weight and concentration of polyethylene glycol on physicochemical properties and stability of shellac film","type":"article-journal","volume":"58"},"uris":["http://www.mendeley.com/documents/?uuid=a10fb506-772f-4170-81d3-344c03a4589c","http://www.mendeley.com/documents/?uuid=9cb7dcb3-1e6a-3560-9861-d973f9b4ac87"]}],"mendeley":{"formattedCitation":"[36]","plainTextFormattedCitation":"[36]","previouslyFormattedCitation":"[36]"},"properties":{"noteIndex":0},"schema":"https://github.com/citation-style-language/schema/raw/master/csl-citation.json"}</w:instrText>
      </w:r>
      <w:r w:rsidRPr="0011329B">
        <w:rPr>
          <w:rStyle w:val="FootnoteReference"/>
          <w:rFonts w:ascii="Times New Roman" w:hAnsi="Times New Roman"/>
          <w:sz w:val="24"/>
          <w:szCs w:val="24"/>
        </w:rPr>
        <w:fldChar w:fldCharType="separate"/>
      </w:r>
      <w:r w:rsidR="00F64EE7" w:rsidRPr="0011329B">
        <w:rPr>
          <w:rFonts w:ascii="Times New Roman" w:hAnsi="Times New Roman"/>
          <w:noProof/>
          <w:sz w:val="24"/>
          <w:szCs w:val="24"/>
        </w:rPr>
        <w:t>[36]</w:t>
      </w:r>
      <w:r w:rsidRPr="0011329B">
        <w:rPr>
          <w:rStyle w:val="FootnoteReference"/>
          <w:rFonts w:ascii="Times New Roman" w:hAnsi="Times New Roman"/>
          <w:sz w:val="24"/>
          <w:szCs w:val="24"/>
        </w:rPr>
        <w:fldChar w:fldCharType="end"/>
      </w:r>
      <w:r w:rsidRPr="0011329B">
        <w:rPr>
          <w:rFonts w:ascii="Times New Roman" w:hAnsi="Times New Roman"/>
          <w:sz w:val="24"/>
          <w:szCs w:val="24"/>
        </w:rPr>
        <w:t xml:space="preserve"> By comparing the spectra of curcumin </w:t>
      </w:r>
      <w:r w:rsidR="00607A69" w:rsidRPr="0011329B">
        <w:rPr>
          <w:rFonts w:ascii="Times New Roman" w:hAnsi="Times New Roman"/>
          <w:sz w:val="24"/>
          <w:szCs w:val="24"/>
        </w:rPr>
        <w:t xml:space="preserve">nanoformulation </w:t>
      </w:r>
      <w:r w:rsidRPr="0011329B">
        <w:rPr>
          <w:rFonts w:ascii="Times New Roman" w:hAnsi="Times New Roman"/>
          <w:sz w:val="24"/>
          <w:szCs w:val="24"/>
        </w:rPr>
        <w:t xml:space="preserve">and PEG, it was observed that the spectrum of curcumin </w:t>
      </w:r>
      <w:r w:rsidR="00607A69" w:rsidRPr="0011329B">
        <w:rPr>
          <w:rFonts w:ascii="Times New Roman" w:hAnsi="Times New Roman"/>
          <w:sz w:val="24"/>
          <w:szCs w:val="24"/>
        </w:rPr>
        <w:t xml:space="preserve">nanoformulation </w:t>
      </w:r>
      <w:r w:rsidRPr="0011329B">
        <w:rPr>
          <w:rFonts w:ascii="Times New Roman" w:hAnsi="Times New Roman"/>
          <w:sz w:val="24"/>
          <w:szCs w:val="24"/>
        </w:rPr>
        <w:t>was similar to the spectrum of PEG, but with a few differences. The similarities included the peaks appeared at 2879, 1466, 1278, 1094 and 1278 cm</w:t>
      </w:r>
      <w:r w:rsidRPr="0011329B">
        <w:rPr>
          <w:rFonts w:ascii="Times New Roman" w:hAnsi="Times New Roman"/>
          <w:sz w:val="24"/>
          <w:szCs w:val="24"/>
          <w:vertAlign w:val="superscript"/>
        </w:rPr>
        <w:t>-1</w:t>
      </w:r>
      <w:r w:rsidRPr="0011329B">
        <w:rPr>
          <w:rFonts w:ascii="Times New Roman" w:hAnsi="Times New Roman"/>
          <w:sz w:val="24"/>
          <w:szCs w:val="24"/>
        </w:rPr>
        <w:t xml:space="preserve">. In addition, the spectrum of </w:t>
      </w:r>
      <w:r w:rsidR="00607A69" w:rsidRPr="0011329B">
        <w:rPr>
          <w:rFonts w:ascii="Times New Roman" w:hAnsi="Times New Roman"/>
          <w:sz w:val="24"/>
          <w:szCs w:val="24"/>
        </w:rPr>
        <w:t xml:space="preserve">curcumin nanosuspension </w:t>
      </w:r>
      <w:r w:rsidRPr="0011329B">
        <w:rPr>
          <w:rFonts w:ascii="Times New Roman" w:hAnsi="Times New Roman"/>
          <w:sz w:val="24"/>
          <w:szCs w:val="24"/>
        </w:rPr>
        <w:t>showed a peak at 3400 cm</w:t>
      </w:r>
      <w:r w:rsidRPr="0011329B">
        <w:rPr>
          <w:rFonts w:ascii="Times New Roman" w:hAnsi="Times New Roman"/>
          <w:sz w:val="24"/>
          <w:szCs w:val="24"/>
          <w:vertAlign w:val="superscript"/>
        </w:rPr>
        <w:t>-1</w:t>
      </w:r>
      <w:r w:rsidRPr="0011329B">
        <w:rPr>
          <w:rFonts w:ascii="Times New Roman" w:hAnsi="Times New Roman"/>
          <w:sz w:val="24"/>
          <w:szCs w:val="24"/>
        </w:rPr>
        <w:t>, which was a shift for the typical curcumin peak (3507 cm</w:t>
      </w:r>
      <w:r w:rsidRPr="0011329B">
        <w:rPr>
          <w:rFonts w:ascii="Times New Roman" w:hAnsi="Times New Roman"/>
          <w:sz w:val="24"/>
          <w:szCs w:val="24"/>
          <w:vertAlign w:val="superscript"/>
        </w:rPr>
        <w:t>-1</w:t>
      </w:r>
      <w:r w:rsidRPr="0011329B">
        <w:rPr>
          <w:rFonts w:ascii="Times New Roman" w:hAnsi="Times New Roman"/>
          <w:sz w:val="24"/>
          <w:szCs w:val="24"/>
        </w:rPr>
        <w:t xml:space="preserve">) assigned for the O-H stretching of intermolecular bonded OH groups. Another peak of curcumin appeared at the spectrum of </w:t>
      </w:r>
      <w:r w:rsidR="00607A69" w:rsidRPr="0011329B">
        <w:rPr>
          <w:rFonts w:ascii="Times New Roman" w:hAnsi="Times New Roman"/>
          <w:sz w:val="24"/>
          <w:szCs w:val="24"/>
        </w:rPr>
        <w:t>nanosuspension</w:t>
      </w:r>
      <w:r w:rsidR="00607A69" w:rsidRPr="0011329B" w:rsidDel="00607A69">
        <w:rPr>
          <w:rFonts w:ascii="Times New Roman" w:hAnsi="Times New Roman"/>
          <w:sz w:val="24"/>
          <w:szCs w:val="24"/>
        </w:rPr>
        <w:t xml:space="preserve"> </w:t>
      </w:r>
      <w:r w:rsidRPr="0011329B">
        <w:rPr>
          <w:rFonts w:ascii="Times New Roman" w:hAnsi="Times New Roman"/>
          <w:sz w:val="24"/>
          <w:szCs w:val="24"/>
        </w:rPr>
        <w:t>was at 1624 cm</w:t>
      </w:r>
      <w:r w:rsidRPr="0011329B">
        <w:rPr>
          <w:rFonts w:ascii="Times New Roman" w:hAnsi="Times New Roman"/>
          <w:sz w:val="24"/>
          <w:szCs w:val="24"/>
          <w:vertAlign w:val="superscript"/>
        </w:rPr>
        <w:t>-1</w:t>
      </w:r>
      <w:r w:rsidRPr="0011329B">
        <w:rPr>
          <w:rFonts w:ascii="Times New Roman" w:hAnsi="Times New Roman"/>
          <w:sz w:val="24"/>
          <w:szCs w:val="24"/>
        </w:rPr>
        <w:t xml:space="preserve"> that</w:t>
      </w:r>
      <w:r w:rsidR="00285019" w:rsidRPr="0011329B">
        <w:rPr>
          <w:rFonts w:ascii="Times New Roman" w:hAnsi="Times New Roman"/>
          <w:sz w:val="24"/>
          <w:szCs w:val="24"/>
        </w:rPr>
        <w:t xml:space="preserve"> was</w:t>
      </w:r>
      <w:r w:rsidRPr="0011329B">
        <w:rPr>
          <w:rFonts w:ascii="Times New Roman" w:hAnsi="Times New Roman"/>
          <w:sz w:val="24"/>
          <w:szCs w:val="24"/>
        </w:rPr>
        <w:t xml:space="preserve"> assigned to enol carbonyl group stretching vibration. From the FTIR spectra, it was revealed that curcumin was incorporated into the PEG matrices during the preparation process. </w:t>
      </w:r>
    </w:p>
    <w:p w14:paraId="73A8C726" w14:textId="5A5DB73E" w:rsidR="008F4997" w:rsidRPr="0011329B" w:rsidRDefault="008F4997" w:rsidP="002F10E8">
      <w:pPr>
        <w:pStyle w:val="RSCI04CaptiontoFigureSchemeChart"/>
        <w:spacing w:line="360" w:lineRule="auto"/>
        <w:rPr>
          <w:rFonts w:ascii="Times New Roman" w:hAnsi="Times New Roman" w:cs="Times New Roman"/>
          <w:b/>
          <w:sz w:val="24"/>
          <w:szCs w:val="24"/>
        </w:rPr>
      </w:pPr>
    </w:p>
    <w:p w14:paraId="550DE9C7" w14:textId="1860F5FC" w:rsidR="00B21EF0" w:rsidRPr="0011329B" w:rsidRDefault="00B21EF0" w:rsidP="00B21EF0">
      <w:pPr>
        <w:pStyle w:val="ListParagraph"/>
        <w:spacing w:line="360" w:lineRule="auto"/>
        <w:rPr>
          <w:rFonts w:ascii="Times New Roman" w:hAnsi="Times New Roman" w:cs="Times New Roman"/>
          <w:b/>
          <w:bCs/>
          <w:sz w:val="22"/>
          <w:szCs w:val="22"/>
          <w:lang w:val="en-GB"/>
        </w:rPr>
      </w:pPr>
      <w:r w:rsidRPr="0011329B">
        <w:rPr>
          <w:noProof/>
          <w:lang w:val="en-GB"/>
        </w:rPr>
        <w:drawing>
          <wp:inline distT="0" distB="0" distL="0" distR="0" wp14:anchorId="18356FC7" wp14:editId="780CA69E">
            <wp:extent cx="3168015" cy="2144395"/>
            <wp:effectExtent l="0" t="0" r="0" b="0"/>
            <wp:docPr id="7" name="Picture 7"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timelin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8015" cy="2144395"/>
                    </a:xfrm>
                    <a:prstGeom prst="rect">
                      <a:avLst/>
                    </a:prstGeom>
                    <a:noFill/>
                    <a:ln>
                      <a:noFill/>
                    </a:ln>
                  </pic:spPr>
                </pic:pic>
              </a:graphicData>
            </a:graphic>
          </wp:inline>
        </w:drawing>
      </w:r>
    </w:p>
    <w:p w14:paraId="332815BB" w14:textId="3CFEB669" w:rsidR="00B21EF0" w:rsidRPr="0011329B" w:rsidRDefault="00B21EF0" w:rsidP="00F82FDC">
      <w:pPr>
        <w:spacing w:line="360" w:lineRule="auto"/>
        <w:rPr>
          <w:sz w:val="22"/>
          <w:szCs w:val="22"/>
          <w:lang w:val="en-GB"/>
        </w:rPr>
      </w:pPr>
      <w:r w:rsidRPr="0011329B">
        <w:rPr>
          <w:b/>
          <w:sz w:val="22"/>
          <w:szCs w:val="22"/>
          <w:lang w:val="en-GB"/>
        </w:rPr>
        <w:t xml:space="preserve">Figure 6: </w:t>
      </w:r>
      <w:r w:rsidRPr="0011329B">
        <w:rPr>
          <w:sz w:val="22"/>
          <w:szCs w:val="22"/>
          <w:lang w:val="en-GB"/>
        </w:rPr>
        <w:t xml:space="preserve">FTIR spectra of unformulated curcumin (Blue), PEG (Black), and curcumin </w:t>
      </w:r>
      <w:r w:rsidR="00007A6A" w:rsidRPr="0011329B">
        <w:rPr>
          <w:sz w:val="22"/>
          <w:szCs w:val="22"/>
          <w:lang w:val="en-GB"/>
        </w:rPr>
        <w:t xml:space="preserve">nanosuspension formulation </w:t>
      </w:r>
      <w:r w:rsidRPr="0011329B">
        <w:rPr>
          <w:sz w:val="22"/>
          <w:szCs w:val="22"/>
          <w:lang w:val="en-GB"/>
        </w:rPr>
        <w:t xml:space="preserve">(Red). The FTIR spectrum of curcumin </w:t>
      </w:r>
      <w:r w:rsidR="00607A69" w:rsidRPr="0011329B">
        <w:rPr>
          <w:sz w:val="22"/>
          <w:szCs w:val="22"/>
          <w:lang w:val="en-GB"/>
        </w:rPr>
        <w:t xml:space="preserve">nanosuspension </w:t>
      </w:r>
      <w:r w:rsidRPr="0011329B">
        <w:rPr>
          <w:sz w:val="22"/>
          <w:szCs w:val="22"/>
          <w:lang w:val="en-GB"/>
        </w:rPr>
        <w:t>was similar to the spectrum of PEG and had two peaks of curcumin revealing the encapsulation of curcumin in PEG matrices.</w:t>
      </w:r>
    </w:p>
    <w:p w14:paraId="23F4A836" w14:textId="77777777" w:rsidR="00B21EF0" w:rsidRPr="0011329B" w:rsidRDefault="00B21EF0" w:rsidP="00B21EF0">
      <w:pPr>
        <w:pStyle w:val="ListParagraph"/>
        <w:spacing w:line="360" w:lineRule="auto"/>
        <w:rPr>
          <w:rFonts w:ascii="Times New Roman" w:hAnsi="Times New Roman" w:cs="Times New Roman"/>
          <w:sz w:val="22"/>
          <w:szCs w:val="22"/>
          <w:lang w:val="en-GB"/>
        </w:rPr>
      </w:pPr>
    </w:p>
    <w:p w14:paraId="12B70CD0" w14:textId="57857FAA" w:rsidR="008F4997" w:rsidRPr="0011329B" w:rsidRDefault="0003681B" w:rsidP="00F82FDC">
      <w:pPr>
        <w:pStyle w:val="RSCB06BHeadingSub-Section"/>
        <w:numPr>
          <w:ilvl w:val="1"/>
          <w:numId w:val="2"/>
        </w:numPr>
        <w:spacing w:line="360" w:lineRule="auto"/>
        <w:rPr>
          <w:rFonts w:ascii="Times New Roman" w:hAnsi="Times New Roman" w:cs="Times New Roman"/>
          <w:sz w:val="24"/>
          <w:szCs w:val="24"/>
        </w:rPr>
      </w:pPr>
      <w:r w:rsidRPr="0011329B">
        <w:rPr>
          <w:rFonts w:ascii="Times New Roman" w:hAnsi="Times New Roman" w:cs="Times New Roman"/>
          <w:sz w:val="24"/>
          <w:szCs w:val="24"/>
        </w:rPr>
        <w:t xml:space="preserve"> </w:t>
      </w:r>
      <w:r w:rsidR="008F4997" w:rsidRPr="0011329B">
        <w:rPr>
          <w:rFonts w:ascii="Times New Roman" w:hAnsi="Times New Roman" w:cs="Times New Roman"/>
          <w:sz w:val="24"/>
          <w:szCs w:val="24"/>
        </w:rPr>
        <w:t>Curcumin stability study in GIT conditions</w:t>
      </w:r>
    </w:p>
    <w:p w14:paraId="2293432B" w14:textId="645F5721" w:rsidR="008F4997" w:rsidRPr="0011329B" w:rsidRDefault="008F4997" w:rsidP="002F10E8">
      <w:pPr>
        <w:pStyle w:val="RSCB02ArticleText"/>
        <w:spacing w:line="360" w:lineRule="auto"/>
        <w:rPr>
          <w:rFonts w:ascii="Times New Roman" w:hAnsi="Times New Roman"/>
          <w:sz w:val="24"/>
          <w:szCs w:val="24"/>
        </w:rPr>
      </w:pPr>
      <w:r w:rsidRPr="0011329B">
        <w:rPr>
          <w:rFonts w:ascii="Times New Roman" w:hAnsi="Times New Roman"/>
          <w:sz w:val="24"/>
          <w:szCs w:val="24"/>
        </w:rPr>
        <w:t xml:space="preserve">Knowledge of the chemical stability of curcumin and </w:t>
      </w:r>
      <w:r w:rsidR="0003681B" w:rsidRPr="0011329B">
        <w:rPr>
          <w:rFonts w:ascii="Times New Roman" w:hAnsi="Times New Roman"/>
          <w:sz w:val="24"/>
          <w:szCs w:val="24"/>
        </w:rPr>
        <w:t xml:space="preserve">nanosuspension </w:t>
      </w:r>
      <w:r w:rsidRPr="0011329B">
        <w:rPr>
          <w:rFonts w:ascii="Times New Roman" w:hAnsi="Times New Roman"/>
          <w:sz w:val="24"/>
          <w:szCs w:val="24"/>
        </w:rPr>
        <w:t>in different pH values is important because the formulation will be exposed to different pH values while traveling through the GIT.</w:t>
      </w:r>
      <w:r w:rsidRPr="0011329B">
        <w:rPr>
          <w:rStyle w:val="FootnoteReference"/>
          <w:rFonts w:ascii="Times New Roman" w:hAnsi="Times New Roman"/>
          <w:sz w:val="24"/>
          <w:szCs w:val="24"/>
        </w:rPr>
        <w:fldChar w:fldCharType="begin" w:fldLock="1"/>
      </w:r>
      <w:r w:rsidR="00147035" w:rsidRPr="0011329B">
        <w:rPr>
          <w:rFonts w:ascii="Times New Roman" w:hAnsi="Times New Roman"/>
          <w:sz w:val="24"/>
          <w:szCs w:val="24"/>
        </w:rPr>
        <w:instrText>ADDIN CSL_CITATION {"citationItems":[{"id":"ITEM-1","itemData":{"DOI":"10.1038/s41598-017-02523-4","ISSN":"20452322","abstract":"An increase in number of newly developed synthetic drugs displays bioavailability constraints because of poor water solubility. Nanosuspensions formulation may help to overwhelm these problems by increasing dissolution velocity and saturation solubility. In the present study, cyadox (Cyx) nanosuspension was successfully prepared by recrystallization based on acid-base neutralization combined with high pressure homogenization method using Polyvinylpyrrolidone K30 (PVP) as stabilizer. The nanosuspension had uniform particle distribution, excellent sedimentation rate and redispersibility. The nanosuspension significantly improved the solubility, dissolution and bioavailability. The saturation solubility of Cyx nanocrystal was higher than that of bulk Cyx and released the total drug in very short time. Further, pharmacokinetics of Cyx nanosuspension and normal suspension following oral administration was investigated in beagle dogs. Nanosuspension improved the bioavailability of Cyx which could be beneficial for intestinal bacterial infection in animals. Maximum concentration and area under concentration time curve were increased with particles size reduction which might give rise to pronounce fluctuations in plasma concentration and more intensified antibacterial effects. The terminal half-life and mean resident time of Cyx nanosuspension had also increased compared to normal Cyx suspension. In conclusion, nanosuspensions may be a suitable delivery approach to increase the bioavailability of poorly soluble drugs.","author":[{"dropping-particle":"","family":"Sattar","given":"Adeel","non-dropping-particle":"","parse-names":false,"suffix":""},{"dropping-particle":"","family":"Chen","given":"Dongmei","non-dropping-particle":"","parse-names":false,"suffix":""},{"dropping-particle":"","family":"Jiang","given":"Lishun","non-dropping-particle":"","parse-names":false,"suffix":""},{"dropping-particle":"","family":"Pan","given":"Yuanhu","non-dropping-particle":"","parse-names":false,"suffix":""},{"dropping-particle":"","family":"Tao","given":"Yanfei","non-dropping-particle":"","parse-names":false,"suffix":""},{"dropping-particle":"","family":"Huang","given":"Lingli","non-dropping-particle":"","parse-names":false,"suffix":""},{"dropping-particle":"","family":"Liu","given":"Zhenli","non-dropping-particle":"","parse-names":false,"suffix":""},{"dropping-particle":"","family":"Xie","given":"Shuyu","non-dropping-particle":"","parse-names":false,"suffix":""},{"dropping-particle":"","family":"Yuan","given":"Zonghui","non-dropping-particle":"","parse-names":false,"suffix":""}],"container-title":"Sci Rep","id":"ITEM-1","issue":"1","issued":{"date-parts":[["2017","12","1"]]},"page":"1-9","publisher":"Nature Publishing Group","title":"Preparation, characterization and pharmacokinetics of cyadox nanosuspension","type":"article-journal","volume":"7"},"uris":["http://www.mendeley.com/documents/?uuid=ce67a88e-4c22-3f3d-b3f2-3e390e21a527","http://www.mendeley.com/documents/?uuid=aeb0ab0c-8e66-4fdc-a7f0-980168939d5f"]}],"mendeley":{"formattedCitation":"[35]","plainTextFormattedCitation":"[35]","previouslyFormattedCitation":"[35]"},"properties":{"noteIndex":0},"schema":"https://github.com/citation-style-language/schema/raw/master/csl-citation.json"}</w:instrText>
      </w:r>
      <w:r w:rsidRPr="0011329B">
        <w:rPr>
          <w:rStyle w:val="FootnoteReference"/>
          <w:rFonts w:ascii="Times New Roman" w:hAnsi="Times New Roman"/>
          <w:sz w:val="24"/>
          <w:szCs w:val="24"/>
        </w:rPr>
        <w:fldChar w:fldCharType="separate"/>
      </w:r>
      <w:r w:rsidR="00F64EE7" w:rsidRPr="0011329B">
        <w:rPr>
          <w:rFonts w:ascii="Times New Roman" w:hAnsi="Times New Roman"/>
          <w:noProof/>
          <w:sz w:val="24"/>
          <w:szCs w:val="24"/>
        </w:rPr>
        <w:t>[35]</w:t>
      </w:r>
      <w:r w:rsidRPr="0011329B">
        <w:rPr>
          <w:rStyle w:val="FootnoteReference"/>
          <w:rFonts w:ascii="Times New Roman" w:hAnsi="Times New Roman"/>
          <w:sz w:val="24"/>
          <w:szCs w:val="24"/>
        </w:rPr>
        <w:fldChar w:fldCharType="end"/>
      </w:r>
      <w:r w:rsidRPr="0011329B">
        <w:rPr>
          <w:rFonts w:ascii="Times New Roman" w:hAnsi="Times New Roman"/>
          <w:sz w:val="24"/>
          <w:szCs w:val="24"/>
        </w:rPr>
        <w:t xml:space="preserve"> </w:t>
      </w:r>
      <w:r w:rsidR="00285019" w:rsidRPr="0011329B">
        <w:rPr>
          <w:rFonts w:ascii="Times New Roman" w:hAnsi="Times New Roman"/>
          <w:sz w:val="24"/>
          <w:szCs w:val="24"/>
        </w:rPr>
        <w:t xml:space="preserve">Additionally, the </w:t>
      </w:r>
      <w:r w:rsidRPr="0011329B">
        <w:rPr>
          <w:rFonts w:ascii="Times New Roman" w:hAnsi="Times New Roman"/>
          <w:sz w:val="24"/>
          <w:szCs w:val="24"/>
        </w:rPr>
        <w:t>stability of curcumin</w:t>
      </w:r>
      <w:r w:rsidR="00285019" w:rsidRPr="0011329B">
        <w:rPr>
          <w:rFonts w:ascii="Times New Roman" w:hAnsi="Times New Roman"/>
          <w:sz w:val="24"/>
          <w:szCs w:val="24"/>
        </w:rPr>
        <w:t xml:space="preserve"> is </w:t>
      </w:r>
      <w:r w:rsidRPr="0011329B">
        <w:rPr>
          <w:rFonts w:ascii="Times New Roman" w:hAnsi="Times New Roman"/>
          <w:sz w:val="24"/>
          <w:szCs w:val="24"/>
        </w:rPr>
        <w:t xml:space="preserve"> known to be pH-dependent. Moreover, it was known from the literature that curcumin has poor stability at physiological pH (7.4) which hinders its therapeutic effect.</w:t>
      </w:r>
      <w:r w:rsidR="0015174E" w:rsidRPr="0011329B">
        <w:rPr>
          <w:rFonts w:ascii="Times New Roman" w:hAnsi="Times New Roman"/>
          <w:sz w:val="24"/>
          <w:szCs w:val="24"/>
        </w:rPr>
        <w:fldChar w:fldCharType="begin" w:fldLock="1"/>
      </w:r>
      <w:r w:rsidR="00147035" w:rsidRPr="0011329B">
        <w:rPr>
          <w:rFonts w:ascii="Times New Roman" w:hAnsi="Times New Roman"/>
          <w:sz w:val="24"/>
          <w:szCs w:val="24"/>
        </w:rPr>
        <w:instrText>ADDIN CSL_CITATION {"citationItems":[{"id":"ITEM-1","itemData":{"DOI":"10.1002/bmc.1244","abstract":"This paper describes a sensitive, specific and rapid high-performance liquid chromatography (HPLC) method for the determination of curcumin in rat plasma. After a simple step of protein precipitation in 96-well format using acetonitrile containing the internal standard (IS), emodin, plasma samples were analyzed by reverse-phase HPLC. Curcumin and the IS emodin were separated on a Diamonsil C 18 analytical column (4.6 × × × × 100 mm, 5 μ μ μ μm) using acetonitrile-5% acetic acid (75:25, v/v) as mobile phase at a flow rate of 1.0 mL/min. The method was sensitive with a lower limit of quantitation of 1 ng/mL, with good linearity (r 2 ≥ 0.999) over the linear range 1-500 ng/mL. All the validation data, such as accuracy and precision, were within the required limits. A run time of 3.0 min for each sample made high-throughput bioanalysis possible. The assay method was successfully applied to the study of the pharmacokinetics of curcumin liposome in rats.","author":[{"dropping-particle":"","family":"Li","given":"Ji","non-dropping-particle":"","parse-names":false,"suffix":""},{"dropping-particle":"","family":"Jiang","given":"Yunyun","non-dropping-particle":"","parse-names":false,"suffix":""},{"dropping-particle":"","family":"Wen","given":"Jun","non-dropping-particle":"","parse-names":false,"suffix":""},{"dropping-particle":"","family":"Fan","given":"Guorong","non-dropping-particle":"","parse-names":false,"suffix":""},{"dropping-particle":"","family":"Wu","given":"Yutian","non-dropping-particle":"","parse-names":false,"suffix":""},{"dropping-particle":"","family":"Zhang","given":"Chuan","non-dropping-particle":"","parse-names":false,"suffix":""}],"container-title":"Biomed. Chromatogr","id":"ITEM-1","issued":{"date-parts":[["2009"]]},"page":"1201-1207","title":"A rapid and simple HPLC method for the determination of curcumin in rat plasma: assay development, validation and application to a pharmacokinetic study of curcumin liposome Quantitation of curcumin in rat plasma","type":"article-journal","volume":"23"},"uris":["http://www.mendeley.com/documents/?uuid=f3f51876-526e-30aa-815b-b4c2a9ca3989"]}],"mendeley":{"formattedCitation":"[37]","plainTextFormattedCitation":"[37]","previouslyFormattedCitation":"[37]"},"properties":{"noteIndex":0},"schema":"https://github.com/citation-style-language/schema/raw/master/csl-citation.json"}</w:instrText>
      </w:r>
      <w:r w:rsidR="0015174E" w:rsidRPr="0011329B">
        <w:rPr>
          <w:rFonts w:ascii="Times New Roman" w:hAnsi="Times New Roman"/>
          <w:sz w:val="24"/>
          <w:szCs w:val="24"/>
        </w:rPr>
        <w:fldChar w:fldCharType="separate"/>
      </w:r>
      <w:r w:rsidR="00F64EE7" w:rsidRPr="0011329B">
        <w:rPr>
          <w:rFonts w:ascii="Times New Roman" w:hAnsi="Times New Roman"/>
          <w:noProof/>
          <w:sz w:val="24"/>
          <w:szCs w:val="24"/>
        </w:rPr>
        <w:t>[37]</w:t>
      </w:r>
      <w:r w:rsidR="0015174E" w:rsidRPr="0011329B">
        <w:rPr>
          <w:rFonts w:ascii="Times New Roman" w:hAnsi="Times New Roman"/>
          <w:sz w:val="24"/>
          <w:szCs w:val="24"/>
        </w:rPr>
        <w:fldChar w:fldCharType="end"/>
      </w:r>
      <w:r w:rsidRPr="0011329B">
        <w:rPr>
          <w:rFonts w:ascii="Times New Roman" w:hAnsi="Times New Roman"/>
          <w:sz w:val="24"/>
          <w:szCs w:val="24"/>
        </w:rPr>
        <w:t xml:space="preserve"> Unformulated curcumin was dissolved in ethanol (1 mg/mL) and was then incubated at different pH values (1.2, 6.8, and 7.4) for 24 </w:t>
      </w:r>
      <w:r w:rsidRPr="0011329B">
        <w:rPr>
          <w:rFonts w:ascii="Times New Roman" w:hAnsi="Times New Roman"/>
          <w:sz w:val="24"/>
          <w:szCs w:val="24"/>
        </w:rPr>
        <w:lastRenderedPageBreak/>
        <w:t>hours. The concentration of unformulated curcumin was determined with the use of HPLC after 24 hours. Degradation was observed as a decrease in the concentration of curcumin over time. This was found at all pH values, but the extent of concentration decrease was dependent on the pH. At acidic pH (1.2), the unformulated curcumin displayed a slow degradation and after 24 hours 90 % of the curcumin remained. At pH 6.8 and 7.4, 58 % and 34 %, respectively, of curcumin remained in its original form after 24 hours (Fig</w:t>
      </w:r>
      <w:r w:rsidR="008574F5" w:rsidRPr="0011329B">
        <w:rPr>
          <w:rFonts w:ascii="Times New Roman" w:hAnsi="Times New Roman"/>
          <w:sz w:val="24"/>
          <w:szCs w:val="24"/>
        </w:rPr>
        <w:t>.</w:t>
      </w:r>
      <w:r w:rsidRPr="0011329B">
        <w:rPr>
          <w:rFonts w:ascii="Times New Roman" w:hAnsi="Times New Roman"/>
          <w:sz w:val="24"/>
          <w:szCs w:val="24"/>
        </w:rPr>
        <w:t xml:space="preserve"> 7A). Curcumin showed a faster degradation at pH 6.8 and 7.4 as compared to pH 1.2 over 24 hours, which confirmed that instability of curcumin around physiological pH as reported in previous studies.</w:t>
      </w:r>
      <w:r w:rsidRPr="0011329B">
        <w:rPr>
          <w:rStyle w:val="FootnoteReference"/>
          <w:rFonts w:ascii="Times New Roman" w:hAnsi="Times New Roman"/>
          <w:sz w:val="24"/>
          <w:szCs w:val="24"/>
        </w:rPr>
        <w:fldChar w:fldCharType="begin" w:fldLock="1"/>
      </w:r>
      <w:r w:rsidR="00147035" w:rsidRPr="0011329B">
        <w:rPr>
          <w:rFonts w:ascii="Times New Roman" w:hAnsi="Times New Roman"/>
          <w:sz w:val="24"/>
          <w:szCs w:val="24"/>
        </w:rPr>
        <w:instrText>ADDIN CSL_CITATION {"citationItems":[{"id":"ITEM-1","itemData":{"DOI":"10.1016/S0731-7085(96)02024-9","ISSN":"07317085","PMID":"9278892","abstract":"The degradation kinetics of curcumin under various pH conditions and the stability of curcumin in physiological matrices were investigated. When curcumin was incubated in 0.1 M phosphate buffer and serum-free medium, pH 7.2 at 37°C, about 90% decomposed within 30 min. A series of pH conditions ranging from 3 to 10 were tested and the result showed that decomposition was pH-dependent and occurred faster at neutral-basic conditions. It is more stable in cell culture medium containing 10% fetal calf serum and in human blood; less than 20% of curcumin decomposed within 1 h, and after incubation for 8 h, about 50% of curcumin is still remained. Trans-6-(4'-hydroxy-3'-methoxyphenyl)-2,4-dioxo-5-hexenal was predicted as major degradation product and vanillin, ferulic acid, feruloyl methane were identified as minor degradation products. The amount of vanillin increased with incubation time.","author":[{"dropping-particle":"","family":"Wang","given":"Ying Jan","non-dropping-particle":"","parse-names":false,"suffix":""},{"dropping-particle":"","family":"Pan","given":"Min Hsiung","non-dropping-particle":"","parse-names":false,"suffix":""},{"dropping-particle":"","family":"Cheng","given":"Ann Lii","non-dropping-particle":"","parse-names":false,"suffix":""},{"dropping-particle":"","family":"Lin","given":"Liang In","non-dropping-particle":"","parse-names":false,"suffix":""},{"dropping-particle":"","family":"Ho","given":"Yuan Soon","non-dropping-particle":"","parse-names":false,"suffix":""},{"dropping-particle":"","family":"Hsieh","given":"Chang Yao","non-dropping-particle":"","parse-names":false,"suffix":""},{"dropping-particle":"","family":"Lin","given":"Jen Kun","non-dropping-particle":"","parse-names":false,"suffix":""}],"container-title":"Journal of Pharmaceutical and Biomedical Analysis","id":"ITEM-1","issue":"12","issued":{"date-parts":[["1997","8","1"]]},"page":"1867-1876","publisher":"Elsevier","title":"Stability of curcumin in buffer solutions and characterization of its degradation products","type":"article-journal","volume":"15"},"uris":["http://www.mendeley.com/documents/?uuid=9bdd69d6-3a76-38d7-ba63-471436adcc13","http://www.mendeley.com/documents/?uuid=e5980dba-b5d5-4a4e-85d3-46bbc3712364"]},{"id":"ITEM-2","itemData":{"DOI":"10.1021/acs.jafc.6b04815","ISSN":"15205118","abstract":"The utilization of curcumin as a nutraceutical in food and supplement products is often limited because of its low water solubility, poor chemical stability, and low oral bioavailability. This study examined the impact of pH, storage temperature, and molecular environment on the physical and chemical stability of pure curcumin in aqueous solutions and in oil-in-water emulsions. Unlike naturally occurring curcuminoid mixtures (that contain curcumin, demethoxy-curcumin, and bisdemethoxy-curcumin), pure curcumin was highly unstable to chemical degradation in alkaline aqueous solutions (pH ≥7.0) and tended to crystallize out of aqueous acidic solutions (pH &lt;7). These effects were attributed to changes in the molecular structure of curcumin under different pH conditions. The curcumin crystals formed were relatively large (10-50 μm), which made them prone to rapid sedimentation. The incorporation of curcumin into oil-in-water emulsions (30% MCT, 1 mg curcumin/g MCT, d32 ≈ 298 nm) improved its water dispersibility and chemical stability. After incubation at 37 °C for 1 month, &gt;85% of curcumin was retained by emulsions stored under acidic conditions (pH &lt;7), whereas 62, 60, and 53% was retained by emulsions stored at pH 7.0, 7.4, and 8.0, respectively. There was little change in the color of curcumin-loaded emulsions when stored under acidic conditions, but their yellow color faded when stored under alkaline conditions. There was no evidence of droplet aggregation or creaming in emulsions stored for 31 days at ambient temperature. These results suggest that emulsion-based delivery systems may be suitable for improving the water dispersibility and chemical stability of curcumin, which would facilitate its application in foods and supplements.","author":[{"dropping-particle":"","family":"Kharat","given":"Mahesh","non-dropping-particle":"","parse-names":false,"suffix":""},{"dropping-particle":"","family":"Du","given":"Zheyuan","non-dropping-particle":"","parse-names":false,"suffix":""},{"dropping-particle":"","family":"Zhang","given":"Guodong","non-dropping-particle":"","parse-names":false,"suffix":""},{"dropping-particle":"","family":"McClements","given":"David Julian","non-dropping-particle":"","parse-names":false,"suffix":""}],"container-title":"Journal of Agricultural and Food Chemistry","id":"ITEM-2","issue":"8","issued":{"date-parts":[["2017","3","1"]]},"page":"1525-1532","publisher":"American Chemical Society","title":"Physical and Chemical Stability of Curcumin in Aqueous Solutions and Emulsions: Impact of pH, Temperature, and Molecular Environment","type":"article-journal","volume":"65"},"uris":["http://www.mendeley.com/documents/?uuid=4463c567-d5a6-3e0b-a588-3e9a5a57834e","http://www.mendeley.com/documents/?uuid=8de66a7b-a774-430c-aeda-00ec6e37a466"]}],"mendeley":{"formattedCitation":"[38,39]","plainTextFormattedCitation":"[38,39]","previouslyFormattedCitation":"[38,39]"},"properties":{"noteIndex":0},"schema":"https://github.com/citation-style-language/schema/raw/master/csl-citation.json"}</w:instrText>
      </w:r>
      <w:r w:rsidRPr="0011329B">
        <w:rPr>
          <w:rStyle w:val="FootnoteReference"/>
          <w:rFonts w:ascii="Times New Roman" w:hAnsi="Times New Roman"/>
          <w:sz w:val="24"/>
          <w:szCs w:val="24"/>
        </w:rPr>
        <w:fldChar w:fldCharType="separate"/>
      </w:r>
      <w:r w:rsidR="00F64EE7" w:rsidRPr="0011329B">
        <w:rPr>
          <w:rFonts w:ascii="Times New Roman" w:hAnsi="Times New Roman"/>
          <w:noProof/>
          <w:sz w:val="24"/>
          <w:szCs w:val="24"/>
        </w:rPr>
        <w:t>[38,39]</w:t>
      </w:r>
      <w:r w:rsidRPr="0011329B">
        <w:rPr>
          <w:rStyle w:val="FootnoteReference"/>
          <w:rFonts w:ascii="Times New Roman" w:hAnsi="Times New Roman"/>
          <w:sz w:val="24"/>
          <w:szCs w:val="24"/>
        </w:rPr>
        <w:fldChar w:fldCharType="end"/>
      </w:r>
      <w:r w:rsidRPr="0011329B">
        <w:rPr>
          <w:rFonts w:ascii="Times New Roman" w:hAnsi="Times New Roman"/>
          <w:sz w:val="24"/>
          <w:szCs w:val="24"/>
        </w:rPr>
        <w:t xml:space="preserve"> Such instability can be ascribed to the pH-induced changes in curcumin structure. At acidic pH, curcumin was stable because the phenolic group is protonated, which stabilises its conjugated diene structure However, at neutral-alkaline pH, the proton is removed from phenolic group leading to destruction of curcumin structure, where the major degradation mechanism is the oxidation.</w:t>
      </w:r>
      <w:r w:rsidRPr="0011329B">
        <w:rPr>
          <w:rStyle w:val="FootnoteReference"/>
          <w:rFonts w:ascii="Times New Roman" w:hAnsi="Times New Roman"/>
          <w:sz w:val="24"/>
          <w:szCs w:val="24"/>
        </w:rPr>
        <w:fldChar w:fldCharType="begin" w:fldLock="1"/>
      </w:r>
      <w:r w:rsidR="00147035" w:rsidRPr="0011329B">
        <w:rPr>
          <w:rFonts w:ascii="Times New Roman" w:hAnsi="Times New Roman"/>
          <w:sz w:val="24"/>
          <w:szCs w:val="24"/>
        </w:rPr>
        <w:instrText>ADDIN CSL_CITATION {"citationItems":[{"id":"ITEM-1","itemData":{"DOI":"10.1021/acs.jafc.6b04815","ISSN":"15205118","abstract":"The utilization of curcumin as a nutraceutical in food and supplement products is often limited because of its low water solubility, poor chemical stability, and low oral bioavailability. This study examined the impact of pH, storage temperature, and molecular environment on the physical and chemical stability of pure curcumin in aqueous solutions and in oil-in-water emulsions. Unlike naturally occurring curcuminoid mixtures (that contain curcumin, demethoxy-curcumin, and bisdemethoxy-curcumin), pure curcumin was highly unstable to chemical degradation in alkaline aqueous solutions (pH ≥7.0) and tended to crystallize out of aqueous acidic solutions (pH &lt;7). These effects were attributed to changes in the molecular structure of curcumin under different pH conditions. The curcumin crystals formed were relatively large (10-50 μm), which made them prone to rapid sedimentation. The incorporation of curcumin into oil-in-water emulsions (30% MCT, 1 mg curcumin/g MCT, d32 ≈ 298 nm) improved its water dispersibility and chemical stability. After incubation at 37 °C for 1 month, &gt;85% of curcumin was retained by emulsions stored under acidic conditions (pH &lt;7), whereas 62, 60, and 53% was retained by emulsions stored at pH 7.0, 7.4, and 8.0, respectively. There was little change in the color of curcumin-loaded emulsions when stored under acidic conditions, but their yellow color faded when stored under alkaline conditions. There was no evidence of droplet aggregation or creaming in emulsions stored for 31 days at ambient temperature. These results suggest that emulsion-based delivery systems may be suitable for improving the water dispersibility and chemical stability of curcumin, which would facilitate its application in foods and supplements.","author":[{"dropping-particle":"","family":"Kharat","given":"Mahesh","non-dropping-particle":"","parse-names":false,"suffix":""},{"dropping-particle":"","family":"Du","given":"Zheyuan","non-dropping-particle":"","parse-names":false,"suffix":""},{"dropping-particle":"","family":"Zhang","given":"Guodong","non-dropping-particle":"","parse-names":false,"suffix":""},{"dropping-particle":"","family":"McClements","given":"David Julian","non-dropping-particle":"","parse-names":false,"suffix":""}],"container-title":"Journal of Agricultural and Food Chemistry","id":"ITEM-1","issue":"8","issued":{"date-parts":[["2017","3","1"]]},"page":"1525-1532","publisher":"American Chemical Society","title":"Physical and Chemical Stability of Curcumin in Aqueous Solutions and Emulsions: Impact of pH, Temperature, and Molecular Environment","type":"article-journal","volume":"65"},"uris":["http://www.mendeley.com/documents/?uuid=8de66a7b-a774-430c-aeda-00ec6e37a466","http://www.mendeley.com/documents/?uuid=65e0cc7f-1fae-3f30-90c3-b124490bdfff"]}],"mendeley":{"formattedCitation":"[39]","plainTextFormattedCitation":"[39]","previouslyFormattedCitation":"[39]"},"properties":{"noteIndex":0},"schema":"https://github.com/citation-style-language/schema/raw/master/csl-citation.json"}</w:instrText>
      </w:r>
      <w:r w:rsidRPr="0011329B">
        <w:rPr>
          <w:rStyle w:val="FootnoteReference"/>
          <w:rFonts w:ascii="Times New Roman" w:hAnsi="Times New Roman"/>
          <w:sz w:val="24"/>
          <w:szCs w:val="24"/>
        </w:rPr>
        <w:fldChar w:fldCharType="separate"/>
      </w:r>
      <w:r w:rsidR="00F64EE7" w:rsidRPr="0011329B">
        <w:rPr>
          <w:rFonts w:ascii="Times New Roman" w:hAnsi="Times New Roman"/>
          <w:noProof/>
          <w:sz w:val="24"/>
          <w:szCs w:val="24"/>
        </w:rPr>
        <w:t>[39]</w:t>
      </w:r>
      <w:r w:rsidRPr="0011329B">
        <w:rPr>
          <w:rStyle w:val="FootnoteReference"/>
          <w:rFonts w:ascii="Times New Roman" w:hAnsi="Times New Roman"/>
          <w:sz w:val="24"/>
          <w:szCs w:val="24"/>
        </w:rPr>
        <w:fldChar w:fldCharType="end"/>
      </w:r>
    </w:p>
    <w:p w14:paraId="46BF57E4" w14:textId="5C20E9BD" w:rsidR="00B21EF0" w:rsidRPr="0011329B" w:rsidRDefault="00B21EF0" w:rsidP="00B21EF0">
      <w:pPr>
        <w:spacing w:line="360" w:lineRule="auto"/>
        <w:rPr>
          <w:b/>
          <w:bCs/>
          <w:sz w:val="22"/>
          <w:szCs w:val="22"/>
          <w:lang w:val="en-GB"/>
        </w:rPr>
      </w:pPr>
      <w:r w:rsidRPr="0011329B">
        <w:rPr>
          <w:noProof/>
          <w:sz w:val="22"/>
          <w:szCs w:val="22"/>
          <w:lang w:val="en-GB"/>
        </w:rPr>
        <w:drawing>
          <wp:inline distT="0" distB="0" distL="0" distR="0" wp14:anchorId="52489D17" wp14:editId="739FFFB0">
            <wp:extent cx="2879090" cy="2966085"/>
            <wp:effectExtent l="0" t="0" r="0" b="5715"/>
            <wp:docPr id="8" name="Picture 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icture containing 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9090" cy="2966085"/>
                    </a:xfrm>
                    <a:prstGeom prst="rect">
                      <a:avLst/>
                    </a:prstGeom>
                    <a:noFill/>
                    <a:ln>
                      <a:noFill/>
                    </a:ln>
                  </pic:spPr>
                </pic:pic>
              </a:graphicData>
            </a:graphic>
          </wp:inline>
        </w:drawing>
      </w:r>
    </w:p>
    <w:p w14:paraId="359BAC2E" w14:textId="77777777" w:rsidR="00B21EF0" w:rsidRPr="0011329B" w:rsidRDefault="00B21EF0" w:rsidP="00B21EF0">
      <w:pPr>
        <w:spacing w:line="360" w:lineRule="auto"/>
        <w:rPr>
          <w:b/>
          <w:bCs/>
          <w:sz w:val="22"/>
          <w:szCs w:val="22"/>
          <w:lang w:val="en-GB"/>
        </w:rPr>
      </w:pPr>
    </w:p>
    <w:p w14:paraId="40F319E1" w14:textId="43404021" w:rsidR="00993E95" w:rsidRPr="0011329B" w:rsidRDefault="00B21EF0" w:rsidP="00F82FDC">
      <w:pPr>
        <w:autoSpaceDE w:val="0"/>
        <w:autoSpaceDN w:val="0"/>
        <w:adjustRightInd w:val="0"/>
        <w:spacing w:line="360" w:lineRule="auto"/>
        <w:rPr>
          <w:sz w:val="22"/>
          <w:szCs w:val="22"/>
        </w:rPr>
      </w:pPr>
      <w:r w:rsidRPr="0011329B">
        <w:rPr>
          <w:b/>
          <w:sz w:val="22"/>
          <w:szCs w:val="22"/>
          <w:lang w:val="en-GB"/>
        </w:rPr>
        <w:t xml:space="preserve">Figure 7: </w:t>
      </w:r>
      <w:r w:rsidRPr="0011329B">
        <w:rPr>
          <w:sz w:val="22"/>
          <w:szCs w:val="22"/>
          <w:lang w:val="en-GB"/>
        </w:rPr>
        <w:t>Chemical stability o</w:t>
      </w:r>
      <w:r w:rsidRPr="0011329B">
        <w:rPr>
          <w:rStyle w:val="CommentReference"/>
          <w:sz w:val="22"/>
          <w:szCs w:val="22"/>
          <w:lang w:val="en-GB"/>
        </w:rPr>
        <w:t>f</w:t>
      </w:r>
      <w:r w:rsidRPr="0011329B">
        <w:rPr>
          <w:sz w:val="22"/>
          <w:szCs w:val="22"/>
          <w:lang w:val="en-GB"/>
        </w:rPr>
        <w:t xml:space="preserve"> (A) solubilised unformulated curcumin and (B) curcumin </w:t>
      </w:r>
      <w:r w:rsidR="0003681B" w:rsidRPr="0011329B">
        <w:rPr>
          <w:sz w:val="22"/>
          <w:szCs w:val="22"/>
          <w:lang w:val="en-GB"/>
        </w:rPr>
        <w:t xml:space="preserve">nanosuspension </w:t>
      </w:r>
      <w:r w:rsidRPr="0011329B">
        <w:rPr>
          <w:sz w:val="22"/>
          <w:szCs w:val="22"/>
          <w:lang w:val="en-GB"/>
        </w:rPr>
        <w:t xml:space="preserve">at different pH values (1.2, 6.8, and 7.4) at 37 </w:t>
      </w:r>
      <w:r w:rsidRPr="0011329B">
        <w:rPr>
          <w:rFonts w:eastAsia="Symbol"/>
          <w:sz w:val="22"/>
          <w:szCs w:val="22"/>
          <w:lang w:val="en-GB"/>
        </w:rPr>
        <w:t>°</w:t>
      </w:r>
      <w:r w:rsidRPr="0011329B">
        <w:rPr>
          <w:sz w:val="22"/>
          <w:szCs w:val="22"/>
          <w:lang w:val="en-GB"/>
        </w:rPr>
        <w:t xml:space="preserve">C. The residual curcumin percentage were measured by HPLC over 24 hours. </w:t>
      </w:r>
      <w:r w:rsidR="00993E95" w:rsidRPr="0011329B">
        <w:rPr>
          <w:rFonts w:eastAsiaTheme="minorHAnsi"/>
          <w:sz w:val="22"/>
          <w:szCs w:val="22"/>
          <w:lang w:val="en-GB"/>
        </w:rPr>
        <w:t xml:space="preserve">All </w:t>
      </w:r>
      <w:r w:rsidR="00965269" w:rsidRPr="0011329B">
        <w:rPr>
          <w:rFonts w:eastAsiaTheme="minorHAnsi"/>
          <w:sz w:val="22"/>
          <w:szCs w:val="22"/>
          <w:lang w:val="en-GB"/>
        </w:rPr>
        <w:t xml:space="preserve">the HPLC </w:t>
      </w:r>
      <w:r w:rsidR="00993E95" w:rsidRPr="0011329B">
        <w:rPr>
          <w:rFonts w:eastAsiaTheme="minorHAnsi"/>
          <w:sz w:val="22"/>
          <w:szCs w:val="22"/>
          <w:lang w:val="en-GB"/>
        </w:rPr>
        <w:t xml:space="preserve">measurements were </w:t>
      </w:r>
      <w:r w:rsidR="0003681B" w:rsidRPr="0011329B">
        <w:rPr>
          <w:rFonts w:eastAsiaTheme="minorHAnsi"/>
          <w:sz w:val="22"/>
          <w:szCs w:val="22"/>
          <w:lang w:val="en-GB"/>
        </w:rPr>
        <w:t>carried out</w:t>
      </w:r>
      <w:r w:rsidR="00993E95" w:rsidRPr="0011329B">
        <w:rPr>
          <w:rFonts w:eastAsiaTheme="minorHAnsi"/>
          <w:sz w:val="22"/>
          <w:szCs w:val="22"/>
          <w:lang w:val="en-GB"/>
        </w:rPr>
        <w:t xml:space="preserve"> in triplicate</w:t>
      </w:r>
      <w:r w:rsidR="005B787A" w:rsidRPr="0011329B">
        <w:rPr>
          <w:rFonts w:eastAsiaTheme="minorHAnsi"/>
          <w:sz w:val="22"/>
          <w:szCs w:val="22"/>
          <w:lang w:val="en-GB"/>
        </w:rPr>
        <w:t>.</w:t>
      </w:r>
      <w:r w:rsidR="00993E95" w:rsidRPr="0011329B">
        <w:rPr>
          <w:rFonts w:eastAsiaTheme="minorHAnsi"/>
          <w:sz w:val="22"/>
          <w:szCs w:val="22"/>
          <w:lang w:val="en-GB"/>
        </w:rPr>
        <w:t xml:space="preserve"> </w:t>
      </w:r>
    </w:p>
    <w:p w14:paraId="0FAF5F35" w14:textId="77777777" w:rsidR="00B21EF0" w:rsidRPr="0011329B" w:rsidRDefault="00B21EF0" w:rsidP="00F82FDC"/>
    <w:p w14:paraId="7C5EDAF6" w14:textId="3AEE796F" w:rsidR="0032582C" w:rsidRPr="0011329B" w:rsidRDefault="008F4997" w:rsidP="002F10E8">
      <w:pPr>
        <w:pStyle w:val="RSCB02ArticleText"/>
        <w:spacing w:line="360" w:lineRule="auto"/>
        <w:rPr>
          <w:rFonts w:ascii="Times New Roman" w:hAnsi="Times New Roman"/>
          <w:sz w:val="24"/>
          <w:szCs w:val="24"/>
        </w:rPr>
      </w:pPr>
      <w:r w:rsidRPr="0011329B">
        <w:rPr>
          <w:rFonts w:ascii="Times New Roman" w:hAnsi="Times New Roman"/>
          <w:sz w:val="24"/>
          <w:szCs w:val="24"/>
        </w:rPr>
        <w:t xml:space="preserve">The chemical stability of </w:t>
      </w:r>
      <w:r w:rsidR="0003681B" w:rsidRPr="0011329B">
        <w:rPr>
          <w:rFonts w:ascii="Times New Roman" w:hAnsi="Times New Roman"/>
          <w:sz w:val="24"/>
          <w:szCs w:val="24"/>
        </w:rPr>
        <w:t xml:space="preserve">the curcumin nanosuspension </w:t>
      </w:r>
      <w:r w:rsidRPr="0011329B">
        <w:rPr>
          <w:rFonts w:ascii="Times New Roman" w:hAnsi="Times New Roman"/>
          <w:sz w:val="24"/>
          <w:szCs w:val="24"/>
        </w:rPr>
        <w:t xml:space="preserve">was then carried out in the same manner. The </w:t>
      </w:r>
      <w:r w:rsidR="0003681B" w:rsidRPr="0011329B">
        <w:rPr>
          <w:rFonts w:ascii="Times New Roman" w:hAnsi="Times New Roman"/>
          <w:sz w:val="24"/>
          <w:szCs w:val="24"/>
        </w:rPr>
        <w:t xml:space="preserve">nanosuspensions </w:t>
      </w:r>
      <w:r w:rsidRPr="0011329B">
        <w:rPr>
          <w:rFonts w:ascii="Times New Roman" w:hAnsi="Times New Roman"/>
          <w:sz w:val="24"/>
          <w:szCs w:val="24"/>
        </w:rPr>
        <w:t xml:space="preserve">were dispersed in solutions with three different pH values </w:t>
      </w:r>
      <w:r w:rsidRPr="0011329B">
        <w:rPr>
          <w:rFonts w:ascii="Times New Roman" w:hAnsi="Times New Roman"/>
          <w:sz w:val="24"/>
          <w:szCs w:val="24"/>
        </w:rPr>
        <w:lastRenderedPageBreak/>
        <w:t xml:space="preserve">(1.2, 6.8, and 7.4). The concentration of curcumin contained within </w:t>
      </w:r>
      <w:r w:rsidR="0003681B" w:rsidRPr="0011329B">
        <w:rPr>
          <w:rFonts w:ascii="Times New Roman" w:hAnsi="Times New Roman"/>
          <w:sz w:val="24"/>
          <w:szCs w:val="24"/>
        </w:rPr>
        <w:t>nanosuspensions</w:t>
      </w:r>
      <w:r w:rsidR="0003681B" w:rsidRPr="0011329B" w:rsidDel="0003681B">
        <w:rPr>
          <w:rFonts w:ascii="Times New Roman" w:hAnsi="Times New Roman"/>
          <w:sz w:val="24"/>
          <w:szCs w:val="24"/>
        </w:rPr>
        <w:t xml:space="preserve"> </w:t>
      </w:r>
      <w:r w:rsidRPr="0011329B">
        <w:rPr>
          <w:rFonts w:ascii="Times New Roman" w:hAnsi="Times New Roman"/>
          <w:sz w:val="24"/>
          <w:szCs w:val="24"/>
        </w:rPr>
        <w:t xml:space="preserve">was measured by HPLC to quantify the amount of curcumin remaining. The </w:t>
      </w:r>
      <w:r w:rsidR="0003681B" w:rsidRPr="0011329B">
        <w:rPr>
          <w:rFonts w:ascii="Times New Roman" w:hAnsi="Times New Roman"/>
          <w:sz w:val="24"/>
          <w:szCs w:val="24"/>
        </w:rPr>
        <w:t>nanosuspensions</w:t>
      </w:r>
      <w:r w:rsidRPr="0011329B">
        <w:rPr>
          <w:rFonts w:ascii="Times New Roman" w:hAnsi="Times New Roman"/>
          <w:sz w:val="24"/>
          <w:szCs w:val="24"/>
        </w:rPr>
        <w:t xml:space="preserve"> were stable (100%) in acidic conditions (pH 1.2) after 24 hours. At higher pH values some degradation was observed; 97% of curcumin in the </w:t>
      </w:r>
      <w:r w:rsidR="0003681B" w:rsidRPr="0011329B">
        <w:rPr>
          <w:rFonts w:ascii="Times New Roman" w:hAnsi="Times New Roman"/>
          <w:sz w:val="24"/>
          <w:szCs w:val="24"/>
        </w:rPr>
        <w:t>nanosuspensions</w:t>
      </w:r>
      <w:r w:rsidR="0003681B" w:rsidRPr="0011329B" w:rsidDel="0003681B">
        <w:rPr>
          <w:rFonts w:ascii="Times New Roman" w:hAnsi="Times New Roman"/>
          <w:sz w:val="24"/>
          <w:szCs w:val="24"/>
        </w:rPr>
        <w:t xml:space="preserve"> </w:t>
      </w:r>
      <w:r w:rsidRPr="0011329B">
        <w:rPr>
          <w:rFonts w:ascii="Times New Roman" w:hAnsi="Times New Roman"/>
          <w:sz w:val="24"/>
          <w:szCs w:val="24"/>
        </w:rPr>
        <w:t>remained stable at pH 6.8, and around 88% of the curcumin was stable at pH 7.4 over 24 hours (Fig</w:t>
      </w:r>
      <w:r w:rsidR="008574F5" w:rsidRPr="0011329B">
        <w:rPr>
          <w:rFonts w:ascii="Times New Roman" w:hAnsi="Times New Roman"/>
          <w:sz w:val="24"/>
          <w:szCs w:val="24"/>
        </w:rPr>
        <w:t>.</w:t>
      </w:r>
      <w:r w:rsidRPr="0011329B">
        <w:rPr>
          <w:rFonts w:ascii="Times New Roman" w:hAnsi="Times New Roman"/>
          <w:sz w:val="24"/>
          <w:szCs w:val="24"/>
        </w:rPr>
        <w:t xml:space="preserve"> 7B). The formulation of the curcumin as </w:t>
      </w:r>
      <w:r w:rsidR="0003681B" w:rsidRPr="0011329B">
        <w:rPr>
          <w:rFonts w:ascii="Times New Roman" w:hAnsi="Times New Roman"/>
          <w:sz w:val="24"/>
          <w:szCs w:val="24"/>
        </w:rPr>
        <w:t>nanosuspensions</w:t>
      </w:r>
      <w:r w:rsidR="0003681B" w:rsidRPr="0011329B" w:rsidDel="0003681B">
        <w:rPr>
          <w:rFonts w:ascii="Times New Roman" w:hAnsi="Times New Roman"/>
          <w:sz w:val="24"/>
          <w:szCs w:val="24"/>
        </w:rPr>
        <w:t xml:space="preserve"> </w:t>
      </w:r>
      <w:r w:rsidRPr="0011329B">
        <w:rPr>
          <w:rFonts w:ascii="Times New Roman" w:hAnsi="Times New Roman"/>
          <w:sz w:val="24"/>
          <w:szCs w:val="24"/>
        </w:rPr>
        <w:t xml:space="preserve">clearly improved its chemical stability compared to the solubilised form. Such stability of curcumin </w:t>
      </w:r>
      <w:r w:rsidR="0003681B" w:rsidRPr="0011329B">
        <w:rPr>
          <w:rFonts w:ascii="Times New Roman" w:hAnsi="Times New Roman"/>
          <w:sz w:val="24"/>
          <w:szCs w:val="24"/>
        </w:rPr>
        <w:t>nanosuspensions</w:t>
      </w:r>
      <w:r w:rsidR="0003681B" w:rsidRPr="0011329B" w:rsidDel="0003681B">
        <w:rPr>
          <w:rFonts w:ascii="Times New Roman" w:hAnsi="Times New Roman"/>
          <w:sz w:val="24"/>
          <w:szCs w:val="24"/>
        </w:rPr>
        <w:t xml:space="preserve"> </w:t>
      </w:r>
      <w:r w:rsidRPr="0011329B">
        <w:rPr>
          <w:rFonts w:ascii="Times New Roman" w:hAnsi="Times New Roman"/>
          <w:sz w:val="24"/>
          <w:szCs w:val="24"/>
        </w:rPr>
        <w:t xml:space="preserve">could be ascribed to the containment of much of the curcumin within the </w:t>
      </w:r>
      <w:r w:rsidR="0003681B" w:rsidRPr="0011329B">
        <w:rPr>
          <w:rFonts w:ascii="Times New Roman" w:hAnsi="Times New Roman"/>
          <w:sz w:val="24"/>
          <w:szCs w:val="24"/>
        </w:rPr>
        <w:t>nanosuspensions</w:t>
      </w:r>
      <w:r w:rsidRPr="0011329B">
        <w:rPr>
          <w:rFonts w:ascii="Times New Roman" w:hAnsi="Times New Roman"/>
          <w:sz w:val="24"/>
          <w:szCs w:val="24"/>
        </w:rPr>
        <w:t xml:space="preserve">, only the curcumin on the outer surface of the nanoparticles was exposed to the external conditions and thus reduced the degradation rate. Sattar </w:t>
      </w:r>
      <w:r w:rsidRPr="0011329B">
        <w:rPr>
          <w:rFonts w:ascii="Times New Roman" w:hAnsi="Times New Roman"/>
          <w:i/>
          <w:iCs/>
          <w:sz w:val="24"/>
          <w:szCs w:val="24"/>
        </w:rPr>
        <w:t>et al.</w:t>
      </w:r>
      <w:r w:rsidRPr="0011329B">
        <w:rPr>
          <w:rFonts w:ascii="Times New Roman" w:hAnsi="Times New Roman"/>
          <w:sz w:val="24"/>
          <w:szCs w:val="24"/>
        </w:rPr>
        <w:t xml:space="preserve"> showed that</w:t>
      </w:r>
      <w:r w:rsidR="0003681B" w:rsidRPr="0011329B">
        <w:rPr>
          <w:rFonts w:ascii="Times New Roman" w:hAnsi="Times New Roman"/>
          <w:sz w:val="24"/>
          <w:szCs w:val="24"/>
        </w:rPr>
        <w:t xml:space="preserve"> the formation of</w:t>
      </w:r>
      <w:r w:rsidRPr="0011329B">
        <w:rPr>
          <w:rFonts w:ascii="Times New Roman" w:hAnsi="Times New Roman"/>
          <w:sz w:val="24"/>
          <w:szCs w:val="24"/>
        </w:rPr>
        <w:t xml:space="preserve"> nanosuspension</w:t>
      </w:r>
      <w:r w:rsidR="0003681B" w:rsidRPr="0011329B">
        <w:rPr>
          <w:rFonts w:ascii="Times New Roman" w:hAnsi="Times New Roman"/>
          <w:sz w:val="24"/>
          <w:szCs w:val="24"/>
        </w:rPr>
        <w:t>s</w:t>
      </w:r>
      <w:r w:rsidRPr="0011329B">
        <w:rPr>
          <w:rFonts w:ascii="Times New Roman" w:hAnsi="Times New Roman"/>
          <w:sz w:val="24"/>
          <w:szCs w:val="24"/>
        </w:rPr>
        <w:t xml:space="preserve"> </w:t>
      </w:r>
      <w:r w:rsidR="0003681B" w:rsidRPr="0011329B">
        <w:rPr>
          <w:rFonts w:ascii="Times New Roman" w:hAnsi="Times New Roman"/>
          <w:sz w:val="24"/>
          <w:szCs w:val="24"/>
        </w:rPr>
        <w:t xml:space="preserve">is </w:t>
      </w:r>
      <w:r w:rsidRPr="0011329B">
        <w:rPr>
          <w:rFonts w:ascii="Times New Roman" w:hAnsi="Times New Roman"/>
          <w:sz w:val="24"/>
          <w:szCs w:val="24"/>
        </w:rPr>
        <w:t xml:space="preserve">a promising approach to enhance the chemical stability of poorly water-soluble drugs such as </w:t>
      </w:r>
      <w:proofErr w:type="spellStart"/>
      <w:r w:rsidRPr="0011329B">
        <w:rPr>
          <w:rFonts w:ascii="Times New Roman" w:hAnsi="Times New Roman"/>
          <w:sz w:val="24"/>
          <w:szCs w:val="24"/>
        </w:rPr>
        <w:t>cyadox</w:t>
      </w:r>
      <w:proofErr w:type="spellEnd"/>
      <w:r w:rsidRPr="0011329B">
        <w:rPr>
          <w:rFonts w:ascii="Times New Roman" w:hAnsi="Times New Roman"/>
          <w:sz w:val="24"/>
          <w:szCs w:val="24"/>
        </w:rPr>
        <w:t>.</w:t>
      </w:r>
      <w:r w:rsidRPr="0011329B">
        <w:rPr>
          <w:rStyle w:val="FootnoteReference"/>
          <w:rFonts w:ascii="Times New Roman" w:hAnsi="Times New Roman"/>
          <w:sz w:val="24"/>
          <w:szCs w:val="24"/>
        </w:rPr>
        <w:fldChar w:fldCharType="begin" w:fldLock="1"/>
      </w:r>
      <w:r w:rsidR="00147035" w:rsidRPr="0011329B">
        <w:rPr>
          <w:rFonts w:ascii="Times New Roman" w:hAnsi="Times New Roman"/>
          <w:sz w:val="24"/>
          <w:szCs w:val="24"/>
        </w:rPr>
        <w:instrText>ADDIN CSL_CITATION {"citationItems":[{"id":"ITEM-1","itemData":{"DOI":"10.1038/s41598-017-02523-4","ISSN":"20452322","abstract":"An increase in number of newly developed synthetic drugs displays bioavailability constraints because of poor water solubility. Nanosuspensions formulation may help to overwhelm these problems by increasing dissolution velocity and saturation solubility. In the present study, cyadox (Cyx) nanosuspension was successfully prepared by recrystallization based on acid-base neutralization combined with high pressure homogenization method using Polyvinylpyrrolidone K30 (PVP) as stabilizer. The nanosuspension had uniform particle distribution, excellent sedimentation rate and redispersibility. The nanosuspension significantly improved the solubility, dissolution and bioavailability. The saturation solubility of Cyx nanocrystal was higher than that of bulk Cyx and released the total drug in very short time. Further, pharmacokinetics of Cyx nanosuspension and normal suspension following oral administration was investigated in beagle dogs. Nanosuspension improved the bioavailability of Cyx which could be beneficial for intestinal bacterial infection in animals. Maximum concentration and area under concentration time curve were increased with particles size reduction which might give rise to pronounce fluctuations in plasma concentration and more intensified antibacterial effects. The terminal half-life and mean resident time of Cyx nanosuspension had also increased compared to normal Cyx suspension. In conclusion, nanosuspensions may be a suitable delivery approach to increase the bioavailability of poorly soluble drugs.","author":[{"dropping-particle":"","family":"Sattar","given":"Adeel","non-dropping-particle":"","parse-names":false,"suffix":""},{"dropping-particle":"","family":"Chen","given":"Dongmei","non-dropping-particle":"","parse-names":false,"suffix":""},{"dropping-particle":"","family":"Jiang","given":"Lishun","non-dropping-particle":"","parse-names":false,"suffix":""},{"dropping-particle":"","family":"Pan","given":"Yuanhu","non-dropping-particle":"","parse-names":false,"suffix":""},{"dropping-particle":"","family":"Tao","given":"Yanfei","non-dropping-particle":"","parse-names":false,"suffix":""},{"dropping-particle":"","family":"Huang","given":"Lingli","non-dropping-particle":"","parse-names":false,"suffix":""},{"dropping-particle":"","family":"Liu","given":"Zhenli","non-dropping-particle":"","parse-names":false,"suffix":""},{"dropping-particle":"","family":"Xie","given":"Shuyu","non-dropping-particle":"","parse-names":false,"suffix":""},{"dropping-particle":"","family":"Yuan","given":"Zonghui","non-dropping-particle":"","parse-names":false,"suffix":""}],"container-title":"Sci Rep","id":"ITEM-1","issue":"1","issued":{"date-parts":[["2017","12","1"]]},"page":"1-9","publisher":"Nature Publishing Group","title":"Preparation, characterization and pharmacokinetics of cyadox nanosuspension","type":"article-journal","volume":"7"},"uris":["http://www.mendeley.com/documents/?uuid=aeb0ab0c-8e66-4fdc-a7f0-980168939d5f","http://www.mendeley.com/documents/?uuid=ce67a88e-4c22-3f3d-b3f2-3e390e21a527"]}],"mendeley":{"formattedCitation":"[35]","plainTextFormattedCitation":"[35]","previouslyFormattedCitation":"[35]"},"properties":{"noteIndex":0},"schema":"https://github.com/citation-style-language/schema/raw/master/csl-citation.json"}</w:instrText>
      </w:r>
      <w:r w:rsidRPr="0011329B">
        <w:rPr>
          <w:rStyle w:val="FootnoteReference"/>
          <w:rFonts w:ascii="Times New Roman" w:hAnsi="Times New Roman"/>
          <w:sz w:val="24"/>
          <w:szCs w:val="24"/>
        </w:rPr>
        <w:fldChar w:fldCharType="separate"/>
      </w:r>
      <w:r w:rsidR="00F64EE7" w:rsidRPr="0011329B">
        <w:rPr>
          <w:rFonts w:ascii="Times New Roman" w:hAnsi="Times New Roman"/>
          <w:noProof/>
          <w:sz w:val="24"/>
          <w:szCs w:val="24"/>
        </w:rPr>
        <w:t>[35]</w:t>
      </w:r>
      <w:r w:rsidRPr="0011329B">
        <w:rPr>
          <w:rStyle w:val="FootnoteReference"/>
          <w:rFonts w:ascii="Times New Roman" w:hAnsi="Times New Roman"/>
          <w:sz w:val="24"/>
          <w:szCs w:val="24"/>
        </w:rPr>
        <w:fldChar w:fldCharType="end"/>
      </w:r>
      <w:r w:rsidRPr="0011329B">
        <w:rPr>
          <w:rFonts w:ascii="Times New Roman" w:hAnsi="Times New Roman"/>
          <w:sz w:val="24"/>
          <w:szCs w:val="24"/>
        </w:rPr>
        <w:t xml:space="preserve"> These findings, under conditions that mimic the GIT, show </w:t>
      </w:r>
      <w:r w:rsidR="0003681B" w:rsidRPr="0011329B">
        <w:rPr>
          <w:rFonts w:ascii="Times New Roman" w:hAnsi="Times New Roman"/>
          <w:sz w:val="24"/>
          <w:szCs w:val="24"/>
        </w:rPr>
        <w:t>nanosuspensions</w:t>
      </w:r>
      <w:r w:rsidRPr="0011329B">
        <w:rPr>
          <w:rFonts w:ascii="Times New Roman" w:hAnsi="Times New Roman"/>
          <w:sz w:val="24"/>
          <w:szCs w:val="24"/>
        </w:rPr>
        <w:t xml:space="preserve"> of curcumin might offer potential for oral drug administration.</w:t>
      </w:r>
    </w:p>
    <w:p w14:paraId="5F3C3D97" w14:textId="77777777" w:rsidR="008F4997" w:rsidRPr="0011329B" w:rsidRDefault="008F4997" w:rsidP="002F10E8">
      <w:pPr>
        <w:pStyle w:val="RSCB02ArticleText"/>
        <w:spacing w:line="360" w:lineRule="auto"/>
        <w:rPr>
          <w:rFonts w:ascii="Times New Roman" w:hAnsi="Times New Roman"/>
          <w:sz w:val="24"/>
          <w:szCs w:val="24"/>
        </w:rPr>
      </w:pPr>
    </w:p>
    <w:p w14:paraId="2513C3FE" w14:textId="33DBACD7" w:rsidR="008F4997" w:rsidRPr="0011329B" w:rsidRDefault="0003681B" w:rsidP="00F82FDC">
      <w:pPr>
        <w:pStyle w:val="RSCB06BHeadingSub-Section"/>
        <w:numPr>
          <w:ilvl w:val="1"/>
          <w:numId w:val="2"/>
        </w:numPr>
        <w:spacing w:line="360" w:lineRule="auto"/>
        <w:rPr>
          <w:rFonts w:ascii="Times New Roman" w:hAnsi="Times New Roman" w:cs="Times New Roman"/>
          <w:sz w:val="24"/>
          <w:szCs w:val="24"/>
        </w:rPr>
      </w:pPr>
      <w:r w:rsidRPr="0011329B">
        <w:rPr>
          <w:rFonts w:ascii="Times New Roman" w:hAnsi="Times New Roman" w:cs="Times New Roman"/>
          <w:sz w:val="24"/>
          <w:szCs w:val="24"/>
        </w:rPr>
        <w:t xml:space="preserve"> </w:t>
      </w:r>
      <w:r w:rsidR="008F4997" w:rsidRPr="0011329B">
        <w:rPr>
          <w:rFonts w:ascii="Times New Roman" w:hAnsi="Times New Roman" w:cs="Times New Roman"/>
          <w:sz w:val="24"/>
          <w:szCs w:val="24"/>
        </w:rPr>
        <w:t xml:space="preserve">Colloidal stability study of curcumin </w:t>
      </w:r>
      <w:r w:rsidRPr="0011329B">
        <w:rPr>
          <w:rFonts w:ascii="Times New Roman" w:hAnsi="Times New Roman"/>
          <w:sz w:val="24"/>
          <w:szCs w:val="24"/>
        </w:rPr>
        <w:t>nanosuspensions</w:t>
      </w:r>
      <w:r w:rsidRPr="0011329B" w:rsidDel="0003681B">
        <w:rPr>
          <w:rFonts w:ascii="Times New Roman" w:hAnsi="Times New Roman" w:cs="Times New Roman"/>
          <w:sz w:val="24"/>
          <w:szCs w:val="24"/>
        </w:rPr>
        <w:t xml:space="preserve"> </w:t>
      </w:r>
      <w:r w:rsidR="008F4997" w:rsidRPr="0011329B">
        <w:rPr>
          <w:rFonts w:ascii="Times New Roman" w:hAnsi="Times New Roman" w:cs="Times New Roman"/>
          <w:sz w:val="24"/>
          <w:szCs w:val="24"/>
        </w:rPr>
        <w:t xml:space="preserve"> </w:t>
      </w:r>
    </w:p>
    <w:p w14:paraId="3674C482" w14:textId="36EAA847" w:rsidR="008F4997" w:rsidRPr="0011329B" w:rsidRDefault="008F4997" w:rsidP="00A3015E">
      <w:pPr>
        <w:pStyle w:val="RSCB02ArticleText"/>
        <w:spacing w:line="360" w:lineRule="auto"/>
        <w:rPr>
          <w:rFonts w:ascii="Times New Roman" w:hAnsi="Times New Roman"/>
          <w:sz w:val="24"/>
          <w:szCs w:val="24"/>
        </w:rPr>
      </w:pPr>
      <w:r w:rsidRPr="0011329B">
        <w:rPr>
          <w:rFonts w:ascii="Times New Roman" w:hAnsi="Times New Roman"/>
          <w:sz w:val="24"/>
          <w:szCs w:val="24"/>
        </w:rPr>
        <w:t xml:space="preserve">The stability of </w:t>
      </w:r>
      <w:r w:rsidR="0003681B" w:rsidRPr="0011329B">
        <w:rPr>
          <w:rFonts w:ascii="Times New Roman" w:hAnsi="Times New Roman"/>
          <w:sz w:val="24"/>
          <w:szCs w:val="24"/>
        </w:rPr>
        <w:t>nanosuspensions</w:t>
      </w:r>
      <w:r w:rsidR="0003681B" w:rsidRPr="0011329B" w:rsidDel="0003681B">
        <w:rPr>
          <w:rFonts w:ascii="Times New Roman" w:hAnsi="Times New Roman"/>
          <w:sz w:val="24"/>
          <w:szCs w:val="24"/>
        </w:rPr>
        <w:t xml:space="preserve"> </w:t>
      </w:r>
      <w:r w:rsidRPr="0011329B">
        <w:rPr>
          <w:rFonts w:ascii="Times New Roman" w:hAnsi="Times New Roman"/>
          <w:sz w:val="24"/>
          <w:szCs w:val="24"/>
        </w:rPr>
        <w:t xml:space="preserve">samples containing curcumin and PEG was studied in water to assess the dispersion stability. The z-average diameter and PDI were monitored by DLS over three weeks. The initial z-average diameter and PDI of </w:t>
      </w:r>
      <w:r w:rsidR="0003681B" w:rsidRPr="0011329B">
        <w:rPr>
          <w:rFonts w:ascii="Times New Roman" w:hAnsi="Times New Roman"/>
          <w:sz w:val="24"/>
          <w:szCs w:val="24"/>
        </w:rPr>
        <w:t>nanosuspensions</w:t>
      </w:r>
      <w:r w:rsidR="0003681B" w:rsidRPr="0011329B" w:rsidDel="0003681B">
        <w:rPr>
          <w:rFonts w:ascii="Times New Roman" w:hAnsi="Times New Roman"/>
          <w:sz w:val="24"/>
          <w:szCs w:val="24"/>
        </w:rPr>
        <w:t xml:space="preserve"> </w:t>
      </w:r>
      <w:r w:rsidRPr="0011329B">
        <w:rPr>
          <w:rFonts w:ascii="Times New Roman" w:hAnsi="Times New Roman"/>
          <w:sz w:val="24"/>
          <w:szCs w:val="24"/>
        </w:rPr>
        <w:t xml:space="preserve">was 205 nm </w:t>
      </w:r>
      <w:r w:rsidRPr="0011329B">
        <w:rPr>
          <w:rFonts w:ascii="Times New Roman" w:hAnsi="Times New Roman"/>
          <w:sz w:val="24"/>
          <w:szCs w:val="24"/>
          <w:shd w:val="clear" w:color="auto" w:fill="FFFFFF"/>
          <w:lang w:eastAsia="en-GB"/>
        </w:rPr>
        <w:t>± 2.3,</w:t>
      </w:r>
      <w:r w:rsidRPr="0011329B">
        <w:rPr>
          <w:rFonts w:ascii="Times New Roman" w:hAnsi="Times New Roman"/>
          <w:sz w:val="24"/>
          <w:szCs w:val="24"/>
        </w:rPr>
        <w:t xml:space="preserve"> and 0.1 </w:t>
      </w:r>
      <w:r w:rsidRPr="0011329B">
        <w:rPr>
          <w:rFonts w:ascii="Times New Roman" w:hAnsi="Times New Roman"/>
          <w:sz w:val="24"/>
          <w:szCs w:val="24"/>
          <w:shd w:val="clear" w:color="auto" w:fill="FFFFFF"/>
          <w:lang w:eastAsia="en-GB"/>
        </w:rPr>
        <w:t xml:space="preserve">± 0.01, </w:t>
      </w:r>
      <w:r w:rsidRPr="0011329B">
        <w:rPr>
          <w:rFonts w:ascii="Times New Roman" w:hAnsi="Times New Roman"/>
          <w:sz w:val="24"/>
          <w:szCs w:val="24"/>
        </w:rPr>
        <w:t xml:space="preserve">respectively. After 1 day, the z-average diameter of the </w:t>
      </w:r>
      <w:r w:rsidR="0003681B" w:rsidRPr="0011329B">
        <w:rPr>
          <w:rFonts w:ascii="Times New Roman" w:hAnsi="Times New Roman"/>
          <w:sz w:val="24"/>
          <w:szCs w:val="24"/>
        </w:rPr>
        <w:t>nanosuspensions</w:t>
      </w:r>
      <w:r w:rsidR="0003681B" w:rsidRPr="0011329B" w:rsidDel="0003681B">
        <w:rPr>
          <w:rFonts w:ascii="Times New Roman" w:hAnsi="Times New Roman"/>
          <w:sz w:val="24"/>
          <w:szCs w:val="24"/>
        </w:rPr>
        <w:t xml:space="preserve"> </w:t>
      </w:r>
      <w:r w:rsidRPr="0011329B">
        <w:rPr>
          <w:rFonts w:ascii="Times New Roman" w:hAnsi="Times New Roman"/>
          <w:sz w:val="24"/>
          <w:szCs w:val="24"/>
        </w:rPr>
        <w:t xml:space="preserve">increased up to 360 nm, while PDI decreases to 0.07, a low PDI here indicating that they </w:t>
      </w:r>
      <w:r w:rsidR="00DE0EA0" w:rsidRPr="0011329B">
        <w:rPr>
          <w:rFonts w:ascii="Times New Roman" w:hAnsi="Times New Roman"/>
          <w:sz w:val="24"/>
          <w:szCs w:val="24"/>
        </w:rPr>
        <w:t xml:space="preserve">were </w:t>
      </w:r>
      <w:r w:rsidRPr="0011329B">
        <w:rPr>
          <w:rFonts w:ascii="Times New Roman" w:hAnsi="Times New Roman"/>
          <w:sz w:val="24"/>
          <w:szCs w:val="24"/>
        </w:rPr>
        <w:t xml:space="preserve">still stable and monodispersed. After a week, the z-average diameter of </w:t>
      </w:r>
      <w:r w:rsidR="0003681B" w:rsidRPr="0011329B">
        <w:rPr>
          <w:rFonts w:ascii="Times New Roman" w:hAnsi="Times New Roman"/>
          <w:sz w:val="24"/>
          <w:szCs w:val="24"/>
        </w:rPr>
        <w:t>nanosuspensions</w:t>
      </w:r>
      <w:r w:rsidR="0003681B" w:rsidRPr="0011329B" w:rsidDel="0003681B">
        <w:rPr>
          <w:rFonts w:ascii="Times New Roman" w:hAnsi="Times New Roman"/>
          <w:sz w:val="24"/>
          <w:szCs w:val="24"/>
        </w:rPr>
        <w:t xml:space="preserve"> </w:t>
      </w:r>
      <w:r w:rsidRPr="0011329B">
        <w:rPr>
          <w:rFonts w:ascii="Times New Roman" w:hAnsi="Times New Roman"/>
          <w:sz w:val="24"/>
          <w:szCs w:val="24"/>
        </w:rPr>
        <w:t xml:space="preserve">gradually increased from 360 to 421 nm, while the PDI significantly increased from 0.07 to 0.5. The significant increase in PDI indicates the instability of </w:t>
      </w:r>
      <w:r w:rsidR="0003681B" w:rsidRPr="0011329B">
        <w:rPr>
          <w:rFonts w:ascii="Times New Roman" w:hAnsi="Times New Roman"/>
          <w:sz w:val="24"/>
          <w:szCs w:val="24"/>
        </w:rPr>
        <w:t>nanosuspensions</w:t>
      </w:r>
      <w:r w:rsidR="0003681B" w:rsidRPr="0011329B" w:rsidDel="0003681B">
        <w:rPr>
          <w:rFonts w:ascii="Times New Roman" w:hAnsi="Times New Roman"/>
          <w:sz w:val="24"/>
          <w:szCs w:val="24"/>
        </w:rPr>
        <w:t xml:space="preserve"> </w:t>
      </w:r>
      <w:r w:rsidRPr="0011329B">
        <w:rPr>
          <w:rFonts w:ascii="Times New Roman" w:hAnsi="Times New Roman"/>
          <w:sz w:val="24"/>
          <w:szCs w:val="24"/>
        </w:rPr>
        <w:t xml:space="preserve">after a week. After three weeks, the z-average diameter and PDI of </w:t>
      </w:r>
      <w:r w:rsidR="0003681B" w:rsidRPr="0011329B">
        <w:rPr>
          <w:rFonts w:ascii="Times New Roman" w:hAnsi="Times New Roman"/>
          <w:sz w:val="24"/>
          <w:szCs w:val="24"/>
        </w:rPr>
        <w:t>nanosuspensions</w:t>
      </w:r>
      <w:r w:rsidR="0003681B" w:rsidRPr="0011329B" w:rsidDel="0003681B">
        <w:rPr>
          <w:rFonts w:ascii="Times New Roman" w:hAnsi="Times New Roman"/>
          <w:sz w:val="24"/>
          <w:szCs w:val="24"/>
        </w:rPr>
        <w:t xml:space="preserve"> </w:t>
      </w:r>
      <w:r w:rsidRPr="0011329B">
        <w:rPr>
          <w:rFonts w:ascii="Times New Roman" w:hAnsi="Times New Roman"/>
          <w:sz w:val="24"/>
          <w:szCs w:val="24"/>
        </w:rPr>
        <w:t>were increased up to 636 nm and 0.6, respectively</w:t>
      </w:r>
      <w:r w:rsidR="00007A6A" w:rsidRPr="0011329B">
        <w:rPr>
          <w:rFonts w:ascii="Times New Roman" w:hAnsi="Times New Roman"/>
          <w:sz w:val="24"/>
          <w:szCs w:val="24"/>
        </w:rPr>
        <w:t xml:space="preserve"> </w:t>
      </w:r>
      <w:r w:rsidRPr="0011329B">
        <w:rPr>
          <w:rFonts w:ascii="Times New Roman" w:hAnsi="Times New Roman"/>
          <w:sz w:val="24"/>
          <w:szCs w:val="24"/>
        </w:rPr>
        <w:t>(Fig</w:t>
      </w:r>
      <w:r w:rsidR="008574F5" w:rsidRPr="0011329B">
        <w:rPr>
          <w:rFonts w:ascii="Times New Roman" w:hAnsi="Times New Roman"/>
          <w:sz w:val="24"/>
          <w:szCs w:val="24"/>
        </w:rPr>
        <w:t>.</w:t>
      </w:r>
      <w:r w:rsidRPr="0011329B">
        <w:rPr>
          <w:rFonts w:ascii="Times New Roman" w:hAnsi="Times New Roman"/>
          <w:sz w:val="24"/>
          <w:szCs w:val="24"/>
        </w:rPr>
        <w:t xml:space="preserve"> 8). Th</w:t>
      </w:r>
      <w:r w:rsidR="00DE0EA0" w:rsidRPr="0011329B">
        <w:rPr>
          <w:rFonts w:ascii="Times New Roman" w:hAnsi="Times New Roman"/>
          <w:sz w:val="24"/>
          <w:szCs w:val="24"/>
        </w:rPr>
        <w:t>is</w:t>
      </w:r>
      <w:r w:rsidRPr="0011329B">
        <w:rPr>
          <w:rFonts w:ascii="Times New Roman" w:hAnsi="Times New Roman"/>
          <w:sz w:val="24"/>
          <w:szCs w:val="24"/>
        </w:rPr>
        <w:t xml:space="preserve"> increase in z-average diameter and PDI of the </w:t>
      </w:r>
      <w:r w:rsidR="00007A6A" w:rsidRPr="0011329B">
        <w:rPr>
          <w:rFonts w:ascii="Times New Roman" w:hAnsi="Times New Roman"/>
          <w:sz w:val="24"/>
          <w:szCs w:val="24"/>
        </w:rPr>
        <w:t xml:space="preserve">nanosuspension </w:t>
      </w:r>
      <w:r w:rsidRPr="0011329B">
        <w:rPr>
          <w:rFonts w:ascii="Times New Roman" w:hAnsi="Times New Roman"/>
          <w:sz w:val="24"/>
          <w:szCs w:val="24"/>
        </w:rPr>
        <w:t xml:space="preserve">could be ascribed to the Ostwald ripening that resulted in particles enlargement, or alternatively particle aggregation to minimise the surface energy. He </w:t>
      </w:r>
      <w:r w:rsidRPr="0011329B">
        <w:rPr>
          <w:rFonts w:ascii="Times New Roman" w:hAnsi="Times New Roman"/>
          <w:i/>
          <w:iCs/>
          <w:sz w:val="24"/>
          <w:szCs w:val="24"/>
        </w:rPr>
        <w:t>et al</w:t>
      </w:r>
      <w:r w:rsidRPr="0011329B">
        <w:rPr>
          <w:rFonts w:ascii="Times New Roman" w:hAnsi="Times New Roman"/>
          <w:sz w:val="24"/>
          <w:szCs w:val="24"/>
        </w:rPr>
        <w:t>. showed that indomethacin nanosuspension exhibited a high solubility in presence of natural stabilisers such as soybean protein, whey protein, and β-lactoglobulin, which led to aggregation and crystal growth.</w:t>
      </w:r>
      <w:r w:rsidR="00882B96" w:rsidRPr="0011329B">
        <w:rPr>
          <w:rFonts w:ascii="Times New Roman" w:hAnsi="Times New Roman"/>
          <w:sz w:val="24"/>
          <w:szCs w:val="24"/>
        </w:rPr>
        <w:fldChar w:fldCharType="begin" w:fldLock="1"/>
      </w:r>
      <w:r w:rsidR="00147035" w:rsidRPr="0011329B">
        <w:rPr>
          <w:rFonts w:ascii="Times New Roman" w:hAnsi="Times New Roman"/>
          <w:sz w:val="24"/>
          <w:szCs w:val="24"/>
        </w:rPr>
        <w:instrText>ADDIN CSL_CITATION {"citationItems":[{"id":"ITEM-1","itemData":{"author":[{"dropping-particle":"","family":"Wei He, Yi Lu, JianpingQi, Lingyun Chen, Fuqiang Hu","given":"Wei Wu","non-dropping-particle":"","parse-names":false,"suffix":""}],"container-title":"International Journal of Pharmaceutics","id":"ITEM-1","issue":"1-2","issued":{"date-parts":[["2013"]]},"page":"269-278","title":"Food proteins as novel nanosuspension stabilizers for poorly water-soluble drugs","type":"article-journal","volume":"441"},"uris":["http://www.mendeley.com/documents/?uuid=1c3e3893-9efe-45d8-a7a5-59e5dc35dc12"]}],"mendeley":{"formattedCitation":"[40]","plainTextFormattedCitation":"[40]","previouslyFormattedCitation":"[40]"},"properties":{"noteIndex":0},"schema":"https://github.com/citation-style-language/schema/raw/master/csl-citation.json"}</w:instrText>
      </w:r>
      <w:r w:rsidR="00882B96" w:rsidRPr="0011329B">
        <w:rPr>
          <w:rFonts w:ascii="Times New Roman" w:hAnsi="Times New Roman"/>
          <w:sz w:val="24"/>
          <w:szCs w:val="24"/>
        </w:rPr>
        <w:fldChar w:fldCharType="separate"/>
      </w:r>
      <w:r w:rsidR="00F64EE7" w:rsidRPr="0011329B">
        <w:rPr>
          <w:rFonts w:ascii="Times New Roman" w:hAnsi="Times New Roman"/>
          <w:noProof/>
          <w:sz w:val="24"/>
          <w:szCs w:val="24"/>
        </w:rPr>
        <w:t>[40]</w:t>
      </w:r>
      <w:r w:rsidR="00882B96" w:rsidRPr="0011329B">
        <w:rPr>
          <w:rFonts w:ascii="Times New Roman" w:hAnsi="Times New Roman"/>
          <w:sz w:val="24"/>
          <w:szCs w:val="24"/>
        </w:rPr>
        <w:fldChar w:fldCharType="end"/>
      </w:r>
      <w:r w:rsidRPr="0011329B">
        <w:rPr>
          <w:rFonts w:ascii="Times New Roman" w:hAnsi="Times New Roman"/>
          <w:sz w:val="24"/>
          <w:szCs w:val="24"/>
        </w:rPr>
        <w:t xml:space="preserve"> Indeed, it was reported that increasing the drug solubility in the presence of stabilisers resulting in </w:t>
      </w:r>
      <w:r w:rsidRPr="0011329B">
        <w:rPr>
          <w:rFonts w:ascii="Times New Roman" w:hAnsi="Times New Roman"/>
          <w:sz w:val="24"/>
          <w:szCs w:val="24"/>
        </w:rPr>
        <w:lastRenderedPageBreak/>
        <w:t>Ostwald ripening and particles aggregation.</w:t>
      </w:r>
      <w:r w:rsidRPr="0011329B">
        <w:rPr>
          <w:rFonts w:ascii="Times New Roman" w:hAnsi="Times New Roman"/>
          <w:sz w:val="24"/>
          <w:szCs w:val="24"/>
        </w:rPr>
        <w:fldChar w:fldCharType="begin" w:fldLock="1"/>
      </w:r>
      <w:r w:rsidR="00147035" w:rsidRPr="0011329B">
        <w:rPr>
          <w:rFonts w:ascii="Times New Roman" w:hAnsi="Times New Roman"/>
          <w:sz w:val="24"/>
          <w:szCs w:val="24"/>
        </w:rPr>
        <w:instrText>ADDIN CSL_CITATION {"citationItems":[{"id":"ITEM-1","itemData":{"author":[{"dropping-particle":"","family":"YancaiWang, YingZheng, LingZhang, QiweiWang","given":"DianruiZhang","non-dropping-particle":"","parse-names":false,"suffix":""}],"container-title":"Journal of Controlled Release","id":"ITEM-1","issue":"3","issued":{"date-parts":[["2013"]]},"page":"1126-1141","title":"Stability of nanosuspensions in drug delivery","type":"article-journal","volume":"172"},"uris":["http://www.mendeley.com/documents/?uuid=71aefd57-8acd-4559-b406-491510c16fd3","http://www.mendeley.com/documents/?uuid=c6196a04-2230-407d-9421-e77c747af1de"]}],"mendeley":{"formattedCitation":"[41]","plainTextFormattedCitation":"[41]","previouslyFormattedCitation":"[41]"},"properties":{"noteIndex":0},"schema":"https://github.com/citation-style-language/schema/raw/master/csl-citation.json"}</w:instrText>
      </w:r>
      <w:r w:rsidRPr="0011329B">
        <w:rPr>
          <w:rFonts w:ascii="Times New Roman" w:hAnsi="Times New Roman"/>
          <w:sz w:val="24"/>
          <w:szCs w:val="24"/>
        </w:rPr>
        <w:fldChar w:fldCharType="separate"/>
      </w:r>
      <w:r w:rsidR="00F64EE7" w:rsidRPr="0011329B">
        <w:rPr>
          <w:rFonts w:ascii="Times New Roman" w:hAnsi="Times New Roman"/>
          <w:noProof/>
          <w:sz w:val="24"/>
          <w:szCs w:val="24"/>
        </w:rPr>
        <w:t>[41]</w:t>
      </w:r>
      <w:r w:rsidRPr="0011329B">
        <w:rPr>
          <w:rFonts w:ascii="Times New Roman" w:hAnsi="Times New Roman"/>
          <w:sz w:val="24"/>
          <w:szCs w:val="24"/>
        </w:rPr>
        <w:fldChar w:fldCharType="end"/>
      </w:r>
      <w:r w:rsidRPr="0011329B">
        <w:rPr>
          <w:rFonts w:ascii="Times New Roman" w:hAnsi="Times New Roman"/>
          <w:sz w:val="24"/>
          <w:szCs w:val="24"/>
        </w:rPr>
        <w:t xml:space="preserve"> However, as the </w:t>
      </w:r>
      <w:r w:rsidR="0003681B" w:rsidRPr="0011329B">
        <w:rPr>
          <w:rFonts w:ascii="Times New Roman" w:hAnsi="Times New Roman"/>
          <w:sz w:val="24"/>
          <w:szCs w:val="24"/>
        </w:rPr>
        <w:t>nanosuspensions</w:t>
      </w:r>
      <w:r w:rsidR="00DE0EA0" w:rsidRPr="0011329B">
        <w:rPr>
          <w:rFonts w:ascii="Times New Roman" w:hAnsi="Times New Roman"/>
          <w:sz w:val="24"/>
          <w:szCs w:val="24"/>
        </w:rPr>
        <w:t xml:space="preserve"> reported in our work</w:t>
      </w:r>
      <w:r w:rsidR="0003681B" w:rsidRPr="0011329B" w:rsidDel="0003681B">
        <w:rPr>
          <w:rFonts w:ascii="Times New Roman" w:hAnsi="Times New Roman"/>
          <w:sz w:val="24"/>
          <w:szCs w:val="24"/>
        </w:rPr>
        <w:t xml:space="preserve"> </w:t>
      </w:r>
      <w:r w:rsidRPr="0011329B">
        <w:rPr>
          <w:rFonts w:ascii="Times New Roman" w:hAnsi="Times New Roman"/>
          <w:sz w:val="24"/>
          <w:szCs w:val="24"/>
        </w:rPr>
        <w:t xml:space="preserve">were obtained from a redispersible solid, there would be little need for the formulation to be dispersed over durations as long as a week prior to administration to the patient. </w:t>
      </w:r>
    </w:p>
    <w:p w14:paraId="20C7A3BD" w14:textId="0CF8BF33" w:rsidR="008F4997" w:rsidRPr="0011329B" w:rsidRDefault="008F4997" w:rsidP="00937D88">
      <w:pPr>
        <w:spacing w:line="360" w:lineRule="auto"/>
        <w:jc w:val="center"/>
        <w:rPr>
          <w:lang w:val="en-GB"/>
        </w:rPr>
      </w:pPr>
    </w:p>
    <w:p w14:paraId="3CA53809" w14:textId="1AB88C35" w:rsidR="00D4596B" w:rsidRPr="0011329B" w:rsidRDefault="00D4596B" w:rsidP="00D4596B">
      <w:pPr>
        <w:spacing w:line="360" w:lineRule="auto"/>
        <w:rPr>
          <w:b/>
          <w:bCs/>
          <w:sz w:val="22"/>
          <w:szCs w:val="22"/>
          <w:lang w:val="en-GB"/>
        </w:rPr>
      </w:pPr>
      <w:r w:rsidRPr="0011329B">
        <w:rPr>
          <w:b/>
          <w:noProof/>
          <w:sz w:val="22"/>
          <w:szCs w:val="22"/>
          <w:lang w:val="en-GB"/>
        </w:rPr>
        <w:drawing>
          <wp:inline distT="0" distB="0" distL="0" distR="0" wp14:anchorId="01CD50E6" wp14:editId="25A73568">
            <wp:extent cx="2884805" cy="1823085"/>
            <wp:effectExtent l="0" t="0" r="0" b="5715"/>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b="7558"/>
                    <a:stretch>
                      <a:fillRect/>
                    </a:stretch>
                  </pic:blipFill>
                  <pic:spPr bwMode="auto">
                    <a:xfrm>
                      <a:off x="0" y="0"/>
                      <a:ext cx="2884805" cy="1823085"/>
                    </a:xfrm>
                    <a:prstGeom prst="rect">
                      <a:avLst/>
                    </a:prstGeom>
                    <a:noFill/>
                    <a:ln>
                      <a:noFill/>
                    </a:ln>
                  </pic:spPr>
                </pic:pic>
              </a:graphicData>
            </a:graphic>
          </wp:inline>
        </w:drawing>
      </w:r>
    </w:p>
    <w:p w14:paraId="5BB4FAC7" w14:textId="4BECC9B7" w:rsidR="00993E95" w:rsidRPr="0011329B" w:rsidRDefault="00D4596B" w:rsidP="00993E95">
      <w:pPr>
        <w:autoSpaceDE w:val="0"/>
        <w:autoSpaceDN w:val="0"/>
        <w:adjustRightInd w:val="0"/>
        <w:spacing w:line="360" w:lineRule="auto"/>
        <w:rPr>
          <w:rFonts w:eastAsiaTheme="minorHAnsi"/>
          <w:sz w:val="22"/>
          <w:szCs w:val="22"/>
          <w:lang w:val="en-GB"/>
        </w:rPr>
      </w:pPr>
      <w:r w:rsidRPr="0011329B">
        <w:rPr>
          <w:rStyle w:val="RSCI04CaptiontoFigureSchemeChartChar"/>
          <w:b/>
          <w:sz w:val="22"/>
          <w:szCs w:val="22"/>
        </w:rPr>
        <w:t>Figure 8:</w:t>
      </w:r>
      <w:r w:rsidRPr="0011329B">
        <w:rPr>
          <w:rStyle w:val="RSCI04CaptiontoFigureSchemeChartChar"/>
          <w:sz w:val="22"/>
          <w:szCs w:val="22"/>
        </w:rPr>
        <w:t xml:space="preserve">  The mean diameter and PDI of </w:t>
      </w:r>
      <w:r w:rsidR="0003681B" w:rsidRPr="0011329B">
        <w:rPr>
          <w:lang w:val="en-GB"/>
        </w:rPr>
        <w:t>nanosuspensions</w:t>
      </w:r>
      <w:r w:rsidR="0003681B" w:rsidRPr="0011329B" w:rsidDel="0003681B">
        <w:rPr>
          <w:rStyle w:val="RSCI04CaptiontoFigureSchemeChartChar"/>
          <w:sz w:val="22"/>
          <w:szCs w:val="22"/>
        </w:rPr>
        <w:t xml:space="preserve"> </w:t>
      </w:r>
      <w:r w:rsidRPr="0011329B">
        <w:rPr>
          <w:rStyle w:val="RSCI04CaptiontoFigureSchemeChartChar"/>
          <w:sz w:val="22"/>
          <w:szCs w:val="22"/>
        </w:rPr>
        <w:t>measured by DLS in water at 25 °</w:t>
      </w:r>
      <w:proofErr w:type="spellStart"/>
      <w:r w:rsidRPr="0011329B">
        <w:rPr>
          <w:rStyle w:val="RSCI04CaptiontoFigureSchemeChartChar"/>
          <w:sz w:val="22"/>
          <w:szCs w:val="22"/>
        </w:rPr>
        <w:t>C over</w:t>
      </w:r>
      <w:proofErr w:type="spellEnd"/>
      <w:r w:rsidRPr="0011329B">
        <w:rPr>
          <w:rStyle w:val="RSCI04CaptiontoFigureSchemeChartChar"/>
          <w:sz w:val="22"/>
          <w:szCs w:val="22"/>
        </w:rPr>
        <w:t xml:space="preserve"> 21 days.  </w:t>
      </w:r>
      <w:r w:rsidR="00993E95" w:rsidRPr="0011329B">
        <w:rPr>
          <w:rFonts w:eastAsiaTheme="minorHAnsi"/>
          <w:sz w:val="22"/>
          <w:szCs w:val="22"/>
          <w:lang w:val="en-GB"/>
        </w:rPr>
        <w:t xml:space="preserve">All </w:t>
      </w:r>
      <w:r w:rsidR="00990436" w:rsidRPr="0011329B">
        <w:rPr>
          <w:rFonts w:eastAsiaTheme="minorHAnsi"/>
          <w:sz w:val="22"/>
          <w:szCs w:val="22"/>
          <w:lang w:val="en-GB"/>
        </w:rPr>
        <w:t xml:space="preserve">the </w:t>
      </w:r>
      <w:r w:rsidR="00993E95" w:rsidRPr="0011329B">
        <w:rPr>
          <w:rFonts w:eastAsiaTheme="minorHAnsi"/>
          <w:sz w:val="22"/>
          <w:szCs w:val="22"/>
          <w:lang w:val="en-GB"/>
        </w:rPr>
        <w:t xml:space="preserve">measurements were </w:t>
      </w:r>
      <w:r w:rsidR="0003681B" w:rsidRPr="0011329B">
        <w:rPr>
          <w:rFonts w:eastAsiaTheme="minorHAnsi"/>
          <w:sz w:val="22"/>
          <w:szCs w:val="22"/>
          <w:lang w:val="en-GB"/>
        </w:rPr>
        <w:t>carried out</w:t>
      </w:r>
      <w:r w:rsidR="00993E95" w:rsidRPr="0011329B">
        <w:rPr>
          <w:rFonts w:eastAsiaTheme="minorHAnsi"/>
          <w:sz w:val="22"/>
          <w:szCs w:val="22"/>
          <w:lang w:val="en-GB"/>
        </w:rPr>
        <w:t xml:space="preserve"> in triplicate.</w:t>
      </w:r>
    </w:p>
    <w:p w14:paraId="7AC05669" w14:textId="77777777" w:rsidR="00D4596B" w:rsidRPr="0011329B" w:rsidRDefault="00D4596B" w:rsidP="002F10E8">
      <w:pPr>
        <w:pStyle w:val="RSCB02ArticleText"/>
        <w:spacing w:line="360" w:lineRule="auto"/>
        <w:rPr>
          <w:rFonts w:ascii="Times New Roman" w:hAnsi="Times New Roman"/>
          <w:bCs/>
          <w:sz w:val="24"/>
          <w:szCs w:val="24"/>
        </w:rPr>
      </w:pPr>
    </w:p>
    <w:p w14:paraId="3A59015F" w14:textId="620A84C9" w:rsidR="008F4997" w:rsidRPr="0011329B" w:rsidRDefault="00F27C1B" w:rsidP="00F82FDC">
      <w:pPr>
        <w:pStyle w:val="RSCB06BHeadingSub-Section"/>
        <w:numPr>
          <w:ilvl w:val="1"/>
          <w:numId w:val="2"/>
        </w:numPr>
        <w:spacing w:line="360" w:lineRule="auto"/>
        <w:rPr>
          <w:rFonts w:ascii="Times New Roman" w:hAnsi="Times New Roman" w:cs="Times New Roman"/>
          <w:sz w:val="24"/>
          <w:szCs w:val="24"/>
        </w:rPr>
      </w:pPr>
      <w:r w:rsidRPr="0011329B">
        <w:rPr>
          <w:rFonts w:ascii="Times New Roman" w:hAnsi="Times New Roman" w:cs="Times New Roman"/>
          <w:i/>
          <w:iCs/>
          <w:sz w:val="24"/>
          <w:szCs w:val="24"/>
        </w:rPr>
        <w:t xml:space="preserve"> </w:t>
      </w:r>
      <w:r w:rsidR="008F4997" w:rsidRPr="0011329B">
        <w:rPr>
          <w:rFonts w:ascii="Times New Roman" w:hAnsi="Times New Roman" w:cs="Times New Roman"/>
          <w:i/>
          <w:iCs/>
          <w:sz w:val="24"/>
          <w:szCs w:val="24"/>
        </w:rPr>
        <w:t>In vitro</w:t>
      </w:r>
      <w:r w:rsidR="008F4997" w:rsidRPr="0011329B">
        <w:rPr>
          <w:rFonts w:ascii="Times New Roman" w:hAnsi="Times New Roman" w:cs="Times New Roman"/>
          <w:sz w:val="24"/>
          <w:szCs w:val="24"/>
        </w:rPr>
        <w:t xml:space="preserve"> bioaccessibility study</w:t>
      </w:r>
    </w:p>
    <w:p w14:paraId="0396651E" w14:textId="74EC3590" w:rsidR="008F4997" w:rsidRPr="0011329B" w:rsidRDefault="008F4997" w:rsidP="002F10E8">
      <w:pPr>
        <w:pStyle w:val="RSCB02ArticleText"/>
        <w:spacing w:line="360" w:lineRule="auto"/>
        <w:rPr>
          <w:rStyle w:val="FootnoteReference"/>
          <w:rFonts w:ascii="Times New Roman" w:hAnsi="Times New Roman"/>
          <w:sz w:val="24"/>
          <w:szCs w:val="24"/>
          <w:shd w:val="clear" w:color="auto" w:fill="FFFFFF"/>
        </w:rPr>
      </w:pPr>
      <w:r w:rsidRPr="0011329B">
        <w:rPr>
          <w:rFonts w:ascii="Times New Roman" w:hAnsi="Times New Roman"/>
          <w:sz w:val="24"/>
          <w:szCs w:val="24"/>
          <w:shd w:val="clear" w:color="auto" w:fill="FFFFFF"/>
        </w:rPr>
        <w:t xml:space="preserve">The </w:t>
      </w:r>
      <w:r w:rsidRPr="0011329B">
        <w:rPr>
          <w:rFonts w:ascii="Times New Roman" w:hAnsi="Times New Roman"/>
          <w:i/>
          <w:iCs/>
          <w:sz w:val="24"/>
          <w:szCs w:val="24"/>
          <w:shd w:val="clear" w:color="auto" w:fill="FFFFFF"/>
        </w:rPr>
        <w:t>in vitro</w:t>
      </w:r>
      <w:r w:rsidRPr="0011329B">
        <w:rPr>
          <w:rFonts w:ascii="Times New Roman" w:hAnsi="Times New Roman"/>
          <w:sz w:val="24"/>
          <w:szCs w:val="24"/>
          <w:shd w:val="clear" w:color="auto" w:fill="FFFFFF"/>
        </w:rPr>
        <w:t xml:space="preserve"> bioaccessibility of unformulated curcumin and </w:t>
      </w:r>
      <w:r w:rsidR="000F2779" w:rsidRPr="0011329B">
        <w:rPr>
          <w:rFonts w:ascii="Times New Roman" w:hAnsi="Times New Roman"/>
          <w:sz w:val="24"/>
          <w:szCs w:val="24"/>
        </w:rPr>
        <w:t>nanosuspensions</w:t>
      </w:r>
      <w:r w:rsidR="000F2779" w:rsidRPr="0011329B" w:rsidDel="000F2779">
        <w:rPr>
          <w:rFonts w:ascii="Times New Roman" w:hAnsi="Times New Roman"/>
          <w:sz w:val="24"/>
          <w:szCs w:val="24"/>
          <w:shd w:val="clear" w:color="auto" w:fill="FFFFFF"/>
        </w:rPr>
        <w:t xml:space="preserve"> </w:t>
      </w:r>
      <w:r w:rsidRPr="0011329B">
        <w:rPr>
          <w:rFonts w:ascii="Times New Roman" w:hAnsi="Times New Roman"/>
          <w:sz w:val="24"/>
          <w:szCs w:val="24"/>
          <w:shd w:val="clear" w:color="auto" w:fill="FFFFFF"/>
        </w:rPr>
        <w:t>was then evaluated with the use of a simulated gastrointestinal tract (GIT). The total amount of curcumin remaining after passing through various GIT conditions and the fraction of curcumin present in the small intestine phase was determined using HPLC. These results were used to calculate the stability and bioaccessibility. The stability was defined as the percentage of curcumin remaining in the overall media after passing through the simulated GIT. While the bioaccessibility was defined as the fraction of curcumin in the small intestine phase, which is considered as the available amount of curcumin for absorption.</w:t>
      </w:r>
      <w:r w:rsidRPr="0011329B">
        <w:rPr>
          <w:rStyle w:val="FootnoteReference"/>
          <w:rFonts w:ascii="Times New Roman" w:hAnsi="Times New Roman"/>
          <w:sz w:val="24"/>
          <w:szCs w:val="24"/>
          <w:shd w:val="clear" w:color="auto" w:fill="FFFFFF"/>
        </w:rPr>
        <w:fldChar w:fldCharType="begin" w:fldLock="1"/>
      </w:r>
      <w:r w:rsidR="00147035" w:rsidRPr="0011329B">
        <w:rPr>
          <w:rFonts w:ascii="Times New Roman" w:hAnsi="Times New Roman"/>
          <w:sz w:val="24"/>
          <w:szCs w:val="24"/>
          <w:shd w:val="clear" w:color="auto" w:fill="FFFFFF"/>
        </w:rPr>
        <w:instrText>ADDIN CSL_CITATION {"citationItems":[{"id":"ITEM-1","itemData":{"DOI":"10.1039/c7ra02861j","ISSN":"20462069","abstract":"The poor water solubility and bioavailability of curcumin can be improved by encapsulating it into liposomes. However, the existing encapsulation technologies, such as the thin film method and the ethanol injection method, are complex and require the use of organic solvents. In this study, an organic solvent-free and easily scalable encapsulation technique was studied by utilizing the pH-dependent solubility properties of curcumin. Phospholipid was dissolved in water to form liposomes. Curcumin was deprotonated and dissolved under alkaline conditions and then encapsulated into the liposomes after acidification. Morphological observation and X-ray diffraction analysis confirmed that curcumin liposomes had been successfully prepared. Curcumin liposomes prepared by the pH-driven method were stable during storage. During in vitro digestion, curcumin liposomes prepared by the pH-driven method showed similar bioaccessibility to those prepared by the thin film method and higher bioaccessibility than those prepared by the ethanol injection method. The pH-driven method, which is organic solvent-free and easily scalable for industrial production, is thus a promising method for the preparation of curcumin liposomes.","author":[{"dropping-particle":"","family":"Cheng","given":"Ce","non-dropping-particle":"","parse-names":false,"suffix":""},{"dropping-particle":"","family":"Peng","given":"Shengfeng","non-dropping-particle":"","parse-names":false,"suffix":""},{"dropping-particle":"","family":"Li","given":"Ziling","non-dropping-particle":"","parse-names":false,"suffix":""},{"dropping-particle":"","family":"Zou","given":"Liqiang","non-dropping-particle":"","parse-names":false,"suffix":""},{"dropping-particle":"","family":"Liu","given":"Wei","non-dropping-particle":"","parse-names":false,"suffix":""},{"dropping-particle":"","family":"Liu","given":"Chengmei","non-dropping-particle":"","parse-names":false,"suffix":""}],"container-title":"RSC Advances","id":"ITEM-1","issue":"42","issued":{"date-parts":[["2017"]]},"page":"25978-25986","publisher":"Royal Society of Chemistry","title":"Improved bioavailability of curcumin in liposomes prepared using a pH-driven, organic solvent-free, easily scalable process","type":"article-journal","volume":"7"},"uris":["http://www.mendeley.com/documents/?uuid=9491ac55-e2b3-3b58-933f-eb967994655d","http://www.mendeley.com/documents/?uuid=79a43535-b2da-4e6f-9ee4-c823e99a95ce"]},{"id":"ITEM-2","itemData":{"DOI":"10.1021/acs.jafc.6b04815","ISSN":"15205118","abstract":"The utilization of curcumin as a nutraceutical in food and supplement products is often limited because of its low water solubility, poor chemical stability, and low oral bioavailability. This study examined the impact of pH, storage temperature, and molecular environment on the physical and chemical stability of pure curcumin in aqueous solutions and in oil-in-water emulsions. Unlike naturally occurring curcuminoid mixtures (that contain curcumin, demethoxy-curcumin, and bisdemethoxy-curcumin), pure curcumin was highly unstable to chemical degradation in alkaline aqueous solutions (pH ≥7.0) and tended to crystallize out of aqueous acidic solutions (pH &lt;7). These effects were attributed to changes in the molecular structure of curcumin under different pH conditions. The curcumin crystals formed were relatively large (10-50 μm), which made them prone to rapid sedimentation. The incorporation of curcumin into oil-in-water emulsions (30% MCT, 1 mg curcumin/g MCT, d32 ≈ 298 nm) improved its water dispersibility and chemical stability. After incubation at 37 °C for 1 month, &gt;85% of curcumin was retained by emulsions stored under acidic conditions (pH &lt;7), whereas 62, 60, and 53% was retained by emulsions stored at pH 7.0, 7.4, and 8.0, respectively. There was little change in the color of curcumin-loaded emulsions when stored under acidic conditions, but their yellow color faded when stored under alkaline conditions. There was no evidence of droplet aggregation or creaming in emulsions stored for 31 days at ambient temperature. These results suggest that emulsion-based delivery systems may be suitable for improving the water dispersibility and chemical stability of curcumin, which would facilitate its application in foods and supplements.","author":[{"dropping-particle":"","family":"Kharat","given":"Mahesh","non-dropping-particle":"","parse-names":false,"suffix":""},{"dropping-particle":"","family":"Du","given":"Zheyuan","non-dropping-particle":"","parse-names":false,"suffix":""},{"dropping-particle":"","family":"Zhang","given":"Guodong","non-dropping-particle":"","parse-names":false,"suffix":""},{"dropping-particle":"","family":"McClements","given":"David Julian","non-dropping-particle":"","parse-names":false,"suffix":""}],"container-title":"Journal of Agricultural and Food Chemistry","id":"ITEM-2","issue":"8","issued":{"date-parts":[["2017","3","1"]]},"page":"1525-1532","publisher":"American Chemical Society","title":"Physical and Chemical Stability of Curcumin in Aqueous Solutions and Emulsions: Impact of pH, Temperature, and Molecular Environment","type":"article-journal","volume":"65"},"uris":["http://www.mendeley.com/documents/?uuid=8de66a7b-a774-430c-aeda-00ec6e37a466","http://www.mendeley.com/documents/?uuid=65e0cc7f-1fae-3f30-90c3-b124490bdfff"]},{"id":"ITEM-3","itemData":{"DOI":"10.1021/acs.jafc.7b05478","ISSN":"0021-8561","author":[{"dropping-particle":"","family":"Peng","given":"Shengfeng","non-dropping-particle":"","parse-names":false,"suffix":""},{"dropping-particle":"","family":"Li","given":"Ziling","non-dropping-particle":"","parse-names":false,"suffix":""},{"dropping-particle":"","family":"Zou","given":"Liqiang","non-dropping-particle":"","parse-names":false,"suffix":""},{"dropping-particle":"","family":"Liu","given":"Wei","non-dropping-particle":"","parse-names":false,"suffix":""},{"dropping-particle":"","family":"Liu","given":"Chengmei","non-dropping-particle":"","parse-names":false,"suffix":""},{"dropping-particle":"","family":"McClements","given":"David Julian","non-dropping-particle":"","parse-names":false,"suffix":""}],"container-title":"Journal of Agricultural and Food Chemistry","id":"ITEM-3","issue":"6","issued":{"date-parts":[["2018","2","14"]]},"page":"1488-1497","title":"Enhancement of Curcumin Bioavailability by Encapsulation in Sophorolipid-Coated Nanoparticles: An in Vitro and in Vivo Study","type":"article-journal","volume":"66"},"uris":["http://www.mendeley.com/documents/?uuid=988de932-f780-4263-bfc4-4e83a8353713","http://www.mendeley.com/documents/?uuid=ae950c22-99f0-37da-9545-ea970290e497","http://www.mendeley.com/documents/?uuid=15c308b1-8444-4390-bc1b-c808198cdeca"]}],"mendeley":{"formattedCitation":"[39,42,43]","plainTextFormattedCitation":"[39,42,43]","previouslyFormattedCitation":"[39,42,43]"},"properties":{"noteIndex":0},"schema":"https://github.com/citation-style-language/schema/raw/master/csl-citation.json"}</w:instrText>
      </w:r>
      <w:r w:rsidRPr="0011329B">
        <w:rPr>
          <w:rStyle w:val="FootnoteReference"/>
          <w:rFonts w:ascii="Times New Roman" w:hAnsi="Times New Roman"/>
          <w:sz w:val="24"/>
          <w:szCs w:val="24"/>
          <w:shd w:val="clear" w:color="auto" w:fill="FFFFFF"/>
        </w:rPr>
        <w:fldChar w:fldCharType="separate"/>
      </w:r>
      <w:r w:rsidR="00F64EE7" w:rsidRPr="0011329B">
        <w:rPr>
          <w:rFonts w:ascii="Times New Roman" w:hAnsi="Times New Roman"/>
          <w:noProof/>
          <w:sz w:val="24"/>
          <w:szCs w:val="24"/>
          <w:shd w:val="clear" w:color="auto" w:fill="FFFFFF"/>
        </w:rPr>
        <w:t>[39,42,43]</w:t>
      </w:r>
      <w:r w:rsidRPr="0011329B">
        <w:rPr>
          <w:rStyle w:val="FootnoteReference"/>
          <w:rFonts w:ascii="Times New Roman" w:hAnsi="Times New Roman"/>
          <w:sz w:val="24"/>
          <w:szCs w:val="24"/>
          <w:shd w:val="clear" w:color="auto" w:fill="FFFFFF"/>
        </w:rPr>
        <w:fldChar w:fldCharType="end"/>
      </w:r>
      <w:r w:rsidRPr="0011329B">
        <w:rPr>
          <w:rFonts w:ascii="Times New Roman" w:hAnsi="Times New Roman"/>
          <w:sz w:val="24"/>
          <w:szCs w:val="24"/>
          <w:shd w:val="clear" w:color="auto" w:fill="FFFFFF"/>
        </w:rPr>
        <w:t xml:space="preserve"> For these experiments we did not solubilise the unformulated curcumin in order to reflect its poor aqueous solubility.</w:t>
      </w:r>
      <w:r w:rsidR="0090258C" w:rsidRPr="0011329B">
        <w:rPr>
          <w:rFonts w:ascii="Times New Roman" w:hAnsi="Times New Roman"/>
          <w:sz w:val="24"/>
          <w:szCs w:val="24"/>
          <w:shd w:val="clear" w:color="auto" w:fill="FFFFFF"/>
        </w:rPr>
        <w:t xml:space="preserve"> </w:t>
      </w:r>
      <w:bookmarkStart w:id="1" w:name="_Hlk74568854"/>
      <w:r w:rsidR="0090258C" w:rsidRPr="0011329B">
        <w:rPr>
          <w:rFonts w:ascii="Times New Roman" w:hAnsi="Times New Roman"/>
          <w:sz w:val="24"/>
          <w:szCs w:val="24"/>
          <w:shd w:val="clear" w:color="auto" w:fill="FFFFFF"/>
        </w:rPr>
        <w:t>The concentration of c</w:t>
      </w:r>
      <w:r w:rsidR="003D15EF" w:rsidRPr="0011329B">
        <w:rPr>
          <w:rFonts w:ascii="Times New Roman" w:hAnsi="Times New Roman"/>
          <w:sz w:val="24"/>
          <w:szCs w:val="24"/>
          <w:shd w:val="clear" w:color="auto" w:fill="FFFFFF"/>
        </w:rPr>
        <w:t>urcumin was above the solubility limit at all stages of the simulated GIT, these conditions were chosen in order to differentiate how nanosuspension formulation might assist dissolution when above the saturation limit of curcumin</w:t>
      </w:r>
      <w:bookmarkEnd w:id="1"/>
      <w:r w:rsidR="003D15EF" w:rsidRPr="0011329B">
        <w:rPr>
          <w:rFonts w:ascii="Times New Roman" w:hAnsi="Times New Roman"/>
          <w:sz w:val="24"/>
          <w:szCs w:val="24"/>
          <w:shd w:val="clear" w:color="auto" w:fill="FFFFFF"/>
        </w:rPr>
        <w:t>.</w:t>
      </w:r>
      <w:r w:rsidRPr="0011329B">
        <w:rPr>
          <w:rFonts w:ascii="Times New Roman" w:hAnsi="Times New Roman"/>
          <w:sz w:val="24"/>
          <w:szCs w:val="24"/>
          <w:shd w:val="clear" w:color="auto" w:fill="FFFFFF"/>
        </w:rPr>
        <w:t xml:space="preserve"> The stability of unformulated curcumin (60 %) was significantly higher than </w:t>
      </w:r>
      <w:r w:rsidR="00444068" w:rsidRPr="0011329B">
        <w:rPr>
          <w:rFonts w:ascii="Times New Roman" w:hAnsi="Times New Roman"/>
          <w:sz w:val="24"/>
          <w:szCs w:val="24"/>
        </w:rPr>
        <w:t>nanosuspensions</w:t>
      </w:r>
      <w:r w:rsidR="00444068" w:rsidRPr="0011329B" w:rsidDel="00444068">
        <w:rPr>
          <w:rFonts w:ascii="Times New Roman" w:hAnsi="Times New Roman"/>
          <w:sz w:val="24"/>
          <w:szCs w:val="24"/>
          <w:shd w:val="clear" w:color="auto" w:fill="FFFFFF"/>
        </w:rPr>
        <w:t xml:space="preserve"> </w:t>
      </w:r>
      <w:r w:rsidRPr="0011329B">
        <w:rPr>
          <w:rFonts w:ascii="Times New Roman" w:hAnsi="Times New Roman"/>
          <w:sz w:val="24"/>
          <w:szCs w:val="24"/>
          <w:shd w:val="clear" w:color="auto" w:fill="FFFFFF"/>
        </w:rPr>
        <w:t>(17%) (Fig</w:t>
      </w:r>
      <w:r w:rsidR="008574F5" w:rsidRPr="0011329B">
        <w:rPr>
          <w:rFonts w:ascii="Times New Roman" w:hAnsi="Times New Roman"/>
          <w:sz w:val="24"/>
          <w:szCs w:val="24"/>
          <w:shd w:val="clear" w:color="auto" w:fill="FFFFFF"/>
        </w:rPr>
        <w:t>.</w:t>
      </w:r>
      <w:r w:rsidRPr="0011329B">
        <w:rPr>
          <w:rFonts w:ascii="Times New Roman" w:hAnsi="Times New Roman"/>
          <w:sz w:val="24"/>
          <w:szCs w:val="24"/>
          <w:shd w:val="clear" w:color="auto" w:fill="FFFFFF"/>
        </w:rPr>
        <w:t xml:space="preserve"> 9). The curcumin degradation under the simulated GIT conditions occurred due to the exposure to the aqueous neutral </w:t>
      </w:r>
      <w:r w:rsidRPr="0011329B">
        <w:rPr>
          <w:rFonts w:ascii="Times New Roman" w:hAnsi="Times New Roman"/>
          <w:sz w:val="24"/>
          <w:szCs w:val="24"/>
          <w:shd w:val="clear" w:color="auto" w:fill="FFFFFF"/>
        </w:rPr>
        <w:lastRenderedPageBreak/>
        <w:t>environment and digestive enzymes such as pepsin</w:t>
      </w:r>
      <w:r w:rsidRPr="0011329B">
        <w:rPr>
          <w:rFonts w:ascii="Times New Roman" w:hAnsi="Times New Roman"/>
          <w:sz w:val="24"/>
          <w:szCs w:val="24"/>
        </w:rPr>
        <w:t>.</w:t>
      </w:r>
      <w:r w:rsidR="00FB260A" w:rsidRPr="0011329B">
        <w:rPr>
          <w:rStyle w:val="FootnoteReference"/>
          <w:rFonts w:ascii="Times New Roman" w:hAnsi="Times New Roman"/>
          <w:sz w:val="24"/>
          <w:szCs w:val="24"/>
          <w:shd w:val="clear" w:color="auto" w:fill="FFFFFF"/>
        </w:rPr>
        <w:fldChar w:fldCharType="begin" w:fldLock="1"/>
      </w:r>
      <w:r w:rsidR="00147035" w:rsidRPr="0011329B">
        <w:rPr>
          <w:rFonts w:ascii="Times New Roman" w:hAnsi="Times New Roman"/>
          <w:sz w:val="24"/>
          <w:szCs w:val="24"/>
          <w:shd w:val="clear" w:color="auto" w:fill="FFFFFF"/>
        </w:rPr>
        <w:instrText>ADDIN CSL_CITATION {"citationItems":[{"id":"ITEM-1","itemData":{"DOI":"10.1039/c5ra22834d","ISSN":"20462069","abstract":"The potential of three nanoparticle-based delivery systems to improve curcumin bioavailability was investigated: lipid nPs (nanoemulsions); protein nPs (zein nanosuspensions); and, phospholipid nPs (nanoliposomes). All three nanoparticle types were fabricated from food-grade constituents, had small mean diameters (d &lt; 200 nm), and had monomodal particle size distributions. The loading capacity of curcumin depended strongly on nanoparticle composition: protein nPs (11.7%); phospholipid nPs (3.1%); lipid nPs (0.40%). The curcumin-loaded nanoparticles were passed through a simulated gastrointestinal tract (GIT) consisting of mouth, stomach, and small intestine phases, and curcumin bioaccessibility and degradation were measured. Nanoparticle composition influenced their ability to protect curcumin from chemical degradation (lipid nPs ≈ protein nPs &gt; phospholipid nPs) and to increase their solubilization within intestinal fluids (lipid nPs &gt; phospholipid nPs &gt; protein nPs). This latter effect was attributed to the enhanced solubilization capacity of the mixed micelle phase formed after digestion of the lipid nanoparticles. Overall, the lipid nanoparticles (nanoemulsions) appeared to be the most effective at increasing the amount of curcumin available for absorption (at an equal initial curcumin level). This study shows that different types of nanoparticles have different advantages and disadvantages for encapsulating, protecting, and releasing curcumin. This research will facilitate the rational selection of food-grade colloidal delivery systems designed to enhance the oral bioavailability of hydrophobic nutraceuticals.","author":[{"dropping-particle":"","family":"Zou","given":"Liqiang","non-dropping-particle":"","parse-names":false,"suffix":""},{"dropping-particle":"","family":"Zheng","given":"Bingjing","non-dropping-particle":"","parse-names":false,"suffix":""},{"dropping-particle":"","family":"Zhang","given":"Ruojie","non-dropping-particle":"","parse-names":false,"suffix":""},{"dropping-particle":"","family":"Zhang","given":"Zipei","non-dropping-particle":"","parse-names":false,"suffix":""},{"dropping-particle":"","family":"Liu","given":"Wei","non-dropping-particle":"","parse-names":false,"suffix":""},{"dropping-particle":"","family":"Liu","given":"Chengmei","non-dropping-particle":"","parse-names":false,"suffix":""},{"dropping-particle":"","family":"Xiao","given":"Hang","non-dropping-particle":"","parse-names":false,"suffix":""},{"dropping-particle":"","family":"McClements","given":"David Julian","non-dropping-particle":"","parse-names":false,"suffix":""}],"container-title":"RSC Advances","id":"ITEM-1","issue":"4","issued":{"date-parts":[["2016"]]},"page":"3126-3136","publisher":"Royal Society of Chemistry","title":"Food-grade nanoparticles for encapsulation, protection and delivery of curcumin: Comparison of lipid, protein, and phospholipid nanoparticles under simulated gastrointestinal conditions","type":"article-journal","volume":"6"},"uris":["http://www.mendeley.com/documents/?uuid=a19a4253-b703-380a-bcf5-48766b11a8bc","http://www.mendeley.com/documents/?uuid=297ff189-4551-4eca-acef-36f71a578229"]},{"id":"ITEM-2","itemData":{"author":[{"dropping-particle":"","family":"Ming Ying , Fengwen Huang , Haidong Ye , Hong Xu , Liangliang Shen , Tianwen Huan , Shitong Huang , Jiangfeng Xie , Shengli Tian, Zhangli Hu , Zhendan He , Jun Lu , Kai ZhouMing Ying , Fengwen Huang , Haidong Ye , Hong Xu , Liangliang Shen, Tian","given":"Kai Zhou","non-dropping-particle":"","parse-names":false,"suffix":""}],"container-title":"Int J Biol Macromol","id":"ITEM-2","issued":{"date-parts":[["2015"]]},"page":"201-208","title":"Study on interaction between curcumin and pepsin by spectroscopic and docking methods","type":"article-journal","volume":"79"},"uris":["http://www.mendeley.com/documents/?uuid=8a3565a9-a5b6-4655-a43f-6077c916feda"]}],"mendeley":{"formattedCitation":"[44,45]","plainTextFormattedCitation":"[44,45]","previouslyFormattedCitation":"[44,45]"},"properties":{"noteIndex":0},"schema":"https://github.com/citation-style-language/schema/raw/master/csl-citation.json"}</w:instrText>
      </w:r>
      <w:r w:rsidR="00FB260A" w:rsidRPr="0011329B">
        <w:rPr>
          <w:rStyle w:val="FootnoteReference"/>
          <w:rFonts w:ascii="Times New Roman" w:hAnsi="Times New Roman"/>
          <w:sz w:val="24"/>
          <w:szCs w:val="24"/>
          <w:shd w:val="clear" w:color="auto" w:fill="FFFFFF"/>
        </w:rPr>
        <w:fldChar w:fldCharType="separate"/>
      </w:r>
      <w:r w:rsidR="00F64EE7" w:rsidRPr="0011329B">
        <w:rPr>
          <w:rFonts w:ascii="Times New Roman" w:hAnsi="Times New Roman"/>
          <w:noProof/>
          <w:sz w:val="24"/>
          <w:szCs w:val="24"/>
          <w:shd w:val="clear" w:color="auto" w:fill="FFFFFF"/>
        </w:rPr>
        <w:t>[44,45]</w:t>
      </w:r>
      <w:r w:rsidR="00FB260A" w:rsidRPr="0011329B">
        <w:rPr>
          <w:rStyle w:val="FootnoteReference"/>
          <w:rFonts w:ascii="Times New Roman" w:hAnsi="Times New Roman"/>
          <w:sz w:val="24"/>
          <w:szCs w:val="24"/>
          <w:shd w:val="clear" w:color="auto" w:fill="FFFFFF"/>
        </w:rPr>
        <w:fldChar w:fldCharType="end"/>
      </w:r>
      <w:r w:rsidRPr="0011329B">
        <w:rPr>
          <w:rFonts w:ascii="Times New Roman" w:hAnsi="Times New Roman"/>
          <w:sz w:val="24"/>
          <w:szCs w:val="24"/>
          <w:shd w:val="clear" w:color="auto" w:fill="FFFFFF"/>
        </w:rPr>
        <w:t xml:space="preserve"> </w:t>
      </w:r>
      <w:r w:rsidR="004114DE" w:rsidRPr="0011329B">
        <w:rPr>
          <w:rFonts w:ascii="Times New Roman" w:hAnsi="Times New Roman"/>
          <w:sz w:val="24"/>
          <w:szCs w:val="24"/>
        </w:rPr>
        <w:t>N</w:t>
      </w:r>
      <w:r w:rsidR="00444068" w:rsidRPr="0011329B">
        <w:rPr>
          <w:rFonts w:ascii="Times New Roman" w:hAnsi="Times New Roman"/>
          <w:sz w:val="24"/>
          <w:szCs w:val="24"/>
        </w:rPr>
        <w:t>anosuspensions</w:t>
      </w:r>
      <w:r w:rsidR="00444068" w:rsidRPr="0011329B" w:rsidDel="00444068">
        <w:rPr>
          <w:rFonts w:ascii="Times New Roman" w:hAnsi="Times New Roman"/>
          <w:sz w:val="24"/>
          <w:szCs w:val="24"/>
          <w:shd w:val="clear" w:color="auto" w:fill="FFFFFF"/>
        </w:rPr>
        <w:t xml:space="preserve"> </w:t>
      </w:r>
      <w:r w:rsidRPr="0011329B">
        <w:rPr>
          <w:rFonts w:ascii="Times New Roman" w:hAnsi="Times New Roman"/>
          <w:sz w:val="24"/>
          <w:szCs w:val="24"/>
          <w:shd w:val="clear" w:color="auto" w:fill="FFFFFF"/>
        </w:rPr>
        <w:t xml:space="preserve">showed a higher degradation than unformulated curcumin, because </w:t>
      </w:r>
      <w:r w:rsidR="00444068" w:rsidRPr="0011329B">
        <w:rPr>
          <w:rFonts w:ascii="Times New Roman" w:hAnsi="Times New Roman"/>
          <w:sz w:val="24"/>
          <w:szCs w:val="24"/>
        </w:rPr>
        <w:t>nanosuspensions</w:t>
      </w:r>
      <w:r w:rsidR="00444068" w:rsidRPr="0011329B" w:rsidDel="00444068">
        <w:rPr>
          <w:rFonts w:ascii="Times New Roman" w:hAnsi="Times New Roman"/>
          <w:sz w:val="24"/>
          <w:szCs w:val="24"/>
          <w:shd w:val="clear" w:color="auto" w:fill="FFFFFF"/>
        </w:rPr>
        <w:t xml:space="preserve"> </w:t>
      </w:r>
      <w:r w:rsidRPr="0011329B">
        <w:rPr>
          <w:rFonts w:ascii="Times New Roman" w:hAnsi="Times New Roman"/>
          <w:sz w:val="24"/>
          <w:szCs w:val="24"/>
          <w:shd w:val="clear" w:color="auto" w:fill="FFFFFF"/>
        </w:rPr>
        <w:t>have a much higher surface area compared to the unformulated curcumin powder particles. This renders the curcumin more susceptible to enzymatic degradation than the unformulated curcumin in the larger crystals.</w:t>
      </w:r>
      <w:r w:rsidR="00147035" w:rsidRPr="0011329B">
        <w:rPr>
          <w:rFonts w:ascii="Times New Roman" w:hAnsi="Times New Roman"/>
          <w:sz w:val="24"/>
          <w:szCs w:val="24"/>
          <w:shd w:val="clear" w:color="auto" w:fill="FFFFFF"/>
        </w:rPr>
        <w:fldChar w:fldCharType="begin" w:fldLock="1"/>
      </w:r>
      <w:r w:rsidR="00147035" w:rsidRPr="0011329B">
        <w:rPr>
          <w:rFonts w:ascii="Times New Roman" w:hAnsi="Times New Roman"/>
          <w:sz w:val="24"/>
          <w:szCs w:val="24"/>
          <w:shd w:val="clear" w:color="auto" w:fill="FFFFFF"/>
        </w:rPr>
        <w:instrText>ADDIN CSL_CITATION {"citationItems":[{"id":"ITEM-1","itemData":{"DOI":"10.1021/acs.jafc.7b05478","ISSN":"0021-8561","author":[{"dropping-particle":"","family":"Peng","given":"Shengfeng","non-dropping-particle":"","parse-names":false,"suffix":""},{"dropping-particle":"","family":"Li","given":"Ziling","non-dropping-particle":"","parse-names":false,"suffix":""},{"dropping-particle":"","family":"Zou","given":"Liqiang","non-dropping-particle":"","parse-names":false,"suffix":""},{"dropping-particle":"","family":"Liu","given":"Wei","non-dropping-particle":"","parse-names":false,"suffix":""},{"dropping-particle":"","family":"Liu","given":"Chengmei","non-dropping-particle":"","parse-names":false,"suffix":""},{"dropping-particle":"","family":"McClements","given":"David Julian","non-dropping-particle":"","parse-names":false,"suffix":""}],"container-title":"Journal of Agricultural and Food Chemistry","id":"ITEM-1","issue":"6","issued":{"date-parts":[["2018","2","14"]]},"page":"1488-1497","title":"Enhancement of Curcumin Bioavailability by Encapsulation in Sophorolipid-Coated Nanoparticles: An in Vitro and in Vivo Study","type":"article-journal","volume":"66"},"uris":["http://www.mendeley.com/documents/?uuid=29827fc0-fd28-3c86-86df-33f52a5cd885"]}],"mendeley":{"formattedCitation":"[20]","plainTextFormattedCitation":"[20]"},"properties":{"noteIndex":0},"schema":"https://github.com/citation-style-language/schema/raw/master/csl-citation.json"}</w:instrText>
      </w:r>
      <w:r w:rsidR="00147035" w:rsidRPr="0011329B">
        <w:rPr>
          <w:rFonts w:ascii="Times New Roman" w:hAnsi="Times New Roman"/>
          <w:sz w:val="24"/>
          <w:szCs w:val="24"/>
          <w:shd w:val="clear" w:color="auto" w:fill="FFFFFF"/>
        </w:rPr>
        <w:fldChar w:fldCharType="separate"/>
      </w:r>
      <w:r w:rsidR="00147035" w:rsidRPr="0011329B">
        <w:rPr>
          <w:rFonts w:ascii="Times New Roman" w:hAnsi="Times New Roman"/>
          <w:noProof/>
          <w:sz w:val="24"/>
          <w:szCs w:val="24"/>
          <w:shd w:val="clear" w:color="auto" w:fill="FFFFFF"/>
        </w:rPr>
        <w:t>[20]</w:t>
      </w:r>
      <w:r w:rsidR="00147035" w:rsidRPr="0011329B">
        <w:rPr>
          <w:rFonts w:ascii="Times New Roman" w:hAnsi="Times New Roman"/>
          <w:sz w:val="24"/>
          <w:szCs w:val="24"/>
          <w:shd w:val="clear" w:color="auto" w:fill="FFFFFF"/>
        </w:rPr>
        <w:fldChar w:fldCharType="end"/>
      </w:r>
      <w:r w:rsidRPr="0011329B">
        <w:rPr>
          <w:rFonts w:ascii="Times New Roman" w:hAnsi="Times New Roman"/>
          <w:sz w:val="24"/>
          <w:szCs w:val="24"/>
          <w:shd w:val="clear" w:color="auto" w:fill="FFFFFF"/>
        </w:rPr>
        <w:t xml:space="preserve"> On the other hand, the bioaccessibility percentage of curcumin </w:t>
      </w:r>
      <w:r w:rsidR="00444068" w:rsidRPr="0011329B">
        <w:rPr>
          <w:rFonts w:ascii="Times New Roman" w:hAnsi="Times New Roman"/>
          <w:sz w:val="24"/>
          <w:szCs w:val="24"/>
        </w:rPr>
        <w:t>nanosuspensions</w:t>
      </w:r>
      <w:r w:rsidR="00444068" w:rsidRPr="0011329B" w:rsidDel="00444068">
        <w:rPr>
          <w:rFonts w:ascii="Times New Roman" w:hAnsi="Times New Roman"/>
          <w:sz w:val="24"/>
          <w:szCs w:val="24"/>
          <w:shd w:val="clear" w:color="auto" w:fill="FFFFFF"/>
        </w:rPr>
        <w:t xml:space="preserve"> </w:t>
      </w:r>
      <w:r w:rsidRPr="0011329B">
        <w:rPr>
          <w:rFonts w:ascii="Times New Roman" w:hAnsi="Times New Roman"/>
          <w:sz w:val="24"/>
          <w:szCs w:val="24"/>
          <w:shd w:val="clear" w:color="auto" w:fill="FFFFFF"/>
        </w:rPr>
        <w:t xml:space="preserve">was improved by 2-fold as compared to unformulated curcumin, which suggests that </w:t>
      </w:r>
      <w:r w:rsidR="00444068" w:rsidRPr="0011329B">
        <w:rPr>
          <w:rFonts w:ascii="Times New Roman" w:hAnsi="Times New Roman"/>
          <w:sz w:val="24"/>
          <w:szCs w:val="24"/>
        </w:rPr>
        <w:t>nanosuspensions</w:t>
      </w:r>
      <w:r w:rsidR="00444068" w:rsidRPr="0011329B" w:rsidDel="00444068">
        <w:rPr>
          <w:rFonts w:ascii="Times New Roman" w:hAnsi="Times New Roman"/>
          <w:sz w:val="24"/>
          <w:szCs w:val="24"/>
          <w:shd w:val="clear" w:color="auto" w:fill="FFFFFF"/>
        </w:rPr>
        <w:t xml:space="preserve"> </w:t>
      </w:r>
      <w:r w:rsidRPr="0011329B">
        <w:rPr>
          <w:rFonts w:ascii="Times New Roman" w:hAnsi="Times New Roman"/>
          <w:sz w:val="24"/>
          <w:szCs w:val="24"/>
          <w:shd w:val="clear" w:color="auto" w:fill="FFFFFF"/>
        </w:rPr>
        <w:t>enhanced the dissolution rate of curcumin in small intestine phase (Fig</w:t>
      </w:r>
      <w:r w:rsidR="008574F5" w:rsidRPr="0011329B">
        <w:rPr>
          <w:rFonts w:ascii="Times New Roman" w:hAnsi="Times New Roman"/>
          <w:sz w:val="24"/>
          <w:szCs w:val="24"/>
          <w:shd w:val="clear" w:color="auto" w:fill="FFFFFF"/>
        </w:rPr>
        <w:t>.</w:t>
      </w:r>
      <w:r w:rsidRPr="0011329B">
        <w:rPr>
          <w:rFonts w:ascii="Times New Roman" w:hAnsi="Times New Roman"/>
          <w:sz w:val="24"/>
          <w:szCs w:val="24"/>
          <w:shd w:val="clear" w:color="auto" w:fill="FFFFFF"/>
        </w:rPr>
        <w:t xml:space="preserve"> 9). This trend could again be ascribed to the larger surface area of the </w:t>
      </w:r>
      <w:r w:rsidR="00444068" w:rsidRPr="0011329B">
        <w:rPr>
          <w:rFonts w:ascii="Times New Roman" w:hAnsi="Times New Roman"/>
          <w:sz w:val="24"/>
          <w:szCs w:val="24"/>
        </w:rPr>
        <w:t>nanosuspensions</w:t>
      </w:r>
      <w:r w:rsidR="00444068" w:rsidRPr="0011329B" w:rsidDel="00444068">
        <w:rPr>
          <w:rFonts w:ascii="Times New Roman" w:hAnsi="Times New Roman"/>
          <w:sz w:val="24"/>
          <w:szCs w:val="24"/>
          <w:shd w:val="clear" w:color="auto" w:fill="FFFFFF"/>
        </w:rPr>
        <w:t xml:space="preserve"> </w:t>
      </w:r>
      <w:r w:rsidRPr="0011329B">
        <w:rPr>
          <w:rFonts w:ascii="Times New Roman" w:hAnsi="Times New Roman"/>
          <w:sz w:val="24"/>
          <w:szCs w:val="24"/>
          <w:shd w:val="clear" w:color="auto" w:fill="FFFFFF"/>
        </w:rPr>
        <w:t>which led to a faster dissolution rate than the unformulated curcumin</w:t>
      </w:r>
      <w:r w:rsidRPr="0011329B">
        <w:rPr>
          <w:rFonts w:ascii="Times New Roman" w:hAnsi="Times New Roman"/>
          <w:sz w:val="24"/>
          <w:szCs w:val="24"/>
        </w:rPr>
        <w:t>.</w:t>
      </w:r>
      <w:r w:rsidRPr="0011329B">
        <w:rPr>
          <w:rStyle w:val="FootnoteReference"/>
          <w:rFonts w:ascii="Times New Roman" w:hAnsi="Times New Roman"/>
          <w:sz w:val="24"/>
          <w:szCs w:val="24"/>
          <w:shd w:val="clear" w:color="auto" w:fill="FFFFFF"/>
        </w:rPr>
        <w:fldChar w:fldCharType="begin" w:fldLock="1"/>
      </w:r>
      <w:r w:rsidR="00147035" w:rsidRPr="0011329B">
        <w:rPr>
          <w:rFonts w:ascii="Times New Roman" w:hAnsi="Times New Roman"/>
          <w:sz w:val="24"/>
          <w:szCs w:val="24"/>
          <w:shd w:val="clear" w:color="auto" w:fill="FFFFFF"/>
        </w:rPr>
        <w:instrText>ADDIN CSL_CITATION {"citationItems":[{"id":"ITEM-1","itemData":{"DOI":"10.1016/j.xphs.2016.09.014","ISSN":"15206017","abstract":"There has been a tremendous revolution in the field of nanotechnology, resulting in the advent of novel drug delivery systems known as nanomedicines for diagnosis and therapy. One of the applications is nanoparticulate drug delivery systems which are used to improve the solubility and oral bioavailability of poorly soluble compounds. This is particularly important because most of the molecules emerging from the drug discovery pipeline in recent years have problems associated with solubility and bioavailability. There has been considerable focus on nanocrystalline materials; however, amorphous nanoparticles have the advantage of synergistic mechanisms of enhancing dissolution rates (due to their nanosize range and amorphous nature) as well as increasing supersaturation levels (due to their amorphous nature). An example of this technology is NanomorphTM, developed by Soliqus/Abbott, wherein the nanosize drug particles are precipitated in an amorphous form in order to enhance the dissolution rate. This along with other simple and easily scalable manufacturing techniques for amorphous nanoparticles is described. In addition, the mechanisms of formation of amorphous nanoparticles and several physicochemical properties associated with amorphous nanoparticles are critically reviewed.","author":[{"dropping-particle":"","family":"Jog","given":"Rajan","non-dropping-particle":"","parse-names":false,"suffix":""},{"dropping-particle":"","family":"Burgess","given":"Diane J.","non-dropping-particle":"","parse-names":false,"suffix":""}],"container-title":"J Pharm Sci","id":"ITEM-1","issue":"1","issued":{"date-parts":[["2017","1","1"]]},"page":"39-65","publisher":"Elsevier B.V.","title":"Pharmaceutical Amorphous Nanoparticles","type":"article-journal","volume":"106"},"uris":["http://www.mendeley.com/documents/?uuid=2fd86e3f-1a86-357f-8c2d-d33ad8aae515","http://www.mendeley.com/documents/?uuid=28802ba9-9d72-4593-8b5b-418517597ea0"]}],"mendeley":{"formattedCitation":"[46]","plainTextFormattedCitation":"[46]","previouslyFormattedCitation":"[46]"},"properties":{"noteIndex":0},"schema":"https://github.com/citation-style-language/schema/raw/master/csl-citation.json"}</w:instrText>
      </w:r>
      <w:r w:rsidRPr="0011329B">
        <w:rPr>
          <w:rStyle w:val="FootnoteReference"/>
          <w:rFonts w:ascii="Times New Roman" w:hAnsi="Times New Roman"/>
          <w:sz w:val="24"/>
          <w:szCs w:val="24"/>
          <w:shd w:val="clear" w:color="auto" w:fill="FFFFFF"/>
        </w:rPr>
        <w:fldChar w:fldCharType="separate"/>
      </w:r>
      <w:r w:rsidR="00F64EE7" w:rsidRPr="0011329B">
        <w:rPr>
          <w:rFonts w:ascii="Times New Roman" w:hAnsi="Times New Roman"/>
          <w:noProof/>
          <w:sz w:val="24"/>
          <w:szCs w:val="24"/>
          <w:shd w:val="clear" w:color="auto" w:fill="FFFFFF"/>
        </w:rPr>
        <w:t>[46]</w:t>
      </w:r>
      <w:r w:rsidRPr="0011329B">
        <w:rPr>
          <w:rStyle w:val="FootnoteReference"/>
          <w:rFonts w:ascii="Times New Roman" w:hAnsi="Times New Roman"/>
          <w:sz w:val="24"/>
          <w:szCs w:val="24"/>
          <w:shd w:val="clear" w:color="auto" w:fill="FFFFFF"/>
        </w:rPr>
        <w:fldChar w:fldCharType="end"/>
      </w:r>
      <w:r w:rsidRPr="0011329B">
        <w:rPr>
          <w:rFonts w:ascii="Times New Roman" w:hAnsi="Times New Roman"/>
          <w:sz w:val="24"/>
          <w:szCs w:val="24"/>
          <w:shd w:val="clear" w:color="auto" w:fill="FFFFFF"/>
        </w:rPr>
        <w:t xml:space="preserve"> Overall, the formulation of curcumin into </w:t>
      </w:r>
      <w:r w:rsidR="00444068" w:rsidRPr="0011329B">
        <w:rPr>
          <w:rFonts w:ascii="Times New Roman" w:hAnsi="Times New Roman"/>
          <w:sz w:val="24"/>
          <w:szCs w:val="24"/>
        </w:rPr>
        <w:t>nanosuspensions</w:t>
      </w:r>
      <w:r w:rsidR="00444068" w:rsidRPr="0011329B" w:rsidDel="00444068">
        <w:rPr>
          <w:rFonts w:ascii="Times New Roman" w:hAnsi="Times New Roman"/>
          <w:sz w:val="24"/>
          <w:szCs w:val="24"/>
          <w:shd w:val="clear" w:color="auto" w:fill="FFFFFF"/>
        </w:rPr>
        <w:t xml:space="preserve"> </w:t>
      </w:r>
      <w:r w:rsidRPr="0011329B">
        <w:rPr>
          <w:rFonts w:ascii="Times New Roman" w:hAnsi="Times New Roman"/>
          <w:sz w:val="24"/>
          <w:szCs w:val="24"/>
          <w:shd w:val="clear" w:color="auto" w:fill="FFFFFF"/>
        </w:rPr>
        <w:t xml:space="preserve">showed an enhanced </w:t>
      </w:r>
      <w:r w:rsidRPr="0011329B">
        <w:rPr>
          <w:rFonts w:ascii="Times New Roman" w:hAnsi="Times New Roman"/>
          <w:i/>
          <w:iCs/>
          <w:sz w:val="24"/>
          <w:szCs w:val="24"/>
          <w:shd w:val="clear" w:color="auto" w:fill="FFFFFF"/>
        </w:rPr>
        <w:t>in vitro</w:t>
      </w:r>
      <w:r w:rsidRPr="0011329B">
        <w:rPr>
          <w:rFonts w:ascii="Times New Roman" w:hAnsi="Times New Roman"/>
          <w:sz w:val="24"/>
          <w:szCs w:val="24"/>
          <w:shd w:val="clear" w:color="auto" w:fill="FFFFFF"/>
        </w:rPr>
        <w:t xml:space="preserve"> bioaccessibility than the unformulated curcumin. This result is </w:t>
      </w:r>
      <w:r w:rsidR="00F873F7" w:rsidRPr="0011329B">
        <w:rPr>
          <w:rFonts w:ascii="Times New Roman" w:hAnsi="Times New Roman"/>
          <w:sz w:val="24"/>
          <w:szCs w:val="24"/>
          <w:shd w:val="clear" w:color="auto" w:fill="FFFFFF"/>
        </w:rPr>
        <w:t>in agreement with</w:t>
      </w:r>
      <w:r w:rsidRPr="0011329B">
        <w:rPr>
          <w:rFonts w:ascii="Times New Roman" w:hAnsi="Times New Roman"/>
          <w:sz w:val="24"/>
          <w:szCs w:val="24"/>
          <w:shd w:val="clear" w:color="auto" w:fill="FFFFFF"/>
        </w:rPr>
        <w:t xml:space="preserve"> literature findings revealing that the confinement of curcumin into nanoscale entities enhanced the curcumin dissolution rate as compared to unformulated curcumin</w:t>
      </w:r>
      <w:r w:rsidRPr="0011329B">
        <w:rPr>
          <w:rFonts w:ascii="Times New Roman" w:hAnsi="Times New Roman"/>
          <w:sz w:val="24"/>
          <w:szCs w:val="24"/>
        </w:rPr>
        <w:t>.</w:t>
      </w:r>
      <w:r w:rsidRPr="0011329B">
        <w:rPr>
          <w:rStyle w:val="FootnoteReference"/>
          <w:rFonts w:ascii="Times New Roman" w:hAnsi="Times New Roman"/>
          <w:sz w:val="24"/>
          <w:szCs w:val="24"/>
          <w:shd w:val="clear" w:color="auto" w:fill="FFFFFF"/>
        </w:rPr>
        <w:fldChar w:fldCharType="begin" w:fldLock="1"/>
      </w:r>
      <w:r w:rsidR="00147035" w:rsidRPr="0011329B">
        <w:rPr>
          <w:rFonts w:ascii="Times New Roman" w:hAnsi="Times New Roman"/>
          <w:sz w:val="24"/>
          <w:szCs w:val="24"/>
          <w:shd w:val="clear" w:color="auto" w:fill="FFFFFF"/>
        </w:rPr>
        <w:instrText>ADDIN CSL_CITATION {"citationItems":[{"id":"ITEM-1","itemData":{"DOI":"10.1039/c7ra02861j","ISSN":"20462069","abstract":"The poor water solubility and bioavailability of curcumin can be improved by encapsulating it into liposomes. However, the existing encapsulation technologies, such as the thin film method and the ethanol injection method, are complex and require the use of organic solvents. In this study, an organic solvent-free and easily scalable encapsulation technique was studied by utilizing the pH-dependent solubility properties of curcumin. Phospholipid was dissolved in water to form liposomes. Curcumin was deprotonated and dissolved under alkaline conditions and then encapsulated into the liposomes after acidification. Morphological observation and X-ray diffraction analysis confirmed that curcumin liposomes had been successfully prepared. Curcumin liposomes prepared by the pH-driven method were stable during storage. During in vitro digestion, curcumin liposomes prepared by the pH-driven method showed similar bioaccessibility to those prepared by the thin film method and higher bioaccessibility than those prepared by the ethanol injection method. The pH-driven method, which is organic solvent-free and easily scalable for industrial production, is thus a promising method for the preparation of curcumin liposomes.","author":[{"dropping-particle":"","family":"Cheng","given":"Ce","non-dropping-particle":"","parse-names":false,"suffix":""},{"dropping-particle":"","family":"Peng","given":"Shengfeng","non-dropping-particle":"","parse-names":false,"suffix":""},{"dropping-particle":"","family":"Li","given":"Ziling","non-dropping-particle":"","parse-names":false,"suffix":""},{"dropping-particle":"","family":"Zou","given":"Liqiang","non-dropping-particle":"","parse-names":false,"suffix":""},{"dropping-particle":"","family":"Liu","given":"Wei","non-dropping-particle":"","parse-names":false,"suffix":""},{"dropping-particle":"","family":"Liu","given":"Chengmei","non-dropping-particle":"","parse-names":false,"suffix":""}],"container-title":"RSC Advances","id":"ITEM-1","issue":"42","issued":{"date-parts":[["2017"]]},"page":"25978-25986","publisher":"Royal Society of Chemistry","title":"Improved bioavailability of curcumin in liposomes prepared using a pH-driven, organic solvent-free, easily scalable process","type":"article-journal","volume":"7"},"uris":["http://www.mendeley.com/documents/?uuid=79a43535-b2da-4e6f-9ee4-c823e99a95ce","http://www.mendeley.com/documents/?uuid=9491ac55-e2b3-3b58-933f-eb967994655d"]},{"id":"ITEM-2","itemData":{"DOI":"10.1021/acs.jafc.6b04815","ISSN":"15205118","abstract":"The utilization of curcumin as a nutraceutical in food and supplement products is often limited because of its low water solubility, poor chemical stability, and low oral bioavailability. This study examined the impact of pH, storage temperature, and molecular environment on the physical and chemical stability of pure curcumin in aqueous solutions and in oil-in-water emulsions. Unlike naturally occurring curcuminoid mixtures (that contain curcumin, demethoxy-curcumin, and bisdemethoxy-curcumin), pure curcumin was highly unstable to chemical degradation in alkaline aqueous solutions (pH ≥7.0) and tended to crystallize out of aqueous acidic solutions (pH &lt;7). These effects were attributed to changes in the molecular structure of curcumin under different pH conditions. The curcumin crystals formed were relatively large (10-50 μm), which made them prone to rapid sedimentation. The incorporation of curcumin into oil-in-water emulsions (30% MCT, 1 mg curcumin/g MCT, d32 ≈ 298 nm) improved its water dispersibility and chemical stability. After incubation at 37 °C for 1 month, &gt;85% of curcumin was retained by emulsions stored under acidic conditions (pH &lt;7), whereas 62, 60, and 53% was retained by emulsions stored at pH 7.0, 7.4, and 8.0, respectively. There was little change in the color of curcumin-loaded emulsions when stored under acidic conditions, but their yellow color faded when stored under alkaline conditions. There was no evidence of droplet aggregation or creaming in emulsions stored for 31 days at ambient temperature. These results suggest that emulsion-based delivery systems may be suitable for improving the water dispersibility and chemical stability of curcumin, which would facilitate its application in foods and supplements.","author":[{"dropping-particle":"","family":"Kharat","given":"Mahesh","non-dropping-particle":"","parse-names":false,"suffix":""},{"dropping-particle":"","family":"Du","given":"Zheyuan","non-dropping-particle":"","parse-names":false,"suffix":""},{"dropping-particle":"","family":"Zhang","given":"Guodong","non-dropping-particle":"","parse-names":false,"suffix":""},{"dropping-particle":"","family":"McClements","given":"David Julian","non-dropping-particle":"","parse-names":false,"suffix":""}],"container-title":"Journal of Agricultural and Food Chemistry","id":"ITEM-2","issue":"8","issued":{"date-parts":[["2017","3","1"]]},"page":"1525-1532","publisher":"American Chemical Society","title":"Physical and Chemical Stability of Curcumin in Aqueous Solutions and Emulsions: Impact of pH, Temperature, and Molecular Environment","type":"article-journal","volume":"65"},"uris":["http://www.mendeley.com/documents/?uuid=8de66a7b-a774-430c-aeda-00ec6e37a466","http://www.mendeley.com/documents/?uuid=65e0cc7f-1fae-3f30-90c3-b124490bdfff","http://www.mendeley.com/documents/?uuid=87efd280-f4c0-4bab-b1bf-789863f68308"]},{"id":"ITEM-3","itemData":{"DOI":"10.1021/acs.jafc.7b05478","ISSN":"0021-8561","author":[{"dropping-particle":"","family":"Peng","given":"Shengfeng","non-dropping-particle":"","parse-names":false,"suffix":""},{"dropping-particle":"","family":"Li","given":"Ziling","non-dropping-particle":"","parse-names":false,"suffix":""},{"dropping-particle":"","family":"Zou","given":"Liqiang","non-dropping-particle":"","parse-names":false,"suffix":""},{"dropping-particle":"","family":"Liu","given":"Wei","non-dropping-particle":"","parse-names":false,"suffix":""},{"dropping-particle":"","family":"Liu","given":"Chengmei","non-dropping-particle":"","parse-names":false,"suffix":""},{"dropping-particle":"","family":"McClements","given":"David Julian","non-dropping-particle":"","parse-names":false,"suffix":""}],"container-title":"Journal of Agricultural and Food Chemistry","id":"ITEM-3","issue":"6","issued":{"date-parts":[["2018","2","14"]]},"page":"1488-1497","title":"Enhancement of Curcumin Bioavailability by Encapsulation in Sophorolipid-Coated Nanoparticles: An in Vitro and in Vivo Study","type":"article-journal","volume":"66"},"uris":["http://www.mendeley.com/documents/?uuid=988de932-f780-4263-bfc4-4e83a8353713","http://www.mendeley.com/documents/?uuid=ae950c22-99f0-37da-9545-ea970290e497","http://www.mendeley.com/documents/?uuid=b3e315e5-1381-4562-905d-47f103f0fbcc"]},{"id":"ITEM-4","itemData":{"DOI":"10.1016/j.ejpb.2018.05.015","ISSN":"18733441","abstract":"Oral drug administration remains the preferred approach for treatment of HIV in most patients. Maraviroc (MVC) is the first in class co-receptor antagonist, which blocks HIV entry into host cells. MVC has an oral bioavailability of approximately 33%, which is limited by poor permeability as well as affinity for CYP3A and several drug transporters. While once-daily doses are now the favoured option for HIV therapy, dose-limiting postural hypotension has been of theoretical concern when administering doses high enough to achieve this for MVC (particularly during coadministration of enzyme inhibitors). To overcome low bioavailability and modify the pharmacokinetic profile, a series of 70 wt% MVC solid drug nanoparticle (SDN) formulations (containing 30 wt% of various polymer/surfactant excipients) were generated using emulsion templated freeze-drying. The lead formulation contained PVA and AOT excipients ( MVC SDN PVA/AOT ), and was demonstrated to be fully water-dispersible to release drug nanoparticles with z-average diameter of 728 nm and polydispersity index of 0.3. In vitro and in vivo studies of MVC SDN PVA/AOT showed increased apparent permeability of MVC, compared to a conventional MVC preparation, with in vivo studies in rats showing a 2.5-fold increase in AUC (145.33 vs. 58.71 ng h ml −1 ). MVC tissue distribution was similar or slightly increased in tissues examined compared to the conventional MVC preparation, with the exception of the liver, spleen and kidneys, which showed statistically significant increases in MVC for MVC SDN PVA/AOT . These data support a novel oral format with the potential for dose reduction while maintaining therapeutic MVC exposure and potentially enabling a once-daily fixed dose combination product.","author":[{"dropping-particle":"","family":"Savage","given":"Alison C.","non-dropping-particle":"","parse-names":false,"suffix":""},{"dropping-particle":"","family":"Tatham","given":"Lee M.","non-dropping-particle":"","parse-names":false,"suffix":""},{"dropping-particle":"","family":"Siccardi","given":"Marco","non-dropping-particle":"","parse-names":false,"suffix":""},{"dropping-particle":"","family":"Scott","given":"Trevor","non-dropping-particle":"","parse-names":false,"suffix":""},{"dropping-particle":"","family":"Vourvahis","given":"Manoli","non-dropping-particle":"","parse-names":false,"suffix":""},{"dropping-particle":"","family":"Clark","given":"Andrew","non-dropping-particle":"","parse-names":false,"suffix":""},{"dropping-particle":"","family":"Rannard","given":"Steve P.","non-dropping-particle":"","parse-names":false,"suffix":""},{"dropping-particle":"","family":"Owen","given":"Andrew","non-dropping-particle":"","parse-names":false,"suffix":""}],"container-title":"European Journal of Pharmaceutics and Biopharmaceutics","id":"ITEM-4","issued":{"date-parts":[["2019","5","1"]]},"page":"30-36","publisher":"Elsevier B.V.","title":"Improving maraviroc oral bioavailability by formation of solid drug nanoparticles","type":"article-journal","volume":"138"},"uris":["http://www.mendeley.com/documents/?uuid=38e6f348-5c4b-3655-9a84-7be2450c4b9a"]}],"mendeley":{"formattedCitation":"[13,39,42,43]","plainTextFormattedCitation":"[13,39,42,43]","previouslyFormattedCitation":"[13,39,42,43]"},"properties":{"noteIndex":0},"schema":"https://github.com/citation-style-language/schema/raw/master/csl-citation.json"}</w:instrText>
      </w:r>
      <w:r w:rsidRPr="0011329B">
        <w:rPr>
          <w:rStyle w:val="FootnoteReference"/>
          <w:rFonts w:ascii="Times New Roman" w:hAnsi="Times New Roman"/>
          <w:sz w:val="24"/>
          <w:szCs w:val="24"/>
          <w:shd w:val="clear" w:color="auto" w:fill="FFFFFF"/>
        </w:rPr>
        <w:fldChar w:fldCharType="separate"/>
      </w:r>
      <w:r w:rsidR="00F64EE7" w:rsidRPr="0011329B">
        <w:rPr>
          <w:rFonts w:ascii="Times New Roman" w:hAnsi="Times New Roman"/>
          <w:noProof/>
          <w:sz w:val="24"/>
          <w:szCs w:val="24"/>
          <w:shd w:val="clear" w:color="auto" w:fill="FFFFFF"/>
        </w:rPr>
        <w:t>[13,39,42,43]</w:t>
      </w:r>
      <w:r w:rsidRPr="0011329B">
        <w:rPr>
          <w:rStyle w:val="FootnoteReference"/>
          <w:rFonts w:ascii="Times New Roman" w:hAnsi="Times New Roman"/>
          <w:sz w:val="24"/>
          <w:szCs w:val="24"/>
          <w:shd w:val="clear" w:color="auto" w:fill="FFFFFF"/>
        </w:rPr>
        <w:fldChar w:fldCharType="end"/>
      </w:r>
    </w:p>
    <w:p w14:paraId="333095DA" w14:textId="34FB37AD" w:rsidR="00D4596B" w:rsidRPr="0011329B" w:rsidRDefault="00D4596B" w:rsidP="00D4596B">
      <w:pPr>
        <w:pStyle w:val="RSCB06BHeadingSub-Section"/>
        <w:spacing w:line="360" w:lineRule="auto"/>
        <w:ind w:left="720"/>
        <w:rPr>
          <w:rStyle w:val="labelspan"/>
          <w:rFonts w:ascii="Times New Roman" w:hAnsi="Times New Roman" w:cs="Times New Roman"/>
          <w:sz w:val="24"/>
          <w:szCs w:val="24"/>
        </w:rPr>
      </w:pPr>
    </w:p>
    <w:p w14:paraId="72E9AFC2" w14:textId="78879EEB" w:rsidR="00D4596B" w:rsidRPr="0011329B" w:rsidRDefault="00D4596B" w:rsidP="00D4596B">
      <w:pPr>
        <w:spacing w:line="360" w:lineRule="auto"/>
        <w:rPr>
          <w:b/>
          <w:bCs/>
          <w:sz w:val="22"/>
          <w:szCs w:val="22"/>
          <w:lang w:val="en-GB"/>
        </w:rPr>
      </w:pPr>
      <w:r w:rsidRPr="0011329B">
        <w:rPr>
          <w:b/>
          <w:i/>
          <w:noProof/>
          <w:sz w:val="22"/>
          <w:szCs w:val="22"/>
          <w:lang w:val="en-GB"/>
        </w:rPr>
        <w:drawing>
          <wp:inline distT="0" distB="0" distL="0" distR="0" wp14:anchorId="3413B3E9" wp14:editId="7D6DCE13">
            <wp:extent cx="2879090" cy="1921510"/>
            <wp:effectExtent l="0" t="0" r="0" b="2540"/>
            <wp:docPr id="10" name="Picture 10"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art, box and whisker char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b="3479"/>
                    <a:stretch>
                      <a:fillRect/>
                    </a:stretch>
                  </pic:blipFill>
                  <pic:spPr bwMode="auto">
                    <a:xfrm>
                      <a:off x="0" y="0"/>
                      <a:ext cx="2879090" cy="1921510"/>
                    </a:xfrm>
                    <a:prstGeom prst="rect">
                      <a:avLst/>
                    </a:prstGeom>
                    <a:noFill/>
                    <a:ln>
                      <a:noFill/>
                    </a:ln>
                  </pic:spPr>
                </pic:pic>
              </a:graphicData>
            </a:graphic>
          </wp:inline>
        </w:drawing>
      </w:r>
    </w:p>
    <w:p w14:paraId="0A089593" w14:textId="77777777" w:rsidR="00D4596B" w:rsidRPr="0011329B" w:rsidRDefault="00D4596B" w:rsidP="00D4596B">
      <w:pPr>
        <w:spacing w:line="360" w:lineRule="auto"/>
        <w:rPr>
          <w:b/>
          <w:bCs/>
          <w:sz w:val="22"/>
          <w:szCs w:val="22"/>
          <w:lang w:val="en-GB"/>
        </w:rPr>
      </w:pPr>
    </w:p>
    <w:p w14:paraId="31DFD089" w14:textId="12776114" w:rsidR="00993E95" w:rsidRPr="0011329B" w:rsidRDefault="00D4596B" w:rsidP="00993E95">
      <w:pPr>
        <w:autoSpaceDE w:val="0"/>
        <w:autoSpaceDN w:val="0"/>
        <w:adjustRightInd w:val="0"/>
        <w:spacing w:line="360" w:lineRule="auto"/>
        <w:rPr>
          <w:rFonts w:eastAsiaTheme="minorHAnsi"/>
          <w:sz w:val="22"/>
          <w:szCs w:val="22"/>
          <w:lang w:val="en-GB"/>
        </w:rPr>
      </w:pPr>
      <w:r w:rsidRPr="0011329B">
        <w:rPr>
          <w:b/>
          <w:sz w:val="22"/>
          <w:szCs w:val="22"/>
          <w:lang w:val="en-GB"/>
        </w:rPr>
        <w:t xml:space="preserve">Figure 9: </w:t>
      </w:r>
      <w:r w:rsidRPr="0011329B">
        <w:rPr>
          <w:sz w:val="22"/>
          <w:szCs w:val="22"/>
          <w:lang w:val="en-GB"/>
        </w:rPr>
        <w:t xml:space="preserve">Percentage of stability and bioaccessibility of unformulated curcumin and curcumin </w:t>
      </w:r>
      <w:r w:rsidR="00444068" w:rsidRPr="0011329B">
        <w:rPr>
          <w:lang w:val="en-GB"/>
        </w:rPr>
        <w:t>nanosuspensions</w:t>
      </w:r>
      <w:r w:rsidR="00444068" w:rsidRPr="0011329B" w:rsidDel="00444068">
        <w:rPr>
          <w:sz w:val="22"/>
          <w:szCs w:val="22"/>
          <w:lang w:val="en-GB"/>
        </w:rPr>
        <w:t xml:space="preserve"> </w:t>
      </w:r>
      <w:r w:rsidRPr="0011329B">
        <w:rPr>
          <w:sz w:val="22"/>
          <w:szCs w:val="22"/>
          <w:lang w:val="en-GB"/>
        </w:rPr>
        <w:t>after passing through a stimulated gastrointestinal tract.</w:t>
      </w:r>
      <w:r w:rsidR="00993E95" w:rsidRPr="0011329B">
        <w:rPr>
          <w:rFonts w:eastAsiaTheme="minorHAnsi"/>
          <w:sz w:val="22"/>
          <w:szCs w:val="22"/>
          <w:lang w:val="en-GB"/>
        </w:rPr>
        <w:t xml:space="preserve"> All</w:t>
      </w:r>
      <w:r w:rsidR="00990436" w:rsidRPr="0011329B">
        <w:rPr>
          <w:rFonts w:eastAsiaTheme="minorHAnsi"/>
          <w:sz w:val="22"/>
          <w:szCs w:val="22"/>
          <w:lang w:val="en-GB"/>
        </w:rPr>
        <w:t xml:space="preserve"> the </w:t>
      </w:r>
      <w:r w:rsidR="00993E95" w:rsidRPr="0011329B">
        <w:rPr>
          <w:rFonts w:eastAsiaTheme="minorHAnsi"/>
          <w:sz w:val="22"/>
          <w:szCs w:val="22"/>
          <w:lang w:val="en-GB"/>
        </w:rPr>
        <w:t xml:space="preserve">measurements were </w:t>
      </w:r>
      <w:r w:rsidR="00444068" w:rsidRPr="0011329B">
        <w:rPr>
          <w:rFonts w:eastAsiaTheme="minorHAnsi"/>
          <w:sz w:val="22"/>
          <w:szCs w:val="22"/>
          <w:lang w:val="en-GB"/>
        </w:rPr>
        <w:t>carried out</w:t>
      </w:r>
      <w:r w:rsidR="00993E95" w:rsidRPr="0011329B">
        <w:rPr>
          <w:rFonts w:eastAsiaTheme="minorHAnsi"/>
          <w:sz w:val="22"/>
          <w:szCs w:val="22"/>
          <w:lang w:val="en-GB"/>
        </w:rPr>
        <w:t xml:space="preserve"> in triplicate </w:t>
      </w:r>
    </w:p>
    <w:p w14:paraId="76339C2C" w14:textId="77777777" w:rsidR="00D4596B" w:rsidRPr="0011329B" w:rsidRDefault="00D4596B" w:rsidP="00D4596B">
      <w:pPr>
        <w:pStyle w:val="RSCB06BHeadingSub-Section"/>
        <w:spacing w:line="360" w:lineRule="auto"/>
        <w:rPr>
          <w:rStyle w:val="labelspan"/>
          <w:rFonts w:ascii="Times New Roman" w:hAnsi="Times New Roman" w:cs="Times New Roman"/>
          <w:sz w:val="24"/>
          <w:szCs w:val="24"/>
        </w:rPr>
      </w:pPr>
    </w:p>
    <w:p w14:paraId="3401F950" w14:textId="77D1F100" w:rsidR="008F4997" w:rsidRPr="0011329B" w:rsidRDefault="00444068" w:rsidP="00F82FDC">
      <w:pPr>
        <w:pStyle w:val="RSCB06BHeadingSub-Section"/>
        <w:numPr>
          <w:ilvl w:val="1"/>
          <w:numId w:val="2"/>
        </w:numPr>
        <w:spacing w:line="360" w:lineRule="auto"/>
        <w:rPr>
          <w:rStyle w:val="labelspan"/>
          <w:rFonts w:ascii="Times New Roman" w:hAnsi="Times New Roman" w:cs="Times New Roman"/>
          <w:sz w:val="24"/>
          <w:szCs w:val="24"/>
        </w:rPr>
      </w:pPr>
      <w:r w:rsidRPr="0011329B">
        <w:rPr>
          <w:rStyle w:val="labelspan"/>
          <w:rFonts w:ascii="Times New Roman" w:hAnsi="Times New Roman" w:cs="Times New Roman"/>
          <w:i/>
          <w:iCs/>
          <w:sz w:val="24"/>
          <w:szCs w:val="24"/>
        </w:rPr>
        <w:t xml:space="preserve"> </w:t>
      </w:r>
      <w:bookmarkStart w:id="2" w:name="_Hlk74581163"/>
      <w:r w:rsidR="008F4997" w:rsidRPr="0011329B">
        <w:rPr>
          <w:rStyle w:val="labelspan"/>
          <w:rFonts w:ascii="Times New Roman" w:hAnsi="Times New Roman" w:cs="Times New Roman"/>
          <w:i/>
          <w:iCs/>
          <w:sz w:val="24"/>
          <w:szCs w:val="24"/>
        </w:rPr>
        <w:t>In vitro</w:t>
      </w:r>
      <w:r w:rsidR="008F4997" w:rsidRPr="0011329B">
        <w:rPr>
          <w:rStyle w:val="labelspan"/>
          <w:rFonts w:ascii="Times New Roman" w:hAnsi="Times New Roman" w:cs="Times New Roman"/>
          <w:sz w:val="24"/>
          <w:szCs w:val="24"/>
        </w:rPr>
        <w:t xml:space="preserve"> cytotoxicity MTT assay</w:t>
      </w:r>
    </w:p>
    <w:bookmarkEnd w:id="2"/>
    <w:p w14:paraId="545B176B" w14:textId="5EA3630A" w:rsidR="00BB0F13" w:rsidRPr="0011329B" w:rsidRDefault="008F4997" w:rsidP="00363DDD">
      <w:pPr>
        <w:pStyle w:val="RSCB02ArticleText"/>
        <w:spacing w:line="360" w:lineRule="auto"/>
        <w:rPr>
          <w:rFonts w:ascii="Times New Roman" w:hAnsi="Times New Roman"/>
          <w:sz w:val="24"/>
          <w:szCs w:val="24"/>
        </w:rPr>
      </w:pPr>
      <w:r w:rsidRPr="0011329B">
        <w:rPr>
          <w:rStyle w:val="labelspan"/>
          <w:rFonts w:ascii="Times New Roman" w:hAnsi="Times New Roman"/>
          <w:sz w:val="24"/>
          <w:szCs w:val="24"/>
        </w:rPr>
        <w:t xml:space="preserve">The </w:t>
      </w:r>
      <w:r w:rsidRPr="0011329B">
        <w:rPr>
          <w:rStyle w:val="labelspan"/>
          <w:rFonts w:ascii="Times New Roman" w:hAnsi="Times New Roman"/>
          <w:i/>
          <w:iCs/>
          <w:sz w:val="24"/>
          <w:szCs w:val="24"/>
        </w:rPr>
        <w:t>in vitro</w:t>
      </w:r>
      <w:r w:rsidRPr="0011329B">
        <w:rPr>
          <w:rStyle w:val="labelspan"/>
          <w:rFonts w:ascii="Times New Roman" w:hAnsi="Times New Roman"/>
          <w:sz w:val="24"/>
          <w:szCs w:val="24"/>
        </w:rPr>
        <w:t xml:space="preserve"> cytotoxicity was examined using </w:t>
      </w:r>
      <w:r w:rsidR="00F873F7" w:rsidRPr="0011329B">
        <w:rPr>
          <w:rStyle w:val="labelspan"/>
          <w:rFonts w:ascii="Times New Roman" w:hAnsi="Times New Roman"/>
          <w:sz w:val="24"/>
          <w:szCs w:val="24"/>
        </w:rPr>
        <w:t>an</w:t>
      </w:r>
      <w:r w:rsidRPr="0011329B">
        <w:rPr>
          <w:rStyle w:val="labelspan"/>
          <w:rFonts w:ascii="Times New Roman" w:hAnsi="Times New Roman"/>
          <w:sz w:val="24"/>
          <w:szCs w:val="24"/>
        </w:rPr>
        <w:t xml:space="preserve"> MTT assay, which evaluated the mitochondria function as a measurement of cell viability permitting the detection of dead cells prior the loss of their shape and integrity. </w:t>
      </w:r>
      <w:r w:rsidRPr="0011329B">
        <w:rPr>
          <w:rFonts w:ascii="Times New Roman" w:hAnsi="Times New Roman"/>
          <w:sz w:val="24"/>
          <w:szCs w:val="24"/>
          <w:shd w:val="clear" w:color="auto" w:fill="FFFFFF"/>
        </w:rPr>
        <w:t>Caco-2 cells</w:t>
      </w:r>
      <w:r w:rsidRPr="0011329B">
        <w:rPr>
          <w:rFonts w:ascii="Times New Roman" w:hAnsi="Times New Roman"/>
          <w:sz w:val="24"/>
          <w:szCs w:val="24"/>
        </w:rPr>
        <w:t xml:space="preserve">, </w:t>
      </w:r>
      <w:r w:rsidRPr="0011329B">
        <w:rPr>
          <w:rFonts w:ascii="Times New Roman" w:hAnsi="Times New Roman"/>
          <w:sz w:val="24"/>
          <w:szCs w:val="24"/>
          <w:shd w:val="clear" w:color="auto" w:fill="FFFFFF"/>
        </w:rPr>
        <w:t>e</w:t>
      </w:r>
      <w:r w:rsidRPr="0011329B">
        <w:rPr>
          <w:rFonts w:ascii="Times New Roman" w:hAnsi="Times New Roman"/>
          <w:sz w:val="24"/>
          <w:szCs w:val="24"/>
        </w:rPr>
        <w:t xml:space="preserve">pithelial colorectal </w:t>
      </w:r>
      <w:r w:rsidRPr="0011329B">
        <w:rPr>
          <w:rFonts w:ascii="Times New Roman" w:hAnsi="Times New Roman"/>
          <w:sz w:val="24"/>
          <w:szCs w:val="24"/>
        </w:rPr>
        <w:lastRenderedPageBreak/>
        <w:t>adenocarcinoma cells,</w:t>
      </w:r>
      <w:r w:rsidRPr="0011329B">
        <w:rPr>
          <w:rFonts w:ascii="Times New Roman" w:hAnsi="Times New Roman"/>
          <w:b/>
          <w:bCs/>
          <w:sz w:val="24"/>
          <w:szCs w:val="24"/>
        </w:rPr>
        <w:t xml:space="preserve"> </w:t>
      </w:r>
      <w:r w:rsidRPr="0011329B">
        <w:rPr>
          <w:rFonts w:ascii="Times New Roman" w:hAnsi="Times New Roman"/>
          <w:sz w:val="24"/>
          <w:szCs w:val="24"/>
          <w:shd w:val="clear" w:color="auto" w:fill="FFFFFF"/>
        </w:rPr>
        <w:t>were used in light of the intended oral administration of developed nanoformulations. HT-29 cells, a human</w:t>
      </w:r>
      <w:r w:rsidRPr="0011329B">
        <w:rPr>
          <w:rFonts w:ascii="Times New Roman" w:hAnsi="Times New Roman"/>
          <w:sz w:val="24"/>
          <w:szCs w:val="24"/>
        </w:rPr>
        <w:t xml:space="preserve"> colorectal adenocarcinoma cell line</w:t>
      </w:r>
      <w:r w:rsidRPr="0011329B">
        <w:rPr>
          <w:rFonts w:ascii="Times New Roman" w:hAnsi="Times New Roman"/>
          <w:sz w:val="24"/>
          <w:szCs w:val="24"/>
          <w:shd w:val="clear" w:color="auto" w:fill="FFFFFF"/>
        </w:rPr>
        <w:t xml:space="preserve">, were also used to assess the anticancer effect of curcumin and </w:t>
      </w:r>
      <w:r w:rsidR="00444068" w:rsidRPr="0011329B">
        <w:rPr>
          <w:rFonts w:ascii="Times New Roman" w:hAnsi="Times New Roman"/>
          <w:sz w:val="24"/>
          <w:szCs w:val="24"/>
        </w:rPr>
        <w:t>nanosuspensions</w:t>
      </w:r>
      <w:r w:rsidRPr="0011329B">
        <w:rPr>
          <w:rFonts w:ascii="Times New Roman" w:hAnsi="Times New Roman"/>
          <w:sz w:val="24"/>
          <w:szCs w:val="24"/>
          <w:shd w:val="clear" w:color="auto" w:fill="FFFFFF"/>
        </w:rPr>
        <w:t xml:space="preserve">. </w:t>
      </w:r>
      <w:r w:rsidRPr="0011329B">
        <w:rPr>
          <w:rStyle w:val="labelspan"/>
          <w:rFonts w:ascii="Times New Roman" w:hAnsi="Times New Roman"/>
          <w:sz w:val="24"/>
          <w:szCs w:val="24"/>
        </w:rPr>
        <w:t>Previous studies demonstrated that curcumin inhibits the proliferation of</w:t>
      </w:r>
      <w:r w:rsidR="00BB0F13" w:rsidRPr="0011329B">
        <w:rPr>
          <w:rStyle w:val="labelspan"/>
          <w:rFonts w:ascii="Times New Roman" w:hAnsi="Times New Roman"/>
          <w:sz w:val="24"/>
          <w:szCs w:val="24"/>
        </w:rPr>
        <w:t xml:space="preserve"> various colon cancer cell lines by inducing cell apoptosis and generating reactive oxidation species (ROS)</w:t>
      </w:r>
      <w:r w:rsidR="00BB0F13" w:rsidRPr="0011329B">
        <w:rPr>
          <w:rFonts w:ascii="Times New Roman" w:hAnsi="Times New Roman"/>
          <w:sz w:val="24"/>
          <w:szCs w:val="24"/>
          <w:shd w:val="clear" w:color="auto" w:fill="FFFFFF"/>
        </w:rPr>
        <w:t>.</w:t>
      </w:r>
      <w:r w:rsidR="00BB0F13" w:rsidRPr="0011329B">
        <w:rPr>
          <w:rStyle w:val="FootnoteReference"/>
          <w:rFonts w:ascii="Times New Roman" w:hAnsi="Times New Roman"/>
          <w:sz w:val="24"/>
          <w:szCs w:val="24"/>
          <w:shd w:val="clear" w:color="auto" w:fill="FFFFFF"/>
        </w:rPr>
        <w:fldChar w:fldCharType="begin" w:fldLock="1"/>
      </w:r>
      <w:r w:rsidR="00147035" w:rsidRPr="0011329B">
        <w:rPr>
          <w:rFonts w:ascii="Times New Roman" w:hAnsi="Times New Roman"/>
          <w:sz w:val="24"/>
          <w:szCs w:val="24"/>
          <w:shd w:val="clear" w:color="auto" w:fill="FFFFFF"/>
        </w:rPr>
        <w:instrText>ADDIN CSL_CITATION {"citationItems":[{"id":"ITEM-1","itemData":{"DOI":"10.1016/j.yexmp.2008.02.002","ISSN":"00144800","abstract":"Several micronutrients present in fruits and vegetables exhibit anticancer activity as a result of their actions on molecular targets involved in carcinogenesis and tumor progression. Curcumin, a phenolic phytochemical derived from the rhizome of Curcuma longa, exhibits both cancer-preventative activity and growth inhibitory effects on neoplastic cells. Several studies report that curcumin inhibits cancer cell proliferation and induces apoptosis in cancer cells through p21-mediated cell cycle arrest. Cancer cells that are deficient in p21 are also reported to be more prone to undergo apoptosis in response to a variety of cytotoxic agents. In this study, we determined whether curcumin-induced cytotoxicity in cultures of HCT-116 human colon cancer cells was dependent on p21 status. Curcumin killed wild-type HCT-116 cells in a dose- and time-dependent manner, as measured in an MTT cell viability assay. Moreover, an equivalent cytotoxic effect by curcumin was observed in both p21+/+ and p21-/-HCT-116 cells, indicating that curcumin-induced cytotoxicity was p21-independent. Primary cultures of human dermal fibroblasts were less sensitive than HCT-116 colon cancer cells to lower doses of curcumin, suggesting a degree of selectivity for neoplastic cells. Western blot analysis showed that cell death in curcumin-treated cultures of p21+/+ and p21-/- HCT-116 cells was associated with a reduction in pro-caspase-3 and PARP-1 cleavage, which are indicative of apoptosis. We conclude that curcumin-induced apoptosis in HCT-116 colon cancer cells does not depend on p21 status. © 2008 Elsevier Inc. All rights reserved.","author":[{"dropping-particle":"","family":"Watson","given":"Jane L.","non-dropping-particle":"","parse-names":false,"suffix":""},{"dropping-particle":"","family":"Hill","given":"Richard","non-dropping-particle":"","parse-names":false,"suffix":""},{"dropping-particle":"","family":"Lee","given":"Patrick W.","non-dropping-particle":"","parse-names":false,"suffix":""},{"dropping-particle":"","family":"Giacomantonio","given":"Carman A.","non-dropping-particle":"","parse-names":false,"suffix":""},{"dropping-particle":"","family":"Hoskin","given":"David W.","non-dropping-particle":"","parse-names":false,"suffix":""}],"container-title":"Experimental and Molecular Pathology","id":"ITEM-1","issue":"3","issued":{"date-parts":[["2008","6"]]},"page":"230-233","title":"Curcumin induces apoptosis in HCT-116 human colon cancer cells in a p21-independent manner","type":"article-journal","volume":"84"},"uris":["http://www.mendeley.com/documents/?uuid=47851907-c417-3302-9311-49e6de51e292","http://www.mendeley.com/documents/?uuid=78b09153-f62a-4bee-8c86-6e2c169530a8"]},{"id":"ITEM-2","itemData":{"DOI":"10.1016/j.nutres.2017.12.011","ISSN":"18790739","abstract":"Curcumin is a natural dietary polyphenol compound that has various pharmacological activities such as antiproliferative and cancer-preventive activities on tumor cells. Indeed, the role reactive oxygen species (ROS) generated by curcumin on cell death and cell proliferation inhibition in colon cancer is poorly understood. In the present study, we hypothesized that curcumin-induced ROS may promote apoptosis and cell cycle arrest in colon cancer. To test this hypothesis, the apoptosis-inducing potential and cell cycle inhibition effect of ROS induced by curcumin was investigated in Smd4 and p53 mutated HT-29 colon adenocarcinoma cells. We found that curcumin treatment significantly increased the level of ROS in HT-29 cells in a dose- and time-dependent manner. Furthermore, curcumin treatment markedly decreased the cell viability and proliferation potential of HT-29 cells in a dose- and time-dependent manner. Conversely, generation of ROS and inhibitory effect of curcumin on HT-29 cells were abrogated by N-acetylcysteine treatment. In addition, curcumin treatment did not show any cytotoxic effects on HT-29 cells. Furthermore, curcumin-induced ROS generation caused the DNA fragmentation, chromatin condensation, and cell nuclear shrinkage and significantly increased apoptotic cells in a dose- and time-dependent manner in HT-29 cells. However, pretreatment of N-acetylcysteine inhibited the apoptosis-triggering effect of curcumin-induced ROS in HT-29 cells. In addition, curcumin-induced ROS effectively mediated cell cycle inhibition in HT-29 cells. In conclusion, our data provide the first evidence that curcumin induces ROS independent apoptosis and cell cycle arrest in colon cancer cells that carry mutation on Smad4 and p53.","author":[{"dropping-particle":"","family":"Agarwal","given":"Ayushi","non-dropping-particle":"","parse-names":false,"suffix":""},{"dropping-particle":"","family":"Kasinathan","given":"Akiladdevi","non-dropping-particle":"","parse-names":false,"suffix":""},{"dropping-particle":"","family":"Ganesan","given":"Ramamoorthi","non-dropping-particle":"","parse-names":false,"suffix":""},{"dropping-particle":"","family":"Balasubramanian","given":"Akhila","non-dropping-particle":"","parse-names":false,"suffix":""},{"dropping-particle":"","family":"Bhaskaran","given":"Jahnavi","non-dropping-particle":"","parse-names":false,"suffix":""},{"dropping-particle":"","family":"Suresh","given":"Samyuktha","non-dropping-particle":"","parse-names":false,"suffix":""},{"dropping-particle":"","family":"Srinivasan","given":"Revanth","non-dropping-particle":"","parse-names":false,"suffix":""},{"dropping-particle":"","family":"Aravind","given":"K. B.","non-dropping-particle":"","parse-names":false,"suffix":""},{"dropping-particle":"","family":"Sivalingam","given":"Nageswaran","non-dropping-particle":"","parse-names":false,"suffix":""}],"container-title":"Nutrition Research","id":"ITEM-2","issued":{"date-parts":[["2018","3","1"]]},"page":"67-81","publisher":"Elsevier Inc.","title":"Curcumin induces apoptosis and cell cycle arrest via the activation of reactive oxygen species–independent mitochondrial apoptotic pathway in Smad4 and p53 mutated colon adenocarcinoma HT29 cells","type":"article-journal","volume":"51"},"uris":["http://www.mendeley.com/documents/?uuid=e1ed2377-83fb-3a5d-abab-e6684b2c35b9","http://www.mendeley.com/documents/?uuid=c5aa013c-ccfb-4c00-b6ba-f1e3e56e2e00"]}],"mendeley":{"formattedCitation":"[47,48]","plainTextFormattedCitation":"[47,48]","previouslyFormattedCitation":"[47,48]"},"properties":{"noteIndex":0},"schema":"https://github.com/citation-style-language/schema/raw/master/csl-citation.json"}</w:instrText>
      </w:r>
      <w:r w:rsidR="00BB0F13" w:rsidRPr="0011329B">
        <w:rPr>
          <w:rStyle w:val="FootnoteReference"/>
          <w:rFonts w:ascii="Times New Roman" w:hAnsi="Times New Roman"/>
          <w:sz w:val="24"/>
          <w:szCs w:val="24"/>
          <w:shd w:val="clear" w:color="auto" w:fill="FFFFFF"/>
        </w:rPr>
        <w:fldChar w:fldCharType="separate"/>
      </w:r>
      <w:r w:rsidR="00F64EE7" w:rsidRPr="0011329B">
        <w:rPr>
          <w:rFonts w:ascii="Times New Roman" w:hAnsi="Times New Roman"/>
          <w:noProof/>
          <w:sz w:val="24"/>
          <w:szCs w:val="24"/>
          <w:shd w:val="clear" w:color="auto" w:fill="FFFFFF"/>
        </w:rPr>
        <w:t>[47,48]</w:t>
      </w:r>
      <w:r w:rsidR="00BB0F13" w:rsidRPr="0011329B">
        <w:rPr>
          <w:rStyle w:val="FootnoteReference"/>
          <w:rFonts w:ascii="Times New Roman" w:hAnsi="Times New Roman"/>
          <w:sz w:val="24"/>
          <w:szCs w:val="24"/>
          <w:shd w:val="clear" w:color="auto" w:fill="FFFFFF"/>
        </w:rPr>
        <w:fldChar w:fldCharType="end"/>
      </w:r>
      <w:r w:rsidR="00BB0F13" w:rsidRPr="0011329B">
        <w:rPr>
          <w:rStyle w:val="FootnoteReference"/>
          <w:rFonts w:ascii="Times New Roman" w:hAnsi="Times New Roman"/>
          <w:sz w:val="24"/>
          <w:szCs w:val="24"/>
          <w:shd w:val="clear" w:color="auto" w:fill="FFFFFF"/>
        </w:rPr>
        <w:t xml:space="preserve"> </w:t>
      </w:r>
      <w:r w:rsidRPr="0011329B">
        <w:rPr>
          <w:rStyle w:val="labelspan"/>
          <w:rFonts w:ascii="Times New Roman" w:hAnsi="Times New Roman"/>
          <w:sz w:val="24"/>
          <w:szCs w:val="24"/>
        </w:rPr>
        <w:t>The cytotoxicity of solubilised curcumin and</w:t>
      </w:r>
      <w:r w:rsidR="00444068" w:rsidRPr="0011329B">
        <w:rPr>
          <w:rStyle w:val="labelspan"/>
          <w:rFonts w:ascii="Times New Roman" w:hAnsi="Times New Roman"/>
          <w:sz w:val="24"/>
          <w:szCs w:val="24"/>
        </w:rPr>
        <w:t xml:space="preserve"> the</w:t>
      </w:r>
      <w:r w:rsidRPr="0011329B">
        <w:rPr>
          <w:rStyle w:val="labelspan"/>
          <w:rFonts w:ascii="Times New Roman" w:hAnsi="Times New Roman"/>
          <w:sz w:val="24"/>
          <w:szCs w:val="24"/>
        </w:rPr>
        <w:t xml:space="preserve"> curcumin </w:t>
      </w:r>
      <w:r w:rsidR="00444068" w:rsidRPr="0011329B">
        <w:rPr>
          <w:rFonts w:ascii="Times New Roman" w:hAnsi="Times New Roman"/>
          <w:sz w:val="24"/>
          <w:szCs w:val="24"/>
        </w:rPr>
        <w:t>nanosuspension</w:t>
      </w:r>
      <w:r w:rsidR="00444068" w:rsidRPr="0011329B" w:rsidDel="00444068">
        <w:rPr>
          <w:rStyle w:val="labelspan"/>
          <w:rFonts w:ascii="Times New Roman" w:hAnsi="Times New Roman"/>
          <w:sz w:val="24"/>
          <w:szCs w:val="24"/>
        </w:rPr>
        <w:t xml:space="preserve"> </w:t>
      </w:r>
      <w:r w:rsidRPr="0011329B">
        <w:rPr>
          <w:rStyle w:val="labelspan"/>
          <w:rFonts w:ascii="Times New Roman" w:hAnsi="Times New Roman"/>
          <w:sz w:val="24"/>
          <w:szCs w:val="24"/>
        </w:rPr>
        <w:t xml:space="preserve">was studied using </w:t>
      </w:r>
      <w:r w:rsidRPr="0011329B">
        <w:rPr>
          <w:rFonts w:ascii="Times New Roman" w:hAnsi="Times New Roman"/>
          <w:sz w:val="24"/>
          <w:szCs w:val="24"/>
          <w:shd w:val="clear" w:color="auto" w:fill="FFFFFF"/>
        </w:rPr>
        <w:t xml:space="preserve">Caco-2 cells and </w:t>
      </w:r>
      <w:r w:rsidRPr="0011329B">
        <w:rPr>
          <w:rStyle w:val="labelspan"/>
          <w:rFonts w:ascii="Times New Roman" w:hAnsi="Times New Roman"/>
          <w:sz w:val="24"/>
          <w:szCs w:val="24"/>
        </w:rPr>
        <w:t>HT-29 cells</w:t>
      </w:r>
      <w:r w:rsidRPr="0011329B">
        <w:rPr>
          <w:rFonts w:ascii="Times New Roman" w:hAnsi="Times New Roman"/>
          <w:sz w:val="24"/>
          <w:szCs w:val="24"/>
          <w:shd w:val="clear" w:color="auto" w:fill="FFFFFF"/>
        </w:rPr>
        <w:t>. First, Caco-2 cells was</w:t>
      </w:r>
      <w:r w:rsidRPr="0011329B">
        <w:rPr>
          <w:rStyle w:val="labelspan"/>
          <w:rFonts w:ascii="Times New Roman" w:hAnsi="Times New Roman"/>
          <w:sz w:val="24"/>
          <w:szCs w:val="24"/>
        </w:rPr>
        <w:t xml:space="preserve"> exposed to different concentrations of solubilised curcumin and </w:t>
      </w:r>
      <w:r w:rsidR="00444068" w:rsidRPr="0011329B">
        <w:rPr>
          <w:rStyle w:val="labelspan"/>
          <w:rFonts w:ascii="Times New Roman" w:hAnsi="Times New Roman"/>
          <w:sz w:val="24"/>
          <w:szCs w:val="24"/>
        </w:rPr>
        <w:t xml:space="preserve">the </w:t>
      </w:r>
      <w:r w:rsidRPr="0011329B">
        <w:rPr>
          <w:rStyle w:val="labelspan"/>
          <w:rFonts w:ascii="Times New Roman" w:hAnsi="Times New Roman"/>
          <w:sz w:val="24"/>
          <w:szCs w:val="24"/>
        </w:rPr>
        <w:t xml:space="preserve">curcumin </w:t>
      </w:r>
      <w:r w:rsidR="00444068" w:rsidRPr="0011329B">
        <w:rPr>
          <w:rFonts w:ascii="Times New Roman" w:hAnsi="Times New Roman"/>
          <w:sz w:val="24"/>
          <w:szCs w:val="24"/>
        </w:rPr>
        <w:t>nanosuspensions</w:t>
      </w:r>
      <w:r w:rsidR="00444068" w:rsidRPr="0011329B" w:rsidDel="00444068">
        <w:rPr>
          <w:rStyle w:val="labelspan"/>
          <w:rFonts w:ascii="Times New Roman" w:hAnsi="Times New Roman"/>
          <w:sz w:val="24"/>
          <w:szCs w:val="24"/>
        </w:rPr>
        <w:t xml:space="preserve"> </w:t>
      </w:r>
      <w:r w:rsidRPr="0011329B">
        <w:rPr>
          <w:rStyle w:val="labelspan"/>
          <w:rFonts w:ascii="Times New Roman" w:hAnsi="Times New Roman"/>
          <w:sz w:val="24"/>
          <w:szCs w:val="24"/>
        </w:rPr>
        <w:t>(0, 0.78, 1.56, 3.13, 6.25, 12.5, 25, 50, 100 µM) and incubated for 48 hours. The cytotoxicity results demonstrated that the IC</w:t>
      </w:r>
      <w:r w:rsidRPr="0011329B">
        <w:rPr>
          <w:rStyle w:val="labelspan"/>
          <w:rFonts w:ascii="Times New Roman" w:hAnsi="Times New Roman"/>
          <w:sz w:val="24"/>
          <w:szCs w:val="24"/>
          <w:vertAlign w:val="subscript"/>
        </w:rPr>
        <w:t>50</w:t>
      </w:r>
      <w:r w:rsidRPr="0011329B">
        <w:rPr>
          <w:rStyle w:val="labelspan"/>
          <w:rFonts w:ascii="Times New Roman" w:hAnsi="Times New Roman"/>
          <w:sz w:val="24"/>
          <w:szCs w:val="24"/>
        </w:rPr>
        <w:t xml:space="preserve"> value of unformulated curcumin was 22 µM (Fig</w:t>
      </w:r>
      <w:r w:rsidR="008574F5" w:rsidRPr="0011329B">
        <w:rPr>
          <w:rStyle w:val="labelspan"/>
          <w:rFonts w:ascii="Times New Roman" w:hAnsi="Times New Roman"/>
          <w:sz w:val="24"/>
          <w:szCs w:val="24"/>
        </w:rPr>
        <w:t>.</w:t>
      </w:r>
      <w:r w:rsidRPr="0011329B">
        <w:rPr>
          <w:rStyle w:val="labelspan"/>
          <w:rFonts w:ascii="Times New Roman" w:hAnsi="Times New Roman"/>
          <w:sz w:val="24"/>
          <w:szCs w:val="24"/>
        </w:rPr>
        <w:t xml:space="preserve"> 10A). This result aligned with the literature findings, reporting an anticancer effect of curcumin on different type of cancer cells.</w:t>
      </w:r>
      <w:r w:rsidRPr="0011329B">
        <w:rPr>
          <w:rStyle w:val="labelspan"/>
          <w:rFonts w:ascii="Times New Roman" w:hAnsi="Times New Roman"/>
          <w:sz w:val="24"/>
          <w:szCs w:val="24"/>
        </w:rPr>
        <w:fldChar w:fldCharType="begin" w:fldLock="1"/>
      </w:r>
      <w:r w:rsidR="00147035" w:rsidRPr="0011329B">
        <w:rPr>
          <w:rStyle w:val="labelspan"/>
          <w:rFonts w:ascii="Times New Roman" w:hAnsi="Times New Roman"/>
          <w:sz w:val="24"/>
          <w:szCs w:val="24"/>
        </w:rPr>
        <w:instrText>ADDIN CSL_CITATION {"citationItems":[{"id":"ITEM-1","itemData":{"DOI":"10.1016/j.yexmp.2008.02.002","ISSN":"00144800","abstract":"Several micronutrients present in fruits and vegetables exhibit anticancer activity as a result of their actions on molecular targets involved in carcinogenesis and tumor progression. Curcumin, a phenolic phytochemical derived from the rhizome of Curcuma longa, exhibits both cancer-preventative activity and growth inhibitory effects on neoplastic cells. Several studies report that curcumin inhibits cancer cell proliferation and induces apoptosis in cancer cells through p21-mediated cell cycle arrest. Cancer cells that are deficient in p21 are also reported to be more prone to undergo apoptosis in response to a variety of cytotoxic agents. In this study, we determined whether curcumin-induced cytotoxicity in cultures of HCT-116 human colon cancer cells was dependent on p21 status. Curcumin killed wild-type HCT-116 cells in a dose- and time-dependent manner, as measured in an MTT cell viability assay. Moreover, an equivalent cytotoxic effect by curcumin was observed in both p21+/+ and p21-/-HCT-116 cells, indicating that curcumin-induced cytotoxicity was p21-independent. Primary cultures of human dermal fibroblasts were less sensitive than HCT-116 colon cancer cells to lower doses of curcumin, suggesting a degree of selectivity for neoplastic cells. Western blot analysis showed that cell death in curcumin-treated cultures of p21+/+ and p21-/- HCT-116 cells was associated with a reduction in pro-caspase-3 and PARP-1 cleavage, which are indicative of apoptosis. We conclude that curcumin-induced apoptosis in HCT-116 colon cancer cells does not depend on p21 status. © 2008 Elsevier Inc. All rights reserved.","author":[{"dropping-particle":"","family":"Watson","given":"Jane L.","non-dropping-particle":"","parse-names":false,"suffix":""},{"dropping-particle":"","family":"Hill","given":"Richard","non-dropping-particle":"","parse-names":false,"suffix":""},{"dropping-particle":"","family":"Lee","given":"Patrick W.","non-dropping-particle":"","parse-names":false,"suffix":""},{"dropping-particle":"","family":"Giacomantonio","given":"Carman A.","non-dropping-particle":"","parse-names":false,"suffix":""},{"dropping-particle":"","family":"Hoskin","given":"David W.","non-dropping-particle":"","parse-names":false,"suffix":""}],"container-title":"Experimental and Molecular Pathology","id":"ITEM-1","issue":"3","issued":{"date-parts":[["2008","6"]]},"page":"230-233","title":"Curcumin induces apoptosis in HCT-116 human colon cancer cells in a p21-independent manner","type":"article-journal","volume":"84"},"uris":["http://www.mendeley.com/documents/?uuid=78b09153-f62a-4bee-8c86-6e2c169530a8","http://www.mendeley.com/documents/?uuid=fed5bdff-db77-3377-8417-4aa75e4f8dd9"]}],"mendeley":{"formattedCitation":"[47]","plainTextFormattedCitation":"[47]","previouslyFormattedCitation":"[47]"},"properties":{"noteIndex":0},"schema":"https://github.com/citation-style-language/schema/raw/master/csl-citation.json"}</w:instrText>
      </w:r>
      <w:r w:rsidRPr="0011329B">
        <w:rPr>
          <w:rStyle w:val="labelspan"/>
          <w:rFonts w:ascii="Times New Roman" w:hAnsi="Times New Roman"/>
          <w:sz w:val="24"/>
          <w:szCs w:val="24"/>
        </w:rPr>
        <w:fldChar w:fldCharType="separate"/>
      </w:r>
      <w:r w:rsidR="00F64EE7" w:rsidRPr="0011329B">
        <w:rPr>
          <w:rStyle w:val="labelspan"/>
          <w:rFonts w:ascii="Times New Roman" w:hAnsi="Times New Roman"/>
          <w:noProof/>
          <w:sz w:val="24"/>
          <w:szCs w:val="24"/>
        </w:rPr>
        <w:t>[47]</w:t>
      </w:r>
      <w:r w:rsidRPr="0011329B">
        <w:rPr>
          <w:rStyle w:val="labelspan"/>
          <w:rFonts w:ascii="Times New Roman" w:hAnsi="Times New Roman"/>
          <w:sz w:val="24"/>
          <w:szCs w:val="24"/>
        </w:rPr>
        <w:fldChar w:fldCharType="end"/>
      </w:r>
      <w:r w:rsidRPr="0011329B">
        <w:rPr>
          <w:rStyle w:val="labelspan"/>
          <w:rFonts w:ascii="Times New Roman" w:hAnsi="Times New Roman"/>
          <w:sz w:val="24"/>
          <w:szCs w:val="24"/>
        </w:rPr>
        <w:t xml:space="preserve"> The IC</w:t>
      </w:r>
      <w:r w:rsidRPr="0011329B">
        <w:rPr>
          <w:rStyle w:val="labelspan"/>
          <w:rFonts w:ascii="Times New Roman" w:hAnsi="Times New Roman"/>
          <w:sz w:val="24"/>
          <w:szCs w:val="24"/>
          <w:vertAlign w:val="subscript"/>
        </w:rPr>
        <w:t>50</w:t>
      </w:r>
      <w:r w:rsidRPr="0011329B">
        <w:rPr>
          <w:rStyle w:val="labelspan"/>
          <w:rFonts w:ascii="Times New Roman" w:hAnsi="Times New Roman"/>
          <w:sz w:val="24"/>
          <w:szCs w:val="24"/>
        </w:rPr>
        <w:t xml:space="preserve"> value of </w:t>
      </w:r>
      <w:r w:rsidR="00007A6A" w:rsidRPr="0011329B">
        <w:rPr>
          <w:rStyle w:val="labelspan"/>
          <w:rFonts w:ascii="Times New Roman" w:hAnsi="Times New Roman"/>
          <w:sz w:val="24"/>
          <w:szCs w:val="24"/>
        </w:rPr>
        <w:t xml:space="preserve">the nanosuspension </w:t>
      </w:r>
      <w:r w:rsidRPr="0011329B">
        <w:rPr>
          <w:rStyle w:val="labelspan"/>
          <w:rFonts w:ascii="Times New Roman" w:hAnsi="Times New Roman"/>
          <w:sz w:val="24"/>
          <w:szCs w:val="24"/>
        </w:rPr>
        <w:t>was 88 µM (Fig</w:t>
      </w:r>
      <w:r w:rsidR="008574F5" w:rsidRPr="0011329B">
        <w:rPr>
          <w:rStyle w:val="labelspan"/>
          <w:rFonts w:ascii="Times New Roman" w:hAnsi="Times New Roman"/>
          <w:sz w:val="24"/>
          <w:szCs w:val="24"/>
        </w:rPr>
        <w:t>.</w:t>
      </w:r>
      <w:r w:rsidRPr="0011329B">
        <w:rPr>
          <w:rStyle w:val="labelspan"/>
          <w:rFonts w:ascii="Times New Roman" w:hAnsi="Times New Roman"/>
          <w:sz w:val="24"/>
          <w:szCs w:val="24"/>
        </w:rPr>
        <w:t xml:space="preserve"> 10B) demonstrating a significant decrease in cytotoxicity profile of the </w:t>
      </w:r>
      <w:r w:rsidR="00007A6A" w:rsidRPr="0011329B">
        <w:rPr>
          <w:rStyle w:val="labelspan"/>
          <w:rFonts w:ascii="Times New Roman" w:hAnsi="Times New Roman"/>
          <w:sz w:val="24"/>
          <w:szCs w:val="24"/>
        </w:rPr>
        <w:t>curcumin in this formulation</w:t>
      </w:r>
      <w:r w:rsidRPr="0011329B">
        <w:rPr>
          <w:rStyle w:val="labelspan"/>
          <w:rFonts w:ascii="Times New Roman" w:hAnsi="Times New Roman"/>
          <w:sz w:val="24"/>
          <w:szCs w:val="24"/>
        </w:rPr>
        <w:t xml:space="preserve">. Such decrease in the cytotoxicity of </w:t>
      </w:r>
      <w:r w:rsidR="00444068" w:rsidRPr="0011329B">
        <w:rPr>
          <w:rStyle w:val="labelspan"/>
          <w:rFonts w:ascii="Times New Roman" w:hAnsi="Times New Roman"/>
          <w:sz w:val="24"/>
          <w:szCs w:val="24"/>
        </w:rPr>
        <w:t xml:space="preserve">the </w:t>
      </w:r>
      <w:r w:rsidR="00444068" w:rsidRPr="0011329B">
        <w:rPr>
          <w:rFonts w:ascii="Times New Roman" w:hAnsi="Times New Roman"/>
          <w:sz w:val="24"/>
          <w:szCs w:val="24"/>
        </w:rPr>
        <w:t>nanosuspensions</w:t>
      </w:r>
      <w:r w:rsidR="00444068" w:rsidRPr="0011329B" w:rsidDel="00444068">
        <w:rPr>
          <w:rStyle w:val="labelspan"/>
          <w:rFonts w:ascii="Times New Roman" w:hAnsi="Times New Roman"/>
          <w:sz w:val="24"/>
          <w:szCs w:val="24"/>
        </w:rPr>
        <w:t xml:space="preserve"> </w:t>
      </w:r>
      <w:r w:rsidRPr="0011329B">
        <w:rPr>
          <w:rStyle w:val="labelspan"/>
          <w:rFonts w:ascii="Times New Roman" w:hAnsi="Times New Roman"/>
          <w:sz w:val="24"/>
          <w:szCs w:val="24"/>
        </w:rPr>
        <w:t>was associated to the reduced concentration of curcumin present in cell culture medium, since much of the curcumin was contained in the nanoparticles compared to the solubilised curcumin control. This resulted in a reduced exposure of the cells to curcumin</w:t>
      </w:r>
      <w:r w:rsidR="00793467" w:rsidRPr="0011329B">
        <w:rPr>
          <w:rStyle w:val="labelspan"/>
          <w:rFonts w:ascii="Times New Roman" w:hAnsi="Times New Roman"/>
          <w:sz w:val="24"/>
          <w:szCs w:val="24"/>
        </w:rPr>
        <w:t xml:space="preserve"> and in turn reduced the cytotoxicity</w:t>
      </w:r>
      <w:r w:rsidRPr="0011329B">
        <w:rPr>
          <w:rStyle w:val="labelspan"/>
          <w:rFonts w:ascii="Times New Roman" w:hAnsi="Times New Roman"/>
          <w:sz w:val="24"/>
          <w:szCs w:val="24"/>
        </w:rPr>
        <w:t xml:space="preserve">. </w:t>
      </w:r>
    </w:p>
    <w:p w14:paraId="62F90757" w14:textId="474CE916" w:rsidR="00D4596B" w:rsidRPr="0011329B" w:rsidRDefault="00D4596B" w:rsidP="00D4596B">
      <w:pPr>
        <w:pStyle w:val="RSCI04CaptiontoFigureSchemeChart"/>
        <w:spacing w:line="360" w:lineRule="auto"/>
        <w:jc w:val="left"/>
        <w:rPr>
          <w:rStyle w:val="labelspan"/>
          <w:rFonts w:ascii="Times New Roman" w:hAnsi="Times New Roman" w:cs="Times New Roman"/>
          <w:b/>
          <w:sz w:val="22"/>
          <w:szCs w:val="22"/>
        </w:rPr>
      </w:pPr>
    </w:p>
    <w:p w14:paraId="6C96C416" w14:textId="77777777" w:rsidR="00A6114F" w:rsidRPr="0011329B" w:rsidRDefault="00A6114F" w:rsidP="00D4596B">
      <w:pPr>
        <w:pStyle w:val="RSCI04CaptiontoFigureSchemeChart"/>
        <w:spacing w:line="360" w:lineRule="auto"/>
        <w:jc w:val="left"/>
        <w:rPr>
          <w:rStyle w:val="labelspan"/>
          <w:rFonts w:ascii="Times New Roman" w:hAnsi="Times New Roman" w:cs="Times New Roman"/>
          <w:b/>
          <w:sz w:val="22"/>
          <w:szCs w:val="22"/>
        </w:rPr>
      </w:pPr>
    </w:p>
    <w:p w14:paraId="069B738B" w14:textId="2F0FA953" w:rsidR="00D4596B" w:rsidRPr="0011329B" w:rsidRDefault="00D4596B" w:rsidP="00D4596B">
      <w:pPr>
        <w:pStyle w:val="RSCI04CaptiontoFigureSchemeChart"/>
        <w:spacing w:line="360" w:lineRule="auto"/>
        <w:jc w:val="left"/>
        <w:rPr>
          <w:rStyle w:val="labelspan"/>
          <w:rFonts w:ascii="Times New Roman" w:hAnsi="Times New Roman" w:cs="Times New Roman"/>
          <w:b/>
          <w:sz w:val="22"/>
          <w:szCs w:val="22"/>
        </w:rPr>
      </w:pPr>
      <w:r w:rsidRPr="0011329B">
        <w:rPr>
          <w:noProof/>
        </w:rPr>
        <w:lastRenderedPageBreak/>
        <w:drawing>
          <wp:anchor distT="0" distB="0" distL="114300" distR="114300" simplePos="0" relativeHeight="251658240" behindDoc="0" locked="0" layoutInCell="1" allowOverlap="1" wp14:anchorId="05CEA0BC" wp14:editId="38F1CB43">
            <wp:simplePos x="0" y="0"/>
            <wp:positionH relativeFrom="column">
              <wp:posOffset>215265</wp:posOffset>
            </wp:positionH>
            <wp:positionV relativeFrom="paragraph">
              <wp:posOffset>3175</wp:posOffset>
            </wp:positionV>
            <wp:extent cx="2743835" cy="307975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t="3926" b="2441"/>
                    <a:stretch>
                      <a:fillRect/>
                    </a:stretch>
                  </pic:blipFill>
                  <pic:spPr bwMode="auto">
                    <a:xfrm>
                      <a:off x="0" y="0"/>
                      <a:ext cx="2743835" cy="3079750"/>
                    </a:xfrm>
                    <a:prstGeom prst="rect">
                      <a:avLst/>
                    </a:prstGeom>
                    <a:noFill/>
                  </pic:spPr>
                </pic:pic>
              </a:graphicData>
            </a:graphic>
            <wp14:sizeRelH relativeFrom="page">
              <wp14:pctWidth>0</wp14:pctWidth>
            </wp14:sizeRelH>
            <wp14:sizeRelV relativeFrom="page">
              <wp14:pctHeight>0</wp14:pctHeight>
            </wp14:sizeRelV>
          </wp:anchor>
        </w:drawing>
      </w:r>
    </w:p>
    <w:p w14:paraId="14AC544B" w14:textId="77777777" w:rsidR="00D4596B" w:rsidRPr="0011329B" w:rsidRDefault="00D4596B" w:rsidP="00D4596B">
      <w:pPr>
        <w:spacing w:line="360" w:lineRule="auto"/>
        <w:rPr>
          <w:bCs/>
          <w:lang w:val="en-GB"/>
        </w:rPr>
      </w:pPr>
    </w:p>
    <w:p w14:paraId="322A8EF3" w14:textId="77777777" w:rsidR="00D4596B" w:rsidRPr="0011329B" w:rsidRDefault="00D4596B" w:rsidP="00D4596B">
      <w:pPr>
        <w:spacing w:line="360" w:lineRule="auto"/>
        <w:rPr>
          <w:b/>
          <w:bCs/>
          <w:sz w:val="22"/>
          <w:szCs w:val="22"/>
          <w:lang w:val="en-GB"/>
        </w:rPr>
      </w:pPr>
    </w:p>
    <w:p w14:paraId="25BAC19E" w14:textId="77777777" w:rsidR="00D4596B" w:rsidRPr="0011329B" w:rsidRDefault="00D4596B" w:rsidP="00D4596B">
      <w:pPr>
        <w:spacing w:line="360" w:lineRule="auto"/>
        <w:rPr>
          <w:b/>
          <w:bCs/>
          <w:sz w:val="22"/>
          <w:szCs w:val="22"/>
          <w:lang w:val="en-GB"/>
        </w:rPr>
      </w:pPr>
    </w:p>
    <w:p w14:paraId="08A28CDD" w14:textId="77777777" w:rsidR="00D4596B" w:rsidRPr="0011329B" w:rsidRDefault="00D4596B" w:rsidP="00D4596B">
      <w:pPr>
        <w:spacing w:line="360" w:lineRule="auto"/>
        <w:rPr>
          <w:b/>
          <w:bCs/>
          <w:sz w:val="22"/>
          <w:szCs w:val="22"/>
          <w:lang w:val="en-GB"/>
        </w:rPr>
      </w:pPr>
    </w:p>
    <w:p w14:paraId="5F02B22E" w14:textId="77777777" w:rsidR="00D4596B" w:rsidRPr="0011329B" w:rsidRDefault="00D4596B" w:rsidP="00D4596B">
      <w:pPr>
        <w:spacing w:line="360" w:lineRule="auto"/>
        <w:rPr>
          <w:b/>
          <w:bCs/>
          <w:sz w:val="22"/>
          <w:szCs w:val="22"/>
          <w:lang w:val="en-GB"/>
        </w:rPr>
      </w:pPr>
    </w:p>
    <w:p w14:paraId="057A7BE3" w14:textId="77777777" w:rsidR="00D4596B" w:rsidRPr="0011329B" w:rsidRDefault="00D4596B" w:rsidP="00D4596B">
      <w:pPr>
        <w:spacing w:line="360" w:lineRule="auto"/>
        <w:rPr>
          <w:b/>
          <w:bCs/>
          <w:sz w:val="22"/>
          <w:szCs w:val="22"/>
          <w:lang w:val="en-GB"/>
        </w:rPr>
      </w:pPr>
    </w:p>
    <w:p w14:paraId="46EF5987" w14:textId="77777777" w:rsidR="00D4596B" w:rsidRPr="0011329B" w:rsidRDefault="00D4596B" w:rsidP="00D4596B">
      <w:pPr>
        <w:spacing w:line="360" w:lineRule="auto"/>
        <w:rPr>
          <w:b/>
          <w:bCs/>
          <w:sz w:val="22"/>
          <w:szCs w:val="22"/>
          <w:lang w:val="en-GB"/>
        </w:rPr>
      </w:pPr>
    </w:p>
    <w:p w14:paraId="674A745F" w14:textId="77777777" w:rsidR="00D4596B" w:rsidRPr="0011329B" w:rsidRDefault="00D4596B" w:rsidP="00D4596B">
      <w:pPr>
        <w:spacing w:line="360" w:lineRule="auto"/>
        <w:rPr>
          <w:b/>
          <w:bCs/>
          <w:sz w:val="22"/>
          <w:szCs w:val="22"/>
          <w:lang w:val="en-GB"/>
        </w:rPr>
      </w:pPr>
    </w:p>
    <w:p w14:paraId="2E5F42AB" w14:textId="77777777" w:rsidR="00D4596B" w:rsidRPr="0011329B" w:rsidRDefault="00D4596B" w:rsidP="00D4596B">
      <w:pPr>
        <w:spacing w:line="360" w:lineRule="auto"/>
        <w:rPr>
          <w:b/>
          <w:bCs/>
          <w:sz w:val="22"/>
          <w:szCs w:val="22"/>
          <w:lang w:val="en-GB"/>
        </w:rPr>
      </w:pPr>
    </w:p>
    <w:p w14:paraId="178D7204" w14:textId="77777777" w:rsidR="00D4596B" w:rsidRPr="0011329B" w:rsidRDefault="00D4596B" w:rsidP="00D4596B">
      <w:pPr>
        <w:spacing w:line="360" w:lineRule="auto"/>
        <w:rPr>
          <w:b/>
          <w:bCs/>
          <w:sz w:val="22"/>
          <w:szCs w:val="22"/>
          <w:lang w:val="en-GB"/>
        </w:rPr>
      </w:pPr>
    </w:p>
    <w:p w14:paraId="285BB967" w14:textId="77777777" w:rsidR="00D4596B" w:rsidRPr="0011329B" w:rsidRDefault="00D4596B" w:rsidP="00D4596B">
      <w:pPr>
        <w:spacing w:line="360" w:lineRule="auto"/>
        <w:rPr>
          <w:b/>
          <w:bCs/>
          <w:sz w:val="22"/>
          <w:szCs w:val="22"/>
          <w:lang w:val="en-GB"/>
        </w:rPr>
      </w:pPr>
    </w:p>
    <w:p w14:paraId="61E475DD" w14:textId="77777777" w:rsidR="00D4596B" w:rsidRPr="0011329B" w:rsidRDefault="00D4596B" w:rsidP="00D4596B">
      <w:pPr>
        <w:spacing w:line="360" w:lineRule="auto"/>
        <w:rPr>
          <w:b/>
          <w:bCs/>
          <w:sz w:val="22"/>
          <w:szCs w:val="22"/>
          <w:lang w:val="en-GB"/>
        </w:rPr>
      </w:pPr>
    </w:p>
    <w:p w14:paraId="148A8A23" w14:textId="77777777" w:rsidR="00D4596B" w:rsidRPr="0011329B" w:rsidRDefault="00D4596B" w:rsidP="00D4596B">
      <w:pPr>
        <w:spacing w:line="360" w:lineRule="auto"/>
        <w:rPr>
          <w:b/>
          <w:bCs/>
          <w:sz w:val="22"/>
          <w:szCs w:val="22"/>
          <w:lang w:val="en-GB"/>
        </w:rPr>
      </w:pPr>
    </w:p>
    <w:p w14:paraId="21E214F1" w14:textId="14DF325B" w:rsidR="00D4596B" w:rsidRPr="0011329B" w:rsidRDefault="00D4596B" w:rsidP="00D4596B">
      <w:pPr>
        <w:pStyle w:val="RSCI04CaptiontoFigureSchemeChart"/>
        <w:spacing w:line="360" w:lineRule="auto"/>
        <w:jc w:val="left"/>
        <w:rPr>
          <w:rFonts w:ascii="Times New Roman" w:hAnsi="Times New Roman" w:cs="Times New Roman"/>
          <w:sz w:val="22"/>
          <w:szCs w:val="22"/>
        </w:rPr>
      </w:pPr>
      <w:r w:rsidRPr="0011329B">
        <w:rPr>
          <w:rFonts w:ascii="Times New Roman" w:hAnsi="Times New Roman" w:cs="Times New Roman"/>
          <w:b/>
          <w:sz w:val="22"/>
          <w:szCs w:val="22"/>
        </w:rPr>
        <w:t xml:space="preserve">Figure 10: </w:t>
      </w:r>
      <w:r w:rsidRPr="0011329B">
        <w:rPr>
          <w:rStyle w:val="labelspan"/>
          <w:rFonts w:ascii="Times New Roman" w:hAnsi="Times New Roman" w:cs="Times New Roman"/>
          <w:sz w:val="22"/>
          <w:szCs w:val="22"/>
        </w:rPr>
        <w:t xml:space="preserve">Cell viability of Caco-2 cells after 48 hours incubation with different concentration varying form 0-100 µM of (A) solubilised curcumin and (B) </w:t>
      </w:r>
      <w:r w:rsidR="00444068" w:rsidRPr="0011329B">
        <w:rPr>
          <w:rStyle w:val="labelspan"/>
          <w:rFonts w:ascii="Times New Roman" w:hAnsi="Times New Roman" w:cs="Times New Roman"/>
          <w:sz w:val="22"/>
          <w:szCs w:val="22"/>
        </w:rPr>
        <w:t xml:space="preserve">the curcumin </w:t>
      </w:r>
      <w:r w:rsidR="00444068" w:rsidRPr="0011329B">
        <w:rPr>
          <w:rFonts w:ascii="Times New Roman" w:hAnsi="Times New Roman"/>
          <w:sz w:val="24"/>
          <w:szCs w:val="24"/>
        </w:rPr>
        <w:t>nanosuspension</w:t>
      </w:r>
      <w:r w:rsidRPr="0011329B">
        <w:rPr>
          <w:rStyle w:val="labelspan"/>
          <w:rFonts w:ascii="Times New Roman" w:hAnsi="Times New Roman" w:cs="Times New Roman"/>
          <w:sz w:val="22"/>
          <w:szCs w:val="22"/>
        </w:rPr>
        <w:t xml:space="preserve">. </w:t>
      </w:r>
      <w:r w:rsidR="00793467" w:rsidRPr="0011329B">
        <w:rPr>
          <w:rFonts w:ascii="Times New Roman" w:hAnsi="Times New Roman" w:cs="Times New Roman"/>
          <w:sz w:val="22"/>
          <w:szCs w:val="22"/>
        </w:rPr>
        <w:t>All the measurements</w:t>
      </w:r>
      <w:r w:rsidR="00513CFA" w:rsidRPr="0011329B">
        <w:rPr>
          <w:rFonts w:ascii="Times New Roman" w:hAnsi="Times New Roman" w:cs="Times New Roman"/>
          <w:sz w:val="22"/>
          <w:szCs w:val="22"/>
        </w:rPr>
        <w:t xml:space="preserve"> </w:t>
      </w:r>
      <w:r w:rsidRPr="0011329B">
        <w:rPr>
          <w:rStyle w:val="labelspan"/>
          <w:rFonts w:ascii="Times New Roman" w:hAnsi="Times New Roman" w:cs="Times New Roman"/>
          <w:sz w:val="22"/>
          <w:szCs w:val="22"/>
        </w:rPr>
        <w:t xml:space="preserve">were </w:t>
      </w:r>
      <w:r w:rsidR="00444068" w:rsidRPr="0011329B">
        <w:rPr>
          <w:rStyle w:val="labelspan"/>
          <w:rFonts w:ascii="Times New Roman" w:hAnsi="Times New Roman" w:cs="Times New Roman"/>
          <w:sz w:val="22"/>
          <w:szCs w:val="22"/>
        </w:rPr>
        <w:t xml:space="preserve">carried out </w:t>
      </w:r>
      <w:r w:rsidRPr="0011329B">
        <w:rPr>
          <w:rStyle w:val="labelspan"/>
          <w:rFonts w:ascii="Times New Roman" w:hAnsi="Times New Roman" w:cs="Times New Roman"/>
          <w:sz w:val="22"/>
          <w:szCs w:val="22"/>
        </w:rPr>
        <w:t xml:space="preserve">in quadruplicate.  </w:t>
      </w:r>
    </w:p>
    <w:p w14:paraId="26F6F725" w14:textId="3EFBB844" w:rsidR="00D4596B" w:rsidRPr="0011329B" w:rsidRDefault="00BB0F13" w:rsidP="00F82FDC">
      <w:pPr>
        <w:pStyle w:val="RSCB02ArticleText"/>
        <w:spacing w:line="360" w:lineRule="auto"/>
        <w:rPr>
          <w:rFonts w:ascii="Times New Roman" w:hAnsi="Times New Roman"/>
          <w:sz w:val="24"/>
          <w:szCs w:val="24"/>
        </w:rPr>
      </w:pPr>
      <w:r w:rsidRPr="0011329B">
        <w:rPr>
          <w:rStyle w:val="labelspan"/>
          <w:rFonts w:ascii="Times New Roman" w:hAnsi="Times New Roman"/>
          <w:sz w:val="24"/>
          <w:szCs w:val="24"/>
        </w:rPr>
        <w:t xml:space="preserve">Second, the analysis of cell viability was also performed on HT-29 cells by exposing the cells to different concentrations (0, 0.78, 1.56, 3.13, 6.25, 12.5, 25, 50, 100 µM) of solubilised curcumin and </w:t>
      </w:r>
      <w:r w:rsidR="00444068" w:rsidRPr="0011329B">
        <w:rPr>
          <w:rStyle w:val="labelspan"/>
          <w:rFonts w:ascii="Times New Roman" w:hAnsi="Times New Roman"/>
          <w:sz w:val="24"/>
          <w:szCs w:val="24"/>
        </w:rPr>
        <w:t xml:space="preserve">the </w:t>
      </w:r>
      <w:r w:rsidRPr="0011329B">
        <w:rPr>
          <w:rStyle w:val="labelspan"/>
          <w:rFonts w:ascii="Times New Roman" w:hAnsi="Times New Roman"/>
          <w:sz w:val="24"/>
          <w:szCs w:val="24"/>
        </w:rPr>
        <w:t xml:space="preserve">curcumin </w:t>
      </w:r>
      <w:r w:rsidR="00444068" w:rsidRPr="0011329B">
        <w:rPr>
          <w:rFonts w:ascii="Times New Roman" w:hAnsi="Times New Roman"/>
          <w:sz w:val="24"/>
          <w:szCs w:val="24"/>
        </w:rPr>
        <w:t>nanosuspension</w:t>
      </w:r>
      <w:r w:rsidRPr="0011329B">
        <w:rPr>
          <w:rStyle w:val="labelspan"/>
          <w:rFonts w:ascii="Times New Roman" w:hAnsi="Times New Roman"/>
          <w:sz w:val="24"/>
          <w:szCs w:val="24"/>
        </w:rPr>
        <w:t>. These</w:t>
      </w:r>
      <w:r w:rsidRPr="0011329B">
        <w:rPr>
          <w:rFonts w:ascii="Times New Roman" w:hAnsi="Times New Roman"/>
          <w:sz w:val="24"/>
          <w:szCs w:val="24"/>
          <w:shd w:val="clear" w:color="auto" w:fill="FFFFFF"/>
        </w:rPr>
        <w:t xml:space="preserve"> were also incubated for 48 hours. Solubilised curcumin had an IC</w:t>
      </w:r>
      <w:r w:rsidRPr="0011329B">
        <w:rPr>
          <w:rFonts w:ascii="Times New Roman" w:hAnsi="Times New Roman"/>
          <w:sz w:val="24"/>
          <w:szCs w:val="24"/>
          <w:shd w:val="clear" w:color="auto" w:fill="FFFFFF"/>
          <w:vertAlign w:val="subscript"/>
        </w:rPr>
        <w:t>50</w:t>
      </w:r>
      <w:r w:rsidRPr="0011329B">
        <w:rPr>
          <w:rFonts w:ascii="Times New Roman" w:hAnsi="Times New Roman"/>
          <w:sz w:val="24"/>
          <w:szCs w:val="24"/>
          <w:shd w:val="clear" w:color="auto" w:fill="FFFFFF"/>
        </w:rPr>
        <w:t xml:space="preserve"> value of 21.6 </w:t>
      </w:r>
      <w:r w:rsidRPr="0011329B">
        <w:rPr>
          <w:rStyle w:val="labelspan"/>
          <w:rFonts w:ascii="Times New Roman" w:hAnsi="Times New Roman"/>
          <w:sz w:val="24"/>
          <w:szCs w:val="24"/>
        </w:rPr>
        <w:t>µM, which is close to the IC</w:t>
      </w:r>
      <w:r w:rsidRPr="0011329B">
        <w:rPr>
          <w:rStyle w:val="labelspan"/>
          <w:rFonts w:ascii="Times New Roman" w:hAnsi="Times New Roman"/>
          <w:sz w:val="24"/>
          <w:szCs w:val="24"/>
          <w:vertAlign w:val="subscript"/>
        </w:rPr>
        <w:t xml:space="preserve">50 </w:t>
      </w:r>
      <w:r w:rsidRPr="0011329B">
        <w:rPr>
          <w:rStyle w:val="labelspan"/>
          <w:rFonts w:ascii="Times New Roman" w:hAnsi="Times New Roman"/>
          <w:sz w:val="24"/>
          <w:szCs w:val="24"/>
        </w:rPr>
        <w:t>value of unformulated curcumin on Caco-2 cells (22 µM) (Fig</w:t>
      </w:r>
      <w:r w:rsidR="008574F5" w:rsidRPr="0011329B">
        <w:rPr>
          <w:rStyle w:val="labelspan"/>
          <w:rFonts w:ascii="Times New Roman" w:hAnsi="Times New Roman"/>
          <w:sz w:val="24"/>
          <w:szCs w:val="24"/>
        </w:rPr>
        <w:t>.</w:t>
      </w:r>
      <w:r w:rsidRPr="0011329B">
        <w:rPr>
          <w:rStyle w:val="labelspan"/>
          <w:rFonts w:ascii="Times New Roman" w:hAnsi="Times New Roman"/>
          <w:sz w:val="24"/>
          <w:szCs w:val="24"/>
        </w:rPr>
        <w:t xml:space="preserve"> 11A). </w:t>
      </w:r>
      <w:r w:rsidR="00444068" w:rsidRPr="0011329B">
        <w:rPr>
          <w:rStyle w:val="labelspan"/>
          <w:rFonts w:ascii="Times New Roman" w:hAnsi="Times New Roman"/>
          <w:sz w:val="24"/>
          <w:szCs w:val="24"/>
        </w:rPr>
        <w:t xml:space="preserve">The </w:t>
      </w:r>
      <w:r w:rsidR="00444068" w:rsidRPr="0011329B">
        <w:rPr>
          <w:rFonts w:ascii="Times New Roman" w:hAnsi="Times New Roman"/>
          <w:sz w:val="24"/>
          <w:szCs w:val="24"/>
        </w:rPr>
        <w:t xml:space="preserve">nanosuspensions </w:t>
      </w:r>
      <w:r w:rsidRPr="0011329B">
        <w:rPr>
          <w:rStyle w:val="labelspan"/>
          <w:rFonts w:ascii="Times New Roman" w:hAnsi="Times New Roman"/>
          <w:sz w:val="24"/>
          <w:szCs w:val="24"/>
        </w:rPr>
        <w:t>showed a higher cell viability compared to unformulated curcumin as the IC</w:t>
      </w:r>
      <w:r w:rsidRPr="0011329B">
        <w:rPr>
          <w:rStyle w:val="labelspan"/>
          <w:rFonts w:ascii="Times New Roman" w:hAnsi="Times New Roman"/>
          <w:sz w:val="24"/>
          <w:szCs w:val="24"/>
          <w:vertAlign w:val="subscript"/>
        </w:rPr>
        <w:t>50</w:t>
      </w:r>
      <w:r w:rsidRPr="0011329B">
        <w:rPr>
          <w:rStyle w:val="labelspan"/>
          <w:rFonts w:ascii="Times New Roman" w:hAnsi="Times New Roman"/>
          <w:sz w:val="24"/>
          <w:szCs w:val="24"/>
        </w:rPr>
        <w:t xml:space="preserve"> value was determined to be 52 µM (Fig</w:t>
      </w:r>
      <w:r w:rsidR="008574F5" w:rsidRPr="0011329B">
        <w:rPr>
          <w:rStyle w:val="labelspan"/>
          <w:rFonts w:ascii="Times New Roman" w:hAnsi="Times New Roman"/>
          <w:sz w:val="24"/>
          <w:szCs w:val="24"/>
        </w:rPr>
        <w:t>.</w:t>
      </w:r>
      <w:r w:rsidRPr="0011329B">
        <w:rPr>
          <w:rStyle w:val="labelspan"/>
          <w:rFonts w:ascii="Times New Roman" w:hAnsi="Times New Roman"/>
          <w:sz w:val="24"/>
          <w:szCs w:val="24"/>
        </w:rPr>
        <w:t xml:space="preserve"> 11B). Much like the cytotoxicity on the Caco-2 cells,</w:t>
      </w:r>
      <w:r w:rsidR="00F873F7" w:rsidRPr="0011329B">
        <w:rPr>
          <w:rStyle w:val="labelspan"/>
          <w:rFonts w:ascii="Times New Roman" w:hAnsi="Times New Roman"/>
          <w:sz w:val="24"/>
          <w:szCs w:val="24"/>
        </w:rPr>
        <w:t xml:space="preserve"> nanosuspensions were less toxic compared to the solubilised curcumin, </w:t>
      </w:r>
      <w:r w:rsidRPr="0011329B">
        <w:rPr>
          <w:rStyle w:val="labelspan"/>
          <w:rFonts w:ascii="Times New Roman" w:hAnsi="Times New Roman"/>
          <w:sz w:val="24"/>
          <w:szCs w:val="24"/>
        </w:rPr>
        <w:t>this difference can be ascribed to the differences in the amount of curcumin present in solution.</w:t>
      </w:r>
    </w:p>
    <w:p w14:paraId="6B7408FA" w14:textId="7E6B24E2" w:rsidR="00D4596B" w:rsidRPr="0011329B" w:rsidRDefault="00D4596B" w:rsidP="00D4596B">
      <w:pPr>
        <w:spacing w:line="360" w:lineRule="auto"/>
        <w:rPr>
          <w:b/>
          <w:bCs/>
          <w:sz w:val="22"/>
          <w:szCs w:val="22"/>
          <w:lang w:val="en-GB"/>
        </w:rPr>
      </w:pPr>
      <w:r w:rsidRPr="0011329B">
        <w:rPr>
          <w:noProof/>
          <w:lang w:val="en-GB"/>
        </w:rPr>
        <w:lastRenderedPageBreak/>
        <w:drawing>
          <wp:anchor distT="0" distB="0" distL="114300" distR="114300" simplePos="0" relativeHeight="251660288" behindDoc="0" locked="0" layoutInCell="1" allowOverlap="1" wp14:anchorId="4ED04514" wp14:editId="18DA0128">
            <wp:simplePos x="0" y="0"/>
            <wp:positionH relativeFrom="column">
              <wp:posOffset>165735</wp:posOffset>
            </wp:positionH>
            <wp:positionV relativeFrom="paragraph">
              <wp:posOffset>0</wp:posOffset>
            </wp:positionV>
            <wp:extent cx="2652395" cy="315087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t="3485" b="1784"/>
                    <a:stretch>
                      <a:fillRect/>
                    </a:stretch>
                  </pic:blipFill>
                  <pic:spPr bwMode="auto">
                    <a:xfrm>
                      <a:off x="0" y="0"/>
                      <a:ext cx="2652395" cy="3150870"/>
                    </a:xfrm>
                    <a:prstGeom prst="rect">
                      <a:avLst/>
                    </a:prstGeom>
                    <a:noFill/>
                  </pic:spPr>
                </pic:pic>
              </a:graphicData>
            </a:graphic>
            <wp14:sizeRelH relativeFrom="page">
              <wp14:pctWidth>0</wp14:pctWidth>
            </wp14:sizeRelH>
            <wp14:sizeRelV relativeFrom="page">
              <wp14:pctHeight>0</wp14:pctHeight>
            </wp14:sizeRelV>
          </wp:anchor>
        </w:drawing>
      </w:r>
    </w:p>
    <w:p w14:paraId="5D89440C" w14:textId="77777777" w:rsidR="00D4596B" w:rsidRPr="0011329B" w:rsidRDefault="00D4596B" w:rsidP="00D4596B">
      <w:pPr>
        <w:spacing w:line="360" w:lineRule="auto"/>
        <w:rPr>
          <w:b/>
          <w:bCs/>
          <w:sz w:val="22"/>
          <w:szCs w:val="22"/>
          <w:lang w:val="en-GB"/>
        </w:rPr>
      </w:pPr>
    </w:p>
    <w:p w14:paraId="7604697B" w14:textId="77777777" w:rsidR="00D4596B" w:rsidRPr="0011329B" w:rsidRDefault="00D4596B" w:rsidP="00D4596B">
      <w:pPr>
        <w:spacing w:line="360" w:lineRule="auto"/>
        <w:rPr>
          <w:b/>
          <w:bCs/>
          <w:sz w:val="22"/>
          <w:szCs w:val="22"/>
          <w:lang w:val="en-GB"/>
        </w:rPr>
      </w:pPr>
    </w:p>
    <w:p w14:paraId="224F8DD2" w14:textId="77777777" w:rsidR="00D4596B" w:rsidRPr="0011329B" w:rsidRDefault="00D4596B" w:rsidP="00D4596B">
      <w:pPr>
        <w:spacing w:line="360" w:lineRule="auto"/>
        <w:rPr>
          <w:b/>
          <w:bCs/>
          <w:sz w:val="22"/>
          <w:szCs w:val="22"/>
          <w:lang w:val="en-GB"/>
        </w:rPr>
      </w:pPr>
    </w:p>
    <w:p w14:paraId="610067C3" w14:textId="77777777" w:rsidR="00D4596B" w:rsidRPr="0011329B" w:rsidRDefault="00D4596B" w:rsidP="00D4596B">
      <w:pPr>
        <w:spacing w:line="360" w:lineRule="auto"/>
        <w:rPr>
          <w:b/>
          <w:bCs/>
          <w:sz w:val="22"/>
          <w:szCs w:val="22"/>
          <w:lang w:val="en-GB"/>
        </w:rPr>
      </w:pPr>
    </w:p>
    <w:p w14:paraId="67997FB3" w14:textId="77777777" w:rsidR="00D4596B" w:rsidRPr="0011329B" w:rsidRDefault="00D4596B" w:rsidP="00D4596B">
      <w:pPr>
        <w:spacing w:line="360" w:lineRule="auto"/>
        <w:rPr>
          <w:b/>
          <w:bCs/>
          <w:sz w:val="22"/>
          <w:szCs w:val="22"/>
          <w:lang w:val="en-GB"/>
        </w:rPr>
      </w:pPr>
    </w:p>
    <w:p w14:paraId="06C4EA65" w14:textId="77777777" w:rsidR="00D4596B" w:rsidRPr="0011329B" w:rsidRDefault="00D4596B" w:rsidP="00D4596B">
      <w:pPr>
        <w:spacing w:line="360" w:lineRule="auto"/>
        <w:rPr>
          <w:b/>
          <w:bCs/>
          <w:sz w:val="22"/>
          <w:szCs w:val="22"/>
          <w:lang w:val="en-GB"/>
        </w:rPr>
      </w:pPr>
    </w:p>
    <w:p w14:paraId="4B60DB8A" w14:textId="77777777" w:rsidR="00D4596B" w:rsidRPr="0011329B" w:rsidRDefault="00D4596B" w:rsidP="00D4596B">
      <w:pPr>
        <w:spacing w:line="360" w:lineRule="auto"/>
        <w:rPr>
          <w:b/>
          <w:bCs/>
          <w:sz w:val="22"/>
          <w:szCs w:val="22"/>
          <w:lang w:val="en-GB"/>
        </w:rPr>
      </w:pPr>
    </w:p>
    <w:p w14:paraId="5DD31579" w14:textId="77777777" w:rsidR="00D4596B" w:rsidRPr="0011329B" w:rsidRDefault="00D4596B" w:rsidP="00D4596B">
      <w:pPr>
        <w:spacing w:line="360" w:lineRule="auto"/>
        <w:rPr>
          <w:b/>
          <w:bCs/>
          <w:sz w:val="22"/>
          <w:szCs w:val="22"/>
          <w:lang w:val="en-GB"/>
        </w:rPr>
      </w:pPr>
    </w:p>
    <w:p w14:paraId="05EBA2B8" w14:textId="77777777" w:rsidR="00D4596B" w:rsidRPr="0011329B" w:rsidRDefault="00D4596B" w:rsidP="00D4596B">
      <w:pPr>
        <w:spacing w:line="360" w:lineRule="auto"/>
        <w:rPr>
          <w:b/>
          <w:bCs/>
          <w:sz w:val="22"/>
          <w:szCs w:val="22"/>
          <w:lang w:val="en-GB"/>
        </w:rPr>
      </w:pPr>
    </w:p>
    <w:p w14:paraId="3BCE2591" w14:textId="77777777" w:rsidR="00D4596B" w:rsidRPr="0011329B" w:rsidRDefault="00D4596B" w:rsidP="00D4596B">
      <w:pPr>
        <w:spacing w:line="360" w:lineRule="auto"/>
        <w:rPr>
          <w:b/>
          <w:bCs/>
          <w:sz w:val="22"/>
          <w:szCs w:val="22"/>
          <w:lang w:val="en-GB"/>
        </w:rPr>
      </w:pPr>
    </w:p>
    <w:p w14:paraId="6E83F268" w14:textId="77777777" w:rsidR="00D4596B" w:rsidRPr="0011329B" w:rsidRDefault="00D4596B" w:rsidP="00D4596B">
      <w:pPr>
        <w:spacing w:line="360" w:lineRule="auto"/>
        <w:rPr>
          <w:b/>
          <w:bCs/>
          <w:sz w:val="22"/>
          <w:szCs w:val="22"/>
          <w:lang w:val="en-GB"/>
        </w:rPr>
      </w:pPr>
    </w:p>
    <w:p w14:paraId="56F76B9A" w14:textId="77777777" w:rsidR="00D4596B" w:rsidRPr="0011329B" w:rsidRDefault="00D4596B" w:rsidP="00D4596B">
      <w:pPr>
        <w:spacing w:line="360" w:lineRule="auto"/>
        <w:rPr>
          <w:b/>
          <w:bCs/>
          <w:sz w:val="22"/>
          <w:szCs w:val="22"/>
          <w:lang w:val="en-GB"/>
        </w:rPr>
      </w:pPr>
    </w:p>
    <w:p w14:paraId="6CE7DB78" w14:textId="77777777" w:rsidR="00D4596B" w:rsidRPr="0011329B" w:rsidRDefault="00D4596B" w:rsidP="00D4596B">
      <w:pPr>
        <w:spacing w:line="360" w:lineRule="auto"/>
        <w:rPr>
          <w:b/>
          <w:bCs/>
          <w:sz w:val="22"/>
          <w:szCs w:val="22"/>
          <w:lang w:val="en-GB"/>
        </w:rPr>
      </w:pPr>
    </w:p>
    <w:p w14:paraId="15DB7359" w14:textId="1A656FC8" w:rsidR="00D4596B" w:rsidRPr="0011329B" w:rsidRDefault="00D4596B" w:rsidP="00D4596B">
      <w:pPr>
        <w:pStyle w:val="RSCI04CaptiontoFigureSchemeChart"/>
        <w:spacing w:line="360" w:lineRule="auto"/>
        <w:jc w:val="left"/>
        <w:rPr>
          <w:rFonts w:ascii="Times New Roman" w:hAnsi="Times New Roman" w:cs="Times New Roman"/>
          <w:sz w:val="22"/>
          <w:szCs w:val="22"/>
        </w:rPr>
      </w:pPr>
      <w:r w:rsidRPr="0011329B">
        <w:rPr>
          <w:rFonts w:ascii="Times New Roman" w:hAnsi="Times New Roman" w:cs="Times New Roman"/>
          <w:sz w:val="22"/>
          <w:szCs w:val="22"/>
        </w:rPr>
        <w:t>F</w:t>
      </w:r>
      <w:r w:rsidRPr="0011329B">
        <w:rPr>
          <w:rStyle w:val="labelspan"/>
          <w:rFonts w:ascii="Times New Roman" w:hAnsi="Times New Roman" w:cs="Times New Roman"/>
          <w:b/>
          <w:sz w:val="22"/>
          <w:szCs w:val="22"/>
        </w:rPr>
        <w:t>igure 11:</w:t>
      </w:r>
      <w:r w:rsidRPr="0011329B">
        <w:rPr>
          <w:rStyle w:val="labelspan"/>
          <w:rFonts w:ascii="Times New Roman" w:hAnsi="Times New Roman" w:cs="Times New Roman"/>
          <w:sz w:val="22"/>
          <w:szCs w:val="22"/>
        </w:rPr>
        <w:t xml:space="preserve"> Cell viability of HT-29 cells after 48 hours exposure to different concentration varying form 0-100 µM of (A) unformulated curcumin and (B) </w:t>
      </w:r>
      <w:r w:rsidR="00444068" w:rsidRPr="0011329B">
        <w:rPr>
          <w:rStyle w:val="labelspan"/>
          <w:rFonts w:ascii="Times New Roman" w:hAnsi="Times New Roman" w:cs="Times New Roman"/>
          <w:sz w:val="22"/>
          <w:szCs w:val="22"/>
        </w:rPr>
        <w:t xml:space="preserve">the curcumin </w:t>
      </w:r>
      <w:r w:rsidR="00444068" w:rsidRPr="0011329B">
        <w:rPr>
          <w:rFonts w:ascii="Times New Roman" w:hAnsi="Times New Roman"/>
          <w:sz w:val="24"/>
          <w:szCs w:val="24"/>
        </w:rPr>
        <w:t>nanosuspension</w:t>
      </w:r>
      <w:r w:rsidRPr="0011329B">
        <w:rPr>
          <w:rStyle w:val="labelspan"/>
          <w:rFonts w:ascii="Times New Roman" w:hAnsi="Times New Roman" w:cs="Times New Roman"/>
          <w:sz w:val="22"/>
          <w:szCs w:val="22"/>
        </w:rPr>
        <w:t xml:space="preserve">. All measurements were </w:t>
      </w:r>
      <w:r w:rsidR="00444068" w:rsidRPr="0011329B">
        <w:rPr>
          <w:rStyle w:val="labelspan"/>
          <w:rFonts w:ascii="Times New Roman" w:hAnsi="Times New Roman" w:cs="Times New Roman"/>
          <w:sz w:val="22"/>
          <w:szCs w:val="22"/>
        </w:rPr>
        <w:t xml:space="preserve">carried out </w:t>
      </w:r>
      <w:r w:rsidRPr="0011329B">
        <w:rPr>
          <w:rStyle w:val="labelspan"/>
          <w:rFonts w:ascii="Times New Roman" w:hAnsi="Times New Roman" w:cs="Times New Roman"/>
          <w:sz w:val="22"/>
          <w:szCs w:val="22"/>
        </w:rPr>
        <w:t>in quadruplicate.</w:t>
      </w:r>
    </w:p>
    <w:p w14:paraId="5D795609" w14:textId="06DFA2C8" w:rsidR="00BB0F13" w:rsidRPr="0011329B" w:rsidRDefault="00BB0F13" w:rsidP="00F82FDC">
      <w:pPr>
        <w:pStyle w:val="RSCB04AHeadingSection"/>
        <w:numPr>
          <w:ilvl w:val="0"/>
          <w:numId w:val="2"/>
        </w:numPr>
        <w:spacing w:line="360" w:lineRule="auto"/>
        <w:rPr>
          <w:rFonts w:ascii="Times New Roman" w:hAnsi="Times New Roman" w:cs="Times New Roman"/>
          <w:sz w:val="28"/>
          <w:szCs w:val="28"/>
        </w:rPr>
      </w:pPr>
      <w:r w:rsidRPr="0011329B">
        <w:rPr>
          <w:rFonts w:ascii="Times New Roman" w:hAnsi="Times New Roman" w:cs="Times New Roman"/>
          <w:sz w:val="28"/>
          <w:szCs w:val="28"/>
        </w:rPr>
        <w:t>Conclusions</w:t>
      </w:r>
    </w:p>
    <w:p w14:paraId="12E680D9" w14:textId="0489C94B" w:rsidR="00BB0F13" w:rsidRPr="0011329B" w:rsidRDefault="00BB0F13" w:rsidP="002F10E8">
      <w:pPr>
        <w:pStyle w:val="RSCB02ArticleText"/>
        <w:spacing w:line="360" w:lineRule="auto"/>
        <w:rPr>
          <w:rFonts w:ascii="Times New Roman" w:hAnsi="Times New Roman"/>
          <w:b/>
          <w:bCs/>
          <w:sz w:val="24"/>
          <w:szCs w:val="24"/>
        </w:rPr>
      </w:pPr>
      <w:r w:rsidRPr="0011329B">
        <w:rPr>
          <w:rFonts w:ascii="Times New Roman" w:hAnsi="Times New Roman"/>
          <w:sz w:val="24"/>
          <w:szCs w:val="24"/>
        </w:rPr>
        <w:t>Curcumin is a natural nutraceutical that is widely used in food and beverage industry. Recent research has shown that curcumin has multiple therapeutic effects such as anticancer, antibacterial and antioxidant properties. However, curcumin has low aqueous solubility and stability around the physiological pH</w:t>
      </w:r>
      <w:r w:rsidR="00513CFA" w:rsidRPr="0011329B">
        <w:rPr>
          <w:rFonts w:ascii="Times New Roman" w:hAnsi="Times New Roman"/>
          <w:sz w:val="24"/>
          <w:szCs w:val="24"/>
        </w:rPr>
        <w:t>,</w:t>
      </w:r>
      <w:r w:rsidRPr="0011329B">
        <w:rPr>
          <w:rFonts w:ascii="Times New Roman" w:hAnsi="Times New Roman"/>
          <w:sz w:val="24"/>
          <w:szCs w:val="24"/>
        </w:rPr>
        <w:t xml:space="preserve"> which hinder its effectiveness and clinical applications. A promising approach to improve the curcumin stability and bioaccessibility is formulating the curcumin </w:t>
      </w:r>
      <w:r w:rsidR="00024731" w:rsidRPr="0011329B">
        <w:rPr>
          <w:rFonts w:ascii="Times New Roman" w:hAnsi="Times New Roman"/>
          <w:sz w:val="24"/>
          <w:szCs w:val="24"/>
        </w:rPr>
        <w:t xml:space="preserve">as a nanosuspension </w:t>
      </w:r>
      <w:r w:rsidRPr="0011329B">
        <w:rPr>
          <w:rFonts w:ascii="Times New Roman" w:hAnsi="Times New Roman"/>
          <w:sz w:val="24"/>
          <w:szCs w:val="24"/>
        </w:rPr>
        <w:t xml:space="preserve">using the emulsion-templated freeze-drying technique. </w:t>
      </w:r>
      <w:r w:rsidR="00513CFA" w:rsidRPr="0011329B">
        <w:rPr>
          <w:rFonts w:ascii="Times New Roman" w:hAnsi="Times New Roman"/>
          <w:sz w:val="24"/>
          <w:szCs w:val="24"/>
        </w:rPr>
        <w:t>In this technique,</w:t>
      </w:r>
      <w:r w:rsidRPr="0011329B">
        <w:rPr>
          <w:rFonts w:ascii="Times New Roman" w:hAnsi="Times New Roman"/>
          <w:sz w:val="24"/>
          <w:szCs w:val="24"/>
        </w:rPr>
        <w:t xml:space="preserve"> the curcumin </w:t>
      </w:r>
      <w:r w:rsidR="00513CFA" w:rsidRPr="0011329B">
        <w:rPr>
          <w:rFonts w:ascii="Times New Roman" w:hAnsi="Times New Roman"/>
          <w:sz w:val="24"/>
          <w:szCs w:val="24"/>
        </w:rPr>
        <w:t>wa</w:t>
      </w:r>
      <w:r w:rsidRPr="0011329B">
        <w:rPr>
          <w:rFonts w:ascii="Times New Roman" w:hAnsi="Times New Roman"/>
          <w:sz w:val="24"/>
          <w:szCs w:val="24"/>
        </w:rPr>
        <w:t>s emulsified with different excipients which encapsulate the curcumin and stabilise it in aqueous solution. A 32</w:t>
      </w:r>
      <w:r w:rsidRPr="0011329B">
        <w:rPr>
          <w:rFonts w:ascii="Times New Roman" w:hAnsi="Times New Roman"/>
          <w:bCs/>
          <w:iCs/>
          <w:sz w:val="24"/>
          <w:szCs w:val="24"/>
        </w:rPr>
        <w:t>-</w:t>
      </w:r>
      <w:r w:rsidRPr="0011329B">
        <w:rPr>
          <w:rFonts w:ascii="Times New Roman" w:hAnsi="Times New Roman"/>
          <w:sz w:val="24"/>
          <w:szCs w:val="24"/>
        </w:rPr>
        <w:t>sample library screen was carried out to identify</w:t>
      </w:r>
      <w:r w:rsidRPr="0011329B">
        <w:rPr>
          <w:rFonts w:ascii="Times New Roman" w:hAnsi="Times New Roman"/>
          <w:b/>
          <w:bCs/>
          <w:sz w:val="24"/>
          <w:szCs w:val="24"/>
        </w:rPr>
        <w:t xml:space="preserve"> </w:t>
      </w:r>
      <w:r w:rsidR="00513CFA" w:rsidRPr="0011329B">
        <w:rPr>
          <w:rFonts w:ascii="Times New Roman" w:hAnsi="Times New Roman"/>
          <w:bCs/>
          <w:sz w:val="24"/>
          <w:szCs w:val="24"/>
        </w:rPr>
        <w:t xml:space="preserve">which </w:t>
      </w:r>
      <w:r w:rsidRPr="0011329B">
        <w:rPr>
          <w:rFonts w:ascii="Times New Roman" w:hAnsi="Times New Roman"/>
          <w:sz w:val="24"/>
          <w:szCs w:val="24"/>
        </w:rPr>
        <w:t>sample</w:t>
      </w:r>
      <w:r w:rsidR="00513CFA" w:rsidRPr="0011329B">
        <w:rPr>
          <w:rFonts w:ascii="Times New Roman" w:hAnsi="Times New Roman"/>
          <w:sz w:val="24"/>
          <w:szCs w:val="24"/>
        </w:rPr>
        <w:t xml:space="preserve"> fulfil the assessment criteria including small size, </w:t>
      </w:r>
      <w:r w:rsidR="004D4A6D" w:rsidRPr="0011329B">
        <w:rPr>
          <w:rFonts w:ascii="Times New Roman" w:hAnsi="Times New Roman"/>
          <w:sz w:val="24"/>
          <w:szCs w:val="24"/>
        </w:rPr>
        <w:t>narrow</w:t>
      </w:r>
      <w:r w:rsidR="00513CFA" w:rsidRPr="0011329B">
        <w:rPr>
          <w:rFonts w:ascii="Times New Roman" w:hAnsi="Times New Roman"/>
          <w:sz w:val="24"/>
          <w:szCs w:val="24"/>
        </w:rPr>
        <w:t xml:space="preserve"> PDI, low SD, and a complete water dispersion. </w:t>
      </w:r>
      <w:r w:rsidR="00513CFA" w:rsidRPr="0011329B">
        <w:rPr>
          <w:rFonts w:ascii="Times New Roman" w:hAnsi="Times New Roman"/>
          <w:bCs/>
          <w:sz w:val="24"/>
          <w:szCs w:val="24"/>
        </w:rPr>
        <w:t>O</w:t>
      </w:r>
      <w:r w:rsidR="00513CFA" w:rsidRPr="0011329B">
        <w:rPr>
          <w:rFonts w:ascii="Times New Roman" w:hAnsi="Times New Roman"/>
          <w:sz w:val="24"/>
          <w:szCs w:val="24"/>
        </w:rPr>
        <w:t xml:space="preserve">ne sample used PEG as the only excipient fulfilled this assessment criteria and therefore was chosen for </w:t>
      </w:r>
      <w:r w:rsidR="004D4A6D" w:rsidRPr="0011329B">
        <w:rPr>
          <w:rFonts w:ascii="Times New Roman" w:hAnsi="Times New Roman"/>
          <w:sz w:val="24"/>
          <w:szCs w:val="24"/>
        </w:rPr>
        <w:t xml:space="preserve">further </w:t>
      </w:r>
      <w:r w:rsidR="00513CFA" w:rsidRPr="0011329B">
        <w:rPr>
          <w:rFonts w:ascii="Times New Roman" w:hAnsi="Times New Roman"/>
          <w:sz w:val="24"/>
          <w:szCs w:val="24"/>
        </w:rPr>
        <w:t>investigation</w:t>
      </w:r>
      <w:r w:rsidRPr="0011329B">
        <w:rPr>
          <w:rFonts w:ascii="Times New Roman" w:hAnsi="Times New Roman"/>
          <w:sz w:val="24"/>
          <w:szCs w:val="24"/>
        </w:rPr>
        <w:t xml:space="preserve">. It is likely that the PEG acts as both a stabiliser and cryoprotectant that facilities nanoparticles re-dispersion and stabilised them resulting in </w:t>
      </w:r>
      <w:r w:rsidRPr="0011329B">
        <w:rPr>
          <w:rFonts w:ascii="Times New Roman" w:hAnsi="Times New Roman"/>
          <w:sz w:val="24"/>
          <w:szCs w:val="24"/>
        </w:rPr>
        <w:lastRenderedPageBreak/>
        <w:t xml:space="preserve">their small z-average diameters and narrow PDI. The stability, </w:t>
      </w:r>
      <w:r w:rsidRPr="0011329B">
        <w:rPr>
          <w:rFonts w:ascii="Times New Roman" w:hAnsi="Times New Roman"/>
          <w:i/>
          <w:iCs/>
          <w:sz w:val="24"/>
          <w:szCs w:val="24"/>
        </w:rPr>
        <w:t>in vitro</w:t>
      </w:r>
      <w:r w:rsidRPr="0011329B">
        <w:rPr>
          <w:rFonts w:ascii="Times New Roman" w:hAnsi="Times New Roman"/>
          <w:sz w:val="24"/>
          <w:szCs w:val="24"/>
        </w:rPr>
        <w:t xml:space="preserve"> bioaccessibility of the chosen </w:t>
      </w:r>
      <w:r w:rsidR="00A83494" w:rsidRPr="0011329B">
        <w:rPr>
          <w:rStyle w:val="labelspan"/>
          <w:rFonts w:ascii="Times New Roman" w:hAnsi="Times New Roman"/>
          <w:sz w:val="24"/>
          <w:szCs w:val="24"/>
        </w:rPr>
        <w:t xml:space="preserve">the curcumin </w:t>
      </w:r>
      <w:r w:rsidR="00A83494" w:rsidRPr="0011329B">
        <w:rPr>
          <w:rFonts w:ascii="Times New Roman" w:hAnsi="Times New Roman"/>
          <w:sz w:val="24"/>
          <w:szCs w:val="24"/>
        </w:rPr>
        <w:t>nanosuspension</w:t>
      </w:r>
      <w:r w:rsidRPr="0011329B">
        <w:rPr>
          <w:rFonts w:ascii="Times New Roman" w:hAnsi="Times New Roman"/>
          <w:sz w:val="24"/>
          <w:szCs w:val="24"/>
        </w:rPr>
        <w:t xml:space="preserve"> sample and unformulated curcumin were studied. The stability of unformulated curcumin and </w:t>
      </w:r>
      <w:r w:rsidR="00A83494" w:rsidRPr="0011329B">
        <w:rPr>
          <w:rStyle w:val="labelspan"/>
          <w:rFonts w:ascii="Times New Roman" w:hAnsi="Times New Roman"/>
          <w:sz w:val="24"/>
          <w:szCs w:val="24"/>
        </w:rPr>
        <w:t xml:space="preserve">the curcumin </w:t>
      </w:r>
      <w:r w:rsidR="00A83494" w:rsidRPr="0011329B">
        <w:rPr>
          <w:rFonts w:ascii="Times New Roman" w:hAnsi="Times New Roman"/>
          <w:sz w:val="24"/>
          <w:szCs w:val="24"/>
        </w:rPr>
        <w:t>nanosuspension</w:t>
      </w:r>
      <w:r w:rsidRPr="0011329B">
        <w:rPr>
          <w:rFonts w:ascii="Times New Roman" w:hAnsi="Times New Roman"/>
          <w:sz w:val="24"/>
          <w:szCs w:val="24"/>
        </w:rPr>
        <w:t xml:space="preserve"> were studied at different pH values that mimic different sections of the gastrointestinal tract. The study showed that unformulated solubilised curcumin degraded faster compared to the </w:t>
      </w:r>
      <w:r w:rsidR="00A83494" w:rsidRPr="0011329B">
        <w:rPr>
          <w:rFonts w:ascii="Times New Roman" w:hAnsi="Times New Roman"/>
          <w:sz w:val="24"/>
          <w:szCs w:val="24"/>
        </w:rPr>
        <w:t>nanosuspension formulation</w:t>
      </w:r>
      <w:r w:rsidRPr="0011329B">
        <w:rPr>
          <w:rFonts w:ascii="Times New Roman" w:hAnsi="Times New Roman"/>
          <w:sz w:val="24"/>
          <w:szCs w:val="24"/>
        </w:rPr>
        <w:t>. The</w:t>
      </w:r>
      <w:r w:rsidR="00A83494" w:rsidRPr="0011329B">
        <w:rPr>
          <w:rFonts w:ascii="Times New Roman" w:hAnsi="Times New Roman"/>
          <w:sz w:val="24"/>
          <w:szCs w:val="24"/>
        </w:rPr>
        <w:t xml:space="preserve"> nanosuspension</w:t>
      </w:r>
      <w:r w:rsidRPr="0011329B">
        <w:rPr>
          <w:rFonts w:ascii="Times New Roman" w:hAnsi="Times New Roman"/>
          <w:sz w:val="24"/>
          <w:szCs w:val="24"/>
        </w:rPr>
        <w:t xml:space="preserve"> showed a higher stability due to the encapsulation of some of the curcumin within the</w:t>
      </w:r>
      <w:r w:rsidR="00A83494" w:rsidRPr="0011329B">
        <w:rPr>
          <w:rFonts w:ascii="Times New Roman" w:hAnsi="Times New Roman"/>
          <w:sz w:val="24"/>
          <w:szCs w:val="24"/>
        </w:rPr>
        <w:t xml:space="preserve"> nanoparticles</w:t>
      </w:r>
      <w:r w:rsidR="004D4A6D" w:rsidRPr="0011329B">
        <w:rPr>
          <w:rFonts w:ascii="Times New Roman" w:hAnsi="Times New Roman"/>
          <w:sz w:val="24"/>
          <w:szCs w:val="24"/>
        </w:rPr>
        <w:t xml:space="preserve">. The degradation of </w:t>
      </w:r>
      <w:r w:rsidR="00A83494" w:rsidRPr="0011329B">
        <w:rPr>
          <w:rFonts w:ascii="Times New Roman" w:hAnsi="Times New Roman"/>
          <w:sz w:val="24"/>
          <w:szCs w:val="24"/>
        </w:rPr>
        <w:t xml:space="preserve">curcumin within the nanosuspension was found </w:t>
      </w:r>
      <w:r w:rsidR="004D4A6D" w:rsidRPr="0011329B">
        <w:rPr>
          <w:rFonts w:ascii="Times New Roman" w:hAnsi="Times New Roman"/>
          <w:sz w:val="24"/>
          <w:szCs w:val="24"/>
        </w:rPr>
        <w:t xml:space="preserve">to be a pH-dependent, </w:t>
      </w:r>
      <w:r w:rsidRPr="0011329B">
        <w:rPr>
          <w:rFonts w:ascii="Times New Roman" w:hAnsi="Times New Roman"/>
          <w:sz w:val="24"/>
          <w:szCs w:val="24"/>
        </w:rPr>
        <w:t xml:space="preserve">where </w:t>
      </w:r>
      <w:r w:rsidR="00A83494" w:rsidRPr="0011329B">
        <w:rPr>
          <w:rFonts w:ascii="Times New Roman" w:hAnsi="Times New Roman"/>
          <w:sz w:val="24"/>
          <w:szCs w:val="24"/>
        </w:rPr>
        <w:t>degradation was</w:t>
      </w:r>
      <w:r w:rsidRPr="0011329B">
        <w:rPr>
          <w:rFonts w:ascii="Times New Roman" w:hAnsi="Times New Roman"/>
          <w:sz w:val="24"/>
          <w:szCs w:val="24"/>
        </w:rPr>
        <w:t xml:space="preserve"> slow</w:t>
      </w:r>
      <w:r w:rsidR="00A83494" w:rsidRPr="0011329B">
        <w:rPr>
          <w:rFonts w:ascii="Times New Roman" w:hAnsi="Times New Roman"/>
          <w:sz w:val="24"/>
          <w:szCs w:val="24"/>
        </w:rPr>
        <w:t>er</w:t>
      </w:r>
      <w:r w:rsidRPr="0011329B">
        <w:rPr>
          <w:rFonts w:ascii="Times New Roman" w:hAnsi="Times New Roman"/>
          <w:sz w:val="24"/>
          <w:szCs w:val="24"/>
        </w:rPr>
        <w:t xml:space="preserve"> at acidic pH as compared to neutral pH. When the </w:t>
      </w:r>
      <w:r w:rsidR="00A83494" w:rsidRPr="0011329B">
        <w:rPr>
          <w:rFonts w:ascii="Times New Roman" w:hAnsi="Times New Roman"/>
          <w:sz w:val="24"/>
          <w:szCs w:val="24"/>
        </w:rPr>
        <w:t>curcumin nanosuspension was</w:t>
      </w:r>
      <w:r w:rsidRPr="0011329B">
        <w:rPr>
          <w:rFonts w:ascii="Times New Roman" w:hAnsi="Times New Roman"/>
          <w:sz w:val="24"/>
          <w:szCs w:val="24"/>
        </w:rPr>
        <w:t xml:space="preserve"> compared to unformulated curcumin </w:t>
      </w:r>
      <w:r w:rsidR="00A83494" w:rsidRPr="0011329B">
        <w:rPr>
          <w:rFonts w:ascii="Times New Roman" w:hAnsi="Times New Roman"/>
          <w:sz w:val="24"/>
          <w:szCs w:val="24"/>
        </w:rPr>
        <w:t>(</w:t>
      </w:r>
      <w:r w:rsidRPr="0011329B">
        <w:rPr>
          <w:rFonts w:ascii="Times New Roman" w:hAnsi="Times New Roman"/>
          <w:sz w:val="24"/>
          <w:szCs w:val="24"/>
        </w:rPr>
        <w:t>not solubilised by the addition of a cosolvent</w:t>
      </w:r>
      <w:r w:rsidR="00A83494" w:rsidRPr="0011329B">
        <w:rPr>
          <w:rFonts w:ascii="Times New Roman" w:hAnsi="Times New Roman"/>
          <w:sz w:val="24"/>
          <w:szCs w:val="24"/>
        </w:rPr>
        <w:t>)</w:t>
      </w:r>
      <w:r w:rsidR="004D4A6D" w:rsidRPr="0011329B">
        <w:rPr>
          <w:rFonts w:ascii="Times New Roman" w:hAnsi="Times New Roman"/>
          <w:sz w:val="24"/>
          <w:szCs w:val="24"/>
        </w:rPr>
        <w:t>,</w:t>
      </w:r>
      <w:r w:rsidRPr="0011329B">
        <w:rPr>
          <w:rFonts w:ascii="Times New Roman" w:hAnsi="Times New Roman"/>
          <w:sz w:val="24"/>
          <w:szCs w:val="24"/>
        </w:rPr>
        <w:t xml:space="preserve"> the </w:t>
      </w:r>
      <w:r w:rsidR="00A83494" w:rsidRPr="0011329B">
        <w:rPr>
          <w:rFonts w:ascii="Times New Roman" w:hAnsi="Times New Roman"/>
          <w:sz w:val="24"/>
          <w:szCs w:val="24"/>
        </w:rPr>
        <w:t>nanosuspension</w:t>
      </w:r>
      <w:r w:rsidRPr="0011329B">
        <w:rPr>
          <w:rFonts w:ascii="Times New Roman" w:hAnsi="Times New Roman"/>
          <w:sz w:val="24"/>
          <w:szCs w:val="24"/>
        </w:rPr>
        <w:t xml:space="preserve"> showed faster degradation but greater </w:t>
      </w:r>
      <w:r w:rsidRPr="0011329B">
        <w:rPr>
          <w:rFonts w:ascii="Times New Roman" w:hAnsi="Times New Roman"/>
          <w:i/>
          <w:sz w:val="24"/>
          <w:szCs w:val="24"/>
        </w:rPr>
        <w:t>in vitro</w:t>
      </w:r>
      <w:r w:rsidRPr="0011329B">
        <w:rPr>
          <w:rFonts w:ascii="Times New Roman" w:hAnsi="Times New Roman"/>
          <w:sz w:val="24"/>
          <w:szCs w:val="24"/>
        </w:rPr>
        <w:t xml:space="preserve"> bioaccessibility. The </w:t>
      </w:r>
      <w:r w:rsidRPr="0011329B">
        <w:rPr>
          <w:rFonts w:ascii="Times New Roman" w:hAnsi="Times New Roman"/>
          <w:i/>
          <w:iCs/>
          <w:sz w:val="24"/>
          <w:szCs w:val="24"/>
        </w:rPr>
        <w:t>in vitro</w:t>
      </w:r>
      <w:r w:rsidRPr="0011329B">
        <w:rPr>
          <w:rFonts w:ascii="Times New Roman" w:hAnsi="Times New Roman"/>
          <w:sz w:val="24"/>
          <w:szCs w:val="24"/>
        </w:rPr>
        <w:t xml:space="preserve"> cytotoxicity of unformulated curcumin and </w:t>
      </w:r>
      <w:r w:rsidR="006D05DE" w:rsidRPr="0011329B">
        <w:rPr>
          <w:rFonts w:ascii="Times New Roman" w:hAnsi="Times New Roman"/>
          <w:sz w:val="24"/>
          <w:szCs w:val="24"/>
        </w:rPr>
        <w:t xml:space="preserve">nanosuspensions </w:t>
      </w:r>
      <w:r w:rsidRPr="0011329B">
        <w:rPr>
          <w:rFonts w:ascii="Times New Roman" w:hAnsi="Times New Roman"/>
          <w:sz w:val="24"/>
          <w:szCs w:val="24"/>
        </w:rPr>
        <w:t xml:space="preserve">showed that </w:t>
      </w:r>
      <w:r w:rsidR="006D05DE" w:rsidRPr="0011329B">
        <w:rPr>
          <w:rFonts w:ascii="Times New Roman" w:hAnsi="Times New Roman"/>
          <w:sz w:val="24"/>
          <w:szCs w:val="24"/>
        </w:rPr>
        <w:t xml:space="preserve">nanosuspension </w:t>
      </w:r>
      <w:r w:rsidRPr="0011329B">
        <w:rPr>
          <w:rFonts w:ascii="Times New Roman" w:hAnsi="Times New Roman"/>
          <w:sz w:val="24"/>
          <w:szCs w:val="24"/>
        </w:rPr>
        <w:t xml:space="preserve">reduced the cytotoxicity profile of curcumin. Overall, the studies showed that </w:t>
      </w:r>
      <w:r w:rsidR="006D05DE" w:rsidRPr="0011329B">
        <w:rPr>
          <w:rFonts w:ascii="Times New Roman" w:hAnsi="Times New Roman"/>
          <w:sz w:val="24"/>
          <w:szCs w:val="24"/>
        </w:rPr>
        <w:t xml:space="preserve">nanosuspensions </w:t>
      </w:r>
      <w:r w:rsidRPr="0011329B">
        <w:rPr>
          <w:rFonts w:ascii="Times New Roman" w:hAnsi="Times New Roman"/>
          <w:sz w:val="24"/>
          <w:szCs w:val="24"/>
        </w:rPr>
        <w:t xml:space="preserve">enhanced the physicochemical properties of curcumin such as stability and dissolution rate. </w:t>
      </w:r>
      <w:r w:rsidR="006D05DE" w:rsidRPr="0011329B">
        <w:rPr>
          <w:rFonts w:ascii="Times New Roman" w:hAnsi="Times New Roman"/>
          <w:sz w:val="24"/>
          <w:szCs w:val="24"/>
        </w:rPr>
        <w:t xml:space="preserve">Nanosuspensions </w:t>
      </w:r>
      <w:r w:rsidRPr="0011329B">
        <w:rPr>
          <w:rFonts w:ascii="Times New Roman" w:hAnsi="Times New Roman"/>
          <w:sz w:val="24"/>
          <w:szCs w:val="24"/>
        </w:rPr>
        <w:t>are therefore promising for improving the physicochemical properties of different poorly soluble drugs and enhancing their cytotoxicity profile</w:t>
      </w:r>
      <w:r w:rsidRPr="0011329B">
        <w:rPr>
          <w:rFonts w:ascii="Times New Roman" w:hAnsi="Times New Roman"/>
          <w:bCs/>
          <w:iCs/>
          <w:sz w:val="24"/>
          <w:szCs w:val="24"/>
        </w:rPr>
        <w:t>.</w:t>
      </w:r>
      <w:r w:rsidRPr="0011329B">
        <w:rPr>
          <w:rFonts w:ascii="Times New Roman" w:hAnsi="Times New Roman"/>
          <w:sz w:val="24"/>
          <w:szCs w:val="24"/>
        </w:rPr>
        <w:t xml:space="preserve"> However, more </w:t>
      </w:r>
      <w:r w:rsidRPr="0011329B">
        <w:rPr>
          <w:rFonts w:ascii="Times New Roman" w:hAnsi="Times New Roman"/>
          <w:i/>
          <w:iCs/>
          <w:sz w:val="24"/>
          <w:szCs w:val="24"/>
        </w:rPr>
        <w:t>in vitro</w:t>
      </w:r>
      <w:r w:rsidRPr="0011329B">
        <w:rPr>
          <w:rFonts w:ascii="Times New Roman" w:hAnsi="Times New Roman"/>
          <w:sz w:val="24"/>
          <w:szCs w:val="24"/>
        </w:rPr>
        <w:t xml:space="preserve"> and </w:t>
      </w:r>
      <w:r w:rsidRPr="0011329B">
        <w:rPr>
          <w:rFonts w:ascii="Times New Roman" w:hAnsi="Times New Roman"/>
          <w:i/>
          <w:iCs/>
          <w:sz w:val="24"/>
          <w:szCs w:val="24"/>
        </w:rPr>
        <w:t>in-vivo</w:t>
      </w:r>
      <w:r w:rsidRPr="0011329B">
        <w:rPr>
          <w:rFonts w:ascii="Times New Roman" w:hAnsi="Times New Roman"/>
          <w:sz w:val="24"/>
          <w:szCs w:val="24"/>
        </w:rPr>
        <w:t xml:space="preserve"> studies are still required to provide a full understanding of the biological behaviour of </w:t>
      </w:r>
      <w:r w:rsidR="006D05DE" w:rsidRPr="0011329B">
        <w:rPr>
          <w:rFonts w:ascii="Times New Roman" w:hAnsi="Times New Roman"/>
          <w:sz w:val="24"/>
          <w:szCs w:val="24"/>
        </w:rPr>
        <w:t>curcumin nanosuspensions</w:t>
      </w:r>
      <w:r w:rsidRPr="0011329B">
        <w:rPr>
          <w:rFonts w:ascii="Times New Roman" w:hAnsi="Times New Roman"/>
          <w:sz w:val="24"/>
          <w:szCs w:val="24"/>
        </w:rPr>
        <w:t xml:space="preserve">.  </w:t>
      </w:r>
    </w:p>
    <w:p w14:paraId="2FE9B5B0" w14:textId="77777777" w:rsidR="00BB0F13" w:rsidRPr="0011329B" w:rsidRDefault="00BB0F13" w:rsidP="002F10E8">
      <w:pPr>
        <w:pStyle w:val="RSCB04AHeadingSection"/>
        <w:spacing w:line="360" w:lineRule="auto"/>
        <w:rPr>
          <w:rFonts w:ascii="Times New Roman" w:hAnsi="Times New Roman" w:cs="Times New Roman"/>
          <w:sz w:val="28"/>
          <w:szCs w:val="28"/>
        </w:rPr>
      </w:pPr>
      <w:r w:rsidRPr="0011329B">
        <w:rPr>
          <w:rFonts w:ascii="Times New Roman" w:hAnsi="Times New Roman" w:cs="Times New Roman"/>
          <w:sz w:val="28"/>
          <w:szCs w:val="28"/>
        </w:rPr>
        <w:t>Conflicts of interest</w:t>
      </w:r>
    </w:p>
    <w:p w14:paraId="33EBE4E6" w14:textId="77777777" w:rsidR="00BB0F13" w:rsidRPr="0011329B" w:rsidRDefault="00BB0F13" w:rsidP="002F10E8">
      <w:pPr>
        <w:spacing w:line="360" w:lineRule="auto"/>
        <w:rPr>
          <w:w w:val="108"/>
          <w:lang w:val="en-GB"/>
        </w:rPr>
      </w:pPr>
      <w:r w:rsidRPr="0011329B">
        <w:rPr>
          <w:w w:val="108"/>
          <w:lang w:val="en-GB"/>
        </w:rPr>
        <w:t>There are no conflicts to declare.</w:t>
      </w:r>
    </w:p>
    <w:p w14:paraId="7BB91BBA" w14:textId="77777777" w:rsidR="00BB0F13" w:rsidRPr="0011329B" w:rsidRDefault="00BB0F13" w:rsidP="002F10E8">
      <w:pPr>
        <w:pStyle w:val="RSCB04AHeadingSection"/>
        <w:spacing w:line="360" w:lineRule="auto"/>
        <w:rPr>
          <w:rFonts w:ascii="Times New Roman" w:hAnsi="Times New Roman" w:cs="Times New Roman"/>
          <w:sz w:val="28"/>
          <w:szCs w:val="28"/>
        </w:rPr>
      </w:pPr>
      <w:r w:rsidRPr="0011329B">
        <w:rPr>
          <w:rFonts w:ascii="Times New Roman" w:hAnsi="Times New Roman" w:cs="Times New Roman"/>
          <w:sz w:val="28"/>
          <w:szCs w:val="28"/>
        </w:rPr>
        <w:t>Acknowledgements</w:t>
      </w:r>
    </w:p>
    <w:p w14:paraId="196F91F6" w14:textId="7386B588" w:rsidR="00BB0F13" w:rsidRPr="0011329B" w:rsidRDefault="00BB0F13" w:rsidP="00937D88">
      <w:pPr>
        <w:pStyle w:val="RSCB02ArticleText"/>
        <w:spacing w:line="360" w:lineRule="auto"/>
        <w:rPr>
          <w:rFonts w:ascii="Times New Roman" w:hAnsi="Times New Roman"/>
          <w:sz w:val="24"/>
          <w:szCs w:val="24"/>
        </w:rPr>
      </w:pPr>
      <w:r w:rsidRPr="0011329B">
        <w:rPr>
          <w:rFonts w:ascii="Times New Roman" w:hAnsi="Times New Roman"/>
          <w:sz w:val="24"/>
          <w:szCs w:val="24"/>
        </w:rPr>
        <w:t xml:space="preserve">The authors would like to thank the Department of Chemistry at the University of Liverpool for supporting NME with an International Postgraduate Research Studentship, we also gratefully acknowledge financial support from the EPSRC (Grant Number EP/S012265/1). </w:t>
      </w:r>
    </w:p>
    <w:p w14:paraId="3CC45B02" w14:textId="77777777" w:rsidR="00363DDD" w:rsidRPr="0011329B" w:rsidRDefault="00363DDD" w:rsidP="00937D88">
      <w:pPr>
        <w:pStyle w:val="RSCB02ArticleText"/>
        <w:spacing w:line="360" w:lineRule="auto"/>
        <w:rPr>
          <w:rFonts w:ascii="Times New Roman" w:hAnsi="Times New Roman"/>
          <w:sz w:val="24"/>
          <w:szCs w:val="24"/>
        </w:rPr>
      </w:pPr>
    </w:p>
    <w:p w14:paraId="3C0F330B" w14:textId="77777777" w:rsidR="00BB0F13" w:rsidRPr="0011329B" w:rsidRDefault="00BB0F13" w:rsidP="00937D88">
      <w:pPr>
        <w:pStyle w:val="RSCB04AHeadingSection"/>
        <w:spacing w:line="480" w:lineRule="auto"/>
        <w:rPr>
          <w:rFonts w:ascii="Times New Roman" w:hAnsi="Times New Roman" w:cs="Times New Roman"/>
          <w:sz w:val="28"/>
          <w:szCs w:val="28"/>
        </w:rPr>
      </w:pPr>
      <w:r w:rsidRPr="0011329B">
        <w:rPr>
          <w:rFonts w:ascii="Times New Roman" w:hAnsi="Times New Roman" w:cs="Times New Roman"/>
          <w:sz w:val="28"/>
          <w:szCs w:val="28"/>
        </w:rPr>
        <w:t>References</w:t>
      </w:r>
    </w:p>
    <w:p w14:paraId="4AF97EC2" w14:textId="5E5F5D8C" w:rsidR="00147035" w:rsidRPr="0011329B" w:rsidRDefault="00BB0F13" w:rsidP="00147035">
      <w:pPr>
        <w:widowControl w:val="0"/>
        <w:autoSpaceDE w:val="0"/>
        <w:autoSpaceDN w:val="0"/>
        <w:adjustRightInd w:val="0"/>
        <w:spacing w:line="480" w:lineRule="auto"/>
        <w:ind w:left="640" w:hanging="640"/>
        <w:rPr>
          <w:noProof/>
        </w:rPr>
      </w:pPr>
      <w:r w:rsidRPr="0011329B">
        <w:rPr>
          <w:b/>
          <w:bCs/>
          <w:lang w:val="en-GB"/>
        </w:rPr>
        <w:fldChar w:fldCharType="begin" w:fldLock="1"/>
      </w:r>
      <w:r w:rsidRPr="0011329B">
        <w:rPr>
          <w:b/>
          <w:bCs/>
          <w:lang w:val="en-GB"/>
        </w:rPr>
        <w:instrText xml:space="preserve">ADDIN Mendeley Bibliography CSL_BIBLIOGRAPHY </w:instrText>
      </w:r>
      <w:r w:rsidRPr="0011329B">
        <w:rPr>
          <w:b/>
          <w:bCs/>
          <w:lang w:val="en-GB"/>
        </w:rPr>
        <w:fldChar w:fldCharType="separate"/>
      </w:r>
      <w:r w:rsidR="00147035" w:rsidRPr="0011329B">
        <w:rPr>
          <w:noProof/>
        </w:rPr>
        <w:t>[1]</w:t>
      </w:r>
      <w:r w:rsidR="00147035" w:rsidRPr="0011329B">
        <w:rPr>
          <w:noProof/>
        </w:rPr>
        <w:tab/>
        <w:t xml:space="preserve">J. Park, Anti-carcinogenic properties of curcumin on colorectal cancer, World J. </w:t>
      </w:r>
      <w:r w:rsidR="00147035" w:rsidRPr="0011329B">
        <w:rPr>
          <w:noProof/>
        </w:rPr>
        <w:lastRenderedPageBreak/>
        <w:t>Gastrointest. Oncol. 2 (2010) 169. https://doi.org/10.4251/wjgo.v2.i4.169.</w:t>
      </w:r>
    </w:p>
    <w:p w14:paraId="6080AB6C" w14:textId="77777777" w:rsidR="00147035" w:rsidRPr="0011329B" w:rsidRDefault="00147035" w:rsidP="00147035">
      <w:pPr>
        <w:widowControl w:val="0"/>
        <w:autoSpaceDE w:val="0"/>
        <w:autoSpaceDN w:val="0"/>
        <w:adjustRightInd w:val="0"/>
        <w:spacing w:line="480" w:lineRule="auto"/>
        <w:ind w:left="640" w:hanging="640"/>
        <w:rPr>
          <w:noProof/>
        </w:rPr>
      </w:pPr>
      <w:r w:rsidRPr="0011329B">
        <w:rPr>
          <w:noProof/>
        </w:rPr>
        <w:t>[2]</w:t>
      </w:r>
      <w:r w:rsidRPr="0011329B">
        <w:rPr>
          <w:noProof/>
        </w:rPr>
        <w:tab/>
        <w:t>A. Goel, A.B. Kunnumakkara, B.B. Aggarwal, Curcumin as “Curecumin”: From kitchen to clinic, Biochem. Pharmacol. 75 (2008) 787–809. https://doi.org/10.1016/j.bcp.2007.08.016.</w:t>
      </w:r>
    </w:p>
    <w:p w14:paraId="433D2AFF" w14:textId="77777777" w:rsidR="00147035" w:rsidRPr="0011329B" w:rsidRDefault="00147035" w:rsidP="00147035">
      <w:pPr>
        <w:widowControl w:val="0"/>
        <w:autoSpaceDE w:val="0"/>
        <w:autoSpaceDN w:val="0"/>
        <w:adjustRightInd w:val="0"/>
        <w:spacing w:line="480" w:lineRule="auto"/>
        <w:ind w:left="640" w:hanging="640"/>
        <w:rPr>
          <w:noProof/>
        </w:rPr>
      </w:pPr>
      <w:r w:rsidRPr="0011329B">
        <w:rPr>
          <w:noProof/>
        </w:rPr>
        <w:t>[3]</w:t>
      </w:r>
      <w:r w:rsidRPr="0011329B">
        <w:rPr>
          <w:noProof/>
        </w:rPr>
        <w:tab/>
        <w:t>S. Kalepu, V. Nekkanti, Insoluble drug delivery strategies: Review of recent advances and business prospects, Acta Pharm. Sin. B. 5 (2015) 442–453. https://doi.org/10.1016/j.apsb.2015.07.003.</w:t>
      </w:r>
    </w:p>
    <w:p w14:paraId="1CA74D88" w14:textId="77777777" w:rsidR="00147035" w:rsidRPr="0011329B" w:rsidRDefault="00147035" w:rsidP="00147035">
      <w:pPr>
        <w:widowControl w:val="0"/>
        <w:autoSpaceDE w:val="0"/>
        <w:autoSpaceDN w:val="0"/>
        <w:adjustRightInd w:val="0"/>
        <w:spacing w:line="480" w:lineRule="auto"/>
        <w:ind w:left="640" w:hanging="640"/>
        <w:rPr>
          <w:noProof/>
        </w:rPr>
      </w:pPr>
      <w:r w:rsidRPr="0011329B">
        <w:rPr>
          <w:noProof/>
        </w:rPr>
        <w:t>[4]</w:t>
      </w:r>
      <w:r w:rsidRPr="0011329B">
        <w:rPr>
          <w:noProof/>
        </w:rPr>
        <w:tab/>
        <w:t>V.R. Patel, Y.K. Agrawal, Nanosuspension: An approach to enhance solubility of drugs., J. Adv. Pharm. Technol. Res. 2 (2011) 81–87. https://doi.org/10.4103/2231-4040.82950.</w:t>
      </w:r>
    </w:p>
    <w:p w14:paraId="59562C87" w14:textId="77777777" w:rsidR="00147035" w:rsidRPr="0011329B" w:rsidRDefault="00147035" w:rsidP="00147035">
      <w:pPr>
        <w:widowControl w:val="0"/>
        <w:autoSpaceDE w:val="0"/>
        <w:autoSpaceDN w:val="0"/>
        <w:adjustRightInd w:val="0"/>
        <w:spacing w:line="480" w:lineRule="auto"/>
        <w:ind w:left="640" w:hanging="640"/>
        <w:rPr>
          <w:noProof/>
        </w:rPr>
      </w:pPr>
      <w:r w:rsidRPr="0011329B">
        <w:rPr>
          <w:noProof/>
        </w:rPr>
        <w:t>[5]</w:t>
      </w:r>
      <w:r w:rsidRPr="0011329B">
        <w:rPr>
          <w:noProof/>
        </w:rPr>
        <w:tab/>
        <w:t>Y. Agrawal, V. Patel, Nanosuspension: An approach to enhance solubility of drugs, J. Adv. Pharm. Technol. Res. 2 (2011) 81–87. https://doi.org/10.4103/2231-4040.82950.</w:t>
      </w:r>
    </w:p>
    <w:p w14:paraId="59F713E1" w14:textId="77777777" w:rsidR="00147035" w:rsidRPr="0011329B" w:rsidRDefault="00147035" w:rsidP="00147035">
      <w:pPr>
        <w:widowControl w:val="0"/>
        <w:autoSpaceDE w:val="0"/>
        <w:autoSpaceDN w:val="0"/>
        <w:adjustRightInd w:val="0"/>
        <w:spacing w:line="480" w:lineRule="auto"/>
        <w:ind w:left="640" w:hanging="640"/>
        <w:rPr>
          <w:noProof/>
        </w:rPr>
      </w:pPr>
      <w:r w:rsidRPr="0011329B">
        <w:rPr>
          <w:noProof/>
        </w:rPr>
        <w:t>[6]</w:t>
      </w:r>
      <w:r w:rsidRPr="0011329B">
        <w:rPr>
          <w:noProof/>
        </w:rPr>
        <w:tab/>
        <w:t>P. Udompornmongkol, B.H. Chiang, Curcumin-loaded polymeric nanoparticles for enhanced anti-colorectal cancer applications, J. Biomater. Appl. 30 (2015) 537–546. https://doi.org/10.1177/0885328215594479.</w:t>
      </w:r>
    </w:p>
    <w:p w14:paraId="76C27A99" w14:textId="77777777" w:rsidR="00147035" w:rsidRPr="0011329B" w:rsidRDefault="00147035" w:rsidP="00147035">
      <w:pPr>
        <w:widowControl w:val="0"/>
        <w:autoSpaceDE w:val="0"/>
        <w:autoSpaceDN w:val="0"/>
        <w:adjustRightInd w:val="0"/>
        <w:spacing w:line="480" w:lineRule="auto"/>
        <w:ind w:left="640" w:hanging="640"/>
        <w:rPr>
          <w:noProof/>
        </w:rPr>
      </w:pPr>
      <w:r w:rsidRPr="0011329B">
        <w:rPr>
          <w:noProof/>
        </w:rPr>
        <w:t>[7]</w:t>
      </w:r>
      <w:r w:rsidRPr="0011329B">
        <w:rPr>
          <w:noProof/>
        </w:rPr>
        <w:tab/>
        <w:t>A. Ubeyitogullari, O.N. Ciftci, A novel and green nanoparticle formation approach to forming low-crystallinity curcumin nanoparticles to improve curcumin’s bioaccessibility, Sci. Rep. 9 (2019) 1–11. https://doi.org/10.1038/s41598-019-55619-4.</w:t>
      </w:r>
    </w:p>
    <w:p w14:paraId="1DE633F3" w14:textId="77777777" w:rsidR="00147035" w:rsidRPr="0011329B" w:rsidRDefault="00147035" w:rsidP="00147035">
      <w:pPr>
        <w:widowControl w:val="0"/>
        <w:autoSpaceDE w:val="0"/>
        <w:autoSpaceDN w:val="0"/>
        <w:adjustRightInd w:val="0"/>
        <w:spacing w:line="480" w:lineRule="auto"/>
        <w:ind w:left="640" w:hanging="640"/>
        <w:rPr>
          <w:noProof/>
        </w:rPr>
      </w:pPr>
      <w:r w:rsidRPr="0011329B">
        <w:rPr>
          <w:noProof/>
        </w:rPr>
        <w:t>[8]</w:t>
      </w:r>
      <w:r w:rsidRPr="0011329B">
        <w:rPr>
          <w:noProof/>
        </w:rPr>
        <w:tab/>
        <w:t>X. Gao, F. Zheng, G. Guo, X. Liu, R. Fan, Z.Y. Qian, N. Huang, Y.Q. Wei, Improving the anti-colon cancer activity of curcumin with biodegradable nano-micelles, J. Mater. Chem. B. 1 (2013) 5778–5790. https://doi.org/10.1039/c3tb21091j.</w:t>
      </w:r>
    </w:p>
    <w:p w14:paraId="2363A834" w14:textId="77777777" w:rsidR="00147035" w:rsidRPr="0011329B" w:rsidRDefault="00147035" w:rsidP="00147035">
      <w:pPr>
        <w:widowControl w:val="0"/>
        <w:autoSpaceDE w:val="0"/>
        <w:autoSpaceDN w:val="0"/>
        <w:adjustRightInd w:val="0"/>
        <w:spacing w:line="480" w:lineRule="auto"/>
        <w:ind w:left="640" w:hanging="640"/>
        <w:rPr>
          <w:noProof/>
        </w:rPr>
      </w:pPr>
      <w:r w:rsidRPr="0011329B">
        <w:rPr>
          <w:noProof/>
        </w:rPr>
        <w:t>[9]</w:t>
      </w:r>
      <w:r w:rsidRPr="0011329B">
        <w:rPr>
          <w:noProof/>
        </w:rPr>
        <w:tab/>
        <w:t xml:space="preserve">V.S. Gota, G.B. Maru, T.G. Soni, T.R. Gandhi, Nltin Kochar, M.G. Agarwal, Safety and pharmacokinetics of a solid lipid curcumin particle formulation in osteosarcoma patients and healthy volunteers, J. Agric. Food Chem. 58 (2010) 2095–2099. </w:t>
      </w:r>
      <w:r w:rsidRPr="0011329B">
        <w:rPr>
          <w:noProof/>
        </w:rPr>
        <w:lastRenderedPageBreak/>
        <w:t>https://doi.org/10.1021/jf9024807.</w:t>
      </w:r>
    </w:p>
    <w:p w14:paraId="41388BD6" w14:textId="77777777" w:rsidR="00147035" w:rsidRPr="0011329B" w:rsidRDefault="00147035" w:rsidP="00147035">
      <w:pPr>
        <w:widowControl w:val="0"/>
        <w:autoSpaceDE w:val="0"/>
        <w:autoSpaceDN w:val="0"/>
        <w:adjustRightInd w:val="0"/>
        <w:spacing w:line="480" w:lineRule="auto"/>
        <w:ind w:left="640" w:hanging="640"/>
        <w:rPr>
          <w:noProof/>
        </w:rPr>
      </w:pPr>
      <w:r w:rsidRPr="0011329B">
        <w:rPr>
          <w:noProof/>
        </w:rPr>
        <w:t>[10]</w:t>
      </w:r>
      <w:r w:rsidRPr="0011329B">
        <w:rPr>
          <w:noProof/>
        </w:rPr>
        <w:tab/>
        <w:t>S. Jacob, A.B. Nair, J. Shah, Emerging role of nanosuspensions in drug delivery systems, Biomat Res. 24 (2020) 1–16. https://doi.org/10.1186/s40824-020-0184-8.</w:t>
      </w:r>
    </w:p>
    <w:p w14:paraId="31596C61" w14:textId="77777777" w:rsidR="00147035" w:rsidRPr="0011329B" w:rsidRDefault="00147035" w:rsidP="00147035">
      <w:pPr>
        <w:widowControl w:val="0"/>
        <w:autoSpaceDE w:val="0"/>
        <w:autoSpaceDN w:val="0"/>
        <w:adjustRightInd w:val="0"/>
        <w:spacing w:line="480" w:lineRule="auto"/>
        <w:ind w:left="640" w:hanging="640"/>
        <w:rPr>
          <w:noProof/>
        </w:rPr>
      </w:pPr>
      <w:r w:rsidRPr="0011329B">
        <w:rPr>
          <w:noProof/>
        </w:rPr>
        <w:t>[11]</w:t>
      </w:r>
      <w:r w:rsidRPr="0011329B">
        <w:rPr>
          <w:noProof/>
        </w:rPr>
        <w:tab/>
        <w:t>N. Grant, H. Zhang, Poorly water-soluble drug nanoparticles via an emulsion-freeze-drying approach, J. Colloid Interface Sci. 356 (2011) 573–578. https://doi.org/10.1016/j.jcis.2011.01.056.</w:t>
      </w:r>
    </w:p>
    <w:p w14:paraId="4E9FA4B2" w14:textId="77777777" w:rsidR="00147035" w:rsidRPr="0011329B" w:rsidRDefault="00147035" w:rsidP="00147035">
      <w:pPr>
        <w:widowControl w:val="0"/>
        <w:autoSpaceDE w:val="0"/>
        <w:autoSpaceDN w:val="0"/>
        <w:adjustRightInd w:val="0"/>
        <w:spacing w:line="480" w:lineRule="auto"/>
        <w:ind w:left="640" w:hanging="640"/>
        <w:rPr>
          <w:noProof/>
        </w:rPr>
      </w:pPr>
      <w:r w:rsidRPr="0011329B">
        <w:rPr>
          <w:noProof/>
        </w:rPr>
        <w:t>[12]</w:t>
      </w:r>
      <w:r w:rsidRPr="0011329B">
        <w:rPr>
          <w:noProof/>
        </w:rPr>
        <w:tab/>
        <w:t>M. Siccardi, P. Martin, D. Smith, P. Curley, T. McDonald, M. Giardiello, N. Liptrott, S. Rannard, A. Owen, Towards a rational design of solid drug nanoparticles with optimised pharmacological properties, J. Interdiscip. Nanomedicine. 1 (2016) 110–123. https://doi.org/10.1002/jin2.21.</w:t>
      </w:r>
    </w:p>
    <w:p w14:paraId="5D7E2A3D" w14:textId="77777777" w:rsidR="00147035" w:rsidRPr="0011329B" w:rsidRDefault="00147035" w:rsidP="00147035">
      <w:pPr>
        <w:widowControl w:val="0"/>
        <w:autoSpaceDE w:val="0"/>
        <w:autoSpaceDN w:val="0"/>
        <w:adjustRightInd w:val="0"/>
        <w:spacing w:line="480" w:lineRule="auto"/>
        <w:ind w:left="640" w:hanging="640"/>
        <w:rPr>
          <w:noProof/>
        </w:rPr>
      </w:pPr>
      <w:r w:rsidRPr="0011329B">
        <w:rPr>
          <w:noProof/>
        </w:rPr>
        <w:t>[13]</w:t>
      </w:r>
      <w:r w:rsidRPr="0011329B">
        <w:rPr>
          <w:noProof/>
        </w:rPr>
        <w:tab/>
        <w:t>A.C. Savage, L.M. Tatham, M. Siccardi, T. Scott, M. Vourvahis, A. Clark, S.P. Rannard, A. Owen, Improving maraviroc oral bioavailability by formation of solid drug nanoparticles, Eur. J. Pharm. Biopharm. 138 (2019) 30–36. https://doi.org/10.1016/j.ejpb.2018.05.015.</w:t>
      </w:r>
    </w:p>
    <w:p w14:paraId="4C273D60" w14:textId="77777777" w:rsidR="00147035" w:rsidRPr="0011329B" w:rsidRDefault="00147035" w:rsidP="00147035">
      <w:pPr>
        <w:widowControl w:val="0"/>
        <w:autoSpaceDE w:val="0"/>
        <w:autoSpaceDN w:val="0"/>
        <w:adjustRightInd w:val="0"/>
        <w:spacing w:line="480" w:lineRule="auto"/>
        <w:ind w:left="640" w:hanging="640"/>
        <w:rPr>
          <w:noProof/>
        </w:rPr>
      </w:pPr>
      <w:r w:rsidRPr="0011329B">
        <w:rPr>
          <w:noProof/>
        </w:rPr>
        <w:t>[14]</w:t>
      </w:r>
      <w:r w:rsidRPr="0011329B">
        <w:rPr>
          <w:noProof/>
        </w:rPr>
        <w:tab/>
        <w:t>M. Giardiello, N.J. Liptrott, T.O. McDonald, D. Moss, M. Siccardi, P. Martin, D. Smith, R. Gurjar, S.P. Rannard, A. Owen, Accelerated oral nanomedicine discovery from miniaturized screening to clinical production exemplified by paediatric HIV nanotherapies, Nat. Commun. 7 (2016) 13184. https://doi.org/10.1038/ncomms13184.</w:t>
      </w:r>
    </w:p>
    <w:p w14:paraId="186A7633" w14:textId="77777777" w:rsidR="00147035" w:rsidRPr="0011329B" w:rsidRDefault="00147035" w:rsidP="00147035">
      <w:pPr>
        <w:widowControl w:val="0"/>
        <w:autoSpaceDE w:val="0"/>
        <w:autoSpaceDN w:val="0"/>
        <w:adjustRightInd w:val="0"/>
        <w:spacing w:line="480" w:lineRule="auto"/>
        <w:ind w:left="640" w:hanging="640"/>
        <w:rPr>
          <w:noProof/>
        </w:rPr>
      </w:pPr>
      <w:r w:rsidRPr="0011329B">
        <w:rPr>
          <w:noProof/>
        </w:rPr>
        <w:t>[15]</w:t>
      </w:r>
      <w:r w:rsidRPr="0011329B">
        <w:rPr>
          <w:noProof/>
        </w:rPr>
        <w:tab/>
        <w:t>T.O. McDonald, M. Giardiello, P. Martin, M. Siccardi, N.J. Liptrott, D. Smith, P. Roberts, P. Curley, A. Schipani, S.H. Khoo, J. Long, A.J. Foster, S.P. Rannard, A. Owen, Antiretroviral Solid Drug Nanoparticles with Enhanced Oral Bioavailability: Production, Characterization, and In Vitro-In Vivo Correlation, Adv. Healthc. Mater. 3 (2014) 400–411. https://doi.org/10.1002/adhm.201300280.</w:t>
      </w:r>
    </w:p>
    <w:p w14:paraId="474552B3" w14:textId="77777777" w:rsidR="00147035" w:rsidRPr="0011329B" w:rsidRDefault="00147035" w:rsidP="00147035">
      <w:pPr>
        <w:widowControl w:val="0"/>
        <w:autoSpaceDE w:val="0"/>
        <w:autoSpaceDN w:val="0"/>
        <w:adjustRightInd w:val="0"/>
        <w:spacing w:line="480" w:lineRule="auto"/>
        <w:ind w:left="640" w:hanging="640"/>
        <w:rPr>
          <w:noProof/>
        </w:rPr>
      </w:pPr>
      <w:r w:rsidRPr="0011329B">
        <w:rPr>
          <w:noProof/>
        </w:rPr>
        <w:lastRenderedPageBreak/>
        <w:t>[16]</w:t>
      </w:r>
      <w:r w:rsidRPr="0011329B">
        <w:rPr>
          <w:noProof/>
        </w:rPr>
        <w:tab/>
        <w:t>H. Zhang, D. Wang, R. Butler, N.L. Campbell, J. Long, B. Tan, D.J. Duncalf, A.J. Foster, A. Hopkinson, D. Taylor, D. Angus, A.I. Cooper, S.P. Rannard, Formation and enhanced biocidal activity of water-dispersable organic nanoparticles, Nat. Nanotechnol. 3 (2008) 506–511. https://doi.org/10.1038/nnano.2008.188.</w:t>
      </w:r>
    </w:p>
    <w:p w14:paraId="49828481" w14:textId="77777777" w:rsidR="00147035" w:rsidRPr="0011329B" w:rsidRDefault="00147035" w:rsidP="00147035">
      <w:pPr>
        <w:widowControl w:val="0"/>
        <w:autoSpaceDE w:val="0"/>
        <w:autoSpaceDN w:val="0"/>
        <w:adjustRightInd w:val="0"/>
        <w:spacing w:line="480" w:lineRule="auto"/>
        <w:ind w:left="640" w:hanging="640"/>
        <w:rPr>
          <w:noProof/>
        </w:rPr>
      </w:pPr>
      <w:r w:rsidRPr="0011329B">
        <w:rPr>
          <w:noProof/>
        </w:rPr>
        <w:t>[17]</w:t>
      </w:r>
      <w:r w:rsidRPr="0011329B">
        <w:rPr>
          <w:noProof/>
        </w:rPr>
        <w:tab/>
        <w:t>R.P. Bakshi, L.M. Tatham, A.C. Savage, A.K. Tripathi, G. Mlambo, M.M. Ippolito, E. Nenortas, S.P. Rannard, A. Owen, T.A. Shapiro, Long-acting injectable atovaquone nanomedicines for malaria prophylaxis, Nat. Commun. 9 (2018) 315. https://doi.org/10.1038/s41467-017-02603-z.</w:t>
      </w:r>
    </w:p>
    <w:p w14:paraId="2F221CC9" w14:textId="77777777" w:rsidR="00147035" w:rsidRPr="0011329B" w:rsidRDefault="00147035" w:rsidP="00147035">
      <w:pPr>
        <w:widowControl w:val="0"/>
        <w:autoSpaceDE w:val="0"/>
        <w:autoSpaceDN w:val="0"/>
        <w:adjustRightInd w:val="0"/>
        <w:spacing w:line="480" w:lineRule="auto"/>
        <w:ind w:left="640" w:hanging="640"/>
        <w:rPr>
          <w:noProof/>
        </w:rPr>
      </w:pPr>
      <w:r w:rsidRPr="0011329B">
        <w:rPr>
          <w:noProof/>
        </w:rPr>
        <w:t>[18]</w:t>
      </w:r>
      <w:r w:rsidRPr="0011329B">
        <w:rPr>
          <w:noProof/>
        </w:rPr>
        <w:tab/>
        <w:t>Y. Wang, C. Wang, J. Zhao, Y. Ding, L. Li, A cost-effective method to prepare curcumin nanosuspensions with enhanced oral bioavailability, J. Colloid Interface Sci. 485 (2017) 91–98. https://doi.org/10.1016/j.jcis.2016.09.003.</w:t>
      </w:r>
    </w:p>
    <w:p w14:paraId="4AB70F47" w14:textId="77777777" w:rsidR="00147035" w:rsidRPr="0011329B" w:rsidRDefault="00147035" w:rsidP="00147035">
      <w:pPr>
        <w:widowControl w:val="0"/>
        <w:autoSpaceDE w:val="0"/>
        <w:autoSpaceDN w:val="0"/>
        <w:adjustRightInd w:val="0"/>
        <w:spacing w:line="480" w:lineRule="auto"/>
        <w:ind w:left="640" w:hanging="640"/>
        <w:rPr>
          <w:noProof/>
        </w:rPr>
      </w:pPr>
      <w:r w:rsidRPr="0011329B">
        <w:rPr>
          <w:noProof/>
        </w:rPr>
        <w:t>[19]</w:t>
      </w:r>
      <w:r w:rsidRPr="0011329B">
        <w:rPr>
          <w:noProof/>
        </w:rPr>
        <w:tab/>
        <w:t>S.D.S. Hirlekar, S. Bhairy, S. Bhairy, R. Hirlekar, R. Hirlekar, Preparation and characterization of Oral Nanosuspension loaded with Curcumin, Int. J. Pharm. Pharm. Sci. 10 (2018) 90–95. https://doi.org/10.22159/ijpps.2018v10i6.22027.</w:t>
      </w:r>
    </w:p>
    <w:p w14:paraId="6BD202D6" w14:textId="77777777" w:rsidR="00147035" w:rsidRPr="0011329B" w:rsidRDefault="00147035" w:rsidP="00147035">
      <w:pPr>
        <w:widowControl w:val="0"/>
        <w:autoSpaceDE w:val="0"/>
        <w:autoSpaceDN w:val="0"/>
        <w:adjustRightInd w:val="0"/>
        <w:spacing w:line="480" w:lineRule="auto"/>
        <w:ind w:left="640" w:hanging="640"/>
        <w:rPr>
          <w:noProof/>
        </w:rPr>
      </w:pPr>
      <w:r w:rsidRPr="0011329B">
        <w:rPr>
          <w:noProof/>
        </w:rPr>
        <w:t>[20]</w:t>
      </w:r>
      <w:r w:rsidRPr="0011329B">
        <w:rPr>
          <w:noProof/>
        </w:rPr>
        <w:tab/>
        <w:t>S. Peng, Z. Li, L. Zou, W. Liu, C. Liu, D.J. McClements, Enhancement of Curcumin Bioavailability by Encapsulation in Sophorolipid-Coated Nanoparticles: An in Vitro and in Vivo Study, J. Agric. Food Chem. 66 (2018) 1488–1497. https://doi.org/10.1021/acs.jafc.7b05478.</w:t>
      </w:r>
    </w:p>
    <w:p w14:paraId="72C3C918" w14:textId="77777777" w:rsidR="00147035" w:rsidRPr="0011329B" w:rsidRDefault="00147035" w:rsidP="00147035">
      <w:pPr>
        <w:widowControl w:val="0"/>
        <w:autoSpaceDE w:val="0"/>
        <w:autoSpaceDN w:val="0"/>
        <w:adjustRightInd w:val="0"/>
        <w:spacing w:line="480" w:lineRule="auto"/>
        <w:ind w:left="640" w:hanging="640"/>
        <w:rPr>
          <w:noProof/>
        </w:rPr>
      </w:pPr>
      <w:r w:rsidRPr="0011329B">
        <w:rPr>
          <w:noProof/>
        </w:rPr>
        <w:t>[21]</w:t>
      </w:r>
      <w:r w:rsidRPr="0011329B">
        <w:rPr>
          <w:noProof/>
        </w:rPr>
        <w:tab/>
        <w:t>M.K. Lee, M.Y. Kim, S. Kim, J. Lee, Cryoprotectants for freeze drying of drug nano-suspensions: Effect of freezing rate, J. Pharm. Sci. 98 (2009) 4808–4817. https://doi.org/10.1002/jps.21786.</w:t>
      </w:r>
    </w:p>
    <w:p w14:paraId="5C069993" w14:textId="77777777" w:rsidR="00147035" w:rsidRPr="0011329B" w:rsidRDefault="00147035" w:rsidP="00147035">
      <w:pPr>
        <w:widowControl w:val="0"/>
        <w:autoSpaceDE w:val="0"/>
        <w:autoSpaceDN w:val="0"/>
        <w:adjustRightInd w:val="0"/>
        <w:spacing w:line="480" w:lineRule="auto"/>
        <w:ind w:left="640" w:hanging="640"/>
        <w:rPr>
          <w:noProof/>
        </w:rPr>
      </w:pPr>
      <w:r w:rsidRPr="0011329B">
        <w:rPr>
          <w:noProof/>
        </w:rPr>
        <w:t>[22]</w:t>
      </w:r>
      <w:r w:rsidRPr="0011329B">
        <w:rPr>
          <w:noProof/>
        </w:rPr>
        <w:tab/>
        <w:t xml:space="preserve">M.A. Moretton, D.A. Chiappetta, A. Sosnik, Cryoprotection–lyophilization and physical stabilization of rifampicin-loaded flower-like polymeric micelles, J. R. Soc. Interface. 9 </w:t>
      </w:r>
      <w:r w:rsidRPr="0011329B">
        <w:rPr>
          <w:noProof/>
        </w:rPr>
        <w:lastRenderedPageBreak/>
        <w:t>(2012) 487–502. https://doi.org/10.1098/rsif.2011.0414.</w:t>
      </w:r>
    </w:p>
    <w:p w14:paraId="043E7FFC" w14:textId="77777777" w:rsidR="00147035" w:rsidRPr="0011329B" w:rsidRDefault="00147035" w:rsidP="00147035">
      <w:pPr>
        <w:widowControl w:val="0"/>
        <w:autoSpaceDE w:val="0"/>
        <w:autoSpaceDN w:val="0"/>
        <w:adjustRightInd w:val="0"/>
        <w:spacing w:line="480" w:lineRule="auto"/>
        <w:ind w:left="640" w:hanging="640"/>
        <w:rPr>
          <w:noProof/>
        </w:rPr>
      </w:pPr>
      <w:r w:rsidRPr="0011329B">
        <w:rPr>
          <w:noProof/>
        </w:rPr>
        <w:t>[23]</w:t>
      </w:r>
      <w:r w:rsidRPr="0011329B">
        <w:rPr>
          <w:noProof/>
        </w:rPr>
        <w:tab/>
        <w:t>J.L. Min Kyung Lee, Min Young Kim, Sujung Kim, Cryoprotectants for freeze drying of drug nano-suspensions: Effect of freezing rate, J. Pharm. Sci. 98 (2009) 4808–4817.</w:t>
      </w:r>
    </w:p>
    <w:p w14:paraId="6CC0A961" w14:textId="77777777" w:rsidR="00147035" w:rsidRPr="0011329B" w:rsidRDefault="00147035" w:rsidP="00147035">
      <w:pPr>
        <w:widowControl w:val="0"/>
        <w:autoSpaceDE w:val="0"/>
        <w:autoSpaceDN w:val="0"/>
        <w:adjustRightInd w:val="0"/>
        <w:spacing w:line="480" w:lineRule="auto"/>
        <w:ind w:left="640" w:hanging="640"/>
        <w:rPr>
          <w:noProof/>
        </w:rPr>
      </w:pPr>
      <w:r w:rsidRPr="0011329B">
        <w:rPr>
          <w:noProof/>
        </w:rPr>
        <w:t>[24]</w:t>
      </w:r>
      <w:r w:rsidRPr="0011329B">
        <w:rPr>
          <w:noProof/>
        </w:rPr>
        <w:tab/>
        <w:t>W.-H. Lee, C.-Y. Loo, M. Bebawy, F. Luk, R. Mason, R. Rohanizadeh, Curcumin and its Derivatives: Their Application in Neuropharmacology and Neuroscience in the 21st Century, Curr. Neuropharmaco. 11 (2013) 338–378. https://doi.org/10.2174/1570159x11311040002.</w:t>
      </w:r>
    </w:p>
    <w:p w14:paraId="362EEF57" w14:textId="77777777" w:rsidR="00147035" w:rsidRPr="0011329B" w:rsidRDefault="00147035" w:rsidP="00147035">
      <w:pPr>
        <w:widowControl w:val="0"/>
        <w:autoSpaceDE w:val="0"/>
        <w:autoSpaceDN w:val="0"/>
        <w:adjustRightInd w:val="0"/>
        <w:spacing w:line="480" w:lineRule="auto"/>
        <w:ind w:left="640" w:hanging="640"/>
        <w:rPr>
          <w:noProof/>
        </w:rPr>
      </w:pPr>
      <w:r w:rsidRPr="0011329B">
        <w:rPr>
          <w:noProof/>
        </w:rPr>
        <w:t>[25]</w:t>
      </w:r>
      <w:r w:rsidRPr="0011329B">
        <w:rPr>
          <w:noProof/>
        </w:rPr>
        <w:tab/>
        <w:t>S. Manimaran, K. SambathKumar, R. Gayathri, K. Raja, N. Rajkamal, M. Venkatachalapathy, G. Ravichandran, C. Lourdu EdisonRaj, Medicinal Plant Using Ground State Stabilization of Natural Antioxidant Curcumin by Keto-Enol Tautomerisation, Nat. Products Bioprospect. 8 (2018) 369–390. https://doi.org/10.1007/s13659-018-0170-1.</w:t>
      </w:r>
    </w:p>
    <w:p w14:paraId="41A0B53F" w14:textId="77777777" w:rsidR="00147035" w:rsidRPr="0011329B" w:rsidRDefault="00147035" w:rsidP="00147035">
      <w:pPr>
        <w:widowControl w:val="0"/>
        <w:autoSpaceDE w:val="0"/>
        <w:autoSpaceDN w:val="0"/>
        <w:adjustRightInd w:val="0"/>
        <w:spacing w:line="480" w:lineRule="auto"/>
        <w:ind w:left="640" w:hanging="640"/>
        <w:rPr>
          <w:noProof/>
        </w:rPr>
      </w:pPr>
      <w:r w:rsidRPr="0011329B">
        <w:rPr>
          <w:noProof/>
        </w:rPr>
        <w:t>[26]</w:t>
      </w:r>
      <w:r w:rsidRPr="0011329B">
        <w:rPr>
          <w:noProof/>
        </w:rPr>
        <w:tab/>
        <w:t>T. Heinze, T. Liebert, B. Heublein, S. Hornig, Functional polymers based on dextran, Adv. Polym. Sci. 205 (2006) 199–291. https://doi.org/10.1007/12_100.</w:t>
      </w:r>
    </w:p>
    <w:p w14:paraId="4D560728" w14:textId="77777777" w:rsidR="00147035" w:rsidRPr="0011329B" w:rsidRDefault="00147035" w:rsidP="00147035">
      <w:pPr>
        <w:widowControl w:val="0"/>
        <w:autoSpaceDE w:val="0"/>
        <w:autoSpaceDN w:val="0"/>
        <w:adjustRightInd w:val="0"/>
        <w:spacing w:line="480" w:lineRule="auto"/>
        <w:ind w:left="640" w:hanging="640"/>
        <w:rPr>
          <w:noProof/>
        </w:rPr>
      </w:pPr>
      <w:r w:rsidRPr="0011329B">
        <w:rPr>
          <w:noProof/>
        </w:rPr>
        <w:t>[27]</w:t>
      </w:r>
      <w:r w:rsidRPr="0011329B">
        <w:rPr>
          <w:noProof/>
        </w:rPr>
        <w:tab/>
        <w:t>S. Lowe, N.M. O’Brien-Simpson, L.A. Connal, Antibiofouling polymer interfaces: Poly(ethylene glycol) and other promising candidates, Polym. Chem. 6 (2015) 198–212. https://doi.org/10.1039/c4py01356e.</w:t>
      </w:r>
    </w:p>
    <w:p w14:paraId="785D5821" w14:textId="77777777" w:rsidR="00147035" w:rsidRPr="0011329B" w:rsidRDefault="00147035" w:rsidP="00147035">
      <w:pPr>
        <w:widowControl w:val="0"/>
        <w:autoSpaceDE w:val="0"/>
        <w:autoSpaceDN w:val="0"/>
        <w:adjustRightInd w:val="0"/>
        <w:spacing w:line="480" w:lineRule="auto"/>
        <w:ind w:left="640" w:hanging="640"/>
        <w:rPr>
          <w:noProof/>
        </w:rPr>
      </w:pPr>
      <w:r w:rsidRPr="0011329B">
        <w:rPr>
          <w:noProof/>
        </w:rPr>
        <w:t>[28]</w:t>
      </w:r>
      <w:r w:rsidRPr="0011329B">
        <w:rPr>
          <w:noProof/>
        </w:rPr>
        <w:tab/>
        <w:t>A.A. D’souza, R. Shegokar, Polyethylene glycol (PEG): a versatile polymer for pharmaceutical applications, Expert Opin. Drug Deliv. 13 (2016) 1257–1275. https://doi.org/10.1080/17425247.2016.1182485.</w:t>
      </w:r>
    </w:p>
    <w:p w14:paraId="300AD895" w14:textId="77777777" w:rsidR="00147035" w:rsidRPr="0011329B" w:rsidRDefault="00147035" w:rsidP="00147035">
      <w:pPr>
        <w:widowControl w:val="0"/>
        <w:autoSpaceDE w:val="0"/>
        <w:autoSpaceDN w:val="0"/>
        <w:adjustRightInd w:val="0"/>
        <w:spacing w:line="480" w:lineRule="auto"/>
        <w:ind w:left="640" w:hanging="640"/>
        <w:rPr>
          <w:noProof/>
        </w:rPr>
      </w:pPr>
      <w:r w:rsidRPr="0011329B">
        <w:rPr>
          <w:noProof/>
        </w:rPr>
        <w:t>[29]</w:t>
      </w:r>
      <w:r w:rsidRPr="0011329B">
        <w:rPr>
          <w:noProof/>
        </w:rPr>
        <w:tab/>
        <w:t xml:space="preserve">G. Dékány, I. Csóka, I. Erös, Adsorption of neutral polymers on negatively charged liposomes. A novel quantitative method to measure the rate of polymer adsorption on the liposomal surface, Colloid Polym. Sci. 279 (2001) 966–975. </w:t>
      </w:r>
      <w:r w:rsidRPr="0011329B">
        <w:rPr>
          <w:noProof/>
        </w:rPr>
        <w:lastRenderedPageBreak/>
        <w:t>https://doi.org/10.1007/s003960100528.</w:t>
      </w:r>
    </w:p>
    <w:p w14:paraId="2B23A9DE" w14:textId="77777777" w:rsidR="00147035" w:rsidRPr="0011329B" w:rsidRDefault="00147035" w:rsidP="00147035">
      <w:pPr>
        <w:widowControl w:val="0"/>
        <w:autoSpaceDE w:val="0"/>
        <w:autoSpaceDN w:val="0"/>
        <w:adjustRightInd w:val="0"/>
        <w:spacing w:line="480" w:lineRule="auto"/>
        <w:ind w:left="640" w:hanging="640"/>
        <w:rPr>
          <w:noProof/>
        </w:rPr>
      </w:pPr>
      <w:r w:rsidRPr="0011329B">
        <w:rPr>
          <w:noProof/>
        </w:rPr>
        <w:t>[30]</w:t>
      </w:r>
      <w:r w:rsidRPr="0011329B">
        <w:rPr>
          <w:noProof/>
        </w:rPr>
        <w:tab/>
        <w:t>Y. Wang, Y. Zheng, L. Zhang, Q. Wang, D. Zhang, Stability of nanosuspensions in drug delivery, J.Controlled Release. 172 (2013) 1126–1141. https://doi.org/10.1016/J.JCONREL.2013.08.006.</w:t>
      </w:r>
    </w:p>
    <w:p w14:paraId="1238660B" w14:textId="77777777" w:rsidR="00147035" w:rsidRPr="0011329B" w:rsidRDefault="00147035" w:rsidP="00147035">
      <w:pPr>
        <w:widowControl w:val="0"/>
        <w:autoSpaceDE w:val="0"/>
        <w:autoSpaceDN w:val="0"/>
        <w:adjustRightInd w:val="0"/>
        <w:spacing w:line="480" w:lineRule="auto"/>
        <w:ind w:left="640" w:hanging="640"/>
        <w:rPr>
          <w:noProof/>
        </w:rPr>
      </w:pPr>
      <w:r w:rsidRPr="0011329B">
        <w:rPr>
          <w:noProof/>
        </w:rPr>
        <w:t>[31]</w:t>
      </w:r>
      <w:r w:rsidRPr="0011329B">
        <w:rPr>
          <w:noProof/>
        </w:rPr>
        <w:tab/>
        <w:t>R. Wang, V.S. Murali, R. Draper, Detecting sonolysis of polyethylene glycol upon functionalizing carbon nanotubes, in: Methods Mol. Biol., Humana Press Inc., 2017: pp. 147–164. https://doi.org/10.1007/978-1-4939-6646-2_10.</w:t>
      </w:r>
    </w:p>
    <w:p w14:paraId="18AF76E9" w14:textId="77777777" w:rsidR="00147035" w:rsidRPr="0011329B" w:rsidRDefault="00147035" w:rsidP="00147035">
      <w:pPr>
        <w:widowControl w:val="0"/>
        <w:autoSpaceDE w:val="0"/>
        <w:autoSpaceDN w:val="0"/>
        <w:adjustRightInd w:val="0"/>
        <w:spacing w:line="480" w:lineRule="auto"/>
        <w:ind w:left="640" w:hanging="640"/>
        <w:rPr>
          <w:noProof/>
        </w:rPr>
      </w:pPr>
      <w:r w:rsidRPr="0011329B">
        <w:rPr>
          <w:noProof/>
        </w:rPr>
        <w:t>[32]</w:t>
      </w:r>
      <w:r w:rsidRPr="0011329B">
        <w:rPr>
          <w:noProof/>
        </w:rPr>
        <w:tab/>
        <w:t>J. Zhang, Z. Xie, N. Zhang, J. Zhong, Nanosuspension drug delivery system: preparation, characterization, postproduction processing, dosage form, and application, in: Nanostructures Drug Deliv., 2017: pp. 413–443.</w:t>
      </w:r>
    </w:p>
    <w:p w14:paraId="1E7183FD" w14:textId="77777777" w:rsidR="00147035" w:rsidRPr="0011329B" w:rsidRDefault="00147035" w:rsidP="00147035">
      <w:pPr>
        <w:widowControl w:val="0"/>
        <w:autoSpaceDE w:val="0"/>
        <w:autoSpaceDN w:val="0"/>
        <w:adjustRightInd w:val="0"/>
        <w:spacing w:line="480" w:lineRule="auto"/>
        <w:ind w:left="640" w:hanging="640"/>
        <w:rPr>
          <w:noProof/>
        </w:rPr>
      </w:pPr>
      <w:r w:rsidRPr="0011329B">
        <w:rPr>
          <w:noProof/>
        </w:rPr>
        <w:t>[33]</w:t>
      </w:r>
      <w:r w:rsidRPr="0011329B">
        <w:rPr>
          <w:noProof/>
        </w:rPr>
        <w:tab/>
        <w:t>Nanosuspensions : A Novel Approach In Drug Delivery, Pharm. Rev. (2008) 1–11. https://www.researchgate.net/publication/26575865_Nanosuspensions_A_Novel_Approach_In_Drug_Delivery (accessed April 30, 2020).</w:t>
      </w:r>
    </w:p>
    <w:p w14:paraId="03E1555C" w14:textId="77777777" w:rsidR="00147035" w:rsidRPr="0011329B" w:rsidRDefault="00147035" w:rsidP="00147035">
      <w:pPr>
        <w:widowControl w:val="0"/>
        <w:autoSpaceDE w:val="0"/>
        <w:autoSpaceDN w:val="0"/>
        <w:adjustRightInd w:val="0"/>
        <w:spacing w:line="480" w:lineRule="auto"/>
        <w:ind w:left="640" w:hanging="640"/>
        <w:rPr>
          <w:noProof/>
        </w:rPr>
      </w:pPr>
      <w:r w:rsidRPr="0011329B">
        <w:rPr>
          <w:noProof/>
        </w:rPr>
        <w:t>[34]</w:t>
      </w:r>
      <w:r w:rsidRPr="0011329B">
        <w:rPr>
          <w:noProof/>
        </w:rPr>
        <w:tab/>
        <w:t xml:space="preserve">X. Li, H. Yuan, C. Zhang, W. Chen, W. Cheng, X. Chen, X. Ye, Preparation and </w:t>
      </w:r>
      <w:r w:rsidRPr="0011329B">
        <w:rPr>
          <w:i/>
          <w:iCs/>
          <w:noProof/>
        </w:rPr>
        <w:t>in-vitro</w:t>
      </w:r>
      <w:r w:rsidRPr="0011329B">
        <w:rPr>
          <w:noProof/>
        </w:rPr>
        <w:t xml:space="preserve"> / </w:t>
      </w:r>
      <w:r w:rsidRPr="0011329B">
        <w:rPr>
          <w:i/>
          <w:iCs/>
          <w:noProof/>
        </w:rPr>
        <w:t>in-vivo</w:t>
      </w:r>
      <w:r w:rsidRPr="0011329B">
        <w:rPr>
          <w:noProof/>
        </w:rPr>
        <w:t xml:space="preserve"> evaluation of curcumin nanosuspension with solubility enhancement, J. Pharm. Pharmacol. 68 (2016) 980–988. https://doi.org/10.1111/jphp.12575.</w:t>
      </w:r>
    </w:p>
    <w:p w14:paraId="769452BB" w14:textId="77777777" w:rsidR="00147035" w:rsidRPr="0011329B" w:rsidRDefault="00147035" w:rsidP="00147035">
      <w:pPr>
        <w:widowControl w:val="0"/>
        <w:autoSpaceDE w:val="0"/>
        <w:autoSpaceDN w:val="0"/>
        <w:adjustRightInd w:val="0"/>
        <w:spacing w:line="480" w:lineRule="auto"/>
        <w:ind w:left="640" w:hanging="640"/>
        <w:rPr>
          <w:noProof/>
        </w:rPr>
      </w:pPr>
      <w:r w:rsidRPr="0011329B">
        <w:rPr>
          <w:noProof/>
        </w:rPr>
        <w:t>[35]</w:t>
      </w:r>
      <w:r w:rsidRPr="0011329B">
        <w:rPr>
          <w:noProof/>
        </w:rPr>
        <w:tab/>
        <w:t>A. Sattar, D. Chen, L. Jiang, Y. Pan, Y. Tao, L. Huang, Z. Liu, S. Xie, Z. Yuan, Preparation, characterization and pharmacokinetics of cyadox nanosuspension, Sci Rep. 7 (2017) 1–9. https://doi.org/10.1038/s41598-017-02523-4.</w:t>
      </w:r>
    </w:p>
    <w:p w14:paraId="3336C57F" w14:textId="77777777" w:rsidR="00147035" w:rsidRPr="0011329B" w:rsidRDefault="00147035" w:rsidP="00147035">
      <w:pPr>
        <w:widowControl w:val="0"/>
        <w:autoSpaceDE w:val="0"/>
        <w:autoSpaceDN w:val="0"/>
        <w:adjustRightInd w:val="0"/>
        <w:spacing w:line="480" w:lineRule="auto"/>
        <w:ind w:left="640" w:hanging="640"/>
        <w:rPr>
          <w:noProof/>
        </w:rPr>
      </w:pPr>
      <w:r w:rsidRPr="0011329B">
        <w:rPr>
          <w:noProof/>
        </w:rPr>
        <w:t>[36]</w:t>
      </w:r>
      <w:r w:rsidRPr="0011329B">
        <w:rPr>
          <w:noProof/>
        </w:rPr>
        <w:tab/>
        <w:t>M. Luangtana-Anan, J. Nunthanid, S. Limmatvapirat, Effect of molecular weight and concentration of polyethylene glycol on physicochemical properties and stability of shellac film, J. Agric. Food Chem. 58 (2010) 12934–12940. https://doi.org/10.1021/jf1031026.</w:t>
      </w:r>
    </w:p>
    <w:p w14:paraId="574372D3" w14:textId="77777777" w:rsidR="00147035" w:rsidRPr="0011329B" w:rsidRDefault="00147035" w:rsidP="00147035">
      <w:pPr>
        <w:widowControl w:val="0"/>
        <w:autoSpaceDE w:val="0"/>
        <w:autoSpaceDN w:val="0"/>
        <w:adjustRightInd w:val="0"/>
        <w:spacing w:line="480" w:lineRule="auto"/>
        <w:ind w:left="640" w:hanging="640"/>
        <w:rPr>
          <w:noProof/>
        </w:rPr>
      </w:pPr>
      <w:r w:rsidRPr="0011329B">
        <w:rPr>
          <w:noProof/>
        </w:rPr>
        <w:lastRenderedPageBreak/>
        <w:t>[37]</w:t>
      </w:r>
      <w:r w:rsidRPr="0011329B">
        <w:rPr>
          <w:noProof/>
        </w:rPr>
        <w:tab/>
        <w:t>J. Li, Y. Jiang, J. Wen, G. Fan, Y. Wu, C. Zhang, A rapid and simple HPLC method for the determination of curcumin in rat plasma: assay development, validation and application to a pharmacokinetic study of curcumin liposome Quantitation of curcumin in rat plasma, Biomed. Chromatogr. 23 (2009) 1201–1207. https://doi.org/10.1002/bmc.1244.</w:t>
      </w:r>
    </w:p>
    <w:p w14:paraId="5198F2C0" w14:textId="77777777" w:rsidR="00147035" w:rsidRPr="0011329B" w:rsidRDefault="00147035" w:rsidP="00147035">
      <w:pPr>
        <w:widowControl w:val="0"/>
        <w:autoSpaceDE w:val="0"/>
        <w:autoSpaceDN w:val="0"/>
        <w:adjustRightInd w:val="0"/>
        <w:spacing w:line="480" w:lineRule="auto"/>
        <w:ind w:left="640" w:hanging="640"/>
        <w:rPr>
          <w:noProof/>
        </w:rPr>
      </w:pPr>
      <w:r w:rsidRPr="0011329B">
        <w:rPr>
          <w:noProof/>
        </w:rPr>
        <w:t>[38]</w:t>
      </w:r>
      <w:r w:rsidRPr="0011329B">
        <w:rPr>
          <w:noProof/>
        </w:rPr>
        <w:tab/>
        <w:t>Y.J. Wang, M.H. Pan, A.L. Cheng, L.I. Lin, Y.S. Ho, C.Y. Hsieh, J.K. Lin, Stability of curcumin in buffer solutions and characterization of its degradation products, J. Pharm. Biomed. Anal. 15 (1997) 1867–1876. https://doi.org/10.1016/S0731-7085(96)02024-9.</w:t>
      </w:r>
    </w:p>
    <w:p w14:paraId="73A59161" w14:textId="77777777" w:rsidR="00147035" w:rsidRPr="0011329B" w:rsidRDefault="00147035" w:rsidP="00147035">
      <w:pPr>
        <w:widowControl w:val="0"/>
        <w:autoSpaceDE w:val="0"/>
        <w:autoSpaceDN w:val="0"/>
        <w:adjustRightInd w:val="0"/>
        <w:spacing w:line="480" w:lineRule="auto"/>
        <w:ind w:left="640" w:hanging="640"/>
        <w:rPr>
          <w:noProof/>
        </w:rPr>
      </w:pPr>
      <w:r w:rsidRPr="0011329B">
        <w:rPr>
          <w:noProof/>
        </w:rPr>
        <w:t>[39]</w:t>
      </w:r>
      <w:r w:rsidRPr="0011329B">
        <w:rPr>
          <w:noProof/>
        </w:rPr>
        <w:tab/>
        <w:t>M. Kharat, Z. Du, G. Zhang, D.J. McClements, Physical and Chemical Stability of Curcumin in Aqueous Solutions and Emulsions: Impact of pH, Temperature, and Molecular Environment, J. Agric. Food Chem. 65 (2017) 1525–1532. https://doi.org/10.1021/acs.jafc.6b04815.</w:t>
      </w:r>
    </w:p>
    <w:p w14:paraId="31C72A14" w14:textId="77777777" w:rsidR="00147035" w:rsidRPr="0011329B" w:rsidRDefault="00147035" w:rsidP="00147035">
      <w:pPr>
        <w:widowControl w:val="0"/>
        <w:autoSpaceDE w:val="0"/>
        <w:autoSpaceDN w:val="0"/>
        <w:adjustRightInd w:val="0"/>
        <w:spacing w:line="480" w:lineRule="auto"/>
        <w:ind w:left="640" w:hanging="640"/>
        <w:rPr>
          <w:noProof/>
        </w:rPr>
      </w:pPr>
      <w:r w:rsidRPr="0011329B">
        <w:rPr>
          <w:noProof/>
        </w:rPr>
        <w:t>[40]</w:t>
      </w:r>
      <w:r w:rsidRPr="0011329B">
        <w:rPr>
          <w:noProof/>
        </w:rPr>
        <w:tab/>
        <w:t>W.W. Wei He, Yi Lu, JianpingQi, Lingyun Chen, Fuqiang Hu, Food proteins as novel nanosuspension stabilizers for poorly water-soluble drugs, Int. J. Pharm. 441 (2013) 269–278.</w:t>
      </w:r>
    </w:p>
    <w:p w14:paraId="40A61436" w14:textId="77777777" w:rsidR="00147035" w:rsidRPr="0011329B" w:rsidRDefault="00147035" w:rsidP="00147035">
      <w:pPr>
        <w:widowControl w:val="0"/>
        <w:autoSpaceDE w:val="0"/>
        <w:autoSpaceDN w:val="0"/>
        <w:adjustRightInd w:val="0"/>
        <w:spacing w:line="480" w:lineRule="auto"/>
        <w:ind w:left="640" w:hanging="640"/>
        <w:rPr>
          <w:noProof/>
        </w:rPr>
      </w:pPr>
      <w:r w:rsidRPr="0011329B">
        <w:rPr>
          <w:noProof/>
        </w:rPr>
        <w:t>[41]</w:t>
      </w:r>
      <w:r w:rsidRPr="0011329B">
        <w:rPr>
          <w:noProof/>
        </w:rPr>
        <w:tab/>
        <w:t>D. YancaiWang, YingZheng, LingZhang, QiweiWang, Stability of nanosuspensions in drug delivery, J. Control. Release. 172 (2013) 1126–1141.</w:t>
      </w:r>
    </w:p>
    <w:p w14:paraId="3E623861" w14:textId="77777777" w:rsidR="00147035" w:rsidRPr="0011329B" w:rsidRDefault="00147035" w:rsidP="00147035">
      <w:pPr>
        <w:widowControl w:val="0"/>
        <w:autoSpaceDE w:val="0"/>
        <w:autoSpaceDN w:val="0"/>
        <w:adjustRightInd w:val="0"/>
        <w:spacing w:line="480" w:lineRule="auto"/>
        <w:ind w:left="640" w:hanging="640"/>
        <w:rPr>
          <w:noProof/>
        </w:rPr>
      </w:pPr>
      <w:r w:rsidRPr="0011329B">
        <w:rPr>
          <w:noProof/>
        </w:rPr>
        <w:t>[42]</w:t>
      </w:r>
      <w:r w:rsidRPr="0011329B">
        <w:rPr>
          <w:noProof/>
        </w:rPr>
        <w:tab/>
        <w:t>C. Cheng, S. Peng, Z. Li, L. Zou, W. Liu, C. Liu, Improved bioavailability of curcumin in liposomes prepared using a pH-driven, organic solvent-free, easily scalable process, RSC Adv. 7 (2017) 25978–25986. https://doi.org/10.1039/c7ra02861j.</w:t>
      </w:r>
    </w:p>
    <w:p w14:paraId="5919B621" w14:textId="77777777" w:rsidR="00147035" w:rsidRPr="0011329B" w:rsidRDefault="00147035" w:rsidP="00147035">
      <w:pPr>
        <w:widowControl w:val="0"/>
        <w:autoSpaceDE w:val="0"/>
        <w:autoSpaceDN w:val="0"/>
        <w:adjustRightInd w:val="0"/>
        <w:spacing w:line="480" w:lineRule="auto"/>
        <w:ind w:left="640" w:hanging="640"/>
        <w:rPr>
          <w:noProof/>
        </w:rPr>
      </w:pPr>
      <w:r w:rsidRPr="0011329B">
        <w:rPr>
          <w:noProof/>
        </w:rPr>
        <w:t>[43]</w:t>
      </w:r>
      <w:r w:rsidRPr="0011329B">
        <w:rPr>
          <w:noProof/>
        </w:rPr>
        <w:tab/>
        <w:t xml:space="preserve">S. Peng, Z. Li, L. Zou, W. Liu, C. Liu, D.J. McClements, Enhancement of Curcumin Bioavailability by Encapsulation in Sophorolipid-Coated Nanoparticles: An in Vitro and in Vivo Study, J. Agric. Food Chem. 66 (2018) 1488–1497. </w:t>
      </w:r>
      <w:r w:rsidRPr="0011329B">
        <w:rPr>
          <w:noProof/>
        </w:rPr>
        <w:lastRenderedPageBreak/>
        <w:t>https://doi.org/10.1021/acs.jafc.7b05478.</w:t>
      </w:r>
    </w:p>
    <w:p w14:paraId="4A6D0879" w14:textId="77777777" w:rsidR="00147035" w:rsidRPr="0011329B" w:rsidRDefault="00147035" w:rsidP="00147035">
      <w:pPr>
        <w:widowControl w:val="0"/>
        <w:autoSpaceDE w:val="0"/>
        <w:autoSpaceDN w:val="0"/>
        <w:adjustRightInd w:val="0"/>
        <w:spacing w:line="480" w:lineRule="auto"/>
        <w:ind w:left="640" w:hanging="640"/>
        <w:rPr>
          <w:noProof/>
        </w:rPr>
      </w:pPr>
      <w:r w:rsidRPr="0011329B">
        <w:rPr>
          <w:noProof/>
        </w:rPr>
        <w:t>[44]</w:t>
      </w:r>
      <w:r w:rsidRPr="0011329B">
        <w:rPr>
          <w:noProof/>
        </w:rPr>
        <w:tab/>
        <w:t>L. Zou, B. Zheng, R. Zhang, Z. Zhang, W. Liu, C. Liu, H. Xiao, D.J. McClements, Food-grade nanoparticles for encapsulation, protection and delivery of curcumin: Comparison of lipid, protein, and phospholipid nanoparticles under simulated gastrointestinal conditions, RSC Adv. 6 (2016) 3126–3136. https://doi.org/10.1039/c5ra22834d.</w:t>
      </w:r>
    </w:p>
    <w:p w14:paraId="53EAE6CB" w14:textId="77777777" w:rsidR="00147035" w:rsidRPr="0011329B" w:rsidRDefault="00147035" w:rsidP="00147035">
      <w:pPr>
        <w:widowControl w:val="0"/>
        <w:autoSpaceDE w:val="0"/>
        <w:autoSpaceDN w:val="0"/>
        <w:adjustRightInd w:val="0"/>
        <w:spacing w:line="480" w:lineRule="auto"/>
        <w:ind w:left="640" w:hanging="640"/>
        <w:rPr>
          <w:noProof/>
        </w:rPr>
      </w:pPr>
      <w:r w:rsidRPr="0011329B">
        <w:rPr>
          <w:noProof/>
        </w:rPr>
        <w:t>[45]</w:t>
      </w:r>
      <w:r w:rsidRPr="0011329B">
        <w:rPr>
          <w:noProof/>
        </w:rPr>
        <w:tab/>
        <w:t>K.Z. Ming Ying , Fengwen Huang , Haidong Ye , Hong Xu , Liangliang Shen , Tianwen Huan , Shitong Huang , Jiangfeng Xie , Shengli Tian, Zhangli Hu , Zhendan He , Jun Lu , Kai ZhouMing Ying , Fengwen Huang , Haidong Ye , Hong Xu , Liangliang Shen, Tian, Study on interaction between curcumin and pepsin by spectroscopic and docking methods, Int J Biol Macromol. 79 (2015) 201–208.</w:t>
      </w:r>
    </w:p>
    <w:p w14:paraId="75A4D59B" w14:textId="77777777" w:rsidR="00147035" w:rsidRPr="0011329B" w:rsidRDefault="00147035" w:rsidP="00147035">
      <w:pPr>
        <w:widowControl w:val="0"/>
        <w:autoSpaceDE w:val="0"/>
        <w:autoSpaceDN w:val="0"/>
        <w:adjustRightInd w:val="0"/>
        <w:spacing w:line="480" w:lineRule="auto"/>
        <w:ind w:left="640" w:hanging="640"/>
        <w:rPr>
          <w:noProof/>
        </w:rPr>
      </w:pPr>
      <w:r w:rsidRPr="0011329B">
        <w:rPr>
          <w:noProof/>
        </w:rPr>
        <w:t>[46]</w:t>
      </w:r>
      <w:r w:rsidRPr="0011329B">
        <w:rPr>
          <w:noProof/>
        </w:rPr>
        <w:tab/>
        <w:t>R. Jog, D.J. Burgess, Pharmaceutical Amorphous Nanoparticles, J Pharm Sci. 106 (2017) 39–65. https://doi.org/10.1016/j.xphs.2016.09.014.</w:t>
      </w:r>
    </w:p>
    <w:p w14:paraId="4FA38FAC" w14:textId="77777777" w:rsidR="00147035" w:rsidRPr="0011329B" w:rsidRDefault="00147035" w:rsidP="00147035">
      <w:pPr>
        <w:widowControl w:val="0"/>
        <w:autoSpaceDE w:val="0"/>
        <w:autoSpaceDN w:val="0"/>
        <w:adjustRightInd w:val="0"/>
        <w:spacing w:line="480" w:lineRule="auto"/>
        <w:ind w:left="640" w:hanging="640"/>
        <w:rPr>
          <w:noProof/>
        </w:rPr>
      </w:pPr>
      <w:r w:rsidRPr="0011329B">
        <w:rPr>
          <w:noProof/>
        </w:rPr>
        <w:t>[47]</w:t>
      </w:r>
      <w:r w:rsidRPr="0011329B">
        <w:rPr>
          <w:noProof/>
        </w:rPr>
        <w:tab/>
        <w:t>J.L. Watson, R. Hill, P.W. Lee, C.A. Giacomantonio, D.W. Hoskin, Curcumin induces apoptosis in HCT-116 human colon cancer cells in a p21-independent manner, Exp. Mol. Pathol. 84 (2008) 230–233. https://doi.org/10.1016/j.yexmp.2008.02.002.</w:t>
      </w:r>
    </w:p>
    <w:p w14:paraId="50CB96C5" w14:textId="77777777" w:rsidR="00147035" w:rsidRPr="0011329B" w:rsidRDefault="00147035" w:rsidP="00147035">
      <w:pPr>
        <w:widowControl w:val="0"/>
        <w:autoSpaceDE w:val="0"/>
        <w:autoSpaceDN w:val="0"/>
        <w:adjustRightInd w:val="0"/>
        <w:spacing w:line="480" w:lineRule="auto"/>
        <w:ind w:left="640" w:hanging="640"/>
        <w:rPr>
          <w:noProof/>
        </w:rPr>
      </w:pPr>
      <w:r w:rsidRPr="0011329B">
        <w:rPr>
          <w:noProof/>
        </w:rPr>
        <w:t>[48]</w:t>
      </w:r>
      <w:r w:rsidRPr="0011329B">
        <w:rPr>
          <w:noProof/>
        </w:rPr>
        <w:tab/>
        <w:t>A. Agarwal, A. Kasinathan, R. Ganesan, A. Balasubramanian, J. Bhaskaran, S. Suresh, R. Srinivasan, K.B. Aravind, N. Sivalingam, Curcumin induces apoptosis and cell cycle arrest via the activation of reactive oxygen species–independent mitochondrial apoptotic pathway in Smad4 and p53 mutated colon adenocarcinoma HT29 cells, Nutr. Res. 51 (2018) 67–81. https://doi.org/10.1016/j.nutres.2017.12.011.</w:t>
      </w:r>
    </w:p>
    <w:p w14:paraId="00229F20" w14:textId="2D63E2E0" w:rsidR="00BB0F13" w:rsidRPr="00F82FDC" w:rsidRDefault="00BB0F13" w:rsidP="00147035">
      <w:pPr>
        <w:widowControl w:val="0"/>
        <w:autoSpaceDE w:val="0"/>
        <w:autoSpaceDN w:val="0"/>
        <w:adjustRightInd w:val="0"/>
        <w:spacing w:line="480" w:lineRule="auto"/>
        <w:ind w:left="640" w:hanging="640"/>
        <w:rPr>
          <w:lang w:val="en-GB"/>
        </w:rPr>
      </w:pPr>
      <w:r w:rsidRPr="0011329B">
        <w:rPr>
          <w:lang w:val="en-GB"/>
        </w:rPr>
        <w:fldChar w:fldCharType="end"/>
      </w:r>
      <w:bookmarkStart w:id="3" w:name="_GoBack"/>
      <w:bookmarkEnd w:id="3"/>
    </w:p>
    <w:p w14:paraId="000E34E0" w14:textId="77777777" w:rsidR="00BB0F13" w:rsidRPr="00F82FDC" w:rsidRDefault="00BB0F13" w:rsidP="002F10E8">
      <w:pPr>
        <w:spacing w:line="360" w:lineRule="auto"/>
        <w:rPr>
          <w:lang w:val="en-GB"/>
        </w:rPr>
      </w:pPr>
    </w:p>
    <w:sectPr w:rsidR="00BB0F13" w:rsidRPr="00F82FDC" w:rsidSect="00C761CD">
      <w:type w:val="continuous"/>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A641D7" w14:textId="77777777" w:rsidR="00492BC4" w:rsidRDefault="00492BC4" w:rsidP="009B6E57">
      <w:r>
        <w:separator/>
      </w:r>
    </w:p>
  </w:endnote>
  <w:endnote w:type="continuationSeparator" w:id="0">
    <w:p w14:paraId="503E74EA" w14:textId="77777777" w:rsidR="00492BC4" w:rsidRDefault="00492BC4" w:rsidP="009B6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86166208"/>
      <w:docPartObj>
        <w:docPartGallery w:val="Page Numbers (Bottom of Page)"/>
        <w:docPartUnique/>
      </w:docPartObj>
    </w:sdtPr>
    <w:sdtEndPr>
      <w:rPr>
        <w:rStyle w:val="PageNumber"/>
      </w:rPr>
    </w:sdtEndPr>
    <w:sdtContent>
      <w:p w14:paraId="4739AEAD" w14:textId="0BF68DE8" w:rsidR="00F82FDC" w:rsidRDefault="00F82FDC" w:rsidP="003B3C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6F16EF0" w14:textId="77777777" w:rsidR="00F82FDC" w:rsidRDefault="00F82FDC" w:rsidP="009B6E5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18357271"/>
      <w:docPartObj>
        <w:docPartGallery w:val="Page Numbers (Bottom of Page)"/>
        <w:docPartUnique/>
      </w:docPartObj>
    </w:sdtPr>
    <w:sdtEndPr>
      <w:rPr>
        <w:rStyle w:val="PageNumber"/>
      </w:rPr>
    </w:sdtEndPr>
    <w:sdtContent>
      <w:p w14:paraId="73370D90" w14:textId="4B632E6E" w:rsidR="00F82FDC" w:rsidRDefault="00F82FDC" w:rsidP="003B3C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A358B89" w14:textId="77777777" w:rsidR="00F82FDC" w:rsidRDefault="00F82FDC" w:rsidP="009B6E5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487450" w14:textId="77777777" w:rsidR="00492BC4" w:rsidRDefault="00492BC4" w:rsidP="009B6E57">
      <w:r>
        <w:separator/>
      </w:r>
    </w:p>
  </w:footnote>
  <w:footnote w:type="continuationSeparator" w:id="0">
    <w:p w14:paraId="5DD09275" w14:textId="77777777" w:rsidR="00492BC4" w:rsidRDefault="00492BC4" w:rsidP="009B6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A3ADB"/>
    <w:multiLevelType w:val="multilevel"/>
    <w:tmpl w:val="E856A92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i w:val="0"/>
        <w:iCs/>
      </w:rPr>
    </w:lvl>
    <w:lvl w:ilvl="3">
      <w:start w:val="1"/>
      <w:numFmt w:val="decimal"/>
      <w:isLgl/>
      <w:lvlText w:val="%1.%2.%3.%4."/>
      <w:lvlJc w:val="left"/>
      <w:pPr>
        <w:ind w:left="1080" w:hanging="720"/>
      </w:pPr>
      <w:rPr>
        <w:rFonts w:hint="default"/>
        <w:sz w:val="24"/>
        <w:szCs w:val="24"/>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F36346B"/>
    <w:multiLevelType w:val="multilevel"/>
    <w:tmpl w:val="E856A92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i w:val="0"/>
        <w:iCs/>
      </w:rPr>
    </w:lvl>
    <w:lvl w:ilvl="3">
      <w:start w:val="1"/>
      <w:numFmt w:val="decimal"/>
      <w:isLgl/>
      <w:lvlText w:val="%1.%2.%3.%4."/>
      <w:lvlJc w:val="left"/>
      <w:pPr>
        <w:ind w:left="1080" w:hanging="720"/>
      </w:pPr>
      <w:rPr>
        <w:rFonts w:hint="default"/>
        <w:sz w:val="24"/>
        <w:szCs w:val="24"/>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41B50C70"/>
    <w:multiLevelType w:val="hybridMultilevel"/>
    <w:tmpl w:val="D2964094"/>
    <w:lvl w:ilvl="0" w:tplc="7B40C4BC">
      <w:start w:val="1"/>
      <w:numFmt w:val="decimal"/>
      <w:pStyle w:val="Cap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997"/>
    <w:rsid w:val="00007A6A"/>
    <w:rsid w:val="000204C1"/>
    <w:rsid w:val="00024731"/>
    <w:rsid w:val="000256E9"/>
    <w:rsid w:val="00030DE4"/>
    <w:rsid w:val="0003681B"/>
    <w:rsid w:val="0006692F"/>
    <w:rsid w:val="00075ECB"/>
    <w:rsid w:val="00081BC1"/>
    <w:rsid w:val="000824F4"/>
    <w:rsid w:val="00084146"/>
    <w:rsid w:val="0009445D"/>
    <w:rsid w:val="000A106C"/>
    <w:rsid w:val="000A7AC2"/>
    <w:rsid w:val="000C587C"/>
    <w:rsid w:val="000D2026"/>
    <w:rsid w:val="000D4C01"/>
    <w:rsid w:val="000D5578"/>
    <w:rsid w:val="000F2779"/>
    <w:rsid w:val="00103255"/>
    <w:rsid w:val="0011329B"/>
    <w:rsid w:val="0014051F"/>
    <w:rsid w:val="00141B20"/>
    <w:rsid w:val="00147035"/>
    <w:rsid w:val="0015174E"/>
    <w:rsid w:val="00152104"/>
    <w:rsid w:val="00152CA4"/>
    <w:rsid w:val="001656C4"/>
    <w:rsid w:val="0019304D"/>
    <w:rsid w:val="001B54E3"/>
    <w:rsid w:val="001D1164"/>
    <w:rsid w:val="001D3263"/>
    <w:rsid w:val="001D41C2"/>
    <w:rsid w:val="001D5C9E"/>
    <w:rsid w:val="001E447E"/>
    <w:rsid w:val="001E7277"/>
    <w:rsid w:val="001F043D"/>
    <w:rsid w:val="0021250B"/>
    <w:rsid w:val="00240BFE"/>
    <w:rsid w:val="00247E3A"/>
    <w:rsid w:val="00252F7E"/>
    <w:rsid w:val="00285019"/>
    <w:rsid w:val="00291F36"/>
    <w:rsid w:val="002A6C14"/>
    <w:rsid w:val="002B052F"/>
    <w:rsid w:val="002F10E8"/>
    <w:rsid w:val="002F6371"/>
    <w:rsid w:val="00305CCB"/>
    <w:rsid w:val="0032582C"/>
    <w:rsid w:val="00326305"/>
    <w:rsid w:val="003305A6"/>
    <w:rsid w:val="0033309A"/>
    <w:rsid w:val="00343322"/>
    <w:rsid w:val="003448D1"/>
    <w:rsid w:val="003510CA"/>
    <w:rsid w:val="0035242B"/>
    <w:rsid w:val="00363DDD"/>
    <w:rsid w:val="0037391C"/>
    <w:rsid w:val="003A4F3C"/>
    <w:rsid w:val="003A5E57"/>
    <w:rsid w:val="003B3CE7"/>
    <w:rsid w:val="003C7535"/>
    <w:rsid w:val="003D15EF"/>
    <w:rsid w:val="003E27A3"/>
    <w:rsid w:val="003E3AD4"/>
    <w:rsid w:val="004114DE"/>
    <w:rsid w:val="00412E36"/>
    <w:rsid w:val="0042315D"/>
    <w:rsid w:val="00444068"/>
    <w:rsid w:val="0045207F"/>
    <w:rsid w:val="004718A6"/>
    <w:rsid w:val="00473FAB"/>
    <w:rsid w:val="00492BC4"/>
    <w:rsid w:val="004A4AA6"/>
    <w:rsid w:val="004B23B3"/>
    <w:rsid w:val="004C3492"/>
    <w:rsid w:val="004D0422"/>
    <w:rsid w:val="004D1E2E"/>
    <w:rsid w:val="004D4A6D"/>
    <w:rsid w:val="005005EE"/>
    <w:rsid w:val="00504A2D"/>
    <w:rsid w:val="00513CFA"/>
    <w:rsid w:val="00525407"/>
    <w:rsid w:val="005747DA"/>
    <w:rsid w:val="0058032E"/>
    <w:rsid w:val="005B787A"/>
    <w:rsid w:val="005C66A2"/>
    <w:rsid w:val="005D10AF"/>
    <w:rsid w:val="005E0E7A"/>
    <w:rsid w:val="005F1BF5"/>
    <w:rsid w:val="005F4782"/>
    <w:rsid w:val="00607A69"/>
    <w:rsid w:val="00627261"/>
    <w:rsid w:val="006512E7"/>
    <w:rsid w:val="00657086"/>
    <w:rsid w:val="00675789"/>
    <w:rsid w:val="006869D4"/>
    <w:rsid w:val="00686DF9"/>
    <w:rsid w:val="006942C2"/>
    <w:rsid w:val="006A40D1"/>
    <w:rsid w:val="006B366D"/>
    <w:rsid w:val="006B4873"/>
    <w:rsid w:val="006D05DE"/>
    <w:rsid w:val="007118EB"/>
    <w:rsid w:val="00714F4D"/>
    <w:rsid w:val="00715E1C"/>
    <w:rsid w:val="00717DB1"/>
    <w:rsid w:val="00731328"/>
    <w:rsid w:val="00766D90"/>
    <w:rsid w:val="00773EDB"/>
    <w:rsid w:val="00780C39"/>
    <w:rsid w:val="00781A17"/>
    <w:rsid w:val="007863CB"/>
    <w:rsid w:val="00791311"/>
    <w:rsid w:val="00793467"/>
    <w:rsid w:val="007A69DA"/>
    <w:rsid w:val="007B077E"/>
    <w:rsid w:val="00831502"/>
    <w:rsid w:val="00833615"/>
    <w:rsid w:val="00841F0D"/>
    <w:rsid w:val="00853060"/>
    <w:rsid w:val="008574F5"/>
    <w:rsid w:val="0086258B"/>
    <w:rsid w:val="008649C7"/>
    <w:rsid w:val="00874FE1"/>
    <w:rsid w:val="00882486"/>
    <w:rsid w:val="00882B96"/>
    <w:rsid w:val="008964F9"/>
    <w:rsid w:val="008B26DB"/>
    <w:rsid w:val="008C342E"/>
    <w:rsid w:val="008C422D"/>
    <w:rsid w:val="008F4997"/>
    <w:rsid w:val="00900D59"/>
    <w:rsid w:val="0090258C"/>
    <w:rsid w:val="009135A8"/>
    <w:rsid w:val="00920091"/>
    <w:rsid w:val="0092064B"/>
    <w:rsid w:val="00937D88"/>
    <w:rsid w:val="00965269"/>
    <w:rsid w:val="009705E1"/>
    <w:rsid w:val="00977047"/>
    <w:rsid w:val="00990436"/>
    <w:rsid w:val="00993E95"/>
    <w:rsid w:val="009B6930"/>
    <w:rsid w:val="009B6E57"/>
    <w:rsid w:val="009D3F0E"/>
    <w:rsid w:val="009E3A0E"/>
    <w:rsid w:val="009E7B86"/>
    <w:rsid w:val="00A017DE"/>
    <w:rsid w:val="00A017E0"/>
    <w:rsid w:val="00A031A8"/>
    <w:rsid w:val="00A27B5A"/>
    <w:rsid w:val="00A3015E"/>
    <w:rsid w:val="00A321D5"/>
    <w:rsid w:val="00A5272F"/>
    <w:rsid w:val="00A6114F"/>
    <w:rsid w:val="00A821DF"/>
    <w:rsid w:val="00A83494"/>
    <w:rsid w:val="00A863E2"/>
    <w:rsid w:val="00A97184"/>
    <w:rsid w:val="00AA3FEF"/>
    <w:rsid w:val="00AD6A44"/>
    <w:rsid w:val="00AF1E0B"/>
    <w:rsid w:val="00B00E6E"/>
    <w:rsid w:val="00B064E4"/>
    <w:rsid w:val="00B07B3F"/>
    <w:rsid w:val="00B16759"/>
    <w:rsid w:val="00B21EF0"/>
    <w:rsid w:val="00B22311"/>
    <w:rsid w:val="00B3401D"/>
    <w:rsid w:val="00B54931"/>
    <w:rsid w:val="00B72FB0"/>
    <w:rsid w:val="00B82D21"/>
    <w:rsid w:val="00B87965"/>
    <w:rsid w:val="00B90881"/>
    <w:rsid w:val="00BB0EC7"/>
    <w:rsid w:val="00BB0F13"/>
    <w:rsid w:val="00BB3457"/>
    <w:rsid w:val="00BC1D3A"/>
    <w:rsid w:val="00BE513B"/>
    <w:rsid w:val="00C00157"/>
    <w:rsid w:val="00C71721"/>
    <w:rsid w:val="00C72EBC"/>
    <w:rsid w:val="00C761CD"/>
    <w:rsid w:val="00C830E4"/>
    <w:rsid w:val="00CC1693"/>
    <w:rsid w:val="00CD2A2B"/>
    <w:rsid w:val="00CE43BA"/>
    <w:rsid w:val="00D11D3D"/>
    <w:rsid w:val="00D21C69"/>
    <w:rsid w:val="00D4596B"/>
    <w:rsid w:val="00D64345"/>
    <w:rsid w:val="00D6745C"/>
    <w:rsid w:val="00D76D8D"/>
    <w:rsid w:val="00D778D2"/>
    <w:rsid w:val="00D838CF"/>
    <w:rsid w:val="00DB3CBD"/>
    <w:rsid w:val="00DC2127"/>
    <w:rsid w:val="00DC2BC4"/>
    <w:rsid w:val="00DC569E"/>
    <w:rsid w:val="00DC5BF8"/>
    <w:rsid w:val="00DC69F5"/>
    <w:rsid w:val="00DE0EA0"/>
    <w:rsid w:val="00E00806"/>
    <w:rsid w:val="00E05426"/>
    <w:rsid w:val="00E10066"/>
    <w:rsid w:val="00E54815"/>
    <w:rsid w:val="00E6269A"/>
    <w:rsid w:val="00E85E3C"/>
    <w:rsid w:val="00E878E8"/>
    <w:rsid w:val="00E925AC"/>
    <w:rsid w:val="00EA2CB7"/>
    <w:rsid w:val="00EB4790"/>
    <w:rsid w:val="00EC1657"/>
    <w:rsid w:val="00EF1C36"/>
    <w:rsid w:val="00F118A0"/>
    <w:rsid w:val="00F179DF"/>
    <w:rsid w:val="00F22DD7"/>
    <w:rsid w:val="00F268DD"/>
    <w:rsid w:val="00F27C1B"/>
    <w:rsid w:val="00F333CB"/>
    <w:rsid w:val="00F36EE0"/>
    <w:rsid w:val="00F53395"/>
    <w:rsid w:val="00F6061D"/>
    <w:rsid w:val="00F64EE7"/>
    <w:rsid w:val="00F71897"/>
    <w:rsid w:val="00F82FDC"/>
    <w:rsid w:val="00F873F7"/>
    <w:rsid w:val="00F9237D"/>
    <w:rsid w:val="00FB260A"/>
    <w:rsid w:val="00FC101D"/>
    <w:rsid w:val="00FE0687"/>
    <w:rsid w:val="00FE1F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5323B2"/>
  <w15:chartTrackingRefBased/>
  <w15:docId w15:val="{338D610E-515B-DA42-9F3D-72F41708A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5E1C"/>
    <w:rPr>
      <w:rFonts w:ascii="Times New Roman" w:eastAsia="Times New Roman" w:hAnsi="Times New Roman" w:cs="Times New Roman"/>
    </w:rPr>
  </w:style>
  <w:style w:type="paragraph" w:styleId="Heading2">
    <w:name w:val="heading 2"/>
    <w:basedOn w:val="Normal"/>
    <w:link w:val="Heading2Char"/>
    <w:uiPriority w:val="9"/>
    <w:qFormat/>
    <w:rsid w:val="002F10E8"/>
    <w:pPr>
      <w:spacing w:before="100" w:beforeAutospacing="1" w:after="100" w:afterAutospacing="1"/>
      <w:outlineLvl w:val="1"/>
    </w:pPr>
    <w:rPr>
      <w:b/>
      <w:bCs/>
      <w:sz w:val="36"/>
      <w:szCs w:val="36"/>
    </w:rPr>
  </w:style>
  <w:style w:type="paragraph" w:styleId="Heading5">
    <w:name w:val="heading 5"/>
    <w:basedOn w:val="Normal"/>
    <w:next w:val="Normal"/>
    <w:link w:val="Heading5Char"/>
    <w:uiPriority w:val="9"/>
    <w:semiHidden/>
    <w:unhideWhenUsed/>
    <w:qFormat/>
    <w:rsid w:val="00326305"/>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rsid w:val="003A4F3C"/>
    <w:pPr>
      <w:numPr>
        <w:numId w:val="1"/>
      </w:numPr>
      <w:spacing w:after="200"/>
    </w:pPr>
    <w:rPr>
      <w:rFonts w:asciiTheme="minorHAnsi" w:eastAsiaTheme="minorHAnsi" w:hAnsiTheme="minorHAnsi" w:cstheme="minorBidi"/>
      <w:i/>
      <w:iCs/>
      <w:color w:val="44546A" w:themeColor="text2"/>
      <w:sz w:val="18"/>
      <w:szCs w:val="18"/>
      <w:lang w:val="en-GB"/>
    </w:rPr>
  </w:style>
  <w:style w:type="paragraph" w:customStyle="1" w:styleId="RSCH01PaperTitle">
    <w:name w:val="RSC H01 Paper Title"/>
    <w:basedOn w:val="Normal"/>
    <w:next w:val="Normal"/>
    <w:link w:val="RSCH01PaperTitleChar"/>
    <w:qFormat/>
    <w:rsid w:val="008F4997"/>
    <w:pPr>
      <w:tabs>
        <w:tab w:val="left" w:pos="284"/>
      </w:tabs>
      <w:spacing w:before="400" w:after="160"/>
    </w:pPr>
    <w:rPr>
      <w:rFonts w:asciiTheme="minorHAnsi" w:eastAsiaTheme="minorHAnsi" w:hAnsiTheme="minorHAnsi"/>
      <w:b/>
      <w:sz w:val="29"/>
      <w:szCs w:val="32"/>
      <w:lang w:val="en-GB"/>
    </w:rPr>
  </w:style>
  <w:style w:type="paragraph" w:customStyle="1" w:styleId="RSCH02PaperAuthorsandByline">
    <w:name w:val="RSC H02 Paper Authors and Byline"/>
    <w:basedOn w:val="Normal"/>
    <w:link w:val="RSCH02PaperAuthorsandBylineChar"/>
    <w:qFormat/>
    <w:rsid w:val="008F4997"/>
    <w:pPr>
      <w:spacing w:after="120" w:line="240" w:lineRule="exact"/>
    </w:pPr>
    <w:rPr>
      <w:rFonts w:asciiTheme="minorHAnsi" w:eastAsiaTheme="minorHAnsi" w:hAnsiTheme="minorHAnsi"/>
      <w:sz w:val="20"/>
      <w:szCs w:val="22"/>
      <w:lang w:val="en-GB"/>
    </w:rPr>
  </w:style>
  <w:style w:type="paragraph" w:customStyle="1" w:styleId="RSCB01ARTAbstract">
    <w:name w:val="RSC B01 ART Abstract"/>
    <w:basedOn w:val="Normal"/>
    <w:link w:val="RSCB01ARTAbstractChar"/>
    <w:qFormat/>
    <w:rsid w:val="008F4997"/>
    <w:pPr>
      <w:spacing w:after="200" w:line="240" w:lineRule="exact"/>
      <w:jc w:val="both"/>
    </w:pPr>
    <w:rPr>
      <w:rFonts w:asciiTheme="minorHAnsi" w:eastAsiaTheme="minorHAnsi" w:hAnsiTheme="minorHAnsi" w:cstheme="minorBidi"/>
      <w:noProof/>
      <w:sz w:val="16"/>
      <w:szCs w:val="22"/>
      <w:lang w:val="en-GB" w:eastAsia="en-GB"/>
    </w:rPr>
  </w:style>
  <w:style w:type="character" w:customStyle="1" w:styleId="RSCH01PaperTitleChar">
    <w:name w:val="RSC H01 Paper Title Char"/>
    <w:basedOn w:val="DefaultParagraphFont"/>
    <w:link w:val="RSCH01PaperTitle"/>
    <w:rsid w:val="008F4997"/>
    <w:rPr>
      <w:rFonts w:cs="Times New Roman"/>
      <w:b/>
      <w:sz w:val="29"/>
      <w:szCs w:val="32"/>
      <w:lang w:val="en-GB"/>
    </w:rPr>
  </w:style>
  <w:style w:type="character" w:customStyle="1" w:styleId="RSCH02PaperAuthorsandBylineChar">
    <w:name w:val="RSC H02 Paper Authors and Byline Char"/>
    <w:basedOn w:val="DefaultParagraphFont"/>
    <w:link w:val="RSCH02PaperAuthorsandByline"/>
    <w:rsid w:val="008F4997"/>
    <w:rPr>
      <w:rFonts w:cs="Times New Roman"/>
      <w:sz w:val="20"/>
      <w:szCs w:val="22"/>
      <w:lang w:val="en-GB"/>
    </w:rPr>
  </w:style>
  <w:style w:type="character" w:customStyle="1" w:styleId="RSCB01ARTAbstractChar">
    <w:name w:val="RSC B01 ART Abstract Char"/>
    <w:basedOn w:val="DefaultParagraphFont"/>
    <w:link w:val="RSCB01ARTAbstract"/>
    <w:rsid w:val="008F4997"/>
    <w:rPr>
      <w:noProof/>
      <w:sz w:val="16"/>
      <w:szCs w:val="22"/>
      <w:lang w:val="en-GB" w:eastAsia="en-GB"/>
    </w:rPr>
  </w:style>
  <w:style w:type="paragraph" w:customStyle="1" w:styleId="RSCB02ArticleText">
    <w:name w:val="RSC B02 Article Text"/>
    <w:basedOn w:val="Normal"/>
    <w:link w:val="RSCB02ArticleTextChar"/>
    <w:qFormat/>
    <w:rsid w:val="008F4997"/>
    <w:pPr>
      <w:spacing w:line="240" w:lineRule="exact"/>
      <w:jc w:val="both"/>
    </w:pPr>
    <w:rPr>
      <w:rFonts w:asciiTheme="minorHAnsi" w:eastAsiaTheme="minorHAnsi" w:hAnsiTheme="minorHAnsi"/>
      <w:w w:val="108"/>
      <w:sz w:val="18"/>
      <w:szCs w:val="18"/>
      <w:lang w:val="en-GB"/>
    </w:rPr>
  </w:style>
  <w:style w:type="character" w:customStyle="1" w:styleId="RSCB02ArticleTextChar">
    <w:name w:val="RSC B02 Article Text Char"/>
    <w:basedOn w:val="DefaultParagraphFont"/>
    <w:link w:val="RSCB02ArticleText"/>
    <w:rsid w:val="008F4997"/>
    <w:rPr>
      <w:rFonts w:cs="Times New Roman"/>
      <w:w w:val="108"/>
      <w:sz w:val="18"/>
      <w:szCs w:val="18"/>
      <w:lang w:val="en-GB"/>
    </w:rPr>
  </w:style>
  <w:style w:type="paragraph" w:customStyle="1" w:styleId="RSCB04AHeadingSection">
    <w:name w:val="RSC B04 A Heading (Section)"/>
    <w:basedOn w:val="Normal"/>
    <w:link w:val="RSCB04AHeadingSectionChar"/>
    <w:qFormat/>
    <w:rsid w:val="008F4997"/>
    <w:pPr>
      <w:spacing w:before="400" w:after="80"/>
    </w:pPr>
    <w:rPr>
      <w:rFonts w:asciiTheme="minorHAnsi" w:eastAsiaTheme="minorHAnsi" w:hAnsiTheme="minorHAnsi" w:cstheme="minorBidi"/>
      <w:b/>
      <w:szCs w:val="22"/>
      <w:lang w:val="en-GB"/>
    </w:rPr>
  </w:style>
  <w:style w:type="character" w:customStyle="1" w:styleId="RSCB04AHeadingSectionChar">
    <w:name w:val="RSC B04 A Heading (Section) Char"/>
    <w:basedOn w:val="DefaultParagraphFont"/>
    <w:link w:val="RSCB04AHeadingSection"/>
    <w:rsid w:val="008F4997"/>
    <w:rPr>
      <w:b/>
      <w:szCs w:val="22"/>
      <w:lang w:val="en-GB"/>
    </w:rPr>
  </w:style>
  <w:style w:type="character" w:styleId="FootnoteReference">
    <w:name w:val="footnote reference"/>
    <w:basedOn w:val="DefaultParagraphFont"/>
    <w:uiPriority w:val="99"/>
    <w:semiHidden/>
    <w:unhideWhenUsed/>
    <w:rsid w:val="008F4997"/>
    <w:rPr>
      <w:vertAlign w:val="superscript"/>
    </w:rPr>
  </w:style>
  <w:style w:type="paragraph" w:customStyle="1" w:styleId="RSCB06BHeadingSub-Section">
    <w:name w:val="RSC B06 B Heading (Sub-Section)"/>
    <w:link w:val="RSCB06BHeadingSub-SectionChar"/>
    <w:qFormat/>
    <w:rsid w:val="008F4997"/>
    <w:pPr>
      <w:spacing w:after="80" w:line="240" w:lineRule="exact"/>
    </w:pPr>
    <w:rPr>
      <w:b/>
      <w:sz w:val="18"/>
      <w:szCs w:val="22"/>
      <w:lang w:val="en-GB"/>
    </w:rPr>
  </w:style>
  <w:style w:type="character" w:customStyle="1" w:styleId="RSCB06BHeadingSub-SectionChar">
    <w:name w:val="RSC B06 B Heading (Sub-Section) Char"/>
    <w:basedOn w:val="DefaultParagraphFont"/>
    <w:link w:val="RSCB06BHeadingSub-Section"/>
    <w:rsid w:val="008F4997"/>
    <w:rPr>
      <w:b/>
      <w:sz w:val="18"/>
      <w:szCs w:val="22"/>
      <w:lang w:val="en-GB"/>
    </w:rPr>
  </w:style>
  <w:style w:type="character" w:styleId="CommentReference">
    <w:name w:val="annotation reference"/>
    <w:basedOn w:val="DefaultParagraphFont"/>
    <w:uiPriority w:val="99"/>
    <w:semiHidden/>
    <w:unhideWhenUsed/>
    <w:rsid w:val="008F4997"/>
    <w:rPr>
      <w:sz w:val="16"/>
      <w:szCs w:val="16"/>
    </w:rPr>
  </w:style>
  <w:style w:type="character" w:customStyle="1" w:styleId="normaltextrun">
    <w:name w:val="normaltextrun"/>
    <w:basedOn w:val="DefaultParagraphFont"/>
    <w:rsid w:val="008F4997"/>
  </w:style>
  <w:style w:type="character" w:customStyle="1" w:styleId="eop">
    <w:name w:val="eop"/>
    <w:basedOn w:val="DefaultParagraphFont"/>
    <w:rsid w:val="008F4997"/>
  </w:style>
  <w:style w:type="table" w:styleId="TableGrid">
    <w:name w:val="Table Grid"/>
    <w:basedOn w:val="TableNormal"/>
    <w:uiPriority w:val="39"/>
    <w:rsid w:val="008F4997"/>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SCB03MathematicsGreeketc">
    <w:name w:val="RSC B03 Mathematics/Greek etc"/>
    <w:basedOn w:val="Normal"/>
    <w:link w:val="RSCB03MathematicsGreeketcChar"/>
    <w:qFormat/>
    <w:rsid w:val="008F4997"/>
    <w:pPr>
      <w:tabs>
        <w:tab w:val="center" w:pos="2268"/>
        <w:tab w:val="right" w:pos="4536"/>
      </w:tabs>
      <w:spacing w:before="160" w:after="160"/>
    </w:pPr>
    <w:rPr>
      <w:rFonts w:eastAsiaTheme="minorHAnsi" w:cstheme="minorBidi"/>
      <w:sz w:val="18"/>
      <w:szCs w:val="22"/>
      <w:lang w:val="en-GB"/>
    </w:rPr>
  </w:style>
  <w:style w:type="character" w:customStyle="1" w:styleId="RSCB03MathematicsGreeketcChar">
    <w:name w:val="RSC B03 Mathematics/Greek etc Char"/>
    <w:basedOn w:val="DefaultParagraphFont"/>
    <w:link w:val="RSCB03MathematicsGreeketc"/>
    <w:rsid w:val="008F4997"/>
    <w:rPr>
      <w:rFonts w:ascii="Times New Roman" w:hAnsi="Times New Roman"/>
      <w:sz w:val="18"/>
      <w:szCs w:val="22"/>
      <w:lang w:val="en-GB"/>
    </w:rPr>
  </w:style>
  <w:style w:type="paragraph" w:customStyle="1" w:styleId="RSCI04CaptiontoFigureSchemeChart">
    <w:name w:val="RSC I04 Caption to Figure/Scheme/Chart"/>
    <w:link w:val="RSCI04CaptiontoFigureSchemeChartChar"/>
    <w:qFormat/>
    <w:rsid w:val="008F4997"/>
    <w:pPr>
      <w:spacing w:after="200" w:line="200" w:lineRule="exact"/>
      <w:jc w:val="both"/>
    </w:pPr>
    <w:rPr>
      <w:bCs/>
      <w:sz w:val="14"/>
      <w:szCs w:val="18"/>
      <w:lang w:val="en-GB"/>
    </w:rPr>
  </w:style>
  <w:style w:type="character" w:customStyle="1" w:styleId="RSCI04CaptiontoFigureSchemeChartChar">
    <w:name w:val="RSC I04 Caption to Figure/Scheme/Chart Char"/>
    <w:basedOn w:val="DefaultParagraphFont"/>
    <w:link w:val="RSCI04CaptiontoFigureSchemeChart"/>
    <w:rsid w:val="008F4997"/>
    <w:rPr>
      <w:bCs/>
      <w:sz w:val="14"/>
      <w:szCs w:val="18"/>
      <w:lang w:val="en-GB"/>
    </w:rPr>
  </w:style>
  <w:style w:type="character" w:customStyle="1" w:styleId="labelspan">
    <w:name w:val="labelspan"/>
    <w:basedOn w:val="DefaultParagraphFont"/>
    <w:rsid w:val="008F4997"/>
  </w:style>
  <w:style w:type="character" w:customStyle="1" w:styleId="Heading2Char">
    <w:name w:val="Heading 2 Char"/>
    <w:basedOn w:val="DefaultParagraphFont"/>
    <w:link w:val="Heading2"/>
    <w:uiPriority w:val="9"/>
    <w:rsid w:val="002F10E8"/>
    <w:rPr>
      <w:rFonts w:ascii="Times New Roman" w:eastAsia="Times New Roman" w:hAnsi="Times New Roman" w:cs="Times New Roman"/>
      <w:b/>
      <w:bCs/>
      <w:sz w:val="36"/>
      <w:szCs w:val="36"/>
    </w:rPr>
  </w:style>
  <w:style w:type="paragraph" w:styleId="ListParagraph">
    <w:name w:val="List Paragraph"/>
    <w:basedOn w:val="Normal"/>
    <w:uiPriority w:val="34"/>
    <w:qFormat/>
    <w:rsid w:val="002F10E8"/>
    <w:pPr>
      <w:ind w:left="720"/>
      <w:contextualSpacing/>
    </w:pPr>
    <w:rPr>
      <w:rFonts w:asciiTheme="minorHAnsi" w:eastAsiaTheme="minorHAnsi" w:hAnsiTheme="minorHAnsi" w:cstheme="minorBidi"/>
    </w:rPr>
  </w:style>
  <w:style w:type="character" w:styleId="LineNumber">
    <w:name w:val="line number"/>
    <w:basedOn w:val="DefaultParagraphFont"/>
    <w:uiPriority w:val="99"/>
    <w:semiHidden/>
    <w:unhideWhenUsed/>
    <w:rsid w:val="00A863E2"/>
  </w:style>
  <w:style w:type="paragraph" w:styleId="Footer">
    <w:name w:val="footer"/>
    <w:basedOn w:val="Normal"/>
    <w:link w:val="FooterChar"/>
    <w:uiPriority w:val="99"/>
    <w:unhideWhenUsed/>
    <w:rsid w:val="009B6E57"/>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9B6E57"/>
  </w:style>
  <w:style w:type="character" w:styleId="PageNumber">
    <w:name w:val="page number"/>
    <w:basedOn w:val="DefaultParagraphFont"/>
    <w:uiPriority w:val="99"/>
    <w:semiHidden/>
    <w:unhideWhenUsed/>
    <w:rsid w:val="009B6E57"/>
  </w:style>
  <w:style w:type="character" w:styleId="Hyperlink">
    <w:name w:val="Hyperlink"/>
    <w:basedOn w:val="DefaultParagraphFont"/>
    <w:uiPriority w:val="99"/>
    <w:semiHidden/>
    <w:unhideWhenUsed/>
    <w:rsid w:val="008C422D"/>
    <w:rPr>
      <w:color w:val="0000FF"/>
      <w:u w:val="single"/>
    </w:rPr>
  </w:style>
  <w:style w:type="paragraph" w:styleId="NormalWeb">
    <w:name w:val="Normal (Web)"/>
    <w:basedOn w:val="Normal"/>
    <w:uiPriority w:val="99"/>
    <w:unhideWhenUsed/>
    <w:rsid w:val="00152CA4"/>
    <w:pPr>
      <w:spacing w:before="100" w:beforeAutospacing="1" w:after="100" w:afterAutospacing="1"/>
    </w:pPr>
  </w:style>
  <w:style w:type="character" w:styleId="FollowedHyperlink">
    <w:name w:val="FollowedHyperlink"/>
    <w:basedOn w:val="DefaultParagraphFont"/>
    <w:uiPriority w:val="99"/>
    <w:semiHidden/>
    <w:unhideWhenUsed/>
    <w:rsid w:val="00152CA4"/>
    <w:rPr>
      <w:color w:val="954F72" w:themeColor="followedHyperlink"/>
      <w:u w:val="single"/>
    </w:rPr>
  </w:style>
  <w:style w:type="character" w:customStyle="1" w:styleId="info">
    <w:name w:val="info"/>
    <w:basedOn w:val="DefaultParagraphFont"/>
    <w:rsid w:val="00841F0D"/>
  </w:style>
  <w:style w:type="paragraph" w:styleId="CommentText">
    <w:name w:val="annotation text"/>
    <w:basedOn w:val="Normal"/>
    <w:link w:val="CommentTextChar"/>
    <w:uiPriority w:val="99"/>
    <w:semiHidden/>
    <w:unhideWhenUsed/>
    <w:rsid w:val="00717DB1"/>
    <w:rPr>
      <w:sz w:val="20"/>
      <w:szCs w:val="20"/>
    </w:rPr>
  </w:style>
  <w:style w:type="character" w:customStyle="1" w:styleId="CommentTextChar">
    <w:name w:val="Comment Text Char"/>
    <w:basedOn w:val="DefaultParagraphFont"/>
    <w:link w:val="CommentText"/>
    <w:uiPriority w:val="99"/>
    <w:semiHidden/>
    <w:rsid w:val="00717DB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17DB1"/>
    <w:rPr>
      <w:b/>
      <w:bCs/>
    </w:rPr>
  </w:style>
  <w:style w:type="character" w:customStyle="1" w:styleId="CommentSubjectChar">
    <w:name w:val="Comment Subject Char"/>
    <w:basedOn w:val="CommentTextChar"/>
    <w:link w:val="CommentSubject"/>
    <w:uiPriority w:val="99"/>
    <w:semiHidden/>
    <w:rsid w:val="00717DB1"/>
    <w:rPr>
      <w:rFonts w:ascii="Times New Roman" w:eastAsia="Times New Roman" w:hAnsi="Times New Roman" w:cs="Times New Roman"/>
      <w:b/>
      <w:bCs/>
      <w:sz w:val="20"/>
      <w:szCs w:val="20"/>
    </w:rPr>
  </w:style>
  <w:style w:type="paragraph" w:styleId="Revision">
    <w:name w:val="Revision"/>
    <w:hidden/>
    <w:uiPriority w:val="99"/>
    <w:semiHidden/>
    <w:rsid w:val="00717DB1"/>
    <w:rPr>
      <w:rFonts w:ascii="Times New Roman" w:eastAsia="Times New Roman" w:hAnsi="Times New Roman" w:cs="Times New Roman"/>
    </w:rPr>
  </w:style>
  <w:style w:type="character" w:customStyle="1" w:styleId="Heading5Char">
    <w:name w:val="Heading 5 Char"/>
    <w:basedOn w:val="DefaultParagraphFont"/>
    <w:link w:val="Heading5"/>
    <w:uiPriority w:val="9"/>
    <w:semiHidden/>
    <w:rsid w:val="00326305"/>
    <w:rPr>
      <w:rFonts w:asciiTheme="majorHAnsi" w:eastAsiaTheme="majorEastAsia" w:hAnsiTheme="majorHAnsi" w:cstheme="majorBidi"/>
      <w:color w:val="2F5496" w:themeColor="accent1" w:themeShade="BF"/>
    </w:rPr>
  </w:style>
  <w:style w:type="character" w:styleId="SubtleEmphasis">
    <w:name w:val="Subtle Emphasis"/>
    <w:basedOn w:val="DefaultParagraphFont"/>
    <w:uiPriority w:val="19"/>
    <w:qFormat/>
    <w:rsid w:val="00326305"/>
    <w:rPr>
      <w:i/>
      <w:iCs/>
      <w:color w:val="404040" w:themeColor="text1" w:themeTint="BF"/>
    </w:rPr>
  </w:style>
  <w:style w:type="paragraph" w:customStyle="1" w:styleId="paragraph">
    <w:name w:val="paragraph"/>
    <w:basedOn w:val="Normal"/>
    <w:rsid w:val="00D838CF"/>
    <w:pPr>
      <w:spacing w:before="100" w:beforeAutospacing="1" w:after="100" w:afterAutospacing="1"/>
    </w:pPr>
    <w:rPr>
      <w:lang w:val="en-GB" w:eastAsia="en-GB"/>
    </w:rPr>
  </w:style>
  <w:style w:type="paragraph" w:styleId="BalloonText">
    <w:name w:val="Balloon Text"/>
    <w:basedOn w:val="Normal"/>
    <w:link w:val="BalloonTextChar"/>
    <w:uiPriority w:val="99"/>
    <w:semiHidden/>
    <w:unhideWhenUsed/>
    <w:rsid w:val="00BB34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345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8713">
      <w:bodyDiv w:val="1"/>
      <w:marLeft w:val="0"/>
      <w:marRight w:val="0"/>
      <w:marTop w:val="0"/>
      <w:marBottom w:val="0"/>
      <w:divBdr>
        <w:top w:val="none" w:sz="0" w:space="0" w:color="auto"/>
        <w:left w:val="none" w:sz="0" w:space="0" w:color="auto"/>
        <w:bottom w:val="none" w:sz="0" w:space="0" w:color="auto"/>
        <w:right w:val="none" w:sz="0" w:space="0" w:color="auto"/>
      </w:divBdr>
    </w:div>
    <w:div w:id="97919397">
      <w:bodyDiv w:val="1"/>
      <w:marLeft w:val="0"/>
      <w:marRight w:val="0"/>
      <w:marTop w:val="0"/>
      <w:marBottom w:val="0"/>
      <w:divBdr>
        <w:top w:val="none" w:sz="0" w:space="0" w:color="auto"/>
        <w:left w:val="none" w:sz="0" w:space="0" w:color="auto"/>
        <w:bottom w:val="none" w:sz="0" w:space="0" w:color="auto"/>
        <w:right w:val="none" w:sz="0" w:space="0" w:color="auto"/>
      </w:divBdr>
    </w:div>
    <w:div w:id="224223663">
      <w:bodyDiv w:val="1"/>
      <w:marLeft w:val="0"/>
      <w:marRight w:val="0"/>
      <w:marTop w:val="0"/>
      <w:marBottom w:val="0"/>
      <w:divBdr>
        <w:top w:val="none" w:sz="0" w:space="0" w:color="auto"/>
        <w:left w:val="none" w:sz="0" w:space="0" w:color="auto"/>
        <w:bottom w:val="none" w:sz="0" w:space="0" w:color="auto"/>
        <w:right w:val="none" w:sz="0" w:space="0" w:color="auto"/>
      </w:divBdr>
    </w:div>
    <w:div w:id="253904631">
      <w:bodyDiv w:val="1"/>
      <w:marLeft w:val="0"/>
      <w:marRight w:val="0"/>
      <w:marTop w:val="0"/>
      <w:marBottom w:val="0"/>
      <w:divBdr>
        <w:top w:val="none" w:sz="0" w:space="0" w:color="auto"/>
        <w:left w:val="none" w:sz="0" w:space="0" w:color="auto"/>
        <w:bottom w:val="none" w:sz="0" w:space="0" w:color="auto"/>
        <w:right w:val="none" w:sz="0" w:space="0" w:color="auto"/>
      </w:divBdr>
    </w:div>
    <w:div w:id="282659639">
      <w:bodyDiv w:val="1"/>
      <w:marLeft w:val="0"/>
      <w:marRight w:val="0"/>
      <w:marTop w:val="0"/>
      <w:marBottom w:val="0"/>
      <w:divBdr>
        <w:top w:val="none" w:sz="0" w:space="0" w:color="auto"/>
        <w:left w:val="none" w:sz="0" w:space="0" w:color="auto"/>
        <w:bottom w:val="none" w:sz="0" w:space="0" w:color="auto"/>
        <w:right w:val="none" w:sz="0" w:space="0" w:color="auto"/>
      </w:divBdr>
    </w:div>
    <w:div w:id="327634662">
      <w:bodyDiv w:val="1"/>
      <w:marLeft w:val="0"/>
      <w:marRight w:val="0"/>
      <w:marTop w:val="0"/>
      <w:marBottom w:val="0"/>
      <w:divBdr>
        <w:top w:val="none" w:sz="0" w:space="0" w:color="auto"/>
        <w:left w:val="none" w:sz="0" w:space="0" w:color="auto"/>
        <w:bottom w:val="none" w:sz="0" w:space="0" w:color="auto"/>
        <w:right w:val="none" w:sz="0" w:space="0" w:color="auto"/>
      </w:divBdr>
    </w:div>
    <w:div w:id="332612842">
      <w:bodyDiv w:val="1"/>
      <w:marLeft w:val="0"/>
      <w:marRight w:val="0"/>
      <w:marTop w:val="0"/>
      <w:marBottom w:val="0"/>
      <w:divBdr>
        <w:top w:val="none" w:sz="0" w:space="0" w:color="auto"/>
        <w:left w:val="none" w:sz="0" w:space="0" w:color="auto"/>
        <w:bottom w:val="none" w:sz="0" w:space="0" w:color="auto"/>
        <w:right w:val="none" w:sz="0" w:space="0" w:color="auto"/>
      </w:divBdr>
    </w:div>
    <w:div w:id="337847757">
      <w:bodyDiv w:val="1"/>
      <w:marLeft w:val="0"/>
      <w:marRight w:val="0"/>
      <w:marTop w:val="0"/>
      <w:marBottom w:val="0"/>
      <w:divBdr>
        <w:top w:val="none" w:sz="0" w:space="0" w:color="auto"/>
        <w:left w:val="none" w:sz="0" w:space="0" w:color="auto"/>
        <w:bottom w:val="none" w:sz="0" w:space="0" w:color="auto"/>
        <w:right w:val="none" w:sz="0" w:space="0" w:color="auto"/>
      </w:divBdr>
    </w:div>
    <w:div w:id="356665045">
      <w:bodyDiv w:val="1"/>
      <w:marLeft w:val="0"/>
      <w:marRight w:val="0"/>
      <w:marTop w:val="0"/>
      <w:marBottom w:val="0"/>
      <w:divBdr>
        <w:top w:val="none" w:sz="0" w:space="0" w:color="auto"/>
        <w:left w:val="none" w:sz="0" w:space="0" w:color="auto"/>
        <w:bottom w:val="none" w:sz="0" w:space="0" w:color="auto"/>
        <w:right w:val="none" w:sz="0" w:space="0" w:color="auto"/>
      </w:divBdr>
    </w:div>
    <w:div w:id="397945514">
      <w:bodyDiv w:val="1"/>
      <w:marLeft w:val="0"/>
      <w:marRight w:val="0"/>
      <w:marTop w:val="0"/>
      <w:marBottom w:val="0"/>
      <w:divBdr>
        <w:top w:val="none" w:sz="0" w:space="0" w:color="auto"/>
        <w:left w:val="none" w:sz="0" w:space="0" w:color="auto"/>
        <w:bottom w:val="none" w:sz="0" w:space="0" w:color="auto"/>
        <w:right w:val="none" w:sz="0" w:space="0" w:color="auto"/>
      </w:divBdr>
    </w:div>
    <w:div w:id="434251933">
      <w:bodyDiv w:val="1"/>
      <w:marLeft w:val="0"/>
      <w:marRight w:val="0"/>
      <w:marTop w:val="0"/>
      <w:marBottom w:val="0"/>
      <w:divBdr>
        <w:top w:val="none" w:sz="0" w:space="0" w:color="auto"/>
        <w:left w:val="none" w:sz="0" w:space="0" w:color="auto"/>
        <w:bottom w:val="none" w:sz="0" w:space="0" w:color="auto"/>
        <w:right w:val="none" w:sz="0" w:space="0" w:color="auto"/>
      </w:divBdr>
    </w:div>
    <w:div w:id="526406718">
      <w:bodyDiv w:val="1"/>
      <w:marLeft w:val="0"/>
      <w:marRight w:val="0"/>
      <w:marTop w:val="0"/>
      <w:marBottom w:val="0"/>
      <w:divBdr>
        <w:top w:val="none" w:sz="0" w:space="0" w:color="auto"/>
        <w:left w:val="none" w:sz="0" w:space="0" w:color="auto"/>
        <w:bottom w:val="none" w:sz="0" w:space="0" w:color="auto"/>
        <w:right w:val="none" w:sz="0" w:space="0" w:color="auto"/>
      </w:divBdr>
    </w:div>
    <w:div w:id="547374461">
      <w:bodyDiv w:val="1"/>
      <w:marLeft w:val="0"/>
      <w:marRight w:val="0"/>
      <w:marTop w:val="0"/>
      <w:marBottom w:val="0"/>
      <w:divBdr>
        <w:top w:val="none" w:sz="0" w:space="0" w:color="auto"/>
        <w:left w:val="none" w:sz="0" w:space="0" w:color="auto"/>
        <w:bottom w:val="none" w:sz="0" w:space="0" w:color="auto"/>
        <w:right w:val="none" w:sz="0" w:space="0" w:color="auto"/>
      </w:divBdr>
    </w:div>
    <w:div w:id="555825142">
      <w:bodyDiv w:val="1"/>
      <w:marLeft w:val="0"/>
      <w:marRight w:val="0"/>
      <w:marTop w:val="0"/>
      <w:marBottom w:val="0"/>
      <w:divBdr>
        <w:top w:val="none" w:sz="0" w:space="0" w:color="auto"/>
        <w:left w:val="none" w:sz="0" w:space="0" w:color="auto"/>
        <w:bottom w:val="none" w:sz="0" w:space="0" w:color="auto"/>
        <w:right w:val="none" w:sz="0" w:space="0" w:color="auto"/>
      </w:divBdr>
    </w:div>
    <w:div w:id="563218821">
      <w:bodyDiv w:val="1"/>
      <w:marLeft w:val="0"/>
      <w:marRight w:val="0"/>
      <w:marTop w:val="0"/>
      <w:marBottom w:val="0"/>
      <w:divBdr>
        <w:top w:val="none" w:sz="0" w:space="0" w:color="auto"/>
        <w:left w:val="none" w:sz="0" w:space="0" w:color="auto"/>
        <w:bottom w:val="none" w:sz="0" w:space="0" w:color="auto"/>
        <w:right w:val="none" w:sz="0" w:space="0" w:color="auto"/>
      </w:divBdr>
    </w:div>
    <w:div w:id="790367266">
      <w:bodyDiv w:val="1"/>
      <w:marLeft w:val="0"/>
      <w:marRight w:val="0"/>
      <w:marTop w:val="0"/>
      <w:marBottom w:val="0"/>
      <w:divBdr>
        <w:top w:val="none" w:sz="0" w:space="0" w:color="auto"/>
        <w:left w:val="none" w:sz="0" w:space="0" w:color="auto"/>
        <w:bottom w:val="none" w:sz="0" w:space="0" w:color="auto"/>
        <w:right w:val="none" w:sz="0" w:space="0" w:color="auto"/>
      </w:divBdr>
    </w:div>
    <w:div w:id="793599981">
      <w:bodyDiv w:val="1"/>
      <w:marLeft w:val="0"/>
      <w:marRight w:val="0"/>
      <w:marTop w:val="0"/>
      <w:marBottom w:val="0"/>
      <w:divBdr>
        <w:top w:val="none" w:sz="0" w:space="0" w:color="auto"/>
        <w:left w:val="none" w:sz="0" w:space="0" w:color="auto"/>
        <w:bottom w:val="none" w:sz="0" w:space="0" w:color="auto"/>
        <w:right w:val="none" w:sz="0" w:space="0" w:color="auto"/>
      </w:divBdr>
    </w:div>
    <w:div w:id="823930313">
      <w:bodyDiv w:val="1"/>
      <w:marLeft w:val="0"/>
      <w:marRight w:val="0"/>
      <w:marTop w:val="0"/>
      <w:marBottom w:val="0"/>
      <w:divBdr>
        <w:top w:val="none" w:sz="0" w:space="0" w:color="auto"/>
        <w:left w:val="none" w:sz="0" w:space="0" w:color="auto"/>
        <w:bottom w:val="none" w:sz="0" w:space="0" w:color="auto"/>
        <w:right w:val="none" w:sz="0" w:space="0" w:color="auto"/>
      </w:divBdr>
    </w:div>
    <w:div w:id="894707381">
      <w:bodyDiv w:val="1"/>
      <w:marLeft w:val="0"/>
      <w:marRight w:val="0"/>
      <w:marTop w:val="0"/>
      <w:marBottom w:val="0"/>
      <w:divBdr>
        <w:top w:val="none" w:sz="0" w:space="0" w:color="auto"/>
        <w:left w:val="none" w:sz="0" w:space="0" w:color="auto"/>
        <w:bottom w:val="none" w:sz="0" w:space="0" w:color="auto"/>
        <w:right w:val="none" w:sz="0" w:space="0" w:color="auto"/>
      </w:divBdr>
    </w:div>
    <w:div w:id="1039941101">
      <w:bodyDiv w:val="1"/>
      <w:marLeft w:val="0"/>
      <w:marRight w:val="0"/>
      <w:marTop w:val="0"/>
      <w:marBottom w:val="0"/>
      <w:divBdr>
        <w:top w:val="none" w:sz="0" w:space="0" w:color="auto"/>
        <w:left w:val="none" w:sz="0" w:space="0" w:color="auto"/>
        <w:bottom w:val="none" w:sz="0" w:space="0" w:color="auto"/>
        <w:right w:val="none" w:sz="0" w:space="0" w:color="auto"/>
      </w:divBdr>
    </w:div>
    <w:div w:id="1072507228">
      <w:bodyDiv w:val="1"/>
      <w:marLeft w:val="0"/>
      <w:marRight w:val="0"/>
      <w:marTop w:val="0"/>
      <w:marBottom w:val="0"/>
      <w:divBdr>
        <w:top w:val="none" w:sz="0" w:space="0" w:color="auto"/>
        <w:left w:val="none" w:sz="0" w:space="0" w:color="auto"/>
        <w:bottom w:val="none" w:sz="0" w:space="0" w:color="auto"/>
        <w:right w:val="none" w:sz="0" w:space="0" w:color="auto"/>
      </w:divBdr>
    </w:div>
    <w:div w:id="1129934893">
      <w:bodyDiv w:val="1"/>
      <w:marLeft w:val="0"/>
      <w:marRight w:val="0"/>
      <w:marTop w:val="0"/>
      <w:marBottom w:val="0"/>
      <w:divBdr>
        <w:top w:val="none" w:sz="0" w:space="0" w:color="auto"/>
        <w:left w:val="none" w:sz="0" w:space="0" w:color="auto"/>
        <w:bottom w:val="none" w:sz="0" w:space="0" w:color="auto"/>
        <w:right w:val="none" w:sz="0" w:space="0" w:color="auto"/>
      </w:divBdr>
    </w:div>
    <w:div w:id="1269699529">
      <w:bodyDiv w:val="1"/>
      <w:marLeft w:val="0"/>
      <w:marRight w:val="0"/>
      <w:marTop w:val="0"/>
      <w:marBottom w:val="0"/>
      <w:divBdr>
        <w:top w:val="none" w:sz="0" w:space="0" w:color="auto"/>
        <w:left w:val="none" w:sz="0" w:space="0" w:color="auto"/>
        <w:bottom w:val="none" w:sz="0" w:space="0" w:color="auto"/>
        <w:right w:val="none" w:sz="0" w:space="0" w:color="auto"/>
      </w:divBdr>
    </w:div>
    <w:div w:id="1307128677">
      <w:bodyDiv w:val="1"/>
      <w:marLeft w:val="0"/>
      <w:marRight w:val="0"/>
      <w:marTop w:val="0"/>
      <w:marBottom w:val="0"/>
      <w:divBdr>
        <w:top w:val="none" w:sz="0" w:space="0" w:color="auto"/>
        <w:left w:val="none" w:sz="0" w:space="0" w:color="auto"/>
        <w:bottom w:val="none" w:sz="0" w:space="0" w:color="auto"/>
        <w:right w:val="none" w:sz="0" w:space="0" w:color="auto"/>
      </w:divBdr>
    </w:div>
    <w:div w:id="1311595661">
      <w:bodyDiv w:val="1"/>
      <w:marLeft w:val="0"/>
      <w:marRight w:val="0"/>
      <w:marTop w:val="0"/>
      <w:marBottom w:val="0"/>
      <w:divBdr>
        <w:top w:val="none" w:sz="0" w:space="0" w:color="auto"/>
        <w:left w:val="none" w:sz="0" w:space="0" w:color="auto"/>
        <w:bottom w:val="none" w:sz="0" w:space="0" w:color="auto"/>
        <w:right w:val="none" w:sz="0" w:space="0" w:color="auto"/>
      </w:divBdr>
    </w:div>
    <w:div w:id="1365446180">
      <w:bodyDiv w:val="1"/>
      <w:marLeft w:val="0"/>
      <w:marRight w:val="0"/>
      <w:marTop w:val="0"/>
      <w:marBottom w:val="0"/>
      <w:divBdr>
        <w:top w:val="none" w:sz="0" w:space="0" w:color="auto"/>
        <w:left w:val="none" w:sz="0" w:space="0" w:color="auto"/>
        <w:bottom w:val="none" w:sz="0" w:space="0" w:color="auto"/>
        <w:right w:val="none" w:sz="0" w:space="0" w:color="auto"/>
      </w:divBdr>
    </w:div>
    <w:div w:id="1437795484">
      <w:bodyDiv w:val="1"/>
      <w:marLeft w:val="0"/>
      <w:marRight w:val="0"/>
      <w:marTop w:val="0"/>
      <w:marBottom w:val="0"/>
      <w:divBdr>
        <w:top w:val="none" w:sz="0" w:space="0" w:color="auto"/>
        <w:left w:val="none" w:sz="0" w:space="0" w:color="auto"/>
        <w:bottom w:val="none" w:sz="0" w:space="0" w:color="auto"/>
        <w:right w:val="none" w:sz="0" w:space="0" w:color="auto"/>
      </w:divBdr>
    </w:div>
    <w:div w:id="1464812821">
      <w:bodyDiv w:val="1"/>
      <w:marLeft w:val="0"/>
      <w:marRight w:val="0"/>
      <w:marTop w:val="0"/>
      <w:marBottom w:val="0"/>
      <w:divBdr>
        <w:top w:val="none" w:sz="0" w:space="0" w:color="auto"/>
        <w:left w:val="none" w:sz="0" w:space="0" w:color="auto"/>
        <w:bottom w:val="none" w:sz="0" w:space="0" w:color="auto"/>
        <w:right w:val="none" w:sz="0" w:space="0" w:color="auto"/>
      </w:divBdr>
    </w:div>
    <w:div w:id="1470588693">
      <w:bodyDiv w:val="1"/>
      <w:marLeft w:val="0"/>
      <w:marRight w:val="0"/>
      <w:marTop w:val="0"/>
      <w:marBottom w:val="0"/>
      <w:divBdr>
        <w:top w:val="none" w:sz="0" w:space="0" w:color="auto"/>
        <w:left w:val="none" w:sz="0" w:space="0" w:color="auto"/>
        <w:bottom w:val="none" w:sz="0" w:space="0" w:color="auto"/>
        <w:right w:val="none" w:sz="0" w:space="0" w:color="auto"/>
      </w:divBdr>
    </w:div>
    <w:div w:id="1529373915">
      <w:bodyDiv w:val="1"/>
      <w:marLeft w:val="0"/>
      <w:marRight w:val="0"/>
      <w:marTop w:val="0"/>
      <w:marBottom w:val="0"/>
      <w:divBdr>
        <w:top w:val="none" w:sz="0" w:space="0" w:color="auto"/>
        <w:left w:val="none" w:sz="0" w:space="0" w:color="auto"/>
        <w:bottom w:val="none" w:sz="0" w:space="0" w:color="auto"/>
        <w:right w:val="none" w:sz="0" w:space="0" w:color="auto"/>
      </w:divBdr>
    </w:div>
    <w:div w:id="1634482621">
      <w:bodyDiv w:val="1"/>
      <w:marLeft w:val="0"/>
      <w:marRight w:val="0"/>
      <w:marTop w:val="0"/>
      <w:marBottom w:val="0"/>
      <w:divBdr>
        <w:top w:val="none" w:sz="0" w:space="0" w:color="auto"/>
        <w:left w:val="none" w:sz="0" w:space="0" w:color="auto"/>
        <w:bottom w:val="none" w:sz="0" w:space="0" w:color="auto"/>
        <w:right w:val="none" w:sz="0" w:space="0" w:color="auto"/>
      </w:divBdr>
    </w:div>
    <w:div w:id="1647011880">
      <w:bodyDiv w:val="1"/>
      <w:marLeft w:val="0"/>
      <w:marRight w:val="0"/>
      <w:marTop w:val="0"/>
      <w:marBottom w:val="0"/>
      <w:divBdr>
        <w:top w:val="none" w:sz="0" w:space="0" w:color="auto"/>
        <w:left w:val="none" w:sz="0" w:space="0" w:color="auto"/>
        <w:bottom w:val="none" w:sz="0" w:space="0" w:color="auto"/>
        <w:right w:val="none" w:sz="0" w:space="0" w:color="auto"/>
      </w:divBdr>
    </w:div>
    <w:div w:id="1710688701">
      <w:bodyDiv w:val="1"/>
      <w:marLeft w:val="0"/>
      <w:marRight w:val="0"/>
      <w:marTop w:val="0"/>
      <w:marBottom w:val="0"/>
      <w:divBdr>
        <w:top w:val="none" w:sz="0" w:space="0" w:color="auto"/>
        <w:left w:val="none" w:sz="0" w:space="0" w:color="auto"/>
        <w:bottom w:val="none" w:sz="0" w:space="0" w:color="auto"/>
        <w:right w:val="none" w:sz="0" w:space="0" w:color="auto"/>
      </w:divBdr>
    </w:div>
    <w:div w:id="1736466797">
      <w:bodyDiv w:val="1"/>
      <w:marLeft w:val="0"/>
      <w:marRight w:val="0"/>
      <w:marTop w:val="0"/>
      <w:marBottom w:val="0"/>
      <w:divBdr>
        <w:top w:val="none" w:sz="0" w:space="0" w:color="auto"/>
        <w:left w:val="none" w:sz="0" w:space="0" w:color="auto"/>
        <w:bottom w:val="none" w:sz="0" w:space="0" w:color="auto"/>
        <w:right w:val="none" w:sz="0" w:space="0" w:color="auto"/>
      </w:divBdr>
    </w:div>
    <w:div w:id="1848012641">
      <w:bodyDiv w:val="1"/>
      <w:marLeft w:val="0"/>
      <w:marRight w:val="0"/>
      <w:marTop w:val="0"/>
      <w:marBottom w:val="0"/>
      <w:divBdr>
        <w:top w:val="none" w:sz="0" w:space="0" w:color="auto"/>
        <w:left w:val="none" w:sz="0" w:space="0" w:color="auto"/>
        <w:bottom w:val="none" w:sz="0" w:space="0" w:color="auto"/>
        <w:right w:val="none" w:sz="0" w:space="0" w:color="auto"/>
      </w:divBdr>
    </w:div>
    <w:div w:id="1881240433">
      <w:bodyDiv w:val="1"/>
      <w:marLeft w:val="0"/>
      <w:marRight w:val="0"/>
      <w:marTop w:val="0"/>
      <w:marBottom w:val="0"/>
      <w:divBdr>
        <w:top w:val="none" w:sz="0" w:space="0" w:color="auto"/>
        <w:left w:val="none" w:sz="0" w:space="0" w:color="auto"/>
        <w:bottom w:val="none" w:sz="0" w:space="0" w:color="auto"/>
        <w:right w:val="none" w:sz="0" w:space="0" w:color="auto"/>
      </w:divBdr>
    </w:div>
    <w:div w:id="1954046444">
      <w:bodyDiv w:val="1"/>
      <w:marLeft w:val="0"/>
      <w:marRight w:val="0"/>
      <w:marTop w:val="0"/>
      <w:marBottom w:val="0"/>
      <w:divBdr>
        <w:top w:val="none" w:sz="0" w:space="0" w:color="auto"/>
        <w:left w:val="none" w:sz="0" w:space="0" w:color="auto"/>
        <w:bottom w:val="none" w:sz="0" w:space="0" w:color="auto"/>
        <w:right w:val="none" w:sz="0" w:space="0" w:color="auto"/>
      </w:divBdr>
    </w:div>
    <w:div w:id="1968005766">
      <w:bodyDiv w:val="1"/>
      <w:marLeft w:val="0"/>
      <w:marRight w:val="0"/>
      <w:marTop w:val="0"/>
      <w:marBottom w:val="0"/>
      <w:divBdr>
        <w:top w:val="none" w:sz="0" w:space="0" w:color="auto"/>
        <w:left w:val="none" w:sz="0" w:space="0" w:color="auto"/>
        <w:bottom w:val="none" w:sz="0" w:space="0" w:color="auto"/>
        <w:right w:val="none" w:sz="0" w:space="0" w:color="auto"/>
      </w:divBdr>
    </w:div>
    <w:div w:id="2009169779">
      <w:bodyDiv w:val="1"/>
      <w:marLeft w:val="0"/>
      <w:marRight w:val="0"/>
      <w:marTop w:val="0"/>
      <w:marBottom w:val="0"/>
      <w:divBdr>
        <w:top w:val="none" w:sz="0" w:space="0" w:color="auto"/>
        <w:left w:val="none" w:sz="0" w:space="0" w:color="auto"/>
        <w:bottom w:val="none" w:sz="0" w:space="0" w:color="auto"/>
        <w:right w:val="none" w:sz="0" w:space="0" w:color="auto"/>
      </w:divBdr>
    </w:div>
    <w:div w:id="2022931037">
      <w:bodyDiv w:val="1"/>
      <w:marLeft w:val="0"/>
      <w:marRight w:val="0"/>
      <w:marTop w:val="0"/>
      <w:marBottom w:val="0"/>
      <w:divBdr>
        <w:top w:val="none" w:sz="0" w:space="0" w:color="auto"/>
        <w:left w:val="none" w:sz="0" w:space="0" w:color="auto"/>
        <w:bottom w:val="none" w:sz="0" w:space="0" w:color="auto"/>
        <w:right w:val="none" w:sz="0" w:space="0" w:color="auto"/>
      </w:divBdr>
    </w:div>
    <w:div w:id="2080591795">
      <w:bodyDiv w:val="1"/>
      <w:marLeft w:val="0"/>
      <w:marRight w:val="0"/>
      <w:marTop w:val="0"/>
      <w:marBottom w:val="0"/>
      <w:divBdr>
        <w:top w:val="none" w:sz="0" w:space="0" w:color="auto"/>
        <w:left w:val="none" w:sz="0" w:space="0" w:color="auto"/>
        <w:bottom w:val="none" w:sz="0" w:space="0" w:color="auto"/>
        <w:right w:val="none" w:sz="0" w:space="0" w:color="auto"/>
      </w:divBdr>
    </w:div>
    <w:div w:id="2126728902">
      <w:bodyDiv w:val="1"/>
      <w:marLeft w:val="0"/>
      <w:marRight w:val="0"/>
      <w:marTop w:val="0"/>
      <w:marBottom w:val="0"/>
      <w:divBdr>
        <w:top w:val="none" w:sz="0" w:space="0" w:color="auto"/>
        <w:left w:val="none" w:sz="0" w:space="0" w:color="auto"/>
        <w:bottom w:val="none" w:sz="0" w:space="0" w:color="auto"/>
        <w:right w:val="none" w:sz="0" w:space="0" w:color="auto"/>
      </w:divBdr>
    </w:div>
    <w:div w:id="2139645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57F223-1B60-493E-9700-44BED9539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37492</Words>
  <Characters>213709</Characters>
  <Application>Microsoft Office Word</Application>
  <DocSecurity>0</DocSecurity>
  <Lines>1780</Lines>
  <Paragraphs>501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Elbaz Elmotayem, Nancy</dc:creator>
  <cp:keywords/>
  <dc:description/>
  <cp:lastModifiedBy>McDonald, Thomas</cp:lastModifiedBy>
  <cp:revision>3</cp:revision>
  <dcterms:created xsi:type="dcterms:W3CDTF">2021-07-02T16:07:00Z</dcterms:created>
  <dcterms:modified xsi:type="dcterms:W3CDTF">2021-07-02T16:07:00Z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http://www.zotero.org/styles/international-journal-of-biological-macromolecules</vt:lpwstr>
  </property>
  <property fmtid="{D5CDD505-2E9C-101B-9397-08002B2CF9AE}" pid="4" name="Mendeley Unique User Id_1">
    <vt:lpwstr>87c54359-32b9-3afc-b8f8-a03adf0ae839</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http://www.zotero.org/styles/chicago-note-bibliography</vt:lpwstr>
  </property>
  <property fmtid="{D5CDD505-2E9C-101B-9397-08002B2CF9AE}" pid="12" name="Mendeley Recent Style Name 3_1">
    <vt:lpwstr>Chicago Manual of Style 17th edition (note)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http://www.zotero.org/styles/international-journal-of-biological-macromolecules</vt:lpwstr>
  </property>
  <property fmtid="{D5CDD505-2E9C-101B-9397-08002B2CF9AE}" pid="18" name="Mendeley Recent Style Name 6_1">
    <vt:lpwstr>International Journal of Biological Macromolecules</vt:lpwstr>
  </property>
  <property fmtid="{D5CDD505-2E9C-101B-9397-08002B2CF9AE}" pid="19" name="Mendeley Recent Style Id 7_1">
    <vt:lpwstr>http://www.zotero.org/styles/journal-of-materials-chemistry-b</vt:lpwstr>
  </property>
  <property fmtid="{D5CDD505-2E9C-101B-9397-08002B2CF9AE}" pid="20" name="Mendeley Recent Style Name 7_1">
    <vt:lpwstr>Journal of Materials Chemistry B</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