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4BCAA" w14:textId="77777777" w:rsidR="00C41119" w:rsidRDefault="00C41119" w:rsidP="00532D1D">
      <w:pPr>
        <w:rPr>
          <w:rFonts w:cs="Times New Roman"/>
          <w:b/>
          <w:bCs/>
          <w:i/>
          <w:iCs/>
          <w:sz w:val="24"/>
        </w:rPr>
      </w:pPr>
      <w:r w:rsidRPr="00A9273C">
        <w:rPr>
          <w:rFonts w:cs="Times New Roman"/>
          <w:b/>
          <w:bCs/>
          <w:i/>
          <w:iCs/>
          <w:sz w:val="24"/>
        </w:rPr>
        <w:t>Review</w:t>
      </w:r>
    </w:p>
    <w:p w14:paraId="3C96A212" w14:textId="3EEA3CEC" w:rsidR="00C41119" w:rsidRPr="008715B4" w:rsidRDefault="00E7507C" w:rsidP="00532D1D">
      <w:pPr>
        <w:rPr>
          <w:rFonts w:cs="Times New Roman"/>
          <w:b/>
          <w:bCs/>
          <w:sz w:val="24"/>
        </w:rPr>
      </w:pPr>
      <w:r>
        <w:rPr>
          <w:rFonts w:cs="Times New Roman"/>
          <w:b/>
          <w:bCs/>
          <w:sz w:val="24"/>
        </w:rPr>
        <w:t>Artemisinin Inspired Synthetic Endoperoxide Drug Candidates</w:t>
      </w:r>
      <w:r w:rsidR="003A3987">
        <w:rPr>
          <w:rFonts w:cs="Times New Roman"/>
          <w:b/>
          <w:bCs/>
          <w:sz w:val="24"/>
        </w:rPr>
        <w:t>:</w:t>
      </w:r>
      <w:r>
        <w:rPr>
          <w:rFonts w:cs="Times New Roman"/>
          <w:b/>
          <w:bCs/>
          <w:sz w:val="24"/>
        </w:rPr>
        <w:t xml:space="preserve"> Design, Synthesis and Mechanism of Action Studies</w:t>
      </w:r>
    </w:p>
    <w:p w14:paraId="79D45DFC" w14:textId="77777777" w:rsidR="00C41119" w:rsidRPr="00E45743" w:rsidRDefault="00C41119" w:rsidP="00532D1D">
      <w:pPr>
        <w:rPr>
          <w:rFonts w:cs="Times New Roman"/>
          <w:b/>
          <w:bCs/>
          <w:i/>
          <w:iCs/>
          <w:sz w:val="24"/>
        </w:rPr>
      </w:pPr>
    </w:p>
    <w:p w14:paraId="63267765" w14:textId="4E5DFE27" w:rsidR="00C41119" w:rsidRDefault="00C41119" w:rsidP="00532D1D">
      <w:pPr>
        <w:widowControl w:val="0"/>
        <w:autoSpaceDE w:val="0"/>
        <w:autoSpaceDN w:val="0"/>
        <w:adjustRightInd w:val="0"/>
        <w:rPr>
          <w:rFonts w:cs="Times New Roman"/>
          <w:sz w:val="24"/>
          <w:vertAlign w:val="superscript"/>
        </w:rPr>
      </w:pPr>
      <w:r w:rsidRPr="00A9273C">
        <w:rPr>
          <w:rFonts w:cs="Times New Roman"/>
          <w:sz w:val="24"/>
        </w:rPr>
        <w:t>Chris</w:t>
      </w:r>
      <w:r>
        <w:rPr>
          <w:rFonts w:cs="Times New Roman"/>
          <w:sz w:val="24"/>
        </w:rPr>
        <w:t>topher</w:t>
      </w:r>
      <w:r w:rsidRPr="00A9273C">
        <w:rPr>
          <w:rFonts w:cs="Times New Roman"/>
          <w:sz w:val="24"/>
        </w:rPr>
        <w:t xml:space="preserve"> </w:t>
      </w:r>
      <w:bookmarkStart w:id="0" w:name="_Hlk48521350"/>
      <w:proofErr w:type="spellStart"/>
      <w:r w:rsidRPr="00A9273C">
        <w:rPr>
          <w:rFonts w:cs="Times New Roman"/>
          <w:sz w:val="24"/>
        </w:rPr>
        <w:t>Woodley</w:t>
      </w:r>
      <w:bookmarkEnd w:id="0"/>
      <w:r w:rsidRPr="005D0E79">
        <w:rPr>
          <w:rFonts w:cs="Times New Roman"/>
          <w:i/>
          <w:iCs/>
          <w:sz w:val="24"/>
          <w:vertAlign w:val="superscript"/>
        </w:rPr>
        <w:t>a</w:t>
      </w:r>
      <w:proofErr w:type="spellEnd"/>
      <w:r w:rsidRPr="00A9273C">
        <w:rPr>
          <w:rFonts w:cs="Times New Roman"/>
          <w:sz w:val="24"/>
        </w:rPr>
        <w:t>,</w:t>
      </w:r>
      <w:r>
        <w:rPr>
          <w:rFonts w:cs="Times New Roman"/>
          <w:sz w:val="24"/>
        </w:rPr>
        <w:t xml:space="preserve"> </w:t>
      </w:r>
      <w:r w:rsidRPr="00A9273C">
        <w:rPr>
          <w:rFonts w:cs="Times New Roman"/>
          <w:sz w:val="24"/>
        </w:rPr>
        <w:t xml:space="preserve">Patrícia S. M. </w:t>
      </w:r>
      <w:proofErr w:type="spellStart"/>
      <w:proofErr w:type="gramStart"/>
      <w:r w:rsidRPr="00ED1768">
        <w:rPr>
          <w:rFonts w:cs="Times New Roman"/>
          <w:sz w:val="24"/>
        </w:rPr>
        <w:t>Amado</w:t>
      </w:r>
      <w:r w:rsidR="000A0C83">
        <w:rPr>
          <w:rFonts w:cs="Times New Roman"/>
          <w:i/>
          <w:iCs/>
          <w:sz w:val="24"/>
          <w:vertAlign w:val="superscript"/>
        </w:rPr>
        <w:t>a,</w:t>
      </w:r>
      <w:r w:rsidRPr="00ED1768">
        <w:rPr>
          <w:rFonts w:cs="Times New Roman"/>
          <w:i/>
          <w:iCs/>
          <w:sz w:val="24"/>
          <w:vertAlign w:val="superscript"/>
        </w:rPr>
        <w:t>b</w:t>
      </w:r>
      <w:proofErr w:type="gramEnd"/>
      <w:r w:rsidRPr="00ED1768">
        <w:rPr>
          <w:rFonts w:cs="Times New Roman"/>
          <w:i/>
          <w:iCs/>
          <w:sz w:val="24"/>
          <w:vertAlign w:val="superscript"/>
        </w:rPr>
        <w:t>,c</w:t>
      </w:r>
      <w:proofErr w:type="spellEnd"/>
      <w:r w:rsidRPr="00ED1768">
        <w:rPr>
          <w:rFonts w:cs="Times New Roman"/>
          <w:sz w:val="24"/>
        </w:rPr>
        <w:t xml:space="preserve">, Maria L. S. </w:t>
      </w:r>
      <w:proofErr w:type="spellStart"/>
      <w:r w:rsidRPr="00ED1768">
        <w:rPr>
          <w:rFonts w:cs="Times New Roman"/>
          <w:sz w:val="24"/>
        </w:rPr>
        <w:t>Cristiano</w:t>
      </w:r>
      <w:r w:rsidRPr="00ED1768">
        <w:rPr>
          <w:rFonts w:cs="Times New Roman"/>
          <w:i/>
          <w:iCs/>
          <w:sz w:val="24"/>
          <w:vertAlign w:val="superscript"/>
        </w:rPr>
        <w:t>b,c</w:t>
      </w:r>
      <w:proofErr w:type="spellEnd"/>
      <w:r>
        <w:rPr>
          <w:rFonts w:cs="Times New Roman"/>
          <w:i/>
          <w:iCs/>
          <w:sz w:val="24"/>
          <w:vertAlign w:val="superscript"/>
        </w:rPr>
        <w:t xml:space="preserve"> </w:t>
      </w:r>
      <w:r w:rsidRPr="00ED1768">
        <w:rPr>
          <w:rFonts w:cs="Times New Roman"/>
          <w:sz w:val="24"/>
        </w:rPr>
        <w:t>and</w:t>
      </w:r>
      <w:r w:rsidRPr="00ED1768">
        <w:rPr>
          <w:rFonts w:cs="Times New Roman"/>
          <w:i/>
          <w:iCs/>
          <w:sz w:val="24"/>
          <w:vertAlign w:val="superscript"/>
        </w:rPr>
        <w:t xml:space="preserve"> </w:t>
      </w:r>
      <w:r w:rsidRPr="00ED1768">
        <w:rPr>
          <w:rFonts w:cs="Times New Roman"/>
          <w:sz w:val="24"/>
        </w:rPr>
        <w:t>Paul</w:t>
      </w:r>
      <w:r w:rsidRPr="00A9273C">
        <w:rPr>
          <w:rFonts w:cs="Times New Roman"/>
          <w:sz w:val="24"/>
        </w:rPr>
        <w:t xml:space="preserve"> M. </w:t>
      </w:r>
      <w:proofErr w:type="spellStart"/>
      <w:r w:rsidRPr="00A9273C">
        <w:rPr>
          <w:rFonts w:cs="Times New Roman"/>
          <w:sz w:val="24"/>
        </w:rPr>
        <w:t>O’Neill</w:t>
      </w:r>
      <w:r>
        <w:rPr>
          <w:rFonts w:cs="Times New Roman"/>
          <w:i/>
          <w:iCs/>
          <w:sz w:val="24"/>
          <w:vertAlign w:val="superscript"/>
        </w:rPr>
        <w:t>a</w:t>
      </w:r>
      <w:proofErr w:type="spellEnd"/>
    </w:p>
    <w:p w14:paraId="55BF386E" w14:textId="77777777" w:rsidR="00C41119" w:rsidRDefault="00C41119" w:rsidP="00532D1D">
      <w:pPr>
        <w:widowControl w:val="0"/>
        <w:autoSpaceDE w:val="0"/>
        <w:autoSpaceDN w:val="0"/>
        <w:adjustRightInd w:val="0"/>
        <w:rPr>
          <w:rFonts w:cs="Times New Roman"/>
          <w:sz w:val="24"/>
          <w:vertAlign w:val="superscript"/>
        </w:rPr>
      </w:pPr>
    </w:p>
    <w:p w14:paraId="23E4AC87" w14:textId="77777777" w:rsidR="00C41119" w:rsidRDefault="00C41119" w:rsidP="00532D1D">
      <w:pPr>
        <w:widowControl w:val="0"/>
        <w:autoSpaceDE w:val="0"/>
        <w:autoSpaceDN w:val="0"/>
        <w:adjustRightInd w:val="0"/>
        <w:rPr>
          <w:rFonts w:cs="Times New Roman"/>
          <w:i/>
          <w:iCs/>
          <w:sz w:val="24"/>
          <w:vertAlign w:val="superscript"/>
        </w:rPr>
      </w:pPr>
      <w:r w:rsidRPr="007370A6">
        <w:rPr>
          <w:rFonts w:cs="Times New Roman"/>
          <w:i/>
          <w:iCs/>
          <w:sz w:val="24"/>
          <w:vertAlign w:val="superscript"/>
          <w:lang w:val="en-US"/>
        </w:rPr>
        <w:t>a</w:t>
      </w:r>
      <w:r w:rsidRPr="007370A6">
        <w:rPr>
          <w:rFonts w:cs="Times New Roman"/>
          <w:i/>
          <w:iCs/>
          <w:sz w:val="24"/>
          <w:lang w:val="en-US"/>
        </w:rPr>
        <w:t xml:space="preserve"> Department of Chemistry, University of Liverpool, Liverpool L69 7ZD (United Kingdom)</w:t>
      </w:r>
      <w:r>
        <w:rPr>
          <w:rFonts w:cs="Times New Roman"/>
          <w:sz w:val="24"/>
          <w:vertAlign w:val="superscript"/>
        </w:rPr>
        <w:t xml:space="preserve"> </w:t>
      </w:r>
      <w:r>
        <w:rPr>
          <w:rFonts w:cs="Times New Roman"/>
          <w:i/>
          <w:iCs/>
          <w:sz w:val="24"/>
          <w:vertAlign w:val="superscript"/>
        </w:rPr>
        <w:t xml:space="preserve">  </w:t>
      </w:r>
    </w:p>
    <w:p w14:paraId="16BB8559" w14:textId="77777777" w:rsidR="00C41119" w:rsidRDefault="00C41119" w:rsidP="00532D1D">
      <w:pPr>
        <w:widowControl w:val="0"/>
        <w:autoSpaceDE w:val="0"/>
        <w:autoSpaceDN w:val="0"/>
        <w:adjustRightInd w:val="0"/>
        <w:rPr>
          <w:rFonts w:cs="Times New Roman"/>
          <w:i/>
          <w:iCs/>
          <w:sz w:val="24"/>
          <w:lang w:val="en-US"/>
        </w:rPr>
      </w:pPr>
      <w:r w:rsidRPr="005D0E79">
        <w:rPr>
          <w:rFonts w:cs="Times New Roman"/>
          <w:i/>
          <w:iCs/>
          <w:sz w:val="24"/>
          <w:vertAlign w:val="superscript"/>
          <w:lang w:val="en-US"/>
        </w:rPr>
        <w:t xml:space="preserve">b </w:t>
      </w:r>
      <w:r w:rsidRPr="00A9273C">
        <w:rPr>
          <w:rFonts w:cs="Times New Roman"/>
          <w:i/>
          <w:iCs/>
          <w:sz w:val="24"/>
          <w:lang w:val="en-US"/>
        </w:rPr>
        <w:t>Center of Marine Sciences - CCMAR, University of Algarve, P-8005-039 Faro (Portugal)</w:t>
      </w:r>
    </w:p>
    <w:p w14:paraId="64FC5578" w14:textId="576560C9" w:rsidR="00C41119" w:rsidRDefault="00C41119" w:rsidP="00532D1D">
      <w:pPr>
        <w:widowControl w:val="0"/>
        <w:autoSpaceDE w:val="0"/>
        <w:autoSpaceDN w:val="0"/>
        <w:adjustRightInd w:val="0"/>
        <w:rPr>
          <w:rFonts w:cs="Times New Roman"/>
          <w:i/>
          <w:iCs/>
          <w:sz w:val="24"/>
          <w:lang w:val="en-US"/>
        </w:rPr>
      </w:pPr>
      <w:r>
        <w:rPr>
          <w:rFonts w:cs="Times New Roman"/>
          <w:i/>
          <w:iCs/>
          <w:sz w:val="24"/>
          <w:vertAlign w:val="superscript"/>
          <w:lang w:val="en-US"/>
        </w:rPr>
        <w:t xml:space="preserve">c </w:t>
      </w:r>
      <w:r w:rsidRPr="00A9273C">
        <w:rPr>
          <w:rFonts w:cs="Times New Roman"/>
          <w:i/>
          <w:iCs/>
          <w:sz w:val="24"/>
          <w:lang w:val="en-US"/>
        </w:rPr>
        <w:t>Department of Chemistry and Pharmacy, F.C.T., University of Algarve, P-8005-039 Faro (Portugal)</w:t>
      </w:r>
    </w:p>
    <w:p w14:paraId="673EF661" w14:textId="36FDABB5" w:rsidR="00C41119" w:rsidRPr="007370A6" w:rsidRDefault="00C41119" w:rsidP="00532D1D">
      <w:pPr>
        <w:widowControl w:val="0"/>
        <w:autoSpaceDE w:val="0"/>
        <w:autoSpaceDN w:val="0"/>
        <w:adjustRightInd w:val="0"/>
        <w:rPr>
          <w:rFonts w:cs="Times New Roman"/>
          <w:sz w:val="24"/>
          <w:vertAlign w:val="superscript"/>
          <w:lang w:val="en-US"/>
        </w:rPr>
      </w:pPr>
    </w:p>
    <w:p w14:paraId="6E0C1F82" w14:textId="319C6040" w:rsidR="007370A6" w:rsidRDefault="007370A6" w:rsidP="00532D1D">
      <w:pPr>
        <w:widowControl w:val="0"/>
        <w:autoSpaceDE w:val="0"/>
        <w:autoSpaceDN w:val="0"/>
        <w:adjustRightInd w:val="0"/>
        <w:rPr>
          <w:rFonts w:cs="Times New Roman"/>
          <w:szCs w:val="22"/>
        </w:rPr>
      </w:pPr>
      <w:r w:rsidRPr="00532D1D">
        <w:rPr>
          <w:rFonts w:cs="Times New Roman"/>
          <w:szCs w:val="22"/>
        </w:rPr>
        <w:t>Abstract</w:t>
      </w:r>
    </w:p>
    <w:p w14:paraId="57254E64" w14:textId="77777777" w:rsidR="00980656" w:rsidRPr="00980656" w:rsidRDefault="00980656" w:rsidP="00532D1D">
      <w:pPr>
        <w:widowControl w:val="0"/>
        <w:autoSpaceDE w:val="0"/>
        <w:autoSpaceDN w:val="0"/>
        <w:adjustRightInd w:val="0"/>
        <w:rPr>
          <w:rFonts w:cs="Times New Roman"/>
          <w:szCs w:val="22"/>
        </w:rPr>
      </w:pPr>
    </w:p>
    <w:p w14:paraId="7920C0A1" w14:textId="46A78676" w:rsidR="003C54A8" w:rsidRDefault="00532D1D" w:rsidP="00532D1D">
      <w:pPr>
        <w:widowControl w:val="0"/>
        <w:autoSpaceDE w:val="0"/>
        <w:autoSpaceDN w:val="0"/>
        <w:adjustRightInd w:val="0"/>
        <w:rPr>
          <w:rFonts w:cs="Times New Roman"/>
          <w:color w:val="auto"/>
          <w:szCs w:val="22"/>
        </w:rPr>
      </w:pPr>
      <w:r>
        <w:rPr>
          <w:rFonts w:cs="Times New Roman"/>
          <w:color w:val="auto"/>
          <w:szCs w:val="22"/>
        </w:rPr>
        <w:tab/>
      </w:r>
      <w:r w:rsidR="002C0E3A" w:rsidRPr="002C0E3A">
        <w:rPr>
          <w:rFonts w:cs="Times New Roman"/>
          <w:color w:val="auto"/>
          <w:szCs w:val="22"/>
        </w:rPr>
        <w:t xml:space="preserve">Artemisinin combination therapies (ACTs) have been used as the first-line treatments against P. falciparum malaria for decades. Recent advances in chemical proteomics into semi-synthetic ARTs, has shed light on their promiscuous mechanism of action via previous </w:t>
      </w:r>
      <w:proofErr w:type="spellStart"/>
      <w:r w:rsidR="002C0E3A" w:rsidRPr="002C0E3A">
        <w:rPr>
          <w:rFonts w:cs="Times New Roman"/>
          <w:color w:val="auto"/>
          <w:szCs w:val="22"/>
        </w:rPr>
        <w:t>heme</w:t>
      </w:r>
      <w:proofErr w:type="spellEnd"/>
      <w:r w:rsidR="002C0E3A" w:rsidRPr="002C0E3A">
        <w:rPr>
          <w:rFonts w:cs="Times New Roman"/>
          <w:color w:val="auto"/>
          <w:szCs w:val="22"/>
        </w:rPr>
        <w:t xml:space="preserve">-mediated bioactivation of the endoperoxide bond. Alarmingly, the rise of resistance to ART in South East Asia and the synthetic limitations of the ART scaffold have pushed the course for the necessity of entirely synthetic endoperoxide-based antimalarials. Several classes of synthetic endoperoxide antimalarials have been described in literature utilizing various endoperoxide warheads, including 1,2-dioxanes, 1,2,4-trioxanes, 1,2,4-trioxolanes, and 1,2,4,5-tetraoxanes, where two of these classes have been explored extensively. 1,2,4-trioxolane (Arterolane, </w:t>
      </w:r>
      <w:proofErr w:type="spellStart"/>
      <w:r w:rsidR="002C0E3A" w:rsidRPr="002C0E3A">
        <w:rPr>
          <w:rFonts w:cs="Times New Roman"/>
          <w:color w:val="auto"/>
          <w:szCs w:val="22"/>
        </w:rPr>
        <w:t>Artefenomel</w:t>
      </w:r>
      <w:proofErr w:type="spellEnd"/>
      <w:r w:rsidR="002C0E3A" w:rsidRPr="002C0E3A">
        <w:rPr>
          <w:rFonts w:cs="Times New Roman"/>
          <w:color w:val="auto"/>
          <w:szCs w:val="22"/>
        </w:rPr>
        <w:t>) and 1,2,4,5-tetraoxane (N205, E209) based antimalarials appear to still be in active development – the most recent publication pertaining to the development of Arteflene, Fenozan-50F, DU1301 or PA1103/SAR116242 was published in 2008. This review summarises the synthesis, biological evaluation, and mechanistic studies of the most developed synthetic endoperoxide antimalarials, providing an update on those classes still in active development</w:t>
      </w:r>
      <w:r w:rsidR="007370A6">
        <w:rPr>
          <w:rFonts w:cs="Times New Roman"/>
          <w:color w:val="auto"/>
          <w:szCs w:val="22"/>
        </w:rPr>
        <w:t xml:space="preserve">. </w:t>
      </w:r>
    </w:p>
    <w:p w14:paraId="639AE5B0" w14:textId="77777777" w:rsidR="003C54A8" w:rsidRPr="003C54A8" w:rsidRDefault="003C54A8" w:rsidP="00532D1D">
      <w:pPr>
        <w:autoSpaceDE w:val="0"/>
        <w:autoSpaceDN w:val="0"/>
        <w:adjustRightInd w:val="0"/>
        <w:ind w:firstLine="360"/>
        <w:rPr>
          <w:rFonts w:cs="Times New Roman"/>
          <w:color w:val="auto"/>
          <w:szCs w:val="22"/>
        </w:rPr>
      </w:pPr>
    </w:p>
    <w:p w14:paraId="48FC678D" w14:textId="77777777" w:rsidR="003C54A8" w:rsidRDefault="003C54A8" w:rsidP="00532D1D">
      <w:pPr>
        <w:autoSpaceDE w:val="0"/>
        <w:autoSpaceDN w:val="0"/>
        <w:adjustRightInd w:val="0"/>
        <w:ind w:firstLine="360"/>
        <w:rPr>
          <w:rFonts w:cs="Times New Roman"/>
          <w:color w:val="auto"/>
          <w:szCs w:val="22"/>
        </w:rPr>
      </w:pPr>
    </w:p>
    <w:p w14:paraId="5951DF8C" w14:textId="77777777" w:rsidR="003C54A8" w:rsidRDefault="003C54A8" w:rsidP="00532D1D">
      <w:pPr>
        <w:autoSpaceDE w:val="0"/>
        <w:autoSpaceDN w:val="0"/>
        <w:adjustRightInd w:val="0"/>
        <w:ind w:firstLine="360"/>
        <w:rPr>
          <w:rFonts w:cs="Times New Roman"/>
          <w:color w:val="auto"/>
          <w:szCs w:val="22"/>
        </w:rPr>
      </w:pPr>
    </w:p>
    <w:p w14:paraId="6ECC4B98" w14:textId="77777777" w:rsidR="003C54A8" w:rsidRDefault="003C54A8" w:rsidP="00532D1D">
      <w:pPr>
        <w:autoSpaceDE w:val="0"/>
        <w:autoSpaceDN w:val="0"/>
        <w:adjustRightInd w:val="0"/>
        <w:ind w:firstLine="360"/>
        <w:rPr>
          <w:rFonts w:cs="Times New Roman"/>
          <w:color w:val="auto"/>
          <w:szCs w:val="22"/>
        </w:rPr>
      </w:pPr>
    </w:p>
    <w:p w14:paraId="0CAE7785" w14:textId="77777777" w:rsidR="003C54A8" w:rsidRDefault="003C54A8" w:rsidP="00532D1D">
      <w:pPr>
        <w:autoSpaceDE w:val="0"/>
        <w:autoSpaceDN w:val="0"/>
        <w:adjustRightInd w:val="0"/>
        <w:ind w:firstLine="360"/>
        <w:rPr>
          <w:rFonts w:cs="Times New Roman"/>
          <w:color w:val="auto"/>
          <w:szCs w:val="22"/>
        </w:rPr>
      </w:pPr>
    </w:p>
    <w:p w14:paraId="27E8E8B8" w14:textId="2E7D017A" w:rsidR="003C54A8" w:rsidRDefault="003C54A8" w:rsidP="00532D1D">
      <w:pPr>
        <w:autoSpaceDE w:val="0"/>
        <w:autoSpaceDN w:val="0"/>
        <w:adjustRightInd w:val="0"/>
        <w:ind w:firstLine="360"/>
        <w:rPr>
          <w:rFonts w:cs="Times New Roman"/>
          <w:color w:val="auto"/>
          <w:szCs w:val="22"/>
        </w:rPr>
      </w:pPr>
      <w:r>
        <w:rPr>
          <w:rFonts w:cs="Times New Roman"/>
          <w:color w:val="auto"/>
          <w:szCs w:val="22"/>
        </w:rPr>
        <w:t xml:space="preserve">.  </w:t>
      </w:r>
    </w:p>
    <w:p w14:paraId="24184981" w14:textId="52C895E1" w:rsidR="003C54A8" w:rsidRDefault="003C54A8" w:rsidP="00532D1D">
      <w:pPr>
        <w:widowControl w:val="0"/>
        <w:autoSpaceDE w:val="0"/>
        <w:autoSpaceDN w:val="0"/>
        <w:adjustRightInd w:val="0"/>
        <w:rPr>
          <w:rFonts w:cs="Times New Roman"/>
          <w:sz w:val="24"/>
          <w:vertAlign w:val="superscript"/>
        </w:rPr>
      </w:pPr>
    </w:p>
    <w:p w14:paraId="742AC588" w14:textId="77777777" w:rsidR="003C54A8" w:rsidRPr="00C41119" w:rsidRDefault="003C54A8" w:rsidP="00532D1D">
      <w:pPr>
        <w:widowControl w:val="0"/>
        <w:autoSpaceDE w:val="0"/>
        <w:autoSpaceDN w:val="0"/>
        <w:adjustRightInd w:val="0"/>
        <w:rPr>
          <w:rFonts w:cs="Times New Roman"/>
          <w:sz w:val="24"/>
          <w:vertAlign w:val="superscript"/>
        </w:rPr>
      </w:pPr>
    </w:p>
    <w:p w14:paraId="0D12E0DB" w14:textId="77777777" w:rsidR="00C41119" w:rsidRDefault="00C41119" w:rsidP="00532D1D">
      <w:pPr>
        <w:pStyle w:val="Ttulo1"/>
        <w:spacing w:before="0"/>
        <w:ind w:left="360"/>
        <w:rPr>
          <w:rFonts w:cs="Times New Roman"/>
          <w:color w:val="auto"/>
          <w:sz w:val="22"/>
          <w:szCs w:val="22"/>
        </w:rPr>
      </w:pPr>
    </w:p>
    <w:p w14:paraId="42D844E7" w14:textId="6096AE36" w:rsidR="002A04EB" w:rsidRPr="00C07E8E" w:rsidRDefault="002A04EB" w:rsidP="00532D1D">
      <w:pPr>
        <w:pStyle w:val="Ttulo1"/>
        <w:numPr>
          <w:ilvl w:val="0"/>
          <w:numId w:val="3"/>
        </w:numPr>
        <w:spacing w:before="0"/>
        <w:rPr>
          <w:rFonts w:cs="Times New Roman"/>
          <w:color w:val="auto"/>
          <w:sz w:val="22"/>
          <w:szCs w:val="22"/>
        </w:rPr>
      </w:pPr>
      <w:r>
        <w:rPr>
          <w:rFonts w:cs="Times New Roman"/>
          <w:color w:val="auto"/>
          <w:sz w:val="22"/>
          <w:szCs w:val="22"/>
        </w:rPr>
        <w:t>Abbreviations</w:t>
      </w:r>
    </w:p>
    <w:p w14:paraId="5B1634A4" w14:textId="5BD29405" w:rsidR="002A04EB" w:rsidRDefault="002A04EB" w:rsidP="00532D1D">
      <w:pPr>
        <w:ind w:left="360" w:hanging="360"/>
        <w:rPr>
          <w:lang w:val="en-US"/>
        </w:rPr>
      </w:pPr>
    </w:p>
    <w:p w14:paraId="388567EC" w14:textId="236AE9F5" w:rsidR="00EE13A7" w:rsidRPr="007370A6" w:rsidRDefault="00EE13A7" w:rsidP="00532D1D">
      <w:pPr>
        <w:rPr>
          <w:lang w:val="en-US"/>
        </w:rPr>
      </w:pPr>
      <w:r>
        <w:t xml:space="preserve">ABPP, </w:t>
      </w:r>
      <w:r w:rsidRPr="004E1AB6">
        <w:t>based protein-profiling</w:t>
      </w:r>
      <w:r>
        <w:t xml:space="preserve"> </w:t>
      </w:r>
      <w:r w:rsidRPr="004E1AB6">
        <w:t>probes</w:t>
      </w:r>
      <w:r>
        <w:t xml:space="preserve">; 1-ABT, 1-aminobenzotriazole; ACPR, adequate clinical and parasitological response; </w:t>
      </w:r>
      <w:r w:rsidRPr="00F64D8D">
        <w:rPr>
          <w:lang w:val="en-US"/>
        </w:rPr>
        <w:t xml:space="preserve">ACT, artemisinin combination therapy; </w:t>
      </w:r>
      <w:r>
        <w:t xml:space="preserve"> </w:t>
      </w:r>
      <w:r w:rsidRPr="00F64D8D">
        <w:rPr>
          <w:lang w:val="en-US"/>
        </w:rPr>
        <w:t xml:space="preserve">ART, artemisinin; </w:t>
      </w:r>
      <w:proofErr w:type="spellStart"/>
      <w:r>
        <w:rPr>
          <w:lang w:val="en-US"/>
        </w:rPr>
        <w:t>Asn</w:t>
      </w:r>
      <w:proofErr w:type="spellEnd"/>
      <w:r>
        <w:rPr>
          <w:lang w:val="en-US"/>
        </w:rPr>
        <w:t>, Asparagine; Asp, Aspartic Acid;</w:t>
      </w:r>
      <w:r>
        <w:t xml:space="preserve"> AUC, a</w:t>
      </w:r>
      <w:r w:rsidRPr="00AB6C15">
        <w:t>rea under the curve</w:t>
      </w:r>
      <w:r>
        <w:t>; CD</w:t>
      </w:r>
      <w:r w:rsidRPr="00F64D8D">
        <w:rPr>
          <w:vertAlign w:val="subscript"/>
        </w:rPr>
        <w:t>50</w:t>
      </w:r>
      <w:r w:rsidRPr="00F64D8D">
        <w:rPr>
          <w:lang w:val="en-US"/>
        </w:rPr>
        <w:t xml:space="preserve">, median convulsive dose </w:t>
      </w:r>
      <w:r w:rsidRPr="00C12D61">
        <w:t xml:space="preserve">to reduce </w:t>
      </w:r>
      <w:proofErr w:type="spellStart"/>
      <w:r w:rsidRPr="00C12D61">
        <w:t>parasitemia</w:t>
      </w:r>
      <w:proofErr w:type="spellEnd"/>
      <w:r w:rsidRPr="00C12D61">
        <w:t xml:space="preserve"> by </w:t>
      </w:r>
      <w:r>
        <w:t>5</w:t>
      </w:r>
      <w:r w:rsidRPr="00C12D61">
        <w:t>0%</w:t>
      </w:r>
      <w:r>
        <w:t xml:space="preserve">; CQ, chloroquine; Cyp450, </w:t>
      </w:r>
      <w:proofErr w:type="spellStart"/>
      <w:r>
        <w:t>Cys</w:t>
      </w:r>
      <w:proofErr w:type="spellEnd"/>
      <w:r>
        <w:t xml:space="preserve">, Cysteine; cytochrome P450; </w:t>
      </w:r>
      <w:r w:rsidRPr="00F64D8D">
        <w:rPr>
          <w:lang w:val="en-US"/>
        </w:rPr>
        <w:t xml:space="preserve">DHA, </w:t>
      </w:r>
      <w:proofErr w:type="spellStart"/>
      <w:r w:rsidRPr="00F64D8D">
        <w:rPr>
          <w:lang w:val="en-US"/>
        </w:rPr>
        <w:t>dihydroartemisinin</w:t>
      </w:r>
      <w:proofErr w:type="spellEnd"/>
      <w:r w:rsidRPr="00F64D8D">
        <w:rPr>
          <w:lang w:val="en-US"/>
        </w:rPr>
        <w:t>;</w:t>
      </w:r>
      <w:r>
        <w:t xml:space="preserve"> </w:t>
      </w:r>
      <w:r w:rsidRPr="00F64D8D">
        <w:rPr>
          <w:lang w:val="en-US"/>
        </w:rPr>
        <w:t xml:space="preserve">DBNBS, </w:t>
      </w:r>
      <w:r w:rsidRPr="00F64D8D">
        <w:rPr>
          <w:szCs w:val="22"/>
          <w:lang w:val="en-US"/>
        </w:rPr>
        <w:t>3,5-dibromo-4-nitrosobenzenesulfonic acid sodium;</w:t>
      </w:r>
      <w:r>
        <w:t xml:space="preserve"> </w:t>
      </w:r>
      <w:r w:rsidRPr="004F7560">
        <w:t>DMF</w:t>
      </w:r>
      <w:r w:rsidRPr="00F64D8D">
        <w:rPr>
          <w:lang w:val="en-US"/>
        </w:rPr>
        <w:t>, dimethylformamide;</w:t>
      </w:r>
      <w:r>
        <w:t xml:space="preserve"> DMPK, </w:t>
      </w:r>
      <w:r w:rsidRPr="00F64D8D">
        <w:rPr>
          <w:szCs w:val="22"/>
        </w:rPr>
        <w:t>drug metabolism and pharmacokinetic;</w:t>
      </w:r>
      <w:r>
        <w:t xml:space="preserve"> </w:t>
      </w:r>
      <w:r w:rsidRPr="00F64D8D">
        <w:rPr>
          <w:lang w:val="en-US"/>
        </w:rPr>
        <w:t xml:space="preserve">DMPO, </w:t>
      </w:r>
      <w:r w:rsidRPr="00F64D8D">
        <w:rPr>
          <w:szCs w:val="22"/>
          <w:lang w:val="en-US"/>
        </w:rPr>
        <w:t xml:space="preserve">5,5-dimethyl-1-pyrroline </w:t>
      </w:r>
      <w:r w:rsidRPr="00F64D8D">
        <w:rPr>
          <w:i/>
          <w:iCs/>
          <w:szCs w:val="22"/>
          <w:lang w:val="en-US"/>
        </w:rPr>
        <w:t>N</w:t>
      </w:r>
      <w:r w:rsidRPr="00F64D8D">
        <w:rPr>
          <w:szCs w:val="22"/>
          <w:lang w:val="en-US"/>
        </w:rPr>
        <w:t>-oxide;</w:t>
      </w:r>
      <w:r>
        <w:t xml:space="preserve"> ED</w:t>
      </w:r>
      <w:r w:rsidRPr="00F64D8D">
        <w:rPr>
          <w:vertAlign w:val="subscript"/>
        </w:rPr>
        <w:t>50</w:t>
      </w:r>
      <w:r w:rsidRPr="00F64D8D">
        <w:rPr>
          <w:lang w:val="en-US"/>
        </w:rPr>
        <w:t xml:space="preserve">, </w:t>
      </w:r>
      <w:r w:rsidRPr="00C12D61">
        <w:t xml:space="preserve">dose required to reduce </w:t>
      </w:r>
      <w:proofErr w:type="spellStart"/>
      <w:r w:rsidRPr="00C12D61">
        <w:t>parasitemia</w:t>
      </w:r>
      <w:proofErr w:type="spellEnd"/>
      <w:r w:rsidRPr="00C12D61">
        <w:t xml:space="preserve"> by </w:t>
      </w:r>
      <w:r>
        <w:t>5</w:t>
      </w:r>
      <w:r w:rsidRPr="00C12D61">
        <w:t>0%</w:t>
      </w:r>
      <w:r>
        <w:t>; ED</w:t>
      </w:r>
      <w:r w:rsidRPr="00F64D8D">
        <w:rPr>
          <w:vertAlign w:val="subscript"/>
        </w:rPr>
        <w:t>90,</w:t>
      </w:r>
      <w:r w:rsidRPr="00C12D61">
        <w:t xml:space="preserve"> dose required to reduce </w:t>
      </w:r>
      <w:proofErr w:type="spellStart"/>
      <w:r w:rsidRPr="00C12D61">
        <w:t>parasitemia</w:t>
      </w:r>
      <w:proofErr w:type="spellEnd"/>
      <w:r w:rsidRPr="00C12D61">
        <w:t xml:space="preserve"> by 90%</w:t>
      </w:r>
      <w:r>
        <w:t xml:space="preserve">; </w:t>
      </w:r>
      <w:proofErr w:type="spellStart"/>
      <w:r w:rsidRPr="00F64D8D">
        <w:rPr>
          <w:lang w:val="en-US"/>
        </w:rPr>
        <w:t>EDC.HCl</w:t>
      </w:r>
      <w:proofErr w:type="spellEnd"/>
      <w:r w:rsidRPr="00F64D8D">
        <w:rPr>
          <w:lang w:val="en-US"/>
        </w:rPr>
        <w:t xml:space="preserve">, 1‐ethyl‐3‐(3‐dimethylaminopropyl) carbodiimide hydrochloride; </w:t>
      </w:r>
      <w:r w:rsidRPr="00F64D8D">
        <w:rPr>
          <w:szCs w:val="22"/>
        </w:rPr>
        <w:t>EPR, Electron paramagnetic resonance;</w:t>
      </w:r>
      <w:r>
        <w:t xml:space="preserve"> </w:t>
      </w:r>
      <w:proofErr w:type="spellStart"/>
      <w:r>
        <w:t>FaSSIF</w:t>
      </w:r>
      <w:proofErr w:type="spellEnd"/>
      <w:r>
        <w:t xml:space="preserve">, </w:t>
      </w:r>
      <w:r w:rsidRPr="00F64D8D">
        <w:rPr>
          <w:szCs w:val="22"/>
        </w:rPr>
        <w:t>fasted state simulated intestinal fluid;</w:t>
      </w:r>
      <w:r>
        <w:t xml:space="preserve"> </w:t>
      </w:r>
      <w:proofErr w:type="spellStart"/>
      <w:r>
        <w:t>FeSSIF</w:t>
      </w:r>
      <w:proofErr w:type="spellEnd"/>
      <w:r>
        <w:t xml:space="preserve">, </w:t>
      </w:r>
      <w:r w:rsidRPr="00F64D8D">
        <w:rPr>
          <w:szCs w:val="22"/>
        </w:rPr>
        <w:t>fed state simulated intestinal fluid;</w:t>
      </w:r>
      <w:r>
        <w:t xml:space="preserve"> Fe(II)-PPIX, </w:t>
      </w:r>
      <w:r w:rsidRPr="00CA0C99">
        <w:t>Fe(II)-protoporphyrin IX</w:t>
      </w:r>
      <w:r>
        <w:t xml:space="preserve">; </w:t>
      </w:r>
      <w:r w:rsidR="00192B39">
        <w:t xml:space="preserve">HDA, 4-hydroxy </w:t>
      </w:r>
      <w:proofErr w:type="spellStart"/>
      <w:r w:rsidR="00192B39">
        <w:t>deoxoartemisinin</w:t>
      </w:r>
      <w:proofErr w:type="spellEnd"/>
      <w:r w:rsidR="00192B39">
        <w:t xml:space="preserve">; </w:t>
      </w:r>
      <w:proofErr w:type="spellStart"/>
      <w:r>
        <w:t>hERG</w:t>
      </w:r>
      <w:proofErr w:type="spellEnd"/>
      <w:r>
        <w:t>,</w:t>
      </w:r>
      <w:r w:rsidRPr="00CA0C99">
        <w:t xml:space="preserve"> human ether à-go-go-related gene</w:t>
      </w:r>
      <w:r>
        <w:t>; GD</w:t>
      </w:r>
      <w:r w:rsidRPr="00F64D8D">
        <w:rPr>
          <w:vertAlign w:val="subscript"/>
        </w:rPr>
        <w:t xml:space="preserve">50, </w:t>
      </w:r>
      <w:r w:rsidRPr="00C12D61">
        <w:t xml:space="preserve">dose required to reduce </w:t>
      </w:r>
      <w:r>
        <w:t>parasite gametocytes</w:t>
      </w:r>
      <w:r w:rsidRPr="00C12D61">
        <w:t xml:space="preserve"> by </w:t>
      </w:r>
      <w:r>
        <w:t>5</w:t>
      </w:r>
      <w:r w:rsidRPr="00C12D61">
        <w:t>0%</w:t>
      </w:r>
      <w:r>
        <w:t>; GD</w:t>
      </w:r>
      <w:r w:rsidRPr="00F64D8D">
        <w:rPr>
          <w:vertAlign w:val="subscript"/>
        </w:rPr>
        <w:t>90,</w:t>
      </w:r>
      <w:r w:rsidRPr="006755EF">
        <w:t xml:space="preserve"> </w:t>
      </w:r>
      <w:r w:rsidRPr="00C12D61">
        <w:t xml:space="preserve">dose required to reduce </w:t>
      </w:r>
      <w:r>
        <w:t>parasite gametocytes</w:t>
      </w:r>
      <w:r w:rsidRPr="00C12D61">
        <w:t xml:space="preserve"> by </w:t>
      </w:r>
      <w:r>
        <w:t>90</w:t>
      </w:r>
      <w:r w:rsidRPr="00C12D61">
        <w:t>%</w:t>
      </w:r>
      <w:r>
        <w:t xml:space="preserve">; HPLC, </w:t>
      </w:r>
      <w:r w:rsidRPr="00AB6C15">
        <w:t>High performance liquid chromatography</w:t>
      </w:r>
      <w:r>
        <w:t xml:space="preserve">; </w:t>
      </w:r>
      <w:r w:rsidRPr="00F64D8D">
        <w:rPr>
          <w:lang w:val="en-US"/>
        </w:rPr>
        <w:t>IC</w:t>
      </w:r>
      <w:r w:rsidRPr="00F64D8D">
        <w:rPr>
          <w:vertAlign w:val="subscript"/>
          <w:lang w:val="en-US"/>
        </w:rPr>
        <w:t>50</w:t>
      </w:r>
      <w:r w:rsidRPr="00F64D8D">
        <w:rPr>
          <w:lang w:val="en-US"/>
        </w:rPr>
        <w:t xml:space="preserve">, half maximal (50%) inhibitory concentration of a substance; </w:t>
      </w:r>
      <w:r>
        <w:t xml:space="preserve"> </w:t>
      </w:r>
      <w:r w:rsidRPr="00F64D8D">
        <w:rPr>
          <w:lang w:val="en-US"/>
        </w:rPr>
        <w:t xml:space="preserve">IM, </w:t>
      </w:r>
      <w:r w:rsidRPr="009E3E28">
        <w:t xml:space="preserve">intramuscular; </w:t>
      </w:r>
      <w:r>
        <w:t xml:space="preserve">  </w:t>
      </w:r>
      <w:r w:rsidRPr="009E3E28">
        <w:t>IV</w:t>
      </w:r>
      <w:r>
        <w:t>,</w:t>
      </w:r>
      <w:r w:rsidRPr="009E3E28">
        <w:t xml:space="preserve"> intravenous; </w:t>
      </w:r>
      <w:r>
        <w:t xml:space="preserve"> LC-MS, li</w:t>
      </w:r>
      <w:r w:rsidRPr="00AB6C15">
        <w:t>quid chromatography–mass spectrometry</w:t>
      </w:r>
      <w:r>
        <w:t xml:space="preserve">; Lys, Lysine; </w:t>
      </w:r>
      <w:r w:rsidRPr="00F64D8D">
        <w:rPr>
          <w:i/>
          <w:iCs/>
        </w:rPr>
        <w:t>m</w:t>
      </w:r>
      <w:r w:rsidRPr="0031540F">
        <w:t>‐CPBA, meta‐</w:t>
      </w:r>
      <w:proofErr w:type="spellStart"/>
      <w:r w:rsidRPr="0031540F">
        <w:t>chloroperoxybenzoic</w:t>
      </w:r>
      <w:proofErr w:type="spellEnd"/>
      <w:r w:rsidRPr="0031540F">
        <w:t xml:space="preserve"> acid;</w:t>
      </w:r>
      <w:r>
        <w:t xml:space="preserve"> </w:t>
      </w:r>
      <w:r w:rsidRPr="0031540F">
        <w:t>MMV, medicines for malaria venture;</w:t>
      </w:r>
      <w:r>
        <w:t xml:space="preserve"> MS, li</w:t>
      </w:r>
      <w:r w:rsidRPr="00AB6C15">
        <w:t>quid chromatography–mass spectrometry</w:t>
      </w:r>
      <w:r>
        <w:t xml:space="preserve">; </w:t>
      </w:r>
      <w:r w:rsidRPr="0031540F">
        <w:t>PC</w:t>
      </w:r>
      <w:r w:rsidRPr="00F64D8D">
        <w:rPr>
          <w:vertAlign w:val="subscript"/>
        </w:rPr>
        <w:t>50</w:t>
      </w:r>
      <w:r w:rsidRPr="0031540F">
        <w:t xml:space="preserve">, </w:t>
      </w:r>
      <w:r w:rsidRPr="00F64D8D">
        <w:rPr>
          <w:szCs w:val="22"/>
        </w:rPr>
        <w:t>50% parasite clearance;</w:t>
      </w:r>
      <w:r>
        <w:t xml:space="preserve"> </w:t>
      </w:r>
      <w:r w:rsidRPr="00F64D8D">
        <w:rPr>
          <w:i/>
          <w:iCs/>
        </w:rPr>
        <w:t>Pf</w:t>
      </w:r>
      <w:r w:rsidRPr="0031540F">
        <w:t xml:space="preserve">K13, </w:t>
      </w:r>
      <w:r w:rsidRPr="00F64D8D">
        <w:rPr>
          <w:i/>
          <w:iCs/>
        </w:rPr>
        <w:t>Plasmodium falciparum</w:t>
      </w:r>
      <w:r w:rsidRPr="0031540F">
        <w:t xml:space="preserve"> </w:t>
      </w:r>
      <w:proofErr w:type="spellStart"/>
      <w:r w:rsidRPr="0031540F">
        <w:t>Kelch</w:t>
      </w:r>
      <w:proofErr w:type="spellEnd"/>
      <w:r w:rsidRPr="0031540F">
        <w:t xml:space="preserve"> 13;</w:t>
      </w:r>
      <w:r>
        <w:t xml:space="preserve"> </w:t>
      </w:r>
      <w:r w:rsidRPr="00F64D8D">
        <w:rPr>
          <w:i/>
          <w:iCs/>
        </w:rPr>
        <w:t>Pf</w:t>
      </w:r>
      <w:r>
        <w:t xml:space="preserve">TCTP, </w:t>
      </w:r>
      <w:r w:rsidRPr="00F64D8D">
        <w:rPr>
          <w:i/>
          <w:iCs/>
        </w:rPr>
        <w:t>P. falciparum</w:t>
      </w:r>
      <w:r>
        <w:t xml:space="preserve"> translationally controlled </w:t>
      </w:r>
      <w:proofErr w:type="spellStart"/>
      <w:r>
        <w:t>tumor</w:t>
      </w:r>
      <w:proofErr w:type="spellEnd"/>
      <w:r>
        <w:t xml:space="preserve"> protein; </w:t>
      </w:r>
      <w:proofErr w:type="spellStart"/>
      <w:r>
        <w:t>Phe</w:t>
      </w:r>
      <w:proofErr w:type="spellEnd"/>
      <w:r>
        <w:t xml:space="preserve">, Phenylalanine; </w:t>
      </w:r>
      <w:r w:rsidRPr="00CA0C99">
        <w:t>P.O.</w:t>
      </w:r>
      <w:r>
        <w:t>,</w:t>
      </w:r>
      <w:r w:rsidRPr="009E3E28">
        <w:t xml:space="preserve"> </w:t>
      </w:r>
      <w:r w:rsidRPr="00CA0C99">
        <w:t>Oral administration</w:t>
      </w:r>
      <w:r>
        <w:t xml:space="preserve">; PK, </w:t>
      </w:r>
      <w:r w:rsidRPr="00F64D8D">
        <w:rPr>
          <w:rFonts w:cs="Times New Roman"/>
          <w:color w:val="202122"/>
          <w:szCs w:val="22"/>
          <w:shd w:val="clear" w:color="auto" w:fill="FFFFFF"/>
        </w:rPr>
        <w:t>pharmacokinetics;</w:t>
      </w:r>
      <w:r>
        <w:t xml:space="preserve"> RCT,</w:t>
      </w:r>
      <w:r w:rsidRPr="00F64D8D">
        <w:rPr>
          <w:szCs w:val="22"/>
        </w:rPr>
        <w:t xml:space="preserve"> ring-contracted tetrahydrofuran;</w:t>
      </w:r>
      <w:r>
        <w:t xml:space="preserve"> </w:t>
      </w:r>
      <w:r w:rsidRPr="00F64D8D">
        <w:rPr>
          <w:lang w:val="en-US"/>
        </w:rPr>
        <w:t>ROS, reactive oxygen species;</w:t>
      </w:r>
      <w:r>
        <w:t xml:space="preserve"> </w:t>
      </w:r>
      <w:r w:rsidRPr="00F64D8D">
        <w:rPr>
          <w:lang w:val="en-US"/>
        </w:rPr>
        <w:t>SAR, structure‐activity relationship</w:t>
      </w:r>
      <w:r>
        <w:rPr>
          <w:lang w:val="en-US"/>
        </w:rPr>
        <w:t>;</w:t>
      </w:r>
      <w:r w:rsidRPr="00F64D8D">
        <w:rPr>
          <w:lang w:val="en-US"/>
        </w:rPr>
        <w:t xml:space="preserve"> </w:t>
      </w:r>
      <w:r w:rsidRPr="0031540F">
        <w:t xml:space="preserve">SERCA, </w:t>
      </w:r>
      <w:proofErr w:type="spellStart"/>
      <w:r w:rsidRPr="0031540F">
        <w:t>sarco</w:t>
      </w:r>
      <w:proofErr w:type="spellEnd"/>
      <w:r w:rsidRPr="0031540F">
        <w:t>/endoplasmic reticulum Ca</w:t>
      </w:r>
      <w:r w:rsidRPr="00F64D8D">
        <w:rPr>
          <w:vertAlign w:val="superscript"/>
        </w:rPr>
        <w:t>2+</w:t>
      </w:r>
      <w:r w:rsidRPr="0031540F">
        <w:t xml:space="preserve"> ATPase; </w:t>
      </w:r>
      <w:r>
        <w:t xml:space="preserve"> TCP1, Blood-Stage killers of candidates against malaria; </w:t>
      </w:r>
      <w:r w:rsidRPr="0031540F">
        <w:t xml:space="preserve">TEMPO, </w:t>
      </w:r>
      <w:r w:rsidRPr="00F64D8D">
        <w:rPr>
          <w:szCs w:val="22"/>
        </w:rPr>
        <w:t>2,2,6,6-tetramethyl-1-piperidinyloxy;</w:t>
      </w:r>
      <w:r>
        <w:rPr>
          <w:szCs w:val="22"/>
        </w:rPr>
        <w:t xml:space="preserve"> </w:t>
      </w:r>
      <w:proofErr w:type="spellStart"/>
      <w:r>
        <w:rPr>
          <w:szCs w:val="22"/>
        </w:rPr>
        <w:t>Thr</w:t>
      </w:r>
      <w:proofErr w:type="spellEnd"/>
      <w:r>
        <w:rPr>
          <w:szCs w:val="22"/>
        </w:rPr>
        <w:t>, Threonine;</w:t>
      </w:r>
      <w:r>
        <w:t xml:space="preserve"> TPP, </w:t>
      </w:r>
      <w:proofErr w:type="spellStart"/>
      <w:r>
        <w:t>T</w:t>
      </w:r>
      <w:r w:rsidRPr="00F64D8D">
        <w:rPr>
          <w:szCs w:val="22"/>
        </w:rPr>
        <w:t>etraphenylporphyrin</w:t>
      </w:r>
      <w:proofErr w:type="spellEnd"/>
      <w:r w:rsidRPr="00F64D8D">
        <w:rPr>
          <w:szCs w:val="22"/>
        </w:rPr>
        <w:t>;</w:t>
      </w:r>
      <w:r>
        <w:t xml:space="preserve"> </w:t>
      </w:r>
      <w:r w:rsidRPr="00F64D8D">
        <w:rPr>
          <w:lang w:val="en-US"/>
        </w:rPr>
        <w:t>WHO, World Health Organization.</w:t>
      </w:r>
      <w:r>
        <w:rPr>
          <w:lang w:val="en-US"/>
        </w:rPr>
        <w:t xml:space="preserve"> </w:t>
      </w:r>
    </w:p>
    <w:p w14:paraId="6707EAB0" w14:textId="77777777" w:rsidR="00385447"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t>Introduction</w:t>
      </w:r>
    </w:p>
    <w:p w14:paraId="35C36271" w14:textId="77777777" w:rsidR="00385447" w:rsidRPr="00C07E8E" w:rsidRDefault="006D7105" w:rsidP="00532D1D">
      <w:pPr>
        <w:jc w:val="center"/>
        <w:rPr>
          <w:rFonts w:cs="Times New Roman"/>
          <w:color w:val="auto"/>
          <w:szCs w:val="22"/>
        </w:rPr>
      </w:pPr>
      <w:r w:rsidRPr="006D7105">
        <w:rPr>
          <w:rFonts w:cs="Times New Roman"/>
          <w:noProof/>
          <w:color w:val="auto"/>
          <w:szCs w:val="22"/>
        </w:rPr>
        <w:object w:dxaOrig="6357" w:dyaOrig="4450" w14:anchorId="248A6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222pt;mso-width-percent:0;mso-height-percent:0;mso-width-percent:0;mso-height-percent:0" o:ole="">
            <v:imagedata r:id="rId6" o:title=""/>
          </v:shape>
          <o:OLEObject Type="Embed" ProgID="ChemDraw.Document.6.0" ShapeID="_x0000_i1025" DrawAspect="Content" ObjectID="_1669219459" r:id="rId7"/>
        </w:object>
      </w:r>
    </w:p>
    <w:p w14:paraId="23A4503C" w14:textId="5C49D074" w:rsidR="00385447" w:rsidRPr="00C07E8E" w:rsidRDefault="00C07E8E" w:rsidP="00532D1D">
      <w:pPr>
        <w:jc w:val="center"/>
        <w:rPr>
          <w:rFonts w:cs="Times New Roman"/>
          <w:color w:val="auto"/>
          <w:szCs w:val="22"/>
        </w:rPr>
      </w:pPr>
      <w:r w:rsidRPr="00C07E8E">
        <w:rPr>
          <w:rFonts w:cs="Times New Roman"/>
          <w:b/>
          <w:bCs/>
          <w:color w:val="auto"/>
          <w:szCs w:val="22"/>
        </w:rPr>
        <w:lastRenderedPageBreak/>
        <w:t>Figure 1:</w:t>
      </w:r>
      <w:r w:rsidRPr="00C07E8E">
        <w:rPr>
          <w:rFonts w:cs="Times New Roman"/>
          <w:color w:val="auto"/>
          <w:szCs w:val="22"/>
        </w:rPr>
        <w:t xml:space="preserve"> </w:t>
      </w:r>
      <w:r w:rsidR="00EE13A7" w:rsidRPr="00C07E8E">
        <w:rPr>
          <w:rFonts w:cs="Times New Roman"/>
          <w:color w:val="auto"/>
          <w:szCs w:val="22"/>
        </w:rPr>
        <w:t>Structur</w:t>
      </w:r>
      <w:r w:rsidR="00EE13A7">
        <w:rPr>
          <w:rFonts w:cs="Times New Roman"/>
          <w:color w:val="auto"/>
          <w:szCs w:val="22"/>
        </w:rPr>
        <w:t>al representation</w:t>
      </w:r>
      <w:r w:rsidR="00EE13A7" w:rsidRPr="00C07E8E">
        <w:rPr>
          <w:rFonts w:cs="Times New Roman"/>
          <w:color w:val="auto"/>
          <w:szCs w:val="22"/>
        </w:rPr>
        <w:t xml:space="preserve"> of Artemisinin and its semi-synthetic derivatives</w:t>
      </w:r>
      <w:r w:rsidR="00EE13A7">
        <w:rPr>
          <w:rFonts w:cs="Times New Roman"/>
          <w:color w:val="auto"/>
          <w:szCs w:val="22"/>
        </w:rPr>
        <w:t xml:space="preserve"> with clinical use as antimalarials.</w:t>
      </w:r>
    </w:p>
    <w:p w14:paraId="71A6D6B3" w14:textId="77777777" w:rsidR="00953669" w:rsidRPr="00C07E8E" w:rsidRDefault="00953669" w:rsidP="00532D1D">
      <w:pPr>
        <w:rPr>
          <w:rFonts w:cs="Times New Roman"/>
          <w:color w:val="auto"/>
          <w:szCs w:val="22"/>
        </w:rPr>
      </w:pPr>
    </w:p>
    <w:p w14:paraId="2887871E" w14:textId="3913620F" w:rsidR="00385447" w:rsidRPr="00C07E8E" w:rsidRDefault="00C07E8E" w:rsidP="00532D1D">
      <w:pPr>
        <w:rPr>
          <w:rFonts w:cs="Times New Roman"/>
          <w:color w:val="auto"/>
          <w:szCs w:val="22"/>
        </w:rPr>
      </w:pPr>
      <w:r w:rsidRPr="00C07E8E">
        <w:rPr>
          <w:rFonts w:cs="Times New Roman"/>
          <w:color w:val="auto"/>
          <w:szCs w:val="22"/>
        </w:rPr>
        <w:tab/>
        <w:t>The earliest literature reference to malaria was in the ancient Chinese medical text the “Nei Ching” fabled to be written by the semi-mythical Emperor Huangdi in 2600 BC – though it is more likely to have been written much later around 300 BC by a combination of writers.</w:t>
      </w:r>
      <w:r w:rsidR="007125A3">
        <w:rPr>
          <w:rFonts w:cs="Times New Roman"/>
          <w:color w:val="auto"/>
          <w:szCs w:val="22"/>
        </w:rPr>
        <w:fldChar w:fldCharType="begin" w:fldLock="1"/>
      </w:r>
      <w:r w:rsidR="007125A3">
        <w:rPr>
          <w:rFonts w:cs="Times New Roman"/>
          <w:color w:val="auto"/>
          <w:szCs w:val="22"/>
        </w:rPr>
        <w:instrText>ADDIN CSL_CITATION {"citationItems":[{"id":"ITEM-1","itemData":{"DOI":"10.1525/9780520963245","ISBN":"9780520288263","author":[{"dropping-particle":"","family":"Veith","given":"Ilza","non-dropping-particle":"","parse-names":false,"suffix":""}],"container-title":"The Yellow Emperor's Classic of Internal Medicine","id":"ITEM-1","issued":{"date-parts":[["2019"]]},"publisher":"University of California Press","title":"The Yellow Emperor's Classic of Internal Medicine","type":"book"},"uris":["http://www.mendeley.com/documents/?uuid=3aa26bcf-bcc3-49bd-a857-e8a55b31be4b"]},{"id":"ITEM-2","itemData":{"DOI":"10.1136/bmj.39527.472303.4e","ISSN":"0959-8138","abstract":"The Yellow Emperor's Classic has become a landmark in the history of Chinese civilization. In recent years, traditional medical practice has seen a dynamic revival in China and throughout many countries in the Western world. Elements of this time-honored therapy, including acupuncture and the harmony of human spirit with the natural world, have become part of mainstream medical practice; The Yellow Emperor's Classic provides the historical and philosophical foundation of this practice. Ilza Veith provides an extensive introduction to her monumental translation of this classic work, which is written in the form of a dialogue in which the emperor seeks information from his minister Ch'I-Po on all questions of health and the art of healing. A new foreword by Ken Rose places the translation in its historic contexts, underlining its significance to the Western world's understanding of Chinese medicine.","author":[{"dropping-particle":"","family":"Curran","given":"James","non-dropping-particle":"","parse-names":false,"suffix":""}],"container-title":"British Medical Journal","id":"ITEM-2","issue":"7647","issued":{"date-parts":[["2008"]]},"page":"777.2-777","title":"The Yellow Emperor’s Classic of Internal Medicine","type":"article-journal","volume":"336"},"uris":["http://www.mendeley.com/documents/?uuid=ef79eb6a-373c-4436-a673-21e6598fd893"]}],"mendeley":{"formattedCitation":"&lt;sup&gt;1,2&lt;/sup&gt;","plainTextFormattedCitation":"1,2","previouslyFormattedCitation":"&lt;sup&gt;1,2&lt;/sup&gt;"},"properties":{"noteIndex":0},"schema":"https://github.com/citation-style-language/schema/raw/master/csl-citation.json"}</w:instrText>
      </w:r>
      <w:r w:rsidR="007125A3">
        <w:rPr>
          <w:rFonts w:cs="Times New Roman"/>
          <w:color w:val="auto"/>
          <w:szCs w:val="22"/>
        </w:rPr>
        <w:fldChar w:fldCharType="separate"/>
      </w:r>
      <w:r w:rsidR="007125A3" w:rsidRPr="007125A3">
        <w:rPr>
          <w:rFonts w:cs="Times New Roman"/>
          <w:noProof/>
          <w:color w:val="auto"/>
          <w:szCs w:val="22"/>
          <w:vertAlign w:val="superscript"/>
        </w:rPr>
        <w:t>1,2</w:t>
      </w:r>
      <w:r w:rsidR="007125A3">
        <w:rPr>
          <w:rFonts w:cs="Times New Roman"/>
          <w:color w:val="auto"/>
          <w:szCs w:val="22"/>
        </w:rPr>
        <w:fldChar w:fldCharType="end"/>
      </w:r>
      <w:r w:rsidRPr="00C07E8E">
        <w:rPr>
          <w:rFonts w:cs="Times New Roman"/>
          <w:color w:val="auto"/>
          <w:szCs w:val="22"/>
        </w:rPr>
        <w:t xml:space="preserve"> In this work, malaria is described as a progressive flu-like disease with references to splenomegaly and seasonal differences in symptoms.</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{"citationItems":[{"id":"ITEM-1","itemData":{"DOI":"10.1016/j.dza.2013.06.025","ISBN":"9780520948181","ISSN":"04156412","abstract":"A foundation of Chinese life sciences and medicine, the Huang Di Nei Jing Su Wen is now available for the first time in a complete, fully annotated English translation. Also known as Su Wen, or The Yellow Emperor's Inner Classic, this influential work came into being over a long period reaching from the 2nd century bce to the 8th century ce. Combining the views of different schools, it relies exclusively on natural law as conceptualized in yin/yang and Five Agents doctrines to define health and disease, and repeatedly emphasizes personal responsibility for the length and quality of one's life. This two-volume edition includes excerpts from all the major commentaries on the Su Wen, and extensive annotation drawn from hundreds of monographs and articles by Chinese and Japanese authors produced over the past 1600 years and into the twentieth century.","author":[{"dropping-particle":"","family":"Unschuld","given":"Paul U.","non-dropping-particle":"","parse-names":false,"suffix":""},{"dropping-particle":"","family":"Tessenow","given":"Hermann","non-dropping-particle":"","parse-names":false,"suffix":""},{"dropping-particle":"","family":"Jinsheng","given":"Zheng","non-dropping-particle":"","parse-names":false,"suffix":""}],"container-title":"Huang Di Nei Jing Su Wen: An Annotated Translation of Huang Di's Inner Classic - Basic Questions","id":"ITEM-1","issued":{"date-parts":[["2011"]]},"title":"Huang Di nei jing su wen: An annotated translation of Huang Di's Inner Classic - Basic Questions","type":"book"},"uris":["http://www.mendeley.com/documents/?uuid=e04210fa-da53-4791-92f6-48619026fd27"]}],"mendeley":{"formattedCitation":"&lt;sup&gt;3&lt;/sup&gt;","plainTextFormattedCitation":"3","previouslyFormattedCitation":"&lt;sup&gt;3&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3</w:t>
      </w:r>
      <w:r w:rsidRPr="00C07E8E">
        <w:rPr>
          <w:rFonts w:cs="Times New Roman"/>
          <w:color w:val="auto"/>
          <w:szCs w:val="22"/>
        </w:rPr>
        <w:fldChar w:fldCharType="end"/>
      </w:r>
      <w:r w:rsidRPr="00C07E8E">
        <w:rPr>
          <w:rFonts w:cs="Times New Roman"/>
          <w:color w:val="auto"/>
          <w:szCs w:val="22"/>
        </w:rPr>
        <w:t xml:space="preserve"> As malaria has been present throughout human history it is no surprise that over 1200 plant species have been utilised in traditional medicine to treat malaria – including the leaves </w:t>
      </w:r>
      <w:r w:rsidRPr="00C07E8E">
        <w:rPr>
          <w:rFonts w:cs="Times New Roman"/>
          <w:i/>
          <w:iCs/>
          <w:color w:val="auto"/>
          <w:szCs w:val="22"/>
        </w:rPr>
        <w:t>of Artemisia annua</w:t>
      </w:r>
      <w:r w:rsidRPr="00C07E8E">
        <w:rPr>
          <w:rFonts w:cs="Times New Roman"/>
          <w:color w:val="auto"/>
          <w:szCs w:val="22"/>
        </w:rPr>
        <w:t xml:space="preserve"> or sweet wormwood.</w:t>
      </w:r>
      <w:r w:rsidR="00297D61" w:rsidRPr="00C07E8E">
        <w:rPr>
          <w:rFonts w:cs="Times New Roman"/>
          <w:color w:val="auto"/>
          <w:szCs w:val="22"/>
        </w:rPr>
        <w:fldChar w:fldCharType="begin" w:fldLock="1"/>
      </w:r>
      <w:r w:rsidR="007125A3">
        <w:rPr>
          <w:rFonts w:cs="Times New Roman"/>
          <w:color w:val="auto"/>
          <w:szCs w:val="22"/>
        </w:rPr>
        <w:instrText>ADDIN CSL_CITATION {"citationItems":[{"id":"ITEM-1","itemData":{"DOI":"10.1136/bmj.329.7475.1156","ISSN":"09598146","PMID":"15539672","author":[{"dropping-particle":"","family":"Willcox","given":"Merlin L.","non-dropping-particle":"","parse-names":false,"suffix":""},{"dropping-particle":"","family":"Bodeker","given":"Gerard","non-dropping-particle":"","parse-names":false,"suffix":""}],"container-title":"British Medical Journal","id":"ITEM-1","issue":"7475","issued":{"date-parts":[["2004"]]},"page":"1156-1159","title":"Traditional herbal medicines for malaria","type":"article-journal","volume":"329"},"uris":["http://www.mendeley.com/documents/?uuid=957951d1-ad92-42b0-8cd8-dff0db88d85a"]}],"mendeley":{"formattedCitation":"&lt;sup&gt;4&lt;/sup&gt;","plainTextFormattedCitation":"4","previouslyFormattedCitation":"&lt;sup&gt;4&lt;/sup&gt;"},"properties":{"noteIndex":0},"schema":"https://github.com/citation-style-language/schema/raw/master/csl-citation.json"}</w:instrText>
      </w:r>
      <w:r w:rsidR="00297D61" w:rsidRPr="00C07E8E">
        <w:rPr>
          <w:rFonts w:cs="Times New Roman"/>
          <w:color w:val="auto"/>
          <w:szCs w:val="22"/>
        </w:rPr>
        <w:fldChar w:fldCharType="separate"/>
      </w:r>
      <w:r w:rsidR="007125A3" w:rsidRPr="007125A3">
        <w:rPr>
          <w:rFonts w:cs="Times New Roman"/>
          <w:noProof/>
          <w:color w:val="auto"/>
          <w:szCs w:val="22"/>
          <w:vertAlign w:val="superscript"/>
        </w:rPr>
        <w:t>4</w:t>
      </w:r>
      <w:r w:rsidR="00297D61" w:rsidRPr="00C07E8E">
        <w:rPr>
          <w:rFonts w:cs="Times New Roman"/>
          <w:color w:val="auto"/>
          <w:szCs w:val="22"/>
        </w:rPr>
        <w:fldChar w:fldCharType="end"/>
      </w:r>
      <w:r w:rsidRPr="00C07E8E">
        <w:rPr>
          <w:rFonts w:cs="Times New Roman"/>
          <w:color w:val="auto"/>
          <w:szCs w:val="22"/>
        </w:rPr>
        <w:t xml:space="preserve"> The use of sweet wormwood for the treatment of malaria comes from traditional Chinese medicine as first described in “A Handbook of Formulas for Emergencies” by Ge Hong (283-363CE) which states “Have a handful of herb of sweet wormwood and soak it in two sheng (200 mL) of water. Squeeze it to get the juice and drink.”</w:t>
      </w:r>
      <w:r w:rsidR="00297D61" w:rsidRPr="00C07E8E">
        <w:rPr>
          <w:rFonts w:cs="Times New Roman"/>
          <w:color w:val="auto"/>
          <w:szCs w:val="22"/>
        </w:rPr>
        <w:fldChar w:fldCharType="begin" w:fldLock="1"/>
      </w:r>
      <w:r w:rsidR="007125A3">
        <w:rPr>
          <w:rFonts w:cs="Times New Roman"/>
          <w:color w:val="auto"/>
          <w:szCs w:val="22"/>
        </w:rPr>
        <w:instrText>ADDIN CSL_CITATION {"citationItems":[{"id":"ITEM-1","itemData":{"DOI":"10.1016/j.jtcms.2016.09.001","ISSN":"20957548","author":[{"dropping-particle":"","family":"Li","given":"Min","non-dropping-particle":"","parse-names":false,"suffix":""},{"dropping-particle":"","family":"Liang","given":"Yongxuan","non-dropping-particle":"","parse-names":false,"suffix":""}],"container-title":"Journal of Traditional Chinese Medical Sciences","id":"ITEM-1","issue":"1","issued":{"date-parts":[["2016"]]},"page":"1-2","title":"Ge Hong and Zhou Hou Jiu Zu Fang (A Handbook of Formulas for Emergencies)","type":"article-journal","volume":"3"},"uris":["http://www.mendeley.com/documents/?uuid=bab922a5-ed62-4ed6-b318-a36d6e300ab2"]}],"mendeley":{"formattedCitation":"&lt;sup&gt;5&lt;/sup&gt;","plainTextFormattedCitation":"5","previouslyFormattedCitation":"&lt;sup&gt;5&lt;/sup&gt;"},"properties":{"noteIndex":0},"schema":"https://github.com/citation-style-language/schema/raw/master/csl-citation.json"}</w:instrText>
      </w:r>
      <w:r w:rsidR="00297D61" w:rsidRPr="00C07E8E">
        <w:rPr>
          <w:rFonts w:cs="Times New Roman"/>
          <w:color w:val="auto"/>
          <w:szCs w:val="22"/>
        </w:rPr>
        <w:fldChar w:fldCharType="separate"/>
      </w:r>
      <w:r w:rsidR="007125A3" w:rsidRPr="007125A3">
        <w:rPr>
          <w:rFonts w:cs="Times New Roman"/>
          <w:noProof/>
          <w:color w:val="auto"/>
          <w:szCs w:val="22"/>
          <w:vertAlign w:val="superscript"/>
        </w:rPr>
        <w:t>5</w:t>
      </w:r>
      <w:r w:rsidR="00297D61" w:rsidRPr="00C07E8E">
        <w:rPr>
          <w:rFonts w:cs="Times New Roman"/>
          <w:color w:val="auto"/>
          <w:szCs w:val="22"/>
        </w:rPr>
        <w:fldChar w:fldCharType="end"/>
      </w:r>
      <w:r w:rsidRPr="00C07E8E">
        <w:rPr>
          <w:rFonts w:cs="Times New Roman"/>
          <w:color w:val="auto"/>
          <w:szCs w:val="22"/>
        </w:rPr>
        <w:t xml:space="preserve"> Owing to the efficacy of sweet wormwood in treating malaria significant interest was taken in determining the active component. </w:t>
      </w:r>
    </w:p>
    <w:p w14:paraId="4E1DA241" w14:textId="11BB4EB6" w:rsidR="00216A58" w:rsidRDefault="00216A58" w:rsidP="00532D1D">
      <w:pPr>
        <w:ind w:firstLine="720"/>
        <w:rPr>
          <w:rFonts w:cs="Times New Roman"/>
          <w:color w:val="auto"/>
          <w:szCs w:val="22"/>
        </w:rPr>
      </w:pPr>
      <w:r>
        <w:rPr>
          <w:rFonts w:cs="Times New Roman"/>
          <w:color w:val="auto"/>
          <w:szCs w:val="22"/>
        </w:rPr>
        <w:t xml:space="preserve">With the intention of finding a solution to the massive </w:t>
      </w:r>
      <w:r w:rsidR="004A4853">
        <w:rPr>
          <w:rFonts w:cs="Times New Roman"/>
          <w:color w:val="auto"/>
          <w:szCs w:val="22"/>
        </w:rPr>
        <w:t>deaths</w:t>
      </w:r>
      <w:r>
        <w:rPr>
          <w:rFonts w:cs="Times New Roman"/>
          <w:color w:val="auto"/>
          <w:szCs w:val="22"/>
        </w:rPr>
        <w:t xml:space="preserve"> caused by Malaria during the Vietnam </w:t>
      </w:r>
      <w:r w:rsidR="004A4853">
        <w:rPr>
          <w:rFonts w:cs="Times New Roman"/>
          <w:color w:val="auto"/>
          <w:szCs w:val="22"/>
        </w:rPr>
        <w:t>War</w:t>
      </w:r>
      <w:r>
        <w:rPr>
          <w:rFonts w:cs="Times New Roman"/>
          <w:color w:val="auto"/>
          <w:szCs w:val="22"/>
        </w:rPr>
        <w:t xml:space="preserve">, </w:t>
      </w:r>
      <w:r w:rsidRPr="00B5503F">
        <w:rPr>
          <w:rFonts w:cs="Times New Roman"/>
          <w:color w:val="auto"/>
          <w:szCs w:val="22"/>
        </w:rPr>
        <w:t xml:space="preserve">the </w:t>
      </w:r>
      <w:r w:rsidR="00B5503F">
        <w:rPr>
          <w:rFonts w:cs="Times New Roman"/>
          <w:color w:val="auto"/>
          <w:szCs w:val="22"/>
        </w:rPr>
        <w:t xml:space="preserve"> People’s Republic of </w:t>
      </w:r>
      <w:r>
        <w:rPr>
          <w:rFonts w:cs="Times New Roman"/>
          <w:color w:val="auto"/>
          <w:szCs w:val="22"/>
        </w:rPr>
        <w:t>China recruited a large number of Chi</w:t>
      </w:r>
      <w:r w:rsidR="004A4853">
        <w:rPr>
          <w:rFonts w:cs="Times New Roman"/>
          <w:color w:val="auto"/>
          <w:szCs w:val="22"/>
        </w:rPr>
        <w:t xml:space="preserve">nese </w:t>
      </w:r>
      <w:r w:rsidR="006A51AE">
        <w:rPr>
          <w:rFonts w:cs="Times New Roman"/>
          <w:color w:val="auto"/>
          <w:szCs w:val="22"/>
        </w:rPr>
        <w:t>s</w:t>
      </w:r>
      <w:r w:rsidR="004A4853">
        <w:rPr>
          <w:rFonts w:cs="Times New Roman"/>
          <w:color w:val="auto"/>
          <w:szCs w:val="22"/>
        </w:rPr>
        <w:t xml:space="preserve">cientists to work towards a </w:t>
      </w:r>
      <w:r>
        <w:rPr>
          <w:rFonts w:cs="Times New Roman"/>
          <w:color w:val="auto"/>
          <w:szCs w:val="22"/>
        </w:rPr>
        <w:t>project codenamed Project 523 which, in part, involved the screening of traditional Chinese herbs for antimalarial effect.</w:t>
      </w:r>
      <w:r w:rsidR="004E7962">
        <w:rPr>
          <w:rFonts w:cs="Times New Roman"/>
          <w:color w:val="auto"/>
          <w:szCs w:val="22"/>
        </w:rPr>
        <w:fldChar w:fldCharType="begin" w:fldLock="1"/>
      </w:r>
      <w:r w:rsidR="007125A3">
        <w:rPr>
          <w:rFonts w:cs="Times New Roman"/>
          <w:color w:val="auto"/>
          <w:szCs w:val="22"/>
        </w:rPr>
        <w:instrText>ADDIN CSL_CITATION {"citationItems":[{"id":"ITEM-1","itemData":{"DOI":"10.1038/nm.2471","ISSN":"10788956","PMID":"21989013","author":[{"dropping-particle":"","family":"Tu","given":"Youyou","non-dropping-particle":"","parse-names":false,"suffix":""}],"container-title":"Nature Medicine","id":"ITEM-1","issue":"10","issued":{"date-parts":[["2011"]]},"page":"1217-1220","title":"The discovery of artemisinin (qinghaosu) and gifts from Chinese medicine","type":"article-journal","volume":"17"},"uris":["http://www.mendeley.com/documents/?uuid=100d4b80-74b8-4b94-a54e-8e6f69d8a550"]},{"id":"ITEM-2","itemData":{"DOI":"10.1111/j.1365-2125.2006.02673.x","ISSN":"03065251","PMID":"16722826","abstract":"Artemisinin, qinghaosu, was extracted from the traditional Chinese medical drug qinghao (the blue-green herb) in the early 1970s. Its 'discovery' can thus be hailed as an achievement of research groups who were paradoxically successful, working as they were at the height of a political mass movement in communist China, known in the West as the Cultural Revolution (1966-1976), a period that was marked by chaos, cruelty and enormous suffering, particularly, but by no means only, among the intelligentsia. On the one hand, China's cultural heritage was seen as a hindrance to progress and Mao set out to destroy it, but on the other hand he praised it as a 'treasure house', full of gems that, if adjusted to the demands of contemporary society, could be used 'for serving the people' (wei renmin fuwu). The success of the 'task of combating malaria' (kang nüe ren wu), sometimes known as 'task number five hundred and twenty-three', depended crucially on modern scientists who took seriously knowledge that was recorded in a traditional Chinese medical text, Emergency Prescriptions Kept up one's Sleeve by the famous physician Ge Hong (284-363). © 2006 Blackwell Publishing Ltd.","author":[{"dropping-particle":"","family":"Hsu","given":"Elisabeth","non-dropping-particle":"","parse-names":false,"suffix":""}],"container-title":"British Journal of Clinical Pharmacology","id":"ITEM-2","issue":"6","issued":{"date-parts":[["2006"]]},"page":"666-670","title":"Reflections on the 'discovery' of the antimalarial qinghao","type":"article-journal","volume":"61"},"uris":["http://www.mendeley.com/documents/?uuid=7c15b69f-72b9-4524-a7a4-9018c42de14a","http://www.mendeley.com/documents/?uuid=2e2129f0-0704-47c7-830d-0fedb9266e69"]}],"mendeley":{"formattedCitation":"&lt;sup&gt;6,7&lt;/sup&gt;","plainTextFormattedCitation":"6,7","previouslyFormattedCitation":"&lt;sup&gt;6,7&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6,7</w:t>
      </w:r>
      <w:r w:rsidR="004E7962">
        <w:rPr>
          <w:rFonts w:cs="Times New Roman"/>
          <w:color w:val="auto"/>
          <w:szCs w:val="22"/>
        </w:rPr>
        <w:fldChar w:fldCharType="end"/>
      </w:r>
      <w:r>
        <w:rPr>
          <w:rFonts w:cs="Times New Roman"/>
          <w:color w:val="auto"/>
          <w:szCs w:val="22"/>
        </w:rPr>
        <w:t xml:space="preserve"> As part of this, the</w:t>
      </w:r>
      <w:r w:rsidR="00C07E8E" w:rsidRPr="00C07E8E">
        <w:rPr>
          <w:rFonts w:cs="Times New Roman"/>
          <w:color w:val="auto"/>
          <w:szCs w:val="22"/>
        </w:rPr>
        <w:t xml:space="preserve"> antimalarial activity of various extracts of sweet wormwood leaves was investigated by Tu Youyou</w:t>
      </w:r>
      <w:r w:rsidR="00184EC5">
        <w:rPr>
          <w:rFonts w:cs="Times New Roman"/>
          <w:color w:val="auto"/>
          <w:szCs w:val="22"/>
        </w:rPr>
        <w:t>,</w:t>
      </w:r>
      <w:r w:rsidR="00C07E8E" w:rsidRPr="00C07E8E">
        <w:rPr>
          <w:rFonts w:cs="Times New Roman"/>
          <w:color w:val="auto"/>
          <w:szCs w:val="22"/>
        </w:rPr>
        <w:t xml:space="preserve"> finding that the initial ether-extract of </w:t>
      </w:r>
      <w:r w:rsidR="00C07E8E" w:rsidRPr="00C07E8E">
        <w:rPr>
          <w:rFonts w:cs="Times New Roman"/>
          <w:i/>
          <w:iCs/>
          <w:color w:val="auto"/>
          <w:szCs w:val="22"/>
        </w:rPr>
        <w:t>Artemisia annua</w:t>
      </w:r>
      <w:r w:rsidR="00C07E8E" w:rsidRPr="00C07E8E">
        <w:rPr>
          <w:rFonts w:cs="Times New Roman"/>
          <w:color w:val="auto"/>
          <w:szCs w:val="22"/>
        </w:rPr>
        <w:t xml:space="preserve"> was shown to be 100% effective at treating parasitaemia in rodents. Subsequent work led to the isolation of the active compound artemisinin (ART, </w:t>
      </w:r>
      <w:r w:rsidR="007125A3" w:rsidRPr="00C07E8E">
        <w:rPr>
          <w:rFonts w:cs="Times New Roman"/>
          <w:b/>
          <w:bCs/>
          <w:color w:val="auto"/>
          <w:szCs w:val="22"/>
        </w:rPr>
        <w:t>1</w:t>
      </w:r>
      <w:r w:rsidR="00C07E8E" w:rsidRPr="00C07E8E">
        <w:rPr>
          <w:rFonts w:cs="Times New Roman"/>
          <w:b/>
          <w:bCs/>
          <w:color w:val="auto"/>
          <w:szCs w:val="22"/>
        </w:rPr>
        <w:t>,</w:t>
      </w:r>
      <w:r w:rsidR="007125A3" w:rsidRPr="007125A3">
        <w:rPr>
          <w:rFonts w:cs="Times New Roman"/>
          <w:b/>
          <w:bCs/>
          <w:color w:val="auto"/>
          <w:szCs w:val="22"/>
        </w:rPr>
        <w:t xml:space="preserve"> </w:t>
      </w:r>
      <w:r w:rsidR="007125A3" w:rsidRPr="00C07E8E">
        <w:rPr>
          <w:rFonts w:cs="Times New Roman"/>
          <w:b/>
          <w:bCs/>
          <w:color w:val="auto"/>
          <w:szCs w:val="22"/>
        </w:rPr>
        <w:t>Figure 1</w:t>
      </w:r>
      <w:r w:rsidR="00C07E8E" w:rsidRPr="00C07E8E">
        <w:rPr>
          <w:rFonts w:cs="Times New Roman"/>
          <w:color w:val="auto"/>
          <w:szCs w:val="22"/>
        </w:rPr>
        <w:t>) for which Tu Youyou was awarded the Nobel prize for medicine in 2015.</w:t>
      </w:r>
      <w:r w:rsidR="004E7962">
        <w:rPr>
          <w:rFonts w:cs="Times New Roman"/>
          <w:color w:val="auto"/>
          <w:szCs w:val="22"/>
        </w:rPr>
        <w:fldChar w:fldCharType="begin" w:fldLock="1"/>
      </w:r>
      <w:r w:rsidR="007125A3">
        <w:rPr>
          <w:rFonts w:cs="Times New Roman"/>
          <w:color w:val="auto"/>
          <w:szCs w:val="22"/>
        </w:rPr>
        <w:instrText>ADDIN CSL_CITATION {"citationItems":[{"id":"ITEM-1","itemData":{"DOI":"10.1007/s11427-015-4948-7","ISSN":"18691889","PMID":"26481135","author":[{"dropping-particle":"","family":"Su","given":"Xin Zhuan","non-dropping-particle":"","parse-names":false,"suffix":""},{"dropping-particle":"","family":"Miller","given":"Louis H.","non-dropping-particle":"","parse-names":false,"suffix":""}],"container-title":"Science China. Life sciences","id":"ITEM-1","issue":"11","issued":{"date-parts":[["2015"]]},"page":"1175-1179","title":"The discovery of artemisinin and the Nobel Prize in Physiology or Medicine","type":"article-journal","volume":"58"},"uris":["http://www.mendeley.com/documents/?uuid=e4a83466-ff58-43d3-a982-dde51488a407"]},{"id":"ITEM-2","itemData":{"DOI":"10.1038/nm.2471","ISSN":"10788956","PMID":"21989013","author":[{"dropping-particle":"","family":"Tu","given":"Youyou","non-dropping-particle":"","parse-names":false,"suffix":""}],"container-title":"Nature Medicine","id":"ITEM-2","issue":"10","issued":{"date-parts":[["2011"]]},"page":"1217-1220","title":"The discovery of artemisinin (qinghaosu) and gifts from Chinese medicine","type":"article-journal","volume":"17"},"uris":["http://www.mendeley.com/documents/?uuid=100d4b80-74b8-4b94-a54e-8e6f69d8a550"]}],"mendeley":{"formattedCitation":"&lt;sup&gt;6,8&lt;/sup&gt;","plainTextFormattedCitation":"6,8","previouslyFormattedCitation":"&lt;sup&gt;6,8&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6,8</w:t>
      </w:r>
      <w:r w:rsidR="004E7962">
        <w:rPr>
          <w:rFonts w:cs="Times New Roman"/>
          <w:color w:val="auto"/>
          <w:szCs w:val="22"/>
        </w:rPr>
        <w:fldChar w:fldCharType="end"/>
      </w:r>
      <w:r w:rsidR="00C07E8E" w:rsidRPr="00C07E8E">
        <w:rPr>
          <w:rFonts w:cs="Times New Roman"/>
          <w:color w:val="auto"/>
          <w:szCs w:val="22"/>
        </w:rPr>
        <w:t xml:space="preserve"> Since its isolation</w:t>
      </w:r>
      <w:r w:rsidR="006A51AE">
        <w:rPr>
          <w:rFonts w:cs="Times New Roman"/>
          <w:color w:val="auto"/>
          <w:szCs w:val="22"/>
        </w:rPr>
        <w:t>,</w:t>
      </w:r>
      <w:r w:rsidR="00C07E8E" w:rsidRPr="00C07E8E">
        <w:rPr>
          <w:rFonts w:cs="Times New Roman"/>
          <w:color w:val="auto"/>
          <w:szCs w:val="22"/>
        </w:rPr>
        <w:t xml:space="preserve"> ART has been a key molecule in the treatment of malaria and the first antimalarial of the endoperoxide class</w:t>
      </w:r>
      <w:r w:rsidR="006A51AE">
        <w:rPr>
          <w:rFonts w:cs="Times New Roman"/>
          <w:color w:val="auto"/>
          <w:szCs w:val="22"/>
        </w:rPr>
        <w:t>,</w:t>
      </w:r>
      <w:r w:rsidR="00C07E8E" w:rsidRPr="00C07E8E">
        <w:rPr>
          <w:rFonts w:cs="Times New Roman"/>
          <w:color w:val="auto"/>
          <w:szCs w:val="22"/>
        </w:rPr>
        <w:t xml:space="preserve"> owing to the presence of a peroxide containing 1,2,4-trioxane ring presumed to act as the warhead of the molecule.</w:t>
      </w:r>
      <w:r w:rsidR="00297D61" w:rsidRPr="00C07E8E">
        <w:rPr>
          <w:rFonts w:cs="Times New Roman"/>
          <w:color w:val="auto"/>
          <w:szCs w:val="22"/>
        </w:rPr>
        <w:fldChar w:fldCharType="begin" w:fldLock="1"/>
      </w:r>
      <w:r w:rsidR="00CA5C6A">
        <w:rPr>
          <w:rFonts w:cs="Times New Roman"/>
          <w:color w:val="auto"/>
          <w:szCs w:val="22"/>
        </w:rPr>
        <w:instrText>ADDIN CSL_CITATION {"citationItems":[{"id":"ITEM-1","itemData":{"DOI":"10.1051/parasite/2011183215","ISSN":"17761042","abstract":"In the 1970's, in China, some brilliant and courageous scientists carried out a research programme, which lead to the discovery of artemisinin derivatives and new quinoleines that are used today, in combination, as first line treatment of malaria.","author":[{"dropping-particle":"","family":"Faurant","given":"C.","non-dropping-particle":"","parse-names":false,"suffix":""}],"container-title":"Parasite","id":"ITEM-1","issue":"3","issued":{"date-parts":[["2011","8","15"]]},"page":"215-218","publisher":"EDP Sciences","title":"From bark to weed: The history of artemisinin","type":"article-journal","volume":"18"},"uris":["http://www.mendeley.com/documents/?uuid=646f4abc-540f-4a71-8a26-0f26599586d7"]}],"mendeley":{"formattedCitation":"&lt;sup&gt;9&lt;/sup&gt;","plainTextFormattedCitation":"9","previouslyFormattedCitation":"&lt;sup&gt;9&lt;/sup&gt;"},"properties":{"noteIndex":0},"schema":"https://github.com/citation-style-language/schema/raw/master/csl-citation.json"}</w:instrText>
      </w:r>
      <w:r w:rsidR="00297D61" w:rsidRPr="00C07E8E">
        <w:rPr>
          <w:rFonts w:cs="Times New Roman"/>
          <w:color w:val="auto"/>
          <w:szCs w:val="22"/>
        </w:rPr>
        <w:fldChar w:fldCharType="separate"/>
      </w:r>
      <w:r w:rsidR="007125A3" w:rsidRPr="007125A3">
        <w:rPr>
          <w:rFonts w:cs="Times New Roman"/>
          <w:noProof/>
          <w:color w:val="auto"/>
          <w:szCs w:val="22"/>
          <w:vertAlign w:val="superscript"/>
        </w:rPr>
        <w:t>9</w:t>
      </w:r>
      <w:r w:rsidR="00297D61" w:rsidRPr="00C07E8E">
        <w:rPr>
          <w:rFonts w:cs="Times New Roman"/>
          <w:color w:val="auto"/>
          <w:szCs w:val="22"/>
        </w:rPr>
        <w:fldChar w:fldCharType="end"/>
      </w:r>
      <w:r w:rsidR="00C07E8E" w:rsidRPr="00C07E8E">
        <w:rPr>
          <w:rFonts w:cs="Times New Roman"/>
          <w:color w:val="auto"/>
          <w:szCs w:val="22"/>
        </w:rPr>
        <w:t xml:space="preserve"> However, issues with solubility and extensive first pass metabolism make artemisinin somewhat unsuitable as a therapeutic medicine. First pass metabolism of ART within the liver resulted in the formation of inactive metabolites lacking the required endoperoxide warhead.</w:t>
      </w:r>
      <w:r w:rsidR="00297D61" w:rsidRPr="00C07E8E">
        <w:rPr>
          <w:rFonts w:cs="Times New Roman"/>
          <w:color w:val="auto"/>
          <w:szCs w:val="22"/>
        </w:rPr>
        <w:fldChar w:fldCharType="begin" w:fldLock="1"/>
      </w:r>
      <w:r w:rsidR="00CA5C6A">
        <w:rPr>
          <w:rFonts w:cs="Times New Roman"/>
          <w:color w:val="auto"/>
          <w:szCs w:val="22"/>
        </w:rPr>
        <w:instrText>ADDIN CSL_CITATION {"citationItems":[{"id":"ITEM-1","itemData":{"DOI":"10.1016/0163-7258(90)90053-5","ISSN":"01637258","PMID":"2084705","abstract":"Metabolism of artemisinin derivatives, which are antimalarial sesquiterpenes, appeared to lead to the production of the more polar metabolites in general. Presnece of the endoperoxide moiety in the A/B ring structures seem crucial for the expression fo antimalarial activity of these compounds. Microbial models served as effective predictors for the mammalain metabolism of artemisinin derivatives as well as producing quantities of metabolites for reference standards and structure elucidation studies. Combination of 2D-NMR and Thermospray HPLC/MS techniques was very useful for the structure elucidation of metabolites. © 1991.","author":[{"dropping-particle":"","family":"Lee","given":"Ik Soo","non-dropping-particle":"","parse-names":false,"suffix":""},{"dropping-particle":"","family":"Hufford","given":"Charles D.","non-dropping-particle":"","parse-names":false,"suffix":""}],"container-title":"Pharmacology and Therapeutics","id":"ITEM-1","issue":"3","issued":{"date-parts":[["1990"]]},"page":"345-355","title":"Metabolism of antimalarial sesquiterpene lactones","type":"article-journal","volume":"48"},"uris":["http://www.mendeley.com/documents/?uuid=f14edbca-0397-4814-bf34-5e3003466640"]}],"mendeley":{"formattedCitation":"&lt;sup&gt;10&lt;/sup&gt;","plainTextFormattedCitation":"10","previouslyFormattedCitation":"&lt;sup&gt;10&lt;/sup&gt;"},"properties":{"noteIndex":0},"schema":"https://github.com/citation-style-language/schema/raw/master/csl-citation.json"}</w:instrText>
      </w:r>
      <w:r w:rsidR="00297D61" w:rsidRPr="00C07E8E">
        <w:rPr>
          <w:rFonts w:cs="Times New Roman"/>
          <w:color w:val="auto"/>
          <w:szCs w:val="22"/>
        </w:rPr>
        <w:fldChar w:fldCharType="separate"/>
      </w:r>
      <w:r w:rsidR="007125A3" w:rsidRPr="007125A3">
        <w:rPr>
          <w:rFonts w:cs="Times New Roman"/>
          <w:noProof/>
          <w:color w:val="auto"/>
          <w:szCs w:val="22"/>
          <w:vertAlign w:val="superscript"/>
        </w:rPr>
        <w:t>10</w:t>
      </w:r>
      <w:r w:rsidR="00297D61" w:rsidRPr="00C07E8E">
        <w:rPr>
          <w:rFonts w:cs="Times New Roman"/>
          <w:color w:val="auto"/>
          <w:szCs w:val="22"/>
        </w:rPr>
        <w:fldChar w:fldCharType="end"/>
      </w:r>
      <w:r w:rsidR="00C07E8E" w:rsidRPr="00C07E8E">
        <w:rPr>
          <w:rFonts w:cs="Times New Roman"/>
          <w:color w:val="auto"/>
          <w:szCs w:val="22"/>
        </w:rPr>
        <w:t xml:space="preserve"> This led to a demand for </w:t>
      </w:r>
      <w:r w:rsidR="00AF3523">
        <w:rPr>
          <w:rFonts w:cs="Times New Roman"/>
          <w:color w:val="auto"/>
          <w:szCs w:val="22"/>
        </w:rPr>
        <w:t>artemisinin derivatives</w:t>
      </w:r>
      <w:r w:rsidR="00C07E8E" w:rsidRPr="00C07E8E">
        <w:rPr>
          <w:rFonts w:cs="Times New Roman"/>
          <w:color w:val="auto"/>
          <w:szCs w:val="22"/>
        </w:rPr>
        <w:t xml:space="preserve"> with a better solubility profile and increased metabolic stability.</w:t>
      </w:r>
      <w:r w:rsidR="00AF3523">
        <w:rPr>
          <w:rFonts w:cs="Times New Roman"/>
          <w:color w:val="auto"/>
          <w:szCs w:val="22"/>
        </w:rPr>
        <w:t xml:space="preserve"> </w:t>
      </w:r>
    </w:p>
    <w:p w14:paraId="19614BF6" w14:textId="65670870" w:rsidR="00385447" w:rsidRPr="00C07E8E" w:rsidRDefault="00AF3523" w:rsidP="00532D1D">
      <w:pPr>
        <w:rPr>
          <w:rFonts w:cs="Times New Roman"/>
          <w:color w:val="auto"/>
          <w:szCs w:val="22"/>
        </w:rPr>
      </w:pPr>
      <w:r>
        <w:rPr>
          <w:rFonts w:cs="Times New Roman"/>
          <w:color w:val="auto"/>
          <w:szCs w:val="22"/>
        </w:rPr>
        <w:t xml:space="preserve">The first generation </w:t>
      </w:r>
      <w:r w:rsidR="00C07E8E" w:rsidRPr="00C07E8E">
        <w:rPr>
          <w:rFonts w:cs="Times New Roman"/>
          <w:color w:val="auto"/>
          <w:szCs w:val="22"/>
        </w:rPr>
        <w:t>semi-synthetic ARTs dihydroartemisinin (DHA</w:t>
      </w:r>
      <w:r w:rsidR="007125A3">
        <w:rPr>
          <w:rFonts w:cs="Times New Roman"/>
          <w:color w:val="auto"/>
          <w:szCs w:val="22"/>
        </w:rPr>
        <w:t xml:space="preserve">, </w:t>
      </w:r>
      <w:r w:rsidR="007125A3">
        <w:rPr>
          <w:rFonts w:cs="Times New Roman"/>
          <w:b/>
          <w:color w:val="auto"/>
          <w:szCs w:val="22"/>
        </w:rPr>
        <w:t>2</w:t>
      </w:r>
      <w:r w:rsidR="007125A3" w:rsidRPr="007370A6">
        <w:rPr>
          <w:rFonts w:cs="Times New Roman"/>
          <w:b/>
          <w:color w:val="auto"/>
          <w:szCs w:val="22"/>
        </w:rPr>
        <w:t>,</w:t>
      </w:r>
      <w:r w:rsidR="007125A3" w:rsidRPr="007125A3">
        <w:rPr>
          <w:rFonts w:cs="Times New Roman"/>
          <w:b/>
          <w:color w:val="auto"/>
          <w:szCs w:val="22"/>
        </w:rPr>
        <w:t xml:space="preserve"> </w:t>
      </w:r>
      <w:r w:rsidR="007125A3" w:rsidRPr="00F06300">
        <w:rPr>
          <w:rFonts w:cs="Times New Roman"/>
          <w:b/>
          <w:color w:val="auto"/>
          <w:szCs w:val="22"/>
        </w:rPr>
        <w:t>Figure 1</w:t>
      </w:r>
      <w:r w:rsidR="00C07E8E" w:rsidRPr="00C07E8E">
        <w:rPr>
          <w:rFonts w:cs="Times New Roman"/>
          <w:color w:val="auto"/>
          <w:szCs w:val="22"/>
        </w:rPr>
        <w:t>), artemether, artether and artesunate</w:t>
      </w:r>
      <w:r>
        <w:rPr>
          <w:rFonts w:cs="Times New Roman"/>
          <w:color w:val="auto"/>
          <w:szCs w:val="22"/>
        </w:rPr>
        <w:t xml:space="preserve"> were designed and</w:t>
      </w:r>
      <w:r w:rsidR="00520BCA">
        <w:rPr>
          <w:rFonts w:cs="Times New Roman"/>
          <w:color w:val="auto"/>
          <w:szCs w:val="22"/>
        </w:rPr>
        <w:t xml:space="preserve"> </w:t>
      </w:r>
      <w:r>
        <w:rPr>
          <w:rFonts w:cs="Times New Roman"/>
          <w:color w:val="auto"/>
          <w:szCs w:val="22"/>
        </w:rPr>
        <w:t>synthesised by Chinese scientists</w:t>
      </w:r>
      <w:r w:rsidR="00216A58">
        <w:rPr>
          <w:rFonts w:cs="Times New Roman"/>
          <w:color w:val="auto"/>
          <w:szCs w:val="22"/>
        </w:rPr>
        <w:t xml:space="preserve"> while working on Project 523</w:t>
      </w:r>
      <w:r w:rsidR="00C07E8E" w:rsidRPr="00C07E8E">
        <w:rPr>
          <w:rFonts w:cs="Times New Roman"/>
          <w:color w:val="auto"/>
          <w:szCs w:val="22"/>
        </w:rPr>
        <w:t>.</w:t>
      </w:r>
      <w:r w:rsidR="004E7962">
        <w:rPr>
          <w:rFonts w:cs="Times New Roman"/>
          <w:color w:val="auto"/>
          <w:szCs w:val="22"/>
        </w:rPr>
        <w:fldChar w:fldCharType="begin" w:fldLock="1"/>
      </w:r>
      <w:r w:rsidR="007125A3">
        <w:rPr>
          <w:rFonts w:cs="Times New Roman"/>
          <w:color w:val="auto"/>
          <w:szCs w:val="22"/>
        </w:rPr>
        <w:instrText>ADDIN CSL_CITATION {"citationItems":[{"id":"ITEM-1","itemData":{"DOI":"10.1111/j.1365-2125.2006.02673.x","ISSN":"03065251","PMID":"16722826","abstract":"Artemisinin, qinghaosu, was extracted from the traditional Chinese medical drug qinghao (the blue-green herb) in the early 1970s. Its 'discovery' can thus be hailed as an achievement of research groups who were paradoxically successful, working as they were at the height of a political mass movement in communist China, known in the West as the Cultural Revolution (1966-1976), a period that was marked by chaos, cruelty and enormous suffering, particularly, but by no means only, among the intelligentsia. On the one hand, China's cultural heritage was seen as a hindrance to progress and Mao set out to destroy it, but on the other hand he praised it as a 'treasure house', full of gems that, if adjusted to the demands of contemporary society, could be used 'for serving the people' (wei renmin fuwu). The success of the 'task of combating malaria' (kang nüe ren wu), sometimes known as 'task number five hundred and twenty-three', depended crucially on modern scientists who took seriously knowledge that was recorded in a traditional Chinese medical text, Emergency Prescriptions Kept up one's Sleeve by the famous physician Ge Hong (284-363). © 2006 Blackwell Publishing Ltd.","author":[{"dropping-particle":"","family":"Hsu","given":"Elisabeth","non-dropping-particle":"","parse-names":false,"suffix":""}],"container-title":"British Journal of Clinical Pharmacology","id":"ITEM-1","issue":"6","issued":{"date-parts":[["2006"]]},"page":"666-670","title":"Reflections on the 'discovery' of the antimalarial qinghao","type":"article-journal","volume":"61"},"uris":["http://www.mendeley.com/documents/?uuid=2e2129f0-0704-47c7-830d-0fedb9266e69","http://www.mendeley.com/documents/?uuid=7c15b69f-72b9-4524-a7a4-9018c42de14a"]}],"mendeley":{"formattedCitation":"&lt;sup&gt;7&lt;/sup&gt;","plainTextFormattedCitation":"7","previouslyFormattedCitation":"&lt;sup&gt;7&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7</w:t>
      </w:r>
      <w:r w:rsidR="004E7962">
        <w:rPr>
          <w:rFonts w:cs="Times New Roman"/>
          <w:color w:val="auto"/>
          <w:szCs w:val="22"/>
        </w:rPr>
        <w:fldChar w:fldCharType="end"/>
      </w:r>
      <w:r w:rsidR="004E7962" w:rsidRPr="007370A6">
        <w:rPr>
          <w:rFonts w:cs="Times New Roman"/>
          <w:color w:val="auto"/>
          <w:szCs w:val="22"/>
        </w:rPr>
        <w:t xml:space="preserve"> </w:t>
      </w:r>
      <w:r w:rsidR="00F2580D">
        <w:rPr>
          <w:rFonts w:cs="Times New Roman"/>
          <w:color w:val="auto"/>
          <w:szCs w:val="22"/>
        </w:rPr>
        <w:t>DHA was first synthesised by Tu’s group as the lactone reduced analogue of ART.</w:t>
      </w:r>
      <w:r w:rsidR="004E7962">
        <w:rPr>
          <w:rFonts w:cs="Times New Roman"/>
          <w:color w:val="auto"/>
          <w:szCs w:val="22"/>
        </w:rPr>
        <w:fldChar w:fldCharType="begin" w:fldLock="1"/>
      </w:r>
      <w:r w:rsidR="00CA5C6A">
        <w:rPr>
          <w:rFonts w:cs="Times New Roman"/>
          <w:color w:val="auto"/>
          <w:szCs w:val="22"/>
        </w:rPr>
        <w:instrText>ADDIN CSL_CITATION {"citationItems":[{"id":"ITEM-1","itemData":{"DOI":"10.1016/B978-0-12-813133-6.00004-4","ISBN":"9780128132111","abstract":"A specialized and thorough chemists' account of Chinese and foreign research on the structure, synthesis, breakdown products, and antimalarial activity of a vast number of artemisinin-derived chemicals.","author":[{"dropping-particle":"","family":"Ying","given":"Li","non-dropping-particle":"","parse-names":false,"suffix":""}],"container-title":"Artemisinin-Based and Other Antimalarials: Detailed Account of Studies by Chinese Scientists Who Discovered and Developed Them","id":"ITEM-1","issued":{"date-parts":[["2018"]]},"page":"177-196","publisher":"Academic Press","title":"Artemisinin Derivatives and Analogues","type":"chapter"},"uris":["http://www.mendeley.com/documents/?uuid=4aa2dfc1-a2f3-46e3-b3ca-cf41c694285c","http://www.mendeley.com/documents/?uuid=ddbd5fac-2a95-4ecf-af51-6b5e5526ef90"]}],"mendeley":{"formattedCitation":"&lt;sup&gt;11&lt;/sup&gt;","plainTextFormattedCitation":"11","previouslyFormattedCitation":"&lt;sup&gt;11&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11</w:t>
      </w:r>
      <w:r w:rsidR="004E7962">
        <w:rPr>
          <w:rFonts w:cs="Times New Roman"/>
          <w:color w:val="auto"/>
          <w:szCs w:val="22"/>
        </w:rPr>
        <w:fldChar w:fldCharType="end"/>
      </w:r>
      <w:r w:rsidR="000F1758" w:rsidRPr="000F1758">
        <w:t xml:space="preserve"> </w:t>
      </w:r>
      <w:r w:rsidR="00F2580D">
        <w:rPr>
          <w:rFonts w:cs="Times New Roman"/>
          <w:color w:val="auto"/>
          <w:szCs w:val="22"/>
        </w:rPr>
        <w:t>DHA was</w:t>
      </w:r>
      <w:r w:rsidR="00C07E8E" w:rsidRPr="00C07E8E">
        <w:rPr>
          <w:rFonts w:cs="Times New Roman"/>
          <w:color w:val="auto"/>
          <w:szCs w:val="22"/>
        </w:rPr>
        <w:t xml:space="preserve"> found to retain potent antimalarial activity and displayed improved aqueous solubility however plasma stability remained an issue. DHA </w:t>
      </w:r>
      <w:r w:rsidR="007C41D8">
        <w:rPr>
          <w:rFonts w:cs="Times New Roman"/>
          <w:color w:val="auto"/>
          <w:szCs w:val="22"/>
        </w:rPr>
        <w:t>has been</w:t>
      </w:r>
      <w:r w:rsidR="007C41D8" w:rsidRPr="00C07E8E">
        <w:rPr>
          <w:rFonts w:cs="Times New Roman"/>
          <w:color w:val="auto"/>
          <w:szCs w:val="22"/>
        </w:rPr>
        <w:t xml:space="preserve"> </w:t>
      </w:r>
      <w:r w:rsidR="00C07E8E" w:rsidRPr="00C07E8E">
        <w:rPr>
          <w:rFonts w:cs="Times New Roman"/>
          <w:color w:val="auto"/>
          <w:szCs w:val="22"/>
        </w:rPr>
        <w:t xml:space="preserve">marketed as Artenimol and </w:t>
      </w:r>
      <w:r w:rsidR="007C41D8">
        <w:rPr>
          <w:rFonts w:cs="Times New Roman"/>
          <w:color w:val="auto"/>
          <w:szCs w:val="22"/>
        </w:rPr>
        <w:t>is</w:t>
      </w:r>
      <w:r w:rsidR="007C41D8" w:rsidRPr="00C07E8E">
        <w:rPr>
          <w:rFonts w:cs="Times New Roman"/>
          <w:color w:val="auto"/>
          <w:szCs w:val="22"/>
        </w:rPr>
        <w:t xml:space="preserve"> </w:t>
      </w:r>
      <w:r w:rsidR="00C07E8E" w:rsidRPr="00C07E8E">
        <w:rPr>
          <w:rFonts w:cs="Times New Roman"/>
          <w:color w:val="auto"/>
          <w:szCs w:val="22"/>
        </w:rPr>
        <w:t>recommended for use in combination with piperaquine by the WHO.</w:t>
      </w:r>
      <w:r w:rsidR="004E7962">
        <w:rPr>
          <w:rFonts w:cs="Times New Roman"/>
          <w:color w:val="auto"/>
          <w:szCs w:val="22"/>
        </w:rPr>
        <w:fldChar w:fldCharType="begin" w:fldLock="1"/>
      </w:r>
      <w:r w:rsidR="00CA5C6A">
        <w:rPr>
          <w:rFonts w:cs="Times New Roman"/>
          <w:color w:val="auto"/>
          <w:szCs w:val="22"/>
        </w:rPr>
        <w:instrText>ADDIN CSL_CITATION {"citationItems":[{"id":"ITEM-1","itemData":{"DOI":"10.1186/1475-2875-9-212","ISSN":"14752875","PMID":"20649950","abstract":"In the 2010 second edition of WHO's guidelines for the treatment of malaria, the relatively new fixed dose combination dihydroartemisinin- piperaquine is included as one of the recommended artemisinin combination therapies. However, experimental testing demonstrates that, due to its intrinsic chemical instability, dihydroartemisinin is not suitable to be used in pharmaceutical formulations. In addition, data show that the currently available dihydroartemisinin preparations fail to meet the internationally accepted stability requirements. At a time when many efforts aim to ban counterfeit and substandard drugs from the malaria market, the obvious question rises how WHO and public-private partnerships, such as Medicine for Malaria venture (MMV), can support the production and marketing of anti-malarial drugs that do not even meet the International Pharmacopoeia requirements?. © 2010 Jansen; licensee BioMed Central Ltd.","author":[{"dropping-particle":"","family":"Jansen","given":"Frans Herwig","non-dropping-particle":"","parse-names":false,"suffix":""}],"container-title":"Malaria Journal","id":"ITEM-1","issue":"1","issued":{"date-parts":[["2010"]]},"page":"212","title":"The pharmaceutical death-ride of dihydroartemisinin","type":"article-journal","volume":"9"},"uris":["http://www.mendeley.com/documents/?uuid=aa307f97-a534-4844-8d92-ed53aa6de9f9"]},{"id":"ITEM-2","itemData":{"DOI":"10.1038/nm.2471","ISSN":"10788956","PMID":"21989013","author":[{"dropping-particle":"","family":"Tu","given":"Youyou","non-dropping-particle":"","parse-names":false,"suffix":""}],"container-title":"Nature Medicine","id":"ITEM-2","issue":"10","issued":{"date-parts":[["2011"]]},"page":"1217-1220","title":"The discovery of artemisinin (qinghaosu) and gifts from Chinese medicine","type":"article-journal","volume":"17"},"uris":["http://www.mendeley.com/documents/?uuid=100d4b80-74b8-4b94-a54e-8e6f69d8a550"]}],"mendeley":{"formattedCitation":"&lt;sup&gt;6,12&lt;/sup&gt;","plainTextFormattedCitation":"6,12","previouslyFormattedCitation":"&lt;sup&gt;6,12&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6,12</w:t>
      </w:r>
      <w:r w:rsidR="004E7962">
        <w:rPr>
          <w:rFonts w:cs="Times New Roman"/>
          <w:color w:val="auto"/>
          <w:szCs w:val="22"/>
        </w:rPr>
        <w:fldChar w:fldCharType="end"/>
      </w:r>
      <w:r w:rsidR="00455BDF">
        <w:rPr>
          <w:rFonts w:cs="Times New Roman"/>
          <w:color w:val="auto"/>
          <w:szCs w:val="22"/>
        </w:rPr>
        <w:t xml:space="preserve"> </w:t>
      </w:r>
      <w:r w:rsidR="000F1758">
        <w:rPr>
          <w:rFonts w:cs="Times New Roman"/>
          <w:color w:val="auto"/>
          <w:szCs w:val="22"/>
        </w:rPr>
        <w:t>I</w:t>
      </w:r>
      <w:r w:rsidR="00455BDF">
        <w:rPr>
          <w:rFonts w:cs="Times New Roman"/>
          <w:color w:val="auto"/>
          <w:szCs w:val="22"/>
        </w:rPr>
        <w:t>n 1976 a number of ether and ester derivatives of DHA were synthesised</w:t>
      </w:r>
      <w:r w:rsidR="000F1758">
        <w:rPr>
          <w:rFonts w:cs="Times New Roman"/>
          <w:color w:val="auto"/>
          <w:szCs w:val="22"/>
        </w:rPr>
        <w:t xml:space="preserve"> by other scientists working on Project 523</w:t>
      </w:r>
      <w:r w:rsidR="00455BDF">
        <w:rPr>
          <w:rFonts w:cs="Times New Roman"/>
          <w:color w:val="auto"/>
          <w:szCs w:val="22"/>
        </w:rPr>
        <w:t xml:space="preserve"> and screened against </w:t>
      </w:r>
      <w:r w:rsidR="00455BDF">
        <w:rPr>
          <w:rFonts w:cs="Times New Roman"/>
          <w:i/>
          <w:color w:val="auto"/>
          <w:szCs w:val="22"/>
        </w:rPr>
        <w:t xml:space="preserve">P. falciparum </w:t>
      </w:r>
      <w:r w:rsidR="00455BDF">
        <w:rPr>
          <w:rFonts w:cs="Times New Roman"/>
          <w:color w:val="auto"/>
          <w:szCs w:val="22"/>
        </w:rPr>
        <w:t>yielding the ART ethers Artemether</w:t>
      </w:r>
      <w:r w:rsidR="007125A3">
        <w:rPr>
          <w:rFonts w:cs="Times New Roman"/>
          <w:color w:val="auto"/>
          <w:szCs w:val="22"/>
        </w:rPr>
        <w:t xml:space="preserve"> (</w:t>
      </w:r>
      <w:r w:rsidR="007125A3">
        <w:rPr>
          <w:rFonts w:cs="Times New Roman"/>
          <w:b/>
          <w:color w:val="auto"/>
          <w:szCs w:val="22"/>
        </w:rPr>
        <w:t>3</w:t>
      </w:r>
      <w:r w:rsidR="007125A3">
        <w:rPr>
          <w:rFonts w:cs="Times New Roman"/>
          <w:color w:val="auto"/>
          <w:szCs w:val="22"/>
        </w:rPr>
        <w:t>)</w:t>
      </w:r>
      <w:r w:rsidR="00455BDF">
        <w:rPr>
          <w:rFonts w:cs="Times New Roman"/>
          <w:color w:val="auto"/>
          <w:szCs w:val="22"/>
        </w:rPr>
        <w:t xml:space="preserve"> and Artether</w:t>
      </w:r>
      <w:r w:rsidR="007125A3">
        <w:rPr>
          <w:rFonts w:cs="Times New Roman"/>
          <w:color w:val="auto"/>
          <w:szCs w:val="22"/>
        </w:rPr>
        <w:t xml:space="preserve"> (</w:t>
      </w:r>
      <w:r w:rsidR="007125A3">
        <w:rPr>
          <w:rFonts w:cs="Times New Roman"/>
          <w:b/>
          <w:color w:val="auto"/>
          <w:szCs w:val="22"/>
        </w:rPr>
        <w:t>4</w:t>
      </w:r>
      <w:r w:rsidR="007125A3">
        <w:rPr>
          <w:rFonts w:cs="Times New Roman"/>
          <w:color w:val="auto"/>
          <w:szCs w:val="22"/>
        </w:rPr>
        <w:t>)</w:t>
      </w:r>
      <w:r w:rsidR="00455BDF">
        <w:rPr>
          <w:rFonts w:cs="Times New Roman"/>
          <w:color w:val="auto"/>
          <w:szCs w:val="22"/>
        </w:rPr>
        <w:t>,</w:t>
      </w:r>
      <w:r w:rsidR="004E7962">
        <w:rPr>
          <w:rFonts w:cs="Times New Roman"/>
          <w:color w:val="auto"/>
          <w:szCs w:val="22"/>
        </w:rPr>
        <w:fldChar w:fldCharType="begin" w:fldLock="1"/>
      </w:r>
      <w:r w:rsidR="00CA5C6A">
        <w:rPr>
          <w:rFonts w:cs="Times New Roman"/>
          <w:color w:val="auto"/>
          <w:szCs w:val="22"/>
        </w:rPr>
        <w:instrText>ADDIN CSL_CITATION {"citationItems":[{"id":"ITEM-1","itemData":{"DOI":"10.1016/B978-0-12-813133-6.00004-4","ISBN":"9780128132111","abstract":"A specialized and thorough chemists' account of Chinese and foreign research on the structure, synthesis, breakdown products, and antimalarial activity of a vast number of artemisinin-derived chemicals.","author":[{"dropping-particle":"","family":"Ying","given":"Li","non-dropping-particle":"","parse-names":false,"suffix":""}],"container-title":"Artemisinin-Based and Other Antimalarials: Detailed Account of Studies by Chinese Scientists Who Discovered and Developed Them","id":"ITEM-1","issued":{"date-parts":[["2018"]]},"page":"177-196","publisher":"Academic Press","title":"Artemisinin Derivatives and Analogues","type":"chapter"},"uris":["http://www.mendeley.com/documents/?uuid=ddbd5fac-2a95-4ecf-af51-6b5e5526ef90","http://www.mendeley.com/documents/?uuid=4aa2dfc1-a2f3-46e3-b3ca-cf41c694285c"]}],"mendeley":{"formattedCitation":"&lt;sup&gt;11&lt;/sup&gt;","plainTextFormattedCitation":"11","previouslyFormattedCitation":"&lt;sup&gt;11&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11</w:t>
      </w:r>
      <w:r w:rsidR="004E7962">
        <w:rPr>
          <w:rFonts w:cs="Times New Roman"/>
          <w:color w:val="auto"/>
          <w:szCs w:val="22"/>
        </w:rPr>
        <w:fldChar w:fldCharType="end"/>
      </w:r>
      <w:r w:rsidR="00455BDF">
        <w:rPr>
          <w:rFonts w:cs="Times New Roman"/>
          <w:color w:val="auto"/>
          <w:szCs w:val="22"/>
        </w:rPr>
        <w:t xml:space="preserve"> </w:t>
      </w:r>
      <w:r w:rsidR="00C07E8E" w:rsidRPr="00C07E8E">
        <w:rPr>
          <w:rFonts w:cs="Times New Roman"/>
          <w:color w:val="auto"/>
          <w:szCs w:val="22"/>
        </w:rPr>
        <w:t xml:space="preserve">Artemether and Artether are methyl and ethyl ether </w:t>
      </w:r>
      <w:r w:rsidR="00C07E8E" w:rsidRPr="00C07E8E">
        <w:rPr>
          <w:rFonts w:cs="Times New Roman"/>
          <w:color w:val="auto"/>
          <w:szCs w:val="22"/>
        </w:rPr>
        <w:lastRenderedPageBreak/>
        <w:t>derivatives of DHA respectively displaying greater plasma stability</w:t>
      </w:r>
      <w:r w:rsidR="00455BDF">
        <w:rPr>
          <w:rFonts w:cs="Times New Roman"/>
          <w:color w:val="auto"/>
          <w:szCs w:val="22"/>
        </w:rPr>
        <w:t xml:space="preserve"> than the parent drug</w:t>
      </w:r>
      <w:r w:rsidR="00C07E8E" w:rsidRPr="00C07E8E">
        <w:rPr>
          <w:rFonts w:cs="Times New Roman"/>
          <w:color w:val="auto"/>
          <w:szCs w:val="22"/>
        </w:rPr>
        <w:t>.</w:t>
      </w:r>
      <w:r w:rsidR="008E1C2C" w:rsidRPr="00C07E8E">
        <w:rPr>
          <w:rFonts w:cs="Times New Roman"/>
          <w:color w:val="auto"/>
          <w:szCs w:val="22"/>
        </w:rPr>
        <w:fldChar w:fldCharType="begin" w:fldLock="1"/>
      </w:r>
      <w:r w:rsidR="00CA5C6A">
        <w:rPr>
          <w:rFonts w:cs="Times New Roman"/>
          <w:color w:val="auto"/>
          <w:szCs w:val="22"/>
        </w:rPr>
        <w:instrText>ADDIN CSL_CITATION {"citationItems":[{"id":"ITEM-1","itemData":{"DOI":"10.1021/jm00398a026","ISSN":"15204804","PMID":"3279208","abstract":"Arteether (6) has been prepared from dihydroqinghaosu (3) by etherification with ethanol in the presence of Lewis acid and separated from its chromatographically slower moving α-dihydroqinghaosu ethyl ether (7). The absolute stereochemistry at C-12 has been determined by 1H NMR data (J11,12, NOESY). Ethyl ethers 6 and 7 showed potent in vitro inhibition of Plasmodium falciparum, and both compounds were highly potent antimalarials in mice infected with a drug-sensitive strain of Plasmodium berghei. Crystalline arteether (6) and its oily epimer 7 were 2-3 times more potent schizontocides than quinghaosu (1), but deoxy compounds 8, 9, and 11 were 100-300 times less potent in vitro than their corresponding peroxy precursors. Pharmacological studies have shown arteether (6) to have antimalarial activity in animals comparable to artesunate (2) and artemether (4), both of which are fast-acting blood schizontocides in humans. Arteether (6) has now been chosen for a clinical evaluation in high-risk malaria patients. © 1988, American Chemical Society. All rights reserved.","author":[{"dropping-particle":"","family":"Brossi","given":"A.","non-dropping-particle":"","parse-names":false,"suffix":""},{"dropping-particle":"","family":"Venugopalan","given":"B.","non-dropping-particle":"","parse-names":false,"suffix":""},{"dropping-particle":"","family":"Gerpe","given":"L. Dominguez","non-dropping-particle":"","parse-names":false,"suffix":""},{"dropping-particle":"","family":"Yeh","given":"H. J.C. C.","non-dropping-particle":"","parse-names":false,"suffix":""},{"dropping-particle":"","family":"Flippen-Anderson","given":"J. L.","non-dropping-particle":"","parse-names":false,"suffix":""},{"dropping-particle":"","family":"Buchs","given":"P.","non-dropping-particle":"","parse-names":false,"suffix":""},{"dropping-particle":"","family":"Luo","given":"X. D.","non-dropping-particle":"","parse-names":false,"suffix":""},{"dropping-particle":"","family":"Milhous","given":"W.","non-dropping-particle":"","parse-names":false,"suffix":""},{"dropping-particle":"","family":"Peters","given":"W.","non-dropping-particle":"","parse-names":false,"suffix":""}],"container-title":"Journal of Medicinal Chemistry","id":"ITEM-1","issue":"3","issued":{"date-parts":[["1988"]]},"page":"645-650","title":"Arteether, a New Antimalarial Drug: Synthesis and Antimalarial Properties","type":"article-journal","volume":"31"},"uris":["http://www.mendeley.com/documents/?uuid=573ae59f-5fc5-40a9-b891-99a86d917ae1"]}],"mendeley":{"formattedCitation":"&lt;sup&gt;13&lt;/sup&gt;","plainTextFormattedCitation":"13","previouslyFormattedCitation":"&lt;sup&gt;13&lt;/sup&gt;"},"properties":{"noteIndex":0},"schema":"https://github.com/citation-style-language/schema/raw/master/csl-citation.json"}</w:instrText>
      </w:r>
      <w:r w:rsidR="008E1C2C" w:rsidRPr="00C07E8E">
        <w:rPr>
          <w:rFonts w:cs="Times New Roman"/>
          <w:color w:val="auto"/>
          <w:szCs w:val="22"/>
        </w:rPr>
        <w:fldChar w:fldCharType="separate"/>
      </w:r>
      <w:r w:rsidR="007125A3" w:rsidRPr="007125A3">
        <w:rPr>
          <w:rFonts w:cs="Times New Roman"/>
          <w:noProof/>
          <w:color w:val="auto"/>
          <w:szCs w:val="22"/>
          <w:vertAlign w:val="superscript"/>
        </w:rPr>
        <w:t>13</w:t>
      </w:r>
      <w:r w:rsidR="008E1C2C" w:rsidRPr="00C07E8E">
        <w:rPr>
          <w:rFonts w:cs="Times New Roman"/>
          <w:color w:val="auto"/>
          <w:szCs w:val="22"/>
        </w:rPr>
        <w:fldChar w:fldCharType="end"/>
      </w:r>
      <w:r w:rsidR="00C07E8E" w:rsidRPr="00C07E8E">
        <w:rPr>
          <w:rFonts w:cs="Times New Roman"/>
          <w:color w:val="auto"/>
          <w:szCs w:val="22"/>
        </w:rPr>
        <w:t xml:space="preserve"> Artemether is recommended for treatment of uncomplicated </w:t>
      </w:r>
      <w:r w:rsidR="00C07E8E" w:rsidRPr="00C07E8E">
        <w:rPr>
          <w:rFonts w:cs="Times New Roman"/>
          <w:i/>
          <w:iCs/>
          <w:color w:val="auto"/>
          <w:szCs w:val="22"/>
        </w:rPr>
        <w:t xml:space="preserve">P. falciparum </w:t>
      </w:r>
      <w:r w:rsidR="00C07E8E" w:rsidRPr="00C07E8E">
        <w:rPr>
          <w:rFonts w:cs="Times New Roman"/>
          <w:color w:val="auto"/>
          <w:szCs w:val="22"/>
        </w:rPr>
        <w:t>malaria in combination with lumefantrine and</w:t>
      </w:r>
      <w:r w:rsidR="007C41D8">
        <w:rPr>
          <w:rFonts w:cs="Times New Roman"/>
          <w:color w:val="auto"/>
          <w:szCs w:val="22"/>
        </w:rPr>
        <w:t>,</w:t>
      </w:r>
      <w:r w:rsidR="00C07E8E" w:rsidRPr="00C07E8E">
        <w:rPr>
          <w:rFonts w:cs="Times New Roman"/>
          <w:color w:val="auto"/>
          <w:szCs w:val="22"/>
        </w:rPr>
        <w:t xml:space="preserve"> in cases of </w:t>
      </w:r>
      <w:r w:rsidR="00C07E8E" w:rsidRPr="007370A6">
        <w:rPr>
          <w:rFonts w:cs="Times New Roman"/>
          <w:i/>
          <w:iCs/>
          <w:color w:val="auto"/>
          <w:szCs w:val="22"/>
        </w:rPr>
        <w:t>P. vivax</w:t>
      </w:r>
      <w:r w:rsidR="00C07E8E" w:rsidRPr="00C07E8E">
        <w:rPr>
          <w:rFonts w:cs="Times New Roman"/>
          <w:color w:val="auto"/>
          <w:szCs w:val="22"/>
        </w:rPr>
        <w:t xml:space="preserve"> infection</w:t>
      </w:r>
      <w:r w:rsidR="007C41D8">
        <w:rPr>
          <w:rFonts w:cs="Times New Roman"/>
          <w:color w:val="auto"/>
          <w:szCs w:val="22"/>
        </w:rPr>
        <w:t>,</w:t>
      </w:r>
      <w:r w:rsidR="00C07E8E" w:rsidRPr="00C07E8E">
        <w:rPr>
          <w:rFonts w:cs="Times New Roman"/>
          <w:color w:val="auto"/>
          <w:szCs w:val="22"/>
        </w:rPr>
        <w:t xml:space="preserve"> this is followed by treatment with primaquine to prevent relapse.</w:t>
      </w:r>
      <w:r w:rsidR="002767D0" w:rsidRPr="00C07E8E">
        <w:rPr>
          <w:rFonts w:cs="Times New Roman"/>
          <w:color w:val="auto"/>
          <w:szCs w:val="22"/>
        </w:rPr>
        <w:fldChar w:fldCharType="begin" w:fldLock="1"/>
      </w:r>
      <w:r w:rsidR="007125A3">
        <w:rPr>
          <w:rFonts w:cs="Times New Roman"/>
          <w:color w:val="auto"/>
          <w:szCs w:val="22"/>
        </w:rPr>
        <w:instrText>ADDIN CSL_CITATION {"citationItems":[{"id":"ITEM-1","itemData":{"DOI":"10.1186/1475-2875-8-S1-S7","ISSN":"14752875","PMID":"19818174","abstract":"Infants and children under five years of age are the most vulnerable to malaria with over 1,700 deaths per day from malaria in this group. However, until recently, there were no WHO-endorsed paediatric anti-malarial formulations available. Artemisinin-based combination therapy is the current standard of care for patients with uncomplicated falciparum malaria in Africa. Artemether/lumefantrine (AL) meets WHO pre-qualification criteria for efficacy, safety and quality. Coartem®, a fixed dose combination of artemether and lumefantrine, has consistently achieved cure rates of &gt;95% in clinical trials. However, AL tablets are inconvenient for caregivers to administer as they need to be crushed and mixed with water or food for infants and young children. Further, in common with other anti-malarials, they have a bitter taste, which may result in children spitting the medicine out and not receiving the full therapeutic dose. There was a clear unmet medical need for a formulation of AL specifically designed for children. Ahead of a call from WHO for child-friendly medicines, Novartis, working in partnership with Medicines for Malaria Venture (MMV), started the development of a new formulation of AL for infants and young children: Coartem® Dispersible. The excellent efficacy, safety and tolerability already demonstrated by AL tablets were confirmed with dispersible AL in a large trial comparing the crushed tablets with dispersible tablets in 899 African children with falciparum malaria. In the evaluable population, 28-day PCR-corrected cure rates of &gt;96% were achieved. Further, its sweet taste means that it is palatable for children, and the dispersible formulation makes it easier for caregivers to administer than bitter crushed tablets. Easing administration may foster compliance, hence improving therapeutic outcomes in infants and young children and helping to preserve the efficacy of ACT. © 2009 Abdulla and Sagara.","author":[{"dropping-particle":"","family":"Abdulla","given":"Salim","non-dropping-particle":"","parse-names":false,"suffix":""},{"dropping-particle":"","family":"Sagara","given":"Issaka","non-dropping-particle":"","parse-names":false,"suffix":""}],"container-title":"Malaria Journal","id":"ITEM-1","issue":"SUPPL. 1","issued":{"date-parts":[["2009"]]},"page":"S7","title":"Dispersible formulation of artemether/lumefantrine: Specifically developed for infants and young children","type":"article-journal","volume":"8"},"uris":["http://www.mendeley.com/documents/?uuid=2ee0f428-a5e4-429f-8102-9e77fdefc10e","http://www.mendeley.com/documents/?uuid=45d8913e-36f0-43cd-9fba-df06d6ded45c"]},{"id":"ITEM-2","itemData":{"DOI":"10.1016/S0140-6736(08)61492-0","ISSN":"01406736","PMID":"18926569","abstract":"Background: Combination treatments, preferably containing an artemisinin derivative, are recommended to improve efficacy and prevent Plasmodium falciparum drug resistance. Our aim was to show non-inferiority of a new dispersible formulation of artemether-lumefantrine to the conventional crushed tablet in the treatment of young children with uncomplicated malaria. Methods: We did a randomised non-inferiority study on children weighing 5-35 kg with uncomplicated P falciparum malaria in Benin, Kenya, Mali, Mozambique, and Tanzania. The primary outcome measure was PCR-corrected 28-day parasitological cure rate. We aimed to show non-inferiority (with a margin of -5%) of dispersible versus crushed tablet. We constructed an asymptotic one-sided 97·5% CI on the difference in cure rates. A computer-generated randomisation list was kept centrally and investigators were unaware of the study medication administered. We used a modified intention-to-treat analysis. This trial is registered with ClinicalTrials.gov, number NCT00386763. Findings: 899 children aged 12 years or younger were randomly assigned to either dispersible (n=447) or crushed tablets (n=452). More than 85% of patients in each treatment group completed the study. 812 children qualified for the modified intention-to-treat analysis (n=403 vs n=409). The PCR-corrected day-28 cure rate was 97·8% (95% CI 96·3-99·2) in the group on dispersible formulation and 98·5% (97·4-99·7) in the group on crushed formulation. The lower bound of the one-sided 97·5% CI was -2·7%. The most common drug-related adverse event was vomiting (n=33 [7%] and n=42 [9%], respectively). No signs of ototoxicity or relevant cardiotoxicity were seen. Interpretation: A six-dose regimen of artemether-lumefantrine with the new dispersible formulation is as efficacious as the currently used crushed tablet in infants and children, and has a similar safety profile. Funding: Novartis Pharma, Basel, Switzerland, and Medicines for Malaria Venture (MMV), Geneva, Switzerland. © 2008 Elsevier Ltd. All rights reserved.","author":[{"dropping-particle":"","family":"Abdulla","given":"Salim","non-dropping-particle":"","parse-names":false,"suffix":""},{"dropping-particle":"","family":"Sagara","given":"Issaka","non-dropping-particle":"","parse-names":false,"suffix":""},{"dropping-particle":"","family":"Borrmann","given":"Steffen","non-dropping-particle":"","parse-names":false,"suffix":""},{"dropping-particle":"","family":"D'Alessandro","given":"Umberto","non-dropping-particle":"","parse-names":false,"suffix":""},{"dropping-particle":"","family":"González","given":"Raquel","non-dropping-particle":"","parse-names":false,"suffix":""},{"dropping-particle":"","family":"Hamel","given":"Mary","non-dropping-particle":"","parse-names":false,"suffix":""},{"dropping-particle":"","family":"Ogutu","given":"Bernhards","non-dropping-particle":"","parse-names":false,"suffix":""},{"dropping-particle":"","family":"Mårtensson","given":"Andreas","non-dropping-particle":"","parse-names":false,"suffix":""},{"dropping-particle":"","family":"Lyimo","given":"John","non-dropping-particle":"","parse-names":false,"suffix":""},{"dropping-particle":"","family":"Maiga","given":"Hamma","non-dropping-particle":"","parse-names":false,"suffix":""},{"dropping-particle":"","family":"Sasi","given":"Philip","non-dropping-particle":"","parse-names":false,"suffix":""},{"dropping-particle":"","family":"Nahum","given":"Alain","non-dropping-particle":"","parse-names":false,"suffix":""},{"dropping-particle":"","family":"Bassat","given":"Quique","non-dropping-particle":"","parse-names":false,"suffix":""},{"dropping-particle":"","family":"Juma","given":"Elizabeth","non-dropping-particle":"","parse-names":false,"suffix":""},{"dropping-particle":"","family":"Otieno","given":"Lucas","non-dropping-particle":"","parse-names":false,"suffix":""},{"dropping-particle":"","family":"Björkman","given":"Anders","non-dropping-particle":"","parse-names":false,"suffix":""},{"dropping-particle":"","family":"Beck","given":"Hans Peter","non-dropping-particle":"","parse-names":false,"suffix":""},{"dropping-particle":"","family":"Andriano","given":"Kim","non-dropping-particle":"","parse-names":false,"suffix":""},{"dropping-particle":"","family":"Cousin","given":"Marc","non-dropping-particle":"","parse-names":false,"suffix":""},{"dropping-particle":"","family":"Lefèvre","given":"Gilbert","non-dropping-particle":"","parse-names":false,"suffix":""},{"dropping-particle":"","family":"Ubben","given":"David","non-dropping-particle":"","parse-names":false,"suffix":""},{"dropping-particle":"","family":"Premji","given":"Zulfikarali","non-dropping-particle":"","parse-names":false,"suffix":""}],"container-title":"The Lancet","id":"ITEM-2","issue":"9652","issued":{"date-parts":[["2008"]]},"page":"1819-1827","title":"Efficacy and safety of artemether-lumefantrine dispersible tablets compared with crushed commercial tablets in African infants and children with uncomplicated malaria: a randomised, single-blind, multicentre trial","type":"article-journal","volume":"372"},"uris":["http://www.mendeley.com/documents/?uuid=601f9705-80e7-4c06-bfea-6e48aef1ba23","http://www.mendeley.com/documents/?uuid=2eb94f14-e419-43a6-b8cd-c566eda8e7f4"]},{"id":"ITEM-3","itemData":{"DOI":"10.1128/AAC.01115-10","ISSN":"00664804","PMID":"21670177","abstract":"The pharmacokinetic and pharmacodynamic properties of a new pediatric formulation of artemether-lumefantrine, dispersible tablet, were determined within the context of a multicenter, randomized, parallelgroup study. In an exploratory approach, we compared a new pediatric formulation with the tablet formulation administered crushed in the treatment of African children with uncomplicated Plasmodium falciparum malaria. Patients were randomized to 3 different dosing groups (weights of 5 to &lt;15 kg, 15 and &lt;25 kg, and 25 to &lt;35 kg). Treatment was administered twice daily over 3 days. Plasma concentrations of artemether and its active metabolite, dihydroartemisinin (DHA), were determined at 1 and 2 h after the first dose of dispersible (n = 91) and crushed (n = 93) tablets. A full pharmacokinetic profile of lumefantrine was reconstituted on the basis of 310 (dispersible tablet) and 315 (crushed tablet) plasma samples, collected at 6 different time points (1 sample per patient). Dispersible and crushed tablets showed similar artemether and DHA maximum concentrations in plasma (Cmax) for the different body weight groups, with overall means of 175 ± 168 and 190 ± 168 ng/ml, respectively, for artemether and 64.7 ± 58.1 and 63.7 ± 65.0 ng/ml, respectively, for DHA. For lumefantrine, the population Cmax were 6.3 μg/ml (dispersible tablet) and 7.7 μg/ml (crushed tablet), whereas the areas under the concentration-time curves from time zero to the time of the last quantifiable plasma concentration measured were 574 and 636 μg · h/ml, respectively. For both formulations, descriptive quintile analyses showed no apparent association between artemether/DHA Cmax and parasite clearance time or between the lumefantrine Cmax and the occurrence of adverse events or corrected QT interval changes. The results suggest that the dispersible tablet provides adequate systemic exposure to artemether, DHA, and lumefantrine in African children with uncomplicated P. falciparum malaria. Copyright © 2011, American Society for Microbiology. All Rights Reserved.","author":[{"dropping-particle":"","family":"Djimdé","given":"Abdoulaye A.","non-dropping-particle":"","parse-names":false,"suffix":""},{"dropping-particle":"","family":"Tekete","given":"Mamadou","non-dropping-particle":"","parse-names":false,"suffix":""},{"dropping-particle":"","family":"Abdulla","given":"Salim","non-dropping-particle":"","parse-names":false,"suffix":""},{"dropping-particle":"","family":"Lyimo","given":"John","non-dropping-particle":"","parse-names":false,"suffix":""},{"dropping-particle":"","family":"Bassat","given":"Quique","non-dropping-particle":"","parse-names":false,"suffix":""},{"dropping-particle":"","family":"Mandomando","given":"Inacio","non-dropping-particle":"","parse-names":false,"suffix":""},{"dropping-particle":"","family":"Lefèvre","given":"Gilbert","non-dropping-particle":"","parse-names":false,"suffix":""},{"dropping-particle":"","family":"Borrmann","given":"Steffen","non-dropping-particle":"","parse-names":false,"suffix":""}],"container-title":"Antimicrobial Agents and Chemotherapy","id":"ITEM-3","issue":"9","issued":{"date-parts":[["2011"]]},"page":"3994-3999","title":"Pharmacokinetic and pharmacodynamic characteristics of a new pediatric formulation of artemether-lumefantrine in African children with uncomplicated Plasmodium falciparum malaria","type":"article-journal","volume":"55"},"uris":["http://www.mendeley.com/documents/?uuid=39b4182c-83b0-4ca7-b1a9-aed6a7c9d1ef","http://www.mendeley.com/documents/?uuid=79c5c610-eae9-41e3-ad9b-2a118cd4e08e"]},{"id":"ITEM-4","itemData":{"DOI":"10.1186/s12916-016-0611-9","ISSN":"17417015","PMID":"27039396","abstract":"Reduction of gametocyte transmission from humans to mosquitoes is a key component of malaria elimination. The study by Gon</w:instrText>
      </w:r>
      <w:r w:rsidR="007125A3">
        <w:rPr>
          <w:rFonts w:ascii="Tahoma" w:hAnsi="Tahoma" w:cs="Tahoma"/>
          <w:color w:val="auto"/>
          <w:szCs w:val="22"/>
        </w:rPr>
        <w:instrText>�</w:instrText>
      </w:r>
      <w:r w:rsidR="007125A3">
        <w:rPr>
          <w:rFonts w:cs="Times New Roman"/>
          <w:color w:val="auto"/>
          <w:szCs w:val="22"/>
        </w:rPr>
        <w:instrText>alves and colleagues provides valuable new data on how the addition of low-dose primaquine to artemether-lumefantrine affects reduction of gametocytemia and transmission of gametocytes to mosquitoes in asymptomatically Plasmodium falciparum-infected children without G6PD deficiency, and on the degree to which low-dose primaquine affects hemoglobin levels in these children. The study sets the stage for future research required for consideration of an artemisinin combination therapy (ACT)-primaquine regimen in mass drug administration campaigns. Future studies will need to evaluate toxicity in adults and G6PD deficient persons, assess gametocyte transmission from adults, evaluate different ACT drugs with primaquine, and assess the implications of \"rare\" toxicities in large treatment populations, such as hemolysis requiring blood transfusion. The study highlights both the promise and the potential risk of ACT-primaquine treatment in malaria elimination campaigns. Please see related article: https://bmcmedicine.biomedcentral.com/articles/10.1186/s12916-016-0581-y.","author":[{"dropping-particle":"","family":"John","given":"Chandy C.","non-dropping-particle":"","parse-names":false,"suffix":""}],"container-title":"BMC Medicine","id":"ITEM-4","issued":{"date-parts":[["2016"]]},"page":"65","title":"Primaquine plus artemisinin combination therapy for reduction of malaria transmission: Promise and risk","type":"article-journal","volume":"14"},"uris":["http://www.mendeley.com/documents/?uuid=0b5d55b3-57f5-4530-b723-cab71bbc64bd","http://www.mendeley.com/documents/?uuid=e4a3e544-be0a-47a4-bbb9-ac504f1f6b76"]}],"mendeley":{"formattedCitation":"&lt;sup&gt;14–17&lt;/sup&gt;","plainTextFormattedCitation":"14–17","previouslyFormattedCitation":"&lt;sup&gt;14–17&lt;/sup&gt;"},"properties":{"noteIndex":0},"schema":"https://github.com/citation-style-language/schema/raw/master/csl-citation.json"}</w:instrText>
      </w:r>
      <w:r w:rsidR="002767D0" w:rsidRPr="00C07E8E">
        <w:rPr>
          <w:rFonts w:cs="Times New Roman"/>
          <w:color w:val="auto"/>
          <w:szCs w:val="22"/>
        </w:rPr>
        <w:fldChar w:fldCharType="separate"/>
      </w:r>
      <w:r w:rsidR="007125A3" w:rsidRPr="007125A3">
        <w:rPr>
          <w:rFonts w:cs="Times New Roman"/>
          <w:noProof/>
          <w:color w:val="auto"/>
          <w:szCs w:val="22"/>
          <w:vertAlign w:val="superscript"/>
        </w:rPr>
        <w:t>14–17</w:t>
      </w:r>
      <w:r w:rsidR="002767D0" w:rsidRPr="00C07E8E">
        <w:rPr>
          <w:rFonts w:cs="Times New Roman"/>
          <w:color w:val="auto"/>
          <w:szCs w:val="22"/>
        </w:rPr>
        <w:fldChar w:fldCharType="end"/>
      </w:r>
      <w:r w:rsidR="00455BDF">
        <w:rPr>
          <w:rFonts w:cs="Times New Roman"/>
          <w:color w:val="auto"/>
          <w:szCs w:val="22"/>
        </w:rPr>
        <w:t xml:space="preserve"> Artemether/Lumefantrine was granted international licensing approval in 1999</w:t>
      </w:r>
      <w:r w:rsidR="00642D03">
        <w:rPr>
          <w:rFonts w:cs="Times New Roman"/>
          <w:color w:val="auto"/>
          <w:szCs w:val="22"/>
        </w:rPr>
        <w:t>,</w:t>
      </w:r>
      <w:r w:rsidR="00455BDF">
        <w:rPr>
          <w:rFonts w:cs="Times New Roman"/>
          <w:color w:val="auto"/>
          <w:szCs w:val="22"/>
        </w:rPr>
        <w:t xml:space="preserve"> marketed as Coartem by Novartis</w:t>
      </w:r>
      <w:r w:rsidR="00642D03">
        <w:rPr>
          <w:rFonts w:cs="Times New Roman"/>
          <w:color w:val="auto"/>
          <w:szCs w:val="22"/>
        </w:rPr>
        <w:t>,</w:t>
      </w:r>
      <w:r w:rsidR="00455BDF">
        <w:rPr>
          <w:rFonts w:cs="Times New Roman"/>
          <w:color w:val="auto"/>
          <w:szCs w:val="22"/>
        </w:rPr>
        <w:t xml:space="preserve"> and was granted FDA approval in 2009</w:t>
      </w:r>
      <w:r w:rsidR="00642D03">
        <w:rPr>
          <w:rFonts w:cs="Times New Roman"/>
          <w:color w:val="auto"/>
          <w:szCs w:val="22"/>
        </w:rPr>
        <w:t>,</w:t>
      </w:r>
      <w:r w:rsidR="00455BDF">
        <w:rPr>
          <w:rFonts w:cs="Times New Roman"/>
          <w:color w:val="auto"/>
          <w:szCs w:val="22"/>
        </w:rPr>
        <w:t xml:space="preserve"> defining the first WHO backed fixed dose Artemisinin-based combination therapy.</w:t>
      </w:r>
      <w:r w:rsidR="004E7962">
        <w:rPr>
          <w:rFonts w:cs="Times New Roman"/>
          <w:color w:val="auto"/>
          <w:szCs w:val="22"/>
        </w:rPr>
        <w:fldChar w:fldCharType="begin" w:fldLock="1"/>
      </w:r>
      <w:r w:rsidR="007125A3">
        <w:rPr>
          <w:rFonts w:cs="Times New Roman"/>
          <w:color w:val="auto"/>
          <w:szCs w:val="22"/>
        </w:rPr>
        <w:instrText>ADDIN CSL_CITATION {"citationItems":[{"id":"ITEM-1","itemData":{"DOI":"10.1186/1475-2875-8-S1-S3","ISSN":"14752875","PMID":"19818170","abstract":"Artemisinin, from which the artemether component of Coartem° (artemether/lumefantrine, AL) is derived, is obtained from the plant sweet wormwood (Artemisia annua) which has been used for over 2,000 years as a Chinese herbal remedy. Artemisinin was first identified by Chinese researchers as the active anti-malarial constituent of A. annua and its derivatives were found to be the most potent of all anti-malarial drugs. Artemether acts rapidly, reducing the infecting parasite biomass by approximately 10,000-fold per asexual life cycle. Lumefantrine, the other active constituent of AL, acts over a longer period to eliminate the residual 100-100,000 parasites that remain after artemether is cleared from the body and thus minimizes the risk of recrudescence. The two agents have different modes of action and act at different points in the parasite life cycle and show a synergistic action against Plasmodium falciparum in vitro. The combination of artemether and lumefantrine reduces the risk of resistance developing to either agent, and to date there are no reports of resistance to AL combined therapy in the malaria parasite that infects humans. Following a unique partnership agreement between Chinese authorities and Novartis, the manufacturer of AL, over 20 sponsored clinical studies have been undertaken in various malaria endemic regions and in travellers. These trials have involved more than 3,500 patients (including over 2,000 children), and led to identification of a six-dose, three-day regimen as the optimal dosing strategy for AL in uncomplicated falciparum malaria. AL has consistently shown 28-day polymerase chain (PCR)-corrected cure rates greater than 95% in the evaluable population, meeting WHO recommendations. More recently, Novartis and the Medicines for Malaria Venture have worked in partnership to develop Coartem° Dispersible, a new formulation designed specifically to meet the specific needs of children with malaria. The dispersible tablets have shown similar high response rates to those observed with crushed standard tablets of AL. A partnership agreement between Novartis and WHO has seen over 250 million AL (Coartem°) treatments (75% for children) being distributed to malaria patients in developing countries without profit, supported by training programmes and educational resources. © 2009 Premji.","author":[{"dropping-particle":"","family":"Premji","given":"Zulfiqarali G.","non-dropping-particle":"","parse-names":false,"suffix":""}],"container-title":"Malaria Journal","id":"ITEM-1","issue":"SUPPL. 1","issued":{"date-parts":[["2009"]]},"page":"S3","title":"Coartem°: The journey to the clinic","type":"article-journal","volume":"8"},"uris":["http://www.mendeley.com/documents/?uuid=60821516-7a01-4a04-9594-5021604ba2b4","http://www.mendeley.com/documents/?uuid=e6da7264-19c2-473a-8258-5bde8b3cd571"]}],"mendeley":{"formattedCitation":"&lt;sup&gt;18&lt;/sup&gt;","plainTextFormattedCitation":"18","previouslyFormattedCitation":"&lt;sup&gt;18&lt;/sup&gt;"},"properties":{"noteIndex":0},"schema":"https://github.com/citation-style-language/schema/raw/master/csl-citation.json"}</w:instrText>
      </w:r>
      <w:r w:rsidR="004E7962">
        <w:rPr>
          <w:rFonts w:cs="Times New Roman"/>
          <w:color w:val="auto"/>
          <w:szCs w:val="22"/>
        </w:rPr>
        <w:fldChar w:fldCharType="separate"/>
      </w:r>
      <w:r w:rsidR="007125A3" w:rsidRPr="007125A3">
        <w:rPr>
          <w:rFonts w:cs="Times New Roman"/>
          <w:noProof/>
          <w:color w:val="auto"/>
          <w:szCs w:val="22"/>
          <w:vertAlign w:val="superscript"/>
        </w:rPr>
        <w:t>18</w:t>
      </w:r>
      <w:r w:rsidR="004E7962">
        <w:rPr>
          <w:rFonts w:cs="Times New Roman"/>
          <w:color w:val="auto"/>
          <w:szCs w:val="22"/>
        </w:rPr>
        <w:fldChar w:fldCharType="end"/>
      </w:r>
      <w:r w:rsidR="00C07E8E" w:rsidRPr="00C07E8E">
        <w:rPr>
          <w:rFonts w:cs="Times New Roman"/>
          <w:color w:val="auto"/>
          <w:szCs w:val="22"/>
        </w:rPr>
        <w:t xml:space="preserve"> However, poor solubility of the ART-ethers necessitates administration by intramuscular (IM) injection</w:t>
      </w:r>
      <w:r w:rsidR="002767D0" w:rsidRPr="00C07E8E">
        <w:rPr>
          <w:rFonts w:cs="Times New Roman"/>
          <w:color w:val="auto"/>
          <w:szCs w:val="22"/>
        </w:rPr>
        <w:t xml:space="preserve"> or oral routes (po)</w:t>
      </w:r>
      <w:r w:rsidR="00C07E8E" w:rsidRPr="00C07E8E">
        <w:rPr>
          <w:rFonts w:cs="Times New Roman"/>
          <w:color w:val="auto"/>
          <w:szCs w:val="22"/>
        </w:rPr>
        <w:t xml:space="preserve"> which is not ideal for the rapid systemic exposure required for clear</w:t>
      </w:r>
      <w:r w:rsidR="00F00EC4">
        <w:rPr>
          <w:rFonts w:cs="Times New Roman"/>
          <w:color w:val="auto"/>
          <w:szCs w:val="22"/>
        </w:rPr>
        <w:t>ing</w:t>
      </w:r>
      <w:r w:rsidR="00C07E8E" w:rsidRPr="00C07E8E">
        <w:rPr>
          <w:rFonts w:cs="Times New Roman"/>
          <w:color w:val="auto"/>
          <w:szCs w:val="22"/>
        </w:rPr>
        <w:t xml:space="preserve"> parasite burden in severe malaria.</w:t>
      </w:r>
      <w:r w:rsidR="002767D0" w:rsidRPr="00C07E8E">
        <w:rPr>
          <w:rFonts w:cs="Times New Roman"/>
          <w:color w:val="auto"/>
          <w:szCs w:val="22"/>
        </w:rPr>
        <w:fldChar w:fldCharType="begin" w:fldLock="1"/>
      </w:r>
      <w:r w:rsidR="00CA5C6A">
        <w:rPr>
          <w:rFonts w:cs="Times New Roman"/>
          <w:color w:val="auto"/>
          <w:szCs w:val="22"/>
        </w:rPr>
        <w:instrText>ADDIN CSL_CITATION {"citationItems":[{"id":"ITEM-1","itemData":{"DOI":"10.1021/jm00398a026","ISSN":"15204804","PMID":"3279208","abstract":"Arteether (6) has been prepared from dihydroqinghaosu (3) by etherification with ethanol in the presence of Lewis acid and separated from its chromatographically slower moving α-dihydroqinghaosu ethyl ether (7). The absolute stereochemistry at C-12 has been determined by 1H NMR data (J11,12, NOESY). Ethyl ethers 6 and 7 showed potent in vitro inhibition of Plasmodium falciparum, and both compounds were highly potent antimalarials in mice infected with a drug-sensitive strain of Plasmodium berghei. Crystalline arteether (6) and its oily epimer 7 were 2-3 times more potent schizontocides than quinghaosu (1), but deoxy compounds 8, 9, and 11 were 100-300 times less potent in vitro than their corresponding peroxy precursors. Pharmacological studies have shown arteether (6) to have antimalarial activity in animals comparable to artesunate (2) and artemether (4), both of which are fast-acting blood schizontocides in humans. Arteether (6) has now been chosen for a clinical evaluation in high-risk malaria patients. © 1988, American Chemical Society. All rights reserved.","author":[{"dropping-particle":"","family":"Brossi","given":"A.","non-dropping-particle":"","parse-names":false,"suffix":""},{"dropping-particle":"","family":"Venugopalan","given":"B.","non-dropping-particle":"","parse-names":false,"suffix":""},{"dropping-particle":"","family":"Gerpe","given":"L. Dominguez","non-dropping-particle":"","parse-names":false,"suffix":""},{"dropping-particle":"","family":"Yeh","given":"H. J.C. C.","non-dropping-particle":"","parse-names":false,"suffix":""},{"dropping-particle":"","family":"Flippen-Anderson","given":"J. L.","non-dropping-particle":"","parse-names":false,"suffix":""},{"dropping-particle":"","family":"Buchs","given":"P.","non-dropping-particle":"","parse-names":false,"suffix":""},{"dropping-particle":"","family":"Luo","given":"X. D.","non-dropping-particle":"","parse-names":false,"suffix":""},{"dropping-particle":"","family":"Milhous","given":"W.","non-dropping-particle":"","parse-names":false,"suffix":""},{"dropping-particle":"","family":"Peters","given":"W.","non-dropping-particle":"","parse-names":false,"suffix":""}],"container-title":"Journal of Medicinal Chemistry","id":"ITEM-1","issue":"3","issued":{"date-parts":[["1988"]]},"page":"645-650","title":"Arteether, a New Antimalarial Drug: Synthesis and Antimalarial Properties","type":"article-journal","volume":"31"},"uris":["http://www.mendeley.com/documents/?uuid=573ae59f-5fc5-40a9-b891-99a86d917ae1"]}],"mendeley":{"formattedCitation":"&lt;sup&gt;13&lt;/sup&gt;","plainTextFormattedCitation":"13","previouslyFormattedCitation":"&lt;sup&gt;13&lt;/sup&gt;"},"properties":{"noteIndex":0},"schema":"https://github.com/citation-style-language/schema/raw/master/csl-citation.json"}</w:instrText>
      </w:r>
      <w:r w:rsidR="002767D0" w:rsidRPr="00C07E8E">
        <w:rPr>
          <w:rFonts w:cs="Times New Roman"/>
          <w:color w:val="auto"/>
          <w:szCs w:val="22"/>
        </w:rPr>
        <w:fldChar w:fldCharType="separate"/>
      </w:r>
      <w:r w:rsidR="007125A3" w:rsidRPr="007125A3">
        <w:rPr>
          <w:rFonts w:cs="Times New Roman"/>
          <w:noProof/>
          <w:color w:val="auto"/>
          <w:szCs w:val="22"/>
          <w:vertAlign w:val="superscript"/>
        </w:rPr>
        <w:t>13</w:t>
      </w:r>
      <w:r w:rsidR="002767D0" w:rsidRPr="00C07E8E">
        <w:rPr>
          <w:rFonts w:cs="Times New Roman"/>
          <w:color w:val="auto"/>
          <w:szCs w:val="22"/>
        </w:rPr>
        <w:fldChar w:fldCharType="end"/>
      </w:r>
      <w:r w:rsidR="00C07E8E" w:rsidRPr="00C07E8E">
        <w:rPr>
          <w:rFonts w:cs="Times New Roman"/>
          <w:color w:val="auto"/>
          <w:szCs w:val="22"/>
        </w:rPr>
        <w:t xml:space="preserve"> Artesunate</w:t>
      </w:r>
      <w:r w:rsidR="007125A3">
        <w:rPr>
          <w:rFonts w:cs="Times New Roman"/>
          <w:color w:val="auto"/>
          <w:szCs w:val="22"/>
        </w:rPr>
        <w:t xml:space="preserve"> (</w:t>
      </w:r>
      <w:r w:rsidR="007125A3">
        <w:rPr>
          <w:rFonts w:cs="Times New Roman"/>
          <w:b/>
          <w:color w:val="auto"/>
          <w:szCs w:val="22"/>
        </w:rPr>
        <w:t>5</w:t>
      </w:r>
      <w:r w:rsidR="007125A3">
        <w:rPr>
          <w:rFonts w:cs="Times New Roman"/>
          <w:color w:val="auto"/>
          <w:szCs w:val="22"/>
        </w:rPr>
        <w:t>)</w:t>
      </w:r>
      <w:r w:rsidR="00C07E8E" w:rsidRPr="00C07E8E">
        <w:rPr>
          <w:rFonts w:cs="Times New Roman"/>
          <w:color w:val="auto"/>
          <w:szCs w:val="22"/>
        </w:rPr>
        <w:t xml:space="preserve"> is the succinic ester of DHA </w:t>
      </w:r>
      <w:r w:rsidR="002767D0" w:rsidRPr="00C07E8E">
        <w:rPr>
          <w:rFonts w:cs="Times New Roman"/>
          <w:color w:val="auto"/>
          <w:szCs w:val="22"/>
        </w:rPr>
        <w:t xml:space="preserve">displaying greatly improved aqueous solubility which </w:t>
      </w:r>
      <w:r w:rsidR="00642D03">
        <w:rPr>
          <w:rFonts w:cs="Times New Roman"/>
          <w:color w:val="auto"/>
          <w:szCs w:val="22"/>
        </w:rPr>
        <w:t>enables</w:t>
      </w:r>
      <w:r w:rsidR="00642D03" w:rsidRPr="00C07E8E">
        <w:rPr>
          <w:rFonts w:cs="Times New Roman"/>
          <w:color w:val="auto"/>
          <w:szCs w:val="22"/>
        </w:rPr>
        <w:t xml:space="preserve"> </w:t>
      </w:r>
      <w:r w:rsidR="002767D0" w:rsidRPr="00C07E8E">
        <w:rPr>
          <w:rFonts w:cs="Times New Roman"/>
          <w:color w:val="auto"/>
          <w:szCs w:val="22"/>
        </w:rPr>
        <w:t>administration by intravenous (IV) in</w:t>
      </w:r>
      <w:r w:rsidR="008A4FE1" w:rsidRPr="00C07E8E">
        <w:rPr>
          <w:rFonts w:cs="Times New Roman"/>
          <w:color w:val="auto"/>
          <w:szCs w:val="22"/>
        </w:rPr>
        <w:t>fusion allowing for effective treatment of severe malaria</w:t>
      </w:r>
      <w:r w:rsidR="00C07E8E" w:rsidRPr="00C07E8E">
        <w:rPr>
          <w:rFonts w:cs="Times New Roman"/>
          <w:color w:val="auto"/>
          <w:szCs w:val="22"/>
        </w:rPr>
        <w:t>.</w:t>
      </w:r>
      <w:r w:rsidR="008A4FE1" w:rsidRPr="00C07E8E">
        <w:rPr>
          <w:rFonts w:cs="Times New Roman"/>
          <w:color w:val="auto"/>
          <w:szCs w:val="22"/>
        </w:rPr>
        <w:fldChar w:fldCharType="begin" w:fldLock="1"/>
      </w:r>
      <w:r w:rsidR="007125A3">
        <w:rPr>
          <w:rFonts w:cs="Times New Roman"/>
          <w:color w:val="auto"/>
          <w:szCs w:val="22"/>
        </w:rPr>
        <w:instrText>ADDIN CSL_CITATION {"citationItems":[{"id":"ITEM-1","itemData":{"DOI":"10.3390/ph3072322","ISSN":"14248247","abstract":"This review summarizes progress in treating severe and complicated malaria, which are global problems, claiming at least one million lives annually, and have been accompanied by advances in our understanding of the pathogenesis of severe malaria complications. New drugs such as intravenous artesunate (AS) and intramuscular artemether (AM) are improving outcomes and decreasing malaria deaths. Trials comparing AM to the traditional parenteral drug, quinine, have not demonstrated however convincing evidence of a mortality advantage for AM. The South East Asian Quinine Artesunate Malaria Trials (SEAQUAMAT), a multicenter, randomized, open-label study comparing AS with quinine showed that parenteral AS was shown to be associated with a 35% reduction in the risk of mortality compare to quinine, and is now the recommended treatment by the WHO for severe and complicated malaria in low-transmission areas and in the second and third trimesters of pregnancy, with almost all the benefit reported in those with high parasite counts. Artesunate is a semisynthetic derivative of artemisinin whose water solubility facilitates absorption and provides an advantage over other artemisinins because it can be formulated as oral, rectal, intramuscular, and intravenous preparations. Artesunate is rapidly hydrolyzed to dihydroartemisinin, which is the most active schizonticidal metabolite. Injectable AS results in a more rapid systemic availability of AS compared with intramuscular AM. This pharmacokinetic advantage may provide a clinical advantage in the treatments of severe and complicated malaria. © 2010 by the authors.","author":[{"dropping-particle":"","family":"Li","given":"Qigui","non-dropping-particle":"","parse-names":false,"suffix":""},{"dropping-particle":"","family":"Weina","given":"Peter","non-dropping-particle":"","parse-names":false,"suffix":""}],"container-title":"Pharmaceuticals","id":"ITEM-1","issue":"7","issued":{"date-parts":[["2010"]]},"page":"2322-2332","title":"Artesunate: The best drug in the treatment of severe and complicated malaria","type":"article-journal","volume":"3"},"uris":["http://www.mendeley.com/documents/?uuid=17963bb3-f914-4eb9-af64-9836f30726d3","http://www.mendeley.com/documents/?uuid=60ac63d6-17b4-41fa-b717-6dd9671f8022"]}],"mendeley":{"formattedCitation":"&lt;sup&gt;19&lt;/sup&gt;","plainTextFormattedCitation":"19","previouslyFormattedCitation":"&lt;sup&gt;19&lt;/sup&gt;"},"properties":{"noteIndex":0},"schema":"https://github.com/citation-style-language/schema/raw/master/csl-citation.json"}</w:instrText>
      </w:r>
      <w:r w:rsidR="008A4FE1" w:rsidRPr="00C07E8E">
        <w:rPr>
          <w:rFonts w:cs="Times New Roman"/>
          <w:color w:val="auto"/>
          <w:szCs w:val="22"/>
        </w:rPr>
        <w:fldChar w:fldCharType="separate"/>
      </w:r>
      <w:r w:rsidR="007125A3" w:rsidRPr="007125A3">
        <w:rPr>
          <w:rFonts w:cs="Times New Roman"/>
          <w:noProof/>
          <w:color w:val="auto"/>
          <w:szCs w:val="22"/>
          <w:vertAlign w:val="superscript"/>
        </w:rPr>
        <w:t>19</w:t>
      </w:r>
      <w:r w:rsidR="008A4FE1" w:rsidRPr="00C07E8E">
        <w:rPr>
          <w:rFonts w:cs="Times New Roman"/>
          <w:color w:val="auto"/>
          <w:szCs w:val="22"/>
        </w:rPr>
        <w:fldChar w:fldCharType="end"/>
      </w:r>
      <w:r w:rsidR="00C07E8E" w:rsidRPr="00C07E8E">
        <w:rPr>
          <w:rFonts w:cs="Times New Roman"/>
          <w:color w:val="auto"/>
          <w:szCs w:val="22"/>
        </w:rPr>
        <w:t xml:space="preserve">  </w:t>
      </w:r>
    </w:p>
    <w:p w14:paraId="44ABDE87" w14:textId="6C7D5FD4" w:rsidR="00385447" w:rsidRPr="00C07E8E" w:rsidRDefault="00C07E8E" w:rsidP="00532D1D">
      <w:pPr>
        <w:rPr>
          <w:rFonts w:cs="Times New Roman"/>
          <w:color w:val="auto"/>
          <w:szCs w:val="22"/>
        </w:rPr>
      </w:pPr>
      <w:r w:rsidRPr="00C07E8E">
        <w:rPr>
          <w:rFonts w:cs="Times New Roman"/>
          <w:color w:val="auto"/>
          <w:szCs w:val="22"/>
        </w:rPr>
        <w:tab/>
        <w:t xml:space="preserve">The current recommendation of WHO for the treatment of uncomplicated </w:t>
      </w:r>
      <w:r w:rsidRPr="00C07E8E">
        <w:rPr>
          <w:rFonts w:cs="Times New Roman"/>
          <w:i/>
          <w:iCs/>
          <w:color w:val="auto"/>
          <w:szCs w:val="22"/>
        </w:rPr>
        <w:t>P. falciparum</w:t>
      </w:r>
      <w:r w:rsidRPr="00C07E8E">
        <w:rPr>
          <w:rFonts w:cs="Times New Roman"/>
          <w:color w:val="auto"/>
          <w:szCs w:val="22"/>
        </w:rPr>
        <w:t xml:space="preserve"> malaria is using ART combination therapy (ACT) </w:t>
      </w:r>
      <w:r w:rsidR="00F00EC4">
        <w:rPr>
          <w:rFonts w:cs="Times New Roman"/>
          <w:color w:val="auto"/>
          <w:szCs w:val="22"/>
        </w:rPr>
        <w:t>which</w:t>
      </w:r>
      <w:r w:rsidRPr="00C07E8E">
        <w:rPr>
          <w:rFonts w:cs="Times New Roman"/>
          <w:color w:val="auto"/>
          <w:szCs w:val="22"/>
        </w:rPr>
        <w:t xml:space="preserve"> involve</w:t>
      </w:r>
      <w:r w:rsidR="00F00EC4">
        <w:rPr>
          <w:rFonts w:cs="Times New Roman"/>
          <w:color w:val="auto"/>
          <w:szCs w:val="22"/>
        </w:rPr>
        <w:t>s</w:t>
      </w:r>
      <w:r w:rsidRPr="00C07E8E">
        <w:rPr>
          <w:rFonts w:cs="Times New Roman"/>
          <w:color w:val="auto"/>
          <w:szCs w:val="22"/>
        </w:rPr>
        <w:t xml:space="preserve"> the co-administration of a semi-synthetic ART derivative with a second longer acting drug. </w:t>
      </w:r>
      <w:r w:rsidRPr="000F1758">
        <w:rPr>
          <w:rFonts w:cs="Times New Roman"/>
          <w:color w:val="auto"/>
          <w:szCs w:val="22"/>
        </w:rPr>
        <w:t xml:space="preserve">The ART derivative acts as a fast killer to rapidly reduce initial parasite burden while the long acting drug maintains a plasma concentration above the minimum parasiticidal concentration </w:t>
      </w:r>
      <w:r w:rsidR="00EA5480">
        <w:rPr>
          <w:rFonts w:cs="Times New Roman"/>
          <w:color w:val="auto"/>
          <w:szCs w:val="22"/>
        </w:rPr>
        <w:t>allowing the eradication of parasites in as few doses as possible</w:t>
      </w:r>
      <w:r w:rsidR="008A4FE1" w:rsidRPr="00C07E8E">
        <w:rPr>
          <w:rFonts w:cs="Times New Roman"/>
          <w:color w:val="auto"/>
          <w:szCs w:val="22"/>
        </w:rPr>
        <w:fldChar w:fldCharType="begin" w:fldLock="1"/>
      </w:r>
      <w:r w:rsidR="007125A3">
        <w:rPr>
          <w:rFonts w:cs="Times New Roman"/>
          <w:color w:val="auto"/>
          <w:szCs w:val="22"/>
        </w:rPr>
        <w:instrText>ADDIN CSL_CITATION {"citationItems":[{"id":"ITEM-1","itemData":{"DOI":"10.1136/bmj.c2637","ISBN":"9789241547","ISSN":"17561833","PMID":"20511305","abstract":"The World Health Organization Guidelines for the treatment of malaria provides evidence-based and up-to-date recommendations for countries on malaria diagnosis and treatment which help countries formulate their policies and strategies. In scope, the Guidelines cover the diagnosis and treatment of uncomplicated and severe malaria caused by all types of malaria, including in special groups (young children, pregnant women, HIV /AIDS), in travellers (from non-malaria endemic regions) and in epidemics and complex emergency situations. The first edition of the Guidelines for the treatment of malaria were published in 2006. The second edition introduces a new 5th ACT to the four already recommended for the treatment of uncomplicated malaria. Furthermore, the Guidelines recommend a parasitological confirmation of diagnosis in all patients suspected of having malaria before treating. The move towards universal diagnostic testing of malaria is a critical step forward in the fight against malaria as it will allow for the targeted use of ACTs for those who actually have malaria. This will help to reduce the emergence and spread of drug resistance. It will also help identify patients who do not have malaria, so that alternative diagnoses can be made and appropriate treatment provided. The new Guidelines will therefore help improve the management of not only malaria, but other childhood febrile illnesses.","author":[{"dropping-particle":"","family":"Reyburn","given":"Hugh","non-dropping-particle":"","parse-names":false,"suffix":""}],"container-title":"British Medical Journal","id":"ITEM-1","issued":{"date-parts":[["2010"]]},"page":"c2637","title":"New WHO guidelines for the treatment of malaria","type":"article-journal","volume":"340"},"uris":["http://www.mendeley.com/documents/?uuid=6494c5d1-6185-40cb-a7a4-dd34ccac9dfc","http://www.mendeley.com/documents/?uuid=023288a6-9bf2-47b5-bfef-614c72391309"]}],"mendeley":{"formattedCitation":"&lt;sup&gt;20&lt;/sup&gt;","plainTextFormattedCitation":"20","previouslyFormattedCitation":"&lt;sup&gt;20&lt;/sup&gt;"},"properties":{"noteIndex":0},"schema":"https://github.com/citation-style-language/schema/raw/master/csl-citation.json"}</w:instrText>
      </w:r>
      <w:r w:rsidR="008A4FE1" w:rsidRPr="00C07E8E">
        <w:rPr>
          <w:rFonts w:cs="Times New Roman"/>
          <w:color w:val="auto"/>
          <w:szCs w:val="22"/>
        </w:rPr>
        <w:fldChar w:fldCharType="separate"/>
      </w:r>
      <w:r w:rsidR="007125A3" w:rsidRPr="007125A3">
        <w:rPr>
          <w:rFonts w:cs="Times New Roman"/>
          <w:noProof/>
          <w:color w:val="auto"/>
          <w:szCs w:val="22"/>
          <w:vertAlign w:val="superscript"/>
        </w:rPr>
        <w:t>20</w:t>
      </w:r>
      <w:r w:rsidR="008A4FE1" w:rsidRPr="00C07E8E">
        <w:rPr>
          <w:rFonts w:cs="Times New Roman"/>
          <w:color w:val="auto"/>
          <w:szCs w:val="22"/>
        </w:rPr>
        <w:fldChar w:fldCharType="end"/>
      </w:r>
    </w:p>
    <w:p w14:paraId="1084C9CC" w14:textId="0FAA75C0" w:rsidR="00953669" w:rsidRPr="00C07E8E" w:rsidRDefault="00C07E8E" w:rsidP="00532D1D">
      <w:pPr>
        <w:rPr>
          <w:rFonts w:cs="Times New Roman"/>
          <w:color w:val="auto"/>
          <w:szCs w:val="22"/>
        </w:rPr>
      </w:pPr>
      <w:r w:rsidRPr="00C07E8E">
        <w:rPr>
          <w:rFonts w:cs="Times New Roman"/>
          <w:color w:val="auto"/>
          <w:szCs w:val="22"/>
        </w:rPr>
        <w:tab/>
        <w:t>Though effective, ACTs are threatened by the growing prevalence of ART resistance first reported on the Thai-Cambodian border in 2009.</w:t>
      </w:r>
      <w:r w:rsidR="008A4FE1" w:rsidRPr="00C07E8E">
        <w:rPr>
          <w:rFonts w:cs="Times New Roman"/>
          <w:color w:val="auto"/>
          <w:szCs w:val="22"/>
        </w:rPr>
        <w:fldChar w:fldCharType="begin" w:fldLock="1"/>
      </w:r>
      <w:r w:rsidR="007125A3">
        <w:rPr>
          <w:rFonts w:cs="Times New Roman"/>
          <w:color w:val="auto"/>
          <w:szCs w:val="22"/>
        </w:rPr>
        <w:instrText>ADDIN CSL_CITATION {"citationItems":[{"id":"ITEM-1","itemData":{"DOI":"10.1056/NEJMoa1314981","ISSN":"15334406","PMID":"25075834","abstract":"BACKGROUND: Artemisinin resistance in Plasmodium falciparum has emerged in Southeast Asia and now poses a threat to the control and elimination of malaria. Mapping the geographic extent of resistance is essential for planning containment and elimination strategies. METHODS: Between May 2011 and April 2013, we enrolled 1241 adults and children with acute, uncomplicated falciparum malaria in an open-label trial at 15 sites in 10 countries (7 in Asia and 3 in Africa). Patients received artesunate, administered orally at a daily dose of either 2 mg per kilogram of body weight per day or 4 mg per kilogram, for 3 days, followed by a standard 3-day course of artemisinin-based combination therapy. Parasite counts in peripheral-blood samples were measured every 6 hours, and the parasite clearance half-lives were determined. RESULTS: The median parasite clearance half-lives ranged from 1.9 hours in the Democratic Republic of Congo to 7.0 hours at the Thailand-Cambodia border. Slowly clearing infections (parasite clearance half-life &gt;5 hours), strongly associated with single point mutations in the \"propeller\" region of the P. falciparum kelch protein gene on chromosome 13 (kelch13), were detected throughout mainland Southeast Asia from southern Vietnam to central Myanmar. The incidence of pretreatment and post-treatment gametocytemia was higher among patients with slow parasite clearance, suggesting greater potential for transmission. In western Cambodia, where artemisinin-based combination therapies are failing, the 6-day course of antimalarial therapy was associated with a cure rate of 97.7% (95% confidence interval, 90.9 to 99.4) at 42 days. CONCLUSIONS: Artemisinin resistance to P. falciparum, which is now prevalent across mainland Southeast Asia, is associated with mutations in kelch13. Prolonged courses of artemisinin-based combination therapies are currently efficacious in areas where standard 3-day treatments are failing. Copyright © 2014 Massachusetts Medical Society.","author":[{"dropping-particle":"","family":"Ashley","given":"E. A.","non-dropping-particle":"","parse-names":false,"suffix":""},{"dropping-particle":"","family":"Dhorda","given":"M.","non-dropping-particle":"","parse-names":false,"suffix":""},{"dropping-particle":"","family":"Fairhurst","given":"R. M.","non-dropping-particle":"","parse-names":false,"suffix":""},{"dropping-particle":"","family":"Amaratunga","given":"C.","non-dropping-particle":"","parse-names":false,"suffix":""},{"dropping-particle":"","family":"Lim","given":"P.","non-dropping-particle":"","parse-names":false,"suffix":""},{"dropping-particle":"","family":"Suon","given":"S.","non-dropping-particle":"","parse-names":false,"suffix":""},{"dropping-particle":"","family":"Sreng","given":"S.","non-dropping-particle":"","parse-names":false,"suffix":""},{"dropping-particle":"","family":"Anderson","given":"J. M.","non-dropping-particle":"","parse-names":false,"suffix":""},{"dropping-particle":"","family":"Mao","given":"S.","non-dropping-particle":"","parse-names":false,"suffix":""},{"dropping-particle":"","family":"Sam","given":"B.","non-dropping-particle":"","parse-names":false,"suffix":""},{"dropping-particle":"","family":"Sopha","given":"C.","non-dropping-particle":"","parse-names":false,"suffix":""},{"dropping-particle":"","family":"Chuor","given":"C. M.","non-dropping-particle":"","parse-names":false,"suffix":""},{"dropping-particle":"","family":"Nguon","given":"C.","non-dropping-particle":"","parse-names":false,"suffix":""},{"dropping-particle":"","family":"Sovannaroth","given":"S.","non-dropping-particle":"","parse-names":false,"suffix":""},{"dropping-particle":"","family":"Pukrittayakamee","given":"S.","non-dropping-particle":"","parse-names":false,"suffix":""},{"dropping-particle":"","family":"Jittamala","given":"P.","non-dropping-particle":"","parse-names":false,"suffix":""},{"dropping-particle":"","family":"Chotivanich","given":"K.","non-dropping-particle":"","parse-names":false,"suffix":""},{"dropping-particle":"","family":"Chutasmit","given":"K.","non-dropping-particle":"","parse-names":false,"suffix":""},{"dropping-particle":"","family":"Suchatsoonthorn","given":"C.","non-dropping-particle":"","parse-names":false,"suffix":""},{"dropping-particle":"","family":"Runcharoen","given":"R.","non-dropping-particle":"","parse-names":false,"suffix":""},{"dropping-particle":"","family":"Hien","given":"T. T.","non-dropping-particle":"","parse-names":false,"suffix":""},{"dropping-particle":"","family":"Thuy-Nhien","given":"N. T.","non-dropping-particle":"","parse-names":false,"suffix":""},{"dropping-particle":"V.","family":"Thanh","given":"N.","non-dropping-particle":"","parse-names":false,"suffix":""},{"dropping-particle":"","family":"Phu","given":"N. H.","non-dropping-particle":"","parse-names":false,"suffix":""},{"dropping-particle":"","family":"Htut","given":"Y.","non-dropping-particle":"","parse-names":false,"suffix":""},{"dropping-particle":"","family":"Han","given":"K. T.","non-dropping-particle":"","parse-names":false,"suffix":""},{"dropping-particle":"","family":"Aye","given":"K. H.","non-dropping-particle":"","parse-names":false,"suffix":""},{"dropping-particle":"","family":"Mokuolu","given":"O. A.","non-dropping-particle":"","parse-names":false,"suffix":""},{"dropping-particle":"","family":"Olaosebikan","given":"R. R.","non-dropping-particle":"","parse-names":false,"suffix":""},{"dropping-particle":"","family":"Folaranmi","given":"O. O.","non-dropping-particle":"","parse-names":false,"suffix":""},{"dropping-particle":"","family":"Mayxay","given":"M.","non-dropping-particle":"","parse-names":false,"suffix":""},{"dropping-particle":"","family":"Khanthavong","given":"M.","non-dropping-particle":"","parse-names":false,"suffix":""},{"dropping-particle":"","family":"Hongvanthong","given":"B.","non-dropping-particle":"","parse-names":false,"suffix":""},{"dropping-particle":"","family":"Newton","given":"P. N.","non-dropping-particle":"","parse-names":false,"suffix":""},{"dropping-particle":"","family":"Onyamboko","given":"M. A.","non-dropping-particle":"","parse-names":false,"suffix":""},{"dropping-particle":"","family":"Fanello","given":"C. I.","non-dropping-particle":"","parse-names":false,"suffix":""},{"dropping-particle":"","family":"Tshefu","given":"A. K.","non-dropping-particle":"","parse-names":false,"suffix":""},{"dropping-particle":"","family":"Mishra","given":"N.","non-dropping-particle":"","parse-names":false,"suffix":""},{"dropping-particle":"","family":"Valecha","given":"N.","non-dropping-particle":"","parse-names":false,"suffix":""},{"dropping-particle":"","family":"Phyo","given":"A. P.","non-dropping-particle":"","parse-names":false,"suffix":""},{"dropping-particle":"","family":"Nosten","given":"F.","non-dropping-particle":"","parse-names":false,"suffix":""},{"dropping-particle":"","family":"Yi","given":"P.","non-dropping-particle":"","parse-names":false,"suffix":""},{"dropping-particle":"","family":"Tripura","given":"R.","non-dropping-particle":"","parse-names":false,"suffix":""},{"dropping-particle":"","family":"Borrmann","given":"S.","non-dropping-particle":"","parse-names":false,"suffix":""},{"dropping-particle":"","family":"Bashraheil","given":"M.","non-dropping-particle":"","parse-names":false,"suffix":""},{"dropping-particle":"","family":"Peshu","given":"J.","non-dropping-particle":"","parse-names":false,"suffix":""},{"dropping-particle":"","family":"Faiz","given":"M. A.","non-dropping-particle":"","parse-names":false,"suffix":""},{"dropping-particle":"","family":"Ghose","given":"A.","non-dropping-particle":"","parse-names":false,"suffix":""},{"dropping-particle":"","family":"Hossain","given":"M. A.","non-dropping-particle":"","parse-names":false,"suffix":""},{"dropping-particle":"","family":"Samad","given":"R.","non-dropping-particle":"","parse-names":false,"suffix":""},{"dropping-particle":"","family":"Rahman","given":"M. R.","non-dropping-particle":"","parse-names":false,"suffix":""},{"dropping-particle":"","family":"Hasan","given":"M. M.","non-dropping-particle":"","parse-names":false,"suffix":""},{"dropping-particle":"","family":"Islam","given":"A.","non-dropping-particle":"","parse-names":false,"suffix":""},{"dropping-particle":"","family":"Miotto","given":"O.","non-dropping-particle":"","parse-names":false,"suffix":""},{"dropping-particle":"","family":"Amato","given":"R.","non-dropping-particle":"","parse-names":false,"suffix":""},{"dropping-particle":"","family":"MacInnis","given":"B.","non-dropping-particle":"","parse-names":false,"suffix":""},{"dropping-particle":"","family":"Stalker","given":"J.","non-dropping-particle":"","parse-names":false,"suffix":""},{"dropping-particle":"","family":"Kwiatkowski","given":"D. P.","non-dropping-particle":"","parse-names":false,"suffix":""},{"dropping-particle":"","family":"Bozdech","given":"Z.","non-dropping-particle":"","parse-names":false,"suffix":""},{"dropping-particle":"","family":"Jeeyapant","given":"A.","non-dropping-particle":"","parse-names":false,"suffix":""},{"dropping-particle":"","family":"Cheah","given":"P. Y.","non-dropping-particle":"","parse-names":false,"suffix":""},{"dropping-particle":"","family":"Sakulthaew","given":"T.","non-dropping-particle":"","parse-names":false,"suffix":""},{"dropping-particle":"","family":"Chalk","given":"J.","non-dropping-particle":"","parse-names":false,"suffix":""},{"dropping-particle":"","family":"Intharabut","given":"B.","non-dropping-particle":"","parse-names":false,"suffix":""},{"dropping-particle":"","family":"Silamut","given":"K.","non-dropping-particle":"","parse-names":false,"suffix":""},{"dropping-particle":"","family":"Lee","given":"S. J.","non-dropping-particle":"","parse-names":false,"suffix":""},{"dropping-particle":"","family":"Vihokhern","given":"B.","non-dropping-particle":"","parse-names":false,"suffix":""},{"dropping-particle":"","family":"Kunasol","given":"C.","non-dropping-particle":"","parse-names":false,"suffix":""},{"dropping-particle":"","family":"Imwong","given":"M.","non-dropping-particle":"","parse-names":false,"suffix":""},{"dropping-particle":"","family":"Tarning","given":"J.","non-dropping-particle":"","parse-names":false,"suffix":""},{"dropping-particle":"","family":"Taylor","given":"W. J.","non-dropping-particle":"","parse-names":false,"suffix":""},{"dropping-particle":"","family":"Yeung","given":"S.","non-dropping-particle":"","parse-names":false,"suffix":""},{"dropping-particle":"","family":"Woodrow","given":"C. J.","non-dropping-particle":"","parse-names":false,"suffix":""},{"dropping-particle":"","family":"Flegg","given":"J. A.","non-dropping-particle":"","parse-names":false,"suffix":""},{"dropping-particle":"","family":"Das","given":"D.","non-dropping-particle":"","parse-names":false,"suffix":""},{"dropping-particle":"","family":"Smith","given":"J.","non-dropping-particle":"","parse-names":false,"suffix":""},{"dropping-particle":"","family":"Venkatesan","given":"M.","non-dropping-particle":"","parse-names":false,"suffix":""},{"dropping-particle":"V.","family":"Plowe","given":"C.","non-dropping-particle":"","parse-names":false,"suffix":""},{"dropping-particle":"","family":"Stepniewska","given":"K.","non-dropping-particle":"","parse-names":false,"suffix":""},{"dropping-particle":"","family":"Guerin","given":"P. J.","non-dropping-particle":"","parse-names":false,"suffix":""},{"dropping-particle":"","family":"Dondorp","given":"A. M.","non-dropping-particle":"","parse-names":false,"suffix":""},{"dropping-particle":"","family":"Day","given":"N. P.","non-dropping-particle":"","parse-names":false,"suffix":""},{"dropping-particle":"","family":"White","given":"N. J.","non-dropping-particle":"","parse-names":false,"suffix":""}],"container-title":"New England Journal of Medicine","id":"ITEM-1","issue":"5","issued":{"date-parts":[["2014"]]},"page":"411-423","title":"Spread of artemisinin resistance in Plasmodium falciparum malaria","type":"article-journal","volume":"371"},"uris":["http://www.mendeley.com/documents/?uuid=0c0a5c94-8c91-46e5-bd9d-aa2fd63f9dee","http://www.mendeley.com/documents/?uuid=2b0f4803-2340-4acf-908b-03dbed7b5230"]}],"mendeley":{"formattedCitation":"&lt;sup&gt;21&lt;/sup&gt;","plainTextFormattedCitation":"21","previouslyFormattedCitation":"&lt;sup&gt;21&lt;/sup&gt;"},"properties":{"noteIndex":0},"schema":"https://github.com/citation-style-language/schema/raw/master/csl-citation.json"}</w:instrText>
      </w:r>
      <w:r w:rsidR="008A4FE1" w:rsidRPr="00C07E8E">
        <w:rPr>
          <w:rFonts w:cs="Times New Roman"/>
          <w:color w:val="auto"/>
          <w:szCs w:val="22"/>
        </w:rPr>
        <w:fldChar w:fldCharType="separate"/>
      </w:r>
      <w:r w:rsidR="007125A3" w:rsidRPr="007125A3">
        <w:rPr>
          <w:rFonts w:cs="Times New Roman"/>
          <w:noProof/>
          <w:color w:val="auto"/>
          <w:szCs w:val="22"/>
          <w:vertAlign w:val="superscript"/>
        </w:rPr>
        <w:t>21</w:t>
      </w:r>
      <w:r w:rsidR="008A4FE1" w:rsidRPr="00C07E8E">
        <w:rPr>
          <w:rFonts w:cs="Times New Roman"/>
          <w:color w:val="auto"/>
          <w:szCs w:val="22"/>
        </w:rPr>
        <w:fldChar w:fldCharType="end"/>
      </w:r>
      <w:r w:rsidR="008A4FE1" w:rsidRPr="00C07E8E">
        <w:rPr>
          <w:rFonts w:cs="Times New Roman"/>
          <w:color w:val="auto"/>
          <w:szCs w:val="22"/>
        </w:rPr>
        <w:t xml:space="preserve"> </w:t>
      </w:r>
      <w:r w:rsidRPr="00C07E8E">
        <w:rPr>
          <w:rFonts w:cs="Times New Roman"/>
          <w:color w:val="auto"/>
          <w:szCs w:val="22"/>
        </w:rPr>
        <w:t>Since, resistance has spread throughout South East Asia with most resistant cases occurring on the Thai-Cambodian Border.</w:t>
      </w:r>
      <w:r w:rsidR="008A4FE1" w:rsidRPr="00C07E8E">
        <w:rPr>
          <w:rFonts w:cs="Times New Roman"/>
          <w:color w:val="auto"/>
          <w:szCs w:val="22"/>
        </w:rPr>
        <w:fldChar w:fldCharType="begin" w:fldLock="1"/>
      </w:r>
      <w:r w:rsidR="007125A3">
        <w:rPr>
          <w:rFonts w:cs="Times New Roman"/>
          <w:color w:val="auto"/>
          <w:szCs w:val="22"/>
        </w:rPr>
        <w:instrText>ADDIN CSL_CITATION {"citationItems":[{"id":"ITEM-1","itemData":{"DOI":"10.1056/NEJMoa0808859","ISSN":"15334406","abstract":"BACKGROUND: Artemisinin-based combination therapies are the recommended first-line treatments of falciparum malaria in all countries with endemic disease. There are recent concerns that the efficacy of such therapies has declined on the Thai - Cambodian border, historically a site of emerging antimalarial-drug resistance. METHODS: In two open-label, randomized trials, we compared the efficacies of two treatments for uncomplicated falciparum malaria in Pailin, western Cambodia, and Wang Pha, northwestern Thailand: oral artesunate given at a dose of 2 mg per kilogram of body weight per day, for 7 days, and artesunate given at a dose of 4 mg per kilogram per day, for 3 days, followed by mefloquine at two doses totaling 25 mg per kilogram. We assessed in vitro and in vivo Plasmodium falciparum susceptibility, artesunate pharmaco kinetics, and molecular markers of resistance. RESULTS: We studied 40 patients in each of the two locations. The overall median parasite clearance times were 84 hours (interquartile range, 60 to 96) in Pailin and 48 hours (interquartile range, 36 to 66) in Wang Pha (P&lt;0.001). Recrudescence confirmed by means of polymerase-chain-reaction assay occurred in 6 of 20 patients (30%) receiving artesunate monotherapy and 1 of 20 (5%) receiving artesunate-mefloquine therapy in Pailin, as compared with 2 of 20 (10%) and 1 of 20 (5%), respectively, in Wang Pha (P = 0.31). These markedly different parasitologic responses were not explained by differences in age, artesunate or dihydroartemisinin pharmacokinetics, results of isotopic in vitro sensitivity tests, or putative molecular correlates of P. falciparum drug resistance (mutations or amplifications of the gene encoding a multidrug resistance protein [PfMDR1] or mutations in the gene encoding sarco-endoplasmic reticulum calcium ATPase6 [PfSERCA]). Adverse events were mild and did not differ significantly between the two treatment groups. CONCLUSIONS: P. falciparum has reduced in vivo susceptibility to artesunate in western Cambodia as compared with northwestern Thailand. Resistance is characterized by slow parasite clearance in vivo without corresponding reductions on conventional in vitro susceptibility testing. Containment measures are urgently needed. (ClinicalTrials.gov number, NCT00493363, and Current Controlled Trials number, ISRCTN64835265.) Copyright © 2009 Massachusetts Medical Society.","author":[{"dropping-particle":"","family":"Dondorp","given":"Arjen M.","non-dropping-particle":"","parse-names":false,"suffix":""},{"dropping-particle":"","family":"Nosten","given":"François","non-dropping-particle":"","parse-names":false,"suffix":""},{"dropping-particle":"","family":"Yi","given":"Poravuth","non-dropping-particle":"","parse-names":false,"suffix":""},{"dropping-particle":"","family":"Das","given":"Debashish","non-dropping-particle":"","parse-names":false,"suffix":""},{"dropping-particle":"","family":"Phyo","given":"Aung Phae","non-dropping-particle":"","parse-names":false,"suffix":""},{"dropping-particle":"","family":"Tarning","given":"Joel","non-dropping-particle":"","parse-names":false,"suffix":""},{"dropping-particle":"","family":"Lwin","given":"Khin Maung","non-dropping-particle":"","parse-names":false,"suffix":""},{"dropping-particle":"","family":"Ariey","given":"Frederic","non-dropping-particle":"","parse-names":false,"suffix":""},{"dropping-particle":"","family":"Hanpithakpong","given":"Warunee","non-dropping-particle":"","parse-names":false,"suffix":""},{"dropping-particle":"","family":"Lee","given":"Sue J.","non-dropping-particle":"","parse-names":false,"suffix":""},{"dropping-particle":"","family":"Ringwald","given":"Pascal","non-dropping-particle":"","parse-names":false,"suffix":""},{"dropping-particle":"","family":"Silamut","given":"Kamolrat","non-dropping-particle":"","parse-names":false,"suffix":""},{"dropping-particle":"","family":"Imwong","given":"Mallika","non-dropping-particle":"","parse-names":false,"suffix":""},{"dropping-particle":"","family":"Chotivanich","given":"Kesinee","non-dropping-particle":"","parse-names":false,"suffix":""},{"dropping-particle":"","family":"Lim","given":"Pharath","non-dropping-particle":"","parse-names":false,"suffix":""},{"dropping-particle":"","family":"Herdman","given":"Trent","non-dropping-particle":"","parse-names":false,"suffix":""},{"dropping-particle":"","family":"An","given":"Sen Sam","non-dropping-particle":"","parse-names":false,"suffix":""},{"dropping-particle":"","family":"Yeung","given":"Shunmay","non-dropping-particle":"","parse-names":false,"suffix":""},{"dropping-particle":"","family":"Singhasivanon","given":"Pratap","non-dropping-particle":"","parse-names":false,"suffix":""},{"dropping-particle":"","family":"Day","given":"Nicholas P.J.","non-dropping-particle":"","parse-names":false,"suffix":""},{"dropping-particle":"","family":"Lindegardh","given":"Niklas","non-dropping-particle":"","parse-names":false,"suffix":""},{"dropping-particle":"","family":"Socheat","given":"Duong","non-dropping-particle":"","parse-names":false,"suffix":""},{"dropping-particle":"","family":"White","given":"Nicholas J.","non-dropping-particle":"","parse-names":false,"suffix":""}],"container-title":"New England Journal of Medicine","id":"ITEM-1","issue":"5","issued":{"date-parts":[["2009"]]},"page":"455-467","title":"Artemisinin resistance in Plasmodium falciparum malaria","type":"article-journal","volume":"361"},"uris":["http://www.mendeley.com/documents/?uuid=22515984-feda-42e3-a633-331c8715ef23"]}],"mendeley":{"formattedCitation":"&lt;sup&gt;22&lt;/sup&gt;","plainTextFormattedCitation":"22","previouslyFormattedCitation":"&lt;sup&gt;22&lt;/sup&gt;"},"properties":{"noteIndex":0},"schema":"https://github.com/citation-style-language/schema/raw/master/csl-citation.json"}</w:instrText>
      </w:r>
      <w:r w:rsidR="008A4FE1" w:rsidRPr="00C07E8E">
        <w:rPr>
          <w:rFonts w:cs="Times New Roman"/>
          <w:color w:val="auto"/>
          <w:szCs w:val="22"/>
        </w:rPr>
        <w:fldChar w:fldCharType="separate"/>
      </w:r>
      <w:r w:rsidR="007125A3" w:rsidRPr="007125A3">
        <w:rPr>
          <w:rFonts w:cs="Times New Roman"/>
          <w:noProof/>
          <w:color w:val="auto"/>
          <w:szCs w:val="22"/>
          <w:vertAlign w:val="superscript"/>
        </w:rPr>
        <w:t>22</w:t>
      </w:r>
      <w:r w:rsidR="008A4FE1" w:rsidRPr="00C07E8E">
        <w:rPr>
          <w:rFonts w:cs="Times New Roman"/>
          <w:color w:val="auto"/>
          <w:szCs w:val="22"/>
        </w:rPr>
        <w:fldChar w:fldCharType="end"/>
      </w:r>
      <w:r w:rsidRPr="00C07E8E">
        <w:rPr>
          <w:rFonts w:cs="Times New Roman"/>
          <w:color w:val="auto"/>
          <w:szCs w:val="22"/>
        </w:rPr>
        <w:t xml:space="preserve"> Clinically, ART resistance is defined as a delayed parasite clearance in response to artesunate monotherapy or an ACT.</w:t>
      </w:r>
      <w:r w:rsidR="008A4FE1" w:rsidRPr="00C07E8E">
        <w:rPr>
          <w:rFonts w:cs="Times New Roman"/>
          <w:color w:val="auto"/>
          <w:szCs w:val="22"/>
        </w:rPr>
        <w:fldChar w:fldCharType="begin" w:fldLock="1"/>
      </w:r>
      <w:r w:rsidR="007125A3">
        <w:rPr>
          <w:rFonts w:cs="Times New Roman"/>
          <w:color w:val="auto"/>
          <w:szCs w:val="22"/>
        </w:rPr>
        <w:instrText>ADDIN CSL_CITATION {"citationItems":[{"id":"ITEM-1","itemData":{"DOI":"10.1128/AAC.03728-14","ISBN":"9788578110796","ISSN":"1098-6596","PMID":"25246403","abstract":"Acinetobacter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author":[{"dropping-particle":"","family":"Sugawara","given":"Etsuko","non-dropping-particle":"","parse-names":false,"suffix":""},{"dropping-particle":"","family":"Nikaido","given":"Hiroshi","non-dropping-particle":"","parse-names":false,"suffix":""}],"container-title":"Antimicrobial agents and chemotherapy","id":"ITEM-1","issue":"12","issued":{"date-parts":[["2014"]]},"page":"7250-7257","title":"Status report on artemisinin and ACT resistance","type":"article-journal","volume":"58"},"uris":["http://www.mendeley.com/documents/?uuid=c645ddcd-71e0-4c48-92df-7526c5cc98bf","http://www.mendeley.com/documents/?uuid=3f753913-2b22-4146-9390-5cef2d70432e"]}],"mendeley":{"formattedCitation":"&lt;sup&gt;23&lt;/sup&gt;","plainTextFormattedCitation":"23","previouslyFormattedCitation":"&lt;sup&gt;23&lt;/sup&gt;"},"properties":{"noteIndex":0},"schema":"https://github.com/citation-style-language/schema/raw/master/csl-citation.json"}</w:instrText>
      </w:r>
      <w:r w:rsidR="008A4FE1" w:rsidRPr="00C07E8E">
        <w:rPr>
          <w:rFonts w:cs="Times New Roman"/>
          <w:color w:val="auto"/>
          <w:szCs w:val="22"/>
        </w:rPr>
        <w:fldChar w:fldCharType="separate"/>
      </w:r>
      <w:r w:rsidR="007125A3" w:rsidRPr="007125A3">
        <w:rPr>
          <w:rFonts w:cs="Times New Roman"/>
          <w:noProof/>
          <w:color w:val="auto"/>
          <w:szCs w:val="22"/>
          <w:vertAlign w:val="superscript"/>
        </w:rPr>
        <w:t>23</w:t>
      </w:r>
      <w:r w:rsidR="008A4FE1" w:rsidRPr="00C07E8E">
        <w:rPr>
          <w:rFonts w:cs="Times New Roman"/>
          <w:color w:val="auto"/>
          <w:szCs w:val="22"/>
        </w:rPr>
        <w:fldChar w:fldCharType="end"/>
      </w:r>
      <w:r w:rsidRPr="00C07E8E">
        <w:rPr>
          <w:rFonts w:cs="Times New Roman"/>
          <w:color w:val="auto"/>
          <w:szCs w:val="22"/>
        </w:rPr>
        <w:t xml:space="preserve"> Partly to blame for acquired ART resistance is the prevalence of inadequate treatment due to substandard medicines, incorrect dosing, and poor compliance. Poverty in areas with ART resistance result in patients being unable to afford full courses of treatment or they may reserve remaining doses after clinical symptoms have alleviated.</w:t>
      </w:r>
      <w:r w:rsidR="008A4FE1" w:rsidRPr="00C07E8E">
        <w:rPr>
          <w:rFonts w:cs="Times New Roman"/>
          <w:color w:val="auto"/>
          <w:szCs w:val="22"/>
        </w:rPr>
        <w:fldChar w:fldCharType="begin" w:fldLock="1"/>
      </w:r>
      <w:r w:rsidR="00192B39">
        <w:rPr>
          <w:rFonts w:cs="Times New Roman"/>
          <w:color w:val="auto"/>
          <w:szCs w:val="22"/>
        </w:rPr>
        <w:instrText>ADDIN CSL_CITATION {"citationItems":[{"id":"ITEM-1","itemData":{"DOI":"10.4269/ajtmh.2007.77.vi","ISSN":"00029637","author":[{"dropping-particle":"","family":"Breman","given":"Joel G.","non-dropping-particle":"","parse-names":false,"suffix":""},{"dropping-particle":"","family":"Alilio","given":"Martin S.","non-dropping-particle":"","parse-names":false,"suffix":""},{"dropping-particle":"","family":"White","given":"Nicholas J.","non-dropping-particle":"","parse-names":false,"suffix":""}],"container-title":"American Journal of Tropical Medicine and Hygiene","id":"ITEM-1","issue":"6 SUPPL","issued":{"date-parts":[["2007"]]},"page":"vi-xi","title":"Defining and defeating the intolerable burden of malaria III. Progress and perspectives","type":"article-journal","volume":"77"},"uris":["http://www.mendeley.com/documents/?uuid=fad2f206-daa5-470e-991d-e11bace46cf1","http://www.mendeley.com/documents/?uuid=4258a222-becf-47b7-9602-661c5ad8220e"]}],"mendeley":{"formattedCitation":"&lt;sup&gt;24&lt;/sup&gt;","plainTextFormattedCitation":"24","previouslyFormattedCitation":"&lt;sup&gt;24&lt;/sup&gt;"},"properties":{"noteIndex":0},"schema":"https://github.com/citation-style-language/schema/raw/master/csl-citation.json"}</w:instrText>
      </w:r>
      <w:r w:rsidR="008A4FE1" w:rsidRPr="00C07E8E">
        <w:rPr>
          <w:rFonts w:cs="Times New Roman"/>
          <w:color w:val="auto"/>
          <w:szCs w:val="22"/>
        </w:rPr>
        <w:fldChar w:fldCharType="separate"/>
      </w:r>
      <w:r w:rsidR="007125A3" w:rsidRPr="007125A3">
        <w:rPr>
          <w:rFonts w:cs="Times New Roman"/>
          <w:noProof/>
          <w:color w:val="auto"/>
          <w:szCs w:val="22"/>
          <w:vertAlign w:val="superscript"/>
        </w:rPr>
        <w:t>24</w:t>
      </w:r>
      <w:r w:rsidR="008A4FE1" w:rsidRPr="00C07E8E">
        <w:rPr>
          <w:rFonts w:cs="Times New Roman"/>
          <w:color w:val="auto"/>
          <w:szCs w:val="22"/>
        </w:rPr>
        <w:fldChar w:fldCharType="end"/>
      </w:r>
      <w:r w:rsidRPr="00C07E8E">
        <w:rPr>
          <w:rFonts w:cs="Times New Roman"/>
          <w:color w:val="auto"/>
          <w:szCs w:val="22"/>
        </w:rPr>
        <w:t xml:space="preserve">  </w:t>
      </w:r>
    </w:p>
    <w:p w14:paraId="3CC56D4A" w14:textId="1973EEB1" w:rsidR="00656FD8" w:rsidRDefault="00C07E8E" w:rsidP="00532D1D">
      <w:pPr>
        <w:rPr>
          <w:rFonts w:cs="Times New Roman"/>
          <w:color w:val="auto"/>
          <w:szCs w:val="22"/>
        </w:rPr>
      </w:pPr>
      <w:r w:rsidRPr="00C07E8E">
        <w:rPr>
          <w:rFonts w:cs="Times New Roman"/>
          <w:color w:val="auto"/>
          <w:szCs w:val="22"/>
        </w:rPr>
        <w:tab/>
        <w:t xml:space="preserve">The molecular mechanism of ART resistance has been attributed to a mutation in the K13 propeller gene in </w:t>
      </w:r>
      <w:r w:rsidRPr="00C07E8E">
        <w:rPr>
          <w:rFonts w:cs="Times New Roman"/>
          <w:i/>
          <w:iCs/>
          <w:color w:val="auto"/>
          <w:szCs w:val="22"/>
        </w:rPr>
        <w:t>P. falciparum</w:t>
      </w:r>
      <w:r w:rsidRPr="00C07E8E">
        <w:rPr>
          <w:rFonts w:cs="Times New Roman"/>
          <w:color w:val="auto"/>
          <w:szCs w:val="22"/>
        </w:rPr>
        <w:t>. While the function of PfK13 has not yet been identified, there are homologies with the human Keap1 protein, specifically the C-Terminal domain and the 6-Kelch propeller.</w:t>
      </w:r>
      <w:r w:rsidR="005A3619" w:rsidRPr="00C07E8E">
        <w:rPr>
          <w:rFonts w:cs="Times New Roman"/>
          <w:color w:val="auto"/>
          <w:szCs w:val="22"/>
        </w:rPr>
        <w:fldChar w:fldCharType="begin" w:fldLock="1"/>
      </w:r>
      <w:r w:rsidR="00CA5C6A">
        <w:rPr>
          <w:rFonts w:cs="Times New Roman"/>
          <w:color w:val="auto"/>
          <w:szCs w:val="22"/>
        </w:rPr>
        <w:instrText>ADDIN CSL_CITATION {"citationItems":[{"id":"ITEM-1","itemData":{"DOI":"10.1038/nature12876","ISSN":"00280836","PMID":"24352242","abstract":"Plasmodium falciparum resistance to artemisinin derivatives in southeast Asia threatens malaria control and elimination activities worldwide. To monitor the spread of artemisinin resistance, a molecular marker is urgently needed. Here, using whole-genome sequencing of an artemisinin-resistant parasite line from Africa and clinical parasite isolates from Cambodia, we associate mutations in the PF3D7-1343700 kelch propeller domain ('K13-propeller') with artemisinin resistance in vitro and in vivo. Mutant K13-propeller alleles cluster in Cambodian provinces where resistance is prevalent, and the increasing frequency of a dominant mutant K13-propeller allele correlates with the recent spread of resistance in western Cambodia. Strong correlations between the presence of a mutant allele, in vitro parasite survival rates and in vivo parasite clearance rates indicate that K13-propeller mutations are important determinants of artemisinin resistance. K13-propeller polymorphism constitutes a useful molecular marker for large-scale surveillance efforts to contain artemisinin resistance in the Greater Mekong Subregion and prevent its global spread. © 2014 Macmillan Publishers Limited.","author":[{"dropping-particle":"","family":"Ariey","given":"Frédéric","non-dropping-particle":"","parse-names":false,"suffix":""},{"dropping-particle":"","family":"Witkowski","given":"Benoit","non-dropping-particle":"","parse-names":false,"suffix":""},{"dropping-particle":"","family":"Amaratunga","given":"Chanaki","non-dropping-particle":"","parse-names":false,"suffix":""},{"dropping-particle":"","family":"Beghain","given":"Johann","non-dropping-particle":"","parse-names":false,"suffix":""},{"dropping-particle":"","family":"Langlois","given":"Anne Claire","non-dropping-particle":"","parse-names":false,"suffix":""},{"dropping-particle":"","family":"Khim","given":"Nimol","non-dropping-particle":"","parse-names":false,"suffix":""},{"dropping-particle":"","family":"Kim","given":"Saorin","non-dropping-particle":"","parse-names":false,"suffix":""},{"dropping-particle":"","family":"Duru","given":"Valentine","non-dropping-particle":"","parse-names":false,"suffix":""},{"dropping-particle":"","family":"Bouchier","given":"Christiane","non-dropping-particle":"","parse-names":false,"suffix":""},{"dropping-particle":"","family":"Ma","given":"Laurence","non-dropping-particle":"","parse-names":false,"suffix":""},{"dropping-particle":"","family":"Lim","given":"Pharath","non-dropping-particle":"","parse-names":false,"suffix":""},{"dropping-particle":"","family":"Leang","given":"Rithea","non-dropping-particle":"","parse-names":false,"suffix":""},{"dropping-particle":"","family":"Duong","given":"Socheat","non-dropping-particle":"","parse-names":false,"suffix":""},{"dropping-particle":"","family":"Sreng","given":"Sokunthea","non-dropping-particle":"","parse-names":false,"suffix":""},{"dropping-particle":"","family":"Suon","given":"Seila","non-dropping-particle":"","parse-names":false,"suffix":""},{"dropping-particle":"","family":"Chuor","given":"Char Meng","non-dropping-particle":"","parse-names":false,"suffix":""},{"dropping-particle":"","family":"Bout","given":"Denis Mey","non-dropping-particle":"","parse-names":false,"suffix":""},{"dropping-particle":"","family":"Ménard","given":"Sandie","non-dropping-particle":"","parse-names":false,"suffix":""},{"dropping-particle":"","family":"Rogers","given":"William O.","non-dropping-particle":"","parse-names":false,"suffix":""},{"dropping-particle":"","family":"Genton","given":"Blaise","non-dropping-particle":"","parse-names":false,"suffix":""},{"dropping-particle":"","family":"Fandeur","given":"Thierry","non-dropping-particle":"","parse-names":false,"suffix":""},{"dropping-particle":"","family":"Miotto","given":"Olivo","non-dropping-particle":"","parse-names":false,"suffix":""},{"dropping-particle":"","family":"Ringwald","given":"Pascal","non-dropping-particle":"","parse-names":false,"suffix":""},{"dropping-particle":"","family":"Bras","given":"Jacques","non-dropping-particle":"Le","parse-names":false,"suffix":""},{"dropping-particle":"","family":"Berry","given":"Antoine","non-dropping-particle":"","parse-names":false,"suffix":""},{"dropping-particle":"","family":"Barale","given":"Jean Christophe","non-dropping-particle":"","parse-names":false,"suffix":""},{"dropping-particle":"","family":"Fairhurst","given":"Rick M.","non-dropping-particle":"","parse-names":false,"suffix":""},{"dropping-particle":"","family":"Benoit-Vical","given":"Françoise","non-dropping-particle":"","parse-names":false,"suffix":""},{"dropping-particle":"","family":"Mercereau-Puijalon","given":"Odile","non-dropping-particle":"","parse-names":false,"suffix":""},{"dropping-particle":"","family":"Ménard","given":"Didier","non-dropping-particle":"","parse-names":false,"suffix":""}],"container-title":"Nature","id":"ITEM-1","issue":"7481","issued":{"date-parts":[["2014"]]},"page":"50-55","title":"A molecular marker of artemisinin-resistant Plasmodium falciparum malaria","type":"article-journal","volume":"505"},"uris":["http://www.mendeley.com/documents/?uuid=11922f91-ced8-42d4-a7f7-e9e04d462b8c","http://www.mendeley.com/documents/?uuid=92ab5acb-cf9b-4475-ba3e-1c011a95b804"]},{"id":"ITEM-2","itemData":{"DOI":"10.1186/s12936-018-2619-4","ISSN":"14752875","PMID":"30563521","abstract":"Background: The problem of anti-malarial drug resistance is a long-term challenge faced by malaria control in Yunnan Province. Recently, the detection rates of chloroquine-resistant molecular markers (Plasmodium falciparum chloroquine resistant transporter, Pfcrt) and artemisinin-resistant molecular markers (P. falciparum kelch13 gene, ork13) were 85% and 35%, respectively. To understand the association of k13 gene mutation with artemisinin resistance in falciparum malaria cases, the difference in k13 gene differentiation between two populations and artemisinin resistance phenotype on falciparum malaria cases in Myanmar were analysed in this study. Methods: This research involved all of falciparum malaria cases diagnosed continuously in Yunnan Province from 2013 to 2015 and some of falciparum malaria cases found in Lazar, Myanmar. Blood samples were taken from the former group for molecular epidemiological analysis of k13 gene mutations, and artemisinin resistance phenotypes of P. falciparum were observed in the latter group using the in vivo testing method recommended by the World Health Organization. Nested PCR was used to amplify the propeller domain of the k13 gene in P. falciparum, followed by sequencing. Results: A total of 202 blood samples were collected from Yunnan Province and 382 blood samples were collected from falciparum malaria cases in Myanmar. 49 of 382 Myanmar cases were in vivo tested for artesunate resistance phenotype through full treatment course observation. At the same time, all the blood samples were screened for k13 gene mutation of P. falciparum. The genetic diversity of k13 was higher in the Plasmodium isolates from Yunnan Province than those from Myanmar cases. The genetic differentiation index of the two populations was 0.0410, where the intra- and inter-group variations were 95.9% and 4.1%, respectively. The odds ratio of artemisinin resistance phenotype and mutation at the locus 446 in k13 gene in Myanmar cases was 1.640, while the value was 1.840 based on the estimations of the mutations in the 12 loci. Conclusion: Although the Plasmodium isolates from Yunnan Province and those from Myanmar were collected from different sites, they still belong to the same geographical population. It is, therefore, reasonable to contrast the artemisinin resistance status of the Plasmodium population from Myanmar with the Plasmodium population from Yunnan Province. As a result, based on the molecular epidemiological investigation on k13 m…","author":[{"dropping-particle":"","family":"Dong","given":"Ying","non-dropping-particle":"","parse-names":false,"suffix":""},{"dropping-particle":"","family":"Wang","given":"Jian","non-dropping-particle":"","parse-names":false,"suffix":""},{"dropping-particle":"","family":"Sun","given":"Aiming","non-dropping-particle":"","parse-names":false,"suffix":""},{"dropping-particle":"","family":"Deng","given":"Yan","non-dropping-particle":"","parse-names":false,"suffix":""},{"dropping-particle":"","family":"Chen","given":"Mengni","non-dropping-particle":"","parse-names":false,"suffix":""},{"dropping-particle":"","family":"Xu","given":"Yanchun","non-dropping-particle":"","parse-names":false,"suffix":""},{"dropping-particle":"","family":"Xue","given":"Jingpo","non-dropping-particle":"","parse-names":false,"suffix":""}],"container-title":"Malaria Journal","id":"ITEM-2","issued":{"date-parts":[["2018"]]},"page":"478","title":"Genetic association between the Pfk13 gene mutation and artemisinin resistance phenotype in Plasmodium falciparum isolates from Yunnan Province, China","type":"article-journal","volume":"17"},"uris":["http://www.mendeley.com/documents/?uuid=8b9973f7-c9d4-43be-b144-68c8eac4ccf5","http://www.mendeley.com/documents/?uuid=725649ed-e929-4fbb-b656-230c058594bd"]},{"id":"ITEM-3","itemData":{"DOI":"10.1186/s12936-015-0672-9","ISSN":"14752875","PMID":"25927592","abstract":"Background: The recent emergence and spread of artemisinin resistance in the Greater Mekong Subregion poses a great threat to malaria control and elimination. A K13-propeller gene (K13), PF3D7-1343700, has been associated lately with artemisinin resistance both in vitro and in vivo. This study aimed to investigate the K13 polymorphisms in Plasmodium falciparum parasites from the China-Myanmar border area where artemisinin use has the longest history. Methods: A total of 180 archived P. falciparum isolates containing 191 parasite clones, mainly collected in 2007-2012 from the China-Myanmar area, were used to obtain the full-length K13 gene sequences. Results: Seventeen point mutations were identified in 46.1% (88/191) parasite clones, of which seven were new. The F446I mutation predominated in 27.2% of the parasite clones. The C580Y mutation that is correlated with artemisinin resistance was detected at a low frequency of 1.6%. Collectively, 43.1% of the parasite clones contained point mutations in the kelch domain of the K13 gene. Moreover, there was a trend of increase in the frequency of parasites carrying kelch domain mutations through the years of sample collection. In addition, a microsatellite variation in the N-terminus of the K13 protein was found to have reached a high frequency (69.1%). Conclusions: This study documented the presence of mutations in the K13 gene in parasite populations from the China-Myanmar border. Mutations present in the kelch domain have become prevalent (&gt;40%). A predominant mutation F446I and a prevalent microsatellite variation in the N-terminus were identified, but their importance in artemisinin resistance remains to be elucidated.","author":[{"dropping-particle":"","family":"Wang","given":"Zenglei","non-dropping-particle":"","parse-names":false,"suffix":""},{"dropping-particle":"","family":"Shrestha","given":"Sony","non-dropping-particle":"","parse-names":false,"suffix":""},{"dropping-particle":"","family":"Li","given":"Xiaolian","non-dropping-particle":"","parse-names":false,"suffix":""},{"dropping-particle":"","family":"Miao","given":"Jun","non-dropping-particle":"","parse-names":false,"suffix":""},{"dropping-particle":"","family":"Yuan","given":"Lili","non-dropping-particle":"","parse-names":false,"suffix":""},{"dropping-particle":"","family":"Cabrera","given":"Mynthia","non-dropping-particle":"","parse-names":false,"suffix":""},{"dropping-particle":"","family":"Grube","given":"Caitlin","non-dropping-particle":"","parse-names":false,"suffix":""},{"dropping-particle":"","family":"Yang","given":"Zhaoqing","non-dropping-particle":"","parse-names":false,"suffix":""},{"dropping-particle":"","family":"Cui","given":"Liwang","non-dropping-particle":"","parse-names":false,"suffix":""}],"container-title":"Malaria Journal","id":"ITEM-3","issued":{"date-parts":[["2015"]]},"page":"168","title":"Prevalence of K13-propeller polymorphisms in Plasmodium falciparum from China-Myanmar border in 2007-2012","type":"article-journal","volume":"14"},"uris":["http://www.mendeley.com/documents/?uuid=874c5d5c-3e4f-4932-a1af-393b85c440d5","http://www.mendeley.com/documents/?uuid=7c4b056a-deb7-4b89-9d1a-5014274d337a"]}],"mendeley":{"formattedCitation":"&lt;sup&gt;25–27&lt;/sup&gt;","plainTextFormattedCitation":"25–27","previouslyFormattedCitation":"&lt;sup&gt;25–27&lt;/sup&gt;"},"properties":{"noteIndex":0},"schema":"https://github.com/citation-style-language/schema/raw/master/csl-citation.json"}</w:instrText>
      </w:r>
      <w:r w:rsidR="005A3619" w:rsidRPr="00C07E8E">
        <w:rPr>
          <w:rFonts w:cs="Times New Roman"/>
          <w:color w:val="auto"/>
          <w:szCs w:val="22"/>
        </w:rPr>
        <w:fldChar w:fldCharType="separate"/>
      </w:r>
      <w:r w:rsidR="007125A3" w:rsidRPr="007125A3">
        <w:rPr>
          <w:rFonts w:cs="Times New Roman"/>
          <w:noProof/>
          <w:color w:val="auto"/>
          <w:szCs w:val="22"/>
          <w:vertAlign w:val="superscript"/>
        </w:rPr>
        <w:t>25–27</w:t>
      </w:r>
      <w:r w:rsidR="005A3619" w:rsidRPr="00C07E8E">
        <w:rPr>
          <w:rFonts w:cs="Times New Roman"/>
          <w:color w:val="auto"/>
          <w:szCs w:val="22"/>
        </w:rPr>
        <w:fldChar w:fldCharType="end"/>
      </w:r>
      <w:r w:rsidRPr="00C07E8E">
        <w:rPr>
          <w:rFonts w:cs="Times New Roman"/>
          <w:color w:val="auto"/>
          <w:szCs w:val="22"/>
        </w:rPr>
        <w:t xml:space="preserve"> Keap1 is responsible for ubiquitination to trigger subsequent proteasomal degradation; this process is implicated in response to oxidative stress and PfK13 dependent ubiquitination has since been observed. It is believed that mutation in K13 infers an increased tolerance to oxidative stress, altered cell cycle and resistance by parasite quiescence.</w:t>
      </w:r>
      <w:r w:rsidR="005A3619" w:rsidRPr="00C07E8E">
        <w:rPr>
          <w:rFonts w:cs="Times New Roman"/>
          <w:color w:val="auto"/>
          <w:szCs w:val="22"/>
        </w:rPr>
        <w:fldChar w:fldCharType="begin" w:fldLock="1"/>
      </w:r>
      <w:r w:rsidR="007125A3">
        <w:rPr>
          <w:rFonts w:cs="Times New Roman"/>
          <w:color w:val="auto"/>
          <w:szCs w:val="22"/>
        </w:rPr>
        <w:instrText>ADDIN CSL_CITATION {"citationItems":[{"id":"ITEM-1","itemData":{"DOI":"10.1186/s12936-016-1206-9","ISSN":"14752875","PMID":"26955948","abstract":"Plasmodium falciparum resistance to artemisinins, the most potent and fastest acting anti-malarials, threatens malaria elimination strategies. Artemisinin resistance is due to mutation of the PfK13 propeller domain and involves an unconventional mechanism based on a quiescence state leading to parasite recrudescence as soon as drug pressure is removed. The enhanced P. falciparum quiescence capacity of artemisinin-resistant parasites results from an increased ability to manage oxidative damage and an altered cell cycle gene regulation within a complex network involving the unfolded protein response, the PI3K/PI3P/AKT pathway, the PfPK4/eIF2α cascade and yet unidentified transcription factor(s), with minimal energetic requirements and fatty acid metabolism maintained in the mitochondrion and apicoplast. The detailed study of these mechanisms offers a way forward for identifying future intervention targets to fend off established artemisinin resistance.","author":[{"dropping-particle":"","family":"Paloque","given":"Lucie","non-dropping-particle":"","parse-names":false,"suffix":""},{"dropping-particle":"","family":"Ramadani","given":"Arba P.","non-dropping-particle":"","parse-names":false,"suffix":""},{"dropping-particle":"","family":"Mercereau-Puijalon","given":"Odile","non-dropping-particle":"","parse-names":false,"suffix":""},{"dropping-particle":"","family":"Augereau","given":"Jean Michel","non-dropping-particle":"","parse-names":false,"suffix":""},{"dropping-particle":"","family":"Benoit-Vical","given":"Françoise","non-dropping-particle":"","parse-names":false,"suffix":""}],"container-title":"Malaria Journal","id":"ITEM-1","issued":{"date-parts":[["2016"]]},"page":"149","title":"Plasmodium falciparum: multifaceted resistance to artemisinins","type":"article-journal","volume":"15"},"uris":["http://www.mendeley.com/documents/?uuid=518e3134-91ae-46e5-9187-4ec71835399a","http://www.mendeley.com/documents/?uuid=715e2de4-5e26-4c24-9ad3-1df22d201a75"]}],"mendeley":{"formattedCitation":"&lt;sup&gt;28&lt;/sup&gt;","plainTextFormattedCitation":"28","previouslyFormattedCitation":"&lt;sup&gt;28&lt;/sup&gt;"},"properties":{"noteIndex":0},"schema":"https://github.com/citation-style-language/schema/raw/master/csl-citation.json"}</w:instrText>
      </w:r>
      <w:r w:rsidR="005A3619" w:rsidRPr="00C07E8E">
        <w:rPr>
          <w:rFonts w:cs="Times New Roman"/>
          <w:color w:val="auto"/>
          <w:szCs w:val="22"/>
        </w:rPr>
        <w:fldChar w:fldCharType="separate"/>
      </w:r>
      <w:r w:rsidR="007125A3" w:rsidRPr="007125A3">
        <w:rPr>
          <w:rFonts w:cs="Times New Roman"/>
          <w:noProof/>
          <w:color w:val="auto"/>
          <w:szCs w:val="22"/>
          <w:vertAlign w:val="superscript"/>
        </w:rPr>
        <w:t>28</w:t>
      </w:r>
      <w:r w:rsidR="005A3619" w:rsidRPr="00C07E8E">
        <w:rPr>
          <w:rFonts w:cs="Times New Roman"/>
          <w:color w:val="auto"/>
          <w:szCs w:val="22"/>
        </w:rPr>
        <w:fldChar w:fldCharType="end"/>
      </w:r>
      <w:r w:rsidRPr="00C07E8E">
        <w:rPr>
          <w:rFonts w:cs="Times New Roman"/>
          <w:color w:val="auto"/>
          <w:szCs w:val="22"/>
        </w:rPr>
        <w:t xml:space="preserve"> </w:t>
      </w:r>
    </w:p>
    <w:p w14:paraId="61C93134" w14:textId="35BEE3D3" w:rsidR="00656FD8" w:rsidRDefault="006D7105" w:rsidP="00532D1D">
      <w:pPr>
        <w:jc w:val="center"/>
      </w:pPr>
      <w:r>
        <w:rPr>
          <w:noProof/>
        </w:rPr>
        <w:object w:dxaOrig="2793" w:dyaOrig="3624" w14:anchorId="6BB3E8A9">
          <v:shape id="_x0000_i1026" type="#_x0000_t75" alt="" style="width:138pt;height:181.8pt;mso-width-percent:0;mso-height-percent:0;mso-width-percent:0;mso-height-percent:0" o:ole="">
            <v:imagedata r:id="rId8" o:title=""/>
          </v:shape>
          <o:OLEObject Type="Embed" ProgID="ChemDraw.Document.6.0" ShapeID="_x0000_i1026" DrawAspect="Content" ObjectID="_1669219460" r:id="rId9"/>
        </w:object>
      </w:r>
    </w:p>
    <w:p w14:paraId="31189378" w14:textId="0422C8AA" w:rsidR="00656FD8" w:rsidRDefault="00656FD8" w:rsidP="00532D1D">
      <w:pPr>
        <w:jc w:val="center"/>
        <w:rPr>
          <w:rFonts w:cs="Times New Roman"/>
          <w:color w:val="auto"/>
          <w:szCs w:val="22"/>
        </w:rPr>
      </w:pPr>
      <w:r w:rsidRPr="00C07E8E">
        <w:rPr>
          <w:rFonts w:cs="Times New Roman"/>
          <w:b/>
          <w:bCs/>
          <w:color w:val="auto"/>
          <w:szCs w:val="22"/>
        </w:rPr>
        <w:t xml:space="preserve">Figure </w:t>
      </w:r>
      <w:r w:rsidR="00184133">
        <w:rPr>
          <w:rFonts w:cs="Times New Roman"/>
          <w:b/>
          <w:bCs/>
          <w:color w:val="auto"/>
          <w:szCs w:val="22"/>
        </w:rPr>
        <w:t>2</w:t>
      </w:r>
      <w:r w:rsidRPr="00C07E8E">
        <w:rPr>
          <w:rFonts w:cs="Times New Roman"/>
          <w:b/>
          <w:bCs/>
          <w:color w:val="auto"/>
          <w:szCs w:val="22"/>
        </w:rPr>
        <w:t>:</w:t>
      </w:r>
      <w:r w:rsidRPr="00C07E8E">
        <w:rPr>
          <w:rFonts w:cs="Times New Roman"/>
          <w:color w:val="auto"/>
          <w:szCs w:val="22"/>
        </w:rPr>
        <w:t xml:space="preserve"> Structure </w:t>
      </w:r>
      <w:r w:rsidR="00E02E58">
        <w:rPr>
          <w:rFonts w:cs="Times New Roman"/>
          <w:color w:val="auto"/>
          <w:szCs w:val="22"/>
        </w:rPr>
        <w:t xml:space="preserve">representation </w:t>
      </w:r>
      <w:r w:rsidRPr="00C07E8E">
        <w:rPr>
          <w:rFonts w:cs="Times New Roman"/>
          <w:color w:val="auto"/>
          <w:szCs w:val="22"/>
        </w:rPr>
        <w:t xml:space="preserve">of </w:t>
      </w:r>
      <w:r>
        <w:rPr>
          <w:rFonts w:cs="Times New Roman"/>
          <w:color w:val="auto"/>
          <w:szCs w:val="22"/>
        </w:rPr>
        <w:t>the semi-synthetic ART Artemisone developed by Haynes</w:t>
      </w:r>
    </w:p>
    <w:p w14:paraId="084411CD" w14:textId="77777777" w:rsidR="00EE13A7" w:rsidRPr="00C07E8E" w:rsidRDefault="00EE13A7" w:rsidP="00532D1D">
      <w:pPr>
        <w:jc w:val="center"/>
        <w:rPr>
          <w:rFonts w:cs="Times New Roman"/>
          <w:color w:val="auto"/>
          <w:szCs w:val="22"/>
        </w:rPr>
      </w:pPr>
    </w:p>
    <w:p w14:paraId="4FD755C4" w14:textId="0218145A" w:rsidR="00F00EC4" w:rsidRDefault="00C07E8E" w:rsidP="00532D1D">
      <w:pPr>
        <w:rPr>
          <w:rFonts w:cs="Times New Roman"/>
          <w:color w:val="auto"/>
          <w:szCs w:val="22"/>
        </w:rPr>
      </w:pPr>
      <w:r w:rsidRPr="00C07E8E">
        <w:rPr>
          <w:rFonts w:cs="Times New Roman"/>
          <w:color w:val="auto"/>
          <w:szCs w:val="22"/>
        </w:rPr>
        <w:tab/>
        <w:t>Resistance to ART and limited opportunities for optimisation due to the constraints of the ART scaffold are both limitations that cannot be easily overcome by the development of more semi-synthetic ARTs.</w:t>
      </w:r>
      <w:r w:rsidR="00656FD8">
        <w:rPr>
          <w:rFonts w:cs="Times New Roman"/>
          <w:color w:val="auto"/>
          <w:szCs w:val="22"/>
        </w:rPr>
        <w:t xml:space="preserve"> The development of Artemisone</w:t>
      </w:r>
      <w:r w:rsidR="007E3737">
        <w:rPr>
          <w:rFonts w:cs="Times New Roman"/>
          <w:color w:val="auto"/>
          <w:szCs w:val="22"/>
        </w:rPr>
        <w:t xml:space="preserve"> (</w:t>
      </w:r>
      <w:r w:rsidR="007125A3" w:rsidRPr="007125A3">
        <w:rPr>
          <w:rFonts w:cs="Times New Roman"/>
          <w:b/>
          <w:color w:val="auto"/>
          <w:szCs w:val="22"/>
        </w:rPr>
        <w:t>6</w:t>
      </w:r>
      <w:r w:rsidR="007125A3" w:rsidRPr="007370A6">
        <w:rPr>
          <w:rFonts w:cs="Times New Roman"/>
          <w:b/>
          <w:color w:val="auto"/>
          <w:szCs w:val="22"/>
        </w:rPr>
        <w:t>, Figure 2</w:t>
      </w:r>
      <w:r w:rsidR="007E3737">
        <w:rPr>
          <w:rFonts w:cs="Times New Roman"/>
          <w:color w:val="auto"/>
          <w:szCs w:val="22"/>
        </w:rPr>
        <w:t>)</w:t>
      </w:r>
      <w:r w:rsidR="00656FD8">
        <w:rPr>
          <w:rFonts w:cs="Times New Roman"/>
          <w:color w:val="auto"/>
          <w:szCs w:val="22"/>
        </w:rPr>
        <w:t xml:space="preserve"> by Haynes</w:t>
      </w:r>
      <w:r w:rsidR="00742C7D">
        <w:rPr>
          <w:rFonts w:cs="Times New Roman"/>
          <w:color w:val="auto"/>
          <w:szCs w:val="22"/>
        </w:rPr>
        <w:t xml:space="preserve"> </w:t>
      </w:r>
      <w:r w:rsidR="00656FD8">
        <w:rPr>
          <w:rFonts w:cs="Times New Roman"/>
          <w:color w:val="auto"/>
          <w:szCs w:val="22"/>
        </w:rPr>
        <w:t xml:space="preserve">provides an example of a recently developed semi-synthetic ART attempting to </w:t>
      </w:r>
      <w:r w:rsidR="004B59AB">
        <w:rPr>
          <w:rFonts w:cs="Times New Roman"/>
          <w:color w:val="auto"/>
          <w:szCs w:val="22"/>
        </w:rPr>
        <w:t>improve bioavailability and neurotoxicity in comparison to artesunate</w:t>
      </w:r>
      <w:r w:rsidR="004C18E0">
        <w:rPr>
          <w:rFonts w:cs="Times New Roman"/>
          <w:color w:val="auto"/>
          <w:szCs w:val="22"/>
        </w:rPr>
        <w:t>,</w:t>
      </w:r>
      <w:r w:rsidR="004B59AB">
        <w:rPr>
          <w:rFonts w:cs="Times New Roman"/>
          <w:color w:val="auto"/>
          <w:szCs w:val="22"/>
        </w:rPr>
        <w:t xml:space="preserve"> where this is a cause for concern</w:t>
      </w:r>
      <w:r w:rsidR="00656FD8">
        <w:rPr>
          <w:rFonts w:cs="Times New Roman"/>
          <w:color w:val="auto"/>
          <w:szCs w:val="22"/>
        </w:rPr>
        <w:t>.</w:t>
      </w:r>
      <w:r w:rsidR="00184133">
        <w:rPr>
          <w:rFonts w:cs="Times New Roman"/>
          <w:color w:val="auto"/>
          <w:szCs w:val="22"/>
        </w:rPr>
        <w:fldChar w:fldCharType="begin" w:fldLock="1"/>
      </w:r>
      <w:r w:rsidR="007125A3">
        <w:rPr>
          <w:rFonts w:cs="Times New Roman"/>
          <w:color w:val="auto"/>
          <w:szCs w:val="22"/>
        </w:rPr>
        <w:instrText>ADDIN CSL_CITATION {"citationItems":[{"id":"ITEM-1","itemData":{"DOI":"10.1002/anie.200503071","ISSN":"14337851","PMID":"16444785","abstract":"Artemisinin - the next generation: Efficacies of artemisone against the malaria parasite are substantially greater than those of the current artemisinin \"gold standard\", artesunate. Also, in contrast to most current artemisinins it displays low lipophilicity and negligible neuro- and cytotoxicity in in vitro and in vivo assays. Thus, the drug offers promise for use in artemisinin-based combination therapy. (Chemical Equation Presented). © 2006 Wiley-VCH Verlag GmbH &amp; Co. KGaA.","author":[{"dropping-particle":"","family":"Haynes","given":"Richard K.","non-dropping-particle":"","parse-names":false,"suffix":""},{"dropping-particle":"","family":"Fugmann","given":"Burkhard","non-dropping-particle":"","parse-names":false,"suffix":""},{"dropping-particle":"","family":"Stetter","given":"Jörg","non-dropping-particle":"","parse-names":false,"suffix":""},{"dropping-particle":"","family":"Rieckmann","given":"Karl","non-dropping-particle":"","parse-names":false,"suffix":""},{"dropping-particle":"","family":"Heilmann","given":"Hans Dietrich","non-dropping-particle":"","parse-names":false,"suffix":""},{"dropping-particle":"","family":"Chan","given":"Ho Wai","non-dropping-particle":"","parse-names":false,"suffix":""},{"dropping-particle":"","family":"Cheung","given":"Man Ki","non-dropping-particle":"","parse-names":false,"suffix":""},{"dropping-particle":"","family":"Lam","given":"Wai Lun","non-dropping-particle":"","parse-names":false,"suffix":""},{"dropping-particle":"","family":"Wong","given":"Ho Ning","non-dropping-particle":"","parse-names":false,"suffix":""},{"dropping-particle":"","family":"Croft","given":"Simon L.","non-dropping-particle":"","parse-names":false,"suffix":""},{"dropping-particle":"","family":"Vivas","given":"Livia","non-dropping-particle":"","parse-names":false,"suffix":""},{"dropping-particle":"","family":"Rattray","given":"Lauren","non-dropping-particle":"","parse-names":false,"suffix":""},{"dropping-particle":"","family":"Stewart","given":"Lindsay","non-dropping-particle":"","parse-names":false,"suffix":""},{"dropping-particle":"","family":"Peters","given":"Wallace","non-dropping-particle":"","parse-names":false,"suffix":""},{"dropping-particle":"","family":"Robinson","given":"Brian L.","non-dropping-particle":"","parse-names":false,"suffix":""},{"dropping-particle":"","family":"Edstein","given":"Michael D.","non-dropping-particle":"","parse-names":false,"suffix":""},{"dropping-particle":"","family":"Kotecka","given":"Barbara","non-dropping-particle":"","parse-names":false,"suffix":""},{"dropping-particle":"","family":"Kyle","given":"Dennis E.","non-dropping-particle":"","parse-names":false,"suffix":""},{"dropping-particle":"","family":"Beckermann","given":"Bernhard","non-dropping-particle":"","parse-names":false,"suffix":""},{"dropping-particle":"","family":"Gerisch","given":"Michael","non-dropping-particle":"","parse-names":false,"suffix":""},{"dropping-particle":"","family":"Radtke","given":"Martin","non-dropping-particle":"","parse-names":false,"suffix":""},{"dropping-particle":"","family":"Schmuck","given":"Gabriele","non-dropping-particle":"","parse-names":false,"suffix":""},{"dropping-particle":"","family":"Steinke","given":"Wolfram","non-dropping-particle":"","parse-names":false,"suffix":""},{"dropping-particle":"","family":"Wollborn","given":"Ute","non-dropping-particle":"","parse-names":false,"suffix":""},{"dropping-particle":"","family":"Schmeer","given":"Karl","non-dropping-particle":"","parse-names":false,"suffix":""},{"dropping-particle":"","family":"Römer","given":"Axel","non-dropping-particle":"","parse-names":false,"suffix":""}],"container-title":"Angewandte Chemie - International Edition","id":"ITEM-1","issue":"13","issued":{"date-parts":[["2006","3","20"]]},"note":"doi: 10.1002/anie.200503071","page":"2082-2088","publisher":"John Wiley &amp; Sons, Ltd","title":"Artemisone - A highly active antimalarial drug of the artemisinin class","type":"article-journal","volume":"45"},"uris":["http://www.mendeley.com/documents/?uuid=81775328-8613-4f5d-a997-8bfe7773ea9b","http://www.mendeley.com/documents/?uuid=c7bbbd7e-156b-48c6-bd88-1ef3c1ce99bd"]},{"id":"ITEM-2","itemData":{"DOI":"10.1128/AAC.38.8.1813","ISSN":"00664804","PMID":"7986012","abstract":"The sesquiterpene endoperoxide antimalarial agents arteether and artemether have been reported to cause neurotoxicity with a discrete distribution in the brain stems of rats and dogs after multiple doses. The nature and distribution of the brain lesions suggest a specific neuronal target, the identity of which is unknown. In order to further investigate artemisinin analog-induced neurotoxicity, we evaluated several in vitro models: fetal rat primary neuronal cultures, fetal rat secondary astrocyte cultures, and transformed neuronal cultures (rat-derived neuroblastoma NG108- 15 and mouse-derived neuroblastoma Neuro-2a). Results indicate that toxicity was specific for neuronal cell types but not glial cells. Neurotoxicity, as indexed by liberation of lactate dehydrogenase and/or inhibition of radiolabelled-leucine uptake, was seen in all three neuronal culture types, implicating a common target. In vitro neurotoxicity was dose and time dependent. Acute exposure to drug results in delayed, but not immediate, manifestations of cell toxicity. Structure-activity comparisons indicate that substitutions at positions 9 and 10 and stereoisomerism at position 10 of the artemisinin backbone influence the degree of toxicity. The endoperoxide is necessary but not sufficient for toxicity. Sodium artesunate and dihydroartemisinin, a metabolite common to all artemisinin analogs currently being developed for clinical use, are the most potent of all analogs tested. These results are consistent with a specific neuronal target, but the identity of the target(s) remains unknown.","author":[{"dropping-particle":"","family":"Wesche","given":"D. L.","non-dropping-particle":"","parse-names":false,"suffix":""},{"dropping-particle":"","family":"DeCoster","given":"M. A.","non-dropping-particle":"","parse-names":false,"suffix":""},{"dropping-particle":"","family":"Tortella","given":"F. C.","non-dropping-particle":"","parse-names":false,"suffix":""},{"dropping-particle":"","family":"Brewer","given":"T. G.","non-dropping-particle":"","parse-names":false,"suffix":""}],"container-title":"Antimicrobial Agents and Chemotherapy","id":"ITEM-2","issue":"8","issued":{"date-parts":[["1994","8"]]},"language":"eng","page":"1813-1819","title":"Neurotoxicity of artemisinin analogs in vitro","type":"article-journal","volume":"38"},"uris":["http://www.mendeley.com/documents/?uuid=1c9c4b93-76a1-41d4-94d0-d6b2f9a9cbbb","http://www.mendeley.com/documents/?uuid=1541e9c4-d99c-41f6-8a86-97dcdcb8889b"]}],"mendeley":{"formattedCitation":"&lt;sup&gt;29,30&lt;/sup&gt;","plainTextFormattedCitation":"29,30","previouslyFormattedCitation":"&lt;sup&gt;29,30&lt;/sup&gt;"},"properties":{"noteIndex":0},"schema":"https://github.com/citation-style-language/schema/raw/master/csl-citation.json"}</w:instrText>
      </w:r>
      <w:r w:rsidR="00184133">
        <w:rPr>
          <w:rFonts w:cs="Times New Roman"/>
          <w:color w:val="auto"/>
          <w:szCs w:val="22"/>
        </w:rPr>
        <w:fldChar w:fldCharType="separate"/>
      </w:r>
      <w:r w:rsidR="007125A3" w:rsidRPr="007125A3">
        <w:rPr>
          <w:rFonts w:cs="Times New Roman"/>
          <w:noProof/>
          <w:color w:val="auto"/>
          <w:szCs w:val="22"/>
          <w:vertAlign w:val="superscript"/>
        </w:rPr>
        <w:t>29,30</w:t>
      </w:r>
      <w:r w:rsidR="00184133">
        <w:rPr>
          <w:rFonts w:cs="Times New Roman"/>
          <w:color w:val="auto"/>
          <w:szCs w:val="22"/>
        </w:rPr>
        <w:fldChar w:fldCharType="end"/>
      </w:r>
      <w:r w:rsidR="004E538A" w:rsidRPr="004E538A">
        <w:t xml:space="preserve"> </w:t>
      </w:r>
      <w:r w:rsidR="00656FD8">
        <w:rPr>
          <w:rFonts w:cs="Times New Roman"/>
          <w:color w:val="auto"/>
          <w:szCs w:val="22"/>
        </w:rPr>
        <w:t xml:space="preserve">Artemisone is a thiomorpholine 1,1-dioxide derived C10 amine analogue of ART </w:t>
      </w:r>
      <w:r w:rsidR="004E538A">
        <w:rPr>
          <w:rFonts w:cs="Times New Roman"/>
          <w:color w:val="auto"/>
          <w:szCs w:val="22"/>
        </w:rPr>
        <w:t xml:space="preserve">which possesses low lipophilicity, and low cyto- and </w:t>
      </w:r>
      <w:r w:rsidR="004B59AB">
        <w:rPr>
          <w:rFonts w:cs="Times New Roman"/>
          <w:color w:val="auto"/>
          <w:szCs w:val="22"/>
        </w:rPr>
        <w:t xml:space="preserve">neurotoxicity. Artemisone was found to outperform Artesunate </w:t>
      </w:r>
      <w:r w:rsidR="004B59AB">
        <w:rPr>
          <w:rFonts w:cs="Times New Roman"/>
          <w:i/>
          <w:color w:val="auto"/>
          <w:szCs w:val="28"/>
        </w:rPr>
        <w:t>in vitr</w:t>
      </w:r>
      <w:r w:rsidR="004B59AB" w:rsidRPr="004B59AB">
        <w:rPr>
          <w:rFonts w:cs="Times New Roman"/>
          <w:i/>
          <w:color w:val="auto"/>
          <w:szCs w:val="28"/>
        </w:rPr>
        <w:t>o</w:t>
      </w:r>
      <w:r w:rsidR="00B33ADF">
        <w:rPr>
          <w:rFonts w:cs="Times New Roman"/>
          <w:i/>
          <w:color w:val="auto"/>
          <w:szCs w:val="28"/>
        </w:rPr>
        <w:t>,</w:t>
      </w:r>
      <w:r w:rsidR="004B59AB">
        <w:rPr>
          <w:rFonts w:cs="Times New Roman"/>
          <w:i/>
          <w:color w:val="auto"/>
          <w:szCs w:val="22"/>
        </w:rPr>
        <w:t xml:space="preserve"> </w:t>
      </w:r>
      <w:r w:rsidR="004B59AB">
        <w:rPr>
          <w:rFonts w:cs="Times New Roman"/>
          <w:color w:val="auto"/>
          <w:szCs w:val="22"/>
        </w:rPr>
        <w:t xml:space="preserve">and though </w:t>
      </w:r>
      <w:r w:rsidR="004B59AB" w:rsidRPr="004B59AB">
        <w:rPr>
          <w:rFonts w:cs="Times New Roman"/>
          <w:i/>
          <w:color w:val="auto"/>
          <w:szCs w:val="28"/>
        </w:rPr>
        <w:t>in vivo</w:t>
      </w:r>
      <w:r w:rsidR="004B59AB">
        <w:rPr>
          <w:rFonts w:cs="Times New Roman"/>
          <w:i/>
          <w:color w:val="auto"/>
          <w:szCs w:val="22"/>
        </w:rPr>
        <w:t xml:space="preserve"> </w:t>
      </w:r>
      <w:r w:rsidR="004B59AB">
        <w:rPr>
          <w:rFonts w:cs="Times New Roman"/>
          <w:color w:val="auto"/>
          <w:szCs w:val="22"/>
        </w:rPr>
        <w:t>efficacy was</w:t>
      </w:r>
      <w:r w:rsidR="002A1705">
        <w:rPr>
          <w:rFonts w:cs="Times New Roman"/>
          <w:color w:val="auto"/>
          <w:szCs w:val="22"/>
        </w:rPr>
        <w:t xml:space="preserve"> 4.8- and 2.4 fold lower than Artesunate by subcutaneous and oral routes</w:t>
      </w:r>
      <w:r w:rsidR="004C18E0">
        <w:rPr>
          <w:rFonts w:cs="Times New Roman"/>
          <w:color w:val="auto"/>
          <w:szCs w:val="22"/>
        </w:rPr>
        <w:t>,</w:t>
      </w:r>
      <w:r w:rsidR="002A1705">
        <w:rPr>
          <w:rFonts w:cs="Times New Roman"/>
          <w:color w:val="auto"/>
          <w:szCs w:val="22"/>
        </w:rPr>
        <w:t xml:space="preserve"> respectively</w:t>
      </w:r>
      <w:r w:rsidR="004C18E0">
        <w:rPr>
          <w:rFonts w:cs="Times New Roman"/>
          <w:color w:val="auto"/>
          <w:szCs w:val="22"/>
        </w:rPr>
        <w:t>,</w:t>
      </w:r>
      <w:r w:rsidR="002A1705">
        <w:rPr>
          <w:rFonts w:cs="Times New Roman"/>
          <w:color w:val="auto"/>
          <w:szCs w:val="22"/>
        </w:rPr>
        <w:t xml:space="preserve"> the ED</w:t>
      </w:r>
      <w:r w:rsidR="002A1705">
        <w:rPr>
          <w:rFonts w:cs="Times New Roman"/>
          <w:color w:val="auto"/>
          <w:szCs w:val="22"/>
          <w:vertAlign w:val="subscript"/>
        </w:rPr>
        <w:t>90</w:t>
      </w:r>
      <w:r w:rsidR="002A1705">
        <w:rPr>
          <w:rFonts w:cs="Times New Roman"/>
          <w:color w:val="auto"/>
          <w:szCs w:val="22"/>
        </w:rPr>
        <w:t xml:space="preserve"> values were low enough to suggest utility as an antimalarial drug</w:t>
      </w:r>
      <w:r w:rsidR="004E538A">
        <w:rPr>
          <w:rFonts w:cs="Times New Roman"/>
          <w:color w:val="auto"/>
          <w:szCs w:val="22"/>
        </w:rPr>
        <w:t>.</w:t>
      </w:r>
      <w:r w:rsidR="002A1705">
        <w:rPr>
          <w:rFonts w:cs="Times New Roman"/>
          <w:color w:val="auto"/>
          <w:szCs w:val="22"/>
        </w:rPr>
        <w:fldChar w:fldCharType="begin" w:fldLock="1"/>
      </w:r>
      <w:r w:rsidR="007125A3">
        <w:rPr>
          <w:rFonts w:cs="Times New Roman"/>
          <w:color w:val="auto"/>
          <w:szCs w:val="22"/>
        </w:rPr>
        <w:instrText>ADDIN CSL_CITATION {"citationItems":[{"id":"ITEM-1","itemData":{"DOI":"10.1093/jac/dkl563","ISSN":"03057453","PMID":"17337512","abstract":"Objectives: The in vitro and in vivo efficacy and drug-drug interactions of the novel semi-synthetic endoperoxide artemisone with standard antimalarials were investigated in order to provide the basis for the selection of the best partner drug. Methods: Antimalarial activity and drug interactions were evaluated in vitro against Plasmodium falciparum by the incorporation of [3H]hypoxanthine. In vivo efficacy and drug interactions were assessed using the standard 4-day Peters' test. Results: Artemisone was 10 timesmore potent than artesunate in vitro against a panel of 12 P. falciparum strains, independent of their susceptibility profile to antimalarial drugs, and consistently 4 to 10 times more potent than artesunate in rodent models against drug-susceptible and primaquine- or sulfadoxine/pyrimethamine-resistant Plasmodium berghei lines and chloroquine- or artemisinin-resistant lines of Plasmodium yoelii. Slight antagonistic trends were found between artemisone and chloroquine, amodiaquine, tafenoquine, atovaquone or pyrimethamine and additive to slight synergistic trends with artemisone and mefloquine, lumefantrine or quinine. Various degrees of synergy were observed in vivo between artemisone and mefloquine, chloroquine or clindamycin. Conclusions: These results confirm the increased efficacy of artemisone over artesunate against multidrug-resistant P. falciparum and provide the basis for the selection of potential partner drugs for future deployment in areas of multidrug-resistant malaria. Artemisone represents an important addition to the repertoire of artemisinin combination therapies currently in use, as it has enhanced antimalarial activity, improved bioavailability and stability over current endoperoxides. © The Author 2007. Published by Oxford University Press on behalf of the British Society for Antimicrobial Chemotherapy. All rights reserved.","author":[{"dropping-particle":"","family":"Vivas","given":"Livia","non-dropping-particle":"","parse-names":false,"suffix":""},{"dropping-particle":"","family":"Rattray","given":"L.","non-dropping-particle":"","parse-names":false,"suffix":""},{"dropping-particle":"","family":"Stewart","given":"L. B.","non-dropping-particle":"","parse-names":false,"suffix":""},{"dropping-particle":"","family":"Robinson","given":"B. L.","non-dropping-particle":"","parse-names":false,"suffix":""},{"dropping-particle":"","family":"Fugmann","given":"B.","non-dropping-particle":"","parse-names":false,"suffix":""},{"dropping-particle":"","family":"Haynes","given":"R. K.","non-dropping-particle":"","parse-names":false,"suffix":""},{"dropping-particle":"","family":"Peters","given":"W.","non-dropping-particle":"","parse-names":false,"suffix":""},{"dropping-particle":"","family":"Croft","given":"S. L.","non-dropping-particle":"","parse-names":false,"suffix":""}],"container-title":"Journal of Antimicrobial Chemotherapy","id":"ITEM-1","issue":"4","issued":{"date-parts":[["2007","4","1"]]},"page":"658-665","title":"Antimalarial efficacy and drug interactions of the novel semi-synthetic endoperoxide artemisone in vitro and in vivo","type":"article-journal","volume":"59"},"uris":["http://www.mendeley.com/documents/?uuid=4f8da66a-1f03-4a30-89d8-225093e53c04","http://www.mendeley.com/documents/?uuid=7ee2dae3-1a8f-4013-842d-555273384b12"]},{"id":"ITEM-2","itemData":{"DOI":"10.1002/anie.200503071","ISSN":"14337851","PMID":"16444785","abstract":"Artemisinin - the next generation: Efficacies of artemisone against the malaria parasite are substantially greater than those of the current artemisinin \"gold standard\", artesunate. Also, in contrast to most current artemisinins it displays low lipophilicity and negligible neuro- and cytotoxicity in in vitro and in vivo assays. Thus, the drug offers promise for use in artemisinin-based combination therapy. (Chemical Equation Presented). © 2006 Wiley-VCH Verlag GmbH &amp; Co. KGaA.","author":[{"dropping-particle":"","family":"Haynes","given":"Richard K.","non-dropping-particle":"","parse-names":false,"suffix":""},{"dropping-particle":"","family":"Fugmann","given":"Burkhard","non-dropping-particle":"","parse-names":false,"suffix":""},{"dropping-particle":"","family":"Stetter","given":"Jörg","non-dropping-particle":"","parse-names":false,"suffix":""},{"dropping-particle":"","family":"Rieckmann","given":"Karl","non-dropping-particle":"","parse-names":false,"suffix":""},{"dropping-particle":"","family":"Heilmann","given":"Hans Dietrich","non-dropping-particle":"","parse-names":false,"suffix":""},{"dropping-particle":"","family":"Chan","given":"Ho Wai","non-dropping-particle":"","parse-names":false,"suffix":""},{"dropping-particle":"","family":"Cheung","given":"Man Ki","non-dropping-particle":"","parse-names":false,"suffix":""},{"dropping-particle":"","family":"Lam","given":"Wai Lun","non-dropping-particle":"","parse-names":false,"suffix":""},{"dropping-particle":"","family":"Wong","given":"Ho Ning","non-dropping-particle":"","parse-names":false,"suffix":""},{"dropping-particle":"","family":"Croft","given":"Simon L.","non-dropping-particle":"","parse-names":false,"suffix":""},{"dropping-particle":"","family":"Vivas","given":"Livia","non-dropping-particle":"","parse-names":false,"suffix":""},{"dropping-particle":"","family":"Rattray","given":"Lauren","non-dropping-particle":"","parse-names":false,"suffix":""},{"dropping-particle":"","family":"Stewart","given":"Lindsay","non-dropping-particle":"","parse-names":false,"suffix":""},{"dropping-particle":"","family":"Peters","given":"Wallace","non-dropping-particle":"","parse-names":false,"suffix":""},{"dropping-particle":"","family":"Robinson","given":"Brian L.","non-dropping-particle":"","parse-names":false,"suffix":""},{"dropping-particle":"","family":"Edstein","given":"Michael D.","non-dropping-particle":"","parse-names":false,"suffix":""},{"dropping-particle":"","family":"Kotecka","given":"Barbara","non-dropping-particle":"","parse-names":false,"suffix":""},{"dropping-particle":"","family":"Kyle","given":"Dennis E.","non-dropping-particle":"","parse-names":false,"suffix":""},{"dropping-particle":"","family":"Beckermann","given":"Bernhard","non-dropping-particle":"","parse-names":false,"suffix":""},{"dropping-particle":"","family":"Gerisch","given":"Michael","non-dropping-particle":"","parse-names":false,"suffix":""},{"dropping-particle":"","family":"Radtke","given":"Martin","non-dropping-particle":"","parse-names":false,"suffix":""},{"dropping-particle":"","family":"Schmuck","given":"Gabriele","non-dropping-particle":"","parse-names":false,"suffix":""},{"dropping-particle":"","family":"Steinke","given":"Wolfram","non-dropping-particle":"","parse-names":false,"suffix":""},{"dropping-particle":"","family":"Wollborn","given":"Ute","non-dropping-particle":"","parse-names":false,"suffix":""},{"dropping-particle":"","family":"Schmeer","given":"Karl","non-dropping-particle":"","parse-names":false,"suffix":""},{"dropping-particle":"","family":"Römer","given":"Axel","non-dropping-particle":"","parse-names":false,"suffix":""}],"container-title":"Angewandte Chemie - International Edition","id":"ITEM-2","issue":"13","issued":{"date-parts":[["2006","3","20"]]},"note":"doi: 10.1002/anie.200503071","page":"2082-2088","publisher":"John Wiley &amp; Sons, Ltd","title":"Artemisone - A highly active antimalarial drug of the artemisinin class","type":"article-journal","volume":"45"},"uris":["http://www.mendeley.com/documents/?uuid=c7bbbd7e-156b-48c6-bd88-1ef3c1ce99bd","http://www.mendeley.com/documents/?uuid=81775328-8613-4f5d-a997-8bfe7773ea9b"]}],"mendeley":{"formattedCitation":"&lt;sup&gt;29,31&lt;/sup&gt;","plainTextFormattedCitation":"29,31","previouslyFormattedCitation":"&lt;sup&gt;29,31&lt;/sup&gt;"},"properties":{"noteIndex":0},"schema":"https://github.com/citation-style-language/schema/raw/master/csl-citation.json"}</w:instrText>
      </w:r>
      <w:r w:rsidR="002A1705">
        <w:rPr>
          <w:rFonts w:cs="Times New Roman"/>
          <w:color w:val="auto"/>
          <w:szCs w:val="22"/>
        </w:rPr>
        <w:fldChar w:fldCharType="separate"/>
      </w:r>
      <w:r w:rsidR="007125A3" w:rsidRPr="007125A3">
        <w:rPr>
          <w:rFonts w:cs="Times New Roman"/>
          <w:noProof/>
          <w:color w:val="auto"/>
          <w:szCs w:val="22"/>
          <w:vertAlign w:val="superscript"/>
        </w:rPr>
        <w:t>29,31</w:t>
      </w:r>
      <w:r w:rsidR="002A1705">
        <w:rPr>
          <w:rFonts w:cs="Times New Roman"/>
          <w:color w:val="auto"/>
          <w:szCs w:val="22"/>
        </w:rPr>
        <w:fldChar w:fldCharType="end"/>
      </w:r>
      <w:r w:rsidR="004E538A" w:rsidRPr="004E538A">
        <w:t xml:space="preserve"> </w:t>
      </w:r>
      <w:r w:rsidR="004B59AB">
        <w:rPr>
          <w:rFonts w:cs="Times New Roman"/>
          <w:color w:val="auto"/>
          <w:szCs w:val="22"/>
        </w:rPr>
        <w:t>Results of a phase I clinical trial of Artemisone were published in 2008</w:t>
      </w:r>
      <w:r w:rsidR="004C18E0">
        <w:rPr>
          <w:rFonts w:cs="Times New Roman"/>
          <w:color w:val="auto"/>
          <w:szCs w:val="22"/>
        </w:rPr>
        <w:t>,</w:t>
      </w:r>
      <w:r w:rsidR="004B59AB">
        <w:rPr>
          <w:rFonts w:cs="Times New Roman"/>
          <w:color w:val="auto"/>
          <w:szCs w:val="22"/>
        </w:rPr>
        <w:t xml:space="preserve"> revealing a short half-life of 2.79 hours</w:t>
      </w:r>
      <w:r w:rsidR="004C18E0">
        <w:rPr>
          <w:rFonts w:cs="Times New Roman"/>
          <w:color w:val="auto"/>
          <w:szCs w:val="22"/>
        </w:rPr>
        <w:t>,</w:t>
      </w:r>
      <w:r w:rsidR="004B59AB">
        <w:rPr>
          <w:rFonts w:cs="Times New Roman"/>
          <w:color w:val="auto"/>
          <w:szCs w:val="22"/>
        </w:rPr>
        <w:t xml:space="preserve"> similar to other semi-synthetic ARTs.</w:t>
      </w:r>
      <w:r w:rsidR="00184133">
        <w:rPr>
          <w:rFonts w:cs="Times New Roman"/>
          <w:color w:val="auto"/>
          <w:szCs w:val="22"/>
        </w:rPr>
        <w:fldChar w:fldCharType="begin" w:fldLock="1"/>
      </w:r>
      <w:r w:rsidR="007125A3">
        <w:rPr>
          <w:rFonts w:cs="Times New Roman"/>
          <w:color w:val="auto"/>
          <w:szCs w:val="22"/>
        </w:rPr>
        <w:instrText>ADDIN CSL_CITATION {"citationItems":[{"id":"ITEM-1","itemData":{"DOI":"10.1128/AAC.01585-07","ISSN":"00664804","PMID":"18559649","abstract":"In preclinical studies, artemisone (BAY 44-9585), a new artemisinin derivative, was shown to possess enhanced efficacy over artesunate, and it does not possess the neurotoxicity characteristic of the current artemisinins. In a phase I program with double-blind, randomized, placebo-controlled, single and multiple ascending oral-dose studies, we evaluated the safety, tolerability, pharmacokinetics, and ex vivo pharmacodynamic antimalarial activity of artemisone. Single doses (10, 20, 30, 40, and 80 mg) and multiple doses (40 and 80 mg daily for 3 days) of artemisone were administered orally to healthy subjects. Plasma concentrations of artemisone and its metabolites were measured by liquid chromatography/tandem mass spectrometry (LC/MS-MS). Artemisone was well tolerated, with no serious adverse events and no clinically relevant changes in laboratory and vital parameters. The pharmacokinetics of artemisone over the 10- to 80-mg range demonstrated dose linearity. After the single 80-mg dose, artemisone had a geometric mean maximum concentration of 140.2 ng/ml (range, 86.6 to 391.0), a short elimination half-life (t1/2) of 2.79 h (range, 1.56 to 4.88), a high oral clearance of 284.1 liters/h (range, 106.7 to 546.7), and a large volume of distribution of 14.50 liters/kg (range, 3.21 to 51.58). Due to artemisone's short t1/2, its pharmacokinetics were comparable after single and multiple dosing. Plasma samples taken after multiple dosing showed marked ex vivo pharmacodynamic antimalarial activities against two multidrug-resistant Plasmodium falciparum lines. Artemisone equivalent concentrations measured by bioassay revealed higher activity than artemisone measured by LC/MS-MS, confirming the presence of active metabolites. Comparable to those of other artemisinin's, artemisone's t1/2 is well suited for artemisinin-based combination therapy for the treatment of P. falciparum malaria. Copyright © 2008, American Society for Microbiology. All Rights Reserved.","author":[{"dropping-particle":"","family":"Nagelschmitz","given":"Johannes","non-dropping-particle":"","parse-names":false,"suffix":""},{"dropping-particle":"","family":"Voith","given":"Barbara","non-dropping-particle":"","parse-names":false,"suffix":""},{"dropping-particle":"","family":"Wensing","given":"Georg","non-dropping-particle":"","parse-names":false,"suffix":""},{"dropping-particle":"","family":"Roemer","given":"Axel","non-dropping-particle":"","parse-names":false,"suffix":""},{"dropping-particle":"","family":"Fugmann","given":"Burkhard","non-dropping-particle":"","parse-names":false,"suffix":""},{"dropping-particle":"","family":"Haynes","given":"Richard K.","non-dropping-particle":"","parse-names":false,"suffix":""},{"dropping-particle":"","family":"Kotecka","given":"Barbara M.","non-dropping-particle":"","parse-names":false,"suffix":""},{"dropping-particle":"","family":"Rieckmann","given":"Karl H.","non-dropping-particle":"","parse-names":false,"suffix":""},{"dropping-particle":"","family":"Edstein","given":"Michael D.","non-dropping-particle":"","parse-names":false,"suffix":""}],"container-title":"Antimicrobial Agents and Chemotherapy","id":"ITEM-1","issue":"9","issued":{"date-parts":[["2008","9","1"]]},"page":"3085-3091","title":"First assessment in humans of the safety, tolerability, pharmacokinetics, and ex vivo pharmacodynamic antimalarial activity of the new artemisinin derivative artemisone","type":"article-journal","volume":"52"},"uris":["http://www.mendeley.com/documents/?uuid=1feb52d9-7dee-48fc-ba0d-4ca8f5c1d373","http://www.mendeley.com/documents/?uuid=7c80de97-4472-4bef-9b30-f69ed85d82c5"]}],"mendeley":{"formattedCitation":"&lt;sup&gt;32&lt;/sup&gt;","plainTextFormattedCitation":"32","previouslyFormattedCitation":"&lt;sup&gt;32&lt;/sup&gt;"},"properties":{"noteIndex":0},"schema":"https://github.com/citation-style-language/schema/raw/master/csl-citation.json"}</w:instrText>
      </w:r>
      <w:r w:rsidR="00184133">
        <w:rPr>
          <w:rFonts w:cs="Times New Roman"/>
          <w:color w:val="auto"/>
          <w:szCs w:val="22"/>
        </w:rPr>
        <w:fldChar w:fldCharType="separate"/>
      </w:r>
      <w:r w:rsidR="007125A3" w:rsidRPr="007125A3">
        <w:rPr>
          <w:rFonts w:cs="Times New Roman"/>
          <w:noProof/>
          <w:color w:val="auto"/>
          <w:szCs w:val="22"/>
          <w:vertAlign w:val="superscript"/>
        </w:rPr>
        <w:t>32</w:t>
      </w:r>
      <w:r w:rsidR="00184133">
        <w:rPr>
          <w:rFonts w:cs="Times New Roman"/>
          <w:color w:val="auto"/>
          <w:szCs w:val="22"/>
        </w:rPr>
        <w:fldChar w:fldCharType="end"/>
      </w:r>
      <w:r w:rsidR="004B59AB" w:rsidRPr="004B59AB">
        <w:t xml:space="preserve"> </w:t>
      </w:r>
      <w:r w:rsidR="00184133">
        <w:rPr>
          <w:rFonts w:cs="Times New Roman"/>
          <w:color w:val="auto"/>
          <w:szCs w:val="22"/>
        </w:rPr>
        <w:t>A Phase II clinical trial on the efficacy of Artemisone in the treatment of uncomplicated malaria in Western Cambodia was planned</w:t>
      </w:r>
      <w:r w:rsidR="004C18E0">
        <w:rPr>
          <w:rFonts w:cs="Times New Roman"/>
          <w:color w:val="auto"/>
          <w:szCs w:val="22"/>
        </w:rPr>
        <w:t>,</w:t>
      </w:r>
      <w:r w:rsidR="00184133">
        <w:rPr>
          <w:rFonts w:cs="Times New Roman"/>
          <w:color w:val="auto"/>
          <w:szCs w:val="22"/>
        </w:rPr>
        <w:t xml:space="preserve"> however approval for recruitment was not given.</w:t>
      </w:r>
      <w:r w:rsidR="00184133">
        <w:rPr>
          <w:rFonts w:cs="Times New Roman"/>
          <w:color w:val="auto"/>
          <w:szCs w:val="22"/>
        </w:rPr>
        <w:fldChar w:fldCharType="begin" w:fldLock="1"/>
      </w:r>
      <w:r w:rsidR="00CA5C6A">
        <w:rPr>
          <w:rFonts w:cs="Times New Roman"/>
          <w:color w:val="auto"/>
          <w:szCs w:val="22"/>
        </w:rPr>
        <w:instrText>ADDIN CSL_CITATION {"citationItems":[{"id":"ITEM-1","itemData":{"URL":"https://clinicaltrials.gov/ct2/show/NCT03660839","accessed":{"date-parts":[["2020","5","15"]]},"id":"ITEM-1","issued":{"date-parts":[["0"]]},"title":"Study to Investigate the Clinical and Parasiticidal Activity and Pharmacokinetics of Different Doses of Artefenomel and Ferroquine in Patients With Uncomplicated Plasmodium Falciparum Malaria","type":"webpage"},"uris":["http://www.mendeley.com/documents/?uuid=ad3f73f1-c768-4c1b-a7ad-0ef907e3c80c"]}],"mendeley":{"formattedCitation":"&lt;sup&gt;33&lt;/sup&gt;","plainTextFormattedCitation":"33","previouslyFormattedCitation":"&lt;sup&gt;33&lt;/sup&gt;"},"properties":{"noteIndex":0},"schema":"https://github.com/citation-style-language/schema/raw/master/csl-citation.json"}</w:instrText>
      </w:r>
      <w:r w:rsidR="00184133">
        <w:rPr>
          <w:rFonts w:cs="Times New Roman"/>
          <w:color w:val="auto"/>
          <w:szCs w:val="22"/>
        </w:rPr>
        <w:fldChar w:fldCharType="separate"/>
      </w:r>
      <w:r w:rsidR="007125A3" w:rsidRPr="007125A3">
        <w:rPr>
          <w:rFonts w:cs="Times New Roman"/>
          <w:noProof/>
          <w:color w:val="auto"/>
          <w:szCs w:val="22"/>
          <w:vertAlign w:val="superscript"/>
        </w:rPr>
        <w:t>33</w:t>
      </w:r>
      <w:r w:rsidR="00184133">
        <w:rPr>
          <w:rFonts w:cs="Times New Roman"/>
          <w:color w:val="auto"/>
          <w:szCs w:val="22"/>
        </w:rPr>
        <w:fldChar w:fldCharType="end"/>
      </w:r>
    </w:p>
    <w:p w14:paraId="26AEABA5" w14:textId="21004E86" w:rsidR="001E49C3" w:rsidRPr="00C07E8E" w:rsidRDefault="00C07E8E" w:rsidP="00532D1D">
      <w:pPr>
        <w:ind w:firstLine="709"/>
        <w:rPr>
          <w:rFonts w:cs="Times New Roman"/>
          <w:color w:val="auto"/>
          <w:szCs w:val="22"/>
        </w:rPr>
      </w:pPr>
      <w:r w:rsidRPr="00C07E8E">
        <w:rPr>
          <w:rFonts w:cs="Times New Roman"/>
          <w:color w:val="auto"/>
          <w:szCs w:val="22"/>
        </w:rPr>
        <w:t xml:space="preserve">This has paved the way to the development of fully synthetic endoperoxide antimalarials – this class of antimalarial maintains the endoperoxide warhead responsible for rapid clearance of parasitaemia whilst the lack of </w:t>
      </w:r>
      <w:r w:rsidR="00F00EC4">
        <w:rPr>
          <w:rFonts w:cs="Times New Roman"/>
          <w:color w:val="auto"/>
          <w:szCs w:val="22"/>
        </w:rPr>
        <w:t>semi-</w:t>
      </w:r>
      <w:r w:rsidRPr="00C07E8E">
        <w:rPr>
          <w:rFonts w:cs="Times New Roman"/>
          <w:color w:val="auto"/>
          <w:szCs w:val="22"/>
        </w:rPr>
        <w:t>synthetic</w:t>
      </w:r>
      <w:r w:rsidR="00F00EC4">
        <w:rPr>
          <w:rFonts w:cs="Times New Roman"/>
          <w:color w:val="auto"/>
          <w:szCs w:val="22"/>
        </w:rPr>
        <w:t xml:space="preserve"> chemistry</w:t>
      </w:r>
      <w:r w:rsidRPr="00C07E8E">
        <w:rPr>
          <w:rFonts w:cs="Times New Roman"/>
          <w:color w:val="auto"/>
          <w:szCs w:val="22"/>
        </w:rPr>
        <w:t xml:space="preserve"> constraints allows greater control over physicochemical properties. Over three decades of development a variety of classes of endoperoxide antimalarial</w:t>
      </w:r>
      <w:r w:rsidR="00B33ADF">
        <w:rPr>
          <w:rFonts w:cs="Times New Roman"/>
          <w:color w:val="auto"/>
          <w:szCs w:val="22"/>
        </w:rPr>
        <w:t>s</w:t>
      </w:r>
      <w:r w:rsidRPr="00C07E8E">
        <w:rPr>
          <w:rFonts w:cs="Times New Roman"/>
          <w:color w:val="auto"/>
          <w:szCs w:val="22"/>
        </w:rPr>
        <w:t xml:space="preserve"> </w:t>
      </w:r>
      <w:r w:rsidR="00941CED">
        <w:rPr>
          <w:rFonts w:cs="Times New Roman"/>
          <w:color w:val="auto"/>
          <w:szCs w:val="22"/>
        </w:rPr>
        <w:t xml:space="preserve">emerged, </w:t>
      </w:r>
      <w:r w:rsidRPr="00C07E8E">
        <w:rPr>
          <w:rFonts w:cs="Times New Roman"/>
          <w:color w:val="auto"/>
          <w:szCs w:val="22"/>
        </w:rPr>
        <w:t xml:space="preserve">defined by </w:t>
      </w:r>
      <w:r w:rsidR="005A3619" w:rsidRPr="00C07E8E">
        <w:rPr>
          <w:rFonts w:cs="Times New Roman"/>
          <w:color w:val="auto"/>
          <w:szCs w:val="22"/>
        </w:rPr>
        <w:t>their</w:t>
      </w:r>
      <w:r w:rsidRPr="00C07E8E">
        <w:rPr>
          <w:rFonts w:cs="Times New Roman"/>
          <w:color w:val="auto"/>
          <w:szCs w:val="22"/>
        </w:rPr>
        <w:t xml:space="preserve"> use of one of many peroxide-containing saturated heterocycles as analogous warheads to the 1,2,5-trioxane in ART. This review summarises the synthesis, biological </w:t>
      </w:r>
      <w:r w:rsidR="005A3619" w:rsidRPr="00C07E8E">
        <w:rPr>
          <w:rFonts w:cs="Times New Roman"/>
          <w:color w:val="auto"/>
          <w:szCs w:val="22"/>
        </w:rPr>
        <w:t>evaluation</w:t>
      </w:r>
      <w:r w:rsidRPr="00C07E8E">
        <w:rPr>
          <w:rFonts w:cs="Times New Roman"/>
          <w:color w:val="auto"/>
          <w:szCs w:val="22"/>
        </w:rPr>
        <w:t xml:space="preserve"> and mechanistic studies of the most developed endoperoxide antimalarials</w:t>
      </w:r>
      <w:r w:rsidR="00B33ADF">
        <w:rPr>
          <w:rFonts w:cs="Times New Roman"/>
          <w:color w:val="auto"/>
          <w:szCs w:val="22"/>
        </w:rPr>
        <w:t>,</w:t>
      </w:r>
      <w:r w:rsidRPr="00C07E8E">
        <w:rPr>
          <w:rFonts w:cs="Times New Roman"/>
          <w:color w:val="auto"/>
          <w:szCs w:val="22"/>
        </w:rPr>
        <w:t xml:space="preserve"> </w:t>
      </w:r>
      <w:r w:rsidR="00B33ADF">
        <w:rPr>
          <w:rFonts w:cs="Times New Roman"/>
          <w:color w:val="auto"/>
          <w:szCs w:val="22"/>
        </w:rPr>
        <w:t>also</w:t>
      </w:r>
      <w:r w:rsidRPr="00C07E8E">
        <w:rPr>
          <w:rFonts w:cs="Times New Roman"/>
          <w:color w:val="auto"/>
          <w:szCs w:val="22"/>
        </w:rPr>
        <w:t xml:space="preserve"> provid</w:t>
      </w:r>
      <w:r w:rsidR="005A3619" w:rsidRPr="00C07E8E">
        <w:rPr>
          <w:rFonts w:cs="Times New Roman"/>
          <w:color w:val="auto"/>
          <w:szCs w:val="22"/>
        </w:rPr>
        <w:t>ing</w:t>
      </w:r>
      <w:r w:rsidRPr="00C07E8E">
        <w:rPr>
          <w:rFonts w:cs="Times New Roman"/>
          <w:color w:val="auto"/>
          <w:szCs w:val="22"/>
        </w:rPr>
        <w:t xml:space="preserve"> an update on those classes still in active development.</w:t>
      </w:r>
      <w:r w:rsidR="007E5F52">
        <w:rPr>
          <w:rFonts w:cs="Times New Roman"/>
          <w:color w:val="auto"/>
          <w:szCs w:val="22"/>
        </w:rPr>
        <w:t xml:space="preserve"> Prior to examining the lead synthetic analogues</w:t>
      </w:r>
      <w:r w:rsidR="00B33ADF">
        <w:rPr>
          <w:rFonts w:cs="Times New Roman"/>
          <w:color w:val="auto"/>
          <w:szCs w:val="22"/>
        </w:rPr>
        <w:t>,</w:t>
      </w:r>
      <w:r w:rsidR="007E5F52">
        <w:rPr>
          <w:rFonts w:cs="Times New Roman"/>
          <w:color w:val="auto"/>
          <w:szCs w:val="22"/>
        </w:rPr>
        <w:t xml:space="preserve"> the following section deals with proposals for the mechanism of action of the </w:t>
      </w:r>
      <w:r w:rsidR="00EA5480">
        <w:rPr>
          <w:rFonts w:cs="Times New Roman"/>
          <w:color w:val="auto"/>
          <w:szCs w:val="22"/>
        </w:rPr>
        <w:t>ART</w:t>
      </w:r>
      <w:r w:rsidR="007E5F52">
        <w:rPr>
          <w:rFonts w:cs="Times New Roman"/>
          <w:color w:val="auto"/>
          <w:szCs w:val="22"/>
        </w:rPr>
        <w:t>s. This work has inspired additional research into mechanism of action of the synthetic endoperoxide antimalarials with a focus on comparisons and contrasts in reactivity and plausible endoperoxide parasite targets.</w:t>
      </w:r>
    </w:p>
    <w:p w14:paraId="15FB9E67" w14:textId="77777777" w:rsidR="00233C13" w:rsidRPr="00C07E8E" w:rsidRDefault="00233C13" w:rsidP="00532D1D">
      <w:pPr>
        <w:rPr>
          <w:rFonts w:cs="Times New Roman"/>
          <w:color w:val="auto"/>
          <w:szCs w:val="22"/>
        </w:rPr>
      </w:pPr>
    </w:p>
    <w:p w14:paraId="70F89781" w14:textId="77777777" w:rsidR="00650F2D"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lastRenderedPageBreak/>
        <w:t>The Mechanism of Artemisinin and its Derivatives</w:t>
      </w:r>
    </w:p>
    <w:p w14:paraId="0BD911A6" w14:textId="77777777" w:rsidR="00536DE9" w:rsidRPr="00C07E8E" w:rsidRDefault="00C07E8E" w:rsidP="00532D1D">
      <w:pPr>
        <w:autoSpaceDE w:val="0"/>
        <w:autoSpaceDN w:val="0"/>
        <w:adjustRightInd w:val="0"/>
        <w:rPr>
          <w:rFonts w:cs="Times New Roman"/>
          <w:b/>
          <w:bCs/>
          <w:i/>
          <w:iCs/>
          <w:color w:val="auto"/>
          <w:szCs w:val="22"/>
        </w:rPr>
      </w:pPr>
      <w:r w:rsidRPr="00C07E8E">
        <w:rPr>
          <w:rFonts w:cs="Times New Roman"/>
          <w:b/>
          <w:bCs/>
          <w:i/>
          <w:iCs/>
          <w:color w:val="auto"/>
          <w:szCs w:val="22"/>
        </w:rPr>
        <w:tab/>
      </w:r>
    </w:p>
    <w:p w14:paraId="2186C26E" w14:textId="4B8B54FA" w:rsidR="00012F08" w:rsidRPr="00C07E8E" w:rsidRDefault="00C07E8E" w:rsidP="00532D1D">
      <w:pPr>
        <w:autoSpaceDE w:val="0"/>
        <w:autoSpaceDN w:val="0"/>
        <w:adjustRightInd w:val="0"/>
        <w:rPr>
          <w:rFonts w:cs="Times New Roman"/>
          <w:color w:val="auto"/>
          <w:szCs w:val="22"/>
        </w:rPr>
      </w:pPr>
      <w:r w:rsidRPr="00C07E8E">
        <w:rPr>
          <w:rFonts w:cs="Times New Roman"/>
          <w:b/>
          <w:bCs/>
          <w:i/>
          <w:iCs/>
          <w:color w:val="auto"/>
          <w:szCs w:val="22"/>
        </w:rPr>
        <w:tab/>
        <w:t xml:space="preserve">Bioactivation by </w:t>
      </w:r>
      <w:r w:rsidR="007541CF" w:rsidRPr="00C07E8E">
        <w:rPr>
          <w:rFonts w:cs="Times New Roman"/>
          <w:b/>
          <w:bCs/>
          <w:i/>
          <w:iCs/>
          <w:color w:val="auto"/>
          <w:szCs w:val="22"/>
        </w:rPr>
        <w:t>ferrous iron</w:t>
      </w:r>
      <w:r w:rsidRPr="00C07E8E">
        <w:rPr>
          <w:rFonts w:cs="Times New Roman"/>
          <w:b/>
          <w:bCs/>
          <w:i/>
          <w:iCs/>
          <w:color w:val="auto"/>
          <w:szCs w:val="22"/>
        </w:rPr>
        <w:t xml:space="preserve">. </w:t>
      </w:r>
      <w:r w:rsidRPr="00C07E8E">
        <w:rPr>
          <w:rFonts w:cs="Times New Roman"/>
          <w:color w:val="auto"/>
          <w:szCs w:val="22"/>
        </w:rPr>
        <w:t xml:space="preserve">Endoperoxide-containing antimalarials share a </w:t>
      </w:r>
      <w:r w:rsidR="00E37740" w:rsidRPr="00C07E8E">
        <w:rPr>
          <w:rFonts w:cs="Times New Roman"/>
          <w:color w:val="auto"/>
          <w:szCs w:val="22"/>
        </w:rPr>
        <w:t xml:space="preserve">common </w:t>
      </w:r>
      <w:r w:rsidRPr="00C07E8E">
        <w:rPr>
          <w:rFonts w:cs="Times New Roman"/>
          <w:color w:val="auto"/>
          <w:szCs w:val="22"/>
        </w:rPr>
        <w:t xml:space="preserve">and </w:t>
      </w:r>
      <w:r w:rsidR="00E37740" w:rsidRPr="00C07E8E">
        <w:rPr>
          <w:rFonts w:cs="Times New Roman"/>
          <w:color w:val="auto"/>
          <w:szCs w:val="22"/>
        </w:rPr>
        <w:t>unusua</w:t>
      </w:r>
      <w:r w:rsidRPr="00C07E8E">
        <w:rPr>
          <w:rFonts w:cs="Times New Roman"/>
          <w:color w:val="auto"/>
          <w:szCs w:val="22"/>
        </w:rPr>
        <w:t>l mechanism of action</w:t>
      </w:r>
      <w:r w:rsidR="00941CED">
        <w:rPr>
          <w:rFonts w:cs="Times New Roman"/>
          <w:color w:val="auto"/>
          <w:szCs w:val="22"/>
        </w:rPr>
        <w:t xml:space="preserve">, which remains under scrutiny, </w:t>
      </w:r>
      <w:r w:rsidR="00941CED" w:rsidRPr="00C07E8E">
        <w:rPr>
          <w:rFonts w:cs="Times New Roman"/>
          <w:color w:val="auto"/>
          <w:szCs w:val="22"/>
        </w:rPr>
        <w:t>despite more than four decades of investigation by different research groups worldwide</w:t>
      </w:r>
      <w:r w:rsidRPr="00C07E8E">
        <w:rPr>
          <w:rFonts w:cs="Times New Roman"/>
          <w:color w:val="auto"/>
          <w:szCs w:val="22"/>
        </w:rPr>
        <w:t xml:space="preserve">. </w:t>
      </w:r>
      <w:r w:rsidR="005031E7">
        <w:rPr>
          <w:rFonts w:cs="Times New Roman"/>
          <w:color w:val="auto"/>
          <w:szCs w:val="22"/>
        </w:rPr>
        <w:t xml:space="preserve">Although </w:t>
      </w:r>
      <w:r w:rsidR="00EC6CB7">
        <w:rPr>
          <w:rFonts w:cs="Times New Roman"/>
          <w:color w:val="auto"/>
          <w:szCs w:val="22"/>
        </w:rPr>
        <w:t xml:space="preserve">many targets have been </w:t>
      </w:r>
      <w:r w:rsidR="00BF291B">
        <w:rPr>
          <w:rFonts w:cs="Times New Roman"/>
          <w:color w:val="auto"/>
          <w:szCs w:val="22"/>
        </w:rPr>
        <w:t>explored</w:t>
      </w:r>
      <w:r w:rsidR="0017155E">
        <w:rPr>
          <w:rFonts w:cs="Times New Roman"/>
          <w:color w:val="auto"/>
          <w:szCs w:val="22"/>
        </w:rPr>
        <w:fldChar w:fldCharType="begin" w:fldLock="1"/>
      </w:r>
      <w:r w:rsidR="007125A3">
        <w:rPr>
          <w:rFonts w:cs="Times New Roman"/>
          <w:color w:val="auto"/>
          <w:szCs w:val="22"/>
        </w:rPr>
        <w:instrText>ADDIN CSL_CITATION {"citationItems":[{"id":"ITEM-1","itemData":{"DOI":"10.1021/jm030571c","ISBN":"0022-2623","ISSN":"00222623","PMID":"15163175","abstract":"A review on aspects of the chem., mechanism of action, metab., and toxicity of the endoperoxide class of antimalarial drugs with a focus on lead compds. (semisynthetic and synthetic) that have emerged as potential next-generation analogs. The authors also briefly cover artemisinin combination therapy (ACT) of malaria and discuss the potential of drug hybrids and prodrugs as new approaches to delivering combination chemotherapy through a sing. [on SciFinder(R)]","author":[{"dropping-particle":"","family":"O'Neill","given":"Paul M.","non-dropping-particle":"","parse-names":false,"suffix":""},{"dropping-particle":"","family":"Posner","given":"Gary H.","non-dropping-particle":"","parse-names":false,"suffix":""}],"container-title":"Journal of Medicinal Chemistry","id":"ITEM-1","issue":"12","issued":{"date-parts":[["2004"]]},"page":"2945-2964","title":"A medicinal chemistry perspective on artemisinin and related endoperoxides","type":"article-journal","volume":"47"},"uris":["http://www.mendeley.com/documents/?uuid=820bbed1-9542-4ba4-b743-232e68644032"]}],"mendeley":{"formattedCitation":"&lt;sup&gt;34&lt;/sup&gt;","plainTextFormattedCitation":"34","previouslyFormattedCitation":"&lt;sup&gt;34&lt;/sup&gt;"},"properties":{"noteIndex":0},"schema":"https://github.com/citation-style-language/schema/raw/master/csl-citation.json"}</w:instrText>
      </w:r>
      <w:r w:rsidR="0017155E">
        <w:rPr>
          <w:rFonts w:cs="Times New Roman"/>
          <w:color w:val="auto"/>
          <w:szCs w:val="22"/>
        </w:rPr>
        <w:fldChar w:fldCharType="separate"/>
      </w:r>
      <w:r w:rsidR="007125A3" w:rsidRPr="007125A3">
        <w:rPr>
          <w:rFonts w:cs="Times New Roman"/>
          <w:noProof/>
          <w:color w:val="auto"/>
          <w:szCs w:val="22"/>
          <w:vertAlign w:val="superscript"/>
        </w:rPr>
        <w:t>34</w:t>
      </w:r>
      <w:r w:rsidR="0017155E">
        <w:rPr>
          <w:rFonts w:cs="Times New Roman"/>
          <w:color w:val="auto"/>
          <w:szCs w:val="22"/>
        </w:rPr>
        <w:fldChar w:fldCharType="end"/>
      </w:r>
      <w:r w:rsidR="00BF291B">
        <w:rPr>
          <w:rFonts w:cs="Times New Roman"/>
          <w:color w:val="auto"/>
          <w:szCs w:val="22"/>
        </w:rPr>
        <w:t>,</w:t>
      </w:r>
      <w:r w:rsidR="00EC6CB7">
        <w:rPr>
          <w:rFonts w:cs="Times New Roman"/>
          <w:color w:val="auto"/>
          <w:szCs w:val="22"/>
        </w:rPr>
        <w:t xml:space="preserve"> it is generally </w:t>
      </w:r>
      <w:bookmarkStart w:id="1" w:name="_Hlk50557731"/>
      <w:r w:rsidR="00EC6CB7">
        <w:rPr>
          <w:rFonts w:cs="Times New Roman"/>
          <w:color w:val="auto"/>
          <w:szCs w:val="22"/>
        </w:rPr>
        <w:t>considered</w:t>
      </w:r>
      <w:r w:rsidR="00B33ADF">
        <w:rPr>
          <w:rFonts w:cs="Times New Roman"/>
          <w:color w:val="auto"/>
          <w:szCs w:val="22"/>
        </w:rPr>
        <w:t xml:space="preserve"> that</w:t>
      </w:r>
      <w:r w:rsidR="00EC6CB7" w:rsidRPr="00C07E8E">
        <w:rPr>
          <w:rFonts w:cs="Times New Roman"/>
          <w:color w:val="auto"/>
          <w:szCs w:val="22"/>
        </w:rPr>
        <w:t xml:space="preserve"> </w:t>
      </w:r>
      <w:bookmarkEnd w:id="1"/>
      <w:r w:rsidR="00507359">
        <w:rPr>
          <w:rFonts w:cs="Times New Roman"/>
          <w:color w:val="auto"/>
          <w:szCs w:val="22"/>
        </w:rPr>
        <w:t>endoperoxides</w:t>
      </w:r>
      <w:r w:rsidR="00941CED">
        <w:rPr>
          <w:rFonts w:cs="Times New Roman"/>
          <w:color w:val="auto"/>
          <w:szCs w:val="22"/>
        </w:rPr>
        <w:t xml:space="preserve"> </w:t>
      </w:r>
      <w:r w:rsidRPr="00C07E8E">
        <w:rPr>
          <w:rFonts w:cs="Times New Roman"/>
          <w:color w:val="auto"/>
          <w:szCs w:val="22"/>
        </w:rPr>
        <w:t>do not have a specific biomolecular target</w:t>
      </w:r>
      <w:r w:rsidR="00DC006A">
        <w:rPr>
          <w:rFonts w:cs="Times New Roman"/>
          <w:color w:val="auto"/>
          <w:szCs w:val="22"/>
        </w:rPr>
        <w:t>.</w:t>
      </w:r>
      <w:r w:rsidR="00DC006A" w:rsidRPr="00C07E8E">
        <w:rPr>
          <w:rFonts w:cs="Times New Roman"/>
          <w:color w:val="auto"/>
          <w:szCs w:val="22"/>
        </w:rPr>
        <w:t xml:space="preserve"> </w:t>
      </w:r>
      <w:r w:rsidR="00242AE1" w:rsidRPr="00C07E8E">
        <w:rPr>
          <w:rFonts w:cs="Times New Roman"/>
          <w:color w:val="auto"/>
          <w:szCs w:val="22"/>
        </w:rPr>
        <w:t>T</w:t>
      </w:r>
      <w:r w:rsidRPr="00C07E8E">
        <w:rPr>
          <w:rFonts w:cs="Times New Roman"/>
          <w:color w:val="auto"/>
          <w:szCs w:val="22"/>
        </w:rPr>
        <w:t xml:space="preserve">he data available suggests that the mechanism of action </w:t>
      </w:r>
      <w:r w:rsidR="00E37740" w:rsidRPr="00C07E8E">
        <w:rPr>
          <w:rFonts w:cs="Times New Roman"/>
          <w:color w:val="auto"/>
          <w:szCs w:val="22"/>
        </w:rPr>
        <w:t xml:space="preserve">of these molecules </w:t>
      </w:r>
      <w:r w:rsidRPr="00C07E8E">
        <w:rPr>
          <w:rFonts w:cs="Times New Roman"/>
          <w:color w:val="auto"/>
          <w:szCs w:val="22"/>
        </w:rPr>
        <w:t>requires initial bioactivation of the peroxide pharmacophore of artemisinins or synthetic endoperoxides by ferrous</w:t>
      </w:r>
      <w:r w:rsidR="00242AE1" w:rsidRPr="00C07E8E">
        <w:rPr>
          <w:rFonts w:cs="Times New Roman"/>
          <w:color w:val="auto"/>
          <w:szCs w:val="22"/>
        </w:rPr>
        <w:t xml:space="preserve"> (Fe</w:t>
      </w:r>
      <w:r w:rsidR="00242AE1" w:rsidRPr="00C07E8E">
        <w:rPr>
          <w:rFonts w:cs="Times New Roman"/>
          <w:color w:val="auto"/>
          <w:szCs w:val="22"/>
          <w:vertAlign w:val="superscript"/>
        </w:rPr>
        <w:t>2+</w:t>
      </w:r>
      <w:r w:rsidR="00242AE1" w:rsidRPr="00C07E8E">
        <w:rPr>
          <w:rFonts w:cs="Times New Roman"/>
          <w:color w:val="auto"/>
          <w:szCs w:val="22"/>
        </w:rPr>
        <w:t>)</w:t>
      </w:r>
      <w:r w:rsidRPr="00C07E8E">
        <w:rPr>
          <w:rFonts w:cs="Times New Roman"/>
          <w:color w:val="auto"/>
          <w:szCs w:val="22"/>
        </w:rPr>
        <w:t>,</w:t>
      </w:r>
      <w:r w:rsidR="006F4DD8" w:rsidRPr="00C07E8E">
        <w:rPr>
          <w:rFonts w:cs="Times New Roman"/>
          <w:color w:val="auto"/>
          <w:szCs w:val="22"/>
        </w:rPr>
        <w:fldChar w:fldCharType="begin" w:fldLock="1"/>
      </w:r>
      <w:r w:rsidR="00CA5C6A">
        <w:rPr>
          <w:rFonts w:cs="Times New Roman"/>
          <w:color w:val="auto"/>
          <w:szCs w:val="22"/>
        </w:rPr>
        <w:instrText>ADDIN CSL_CITATION {"citationItems":[{"id":"ITEM-1","itemData":{"DOI":"10.1016/0040-4039(95)02329-1","ISSN":"00404039","abstract":"Mechanism-based design, two-step synthesis, and in vitro antimalarial testing showed thermally stable, crystalline, bicyclic endoperoxides 2a and 2b to be potent antimalarials. Their reduction by FeBr2 proceeds via oxy-radicals and then carbon radicals that undergo β-scission to form an alkene and a high-valent Fe=O species.","author":[{"dropping-particle":"","family":"Posner","given":"Gary H.","non-dropping-particle":"","parse-names":false,"suffix":""},{"dropping-particle":"","family":"Wang","given":"Dasong","non-dropping-particle":"","parse-names":false,"suffix":""},{"dropping-particle":"","family":"González","given":"Lluïsa","non-dropping-particle":"","parse-names":false,"suffix":""},{"dropping-particle":"","family":"Tao","given":"Xueliang","non-dropping-particle":"","parse-names":false,"suffix":""},{"dropping-particle":"","family":"Cumming","given":"Jared N.","non-dropping-particle":"","parse-names":false,"suffix":""},{"dropping-particle":"","family":"Klinedinst","given":"Donna","non-dropping-particle":"","parse-names":false,"suffix":""},{"dropping-particle":"","family":"Shapiro","given":"Theresa A.","non-dropping-particle":"","parse-names":false,"suffix":""}],"container-title":"Tetrahedron Letters","id":"ITEM-1","issue":"6","issued":{"date-parts":[["1996"]]},"page":"815-818","title":"Mechanism-based design of simple, symmetrical, easily prepared, potent antimalarial endoperoxides","type":"article-journal","volume":"37"},"uris":["http://www.mendeley.com/documents/?uuid=e859c3f7-869f-44f0-915f-c7fc3018d9e8","http://www.mendeley.com/documents/?uuid=e9b770b5-fbd0-4afe-ac5a-d1ce6cd037fe"]},{"id":"ITEM-2","itemData":{"DOI":"10.1016/S1054-3589(08)60952-7","ISSN":"10543589","PMID":"8891104","author":[{"dropping-particle":"","family":"Cumming","given":"Jared N.","non-dropping-particle":"","parse-names":false,"suffix":""},{"dropping-particle":"","family":"Ploypradith","given":"Poonsakdi","non-dropping-particle":"","parse-names":false,"suffix":""},{"dropping-particle":"","family":"Posner","given":"Gary H.","non-dropping-particle":"","parse-names":false,"suffix":""}],"container-title":"Advances in Pharmacology","id":"ITEM-2","issued":{"date-parts":[["1996"]]},"page":"253-297","title":"Antimalarial Activity of Artemisinin (Qinghaosu) and Related Trioxanes: Mechanism (s) of Action","type":"article-journal","volume":"37"},"uris":["http://www.mendeley.com/documents/?uuid=9d616973-a3aa-4d96-b21a-e13e38990cda","http://www.mendeley.com/documents/?uuid=37b43e83-a82e-4282-b5be-ff1a88e5d47d"]},{"id":"ITEM-3","itemData":{"DOI":"10.1517/13543776.8.11.1487","ISSN":"13543776","abstract":"Recent scientific and patent literature on therapeutically promising antimalarial peroxides is reviewed through to mid-1998. Several of these new chemical entities are efficacious and apparently safe antimalarials. Major industrial support is now needed for development of one or more of these drug candidates.","author":[{"dropping-particle":"","family":"Posner","given":"G. H.","non-dropping-particle":"","parse-names":false,"suffix":""}],"container-title":"Expert Opinion on Therapeutic Patents","id":"ITEM-3","issue":"11","issued":{"date-parts":[["1998"]]},"page":"1487-1493","title":"Antimalarial peroxides in the qinghaosu (artemisinin) and yingzbaosu families","type":"article-journal","volume":"8"},"uris":["http://www.mendeley.com/documents/?uuid=a93d64af-d704-45f8-b419-907649377d82","http://www.mendeley.com/documents/?uuid=2e264a23-1388-4259-8b45-9380f9a7e64f"]},{"id":"ITEM-4","itemData":{"DOI":"10.1016/j.drudis.2007.04.009","ISSN":"13596446","PMID":"17532534","abstract":"The present review describes the current status of synthetic cyclic peroxides, trioxanes and trioxolanes that show significant promise as antimalarial drugs because of their artemisinin-like activity. The literature from 1996 onwards is critically surveyed to provide an update on how an age-old, persistent, debilitating and frequently deadly disease could be treated by new, affordable and effective medicines possessing the peroxide pharmacophore. The review is not exhaustive and does not cover recent progress on the lead structure artemisinin and its derivatives. Nevertheless, some mechanistic aspects gleaned from artemisinin that have relevance to synthetic peroxides are discussed. © 2007 Elsevier Ltd. All rights reserved.","author":[{"dropping-particle":"","family":"Jefford","given":"Charles W.","non-dropping-particle":"","parse-names":false,"suffix":""}],"container-title":"Drug Discovery Today","id":"ITEM-4","issue":"11-12","issued":{"date-parts":[["2007"]]},"page":"487-495","title":"New developments in synthetic peroxidic drugs as artemisinin mimics","type":"article-journal","volume":"12"},"uris":["http://www.mendeley.com/documents/?uuid=a28995d1-cd1c-4219-8685-49b7d2bc3072","http://www.mendeley.com/documents/?uuid=f7402ec0-c002-44e3-ae6a-5322df1afe4f"]},{"id":"ITEM-5","itemData":{"DOI":"10.3390/molecules15031705","ISBN":"1420-3049","ISSN":"14203049","PMID":"20336009","abstract":"Despite international efforts to 'roll back malaria' the 2008 World Malaria Report revealed the disease still affects approximately 3 billion people in 109 countries; 45 within the WHO African region. The latest report however does provide some 'cautious optimism'; more than one third of malarious countries have documented greater than 50% reductions in malaria cases in 2008 compared to 2000. The goal of the Member States at the World Health Assembly and 'Roll Back Malaria' (RBM) partnership is to reduce the numbers of malaria cases and deaths recorded in 2000 by 50% or more by the end of 2010. Although malaria is preventable it is most prevalent in poorer countries where prevention is difficult and prophylaxis is generally not an option. The burden of disease has increased by the emergence of multi drug resistant (MDR) parasites which threatens the use of established and cost effective antimalarial agents. After a major change in treatment policies, artemisinins are now the frontline treatment to aid rapid clearance of parasitaemia and quick resolution of symptoms. Since artemisinin and its derivatives are eliminated rapidly, artemisinin combination therapies (ACT's) are now recommended to delay resistance mechanisms. In spite of these precautionary measures reduced susceptibility of parasites to the artemisinin-based component of ACT's has developed at the Thai-Cambodian border, a historical 'hot spot' for MDR parasite evolution and emergence. This development raises serious concerns for the future of the artemsinins and this is not helped by controversy related to the mode of action. Although a number of potential targets have been proposed the actual mechanism of action remains ambiguous. Interestingly, artemisinins have also shown potent and broad anticancer properties in cell lines and animal models and are becoming established as anti-schistosomal agents. In this review we will discuss the recent evidence explaining bioactivation and potential molecular targets in the chemotherapy of malaria and cancer. © 2010 by the authors.","author":[{"dropping-particle":"","family":"O'Neill","given":"Paul M.","non-dropping-particle":"","parse-names":false,"suffix":""},{"dropping-particle":"","family":"Barton","given":"Victoria E.","non-dropping-particle":"","parse-names":false,"suffix":""},{"dropping-particle":"","family":"Ward","given":"Stephen A.","non-dropping-particle":"","parse-names":false,"suffix":""}],"container-title":"Molecules","id":"ITEM-5","issue":"3","issued":{"date-parts":[["2010"]]},"page":"1705-1721","title":"The molecular mechanism of action of artemisinin - The debate continues","type":"article-journal","volume":"15"},"uris":["http://www.mendeley.com/documents/?uuid=8c97abbf-7497-4a04-a2d1-b6d25d368599","http://www.mendeley.com/documents/?uuid=ac4b3f7b-18ce-45a1-b5e5-7fd6912b5c5a"]},{"id":"ITEM-6","itemData":{"DOI":"10.2174/0929867013371608","ISSN":"09298673","PMID":"11772352","abstract":"The discovery that the sesquiterpene peroxide yingzhaosu A (13) and 1,2,4-trioxane artemisinin (14) are active against chloroquine-resistant strains of Plasmodium falciparum, has opened a new era in the chemotherapy of malaria. In vitro and in vivo tests with synthetic structurally simpler trioxanes clearly demonstrate that much of the skeleton of 14 is redundant and that chirality is not required for activity. In addition, structure-activity relations and the search for the pharmacophore reveal that high antimalarial activity can be displayed by molecules which do not resemble the geometry of 13 and 14 at all. The possible mode of action of 13, 14, and synthetic peroxides is examined. They are believed to kill intraerythrocytic Plasmodium by interacting with the heme discarded by proteolysis of ingested hemoglobin. Complexation of heme with the peroxide bond followed by electron transfer generates an oxy radical that evolves to the ultimate parasiticidal agent. Experiments with ferrous reagents indicate that active peroxides including 14 and its congeners kill the parasite by alkylation with a sterically non-encumbered C-centered radical. However, another possibility is the involvement of a Fe(IV)=O species as the toxic agent. The review covers our own and other contributions to this timely topic and evaluates the different mechanisms proposed for the mode of action of peroxidic antimalarials.","author":[{"dropping-particle":"","family":"Jefford","given":"Charles","non-dropping-particle":"","parse-names":false,"suffix":""}],"container-title":"Current Medicinal Chemistry","id":"ITEM-6","issue":"15","issued":{"date-parts":[["2012"]]},"page":"1803-1826","title":"Why Artemisinin and Certain Synthetic Peroxides are Potent Antimalarials. Implications for the Mode of Action","type":"article-journal","volume":"8"},"uris":["http://www.mendeley.com/documents/?uuid=17be4458-27e1-4ccd-82ce-1e7a8d3b2fc9","http://www.mendeley.com/documents/?uuid=df7786b0-2b99-48cb-805b-b4c19fee8dcb"]},{"id":"ITEM-7","itemData":{"DOI":"10.2533/chimia.2012.399","ISBN":"0163-3864","ISSN":"00094293","PMID":"22871283","abstract":"Recent work from our laboratories has shown SmI 2-H 2O to be a versatile, readily-accessible and nontoxic reductant that is more powerful than SmI 2. This review describes the reduction of functional groups that were previously thought to lie beyond the reach of SmI 2 and complexity-generating cyclisations and cyclisation cascades triggered by the reduction of the ester carbonyl group with SmI 2-H 2O. © Schweizerische Chemische Gesellschaft.","author":[{"dropping-particle":"","family":"Sautier","given":"Brice","non-dropping-particle":"","parse-names":false,"suffix":""},{"dropping-particle":"","family":"Procter","given":"David J.","non-dropping-particle":"","parse-names":false,"suffix":""}],"container-title":"Chimia","id":"ITEM-7","issue":"6","issued":{"date-parts":[["2012"]]},"page":"399-403","title":"Recent advances in the chemistry of SmI 2-H 2O","type":"article-journal","volume":"66"},"uris":["http://www.mendeley.com/documents/?uuid=3430c41d-0d6b-4485-99a5-71f8ab60c530","http://www.mendeley.com/documents/?uuid=6b903b9f-9f59-4f20-91b1-89e7ada26212"]},{"id":"ITEM-8","itemData":{"DOI":"10.1021/acsinfecdis.9b00527","ISSN":"23738227","PMID":"32324369","abstract":"Despite a significant decline in morbidity and mortality over the last two decades, in 2018 there were 228 million reported cases of malaria and 405000 malaria-related deaths. Artemisinin, the cornerstone of artemisinin-based combination therapies, is the most potent drug in the antimalarial armamentarium against falciparum malaria. Heme-mediated activation of artemisinin and its derivatives results in widespread parasite protein alkylation, which is thought to lead to parasite death. Alarmingly, cases of decreased artemisinin efficacy have been widely detected across Cambodia and in neighboring countries, and a few cases have been reported in the Guiana Shield, India, and Africa. The grim prospect of widespread artemisinin resistance propelled a concerted effort to understand the mechanisms of artemisinin action and resistance. The identification of genetic markers and the knowledge of molecular mechanisms underpinning artemisinin resistance allow prospective surveillance and inform future drug development strategies, respectively. Here, we highlight recent advances in our understanding of how parasite vesicle trafficking, hemoglobin digestion, and cell stress responses contribute to artemisinin resistance.","author":[{"dropping-particle":"","family":"Rosenthal","given":"Melissa R.","non-dropping-particle":"","parse-names":false,"suffix":""},{"dropping-particle":"","family":"Ng","given":"Caroline L.","non-dropping-particle":"","parse-names":false,"suffix":""}],"container-title":"ACS Infectious Diseases","id":"ITEM-8","issue":"7","issued":{"date-parts":[["2020"]]},"page":"1599-1614","title":"Plasmodium falciparum Artemisinin Resistance: The Effect of Heme, Protein Damage, and Parasite Cell Stress Response","type":"article-journal","volume":"6"},"uris":["http://www.mendeley.com/documents/?uuid=e9ae6abc-bf07-4a90-b27f-2c274d39afd5","http://www.mendeley.com/documents/?uuid=d58a0725-c341-46a1-bf62-02bc282c5b7d"]},{"id":"ITEM-9","itemData":{"DOI":"10.1128/AAC.00225-07","ISSN":"00664804","PMID":"17562801","abstract":"Using nonperoxidic analogs of artemisinin and OZ277 (RBx11160), the strong in vitro antiplasmodial activities of the latter two compounds were shown to be peroxide bond dependent. In contrast, the weak activities of artemisinin and OZ277 against six other protozoan parasites were peroxide bond independent. These data support the iron-dependent artemisinin alkylation hypothesis. Copyright © 2007, American Society for Microbiology. All Rights Reserved.","author":[{"dropping-particle":"","family":"Kaiser","given":"Marcel","non-dropping-particle":"","parse-names":false,"suffix":""},{"dropping-particle":"","family":"Wittlin","given":"Sergio","non-dropping-particle":"","parse-names":false,"suffix":""},{"dropping-particle":"","family":"Nehrbass-Stuedli","given":"Angela","non-dropping-particle":"","parse-names":false,"suffix":""},{"dropping-particle":"","family":"Dong","given":"Yuxiang","non-dropping-particle":"","parse-names":false,"suffix":""},{"dropping-particle":"","family":"Wang","given":"Xiaofang","non-dropping-particle":"","parse-names":false,"suffix":""},{"dropping-particle":"","family":"Hemphill","given":"Andrew","non-dropping-particle":"","parse-names":false,"suffix":""},{"dropping-particle":"","family":"Matile","given":"Hugues","non-dropping-particle":"","parse-names":false,"suffix":""},{"dropping-particle":"","family":"Brun","given":"Reto","non-dropping-particle":"","parse-names":false,"suffix":""},{"dropping-particle":"","family":"Vennerstrom","given":"Jonathan L.","non-dropping-particle":"","parse-names":false,"suffix":""}],"container-title":"Antimicrobial Agents and Chemotherapy","id":"ITEM-9","issue":"8","issued":{"date-parts":[["2007"]]},"page":"2991-2993","title":"Peroxide bond-dependent antiplasmodial specificity of artemisinin and OZ277 (RBx11160)","type":"article-journal","volume":"51"},"uris":["http://www.mendeley.com/documents/?uuid=e7ab562f-352d-4fa8-9566-e124e931d5c6","http://www.mendeley.com/documents/?uuid=0c2270d2-8361-4628-b1b1-1df425b42e7f"]},{"id":"ITEM-10","itemData":{"DOI":"10.1073/pnas.0500972102","ISSN":"00278424","PMID":"16155128","abstract":"Heme alkylation by the antimalarial drug artemisinin is reported in vivo, within infected mice that have been treated at pharmacologically relevant doses. Adducts resulting from the alkylation of heme by the drug were characterized in the spleen of treated mice, and their glucuroconjugated derivatives were present in the urine. Because these heme-artemisinin adducts were not observed in noninfected mice, this report confirms that the alkylating activity of this antimalarial drug is related to the presence of the parasite in infected animals. The identification of heme-artemisinin adducts in mice should be considered as the signature of the alkylation capacity of artemisinin in vivo. © 2005 by The National Academy of Sciences of the USA.","author":[{"dropping-particle":"","family":"Robert","given":"Anne","non-dropping-particle":"","parse-names":false,"suffix":""},{"dropping-particle":"","family":"Benoit-Vical","given":"Françoise","non-dropping-particle":"","parse-names":false,"suffix":""},{"dropping-particle":"","family":"Claparols","given":"Catherine","non-dropping-particle":"","parse-names":false,"suffix":""},{"dropping-particle":"","family":"Meunier","given":"Bernard","non-dropping-particle":"","parse-names":false,"suffix":""}],"container-title":"Proceedings of the National Academy of Sciences of the United States of America","id":"ITEM-10","issue":"38","issued":{"date-parts":[["2005"]]},"page":"13676-13680","title":"The antimalarial drug artemisinin alkylates heme in infected mice","type":"article-journal","volume":"102"},"uris":["http://www.mendeley.com/documents/?uuid=00ae4037-f591-45ac-ba9c-9c5ad450e3ee","http://www.mendeley.com/documents/?uuid=c066a707-8ff1-4228-8e9a-0632e1960539"]},{"id":"ITEM-11","itemData":{"DOI":"10.1021/jm030571c","ISBN":"0022-2623","ISSN":"00222623","PMID":"15163175","abstract":"A review on aspects of the chem., mechanism of action, metab., and toxicity of the endoperoxide class of antimalarial drugs with a focus on lead compds. (semisynthetic and synthetic) that have emerged as potential next-generation analogs. The authors also briefly cover artemisinin combination therapy (ACT) of malaria and discuss the potential of drug hybrids and prodrugs as new approaches to delivering combination chemotherapy through a sing. [on SciFinder(R)]","author":[{"dropping-particle":"","family":"O'Neill","given":"Paul M.","non-dropping-particle":"","parse-names":false,"suffix":""},{"dropping-particle":"","family":"Posner","given":"Gary H.","non-dropping-particle":"","parse-names":false,"suffix":""}],"container-title":"Journal of Medicinal Chemistry","id":"ITEM-11","issue":"12","issued":{"date-parts":[["2004"]]},"page":"2945-2964","title":"A medicinal chemistry perspective on artemisinin and related endoperoxides","type":"article-journal","volume":"47"},"uris":["http://www.mendeley.com/documents/?uuid=0dadc43d-c5b4-4cdb-a35a-457bc5121e09","http://www.mendeley.com/documents/?uuid=6eff0e1c-b667-4a1d-85b1-f647f8f61fcb"]},{"id":"ITEM-12","itemData":{"DOI":"10.1016/b978-0-08-101210-9.00004-4","ISBN":"9780081012109","author":[{"dropping-particle":"","family":"Rawe","given":"Sarah Louise","non-dropping-particle":"","parse-names":false,"suffix":""}],"container-title":"Antimalarial Agents","id":"ITEM-12","issued":{"date-parts":[["2020"]]},"number-of-pages":"99-132","publisher":"Elsevier Ltd","title":"Artemisinin and artemisinin-related agents","type":"book"},"uris":["http://www.mendeley.com/documents/?uuid=a1d69cc1-45d7-49d6-990d-212afb18bd4a"]}],"mendeley":{"formattedCitation":"&lt;sup&gt;34–45&lt;/sup&gt;","plainTextFormattedCitation":"34–45","previouslyFormattedCitation":"&lt;sup&gt;34–45&lt;/sup&gt;"},"properties":{"noteIndex":0},"schema":"https://github.com/citation-style-language/schema/raw/master/csl-citation.json"}</w:instrText>
      </w:r>
      <w:r w:rsidR="006F4DD8" w:rsidRPr="00C07E8E">
        <w:rPr>
          <w:rFonts w:cs="Times New Roman"/>
          <w:color w:val="auto"/>
          <w:szCs w:val="22"/>
        </w:rPr>
        <w:fldChar w:fldCharType="separate"/>
      </w:r>
      <w:r w:rsidR="00CA5C6A" w:rsidRPr="00CA5C6A">
        <w:rPr>
          <w:rFonts w:cs="Times New Roman"/>
          <w:noProof/>
          <w:color w:val="auto"/>
          <w:szCs w:val="22"/>
          <w:vertAlign w:val="superscript"/>
        </w:rPr>
        <w:t>34–45</w:t>
      </w:r>
      <w:r w:rsidR="006F4DD8" w:rsidRPr="00C07E8E">
        <w:rPr>
          <w:rFonts w:cs="Times New Roman"/>
          <w:color w:val="auto"/>
          <w:szCs w:val="22"/>
        </w:rPr>
        <w:fldChar w:fldCharType="end"/>
      </w:r>
      <w:r w:rsidRPr="00C07E8E">
        <w:rPr>
          <w:rFonts w:cs="Times New Roman"/>
          <w:color w:val="auto"/>
          <w:szCs w:val="22"/>
        </w:rPr>
        <w:t xml:space="preserve"> leading to highly reactive carbon-centred radicals via reductive cleavage of the peroxide bond.</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{"citationItems":[{"id":"ITEM-1","itemData":{"DOI":"10.1021/ar100070k","ISSN":"00014842","PMID":"20804120","abstract":"Heme is not only just the binding site responsible for oxygen transport by hemoglobin, but it is also the prosthetic group of many different heme-containing enzymes, such as cytochromes P450, peroxidases, catalase, and several proteins involved in electron transfer. Heme plays a key role in the mechanism of action of many different antimalarial drugs. In degrading the host's hemoglobin, the malaria parasite Plasmodium and several other heme-eating parasites are faced with this redox-active metal complex. Heme is able to induce the toxic reductive cascade of molecular oxygen, which leads to the production of destructive hydroxyl radicals. Plasmodium detoxifies heme by converting it into a redox-inactive iron(III) polymer called hemozoin. Artemisinin, a natural drug containing a biologically important 1,2,4-trioxane structure, is now the first-line treatment for multidrug-resistant malaria. The peroxide moiety in artemisinin reacts in the presence of the flat, achiral iron(II)-heme; the mechanism does not reflect the classical \"key and lock\" paradigm for drugs. Instead, the reductive activation of the peroxide function generates a short-lived alkoxy radical, which quickly rearranges to a C-centered primary radical. This radical alkylates heme via an intramolecular process to produce covalent heme-drug adducts. The accumulation of non-polymerizable redox-active heme derivatives, a consequence of heme alkylation, is thought to be toxic for the parasite. The alkylation of heme by artemisinin has been demonstrated in malaria-infected mice, indicating that heme is acting as the trigger and target of artemisinin. The alkylation of heme by artemisinin is not limited to this natural compound: the mechanism is invoked for a large number of antimalarial semisynthetic derivatives. Synthetic trioxanes or trioxolanes also alkylate heme, and their alkylation ability correlates well with their antimalarial efficacy. In addition, several reports have demonstrated the cytotoxicity of artemisinin derivatives toward several tumor cell lines. Deoxy analogues were just one-fiftieth as active or less, showing the importance of the peroxide bridge. The involvement of heme in anticancer activity has thus also been proposed. The anticancer mechanism of endoperoxide-containing molecules, however, remains a challenging area, but one that offers promising rewards for research success. Although it is not a conventional biological target, heme is the master piece of the mechanism of a…","author":[{"dropping-particle":"","family":"Meunier","given":"Bernard","non-dropping-particle":"","parse-names":false,"suffix":""},{"dropping-particle":"","family":"Robert","given":"Anne","non-dropping-particle":"","parse-names":false,"suffix":""}],"container-title":"Accounts of Chemical Research","id":"ITEM-1","issue":"11","issued":{"date-parts":[["2010"]]},"page":"1444-1451","title":"Heme as trigger and target for trioxane-containing antimalarial drugs","type":"article-journal","volume":"43"},"uris":["http://www.mendeley.com/documents/?uuid=4646cd6c-3c9c-4ead-9a5d-01fb6e5f06a2","http://www.mendeley.com/documents/?uuid=ba824d4e-3041-4dbc-8d64-f930fe98ae47"]},{"id":"ITEM-2","itemData":{"DOI":"10.1038/ncomms10111","ISSN":"20411723","PMID":"26694030","abstract":"The mechanism of action of artemisinin and its derivatives, the most potent of the anti-malarial drugs, is not completely understood. Here we present an unbiased chemical proteomics analysis to directly explore this mechanism in Plasmodium falciparum. We use an alkyne-tagged artemisinin analogue coupled with biotin to identify 124 artemisinin covalent binding protein targets, many of which are involved in the essential biological processes of the parasite. Such a broad targeting spectrum disrupts the biochemical landscape of the parasite and causes its death. Furthermore, using alkyne-tagged artemisinin coupled with a fluorescent dye to monitor protein binding, we show that haem, rather than free ferrous iron, is predominantly responsible for artemisinin activation. The haem derives primarily from the parasite's haem biosynthesis pathway at the early ring stage and from haemoglobin digestion at the latter stages. Our results support a unifying model to explain the action and specificity of artemisinin in parasite killing.","author":[{"dropping-particle":"","family":"Wang","given":"Jigang","non-dropping-particle":"","parse-names":false,"suffix":""},{"dropping-particle":"","family":"Zhang","given":"Chong Jing","non-dropping-particle":"","parse-names":false,"suffix":""},{"dropping-particle":"","family":"Chia","given":"Wan Ni","non-dropping-particle":"","parse-names":false,"suffix":""},{"dropping-particle":"","family":"Loh","given":"Cheryl C.Y.","non-dropping-particle":"","parse-names":false,"suffix":""},{"dropping-particle":"","family":"Li","given":"Zhengjun","non-dropping-particle":"","parse-names":false,"suffix":""},{"dropping-particle":"","family":"Lee","given":"Yew Mun","non-dropping-particle":"","parse-names":false,"suffix":""},{"dropping-particle":"","family":"He","given":"Yingke","non-dropping-particle":"","parse-names":false,"suffix":""},{"dropping-particle":"","family":"Yuan","given":"Li Xia","non-dropping-particle":"","parse-names":false,"suffix":""},{"dropping-particle":"","family":"Lim","given":"Teck Kwang","non-dropping-particle":"","parse-names":false,"suffix":""},{"dropping-particle":"","family":"Liu","given":"Min","non-dropping-particle":"","parse-names":false,"suffix":""},{"dropping-particle":"","family":"Liew","given":"Chin Xia","non-dropping-particle":"","parse-names":false,"suffix":""},{"dropping-particle":"","family":"Lee","given":"Yan Quan","non-dropping-particle":"","parse-names":false,"suffix":""},{"dropping-particle":"","family":"Zhang","given":"Jianbin","non-dropping-particle":"","parse-names":false,"suffix":""},{"dropping-particle":"","family":"Lu","given":"Nianci","non-dropping-particle":"","parse-names":false,"suffix":""},{"dropping-particle":"","family":"Lim","given":"Chwee Teck","non-dropping-particle":"","parse-names":false,"suffix":""},{"dropping-particle":"","family":"Hua","given":"Zi Chun","non-dropping-particle":"","parse-names":false,"suffix":""},{"dropping-particle":"","family":"Liu","given":"Bin","non-dropping-particle":"","parse-names":false,"suffix":""},{"dropping-particle":"","family":"Shen","given":"Han Ming","non-dropping-particle":"","parse-names":false,"suffix":""},{"dropping-particle":"","family":"Tan","given":"Kevin S.W.","non-dropping-particle":"","parse-names":false,"suffix":""},{"dropping-particle":"","family":"Lin","given":"Qingsong","non-dropping-particle":"","parse-names":false,"suffix":""}],"container-title":"Nature Communications","id":"ITEM-2","issued":{"date-parts":[["2015"]]},"page":"10111","publisher":"Nature Publishing Group","title":"Haem-activated promiscuous targeting of artemisinin in Plasmodium falciparum","type":"article-journal","volume":"6"},"uris":["http://www.mendeley.com/documents/?uuid=6cba74ff-ed98-4467-838d-c44cfa117be4","http://www.mendeley.com/documents/?uuid=045c0bf2-ed03-43c7-a6e9-e9893c338873"]},{"id":"ITEM-3","itemData":{"DOI":"10.1126/science.3887571","ISSN":"00368075","PMID":"3887571","abstract":"The herb Artemisia annua has been used for many centuries in Chinese traditional medicine as a treatment for fever and malaria. In 1971, Chinese chemists isolated from the leafy portions of the plant the substance responsible for its reputed medicinal action. This compound, called qinghaosu (QHS, artemisinin), is a sesquiterpene lactone that bears a peroxide grouping and, unlike most other antimalarials, lacks a nitrogen-containing heterocyclic ring system. The compound has been used successfully in several thousand malaria patients in China, including those with both chloroquine-sensitive and chloroquine-resistant strains of Plasmodium falciparum. Derivatives of QHS, such as dihydroqinghaosu, artemether, and the water-soluble sodium artesunate, appear to be more potent than QHS itself. Sodium artesunate acts rapidly in restoring to consciousness comatose patients with cerebral malaria. Thus QHS and its derivatives offer promise as a totally new class of antimalarials.","author":[{"dropping-particle":"","family":"Klayman","given":"Daniel L.","non-dropping-particle":"","parse-names":false,"suffix":""}],"container-title":"Science","id":"ITEM-3","issue":"4703","issued":{"date-parts":[["1985"]]},"page":"1049-1055","title":"Qinghaosu (artemisinin): An antimalarial drug from China","type":"article-journal","volume":"228"},"uris":["http://www.mendeley.com/documents/?uuid=6756ce3f-2fd5-474e-ae09-68583c613dbf"]},{"id":"ITEM-4","itemData":{"DOI":"10.3390/molecules15031705","ISBN":"1420-3049","ISSN":"14203049","PMID":"20336009","abstract":"Despite international efforts to 'roll back malaria' the 2008 World Malaria Report revealed the disease still affects approximately 3 billion people in 109 countries; 45 within the WHO African region. The latest report however does provide some 'cautious optimism'; more than one third of malarious countries have documented greater than 50% reductions in malaria cases in 2008 compared to 2000. The goal of the Member States at the World Health Assembly and 'Roll Back Malaria' (RBM) partnership is to reduce the numbers of malaria cases and deaths recorded in 2000 by 50% or more by the end of 2010. Although malaria is preventable it is most prevalent in poorer countries where prevention is difficult and prophylaxis is generally not an option. The burden of disease has increased by the emergence of multi drug resistant (MDR) parasites which threatens the use of established and cost effective antimalarial agents. After a major change in treatment policies, artemisinins are now the frontline treatment to aid rapid clearance of parasitaemia and quick resolution of symptoms. Since artemisinin and its derivatives are eliminated rapidly, artemisinin combination therapies (ACT's) are now recommended to delay resistance mechanisms. In spite of these precautionary measures reduced susceptibility of parasites to the artemisinin-based component of ACT's has developed at the Thai-Cambodian border, a historical 'hot spot' for MDR parasite evolution and emergence. This development raises serious concerns for the future of the artemsinins and this is not helped by controversy related to the mode of action. Although a number of potential targets have been proposed the actual mechanism of action remains ambiguous. Interestingly, artemisinins have also shown potent and broad anticancer properties in cell lines and animal models and are becoming established as anti-schistosomal agents. In this review we will discuss the recent evidence explaining bioactivation and potential molecular targets in the chemotherapy of malaria and cancer. © 2010 by the authors.","author":[{"dropping-particle":"","family":"O'Neill","given":"Paul M.","non-dropping-particle":"","parse-names":false,"suffix":""},{"dropping-particle":"","family":"Barton","given":"Victoria E.","non-dropping-particle":"","parse-names":false,"suffix":""},{"dropping-particle":"","family":"Ward","given":"Stephen A.","non-dropping-particle":"","parse-names":false,"suffix":""}],"container-title":"Molecules","id":"ITEM-4","issue":"3","issued":{"date-parts":[["2010"]]},"page":"1705-1721","title":"The molecular mechanism of action of artemisinin - The debate continues","type":"article-journal","volume":"15"},"uris":["http://www.mendeley.com/documents/?uuid=ac4b3f7b-18ce-45a1-b5e5-7fd6912b5c5a","http://www.mendeley.com/documents/?uuid=8c97abbf-7497-4a04-a2d1-b6d25d368599"]}],"mendeley":{"formattedCitation":"&lt;sup&gt;41,46–48&lt;/sup&gt;","plainTextFormattedCitation":"41,46–48","previouslyFormattedCitation":"&lt;sup&gt;41,46–48&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41,46–48</w:t>
      </w:r>
      <w:r w:rsidRPr="00C07E8E">
        <w:rPr>
          <w:rFonts w:cs="Times New Roman"/>
          <w:color w:val="auto"/>
          <w:szCs w:val="22"/>
        </w:rPr>
        <w:fldChar w:fldCharType="end"/>
      </w:r>
    </w:p>
    <w:p w14:paraId="49DDC77C" w14:textId="4D3A8EA0" w:rsidR="00C40F77"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r>
      <w:r w:rsidR="007205FC" w:rsidRPr="00C07E8E">
        <w:rPr>
          <w:rFonts w:cs="Times New Roman"/>
          <w:color w:val="auto"/>
          <w:szCs w:val="22"/>
        </w:rPr>
        <w:t>In early investigations performed by Meshnick and co-workers</w:t>
      </w:r>
      <w:r w:rsidR="00DC006A">
        <w:rPr>
          <w:rFonts w:cs="Times New Roman"/>
          <w:color w:val="auto"/>
          <w:szCs w:val="22"/>
        </w:rPr>
        <w:t>,</w:t>
      </w:r>
      <w:r w:rsidR="007205FC" w:rsidRPr="00C07E8E">
        <w:rPr>
          <w:rFonts w:cs="Times New Roman"/>
          <w:color w:val="auto"/>
          <w:szCs w:val="22"/>
        </w:rPr>
        <w:t xml:space="preserve"> labeling studies using </w:t>
      </w:r>
      <w:r w:rsidR="007205FC" w:rsidRPr="00C07E8E">
        <w:rPr>
          <w:rFonts w:cs="Times New Roman"/>
          <w:color w:val="auto"/>
          <w:szCs w:val="22"/>
          <w:vertAlign w:val="superscript"/>
        </w:rPr>
        <w:t>14</w:t>
      </w:r>
      <w:r w:rsidR="007205FC" w:rsidRPr="00C07E8E">
        <w:rPr>
          <w:rFonts w:cs="Times New Roman"/>
          <w:color w:val="auto"/>
          <w:szCs w:val="22"/>
        </w:rPr>
        <w:t xml:space="preserve">C artemisinin </w:t>
      </w:r>
      <w:r w:rsidR="00E825D6" w:rsidRPr="00C07E8E">
        <w:rPr>
          <w:rFonts w:cs="Times New Roman"/>
          <w:color w:val="auto"/>
          <w:szCs w:val="22"/>
        </w:rPr>
        <w:t xml:space="preserve">and derivatives </w:t>
      </w:r>
      <w:r w:rsidR="007205FC" w:rsidRPr="00C07E8E">
        <w:rPr>
          <w:rFonts w:cs="Times New Roman"/>
          <w:color w:val="auto"/>
          <w:szCs w:val="22"/>
        </w:rPr>
        <w:t xml:space="preserve">in </w:t>
      </w:r>
      <w:r w:rsidR="007205FC" w:rsidRPr="00C07E8E">
        <w:rPr>
          <w:rFonts w:cs="Times New Roman"/>
          <w:i/>
          <w:iCs/>
          <w:color w:val="auto"/>
          <w:szCs w:val="22"/>
        </w:rPr>
        <w:t>Plasmodium falciparum</w:t>
      </w:r>
      <w:r w:rsidR="00E825D6" w:rsidRPr="00C07E8E">
        <w:rPr>
          <w:rFonts w:cs="Times New Roman"/>
          <w:color w:val="auto"/>
          <w:szCs w:val="22"/>
        </w:rPr>
        <w:t xml:space="preserve"> cultures</w:t>
      </w:r>
      <w:r w:rsidR="00DC006A">
        <w:rPr>
          <w:rFonts w:cs="Times New Roman"/>
          <w:color w:val="auto"/>
          <w:szCs w:val="22"/>
        </w:rPr>
        <w:t xml:space="preserve"> indicated that</w:t>
      </w:r>
      <w:r w:rsidR="00DC006A" w:rsidRPr="00C07E8E">
        <w:rPr>
          <w:rFonts w:cs="Times New Roman"/>
          <w:color w:val="auto"/>
          <w:szCs w:val="22"/>
        </w:rPr>
        <w:t xml:space="preserve"> </w:t>
      </w:r>
      <w:r w:rsidR="00E825D6" w:rsidRPr="00C07E8E">
        <w:rPr>
          <w:rFonts w:cs="Times New Roman"/>
          <w:color w:val="auto"/>
          <w:szCs w:val="22"/>
        </w:rPr>
        <w:t>there was a higher preference for the infected erythrocytes compared to the non-infected cells.</w:t>
      </w:r>
      <w:r w:rsidR="007205FC" w:rsidRPr="00C07E8E">
        <w:rPr>
          <w:rFonts w:cs="Times New Roman"/>
          <w:color w:val="auto"/>
          <w:szCs w:val="22"/>
        </w:rPr>
        <w:fldChar w:fldCharType="begin" w:fldLock="1"/>
      </w:r>
      <w:r w:rsidR="007125A3">
        <w:rPr>
          <w:rFonts w:cs="Times New Roman"/>
          <w:color w:val="auto"/>
          <w:szCs w:val="22"/>
        </w:rPr>
        <w:instrText>ADDIN CSL_CITATION {"citationItems":[{"id":"ITEM-1","itemData":{"DOI":"10.1016/0166-6851(91)90062-B","ISBN":"0166685191003","ISSN":"01666851","PMID":"1775162","abstract":"Artemisinin (qinghaosu), is a promising new antimalarial drug derived from an ancient Chinese herbal remedy. When [13-14C]artemisinin is added to cultures of Plasmodium falciparum, it is converted into a product with different solubility and chromatographic properties than the parent drug. Artemisinin reacts with hemin in aqueous solution to form an adduct with an apparent molecular weight of 914 which has identical chromatographic, solubility, and electrophoretic behavior to the parasite-derived product. The reaction between artemisinin and hemin, when carried out in the presence of red cell membranes, leads to the oxidation of protein thiols. Malarial parasites are rich in hemin; artemisinin's reactivity toward hemin may explain its selective toxicity to malarial parasites. © 1991.","author":[{"dropping-particle":"","family":"Meshnick","given":"Steven R.","non-dropping-particle":"","parse-names":false,"suffix":""},{"dropping-particle":"","family":"Thomas","given":"Abraham","non-dropping-particle":"","parse-names":false,"suffix":""},{"dropping-particle":"","family":"Ranz","given":"Allen","non-dropping-particle":"","parse-names":false,"suffix":""},{"dropping-particle":"","family":"Xu","given":"Cai Min","non-dropping-particle":"","parse-names":false,"suffix":""},{"dropping-particle":"","family":"Pan","given":"Hua Zhen","non-dropping-particle":"","parse-names":false,"suffix":""}],"container-title":"Molecular and Biochemical Parasitology","id":"ITEM-1","issue":"2","issued":{"date-parts":[["1991"]]},"page":"181-189","title":"Artemisinin (qinghaosu): the role of intracellular hemin in its mechanism of antimalarial action","type":"article-journal","volume":"49"},"uris":["http://www.mendeley.com/documents/?uuid=474a7cd0-6ed9-4ef1-a184-9605ad0799cd","http://www.mendeley.com/documents/?uuid=3341d3b4-3b0d-4756-a62c-fd1181ac3628"]}],"mendeley":{"formattedCitation":"&lt;sup&gt;49&lt;/sup&gt;","plainTextFormattedCitation":"49","previouslyFormattedCitation":"&lt;sup&gt;49&lt;/sup&gt;"},"properties":{"noteIndex":0},"schema":"https://github.com/citation-style-language/schema/raw/master/csl-citation.json"}</w:instrText>
      </w:r>
      <w:r w:rsidR="007205FC" w:rsidRPr="00C07E8E">
        <w:rPr>
          <w:rFonts w:cs="Times New Roman"/>
          <w:color w:val="auto"/>
          <w:szCs w:val="22"/>
        </w:rPr>
        <w:fldChar w:fldCharType="separate"/>
      </w:r>
      <w:r w:rsidR="007125A3" w:rsidRPr="007125A3">
        <w:rPr>
          <w:rFonts w:cs="Times New Roman"/>
          <w:noProof/>
          <w:color w:val="auto"/>
          <w:szCs w:val="22"/>
          <w:vertAlign w:val="superscript"/>
        </w:rPr>
        <w:t>49</w:t>
      </w:r>
      <w:r w:rsidR="007205FC" w:rsidRPr="00C07E8E">
        <w:rPr>
          <w:rFonts w:cs="Times New Roman"/>
          <w:color w:val="auto"/>
          <w:szCs w:val="22"/>
        </w:rPr>
        <w:fldChar w:fldCharType="end"/>
      </w:r>
      <w:r w:rsidR="007205FC" w:rsidRPr="00C07E8E">
        <w:rPr>
          <w:rFonts w:cs="Times New Roman"/>
          <w:color w:val="auto"/>
          <w:szCs w:val="22"/>
        </w:rPr>
        <w:t xml:space="preserve"> Subsequently, the same group demonstrated that heme could catalyse the reductive decomposition of artemisinin and its derivatives, also showing that the process was antagonized by iron chelators, both </w:t>
      </w:r>
      <w:r w:rsidR="007205FC" w:rsidRPr="00C07E8E">
        <w:rPr>
          <w:rFonts w:cs="Times New Roman"/>
          <w:i/>
          <w:iCs/>
          <w:color w:val="auto"/>
          <w:szCs w:val="22"/>
        </w:rPr>
        <w:t xml:space="preserve">in vitro </w:t>
      </w:r>
      <w:r w:rsidR="007205FC" w:rsidRPr="00C07E8E">
        <w:rPr>
          <w:rFonts w:cs="Times New Roman"/>
          <w:color w:val="auto"/>
          <w:szCs w:val="22"/>
        </w:rPr>
        <w:t xml:space="preserve">and </w:t>
      </w:r>
      <w:r w:rsidR="007205FC" w:rsidRPr="00C07E8E">
        <w:rPr>
          <w:rFonts w:cs="Times New Roman"/>
          <w:i/>
          <w:iCs/>
          <w:color w:val="auto"/>
          <w:szCs w:val="22"/>
        </w:rPr>
        <w:t>in vivo</w:t>
      </w:r>
      <w:r w:rsidR="007205FC" w:rsidRPr="00C07E8E">
        <w:rPr>
          <w:rFonts w:cs="Times New Roman"/>
          <w:color w:val="auto"/>
          <w:szCs w:val="22"/>
        </w:rPr>
        <w:t>.</w:t>
      </w:r>
      <w:r w:rsidR="007205FC" w:rsidRPr="00C07E8E">
        <w:rPr>
          <w:rFonts w:cs="Times New Roman"/>
          <w:color w:val="auto"/>
          <w:szCs w:val="22"/>
        </w:rPr>
        <w:fldChar w:fldCharType="begin" w:fldLock="1"/>
      </w:r>
      <w:r w:rsidR="007125A3">
        <w:rPr>
          <w:rFonts w:cs="Times New Roman"/>
          <w:color w:val="auto"/>
          <w:szCs w:val="22"/>
        </w:rPr>
        <w:instrText>ADDIN CSL_CITATION {"citationItems":[{"id":"ITEM-1","itemData":{"DOI":"10.1016/0006-2952(92)90713-S","ISSN":"00062952","PMID":"1575774","abstract":"Artemisinin (qinghaosu) and its derivatives represent an important new class of antimalarial drugs. Previous work suggests that the antimalarial activity of artemisinin may be mediated by a reaction with intraparasitic hemin. Using cyclic voltammetry, artemisinin and dihydroartemisinin were irreversibly reduced at approximately -1 V. In the presence of concentrations of hemin as low as 50 nM, the reduction took place at much lower potentials (-0.435 to -0.460 V). Both reductions took place after adsorption onto the electrode surface. The shift of the reduction potential to more positive values is indicative of a catalytic process similar to that seen with hydrogen peroxide. The catalytic decomposition of artemisinin may play a role in the antimalarial activity of artemisinin. © 1992.","author":[{"dropping-particle":"","family":"Zhang","given":"Feng","non-dropping-particle":"","parse-names":false,"suffix":""},{"dropping-particle":"","family":"Gosser","given":"David K.","non-dropping-particle":"","parse-names":false,"suffix":""},{"dropping-particle":"","family":"Meshnick","given":"Steven R.","non-dropping-particle":"","parse-names":false,"suffix":""}],"container-title":"Biochemical Pharmacology","id":"ITEM-1","issue":"8","issued":{"date-parts":[["1992"]]},"page":"1805-1809","title":"Hemin-catalyzed decomposition of artemisinin (qinghaosu)","type":"article-journal","volume":"43"},"uris":["http://www.mendeley.com/documents/?uuid=66cb80bf-4714-4651-8cb1-3669b27a6823","http://www.mendeley.com/documents/?uuid=0a1b6cca-e59d-486a-a111-bd4b83d433b1"]}],"mendeley":{"formattedCitation":"&lt;sup&gt;50&lt;/sup&gt;","plainTextFormattedCitation":"50","previouslyFormattedCitation":"&lt;sup&gt;50&lt;/sup&gt;"},"properties":{"noteIndex":0},"schema":"https://github.com/citation-style-language/schema/raw/master/csl-citation.json"}</w:instrText>
      </w:r>
      <w:r w:rsidR="007205FC" w:rsidRPr="00C07E8E">
        <w:rPr>
          <w:rFonts w:cs="Times New Roman"/>
          <w:color w:val="auto"/>
          <w:szCs w:val="22"/>
        </w:rPr>
        <w:fldChar w:fldCharType="separate"/>
      </w:r>
      <w:r w:rsidR="007125A3" w:rsidRPr="007125A3">
        <w:rPr>
          <w:rFonts w:cs="Times New Roman"/>
          <w:noProof/>
          <w:color w:val="auto"/>
          <w:szCs w:val="22"/>
          <w:vertAlign w:val="superscript"/>
        </w:rPr>
        <w:t>50</w:t>
      </w:r>
      <w:r w:rsidR="007205FC" w:rsidRPr="00C07E8E">
        <w:rPr>
          <w:rFonts w:cs="Times New Roman"/>
          <w:color w:val="auto"/>
          <w:szCs w:val="22"/>
        </w:rPr>
        <w:fldChar w:fldCharType="end"/>
      </w:r>
      <w:r w:rsidR="0061208F" w:rsidRPr="00C07E8E">
        <w:rPr>
          <w:rFonts w:cs="Times New Roman"/>
          <w:color w:val="auto"/>
          <w:szCs w:val="22"/>
        </w:rPr>
        <w:t xml:space="preserve"> </w:t>
      </w:r>
      <w:r w:rsidR="007205FC" w:rsidRPr="00C07E8E">
        <w:rPr>
          <w:rFonts w:cs="Times New Roman"/>
          <w:color w:val="auto"/>
          <w:szCs w:val="22"/>
        </w:rPr>
        <w:t>Meshnick</w:t>
      </w:r>
      <w:r w:rsidR="0061208F" w:rsidRPr="00C07E8E">
        <w:rPr>
          <w:rFonts w:cs="Times New Roman"/>
          <w:i/>
          <w:iCs/>
          <w:color w:val="auto"/>
          <w:szCs w:val="22"/>
        </w:rPr>
        <w:t xml:space="preserve"> et al.</w:t>
      </w:r>
      <w:r w:rsidR="0061208F" w:rsidRPr="00C07E8E">
        <w:rPr>
          <w:rFonts w:cs="Times New Roman"/>
          <w:color w:val="auto"/>
          <w:szCs w:val="22"/>
        </w:rPr>
        <w:fldChar w:fldCharType="begin" w:fldLock="1"/>
      </w:r>
      <w:r w:rsidR="007125A3">
        <w:rPr>
          <w:rFonts w:cs="Times New Roman"/>
          <w:color w:val="auto"/>
          <w:szCs w:val="22"/>
        </w:rPr>
        <w:instrText>ADDIN CSL_CITATION {"citationItems":[{"id":"ITEM-1","itemData":{"DOI":"10.1016/0166-6851(91)90062-B","ISBN":"0166685191003","ISSN":"01666851","PMID":"1775162","abstract":"Artemisinin (qinghaosu), is a promising new antimalarial drug derived from an ancient Chinese herbal remedy. When [13-14C]artemisinin is added to cultures of Plasmodium falciparum, it is converted into a product with different solubility and chromatographic properties than the parent drug. Artemisinin reacts with hemin in aqueous solution to form an adduct with an apparent molecular weight of 914 which has identical chromatographic, solubility, and electrophoretic behavior to the parasite-derived product. The reaction between artemisinin and hemin, when carried out in the presence of red cell membranes, leads to the oxidation of protein thiols. Malarial parasites are rich in hemin; artemisinin's reactivity toward hemin may explain its selective toxicity to malarial parasites. © 1991.","author":[{"dropping-particle":"","family":"Meshnick","given":"Steven R.","non-dropping-particle":"","parse-names":false,"suffix":""},{"dropping-particle":"","family":"Thomas","given":"Abraham","non-dropping-particle":"","parse-names":false,"suffix":""},{"dropping-particle":"","family":"Ranz","given":"Allen","non-dropping-particle":"","parse-names":false,"suffix":""},{"dropping-particle":"","family":"Xu","given":"Cai Min","non-dropping-particle":"","parse-names":false,"suffix":""},{"dropping-particle":"","family":"Pan","given":"Hua Zhen","non-dropping-particle":"","parse-names":false,"suffix":""}],"container-title":"Molecular and Biochemical Parasitology","id":"ITEM-1","issue":"2","issued":{"date-parts":[["1991"]]},"page":"181-189","title":"Artemisinin (qinghaosu): the role of intracellular hemin in its mechanism of antimalarial action","type":"article-journal","volume":"49"},"uris":["http://www.mendeley.com/documents/?uuid=474a7cd0-6ed9-4ef1-a184-9605ad0799cd","http://www.mendeley.com/documents/?uuid=3341d3b4-3b0d-4756-a62c-fd1181ac3628"]}],"mendeley":{"formattedCitation":"&lt;sup&gt;49&lt;/sup&gt;","plainTextFormattedCitation":"49","previouslyFormattedCitation":"&lt;sup&gt;49&lt;/sup&gt;"},"properties":{"noteIndex":0},"schema":"https://github.com/citation-style-language/schema/raw/master/csl-citation.json"}</w:instrText>
      </w:r>
      <w:r w:rsidR="0061208F" w:rsidRPr="00C07E8E">
        <w:rPr>
          <w:rFonts w:cs="Times New Roman"/>
          <w:color w:val="auto"/>
          <w:szCs w:val="22"/>
        </w:rPr>
        <w:fldChar w:fldCharType="separate"/>
      </w:r>
      <w:r w:rsidR="007125A3" w:rsidRPr="007125A3">
        <w:rPr>
          <w:rFonts w:cs="Times New Roman"/>
          <w:noProof/>
          <w:color w:val="auto"/>
          <w:szCs w:val="22"/>
          <w:vertAlign w:val="superscript"/>
        </w:rPr>
        <w:t>49</w:t>
      </w:r>
      <w:r w:rsidR="0061208F" w:rsidRPr="00C07E8E">
        <w:rPr>
          <w:rFonts w:cs="Times New Roman"/>
          <w:color w:val="auto"/>
          <w:szCs w:val="22"/>
        </w:rPr>
        <w:fldChar w:fldCharType="end"/>
      </w:r>
      <w:r w:rsidR="0061208F" w:rsidRPr="00C07E8E">
        <w:rPr>
          <w:rFonts w:cs="Times New Roman"/>
          <w:color w:val="auto"/>
          <w:szCs w:val="22"/>
        </w:rPr>
        <w:t xml:space="preserve">  </w:t>
      </w:r>
      <w:r w:rsidR="007205FC" w:rsidRPr="00C07E8E">
        <w:rPr>
          <w:rFonts w:cs="Times New Roman"/>
          <w:color w:val="auto"/>
          <w:szCs w:val="22"/>
        </w:rPr>
        <w:t xml:space="preserve">suggested that the </w:t>
      </w:r>
      <w:r w:rsidR="0061208F" w:rsidRPr="00C07E8E">
        <w:rPr>
          <w:rFonts w:cs="Times New Roman"/>
          <w:color w:val="auto"/>
          <w:szCs w:val="22"/>
        </w:rPr>
        <w:t>a</w:t>
      </w:r>
      <w:r w:rsidR="007205FC" w:rsidRPr="00C07E8E">
        <w:rPr>
          <w:rFonts w:cs="Times New Roman"/>
          <w:color w:val="auto"/>
          <w:szCs w:val="22"/>
        </w:rPr>
        <w:t xml:space="preserve">ctivation of artemisinin was triggered by </w:t>
      </w:r>
      <w:r w:rsidR="007541CF" w:rsidRPr="00C07E8E">
        <w:rPr>
          <w:rFonts w:cs="Times New Roman"/>
          <w:color w:val="auto"/>
          <w:szCs w:val="22"/>
        </w:rPr>
        <w:t>Fe</w:t>
      </w:r>
      <w:r w:rsidR="007205FC" w:rsidRPr="00C07E8E">
        <w:rPr>
          <w:rFonts w:cs="Times New Roman"/>
          <w:color w:val="auto"/>
          <w:szCs w:val="22"/>
        </w:rPr>
        <w:t xml:space="preserve">(II) to generate highly reactive species. </w:t>
      </w:r>
      <w:r w:rsidR="0061208F" w:rsidRPr="00C07E8E">
        <w:rPr>
          <w:rFonts w:cs="Times New Roman"/>
          <w:color w:val="auto"/>
          <w:szCs w:val="22"/>
        </w:rPr>
        <w:t>Eventually, these radicals could then</w:t>
      </w:r>
      <w:r w:rsidR="007205FC" w:rsidRPr="00C07E8E">
        <w:rPr>
          <w:rFonts w:cs="Times New Roman"/>
          <w:color w:val="auto"/>
          <w:szCs w:val="22"/>
        </w:rPr>
        <w:t xml:space="preserve"> </w:t>
      </w:r>
      <w:r w:rsidR="00BE6196" w:rsidRPr="00C07E8E">
        <w:rPr>
          <w:rFonts w:cs="Times New Roman"/>
          <w:color w:val="auto"/>
          <w:szCs w:val="22"/>
        </w:rPr>
        <w:t xml:space="preserve">induce </w:t>
      </w:r>
      <w:r w:rsidR="007205FC" w:rsidRPr="00C07E8E">
        <w:rPr>
          <w:rFonts w:cs="Times New Roman"/>
          <w:color w:val="auto"/>
          <w:szCs w:val="22"/>
        </w:rPr>
        <w:t>parasite</w:t>
      </w:r>
      <w:r w:rsidR="00DA2F24" w:rsidRPr="00C07E8E">
        <w:rPr>
          <w:rFonts w:cs="Times New Roman"/>
          <w:color w:val="auto"/>
          <w:szCs w:val="22"/>
        </w:rPr>
        <w:t xml:space="preserve"> death</w:t>
      </w:r>
      <w:r w:rsidR="007205FC" w:rsidRPr="00C07E8E">
        <w:rPr>
          <w:rFonts w:cs="Times New Roman"/>
          <w:color w:val="auto"/>
          <w:szCs w:val="22"/>
        </w:rPr>
        <w:t xml:space="preserve"> </w:t>
      </w:r>
      <w:r w:rsidR="0061208F" w:rsidRPr="00C07E8E">
        <w:rPr>
          <w:rFonts w:cs="Times New Roman"/>
          <w:color w:val="auto"/>
          <w:szCs w:val="22"/>
        </w:rPr>
        <w:t xml:space="preserve">by </w:t>
      </w:r>
      <w:r w:rsidR="007205FC" w:rsidRPr="00C07E8E">
        <w:rPr>
          <w:rFonts w:cs="Times New Roman"/>
          <w:color w:val="auto"/>
          <w:szCs w:val="22"/>
        </w:rPr>
        <w:t>alkylation o</w:t>
      </w:r>
      <w:r w:rsidR="0061208F" w:rsidRPr="00C07E8E">
        <w:rPr>
          <w:rFonts w:cs="Times New Roman"/>
          <w:color w:val="auto"/>
          <w:szCs w:val="22"/>
        </w:rPr>
        <w:t xml:space="preserve">f the </w:t>
      </w:r>
      <w:r w:rsidR="007205FC" w:rsidRPr="00C07E8E">
        <w:rPr>
          <w:rFonts w:cs="Times New Roman"/>
          <w:color w:val="auto"/>
          <w:szCs w:val="22"/>
        </w:rPr>
        <w:t>parasitic proteins</w:t>
      </w:r>
      <w:r w:rsidR="0061208F" w:rsidRPr="00C07E8E">
        <w:rPr>
          <w:rFonts w:cs="Times New Roman"/>
          <w:color w:val="auto"/>
          <w:szCs w:val="22"/>
        </w:rPr>
        <w:t xml:space="preserve"> and peroxidation of lipids of the membranes</w:t>
      </w:r>
      <w:r w:rsidR="00D3789A" w:rsidRPr="00C07E8E">
        <w:rPr>
          <w:rFonts w:cs="Times New Roman"/>
          <w:color w:val="auto"/>
          <w:szCs w:val="22"/>
        </w:rPr>
        <w:t>.</w:t>
      </w:r>
      <w:r w:rsidR="00D3789A" w:rsidRPr="00C07E8E">
        <w:rPr>
          <w:rFonts w:cstheme="minorHAnsi"/>
          <w:b/>
          <w:bCs/>
          <w:sz w:val="24"/>
        </w:rPr>
        <w:fldChar w:fldCharType="begin" w:fldLock="1"/>
      </w:r>
      <w:r w:rsidR="00CA5C6A">
        <w:rPr>
          <w:rFonts w:cstheme="minorHAnsi"/>
          <w:b/>
          <w:bCs/>
          <w:sz w:val="24"/>
        </w:rPr>
        <w:instrText>ADDIN CSL_CITATION {"citationItems":[{"id":"ITEM-1","itemData":{"DOI":"10.1042/BJ20060986","ISBN":"1470-8728 (Electronic)\\r0264-6021 (Linking)","ISSN":"02646021","PMID":"17044814","abstract":"The intraerythrocytic malaria parasite constructs an intracellular haem crystal, called haemozoin, within an acidic digestive vacuole where haemoglobin is degraded. Haem crystallization is the target of the widely used antimalarial quinoline drugs. The intracellular mechanism of molecular initiation of haem crystallization, whether by proteins, polar membrane lipids or by neutral lipids, has not been fully substantiated. In the present study, we show neutral lipid predominant nanospheres, which envelop haemozoin inside Plasmodium falciparum digestive vacuoles. Subcellular fractionation of parasite-derived haemozoin through a dense 1.7 M sucrose cushion identifies monoacylglycerol and diacylglycerol neutral lipids as well as some polar lipids in close association with the purified haemozoin. Global MS lipidomics detects monopalmitic glycerol and monostearic glycerol, but not mono-oleic glycerol, closely associated with haemozoin. The complex neutral lipid mixture rapidly initiates haem crystallization, with reversible pH-dependent quinoline inhibition associated with quinoline entry into the neutral lipid microenvironment. Neutral lipid nanospheres both enable haem crystallization in the presence of high globin concentrations and protect haem from H2O2 degradation. Conceptually, the present study shifts the intracellular microenvironment of haem crystallization and quinoline inhibition from a polar aqueous location to a non-polar neutral lipid nanosphere able to exclude water for efficient haem crystallization.","author":[{"dropping-particle":"","family":"Pisciotta","given":"John M","non-dropping-particle":"","parse-names":false,"suffix":""},{"dropping-particle":"","family":"Coppens","given":"Isabelle","non-dropping-particle":"","parse-names":false,"suffix":""},{"dropping-particle":"","family":"Tripathi","given":"Abhai K","non-dropping-particle":"","parse-names":false,"suffix":""},{"dropping-particle":"","family":"Scholl","given":"Peter F","non-dropping-particle":"","parse-names":false,"suffix":""},{"dropping-particle":"","family":"Shuman","given":"Joel","non-dropping-particle":"","parse-names":false,"suffix":""},{"dropping-particle":"","family":"Bajad","given":"Sunil","non-dropping-particle":"","parse-names":false,"suffix":""},{"dropping-particle":"","family":"Shulaev","given":"Vladimir","non-dropping-particle":"","parse-names":false,"suffix":""},{"dropping-particle":"","family":"Sullivan","given":"David J","non-dropping-particle":"","parse-names":false,"suffix":""}],"container-title":"The Biochemical journal","id":"ITEM-1","issued":{"date-parts":[["2007"]]},"page":"197-204","title":"The role of neutral lipid nanospheres in Plasmodium falciparum haem crystallization","type":"article-journal","volume":"402"},"uris":["http://www.mendeley.com/documents/?uuid=8af375d4-d48a-4189-bdb7-79df671bbf01"]},{"id":"ITEM-2","itemData":{"DOI":"10.1128/AAC.00609-07","ISSN":"00664804","PMID":"17938190","abstract":"Artermisinin and its derivatives are now the mainstays of antimalarial treatment; however, their mechanism of action is only poorly understood. We report on the synthesis of a novel series of epoxy-endoperoxides that can be prepared in high yields from simple starting materials. Endoperoxides that are disubstituted with alkyl or benzyl side chains show efficient inhibition of the growth of both chloroquine-sensitive and -resistant strains of Plasmodium falciparum. A trans-epoxide with respect to the peroxide linkage increases the activity compared to that of its cis-epoxy counterpart or the parent endoperoxide. The novel endoperoxides do not show a strong interaction with artemisinin. We have compared the mechanism of action of the novel endoperoxides with that of artemisinin. Electron microscopy reveals that the novel endoperoxides cause the early accumulation of endocytic vesicles, while artemisinin causes the disruption of the digestive vacuole membrane. At longer incubation times artemisinin causes extensive loss of organellar structures, while the novel endoperoxides cause myelin body formation as well as the accumulation of endocytic vesicles. An early event following endoperoxide treatment is the redistribution of the pH-sensitive probe LysoSensor Blue from the digestive vacuole to punctate structures. By contrast, neither artemisinin nor the novel endoperoxides caused alterations in the morphology of the endoplasmic reticulum nor showed antagonistic antimalarial activity when they were used with thapsigargin. Analysis of rhodamine 123 uptake by P. falciparum suggests that disruption of the mitochondrial membrane potential occurs as a downstream effect rather than as an initiator of parasite killing. The data suggest that the digestive vacuole is an important initial site of endoperoxide antimalarial activity. Copyright © 2008, American Society for Microbiology. All Rights Reserved.","author":[{"dropping-particle":"","family":"Crespo","given":"Maria Del Pilar","non-dropping-particle":"","parse-names":false,"suffix":""},{"dropping-particle":"","family":"Avery","given":"Thomas D.","non-dropping-particle":"","parse-names":false,"suffix":""},{"dropping-particle":"","family":"Hanssen","given":"Eric","non-dropping-particle":"","parse-names":false,"suffix":""},{"dropping-particle":"","family":"Fox","given":"Emma","non-dropping-particle":"","parse-names":false,"suffix":""},{"dropping-particle":"V.","family":"Robinson","given":"Tony","non-dropping-particle":"","parse-names":false,"suffix":""},{"dropping-particle":"","family":"Valente","given":"Peter","non-dropping-particle":"","parse-names":false,"suffix":""},{"dropping-particle":"","family":"Taylor","given":"Dennis K.","non-dropping-particle":"","parse-names":false,"suffix":""},{"dropping-particle":"","family":"Tilley","given":"Leann","non-dropping-particle":"","parse-names":false,"suffix":""},{"dropping-particle":"","family":"Crespo","given":"Pilar","non-dropping-particle":"","parse-names":false,"suffix":""},{"dropping-particle":"","family":"Avery","given":"Thomas D.","non-dropping-particle":"","parse-names":false,"suffix":""},{"dropping-particle":"","family":"Hanssen","given":"Eric","non-dropping-particle":"","parse-names":false,"suffix":""},{"dropping-particle":"","family":"Fox","given":"Emma","non-dropping-particle":"","parse-names":false,"suffix":""},{"dropping-particle":"V.","family":"Robinson","given":"Tony","non-dropping-particle":"","parse-names":false,"suffix":""},{"dropping-particle":"","family":"Valente","given":"Peter","non-dropping-particle":"","parse-names":false,"suffix":""},{"dropping-particle":"","family":"Taylor","given":"Dennis K.","non-dropping-particle":"","parse-names":false,"suffix":""},{"dropping-particle":"","family":"Tilley","given":"Leann","non-dropping-particle":"","parse-names":false,"suffix":""}],"container-title":"Antimicrobial Agents and Chemotherapy","id":"ITEM-2","issue":"1","issued":{"date-parts":[["2008"]]},"page":"98-109","title":"Artemisinin and a series of novel endoperoxide antimalarials exert early effects on digestive vacuole morphology","type":"article-journal","volume":"52"},"uris":["http://www.mendeley.com/documents/?uuid=d4e58e74-ca1b-4c7e-ad67-eb508ac2208d"]},{"id":"ITEM-3","itemData":{"DOI":"10.1093/jac/dkt486","ISSN":"14602091","PMID":"24335485","abstract":"Objectives: Artemisinin and artemisinin semi-synthetic derivatives (collectively known as endoperoxides) are first-line antimalarials for the treatment of uncomplicated and severe malaria. Endoperoxides display very fast killing rates and are generally recalcitrant to parasite resistance development. These key pharmacodynamic features are a result of a complex mechanism of action, the details of which lack consensus. Here, we report on the primary physiological events leading to parasite death. Methods: Parasite mitochondrial (δΨm) and plasma membrane (δΨp) electrochemical potentials were measured using real-time single-cell imaging following exposure to pharmacologically relevant concentrations of endoperoxides (artemisinin, dihydroartemisinin, artesunate and the synthetic tetraoxane RKA182). In addition, mitochondrial electron transport chain components NADH:quinone oxidoreductase (alternative complex I), bc1 (complex III) and cytochrome oxidase (complex IV) were investigated to determine their functional sensitivity to the various endoperoxides. Results: Parasite exposure to endoperoxides resulted in rapid depolarization of parasite δΨm and δΨp. The rate of depolarization was decreased in the presence of a reactive oxygen species (ROS) scavenger and Fe. 3+ chelators. Depolarization of δΨm by endoperoxides is not believed to be through the inhibition of mitochondrial electron transport chain components, owing to the lack of significant inhibition when assayed directly. Conclusions: The depolarization of δΨm and δΨp is shown to be mediated via the generation of ROS that are initiated by iron bioactivation of endoperoxides and/or catalysed by iron-dependent oxidative stress. These data are discussed in the context of current hypotheses concerning the mode of action of endoperoxides. © The Author 2013. Published by Oxford University Press on behalf of the British Society for Antimicrobial Chemotherapy. All rights reserved.","author":[{"dropping-particle":"","family":"Antoine","given":"Thomas","non-dropping-particle":"","parse-names":false,"suffix":""},{"dropping-particle":"","family":"Fisher","given":"Nicholas","non-dropping-particle":"","parse-names":false,"suffix":""},{"dropping-particle":"","family":"Amewu","given":"Richard","non-dropping-particle":"","parse-names":false,"suffix":""},{"dropping-particle":"","family":"O'Neill","given":"Paul M.","non-dropping-particle":"","parse-names":false,"suffix":""},{"dropping-particle":"","family":"Ward","given":"Stephen A.","non-dropping-particle":"","parse-names":false,"suffix":""},{"dropping-particle":"","family":"Biagini","given":"Giancarlo A.","non-dropping-particle":"","parse-names":false,"suffix":""},{"dropping-particle":"","family":"Neill","given":"Paul M O","non-dropping-particle":"","parse-names":false,"suffix":""},{"dropping-particle":"","family":"Ward","given":"Stephen A.","non-dropping-particle":"","parse-names":false,"suffix":""},{"dropping-particle":"","family":"Biagini","given":"Giancarlo A.","non-dropping-particle":"","parse-names":false,"suffix":""}],"container-title":"Journal of Antimicrobial Chemotherapy","id":"ITEM-3","issue":"4","issued":{"date-parts":[["2014"]]},"page":"1005-1016","title":"Rapid kill of malaria parasites by artemisinin and semi-synthetic endoperoxides involves ROS-dependent depolarization of the membrane potential","type":"article-journal","volume":"69"},"uris":["http://www.mendeley.com/documents/?uuid=c3a6fc7c-18da-4002-b1d8-b49f1cb56c50"]},{"id":"ITEM-4","itemData":{"DOI":"10.1371/journal.pone.0009582","author":[{"dropping-particle":"","family":"Wang","given":"Juan","non-dropping-particle":"","parse-names":false,"suffix":""},{"dropping-particle":"","family":"Huang","given":"Liying","non-dropping-particle":"","parse-names":false,"suffix":""},{"dropping-particle":"","family":"Li","given":"Jian","non-dropping-particle":"","parse-names":false,"suffix":""},{"dropping-particle":"","family":"Fan","given":"Qiangwang","non-dropping-particle":"","parse-names":false,"suffix":""},{"dropping-particle":"","family":"Long","given":"Yicheng","non-dropping-particle":"","parse-names":false,"suffix":""},{"dropping-particle":"","family":"Li","given":"Ying","non-dropping-particle":"","parse-names":false,"suffix":""},{"dropping-particle":"","family":"Zhou","given":"Bing","non-dropping-particle":"","parse-names":false,"suffix":""}],"container-title":"Plos ONE","id":"ITEM-4","issue":"3","issued":{"date-parts":[["2010"]]},"page":"1-12","title":"Artemisinin Directly Targets Malarial Mitochondria through Its Specific Mitochondrial Activation","type":"article-journal","volume":"5"},"uris":["http://www.mendeley.com/documents/?uuid=2226ae39-e490-4eb7-ab6f-081400d6af46"]}],"mendeley":{"formattedCitation":"&lt;sup&gt;51–54&lt;/sup&gt;","plainTextFormattedCitation":"51–54","previouslyFormattedCitation":"&lt;sup&gt;51–54&lt;/sup&gt;"},"properties":{"noteIndex":0},"schema":"https://github.com/citation-style-language/schema/raw/master/csl-citation.json"}</w:instrText>
      </w:r>
      <w:r w:rsidR="00D3789A" w:rsidRPr="00C07E8E">
        <w:rPr>
          <w:rFonts w:cstheme="minorHAnsi"/>
          <w:b/>
          <w:bCs/>
          <w:sz w:val="24"/>
        </w:rPr>
        <w:fldChar w:fldCharType="separate"/>
      </w:r>
      <w:r w:rsidR="007125A3" w:rsidRPr="007125A3">
        <w:rPr>
          <w:rFonts w:cstheme="minorHAnsi"/>
          <w:bCs/>
          <w:noProof/>
          <w:sz w:val="24"/>
          <w:vertAlign w:val="superscript"/>
        </w:rPr>
        <w:t>51–54</w:t>
      </w:r>
      <w:r w:rsidR="00D3789A" w:rsidRPr="00C07E8E">
        <w:rPr>
          <w:rFonts w:cstheme="minorHAnsi"/>
          <w:b/>
          <w:bCs/>
          <w:sz w:val="24"/>
        </w:rPr>
        <w:fldChar w:fldCharType="end"/>
      </w:r>
      <w:r w:rsidR="007205FC" w:rsidRPr="00C07E8E">
        <w:rPr>
          <w:rFonts w:cs="Times New Roman"/>
          <w:color w:val="auto"/>
          <w:szCs w:val="22"/>
        </w:rPr>
        <w:t xml:space="preserve"> Since these initial discoveries, two different hypotheses have been proposed to explain artemisinin's bioactivation and its derivatives: </w:t>
      </w:r>
    </w:p>
    <w:p w14:paraId="5C3AAB80" w14:textId="1FCC8168" w:rsidR="007205FC"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r>
      <w:r w:rsidRPr="00C07E8E">
        <w:rPr>
          <w:rFonts w:cs="Times New Roman"/>
          <w:b/>
          <w:bCs/>
          <w:color w:val="auto"/>
          <w:szCs w:val="22"/>
        </w:rPr>
        <w:t>a) reductive scission</w:t>
      </w:r>
      <w:r w:rsidRPr="00C07E8E">
        <w:rPr>
          <w:rFonts w:cs="Times New Roman"/>
          <w:color w:val="auto"/>
          <w:szCs w:val="22"/>
        </w:rPr>
        <w:t xml:space="preserve">: </w:t>
      </w:r>
      <w:r w:rsidR="00C40F77" w:rsidRPr="00C07E8E">
        <w:rPr>
          <w:rFonts w:cs="Times New Roman"/>
          <w:color w:val="auto"/>
          <w:szCs w:val="22"/>
        </w:rPr>
        <w:t xml:space="preserve">Due to the asymmetric peroxide bond in artemisinin </w:t>
      </w:r>
      <w:r w:rsidR="00C40F77" w:rsidRPr="00C07E8E">
        <w:rPr>
          <w:rFonts w:cs="Times New Roman"/>
          <w:b/>
          <w:bCs/>
          <w:color w:val="auto"/>
          <w:szCs w:val="22"/>
        </w:rPr>
        <w:t>1</w:t>
      </w:r>
      <w:r w:rsidR="00C40F77" w:rsidRPr="007370A6">
        <w:rPr>
          <w:rFonts w:cs="Times New Roman"/>
          <w:color w:val="auto"/>
          <w:szCs w:val="22"/>
        </w:rPr>
        <w:t>,</w:t>
      </w:r>
      <w:r w:rsidR="00C40F77" w:rsidRPr="00C07E8E">
        <w:rPr>
          <w:rFonts w:cs="Times New Roman"/>
          <w:b/>
          <w:bCs/>
          <w:color w:val="auto"/>
          <w:szCs w:val="22"/>
        </w:rPr>
        <w:t xml:space="preserve"> </w:t>
      </w:r>
      <w:r w:rsidRPr="00C07E8E">
        <w:rPr>
          <w:rFonts w:cs="Times New Roman"/>
          <w:color w:val="auto"/>
          <w:szCs w:val="22"/>
        </w:rPr>
        <w:t>the oxygen atoms</w:t>
      </w:r>
      <w:r w:rsidR="00A426E0" w:rsidRPr="00C07E8E">
        <w:rPr>
          <w:rFonts w:cs="Times New Roman"/>
          <w:color w:val="auto"/>
          <w:szCs w:val="22"/>
        </w:rPr>
        <w:t xml:space="preserve"> </w:t>
      </w:r>
      <w:r w:rsidRPr="00C07E8E">
        <w:rPr>
          <w:rFonts w:cs="Times New Roman"/>
          <w:color w:val="auto"/>
          <w:szCs w:val="22"/>
        </w:rPr>
        <w:t xml:space="preserve">can interact with </w:t>
      </w:r>
      <w:r w:rsidR="00C40F77" w:rsidRPr="00C07E8E">
        <w:rPr>
          <w:rFonts w:cs="Times New Roman"/>
          <w:color w:val="auto"/>
          <w:szCs w:val="22"/>
        </w:rPr>
        <w:t>Fe(II)</w:t>
      </w:r>
      <w:r w:rsidRPr="00C07E8E">
        <w:rPr>
          <w:rFonts w:cs="Times New Roman"/>
          <w:color w:val="auto"/>
          <w:szCs w:val="22"/>
        </w:rPr>
        <w:t xml:space="preserve"> ions in two different</w:t>
      </w:r>
      <w:r w:rsidR="00C40F77" w:rsidRPr="00C07E8E">
        <w:rPr>
          <w:rFonts w:cs="Times New Roman"/>
          <w:color w:val="auto"/>
          <w:szCs w:val="22"/>
        </w:rPr>
        <w:t xml:space="preserve"> pathways</w:t>
      </w:r>
      <w:r w:rsidRPr="00C07E8E">
        <w:rPr>
          <w:rFonts w:cs="Times New Roman"/>
          <w:color w:val="auto"/>
          <w:szCs w:val="22"/>
        </w:rPr>
        <w:t xml:space="preserve">: 1) Association of ferrous iron or heme with peroxide oxygen </w:t>
      </w:r>
      <w:r w:rsidRPr="00C07E8E">
        <w:rPr>
          <w:rFonts w:cs="Times New Roman"/>
          <w:b/>
          <w:bCs/>
          <w:color w:val="auto"/>
          <w:szCs w:val="22"/>
        </w:rPr>
        <w:t>O1</w:t>
      </w:r>
      <w:r w:rsidRPr="00C07E8E">
        <w:rPr>
          <w:rFonts w:cs="Times New Roman"/>
          <w:color w:val="auto"/>
          <w:szCs w:val="22"/>
        </w:rPr>
        <w:t xml:space="preserve"> gives an oxy radical that rearranges through C-C bond scission (β-scission) to provide a primary carbon-centred radical </w:t>
      </w:r>
      <w:r w:rsidR="00BF291B">
        <w:rPr>
          <w:rFonts w:cs="Times New Roman"/>
          <w:b/>
          <w:bCs/>
          <w:color w:val="auto"/>
          <w:szCs w:val="22"/>
        </w:rPr>
        <w:t>7</w:t>
      </w:r>
      <w:r w:rsidRPr="00C07E8E">
        <w:rPr>
          <w:rFonts w:cs="Times New Roman"/>
          <w:color w:val="auto"/>
          <w:szCs w:val="22"/>
        </w:rPr>
        <w:t xml:space="preserve"> (</w:t>
      </w:r>
      <w:r w:rsidRPr="00C07E8E">
        <w:rPr>
          <w:rFonts w:cs="Times New Roman"/>
          <w:b/>
          <w:bCs/>
          <w:color w:val="auto"/>
          <w:szCs w:val="22"/>
        </w:rPr>
        <w:t>Scheme 1, a</w:t>
      </w:r>
      <w:r w:rsidRPr="00C07E8E">
        <w:rPr>
          <w:rFonts w:cs="Times New Roman"/>
          <w:color w:val="auto"/>
          <w:szCs w:val="22"/>
        </w:rPr>
        <w:t>). This carbon radical could react with heme, forming a heme-peroxide adduct, thus stopping β-hematin (hemozoin) formation</w:t>
      </w:r>
      <w:r w:rsidRPr="00C07E8E">
        <w:rPr>
          <w:rFonts w:cs="Times New Roman"/>
          <w:color w:val="auto"/>
          <w:szCs w:val="22"/>
        </w:rPr>
        <w:fldChar w:fldCharType="begin" w:fldLock="1"/>
      </w:r>
      <w:r w:rsidR="007125A3">
        <w:rPr>
          <w:rFonts w:cs="Times New Roman"/>
          <w:color w:val="auto"/>
          <w:szCs w:val="22"/>
        </w:rPr>
        <w:instrText>ADDIN CSL_CITATION {"citationItems":[{"id":"ITEM-1","itemData":{"DOI":"10.1128/AAC.00239-07","ISSN":"00664804","PMID":"17698628","abstract":"Trioxaquines, potential antimalarial agents, and heme-artemisinin adducts, resulting from the alkylation of heme by artemisinin, were evaluated as inhibitors of β-hematin formation in 10 M acetate medium at pH 5. Copyright © 2007, American Society for Microbiology. All Rights Reserved.","author":[{"dropping-particle":"","family":"Loup","given":"Christophe","non-dropping-particle":"","parse-names":false,"suffix":""},{"dropping-particle":"","family":"Lelièvre","given":"Joël","non-dropping-particle":"","parse-names":false,"suffix":""},{"dropping-particle":"","family":"Benoit-Vical","given":"Françoise","non-dropping-particle":"","parse-names":false,"suffix":""},{"dropping-particle":"","family":"Meunier","given":"Bernard","non-dropping-particle":"","parse-names":false,"suffix":""}],"container-title":"Antimicrobial Agents and Chemotherapy","id":"ITEM-1","issue":"10","issued":{"date-parts":[["2007"]]},"page":"3768-3770","title":"Trioxaquines and heme-artemisinin adducts inhibit the in vitro formation of hemozoin better than chloroquine","type":"article-journal","volume":"51"},"uris":["http://www.mendeley.com/documents/?uuid=fbd82de3-9367-49a1-80e6-c0321fdb8d6f","http://www.mendeley.com/documents/?uuid=2522f9a1-4fe2-4172-97bd-c2d43eb3a1a5"]}],"mendeley":{"formattedCitation":"&lt;sup&gt;55&lt;/sup&gt;","plainTextFormattedCitation":"55","previouslyFormattedCitation":"&lt;sup&gt;55&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55</w:t>
      </w:r>
      <w:r w:rsidRPr="00C07E8E">
        <w:rPr>
          <w:rFonts w:cs="Times New Roman"/>
          <w:color w:val="auto"/>
          <w:szCs w:val="22"/>
        </w:rPr>
        <w:fldChar w:fldCharType="end"/>
      </w:r>
      <w:r w:rsidRPr="00C07E8E">
        <w:rPr>
          <w:rFonts w:cs="Times New Roman"/>
          <w:color w:val="auto"/>
          <w:szCs w:val="22"/>
        </w:rPr>
        <w:t xml:space="preserve">; or </w:t>
      </w:r>
      <w:r w:rsidR="00E02E58">
        <w:rPr>
          <w:rFonts w:cs="Times New Roman"/>
          <w:color w:val="auto"/>
          <w:szCs w:val="22"/>
        </w:rPr>
        <w:t>promote</w:t>
      </w:r>
      <w:r w:rsidR="00E02E58" w:rsidRPr="00C07E8E">
        <w:rPr>
          <w:rFonts w:cs="Times New Roman"/>
          <w:color w:val="auto"/>
          <w:szCs w:val="22"/>
        </w:rPr>
        <w:t xml:space="preserve"> </w:t>
      </w:r>
      <w:r w:rsidRPr="00C07E8E">
        <w:rPr>
          <w:rFonts w:cs="Times New Roman"/>
          <w:color w:val="auto"/>
          <w:szCs w:val="22"/>
        </w:rPr>
        <w:t xml:space="preserve">protein alkylation. </w:t>
      </w:r>
      <w:r w:rsidR="00A426E0" w:rsidRPr="00C07E8E">
        <w:rPr>
          <w:rFonts w:cs="Times New Roman"/>
          <w:color w:val="auto"/>
          <w:szCs w:val="22"/>
        </w:rPr>
        <w:t>Detection of</w:t>
      </w:r>
      <w:r w:rsidRPr="00C07E8E">
        <w:rPr>
          <w:rFonts w:cs="Times New Roman"/>
          <w:color w:val="auto"/>
          <w:szCs w:val="22"/>
        </w:rPr>
        <w:t xml:space="preserve"> ring-contracted tetrahydrofuran (RCT) product</w:t>
      </w:r>
      <w:r w:rsidR="00D52B17" w:rsidRPr="00C07E8E">
        <w:rPr>
          <w:rFonts w:cs="Times New Roman"/>
          <w:color w:val="auto"/>
          <w:szCs w:val="22"/>
        </w:rPr>
        <w:t xml:space="preserve"> </w:t>
      </w:r>
      <w:r w:rsidR="00BF291B">
        <w:rPr>
          <w:rFonts w:cs="Times New Roman"/>
          <w:b/>
          <w:bCs/>
          <w:color w:val="auto"/>
          <w:szCs w:val="22"/>
        </w:rPr>
        <w:t>8</w:t>
      </w:r>
      <w:r w:rsidR="00A426E0" w:rsidRPr="00C07E8E">
        <w:rPr>
          <w:rFonts w:cs="Times New Roman"/>
          <w:b/>
          <w:bCs/>
          <w:color w:val="auto"/>
          <w:szCs w:val="22"/>
        </w:rPr>
        <w:t xml:space="preserve"> </w:t>
      </w:r>
      <w:r w:rsidR="00A426E0" w:rsidRPr="00C07E8E">
        <w:rPr>
          <w:rFonts w:cs="Times New Roman"/>
          <w:color w:val="auto"/>
          <w:szCs w:val="22"/>
        </w:rPr>
        <w:t>supports the hypothesis of the generation of the radical species</w:t>
      </w:r>
      <w:r w:rsidRPr="00C07E8E">
        <w:rPr>
          <w:rFonts w:cs="Times New Roman"/>
          <w:color w:val="auto"/>
          <w:szCs w:val="22"/>
        </w:rPr>
        <w:t xml:space="preserve">. Alternatively, the reaction of ferrous iron or heme with peroxide oxygen </w:t>
      </w:r>
      <w:r w:rsidRPr="00C07E8E">
        <w:rPr>
          <w:rFonts w:cs="Times New Roman"/>
          <w:b/>
          <w:bCs/>
          <w:color w:val="auto"/>
          <w:szCs w:val="22"/>
        </w:rPr>
        <w:t>O2</w:t>
      </w:r>
      <w:r w:rsidRPr="00C07E8E">
        <w:rPr>
          <w:rFonts w:cs="Times New Roman"/>
          <w:color w:val="auto"/>
          <w:szCs w:val="22"/>
        </w:rPr>
        <w:t xml:space="preserve"> provides a</w:t>
      </w:r>
      <w:r w:rsidR="00E02E58">
        <w:rPr>
          <w:rFonts w:cs="Times New Roman"/>
          <w:color w:val="auto"/>
          <w:szCs w:val="22"/>
        </w:rPr>
        <w:t xml:space="preserve">n </w:t>
      </w:r>
      <w:r w:rsidR="00E02E58" w:rsidRPr="00C07E8E">
        <w:rPr>
          <w:rFonts w:cs="Times New Roman"/>
          <w:color w:val="auto"/>
          <w:szCs w:val="22"/>
        </w:rPr>
        <w:t>oxy</w:t>
      </w:r>
      <w:r w:rsidRPr="00C07E8E">
        <w:rPr>
          <w:rFonts w:cs="Times New Roman"/>
          <w:color w:val="auto"/>
          <w:szCs w:val="22"/>
        </w:rPr>
        <w:t xml:space="preserve"> radical species that, through a 1,5-hydrogen shift, </w:t>
      </w:r>
      <w:r w:rsidR="00E02E58" w:rsidRPr="00C07E8E">
        <w:rPr>
          <w:rFonts w:cs="Times New Roman"/>
          <w:color w:val="auto"/>
          <w:szCs w:val="22"/>
        </w:rPr>
        <w:t>generat</w:t>
      </w:r>
      <w:r w:rsidR="00E02E58">
        <w:rPr>
          <w:rFonts w:cs="Times New Roman"/>
          <w:color w:val="auto"/>
          <w:szCs w:val="22"/>
        </w:rPr>
        <w:t>es</w:t>
      </w:r>
      <w:r w:rsidR="00E02E58" w:rsidRPr="00C07E8E">
        <w:rPr>
          <w:rFonts w:cs="Times New Roman"/>
          <w:color w:val="auto"/>
          <w:szCs w:val="22"/>
        </w:rPr>
        <w:t xml:space="preserve"> </w:t>
      </w:r>
      <w:r w:rsidRPr="00C07E8E">
        <w:rPr>
          <w:rFonts w:cs="Times New Roman"/>
          <w:color w:val="auto"/>
          <w:szCs w:val="22"/>
        </w:rPr>
        <w:t xml:space="preserve">a secondary carbon-centred radical </w:t>
      </w:r>
      <w:r w:rsidR="00BF291B">
        <w:rPr>
          <w:rFonts w:cs="Times New Roman"/>
          <w:b/>
          <w:bCs/>
          <w:color w:val="auto"/>
          <w:szCs w:val="22"/>
        </w:rPr>
        <w:t>9</w:t>
      </w:r>
      <w:r w:rsidRPr="00C07E8E">
        <w:rPr>
          <w:rFonts w:cs="Times New Roman"/>
          <w:color w:val="auto"/>
          <w:szCs w:val="22"/>
        </w:rPr>
        <w:t xml:space="preserve">. This secondary </w:t>
      </w:r>
      <w:r w:rsidRPr="00C07E8E">
        <w:rPr>
          <w:rFonts w:cs="Times New Roman"/>
          <w:i/>
          <w:iCs/>
          <w:color w:val="auto"/>
          <w:szCs w:val="22"/>
        </w:rPr>
        <w:t>C</w:t>
      </w:r>
      <w:r w:rsidRPr="00C07E8E">
        <w:rPr>
          <w:rFonts w:cs="Times New Roman"/>
          <w:color w:val="auto"/>
          <w:szCs w:val="22"/>
        </w:rPr>
        <w:t>-centred radical could promote a nearby substrate's alkylation, or it could rearrange to form the hydroxydeoxoartemisinin product (</w:t>
      </w:r>
      <w:r w:rsidR="00A55C97" w:rsidRPr="00C07E8E">
        <w:rPr>
          <w:rFonts w:cs="Times New Roman"/>
          <w:color w:val="auto"/>
          <w:szCs w:val="22"/>
        </w:rPr>
        <w:t xml:space="preserve">HDA </w:t>
      </w:r>
      <w:r w:rsidR="00BF291B">
        <w:rPr>
          <w:rFonts w:cs="Times New Roman"/>
          <w:b/>
          <w:bCs/>
          <w:color w:val="auto"/>
          <w:szCs w:val="22"/>
        </w:rPr>
        <w:t>10</w:t>
      </w:r>
      <w:r w:rsidRPr="00C07E8E">
        <w:rPr>
          <w:rFonts w:cs="Times New Roman"/>
          <w:color w:val="auto"/>
          <w:szCs w:val="22"/>
        </w:rPr>
        <w:t xml:space="preserve">, </w:t>
      </w:r>
      <w:r w:rsidRPr="00C07E8E">
        <w:rPr>
          <w:rFonts w:cs="Times New Roman"/>
          <w:b/>
          <w:bCs/>
          <w:color w:val="auto"/>
          <w:szCs w:val="22"/>
        </w:rPr>
        <w:t>Scheme 1, a</w:t>
      </w:r>
      <w:r w:rsidRPr="00C07E8E">
        <w:rPr>
          <w:rFonts w:cs="Times New Roman"/>
          <w:color w:val="auto"/>
          <w:szCs w:val="22"/>
        </w:rPr>
        <w:t>).</w:t>
      </w:r>
      <w:r w:rsidR="00A426E0" w:rsidRPr="00C07E8E">
        <w:rPr>
          <w:rFonts w:cs="Times New Roman"/>
          <w:color w:val="auto"/>
          <w:szCs w:val="22"/>
        </w:rPr>
        <w:fldChar w:fldCharType="begin" w:fldLock="1"/>
      </w:r>
      <w:r w:rsidR="00CA5C6A">
        <w:rPr>
          <w:rFonts w:cs="Times New Roman"/>
          <w:color w:val="auto"/>
          <w:szCs w:val="22"/>
        </w:rPr>
        <w:instrText>ADDIN CSL_CITATION {"citationItems":[{"id":"ITEM-1","itemData":{"DOI":"10.1021/ja973080o","ISSN":"00027863","abstract":"Qinghaosu and derivatives were easily reduced by ferrous sulfate in aqueous acetonitrile to give results different from those reported for other reducing systems. The unstable epoxide 7, a compound that was postulated earlier as a species responsible for the antimalarial activity, now has been isolated and characterized. The earlier speculative secondary C-4 radical has also been trapped with 2-methyl-2-nitrosopropane and thus provides the very first direct evidence for the involvement of radicals in the in vitro cleavage of QHS-type compounds. A unified mechanism featuring interchangeable radical anions and reversible intramolecular radical reactions is proposed for the ferrous ion induced cleavage of the 1,2,4-trioxanes (i.e., QHS and the like). On the basis of this framework, together with consideration of counterion and solvent effects, a large body of divergent experimental outcomes can be satisfactorily rationalized, not only the formation of the main products but also the product ratios as well as their deviation from those obtained under other reaction conditions.","author":[{"dropping-particle":"","family":"Wu","given":"Wen Min","non-dropping-particle":"","parse-names":false,"suffix":""},{"dropping-particle":"","family":"Wu","given":"Yikang","non-dropping-particle":"","parse-names":false,"suffix":""},{"dropping-particle":"","family":"Wu","given":"Yu Lin","non-dropping-particle":"","parse-names":false,"suffix":""},{"dropping-particle":"","family":"Yao","given":"Zhu Jun","non-dropping-particle":"","parse-names":false,"suffix":""},{"dropping-particle":"","family":"Zhou","given":"Cheng Ming","non-dropping-particle":"","parse-names":false,"suffix":""},{"dropping-particle":"","family":"Li","given":"Ying","non-dropping-particle":"","parse-names":false,"suffix":""},{"dropping-particle":"","family":"Shan","given":"Feng","non-dropping-particle":"","parse-names":false,"suffix":""}],"container-title":"Journal of the American Chemical Society","id":"ITEM-1","issue":"14","issued":{"date-parts":[["1998"]]},"page":"3316-3325","title":"Unified mechanistic framework for the Fe(II)-induced cleavage of Qinghaosu and derivatives/analogues. The first spin-trapping evidence for the previously postulated secondary C-4 radical","type":"article-journal","volume":"120"},"uris":["http://www.mendeley.com/documents/?uuid=4b014e90-b8e9-46c7-8df8-ab01f6172188"]},{"id":"ITEM-2","itemData":{"DOI":"10.1021/jm00013a001","ISSN":"15204804","PMID":"7608890","author":[{"dropping-particle":"","family":"Posner","given":"Gary H.","non-dropping-particle":"","parse-names":false,"suffix":""},{"dropping-particle":"","family":"Wang","given":"Dasong","non-dropping-particle":"","parse-names":false,"suffix":""},{"dropping-particle":"","family":"Cumming","given":"Jared N.","non-dropping-particle":"","parse-names":false,"suffix":""},{"dropping-particle":"","family":"Oh","given":"Chang Ho","non-dropping-particle":"","parse-names":false,"suffix":""},{"dropping-particle":"","family":"French","given":"Andrew N.","non-dropping-particle":"","parse-names":false,"suffix":""},{"dropping-particle":"","family":"Bodley","given":"Annette L.","non-dropping-particle":"","parse-names":false,"suffix":""},{"dropping-particle":"","family":"Shapiro","given":"Theresa A.","non-dropping-particle":"","parse-names":false,"suffix":""}],"container-title":"Journal of Medicinal Chemistry","id":"ITEM-2","issue":"13","issued":{"date-parts":[["1995"]]},"page":"2273-2275","title":"Further Evidence Supporting the Importance of and the Restrictions on a Carbon-Centered Radical for High Antimalarial Activity of 1, 2, 4-Trioxanes Like Artemisinin","type":"article-journal","volume":"38"},"uris":["http://www.mendeley.com/documents/?uuid=5762114f-baf7-4010-a44d-110813503831","http://www.mendeley.com/documents/?uuid=ca728477-7e15-447e-9fd1-ae73ffc0769f"]},{"id":"ITEM-3","itemData":{"DOI":"10.1021/jm00398a026","ISSN":"15204804","PMID":"3279208","abstract":"Arteether (6) has been prepared from dihydroqinghaosu (3) by etherification with ethanol in the presence of Lewis acid and separated from its chromatographically slower moving α-dihydroqinghaosu ethyl ether (7). The absolute stereochemistry at C-12 has been determined by 1H NMR data (J11,12, NOESY). Ethyl ethers 6 and 7 showed potent in vitro inhibition of Plasmodium falciparum, and both compounds were highly potent antimalarials in mice infected with a drug-sensitive strain of Plasmodium berghei. Crystalline arteether (6) and its oily epimer 7 were 2-3 times more potent schizontocides than quinghaosu (1), but deoxy compounds 8, 9, and 11 were 100-300 times less potent in vitro than their corresponding peroxy precursors. Pharmacological studies have shown arteether (6) to have antimalarial activity in animals comparable to artesunate (2) and artemether (4), both of which are fast-acting blood schizontocides in humans. Arteether (6) has now been chosen for a clinical evaluation in high-risk malaria patients. © 1988, American Chemical Society. All rights reserved.","author":[{"dropping-particle":"","family":"Brossi","given":"A.","non-dropping-particle":"","parse-names":false,"suffix":""},{"dropping-particle":"","family":"Venugopalan","given":"B.","non-dropping-particle":"","parse-names":false,"suffix":""},{"dropping-particle":"","family":"Gerpe","given":"L. Dominguez","non-dropping-particle":"","parse-names":false,"suffix":""},{"dropping-particle":"","family":"Yeh","given":"H. J.C. C.","non-dropping-particle":"","parse-names":false,"suffix":""},{"dropping-particle":"","family":"Flippen-Anderson","given":"J. L.","non-dropping-particle":"","parse-names":false,"suffix":""},{"dropping-particle":"","family":"Buchs","given":"P.","non-dropping-particle":"","parse-names":false,"suffix":""},{"dropping-particle":"","family":"Luo","given":"X. D.","non-dropping-particle":"","parse-names":false,"suffix":""},{"dropping-particle":"","family":"Milhous","given":"W.","non-dropping-particle":"","parse-names":false,"suffix":""},{"dropping-particle":"","family":"Peters","given":"W.","non-dropping-particle":"","parse-names":false,"suffix":""}],"container-title":"Journal of Medicinal Chemistry","id":"ITEM-3","issue":"3","issued":{"date-parts":[["1988"]]},"page":"645-650","title":"Arteether, a New Antimalarial Drug: Synthesis and Antimalarial Properties","type":"article-journal","volume":"31"},"uris":["http://www.mendeley.com/documents/?uuid=573ae59f-5fc5-40a9-b891-99a86d917ae1"]},{"id":"ITEM-4","itemData":{"DOI":"10.1073/pnas.0500972102","ISSN":"00278424","PMID":"16155128","abstract":"Heme alkylation by the antimalarial drug artemisinin is reported in vivo, within infected mice that have been treated at pharmacologically relevant doses. Adducts resulting from the alkylation of heme by the drug were characterized in the spleen of treated mice, and their glucuroconjugated derivatives were present in the urine. Because these heme-artemisinin adducts were not observed in noninfected mice, this report confirms that the alkylating activity of this antimalarial drug is related to the presence of the parasite in infected animals. The identification of heme-artemisinin adducts in mice should be considered as the signature of the alkylation capacity of artemisinin in vivo. © 2005 by The National Academy of Sciences of the USA.","author":[{"dropping-particle":"","family":"Robert","given":"Anne","non-dropping-particle":"","parse-names":false,"suffix":""},{"dropping-particle":"","family":"Benoit-Vical","given":"Françoise","non-dropping-particle":"","parse-names":false,"suffix":""},{"dropping-particle":"","family":"Claparols","given":"Catherine","non-dropping-particle":"","parse-names":false,"suffix":""},{"dropping-particle":"","family":"Meunier","given":"Bernard","non-dropping-particle":"","parse-names":false,"suffix":""}],"container-title":"Proceedings of the National Academy of Sciences of the United States of America","id":"ITEM-4","issue":"38","issued":{"date-parts":[["2005"]]},"page":"13676-13680","title":"The antimalarial drug artemisinin alkylates heme in infected mice","type":"article-journal","volume":"102"},"uris":["http://www.mendeley.com/documents/?uuid=c066a707-8ff1-4228-8e9a-0632e1960539","http://www.mendeley.com/documents/?uuid=00ae4037-f591-45ac-ba9c-9c5ad450e3ee"]},{"id":"ITEM-5","itemData":{"DOI":"10.1021/jm030571c","ISBN":"0022-2623","ISSN":"00222623","PMID":"15163175","abstract":"A review on aspects of the chem., mechanism of action, metab., and toxicity of the endoperoxide class of antimalarial drugs with a focus on lead compds. (semisynthetic and synthetic) that have emerged as potential next-generation analogs. The authors also briefly cover artemisinin combination therapy (ACT) of malaria and discuss the potential of drug hybrids and prodrugs as new approaches to delivering combination chemotherapy through a sing. [on SciFinder(R)]","author":[{"dropping-particle":"","family":"O'Neill","given":"Paul M.","non-dropping-particle":"","parse-names":false,"suffix":""},{"dropping-particle":"","family":"Posner","given":"Gary H.","non-dropping-particle":"","parse-names":false,"suffix":""}],"container-title":"Journal of Medicinal Chemistry","id":"ITEM-5","issue":"12","issued":{"date-parts":[["2004"]]},"page":"2945-2964","title":"A medicinal chemistry perspective on artemisinin and related endoperoxides","type":"article-journal","volume":"47"},"uris":["http://www.mendeley.com/documents/?uuid=6eff0e1c-b667-4a1d-85b1-f647f8f61fcb","http://www.mendeley.com/documents/?uuid=0dadc43d-c5b4-4cdb-a35a-457bc5121e09","http://www.mendeley.com/documents/?uuid=02ec8ba1-607f-4368-b63d-bf3efd5c8306"]},{"id":"ITEM-6","itemData":{"DOI":"10.3109/10715769809066884","ISSN":"10715762","PMID":"9702527","abstract":"EPR experiments confirm that reaction of qinghaosu and some related endoperoxides with Fe2+ in aqueous acetonitrile leads to the production of carbon-centred radicals derived by rapid rearrangement of first-formed cyclic alkoxyl radicals. Signals obtained from qinghaosu itself with spin-traps DMPO and DBNBS are assigned to the adducts (15) and (16), a finding which accounts for the formation of the major products (11) and (14).","author":[{"dropping-particle":"","family":"Butler","given":"Anthony R.","non-dropping-particle":"","parse-names":false,"suffix":""},{"dropping-particle":"","family":"Gilbert","given":"Bruce C.","non-dropping-particle":"","parse-names":false,"suffix":""},{"dropping-particle":"","family":"Hulme","given":"Philippa","non-dropping-particle":"","parse-names":false,"suffix":""},{"dropping-particle":"","family":"Irvine","given":"Lee R.","non-dropping-particle":"","parse-names":false,"suffix":""},{"dropping-particle":"","family":"Renton","given":"Louise","non-dropping-particle":"","parse-names":false,"suffix":""},{"dropping-particle":"","family":"Whitwood","given":"Adrian C.","non-dropping-particle":"","parse-names":false,"suffix":""}],"container-title":"Free Radical Research","id":"ITEM-6","issue":"5","issued":{"date-parts":[["1998"]]},"page":"471-476","title":"EPR evidence for the involvement of free radicals in the iron-catalysed decomposition of qinghaosu (artemisinin) and some derivatives; antimalarial action of some polycyclic endoperoxides","type":"article-journal","volume":"28"},"uris":["http://www.mendeley.com/documents/?uuid=deec4fd7-9c66-4481-ad2d-c809d9ae69b0","http://www.mendeley.com/documents/?uuid=412411b8-65d3-4332-8cec-e7168e4c3b40"]},{"id":"ITEM-7","itemData":{"DOI":"10.1021/jo991585m","ISSN":"00223263","PMID":"10814129","author":[{"dropping-particle":"","family":"O'Neill","given":"Paul M.","non-dropping-particle":"","parse-names":false,"suffix":""},{"dropping-particle":"","family":"Bishop","given":"Laurence P.D.","non-dropping-particle":"","parse-names":false,"suffix":""},{"dropping-particle":"","family":"Searle","given":"Natalie L.","non-dropping-particle":"","parse-names":false,"suffix":""},{"dropping-particle":"","family":"Maggs","given":"James L.","non-dropping-particle":"","parse-names":false,"suffix":""},{"dropping-particle":"","family":"Storr","given":"Richard C.","non-dropping-particle":"","parse-names":false,"suffix":""},{"dropping-particle":"","family":"Ward","given":"Stephen A.","non-dropping-particle":"","parse-names":false,"suffix":""},{"dropping-particle":"","family":"Kevin Park","given":"B.","non-dropping-particle":"","parse-names":false,"suffix":""},{"dropping-particle":"","family":"Mabbs","given":"Frank","non-dropping-particle":"","parse-names":false,"suffix":""}],"container-title":"Journal of Organic Chemistry","id":"ITEM-7","issue":"5","issued":{"date-parts":[["2000"]]},"page":"1578-1582","title":"Biomimetic Fe(II)-mediated degradation of arteflene (Ro-42-1611). The first EPR spin-trapping evidence for the previously postulated secondary carbon-centered cyclohexyl radical","type":"article-journal","volume":"65"},"uris":["http://www.mendeley.com/documents/?uuid=6cb0bc6c-755f-40b5-84be-49130b3495df","http://www.mendeley.com/documents/?uuid=3784a934-c6cd-4009-81dd-0efa51ad6ad1"]}],"mendeley":{"formattedCitation":"&lt;sup&gt;13,34,36,56–59&lt;/sup&gt;","plainTextFormattedCitation":"13,34,36,56–59","previouslyFormattedCitation":"&lt;sup&gt;13,34,36,56–59&lt;/sup&gt;"},"properties":{"noteIndex":0},"schema":"https://github.com/citation-style-language/schema/raw/master/csl-citation.json"}</w:instrText>
      </w:r>
      <w:r w:rsidR="00A426E0" w:rsidRPr="00C07E8E">
        <w:rPr>
          <w:rFonts w:cs="Times New Roman"/>
          <w:color w:val="auto"/>
          <w:szCs w:val="22"/>
        </w:rPr>
        <w:fldChar w:fldCharType="separate"/>
      </w:r>
      <w:r w:rsidR="00CA5C6A" w:rsidRPr="00CA5C6A">
        <w:rPr>
          <w:rFonts w:cs="Times New Roman"/>
          <w:noProof/>
          <w:color w:val="auto"/>
          <w:szCs w:val="22"/>
          <w:vertAlign w:val="superscript"/>
        </w:rPr>
        <w:t>13,34,36,56–59</w:t>
      </w:r>
      <w:r w:rsidR="00A426E0" w:rsidRPr="00C07E8E">
        <w:rPr>
          <w:rFonts w:cs="Times New Roman"/>
          <w:color w:val="auto"/>
          <w:szCs w:val="22"/>
        </w:rPr>
        <w:fldChar w:fldCharType="end"/>
      </w:r>
      <w:r w:rsidRPr="00C07E8E">
        <w:rPr>
          <w:rFonts w:cs="Times New Roman"/>
          <w:color w:val="auto"/>
          <w:szCs w:val="22"/>
        </w:rPr>
        <w:t xml:space="preserve">   </w:t>
      </w:r>
    </w:p>
    <w:p w14:paraId="51D223F7" w14:textId="59ADFBE3" w:rsidR="007205FC"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ab/>
        <w:t>b) peroxide ring-opening</w:t>
      </w:r>
      <w:r w:rsidRPr="00C07E8E">
        <w:rPr>
          <w:rFonts w:cs="Times New Roman"/>
          <w:color w:val="auto"/>
          <w:szCs w:val="22"/>
        </w:rPr>
        <w:t xml:space="preserve">: alternatively, ferrous ion </w:t>
      </w:r>
      <w:r w:rsidR="00E02E58">
        <w:rPr>
          <w:rFonts w:cs="Times New Roman"/>
          <w:color w:val="auto"/>
          <w:szCs w:val="22"/>
        </w:rPr>
        <w:t xml:space="preserve">may </w:t>
      </w:r>
      <w:r w:rsidRPr="00C07E8E">
        <w:rPr>
          <w:rFonts w:cs="Times New Roman"/>
          <w:color w:val="auto"/>
          <w:szCs w:val="22"/>
        </w:rPr>
        <w:t>act as a Lewis acid instead of a radical activator, which induces ring-opening by protonation of the peroxide bond.</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{"citationItems":[{"id":"ITEM-1","itemData":{"DOI":"10.1002/cmdc.200700108","ISBN":"1860-7187 (Electronic)\\n1860-7179 (Linking)","ISSN":"18607179","PMID":"17768732","abstract":"The results of Fe2+-induced decomposition of the clinically used artemisinins, artemisone, other aminoartemisinins, 10-deoxoartemisinin, and the 4-fluorophenyl derivative have been compared with their antimalarial activities and their ability to inhibit the parasite SERCA PfATP6. The clinical artemisinins and artemisone decompose under aqueous conditions to give mixtures of C radical marker products, carbonyl compounds, and reduction products. The 4-fluorophenyl derivative and aminoartemisinins tend to be inert to aqueous iron(II) sulfate and anhydrous iron(II) acetate. Anhydrous iron(II) bromide enhances formation of the carbonyl compounds and provides a deoxyglycal from DHA and enamines from the aminoartemisinins. Ascorbic acid (AA) accelerates the aqueous Fe2+-mediated decompositions, but does not alter product distribution. 4-Oxo-TEMPO intercepts C radicals from a mixture of an antimalaria-active trioxolane, 10-deoxoartemisinin, and anhydrous iron(II) acetate to give trapped products in 73% yield from the trioxolane, and 3% from the artemisinin. Artemisone provides a trapped product in 10% yield. Thus, in line with its structural rigidity, only the trioxolane provides a C radical eminently suited for intermolecular trapping. In contrast, the structural flexibility of the C radicals from the artemisinins allows facile extrusion of Fe2+ and collapse to benign isomerization products. The propensity towards the formation of radical marker products and intermolecular radical trapping have no relationship with the in vitro antimalarial activities of the artemisinins and trioxolane. Desferrioxamine (DFO) attenuates inhibition of PfATP6 by, and antagonizes antimalarial activity of, the aqueous Fe2+-susceptible artemisinins, but has no overt effect on the aqueous Fe2+-inert artemisinins. It is concluded that the C radicals cannot be responsible for antimalarial activity and that the Fe2+-susceptible artemisinins may be competitively decomposed in aqueous extra- and intracellular compartments by labile Fe2+, resulting in some attenuation of their antimalarial activities. Interpretations of the roles of DFO and AA in modulating antimalarial activities of the artemisinins, and a comparison with antimalarial properties of simple hydroperoxides and their behavior towards thapsigargin-sensitive SERCA ATPases are presented. The general basis for the exceptional antimalarial activities of artemisinins in relation to the intrinsic activity of the peroxide within the …","author":[{"dropping-particle":"","family":"Haynes","given":"Richard K.","non-dropping-particle":"","parse-names":false,"suffix":""},{"dropping-particle":"","family":"Chan","given":"Wing Chi","non-dropping-particle":"","parse-names":false,"suffix":""},{"dropping-particle":"","family":"Lung","given":"Chung Man","non-dropping-particle":"","parse-names":false,"suffix":""},{"dropping-particle":"","family":"Uhlemann","given":"Anne Catrin","non-dropping-particle":"","parse-names":false,"suffix":""},{"dropping-particle":"","family":"Eckstein","given":"Ursula","non-dropping-particle":"","parse-names":false,"suffix":""},{"dropping-particle":"","family":"Taramelli","given":"Donatella","non-dropping-particle":"","parse-names":false,"suffix":""},{"dropping-particle":"","family":"Parapini","given":"Silvia","non-dropping-particle":"","parse-names":false,"suffix":""},{"dropping-particle":"","family":"Monti","given":"Diego","non-dropping-particle":"","parse-names":false,"suffix":""},{"dropping-particle":"","family":"Krishna","given":"Sanjeev","non-dropping-particle":"","parse-names":false,"suffix":""}],"container-title":"ChemMedChem","id":"ITEM-1","issue":"10","issued":{"date-parts":[["2007"]]},"page":"1480-1497","title":"The Fe2+-mediated decomposition, PfATP6 binding, and antimalarial activities of artemisone and other artemisinins: The unlikelihood of C-centered radicals as bioactive intermediates","type":"article-journal","volume":"2"},"uris":["http://www.mendeley.com/documents/?uuid=b938fde1-97ef-409b-855d-2badf7e1c13e","http://www.mendeley.com/documents/?uuid=140d1721-2874-4c2f-b0a1-57c04e1d8a4e"]}],"mendeley":{"formattedCitation":"&lt;sup&gt;60&lt;/sup&gt;","plainTextFormattedCitation":"60","previouslyFormattedCitation":"&lt;sup&gt;60&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60</w:t>
      </w:r>
      <w:r w:rsidRPr="00C07E8E">
        <w:rPr>
          <w:rFonts w:cs="Times New Roman"/>
          <w:color w:val="auto"/>
          <w:szCs w:val="22"/>
        </w:rPr>
        <w:fldChar w:fldCharType="end"/>
      </w:r>
      <w:r w:rsidRPr="00C07E8E">
        <w:rPr>
          <w:rFonts w:cs="Times New Roman"/>
          <w:color w:val="auto"/>
          <w:szCs w:val="22"/>
        </w:rPr>
        <w:t xml:space="preserve">  The endoperoxide bridge undergoes (Lewis) acid-catalysed heterolytic cleavage, generating an unsaturated hydroperoxide </w:t>
      </w:r>
      <w:r w:rsidR="00D52B17" w:rsidRPr="00C07E8E">
        <w:rPr>
          <w:rFonts w:cs="Times New Roman"/>
          <w:b/>
          <w:bCs/>
          <w:color w:val="auto"/>
          <w:szCs w:val="22"/>
        </w:rPr>
        <w:t>1</w:t>
      </w:r>
      <w:r w:rsidR="00BF291B">
        <w:rPr>
          <w:rFonts w:cs="Times New Roman"/>
          <w:b/>
          <w:bCs/>
          <w:color w:val="auto"/>
          <w:szCs w:val="22"/>
        </w:rPr>
        <w:t>1</w:t>
      </w:r>
      <w:r w:rsidRPr="00C07E8E">
        <w:rPr>
          <w:rFonts w:cs="Times New Roman"/>
          <w:b/>
          <w:bCs/>
          <w:color w:val="auto"/>
          <w:szCs w:val="22"/>
        </w:rPr>
        <w:t xml:space="preserve">. </w:t>
      </w:r>
      <w:r w:rsidRPr="00C07E8E">
        <w:rPr>
          <w:rFonts w:cs="Times New Roman"/>
          <w:color w:val="auto"/>
          <w:szCs w:val="22"/>
        </w:rPr>
        <w:t xml:space="preserve">Subsequent Fenton like degradation of the hydroperoxide by reductive cleavage with ferrous iron or other reducing agents produces a hydroxyl radical (•OH), a short-lived but very reactive species </w:t>
      </w:r>
      <w:r w:rsidR="00E02E58">
        <w:rPr>
          <w:rFonts w:cs="Times New Roman"/>
          <w:color w:val="auto"/>
          <w:szCs w:val="22"/>
        </w:rPr>
        <w:t xml:space="preserve">that </w:t>
      </w:r>
      <w:r w:rsidRPr="00C07E8E">
        <w:rPr>
          <w:rFonts w:cs="Times New Roman"/>
          <w:color w:val="auto"/>
          <w:szCs w:val="22"/>
        </w:rPr>
        <w:t>can promote oxidation of target amino acid residues (</w:t>
      </w:r>
      <w:r w:rsidRPr="00C07E8E">
        <w:rPr>
          <w:rFonts w:cs="Times New Roman"/>
          <w:b/>
          <w:bCs/>
          <w:color w:val="auto"/>
          <w:szCs w:val="22"/>
        </w:rPr>
        <w:t>Scheme 1, b</w:t>
      </w:r>
      <w:r w:rsidRPr="00C07E8E">
        <w:rPr>
          <w:rFonts w:cs="Times New Roman"/>
          <w:color w:val="auto"/>
          <w:szCs w:val="22"/>
        </w:rPr>
        <w:t>).</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{"citationItems":[{"id":"ITEM-1","itemData":{"DOI":"10.1073/pnas.0500972102","ISSN":"00278424","PMID":"16155128","abstract":"Heme alkylation by the antimalarial drug artemisinin is reported in vivo, within infected mice that have been treated at pharmacologically relevant doses. Adducts resulting from the alkylation of heme by the drug were characterized in the spleen of treated mice, and their glucuroconjugated derivatives were present in the urine. Because these heme-artemisinin adducts were not observed in noninfected mice, this report confirms that the alkylating activity of this antimalarial drug is related to the presence of the parasite in infected animals. The identification of heme-artemisinin adducts in mice should be considered as the signature of the alkylation capacity of artemisinin in vivo. © 2005 by The National Academy of Sciences of the USA.","author":[{"dropping-particle":"","family":"Robert","given":"Anne","non-dropping-particle":"","parse-names":false,"suffix":""},{"dropping-particle":"","family":"Benoit-Vical","given":"Françoise","non-dropping-particle":"","parse-names":false,"suffix":""},{"dropping-particle":"","family":"Claparols","given":"Catherine","non-dropping-particle":"","parse-names":false,"suffix":""},{"dropping-particle":"","family":"Meunier","given":"Bernard","non-dropping-particle":"","parse-names":false,"suffix":""}],"container-title":"Proceedings of the National Academy of Sciences of the United States of America","id":"ITEM-1","issue":"38","issued":{"date-parts":[["2005"]]},"page":"13676-13680","title":"The antimalarial drug artemisinin alkylates heme in infected mice","type":"article-journal","volume":"102"},"uris":["http://www.mendeley.com/documents/?uuid=c066a707-8ff1-4228-8e9a-0632e1960539","http://www.mendeley.com/documents/?uuid=00ae4037-f591-45ac-ba9c-9c5ad450e3ee","http://www.mendeley.com/documents/?uuid=c5b89db0-d3b3-4c7b-b6e2-48abacc0a5ec"]},{"id":"ITEM-2","itemData":{"DOI":"10.1021/jm00013a001","ISSN":"15204804","PMID":"7608890","author":[{"dropping-particle":"","family":"Posner","given":"Gary H.","non-dropping-particle":"","parse-names":false,"suffix":""},{"dropping-particle":"","family":"Wang","given":"Dasong","non-dropping-particle":"","parse-names":false,"suffix":""},{"dropping-particle":"","family":"Cumming","given":"Jared N.","non-dropping-particle":"","parse-names":false,"suffix":""},{"dropping-particle":"","family":"Oh","given":"Chang Ho","non-dropping-particle":"","parse-names":false,"suffix":""},{"dropping-particle":"","family":"French","given":"Andrew N.","non-dropping-particle":"","parse-names":false,"suffix":""},{"dropping-particle":"","family":"Bodley","given":"Annette L.","non-dropping-particle":"","parse-names":false,"suffix":""},{"dropping-particle":"","family":"Shapiro","given":"Theresa A.","non-dropping-particle":"","parse-names":false,"suffix":""}],"container-title":"Journal of Medicinal Chemistry","id":"ITEM-2","issue":"13","issued":{"date-parts":[["1995"]]},"page":"2273-2275","title":"Further Evidence Supporting the Importance of and the Restrictions on a Carbon-Centered Radical for High Antimalarial Activity of 1, 2, 4-Trioxanes Like Artemisinin","type":"article-journal","volume":"38"},"uris":["http://www.mendeley.com/documents/?uuid=ca728477-7e15-447e-9fd1-ae73ffc0769f","http://www.mendeley.com/documents/?uuid=5762114f-baf7-4010-a44d-110813503831","http://www.mendeley.com/documents/?uuid=367e3f73-673a-4378-a467-9e76de063976"]},{"id":"ITEM-3","itemData":{"DOI":"10.1021/jm00398a026","ISSN":"15204804","PMID":"3279208","abstract":"Arteether (6) has been prepared from dihydroqinghaosu (3) by etherification with ethanol in the presence of Lewis acid and separated from its chromatographically slower moving α-dihydroqinghaosu ethyl ether (7). The absolute stereochemistry at C-12 has been determined by 1H NMR data (J11,12, NOESY). Ethyl ethers 6 and 7 showed potent in vitro inhibition of Plasmodium falciparum, and both compounds were highly potent antimalarials in mice infected with a drug-sensitive strain of Plasmodium berghei. Crystalline arteether (6) and its oily epimer 7 were 2-3 times more potent schizontocides than quinghaosu (1), but deoxy compounds 8, 9, and 11 were 100-300 times less potent in vitro than their corresponding peroxy precursors. Pharmacological studies have shown arteether (6) to have antimalarial activity in animals comparable to artesunate (2) and artemether (4), both of which are fast-acting blood schizontocides in humans. Arteether (6) has now been chosen for a clinical evaluation in high-risk malaria patients. © 1988, American Chemical Society. All rights reserved.","author":[{"dropping-particle":"","family":"Brossi","given":"A.","non-dropping-particle":"","parse-names":false,"suffix":""},{"dropping-particle":"","family":"Venugopalan","given":"B.","non-dropping-particle":"","parse-names":false,"suffix":""},{"dropping-particle":"","family":"Gerpe","given":"L. Dominguez","non-dropping-particle":"","parse-names":false,"suffix":""},{"dropping-particle":"","family":"Yeh","given":"H. J.C. C.","non-dropping-particle":"","parse-names":false,"suffix":""},{"dropping-particle":"","family":"Flippen-Anderson","given":"J. L.","non-dropping-particle":"","parse-names":false,"suffix":""},{"dropping-particle":"","family":"Buchs","given":"P.","non-dropping-particle":"","parse-names":false,"suffix":""},{"dropping-particle":"","family":"Luo","given":"X. D.","non-dropping-particle":"","parse-names":false,"suffix":""},{"dropping-particle":"","family":"Milhous","given":"W.","non-dropping-particle":"","parse-names":false,"suffix":""},{"dropping-particle":"","family":"Peters","given":"W.","non-dropping-particle":"","parse-names":false,"suffix":""}],"container-title":"Journal of Medicinal Chemistry","id":"ITEM-3","issue":"3","issued":{"date-parts":[["1988"]]},"page":"645-650","title":"Arteether, a New Antimalarial Drug: Synthesis and Antimalarial Properties","type":"article-journal","volume":"31"},"uris":["http://www.mendeley.com/documents/?uuid=573ae59f-5fc5-40a9-b891-99a86d917ae1"]},{"id":"ITEM-4","itemData":{"DOI":"10.1021/jm030571c","ISBN":"0022-2623","ISSN":"00222623","PMID":"15163175","abstract":"A review on aspects of the chem., mechanism of action, metab., and toxicity of the endoperoxide class of antimalarial drugs with a focus on lead compds. (semisynthetic and synthetic) that have emerged as potential next-generation analogs. The authors also briefly cover artemisinin combination therapy (ACT) of malaria and discuss the potential of drug hybrids and prodrugs as new approaches to delivering combination chemotherapy through a sing. [on SciFinder(R)]","author":[{"dropping-particle":"","family":"O'Neill","given":"Paul M.","non-dropping-particle":"","parse-names":false,"suffix":""},{"dropping-particle":"","family":"Posner","given":"Gary H.","non-dropping-particle":"","parse-names":false,"suffix":""}],"container-title":"Journal of Medicinal Chemistry","id":"ITEM-4","issue":"12","issued":{"date-parts":[["2004"]]},"page":"2945-2964","title":"A medicinal chemistry perspective on artemisinin and related endoperoxides","type":"article-journal","volume":"47"},"uris":["http://www.mendeley.com/documents/?uuid=6eff0e1c-b667-4a1d-85b1-f647f8f61fcb","http://www.mendeley.com/documents/?uuid=0dadc43d-c5b4-4cdb-a35a-457bc5121e09","http://www.mendeley.com/documents/?uuid=41bce351-ba56-4e21-bb8c-56b67dc38292"]},{"id":"ITEM-5","itemData":{"DOI":"10.1021/ja973080o","ISSN":"00027863","abstract":"Qinghaosu and derivatives were easily reduced by ferrous sulfate in aqueous acetonitrile to give results different from those reported for other reducing systems. The unstable epoxide 7, a compound that was postulated earlier as a species responsible for the antimalarial activity, now has been isolated and characterized. The earlier speculative secondary C-4 radical has also been trapped with 2-methyl-2-nitrosopropane and thus provides the very first direct evidence for the involvement of radicals in the in vitro cleavage of QHS-type compounds. A unified mechanism featuring interchangeable radical anions and reversible intramolecular radical reactions is proposed for the ferrous ion induced cleavage of the 1,2,4-trioxanes (i.e., QHS and the like). On the basis of this framework, together with consideration of counterion and solvent effects, a large body of divergent experimental outcomes can be satisfactorily rationalized, not only the formation of the main products but also the product ratios as well as their deviation from those obtained under other reaction conditions.","author":[{"dropping-particle":"","family":"Wu","given":"Wen Min","non-dropping-particle":"","parse-names":false,"suffix":""},{"dropping-particle":"","family":"Wu","given":"Yikang","non-dropping-particle":"","parse-names":false,"suffix":""},{"dropping-particle":"","family":"Wu","given":"Yu Lin","non-dropping-particle":"","parse-names":false,"suffix":""},{"dropping-particle":"","family":"Yao","given":"Zhu Jun","non-dropping-particle":"","parse-names":false,"suffix":""},{"dropping-particle":"","family":"Zhou","given":"Cheng Ming","non-dropping-particle":"","parse-names":false,"suffix":""},{"dropping-particle":"","family":"Li","given":"Ying","non-dropping-particle":"","parse-names":false,"suffix":""},{"dropping-particle":"","family":"Shan","given":"Feng","non-dropping-particle":"","parse-names":false,"suffix":""}],"container-title":"Journal of the American Chemical Society","id":"ITEM-5","issue":"14","issued":{"date-parts":[["1998"]]},"page":"3316-3325","title":"Unified mechanistic framework for the Fe(II)-induced cleavage of Qinghaosu and derivatives/analogues. The first spin-trapping evidence for the previously postulated secondary C-4 radical","type":"article-journal","volume":"120"},"uris":["http://www.mendeley.com/documents/?uuid=4b014e90-b8e9-46c7-8df8-ab01f6172188"]}],"mendeley":{"formattedCitation":"&lt;sup&gt;13,34,36,56,57&lt;/sup&gt;","plainTextFormattedCitation":"13,34,36,56,57","previouslyFormattedCitation":"&lt;sup&gt;13,34,36,56,57&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13,34,36,56,57</w:t>
      </w:r>
      <w:r w:rsidRPr="00C07E8E">
        <w:rPr>
          <w:rFonts w:cs="Times New Roman"/>
          <w:color w:val="auto"/>
          <w:szCs w:val="22"/>
        </w:rPr>
        <w:fldChar w:fldCharType="end"/>
      </w:r>
      <w:r w:rsidRPr="00C07E8E">
        <w:rPr>
          <w:rFonts w:cs="Times New Roman"/>
          <w:color w:val="auto"/>
          <w:szCs w:val="22"/>
        </w:rPr>
        <w:t xml:space="preserve"> Evidence to support this model was provided by Haynes and co-workers,</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{"citationItems":[{"id":"ITEM-1","itemData":{"DOI":"10.1016/S0040-4039(99)00830-8","ISSN":"00404039","abstract":"In CH2Cl2 in the presence of benzylamine, artemisinin transfers an oxygen atom from the intermediate open hydroperoxide to tertiary amines to form N-oxides and N-benzyl-11-azadesoxyartemisinin. Base-catalyzed side reactions interfere with the corresponding reaction involving dihydroartemisinin. The reactions serve as a model for biological activity in which the act of binding to a protein liberates hydroperoxide.","author":[{"dropping-particle":"","family":"Haynes","given":"Richard K.","non-dropping-particle":"","parse-names":false,"suffix":""},{"dropping-particle":"","family":"Hendry Hung-On","given":"Pai","non-dropping-particle":"","parse-names":false,"suffix":""},{"dropping-particle":"","family":"Voerste","given":"Arnd","non-dropping-particle":"","parse-names":false,"suffix":""}],"container-title":"Tetrahedron Letters","id":"ITEM-1","issue":"25","issued":{"date-parts":[["1999"]]},"page":"4715-4718","title":"Ring opening of artemisinin (Qinghaosu) and dihydroartemisinin and interception of the open hydroperoxides with formation of N-oxides - A chemical model for antimalarial mode of action","type":"article-journal","volume":"40"},"uris":["http://www.mendeley.com/documents/?uuid=31141556-fadd-4b65-b26f-9a431068e43e","http://www.mendeley.com/documents/?uuid=0006ca99-629f-4824-ae8c-82fc137bcc81"]}],"mendeley":{"formattedCitation":"&lt;sup&gt;61&lt;/sup&gt;","plainTextFormattedCitation":"61","previouslyFormattedCitation":"&lt;sup&gt;61&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61</w:t>
      </w:r>
      <w:r w:rsidRPr="00C07E8E">
        <w:rPr>
          <w:rFonts w:cs="Times New Roman"/>
          <w:color w:val="auto"/>
          <w:szCs w:val="22"/>
        </w:rPr>
        <w:fldChar w:fldCharType="end"/>
      </w:r>
      <w:r w:rsidRPr="00C07E8E">
        <w:rPr>
          <w:rFonts w:cs="Times New Roman"/>
          <w:color w:val="auto"/>
          <w:szCs w:val="22"/>
        </w:rPr>
        <w:t xml:space="preserve">, which arises from the discovery that artemisinin has </w:t>
      </w:r>
      <w:r w:rsidRPr="00C07E8E">
        <w:rPr>
          <w:rFonts w:cs="Times New Roman"/>
          <w:color w:val="auto"/>
          <w:szCs w:val="22"/>
        </w:rPr>
        <w:lastRenderedPageBreak/>
        <w:t xml:space="preserve">been shown to </w:t>
      </w:r>
      <w:r w:rsidR="00D5222D" w:rsidRPr="00C07E8E">
        <w:rPr>
          <w:rFonts w:cs="Times New Roman"/>
          <w:color w:val="auto"/>
          <w:szCs w:val="22"/>
        </w:rPr>
        <w:t>facilitate</w:t>
      </w:r>
      <w:r w:rsidRPr="00C07E8E">
        <w:rPr>
          <w:rFonts w:cs="Times New Roman"/>
          <w:color w:val="auto"/>
          <w:szCs w:val="22"/>
        </w:rPr>
        <w:t xml:space="preserve"> </w:t>
      </w:r>
      <w:r w:rsidRPr="00C07E8E">
        <w:rPr>
          <w:rFonts w:cs="Times New Roman"/>
          <w:i/>
          <w:iCs/>
          <w:color w:val="auto"/>
          <w:szCs w:val="22"/>
        </w:rPr>
        <w:t>N</w:t>
      </w:r>
      <w:r w:rsidRPr="00C07E8E">
        <w:rPr>
          <w:rFonts w:cs="Times New Roman"/>
          <w:color w:val="auto"/>
          <w:szCs w:val="22"/>
        </w:rPr>
        <w:t xml:space="preserve">-oxidation of tertiary alkylamines via the intermediacy of such </w:t>
      </w:r>
      <w:r w:rsidR="00E7507C">
        <w:rPr>
          <w:rFonts w:cs="Times New Roman"/>
          <w:color w:val="auto"/>
          <w:szCs w:val="22"/>
        </w:rPr>
        <w:t xml:space="preserve">an </w:t>
      </w:r>
      <w:r w:rsidRPr="00C07E8E">
        <w:rPr>
          <w:rFonts w:cs="Times New Roman"/>
          <w:color w:val="auto"/>
          <w:szCs w:val="22"/>
        </w:rPr>
        <w:t>hydroperoxide form.</w:t>
      </w:r>
    </w:p>
    <w:p w14:paraId="05BAAC1A" w14:textId="218DB570" w:rsidR="007205FC" w:rsidRPr="00C07E8E" w:rsidRDefault="006D7105" w:rsidP="00532D1D">
      <w:pPr>
        <w:autoSpaceDE w:val="0"/>
        <w:autoSpaceDN w:val="0"/>
        <w:adjustRightInd w:val="0"/>
        <w:rPr>
          <w:rFonts w:cs="Times New Roman"/>
          <w:b/>
          <w:bCs/>
          <w:i/>
          <w:iCs/>
          <w:color w:val="auto"/>
          <w:szCs w:val="22"/>
        </w:rPr>
      </w:pPr>
      <w:r>
        <w:rPr>
          <w:noProof/>
        </w:rPr>
        <w:object w:dxaOrig="12981" w:dyaOrig="11407" w14:anchorId="7AA342C0">
          <v:shape id="_x0000_i1027" type="#_x0000_t75" alt="" style="width:454.2pt;height:399.6pt;mso-width-percent:0;mso-height-percent:0;mso-width-percent:0;mso-height-percent:0" o:ole="">
            <v:imagedata r:id="rId10" o:title=""/>
          </v:shape>
          <o:OLEObject Type="Embed" ProgID="ChemDraw.Document.6.0" ShapeID="_x0000_i1027" DrawAspect="Content" ObjectID="_1669219461" r:id="rId11"/>
        </w:object>
      </w:r>
    </w:p>
    <w:p w14:paraId="65690E1A" w14:textId="77777777" w:rsidR="007205FC"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 xml:space="preserve">Scheme 1: </w:t>
      </w:r>
      <w:r w:rsidRPr="00C07E8E">
        <w:rPr>
          <w:rFonts w:cs="Times New Roman"/>
          <w:color w:val="auto"/>
          <w:szCs w:val="22"/>
        </w:rPr>
        <w:t>Proposed mechanisms of bioactivation and action of artemisinin: a) Reductive scission; b) Peroxide ring-opening.</w:t>
      </w:r>
    </w:p>
    <w:p w14:paraId="0A4EDF2E" w14:textId="77777777" w:rsidR="0063758C" w:rsidRPr="00C07E8E" w:rsidRDefault="0063758C" w:rsidP="00532D1D">
      <w:pPr>
        <w:autoSpaceDE w:val="0"/>
        <w:autoSpaceDN w:val="0"/>
        <w:adjustRightInd w:val="0"/>
        <w:rPr>
          <w:rFonts w:cs="Times New Roman"/>
          <w:color w:val="auto"/>
          <w:szCs w:val="22"/>
        </w:rPr>
      </w:pPr>
    </w:p>
    <w:p w14:paraId="0ED49220" w14:textId="24B7F92A" w:rsidR="006B71A6" w:rsidRPr="00C07E8E" w:rsidRDefault="00C07E8E" w:rsidP="00532D1D">
      <w:pPr>
        <w:autoSpaceDE w:val="0"/>
        <w:autoSpaceDN w:val="0"/>
        <w:adjustRightInd w:val="0"/>
        <w:rPr>
          <w:rFonts w:cs="Times New Roman"/>
          <w:color w:val="auto"/>
          <w:szCs w:val="22"/>
        </w:rPr>
      </w:pPr>
      <w:r w:rsidRPr="00C07E8E">
        <w:rPr>
          <w:rFonts w:cs="Times New Roman"/>
          <w:b/>
          <w:bCs/>
          <w:i/>
          <w:iCs/>
          <w:color w:val="auto"/>
          <w:szCs w:val="22"/>
        </w:rPr>
        <w:tab/>
      </w:r>
      <w:r w:rsidR="00536DE9" w:rsidRPr="00C07E8E">
        <w:rPr>
          <w:rFonts w:cs="Times New Roman"/>
          <w:b/>
          <w:bCs/>
          <w:i/>
          <w:iCs/>
          <w:color w:val="auto"/>
          <w:szCs w:val="22"/>
        </w:rPr>
        <w:t>Activated endoperoxides promote n</w:t>
      </w:r>
      <w:r w:rsidRPr="00C07E8E">
        <w:rPr>
          <w:rFonts w:cs="Times New Roman"/>
          <w:b/>
          <w:bCs/>
          <w:i/>
          <w:iCs/>
          <w:color w:val="auto"/>
          <w:szCs w:val="22"/>
        </w:rPr>
        <w:t xml:space="preserve">onspecific alkylation of proteins. </w:t>
      </w:r>
      <w:r w:rsidRPr="00C07E8E">
        <w:rPr>
          <w:rFonts w:cs="Times New Roman"/>
          <w:color w:val="auto"/>
          <w:szCs w:val="22"/>
        </w:rPr>
        <w:t>In the 1990s, Meshnick and co-workers reported the first studies of alkylation of parasite proteins by antimalarial endoperoxides. They have demonstrated that six plasmodial proteins were radioactively labeled by artemisinin derivatives.</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{"citationItems":[{"id":"ITEM-1","itemData":{"DOI":"10.1016/0035-9203(94)90468-5","ISSN":"18783503","PMID":"8053021","abstract":"The mechanism of action of artemisinin appears to involve two steps. In the first step, activation, intra-parasitic iron catalyses the cleavage of the endoperoxide bridge and the generation of free radicals. In the second step, alkylation, the artemisinin-derived free radical forms covalent bonds with parasite proteins. © 1994 Oxford University Press.","author":[{"dropping-particle":"","family":"Meshnick","given":"Steven R.","non-dropping-particle":"","parse-names":false,"suffix":""}],"container-title":"Transactions of the Royal Society of Tropical Medicine and Hygiene","id":"ITEM-1","issued":{"date-parts":[["1994"]]},"page":"31-32","title":"The mode of action of antimalarial endoperoxides","type":"article-journal","volume":"88"},"uris":["http://www.mendeley.com/documents/?uuid=1621fca8-4ba0-4a8b-8bc7-cc83e221b3db","http://www.mendeley.com/documents/?uuid=9508b837-4e57-4d4e-9d56-89ec08aee293"]},{"id":"ITEM-2","itemData":{"DOI":"10.1128/AAC.38.8.1854","ISSN":"00664804","PMID":"7986020","abstract":"The endoperoxides are a new class of antimalarial agents, of which artemisinin (qinghaosu) is the prototype. We have previously shown that artemisinin is capable of alkylating proteins in model reactions. In the present study, we showed that when Plasmodium falciparum-infected erythrocytes are treated with a radiolabeled antimalarial endoperoxide, either arteether, dihydroartemisinin, or Ro 42-1611 (arteflene), the radioactivity is largely coverted into a form which can be extracted with sodium dodecyl sulfate (SDS). Autoradiograms of SDS-polyacrylamide gels showed that six malarial proteins are radioactively labeled by the three endoperoxides. This labeling occurs at physiological concentrations of drug and is not stage nor strain specific. The labeled proteins were not the most abundant proteins seen on Coomassie-stained gels. No proteins were labeled when uninfected erythrocytes were treated with these drugs, nor when infected erythrocytes were treated with the inactive analog deoxyarteether. Thus, the antimalarial endoperoxides appear to react with specific malarial proteins.","author":[{"dropping-particle":"","family":"Asawamahasakda","given":"W.","non-dropping-particle":"","parse-names":false,"suffix":""},{"dropping-particle":"","family":"Ittarat","given":"I.","non-dropping-particle":"","parse-names":false,"suffix":""},{"dropping-particle":"","family":"Pu","given":"Y. M.","non-dropping-particle":"","parse-names":false,"suffix":""},{"dropping-particle":"","family":"Ziffer","given":"H.","non-dropping-particle":"","parse-names":false,"suffix":""},{"dropping-particle":"","family":"Meshnick","given":"S. R.","non-dropping-particle":"","parse-names":false,"suffix":""}],"container-title":"Antimicrobial Agents and Chemotherapy","id":"ITEM-2","issue":"8","issued":{"date-parts":[["1994"]]},"page":"1854-1858","title":"Reaction of antimalarial endoperoxides with specific parasite proteins","type":"article-journal","volume":"38"},"uris":["http://www.mendeley.com/documents/?uuid=38babe8a-26a7-4f9b-a5ee-71743787609f","http://www.mendeley.com/documents/?uuid=b87b6537-8b85-4c75-aefc-6915ba402417"]},{"id":"ITEM-3","itemData":{"DOI":"10.1128/mmbr.60.2.301-315.1996","ISBN":"0146-0749 (Print)\\r0146-0749 (Linking)","ISSN":"01460749","PMID":"8801435","abstract":"Artemisinin and its derivatives are endoperoxide-containing compounds which represent a promising new class of antimalarial drugs. In the presence of intraparasitic iron, these drugs are converted into free radicals and other electrophilic intermediates which then alkylate specific malaria target proteins. Combinations of available derivatives and other antimalarial agents show promise both as first-line agents and in the treatment of severe disease.","author":[{"dropping-particle":"","family":"Meshnick","given":"S. R.","non-dropping-particle":"","parse-names":false,"suffix":""},{"dropping-particle":"","family":"Taylor","given":"T. E.","non-dropping-particle":"","parse-names":false,"suffix":""},{"dropping-particle":"","family":"Kamchonwongpaisan","given":"S.","non-dropping-particle":"","parse-names":false,"suffix":""}],"container-title":"Microbiological Reviews","id":"ITEM-3","issue":"2","issued":{"date-parts":[["1996"]]},"page":"301-315","title":"Artemisinin and the antimalarial endoperoxides: From herbal remedy to targeted chemotherapy","type":"article-journal","volume":"60"},"uris":["http://www.mendeley.com/documents/?uuid=0c07afb7-adf4-440d-b599-dec7b3d9afcd","http://www.mendeley.com/documents/?uuid=4827f84c-dfa2-42be-9b89-7d04f3df22a6"]}],"mendeley":{"formattedCitation":"&lt;sup&gt;62–64&lt;/sup&gt;","plainTextFormattedCitation":"62–64","previouslyFormattedCitation":"&lt;sup&gt;62–64&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62–64</w:t>
      </w:r>
      <w:r w:rsidRPr="00C07E8E">
        <w:rPr>
          <w:rFonts w:cs="Times New Roman"/>
          <w:color w:val="auto"/>
          <w:szCs w:val="22"/>
        </w:rPr>
        <w:fldChar w:fldCharType="end"/>
      </w:r>
      <w:r w:rsidRPr="00C07E8E">
        <w:rPr>
          <w:rFonts w:cs="Times New Roman"/>
          <w:color w:val="auto"/>
          <w:szCs w:val="22"/>
        </w:rPr>
        <w:t xml:space="preserve"> Other parasite proteins that were proposed as targets of artemisinin and related endoperoxide compounds include the translationally controlled tumor protein (</w:t>
      </w:r>
      <w:r w:rsidRPr="00C07E8E">
        <w:rPr>
          <w:rFonts w:cs="Times New Roman"/>
          <w:i/>
          <w:iCs/>
          <w:color w:val="auto"/>
          <w:szCs w:val="22"/>
        </w:rPr>
        <w:t>Pf</w:t>
      </w:r>
      <w:r w:rsidRPr="00C07E8E">
        <w:rPr>
          <w:rFonts w:cs="Times New Roman"/>
          <w:color w:val="auto"/>
          <w:szCs w:val="22"/>
        </w:rPr>
        <w:t>TCTP)</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{"citationItems":[{"id":"ITEM-1","itemData":{"DOI":"10.1074/jbc.273.26.16192","ISSN":"00219258","PMID":"9632675","abstract":"Artemisinin and its derivatives are important new antimalarial drugs. When Plasmodium falciparum-infected erythrocytes are incubated with [10- 3H]dihydroartemisinin, several malaria-specific proteins become labeled. One of these proteins is the P. falciparum translationally controlled tumor protein (TCTP) homolog. In vitro, dihydroartemisinin reacts covalently with recombinant TCTP in the presence of hemin. The association between drug and protein increases with increasing drug concentration, plateauing at approximately 1 drug/TCTP molecule. By Scatchard analysis, there appear to be 2 hemin binding sites on TCTP with dissociation constants of -18 μM. When the single cysteine moiety is blocked by pretreatment with iodoacetamide, hemin binding is not affected, whereas drug binding is reduced by two- thirds. Thus, TCTP reacts with artemisinin in situ and in vitro in the presence of hemin and appears to bind to hemin. The function of the malarial TCTP and the role of this reaction in the mechanism of action of artemisinin await elucidation.","author":[{"dropping-particle":"","family":"Bhisutthibhan","given":"J.","non-dropping-particle":"","parse-names":false,"suffix":""},{"dropping-particle":"","family":"Pan","given":"X. Q.","non-dropping-particle":"","parse-names":false,"suffix":""},{"dropping-particle":"","family":"Hossler","given":"P. A.","non-dropping-particle":"","parse-names":false,"suffix":""},{"dropping-particle":"","family":"Walker","given":"D. J.","non-dropping-particle":"","parse-names":false,"suffix":""},{"dropping-particle":"","family":"Yowell","given":"C. A.","non-dropping-particle":"","parse-names":false,"suffix":""},{"dropping-particle":"","family":"Carlton","given":"J.","non-dropping-particle":"","parse-names":false,"suffix":""},{"dropping-particle":"","family":"Dame","given":"J. B.","non-dropping-particle":"","parse-names":false,"suffix":""},{"dropping-particle":"","family":"Meshnick","given":"S. R.","non-dropping-particle":"","parse-names":false,"suffix":""}],"container-title":"Journal of Biological Chemistry","id":"ITEM-1","issue":"26","issued":{"date-parts":[["1998"]]},"page":"16192-16198","title":"The Plasmodium falciparum translationally controlled tumor protein homolog and its reaction with the antimalarial drug artemisinin","type":"article-journal","volume":"273"},"uris":["http://www.mendeley.com/documents/?uuid=d132adea-2296-437f-bb3e-9d6af8338d48","http://www.mendeley.com/documents/?uuid=32b1e3d2-5e50-4715-ba1a-6be1c5299212"]}],"mendeley":{"formattedCitation":"&lt;sup&gt;65&lt;/sup&gt;","plainTextFormattedCitation":"65","previouslyFormattedCitation":"&lt;sup&gt;65&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65</w:t>
      </w:r>
      <w:r w:rsidRPr="00C07E8E">
        <w:rPr>
          <w:rFonts w:cs="Times New Roman"/>
          <w:color w:val="auto"/>
          <w:szCs w:val="22"/>
        </w:rPr>
        <w:fldChar w:fldCharType="end"/>
      </w:r>
      <w:r w:rsidRPr="00C07E8E">
        <w:rPr>
          <w:rFonts w:cs="Times New Roman"/>
          <w:color w:val="auto"/>
          <w:szCs w:val="22"/>
        </w:rPr>
        <w:t xml:space="preserve"> and the parasite’s sarcoendoplasmic reticulum calcium-dependent ATPase (</w:t>
      </w:r>
      <w:r w:rsidR="009260E1" w:rsidRPr="00C07E8E">
        <w:rPr>
          <w:rFonts w:cs="Times New Roman"/>
          <w:color w:val="auto"/>
          <w:szCs w:val="22"/>
        </w:rPr>
        <w:t xml:space="preserve">also known as </w:t>
      </w:r>
      <w:r w:rsidR="00CA3AE7" w:rsidRPr="00C07E8E">
        <w:rPr>
          <w:rFonts w:cs="Times New Roman"/>
          <w:color w:val="auto"/>
          <w:szCs w:val="22"/>
        </w:rPr>
        <w:t>P</w:t>
      </w:r>
      <w:r w:rsidR="00CA3AE7" w:rsidRPr="00C07E8E">
        <w:rPr>
          <w:rFonts w:cs="Times New Roman"/>
          <w:i/>
          <w:iCs/>
          <w:color w:val="auto"/>
          <w:szCs w:val="22"/>
        </w:rPr>
        <w:t>f</w:t>
      </w:r>
      <w:r w:rsidR="00CA3AE7" w:rsidRPr="00C07E8E">
        <w:rPr>
          <w:rFonts w:cs="Times New Roman"/>
          <w:color w:val="auto"/>
          <w:szCs w:val="22"/>
        </w:rPr>
        <w:t>ATP6 or SERCA</w:t>
      </w:r>
      <w:r w:rsidRPr="00C07E8E">
        <w:rPr>
          <w:rFonts w:cs="Times New Roman"/>
          <w:color w:val="auto"/>
          <w:szCs w:val="22"/>
        </w:rPr>
        <w:t>).</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{"citationItems":[{"id":"ITEM-1","itemData":{"DOI":"10.1038/nature01813","ISSN":"00280836","PMID":"12931192","abstract":"Artemisinins are extracted from sweet wormwood (Artemisia annua) and are the most potent antimalarials available, rapidly killing all asexual stages of Plasmodium falciparum. Artemisinins are sesquiterpene lactones widely used to treat multidrug-resistant malaria, a disease that annually claims 1 million lives. Despite extensive clinical and laboratory experience their molecular target is not yet identified. Activated artemisinins form adducts with a variety of biological macromolecules, including haem, translationally controlled tumour protein (TCTP) and other higher-molecular-weight proteins. Here we show that artemisinins, but not quinine or chloroquine, inhibit the SERCA orthologue (PfATP6) of Plasmodium falciparum in Xenopus oocytes with similar potency to thapsigargin (another sesquiterpene lactone and highly specific SERCA inhibitor). As predicted, thapsigargin also antagonizes the parasiticidal activity of artemisinin. Desoxyartemisinin lacks an endoperoxide bridge and is ineffective both as an inhibitor of PfATP6 and as an antimalarial. Chelation of iron by desferrioxamine abrogates the antiparasitic activity of artemisinins and correspondingly attenuates inhibition of PfATP6. Imaging of parasites with BODIPY-thapsigargin labels the cytosolic compartment and is competed by artemisinin. Fluorescent artemisinin labels parasites similarly and irreversibly in an Fe2+-dependent manner. These data provide compelling evidence that artemisinins act by inhibiting PfATP6 outside the food vacuole after activation by iron.","author":[{"dropping-particle":"","family":"Eckstein-Ludwig","given":"U.","non-dropping-particle":"","parse-names":false,"suffix":""},{"dropping-particle":"","family":"Webb","given":"R. J.","non-dropping-particle":"","parse-names":false,"suffix":""},{"dropping-particle":"","family":"Goethem","given":"I. D.A.","non-dropping-particle":"Van","parse-names":false,"suffix":""},{"dropping-particle":"","family":"East","given":"J. M.","non-dropping-particle":"","parse-names":false,"suffix":""},{"dropping-particle":"","family":"Lee","given":"A. G.","non-dropping-particle":"","parse-names":false,"suffix":""},{"dropping-particle":"","family":"Kimura","given":"M.","non-dropping-particle":"","parse-names":false,"suffix":""},{"dropping-particle":"","family":"O'Neill","given":"P. M.","non-dropping-particle":"","parse-names":false,"suffix":""},{"dropping-particle":"","family":"Bray","given":"P. G.","non-dropping-particle":"","parse-names":false,"suffix":""},{"dropping-particle":"","family":"Ward","given":"S. A.","non-dropping-particle":"","parse-names":false,"suffix":""},{"dropping-particle":"","family":"Krishna","given":"S.","non-dropping-particle":"","parse-names":false,"suffix":""}],"container-title":"Nature","id":"ITEM-1","issue":"6951","issued":{"date-parts":[["2003"]]},"page":"957-961","title":"Artemisinins target the SERCA of Plasmodium falciparum","type":"article-journal","volume":"424"},"uris":["http://www.mendeley.com/documents/?uuid=91ba6352-49ea-432e-93c0-aa5116b4908b","http://www.mendeley.com/documents/?uuid=a6fae5c1-47f3-4bf6-aae4-2950c0964ed5"]},{"id":"ITEM-2","itemData":{"DOI":"10.1016/j.tips.2013.10.007","ISBN":"1873-3735 (Electronic) 0165-6147 (Linking)","ISSN":"01656147","PMID":"24268763","abstract":"Sarco/endoplasmic reticulum Ca2+-ATPases (SERCAs) are increasingly being studied for therapeutic interventions in the fields of cancer, heart disease, and infection. Our suggestion a decade ago that artemisinins (the most important antimalarial class) act by inhibiting parasite SERCAs (PfATP6 and orthologues) expressed in Xenopus oocytes stimulated new directions for research away from conventional site-of-action studies of the food vacuole of the parasite. There is, however, still no consensus on how artemisinins act. We have continued to explore the hypothesis that PfATP6 is a key target by confirming that artemisinins inhibit Plasmodium falciparum PfATP6 when it is expressed in yeast and that it is essential for survival of pathogenic asexual-stage parasites. These advances are discussed with their implications for our understanding of how parasites regulate calcium in different stages of asexual development and for the global challenge posed by artemisinin resistance. © 2013 Elsevier Ltd. All rights reserved.","author":[{"dropping-particle":"","family":"Krishna","given":"Sanjeev","non-dropping-particle":"","parse-names":false,"suffix":""},{"dropping-particle":"","family":"Pulcini","given":"Serena","non-dropping-particle":"","parse-names":false,"suffix":""},{"dropping-particle":"","family":"Moore","given":"Catherine M.","non-dropping-particle":"","parse-names":false,"suffix":""},{"dropping-particle":"","family":"Teo","given":"Beatrix Huei Yi","non-dropping-particle":"","parse-names":false,"suffix":""},{"dropping-particle":"","family":"Staines","given":"Henry M.","non-dropping-particle":"","parse-names":false,"suffix":""}],"container-title":"Trends in Pharmacological Sciences","id":"ITEM-2","issue":"1","issued":{"date-parts":[["2014"]]},"page":"4-11","publisher":"Elsevier Ltd","title":"Pumped up: Reflections on PfATP6 as the target for artemisinins","type":"article-journal","volume":"35"},"uris":["http://www.mendeley.com/documents/?uuid=3302a2d5-3a8a-407a-af79-1b08ece76ece","http://www.mendeley.com/documents/?uuid=f74f7226-a461-4cc8-aca4-78159623f412"]}],"mendeley":{"formattedCitation":"&lt;sup&gt;66,67&lt;/sup&gt;","plainTextFormattedCitation":"66,67","previouslyFormattedCitation":"&lt;sup&gt;66,67&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66,67</w:t>
      </w:r>
      <w:r w:rsidRPr="00C07E8E">
        <w:rPr>
          <w:rFonts w:cs="Times New Roman"/>
          <w:color w:val="auto"/>
          <w:szCs w:val="22"/>
        </w:rPr>
        <w:fldChar w:fldCharType="end"/>
      </w:r>
    </w:p>
    <w:p w14:paraId="0BF681C3" w14:textId="141B570F" w:rsidR="006B71A6"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Chemical proteomics has </w:t>
      </w:r>
      <w:r w:rsidR="00BE6196" w:rsidRPr="00C07E8E">
        <w:rPr>
          <w:rFonts w:cs="Times New Roman"/>
          <w:color w:val="auto"/>
          <w:szCs w:val="22"/>
        </w:rPr>
        <w:t xml:space="preserve">emerged </w:t>
      </w:r>
      <w:r w:rsidRPr="00C07E8E">
        <w:rPr>
          <w:rFonts w:cs="Times New Roman"/>
          <w:color w:val="auto"/>
          <w:szCs w:val="22"/>
        </w:rPr>
        <w:t>as a</w:t>
      </w:r>
      <w:r w:rsidR="006852B5" w:rsidRPr="00C07E8E">
        <w:rPr>
          <w:rFonts w:cs="Times New Roman"/>
          <w:color w:val="auto"/>
          <w:szCs w:val="22"/>
        </w:rPr>
        <w:t xml:space="preserve"> powerful affinity-based approach for elucidating </w:t>
      </w:r>
      <w:r w:rsidRPr="00C07E8E">
        <w:rPr>
          <w:rFonts w:cs="Times New Roman"/>
          <w:color w:val="auto"/>
          <w:szCs w:val="22"/>
        </w:rPr>
        <w:t xml:space="preserve">proteome-wide interactions of antimalarial peroxide-containing molecules in living cells. </w:t>
      </w:r>
      <w:r w:rsidRPr="00606BE2">
        <w:rPr>
          <w:rFonts w:cs="Times New Roman"/>
          <w:color w:val="auto"/>
          <w:szCs w:val="22"/>
        </w:rPr>
        <w:t xml:space="preserve">In </w:t>
      </w:r>
      <w:r w:rsidR="00606BE2">
        <w:rPr>
          <w:rFonts w:cs="Times New Roman"/>
          <w:color w:val="auto"/>
          <w:szCs w:val="22"/>
        </w:rPr>
        <w:t>three</w:t>
      </w:r>
      <w:r w:rsidR="00606BE2" w:rsidRPr="00606BE2">
        <w:rPr>
          <w:rFonts w:cs="Times New Roman"/>
          <w:color w:val="auto"/>
          <w:szCs w:val="22"/>
        </w:rPr>
        <w:t xml:space="preserve"> </w:t>
      </w:r>
      <w:r w:rsidRPr="00606BE2">
        <w:rPr>
          <w:rFonts w:cs="Times New Roman"/>
          <w:color w:val="auto"/>
          <w:szCs w:val="22"/>
        </w:rPr>
        <w:lastRenderedPageBreak/>
        <w:t>studies</w:t>
      </w:r>
      <w:r w:rsidRPr="00C07E8E">
        <w:rPr>
          <w:rFonts w:cs="Times New Roman"/>
          <w:color w:val="auto"/>
          <w:szCs w:val="22"/>
        </w:rPr>
        <w:t xml:space="preserve"> recently undertaken, alkylated </w:t>
      </w:r>
      <w:r w:rsidRPr="00C07E8E">
        <w:rPr>
          <w:rFonts w:cs="Times New Roman"/>
          <w:i/>
          <w:iCs/>
          <w:color w:val="auto"/>
          <w:szCs w:val="22"/>
        </w:rPr>
        <w:t>P. falciparum</w:t>
      </w:r>
      <w:r w:rsidRPr="00C07E8E">
        <w:rPr>
          <w:rFonts w:cs="Times New Roman"/>
          <w:color w:val="auto"/>
          <w:szCs w:val="22"/>
        </w:rPr>
        <w:t xml:space="preserve"> proteins were identified using activity-based probes of artemisinin (</w:t>
      </w:r>
      <w:r w:rsidR="00D52B17" w:rsidRPr="00C07E8E">
        <w:rPr>
          <w:rFonts w:cs="Times New Roman"/>
          <w:b/>
          <w:bCs/>
          <w:color w:val="auto"/>
          <w:szCs w:val="22"/>
        </w:rPr>
        <w:t>1</w:t>
      </w:r>
      <w:r w:rsidR="00BF291B">
        <w:rPr>
          <w:rFonts w:cs="Times New Roman"/>
          <w:b/>
          <w:bCs/>
          <w:color w:val="auto"/>
          <w:szCs w:val="22"/>
        </w:rPr>
        <w:t>2</w:t>
      </w:r>
      <w:r w:rsidR="00D52B17" w:rsidRPr="00C07E8E">
        <w:rPr>
          <w:rFonts w:cs="Times New Roman"/>
          <w:b/>
          <w:bCs/>
          <w:color w:val="auto"/>
          <w:szCs w:val="22"/>
        </w:rPr>
        <w:t>-1</w:t>
      </w:r>
      <w:r w:rsidR="00BF291B">
        <w:rPr>
          <w:rFonts w:cs="Times New Roman"/>
          <w:b/>
          <w:bCs/>
          <w:color w:val="auto"/>
          <w:szCs w:val="22"/>
        </w:rPr>
        <w:t>6</w:t>
      </w:r>
      <w:r w:rsidRPr="00C07E8E">
        <w:rPr>
          <w:rFonts w:cs="Times New Roman"/>
          <w:b/>
          <w:bCs/>
          <w:color w:val="auto"/>
          <w:szCs w:val="22"/>
        </w:rPr>
        <w:t xml:space="preserve">, Figure </w:t>
      </w:r>
      <w:r w:rsidR="00D52B17" w:rsidRPr="00C07E8E">
        <w:rPr>
          <w:rFonts w:cs="Times New Roman"/>
          <w:b/>
          <w:bCs/>
          <w:color w:val="auto"/>
          <w:szCs w:val="22"/>
        </w:rPr>
        <w:t>3</w:t>
      </w:r>
      <w:r w:rsidRPr="00C07E8E">
        <w:rPr>
          <w:rFonts w:cs="Times New Roman"/>
          <w:color w:val="auto"/>
          <w:szCs w:val="22"/>
        </w:rPr>
        <w:t>).</w:t>
      </w:r>
      <w:r w:rsidR="00536DE9" w:rsidRPr="00C07E8E">
        <w:rPr>
          <w:rFonts w:cs="Times New Roman"/>
          <w:color w:val="auto"/>
          <w:szCs w:val="22"/>
        </w:rPr>
        <w:fldChar w:fldCharType="begin" w:fldLock="1"/>
      </w:r>
      <w:r w:rsidR="007125A3">
        <w:rPr>
          <w:rFonts w:cs="Times New Roman"/>
          <w:color w:val="auto"/>
          <w:szCs w:val="22"/>
        </w:rPr>
        <w:instrText>ADDIN CSL_CITATION {"citationItems":[{"id":"ITEM-1","itemData":{"DOI":"10.1038/ncomms10111","ISSN":"20411723","PMID":"26694030","abstract":"The mechanism of action of artemisinin and its derivatives, the most potent of the anti-malarial drugs, is not completely understood. Here we present an unbiased chemical proteomics analysis to directly explore this mechanism in Plasmodium falciparum. We use an alkyne-tagged artemisinin analogue coupled with biotin to identify 124 artemisinin covalent binding protein targets, many of which are involved in the essential biological processes of the parasite. Such a broad targeting spectrum disrupts the biochemical landscape of the parasite and causes its death. Furthermore, using alkyne-tagged artemisinin coupled with a fluorescent dye to monitor protein binding, we show that haem, rather than free ferrous iron, is predominantly responsible for artemisinin activation. The haem derives primarily from the parasite's haem biosynthesis pathway at the early ring stage and from haemoglobin digestion at the latter stages. Our results support a unifying model to explain the action and specificity of artemisinin in parasite killing.","author":[{"dropping-particle":"","family":"Wang","given":"Jigang","non-dropping-particle":"","parse-names":false,"suffix":""},{"dropping-particle":"","family":"Zhang","given":"Chong Jing","non-dropping-particle":"","parse-names":false,"suffix":""},{"dropping-particle":"","family":"Chia","given":"Wan Ni","non-dropping-particle":"","parse-names":false,"suffix":""},{"dropping-particle":"","family":"Loh","given":"Cheryl C.Y.","non-dropping-particle":"","parse-names":false,"suffix":""},{"dropping-particle":"","family":"Li","given":"Zhengjun","non-dropping-particle":"","parse-names":false,"suffix":""},{"dropping-particle":"","family":"Lee","given":"Yew Mun","non-dropping-particle":"","parse-names":false,"suffix":""},{"dropping-particle":"","family":"He","given":"Yingke","non-dropping-particle":"","parse-names":false,"suffix":""},{"dropping-particle":"","family":"Yuan","given":"Li Xia","non-dropping-particle":"","parse-names":false,"suffix":""},{"dropping-particle":"","family":"Lim","given":"Teck Kwang","non-dropping-particle":"","parse-names":false,"suffix":""},{"dropping-particle":"","family":"Liu","given":"Min","non-dropping-particle":"","parse-names":false,"suffix":""},{"dropping-particle":"","family":"Liew","given":"Chin Xia","non-dropping-particle":"","parse-names":false,"suffix":""},{"dropping-particle":"","family":"Lee","given":"Yan Quan","non-dropping-particle":"","parse-names":false,"suffix":""},{"dropping-particle":"","family":"Zhang","given":"Jianbin","non-dropping-particle":"","parse-names":false,"suffix":""},{"dropping-particle":"","family":"Lu","given":"Nianci","non-dropping-particle":"","parse-names":false,"suffix":""},{"dropping-particle":"","family":"Lim","given":"Chwee Teck","non-dropping-particle":"","parse-names":false,"suffix":""},{"dropping-particle":"","family":"Hua","given":"Zi Chun","non-dropping-particle":"","parse-names":false,"suffix":""},{"dropping-particle":"","family":"Liu","given":"Bin","non-dropping-particle":"","parse-names":false,"suffix":""},{"dropping-particle":"","family":"Shen","given":"Han Ming","non-dropping-particle":"","parse-names":false,"suffix":""},{"dropping-particle":"","family":"Tan","given":"Kevin S.W.","non-dropping-particle":"","parse-names":false,"suffix":""},{"dropping-particle":"","family":"Lin","given":"Qingsong","non-dropping-particle":"","parse-names":false,"suffix":""}],"container-title":"Nature Communications","id":"ITEM-1","issued":{"date-parts":[["2015"]]},"page":"10111","publisher":"Nature Publishing Group","title":"Haem-activated promiscuous targeting of artemisinin in Plasmodium falciparum","type":"article-journal","volume":"6"},"uris":["http://www.mendeley.com/documents/?uuid=045c0bf2-ed03-43c7-a6e9-e9893c338873","http://www.mendeley.com/documents/?uuid=6cba74ff-ed98-4467-838d-c44cfa117be4"]},{"id":"ITEM-2","itemData":{"DOI":"10.1073/pnas.1600459113","ISSN":"10916490","PMID":"26858419","abstract":"The artemisinin (ART)-based antimalarials have contributed significantly to reducing global malaria deaths over the past decade, but we still do not know how they kill parasites. To gain greater insight into the potential mechanisms of ART drug action, we developed a suite of ART activity-based protein profiling probes to identify parasite protein drug targets in situ. Probes were designed to retain biological activity and alkylate the molecular target(s) of Plasmodium falciparum 3D7 parasites in situ. Proteins tagged with the ART probe can then be isolated using click chemistry before identification by liquid chromatography-MS/MS. Using these probes, we define an ART proteome that shows alkylated targets in the glycolytic, hemoglobin degradation, antioxidant defense, and protein synthesis pathways, processes essential for parasite survival. This work reveals the pleiotropic nature of the biological functions targeted by this important class of antimalarial drugs.","author":[{"dropping-particle":"","family":"Ismail","given":"Hanafy M.","non-dropping-particle":"","parse-names":false,"suffix":""},{"dropping-particle":"","family":"Barton","given":"Victoria","non-dropping-particle":"","parse-names":false,"suffix":""},{"dropping-particle":"","family":"Phanchana","given":"Matthew","non-dropping-particle":"","parse-names":false,"suffix":""},{"dropping-particle":"","family":"Charoensutthivarakul","given":"Sitthivut","non-dropping-particle":"","parse-names":false,"suffix":""},{"dropping-particle":"","family":"Wong","given":"Michael H.L.","non-dropping-particle":"","parse-names":false,"suffix":""},{"dropping-particle":"","family":"Hemingway","given":"Janet","non-dropping-particle":"","parse-names":false,"suffix":""},{"dropping-particle":"","family":"Biagini","given":"Giancarlo A.","non-dropping-particle":"","parse-names":false,"suffix":""},{"dropping-particle":"","family":"O'Neill","given":"Paul M.","non-dropping-particle":"","parse-names":false,"suffix":""},{"dropping-particle":"","family":"Ward","given":"Stephen A.","non-dropping-particle":"","parse-names":false,"suffix":""}],"container-title":"Proceedings of the National Academy of Sciences of the United States of America","id":"ITEM-2","issue":"8","issued":{"date-parts":[["2016"]]},"page":"2080-2085","title":"Artemisinin activity-based probes identify multiple molecular targets within the asexual stage of the malaria parasites Plasmodium falciparum 3D7","type":"article-journal","volume":"113"},"uris":["http://www.mendeley.com/documents/?uuid=48ddd873-4a39-471f-8ad4-4b8d0c8b9b46","http://www.mendeley.com/documents/?uuid=afe57f3c-81e6-4e07-8822-892502e76e83","http://www.mendeley.com/documents/?uuid=e0300e8e-4af6-4850-befb-3018b9a05cc0"]},{"id":"ITEM-3","itemData":{"DOI":"10.1002/anie.201512062","ISSN":"15213773","PMID":"27089538","abstract":"In spite of the recent increase in endoperoxide antimalarials under development, it remains unclear if all these chemotypes share a common mechanism of action. This is important since it will influence cross-resistance risks between the different classes. Here we investigate this proposition using novel clickable 1,2,4-trioxolane activity based protein-profiling probes (ABPPs). ABPPs with potent antimalarial activity were able to alkylate protein target(s) within the asexual erythrocytic stage of Plasmodium falciparum (3D7). Importantly, comparison of the alkylation fingerprint with that generated from an artemisinin ABPP equivalent confirms a highly conserved alkylation profile, with both endoperoxide classes targeting proteins in the glycolytic, hemoglobin degradation, antioxidant defence, protein synthesis and protein stress pathways, essential biological processes for plasmodial survival. The alkylation signatures of the two chemotypes show significant overlap (ca. 90 %) both qualitatively and semi-quantitatively, suggesting a common mechanism of action that raises concerns about potential cross-resistance liabilities. Clickable 1,2,4-trioxolane activity-based protein-profiling probes (ABPPs) were designed to retain antimalarial activity and alkylate the molecular targets of the blood stage of Plasmodium falciparum in situ. Comparison of the 1,2,4-trioxolane protein alkylation signature with the corresponding artemisinin ABPPs indicates that both drug classes target key proteins in the glycolytic, hemoglobin degradation, antioxidant defence and protein synthesis pathways.","author":[{"dropping-particle":"","family":"Ismail","given":"Hanafy M.","non-dropping-particle":"","parse-names":false,"suffix":""},{"dropping-particle":"","family":"Barton","given":"Victoria E.","non-dropping-particle":"","parse-names":false,"suffix":""},{"dropping-particle":"","family":"Panchana","given":"Matthew","non-dropping-particle":"","parse-names":false,"suffix":""},{"dropping-particle":"","family":"Charoensutthivarakul","given":"Sitthivut","non-dropping-particle":"","parse-names":false,"suffix":""},{"dropping-particle":"","family":"Biagini","given":"Giancarlo A.","non-dropping-particle":"","parse-names":false,"suffix":""},{"dropping-particle":"","family":"Ward","given":"Stephen A.","non-dropping-particle":"","parse-names":false,"suffix":""},{"dropping-particle":"","family":"O'Neill","given":"Paul M.","non-dropping-particle":"","parse-names":false,"suffix":""}],"container-title":"Angewandte Chemie - International Edition","id":"ITEM-3","issue":"22","issued":{"date-parts":[["2016"]]},"page":"6401-6405","title":"A click chemistry-based proteomic approach reveals that 1,2,4-trioxolane and artemisinin antimalarials share a common protein alkylation profile","type":"article-journal","volume":"55"},"uris":["http://www.mendeley.com/documents/?uuid=a5981ea1-58dc-42c2-9d6e-eca13a70676b","http://www.mendeley.com/documents/?uuid=e7242e5d-f928-4209-9d61-2e5f3fbfa5eb","http://www.mendeley.com/documents/?uuid=1edf4ad0-036c-4525-babc-4a2c082e04e7"]},{"id":"ITEM-4","itemData":{"DOI":"10.1021/acsinfecdis.9b00264","ISSN":"23738227","PMID":"31626733","abstract":"Antimalarial peroxides such as the phytochemical artemisinin or the synthetic ozonides arterolane and artefenomel undergo reductive cleavage of the pharmacophoric peroxide bond by ferrous heme, released by parasite hemoglobin digestion. The generated carbon-centered radicals alkylate heme in an intramolecular reaction and proteins in an intermolecular reaction. Here, we determine the proteinaceous alkylation signatures of artemisinin and synthetic ozonides in Plasmodium falciparum using alkyne click chemistry probes to identify target proteins by affinity purification and mass spectrometry-based proteomics. Using stringent controls and purification procedures, we identified 25 P. falciparum proteins that were alkylated by the antimalarial peroxides in a peroxide-dependent manner, but the alkylation patterns were more random than we had anticipated. Moreover, there was little overlap in the alkylation signatures identified in this work and those disclosed in previous studies. Our findings suggest that alkylation of parasite proteins by antimalarial peroxides is likely to be a nonspecific, stochastic process.","author":[{"dropping-particle":"","family":"Jourdan","given":"Joëlle","non-dropping-particle":"","parse-names":false,"suffix":""},{"dropping-particle":"","family":"Walz","given":"Annabelle","non-dropping-particle":"","parse-names":false,"suffix":""},{"dropping-particle":"","family":"Matile","given":"Hugues","non-dropping-particle":"","parse-names":false,"suffix":""},{"dropping-particle":"","family":"Schmidt","given":"Alexander","non-dropping-particle":"","parse-names":false,"suffix":""},{"dropping-particle":"","family":"Wu","given":"Jianbo","non-dropping-particle":"","parse-names":false,"suffix":""},{"dropping-particle":"","family":"Wang","given":"Xiaofang","non-dropping-particle":"","parse-names":false,"suffix":""},{"dropping-particle":"","family":"Dong","given":"Yuxiang","non-dropping-particle":"","parse-names":false,"suffix":""},{"dropping-particle":"","family":"Vennerstrom","given":"Jonathan L.","non-dropping-particle":"","parse-names":false,"suffix":""},{"dropping-particle":"","family":"Schmidt","given":"Remo S.","non-dropping-particle":"","parse-names":false,"suffix":""},{"dropping-particle":"","family":"Wittlin","given":"Sergio","non-dropping-particle":"","parse-names":false,"suffix":""},{"dropping-particle":"","family":"Mäser","given":"Pascal","non-dropping-particle":"","parse-names":false,"suffix":""}],"container-title":"ACS Infectious Diseases","id":"ITEM-4","issue":"12","issued":{"date-parts":[["2019"]]},"page":"2067-2075","title":"Stochastic Protein Alkylation by Antimalarial Peroxides","type":"article-journal","volume":"5"},"uris":["http://www.mendeley.com/documents/?uuid=edbd6067-6b71-400c-a71e-dc0c307aa6e9","http://www.mendeley.com/documents/?uuid=e9f78385-0491-4eaa-a33a-9238a469d0b5","http://www.mendeley.com/documents/?uuid=2a963369-25a4-416b-9afc-c2222d088aea"]}],"mendeley":{"formattedCitation":"&lt;sup&gt;47,68–70&lt;/sup&gt;","plainTextFormattedCitation":"47,68–70","previouslyFormattedCitation":"&lt;sup&gt;47,68–70&lt;/sup&gt;"},"properties":{"noteIndex":0},"schema":"https://github.com/citation-style-language/schema/raw/master/csl-citation.json"}</w:instrText>
      </w:r>
      <w:r w:rsidR="00536DE9" w:rsidRPr="00C07E8E">
        <w:rPr>
          <w:rFonts w:cs="Times New Roman"/>
          <w:color w:val="auto"/>
          <w:szCs w:val="22"/>
        </w:rPr>
        <w:fldChar w:fldCharType="separate"/>
      </w:r>
      <w:r w:rsidR="007125A3" w:rsidRPr="007125A3">
        <w:rPr>
          <w:rFonts w:cs="Times New Roman"/>
          <w:noProof/>
          <w:color w:val="auto"/>
          <w:szCs w:val="22"/>
          <w:vertAlign w:val="superscript"/>
        </w:rPr>
        <w:t>47,68–70</w:t>
      </w:r>
      <w:r w:rsidR="00536DE9" w:rsidRPr="00C07E8E">
        <w:rPr>
          <w:rFonts w:cs="Times New Roman"/>
          <w:color w:val="auto"/>
          <w:szCs w:val="22"/>
        </w:rPr>
        <w:fldChar w:fldCharType="end"/>
      </w:r>
      <w:r w:rsidR="00536DE9" w:rsidRPr="00C07E8E">
        <w:rPr>
          <w:rFonts w:cs="Times New Roman"/>
          <w:color w:val="auto"/>
          <w:szCs w:val="22"/>
        </w:rPr>
        <w:t xml:space="preserve">    </w:t>
      </w:r>
      <w:r w:rsidRPr="00C07E8E">
        <w:rPr>
          <w:rFonts w:cs="Times New Roman"/>
          <w:color w:val="auto"/>
          <w:szCs w:val="22"/>
        </w:rPr>
        <w:t xml:space="preserve"> </w:t>
      </w:r>
    </w:p>
    <w:p w14:paraId="0ADCC8CB" w14:textId="77777777" w:rsidR="006B71A6" w:rsidRPr="00C07E8E" w:rsidRDefault="006B71A6" w:rsidP="00532D1D">
      <w:pPr>
        <w:autoSpaceDE w:val="0"/>
        <w:autoSpaceDN w:val="0"/>
        <w:adjustRightInd w:val="0"/>
        <w:rPr>
          <w:rFonts w:cs="Times New Roman"/>
          <w:color w:val="auto"/>
          <w:szCs w:val="22"/>
        </w:rPr>
      </w:pPr>
    </w:p>
    <w:p w14:paraId="530FDB01" w14:textId="2DCE6814" w:rsidR="006B71A6" w:rsidRPr="00C07E8E" w:rsidRDefault="00730A60" w:rsidP="00532D1D">
      <w:pPr>
        <w:autoSpaceDE w:val="0"/>
        <w:autoSpaceDN w:val="0"/>
        <w:adjustRightInd w:val="0"/>
        <w:jc w:val="center"/>
        <w:rPr>
          <w:rFonts w:cs="Times New Roman"/>
          <w:color w:val="auto"/>
          <w:szCs w:val="22"/>
        </w:rPr>
      </w:pPr>
      <w:r w:rsidRPr="00C07E8E">
        <w:rPr>
          <w:noProof/>
          <w:szCs w:val="22"/>
        </w:rPr>
        <w:object w:dxaOrig="9124" w:dyaOrig="2913" w14:anchorId="7102653F">
          <v:shape id="_x0000_i1028" type="#_x0000_t75" alt="" style="width:456pt;height:145.8pt" o:ole="">
            <v:imagedata r:id="rId12" o:title=""/>
          </v:shape>
          <o:OLEObject Type="Embed" ProgID="ChemDraw.Document.6.0" ShapeID="_x0000_i1028" DrawAspect="Content" ObjectID="_1669219462" r:id="rId13"/>
        </w:object>
      </w:r>
    </w:p>
    <w:p w14:paraId="2251853D" w14:textId="084AE655" w:rsidR="006B71A6"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 xml:space="preserve">Figure </w:t>
      </w:r>
      <w:r w:rsidR="00D52B17" w:rsidRPr="00C07E8E">
        <w:rPr>
          <w:rFonts w:cs="Times New Roman"/>
          <w:b/>
          <w:bCs/>
          <w:color w:val="auto"/>
          <w:szCs w:val="22"/>
        </w:rPr>
        <w:t>3</w:t>
      </w:r>
      <w:r w:rsidRPr="00C07E8E">
        <w:rPr>
          <w:rFonts w:cs="Times New Roman"/>
          <w:b/>
          <w:bCs/>
          <w:color w:val="auto"/>
          <w:szCs w:val="22"/>
        </w:rPr>
        <w:t>:</w:t>
      </w:r>
      <w:r w:rsidRPr="00C07E8E">
        <w:rPr>
          <w:rFonts w:cs="Times New Roman"/>
          <w:color w:val="auto"/>
          <w:szCs w:val="22"/>
        </w:rPr>
        <w:t xml:space="preserve"> Peroxide-based probes with clickable alkyne and azide groups: (a) Artemisinin derivatives and their controls (</w:t>
      </w:r>
      <w:r w:rsidR="00D52B17" w:rsidRPr="00C07E8E">
        <w:rPr>
          <w:rFonts w:cs="Times New Roman"/>
          <w:b/>
          <w:bCs/>
          <w:color w:val="auto"/>
          <w:szCs w:val="22"/>
        </w:rPr>
        <w:t>1</w:t>
      </w:r>
      <w:r w:rsidR="00BF291B">
        <w:rPr>
          <w:rFonts w:cs="Times New Roman"/>
          <w:b/>
          <w:bCs/>
          <w:color w:val="auto"/>
          <w:szCs w:val="22"/>
        </w:rPr>
        <w:t>2</w:t>
      </w:r>
      <w:r w:rsidRPr="00C07E8E">
        <w:rPr>
          <w:rFonts w:cs="Times New Roman"/>
          <w:color w:val="auto"/>
          <w:szCs w:val="22"/>
        </w:rPr>
        <w:t xml:space="preserve"> from Wang </w:t>
      </w:r>
      <w:r w:rsidRPr="00C07E8E">
        <w:rPr>
          <w:rFonts w:cs="Times New Roman"/>
          <w:i/>
          <w:iCs/>
          <w:color w:val="auto"/>
          <w:szCs w:val="22"/>
        </w:rPr>
        <w:t>et al</w:t>
      </w:r>
      <w:r w:rsidRPr="00C07E8E">
        <w:rPr>
          <w:rFonts w:cs="Times New Roman"/>
          <w:color w:val="auto"/>
          <w:szCs w:val="22"/>
        </w:rPr>
        <w:t>.</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{"citationItems":[{"id":"ITEM-1","itemData":{"DOI":"10.1038/ncomms10111","ISSN":"20411723","PMID":"26694030","abstract":"The mechanism of action of artemisinin and its derivatives, the most potent of the anti-malarial drugs, is not completely understood. Here we present an unbiased chemical proteomics analysis to directly explore this mechanism in Plasmodium falciparum. We use an alkyne-tagged artemisinin analogue coupled with biotin to identify 124 artemisinin covalent binding protein targets, many of which are involved in the essential biological processes of the parasite. Such a broad targeting spectrum disrupts the biochemical landscape of the parasite and causes its death. Furthermore, using alkyne-tagged artemisinin coupled with a fluorescent dye to monitor protein binding, we show that haem, rather than free ferrous iron, is predominantly responsible for artemisinin activation. The haem derives primarily from the parasite's haem biosynthesis pathway at the early ring stage and from haemoglobin digestion at the latter stages. Our results support a unifying model to explain the action and specificity of artemisinin in parasite killing.","author":[{"dropping-particle":"","family":"Wang","given":"Jigang","non-dropping-particle":"","parse-names":false,"suffix":""},{"dropping-particle":"","family":"Zhang","given":"Chong Jing","non-dropping-particle":"","parse-names":false,"suffix":""},{"dropping-particle":"","family":"Chia","given":"Wan Ni","non-dropping-particle":"","parse-names":false,"suffix":""},{"dropping-particle":"","family":"Loh","given":"Cheryl C.Y.","non-dropping-particle":"","parse-names":false,"suffix":""},{"dropping-particle":"","family":"Li","given":"Zhengjun","non-dropping-particle":"","parse-names":false,"suffix":""},{"dropping-particle":"","family":"Lee","given":"Yew Mun","non-dropping-particle":"","parse-names":false,"suffix":""},{"dropping-particle":"","family":"He","given":"Yingke","non-dropping-particle":"","parse-names":false,"suffix":""},{"dropping-particle":"","family":"Yuan","given":"Li Xia","non-dropping-particle":"","parse-names":false,"suffix":""},{"dropping-particle":"","family":"Lim","given":"Teck Kwang","non-dropping-particle":"","parse-names":false,"suffix":""},{"dropping-particle":"","family":"Liu","given":"Min","non-dropping-particle":"","parse-names":false,"suffix":""},{"dropping-particle":"","family":"Liew","given":"Chin Xia","non-dropping-particle":"","parse-names":false,"suffix":""},{"dropping-particle":"","family":"Lee","given":"Yan Quan","non-dropping-particle":"","parse-names":false,"suffix":""},{"dropping-particle":"","family":"Zhang","given":"Jianbin","non-dropping-particle":"","parse-names":false,"suffix":""},{"dropping-particle":"","family":"Lu","given":"Nianci","non-dropping-particle":"","parse-names":false,"suffix":""},{"dropping-particle":"","family":"Lim","given":"Chwee Teck","non-dropping-particle":"","parse-names":false,"suffix":""},{"dropping-particle":"","family":"Hua","given":"Zi Chun","non-dropping-particle":"","parse-names":false,"suffix":""},{"dropping-particle":"","family":"Liu","given":"Bin","non-dropping-particle":"","parse-names":false,"suffix":""},{"dropping-particle":"","family":"Shen","given":"Han Ming","non-dropping-particle":"","parse-names":false,"suffix":""},{"dropping-particle":"","family":"Tan","given":"Kevin S.W.","non-dropping-particle":"","parse-names":false,"suffix":""},{"dropping-particle":"","family":"Lin","given":"Qingsong","non-dropping-particle":"","parse-names":false,"suffix":""}],"container-title":"Nature Communications","id":"ITEM-1","issued":{"date-parts":[["2015"]]},"page":"10111","publisher":"Nature Publishing Group","title":"Haem-activated promiscuous targeting of artemisinin in Plasmodium falciparum","type":"article-journal","volume":"6"},"uris":["http://www.mendeley.com/documents/?uuid=045c0bf2-ed03-43c7-a6e9-e9893c338873","http://www.mendeley.com/documents/?uuid=6cba74ff-ed98-4467-838d-c44cfa117be4"]}],"mendeley":{"formattedCitation":"&lt;sup&gt;47&lt;/sup&gt;","plainTextFormattedCitation":"47","previouslyFormattedCitation":"&lt;sup&gt;47&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47</w:t>
      </w:r>
      <w:r w:rsidRPr="00C07E8E">
        <w:rPr>
          <w:rFonts w:cs="Times New Roman"/>
          <w:color w:val="auto"/>
          <w:szCs w:val="22"/>
        </w:rPr>
        <w:fldChar w:fldCharType="end"/>
      </w:r>
      <w:r w:rsidRPr="00C07E8E">
        <w:rPr>
          <w:rFonts w:cs="Times New Roman"/>
          <w:color w:val="auto"/>
          <w:szCs w:val="22"/>
        </w:rPr>
        <w:t xml:space="preserve"> and </w:t>
      </w:r>
      <w:r w:rsidR="00D52B17" w:rsidRPr="00C07E8E">
        <w:rPr>
          <w:rFonts w:cs="Times New Roman"/>
          <w:b/>
          <w:bCs/>
          <w:color w:val="auto"/>
          <w:szCs w:val="22"/>
        </w:rPr>
        <w:t>1</w:t>
      </w:r>
      <w:r w:rsidR="00BF291B">
        <w:rPr>
          <w:rFonts w:cs="Times New Roman"/>
          <w:b/>
          <w:bCs/>
          <w:color w:val="auto"/>
          <w:szCs w:val="22"/>
        </w:rPr>
        <w:t>3</w:t>
      </w:r>
      <w:r w:rsidRPr="00C07E8E">
        <w:rPr>
          <w:rFonts w:cs="Times New Roman"/>
          <w:color w:val="auto"/>
          <w:szCs w:val="22"/>
        </w:rPr>
        <w:t>-</w:t>
      </w:r>
      <w:r w:rsidR="00D52B17" w:rsidRPr="00C07E8E">
        <w:rPr>
          <w:rFonts w:cs="Times New Roman"/>
          <w:b/>
          <w:bCs/>
          <w:color w:val="auto"/>
          <w:szCs w:val="22"/>
        </w:rPr>
        <w:t>1</w:t>
      </w:r>
      <w:r w:rsidR="00BF291B">
        <w:rPr>
          <w:rFonts w:cs="Times New Roman"/>
          <w:b/>
          <w:bCs/>
          <w:color w:val="auto"/>
          <w:szCs w:val="22"/>
        </w:rPr>
        <w:t>6</w:t>
      </w:r>
      <w:r w:rsidRPr="00C07E8E">
        <w:rPr>
          <w:rFonts w:cs="Times New Roman"/>
          <w:color w:val="auto"/>
          <w:szCs w:val="22"/>
        </w:rPr>
        <w:t xml:space="preserve"> from Ismail </w:t>
      </w:r>
      <w:r w:rsidRPr="00C07E8E">
        <w:rPr>
          <w:rFonts w:cs="Times New Roman"/>
          <w:i/>
          <w:iCs/>
          <w:color w:val="auto"/>
          <w:szCs w:val="22"/>
        </w:rPr>
        <w:t>et al</w:t>
      </w:r>
      <w:r w:rsidRPr="00C07E8E">
        <w:rPr>
          <w:rFonts w:cs="Times New Roman"/>
          <w:color w:val="auto"/>
          <w:szCs w:val="22"/>
        </w:rPr>
        <w:t>.</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{"citationItems":[{"id":"ITEM-1","itemData":{"DOI":"10.1073/pnas.1600459113","ISSN":"10916490","PMID":"26858419","abstract":"The artemisinin (ART)-based antimalarials have contributed significantly to reducing global malaria deaths over the past decade, but we still do not know how they kill parasites. To gain greater insight into the potential mechanisms of ART drug action, we developed a suite of ART activity-based protein profiling probes to identify parasite protein drug targets in situ. Probes were designed to retain biological activity and alkylate the molecular target(s) of Plasmodium falciparum 3D7 parasites in situ. Proteins tagged with the ART probe can then be isolated using click chemistry before identification by liquid chromatography-MS/MS. Using these probes, we define an ART proteome that shows alkylated targets in the glycolytic, hemoglobin degradation, antioxidant defense, and protein synthesis pathways, processes essential for parasite survival. This work reveals the pleiotropic nature of the biological functions targeted by this important class of antimalarial drugs.","author":[{"dropping-particle":"","family":"Ismail","given":"Hanafy M.","non-dropping-particle":"","parse-names":false,"suffix":""},{"dropping-particle":"","family":"Barton","given":"Victoria","non-dropping-particle":"","parse-names":false,"suffix":""},{"dropping-particle":"","family":"Phanchana","given":"Matthew","non-dropping-particle":"","parse-names":false,"suffix":""},{"dropping-particle":"","family":"Charoensutthivarakul","given":"Sitthivut","non-dropping-particle":"","parse-names":false,"suffix":""},{"dropping-particle":"","family":"Wong","given":"Michael H.L.","non-dropping-particle":"","parse-names":false,"suffix":""},{"dropping-particle":"","family":"Hemingway","given":"Janet","non-dropping-particle":"","parse-names":false,"suffix":""},{"dropping-particle":"","family":"Biagini","given":"Giancarlo A.","non-dropping-particle":"","parse-names":false,"suffix":""},{"dropping-particle":"","family":"O'Neill","given":"Paul M.","non-dropping-particle":"","parse-names":false,"suffix":""},{"dropping-particle":"","family":"Ward","given":"Stephen A.","non-dropping-particle":"","parse-names":false,"suffix":""}],"container-title":"Proceedings of the National Academy of Sciences of the United States of America","id":"ITEM-1","issue":"8","issued":{"date-parts":[["2016"]]},"page":"2080-2085","title":"Artemisinin activity-based probes identify multiple molecular targets within the asexual stage of the malaria parasites Plasmodium falciparum 3D7","type":"article-journal","volume":"113"},"uris":["http://www.mendeley.com/documents/?uuid=48ddd873-4a39-471f-8ad4-4b8d0c8b9b46","http://www.mendeley.com/documents/?uuid=afe57f3c-81e6-4e07-8822-892502e76e83"]}],"mendeley":{"formattedCitation":"&lt;sup&gt;68&lt;/sup&gt;","plainTextFormattedCitation":"68","previouslyFormattedCitation":"&lt;sup&gt;68&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68</w:t>
      </w:r>
      <w:r w:rsidRPr="00C07E8E">
        <w:rPr>
          <w:rFonts w:cs="Times New Roman"/>
          <w:color w:val="auto"/>
          <w:szCs w:val="22"/>
        </w:rPr>
        <w:fldChar w:fldCharType="end"/>
      </w:r>
      <w:r w:rsidRPr="00C07E8E">
        <w:rPr>
          <w:rFonts w:cs="Times New Roman"/>
          <w:color w:val="auto"/>
          <w:szCs w:val="22"/>
        </w:rPr>
        <w:t>);</w:t>
      </w:r>
    </w:p>
    <w:p w14:paraId="2C7140C4" w14:textId="77777777" w:rsidR="006B71A6" w:rsidRPr="00C07E8E" w:rsidRDefault="006B71A6" w:rsidP="00532D1D">
      <w:pPr>
        <w:autoSpaceDE w:val="0"/>
        <w:autoSpaceDN w:val="0"/>
        <w:adjustRightInd w:val="0"/>
        <w:rPr>
          <w:rFonts w:cs="Times New Roman"/>
          <w:color w:val="auto"/>
          <w:szCs w:val="22"/>
        </w:rPr>
      </w:pPr>
    </w:p>
    <w:p w14:paraId="0FCE5D3F" w14:textId="3C731283" w:rsidR="00536DE9"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Infected </w:t>
      </w:r>
      <w:r w:rsidRPr="00C07E8E">
        <w:rPr>
          <w:rFonts w:cs="Times New Roman"/>
          <w:i/>
          <w:iCs/>
          <w:color w:val="auto"/>
          <w:szCs w:val="22"/>
        </w:rPr>
        <w:t>P. falciparum</w:t>
      </w:r>
      <w:r w:rsidRPr="00C07E8E">
        <w:rPr>
          <w:rFonts w:cs="Times New Roman"/>
          <w:color w:val="auto"/>
          <w:szCs w:val="22"/>
        </w:rPr>
        <w:t xml:space="preserve"> erythrocytes were treated with the endoperoxide probes. Following incubation, if probes were active against the </w:t>
      </w:r>
      <w:r w:rsidR="00E52378" w:rsidRPr="00C07E8E">
        <w:rPr>
          <w:rFonts w:cs="Times New Roman"/>
          <w:color w:val="auto"/>
          <w:szCs w:val="22"/>
        </w:rPr>
        <w:t>parasite,</w:t>
      </w:r>
      <w:r w:rsidRPr="00C07E8E">
        <w:rPr>
          <w:rFonts w:cs="Times New Roman"/>
          <w:color w:val="auto"/>
          <w:szCs w:val="22"/>
        </w:rPr>
        <w:t xml:space="preserve"> they would promote activation and</w:t>
      </w:r>
      <w:r w:rsidR="00C21CF5" w:rsidRPr="00C07E8E">
        <w:rPr>
          <w:rFonts w:cs="Times New Roman"/>
          <w:color w:val="auto"/>
          <w:szCs w:val="22"/>
        </w:rPr>
        <w:t xml:space="preserve"> lead to</w:t>
      </w:r>
      <w:r w:rsidRPr="00C07E8E">
        <w:rPr>
          <w:rFonts w:cs="Times New Roman"/>
          <w:color w:val="auto"/>
          <w:szCs w:val="22"/>
        </w:rPr>
        <w:t xml:space="preserve"> parasite protein</w:t>
      </w:r>
      <w:r w:rsidR="00E52378" w:rsidRPr="00C07E8E">
        <w:rPr>
          <w:rFonts w:cs="Times New Roman"/>
          <w:color w:val="auto"/>
          <w:szCs w:val="22"/>
        </w:rPr>
        <w:t>s</w:t>
      </w:r>
      <w:r w:rsidRPr="00C07E8E">
        <w:rPr>
          <w:rFonts w:cs="Times New Roman"/>
          <w:color w:val="auto"/>
          <w:szCs w:val="22"/>
        </w:rPr>
        <w:t>' covalent binding. The probes consisted of an antimalarially active endoperoxide tagged with biotin or a fluorescent label, via a click reaction, and the alkylated proteins could be identified by mass spectrometry techniques (LC–MS/MS) or processed in 1D-Gel analysis.</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{"citationItems":[{"id":"ITEM-1","itemData":{"DOI":"10.1038/ncomms10111","ISSN":"20411723","PMID":"26694030","abstract":"The mechanism of action of artemisinin and its derivatives, the most potent of the anti-malarial drugs, is not completely understood. Here we present an unbiased chemical proteomics analysis to directly explore this mechanism in Plasmodium falciparum. We use an alkyne-tagged artemisinin analogue coupled with biotin to identify 124 artemisinin covalent binding protein targets, many of which are involved in the essential biological processes of the parasite. Such a broad targeting spectrum disrupts the biochemical landscape of the parasite and causes its death. Furthermore, using alkyne-tagged artemisinin coupled with a fluorescent dye to monitor protein binding, we show that haem, rather than free ferrous iron, is predominantly responsible for artemisinin activation. The haem derives primarily from the parasite's haem biosynthesis pathway at the early ring stage and from haemoglobin digestion at the latter stages. Our results support a unifying model to explain the action and specificity of artemisinin in parasite killing.","author":[{"dropping-particle":"","family":"Wang","given":"Jigang","non-dropping-particle":"","parse-names":false,"suffix":""},{"dropping-particle":"","family":"Zhang","given":"Chong Jing","non-dropping-particle":"","parse-names":false,"suffix":""},{"dropping-particle":"","family":"Chia","given":"Wan Ni","non-dropping-particle":"","parse-names":false,"suffix":""},{"dropping-particle":"","family":"Loh","given":"Cheryl C.Y.","non-dropping-particle":"","parse-names":false,"suffix":""},{"dropping-particle":"","family":"Li","given":"Zhengjun","non-dropping-particle":"","parse-names":false,"suffix":""},{"dropping-particle":"","family":"Lee","given":"Yew Mun","non-dropping-particle":"","parse-names":false,"suffix":""},{"dropping-particle":"","family":"He","given":"Yingke","non-dropping-particle":"","parse-names":false,"suffix":""},{"dropping-particle":"","family":"Yuan","given":"Li Xia","non-dropping-particle":"","parse-names":false,"suffix":""},{"dropping-particle":"","family":"Lim","given":"Teck Kwang","non-dropping-particle":"","parse-names":false,"suffix":""},{"dropping-particle":"","family":"Liu","given":"Min","non-dropping-particle":"","parse-names":false,"suffix":""},{"dropping-particle":"","family":"Liew","given":"Chin Xia","non-dropping-particle":"","parse-names":false,"suffix":""},{"dropping-particle":"","family":"Lee","given":"Yan Quan","non-dropping-particle":"","parse-names":false,"suffix":""},{"dropping-particle":"","family":"Zhang","given":"Jianbin","non-dropping-particle":"","parse-names":false,"suffix":""},{"dropping-particle":"","family":"Lu","given":"Nianci","non-dropping-particle":"","parse-names":false,"suffix":""},{"dropping-particle":"","family":"Lim","given":"Chwee Teck","non-dropping-particle":"","parse-names":false,"suffix":""},{"dropping-particle":"","family":"Hua","given":"Zi Chun","non-dropping-particle":"","parse-names":false,"suffix":""},{"dropping-particle":"","family":"Liu","given":"Bin","non-dropping-particle":"","parse-names":false,"suffix":""},{"dropping-particle":"","family":"Shen","given":"Han Ming","non-dropping-particle":"","parse-names":false,"suffix":""},{"dropping-particle":"","family":"Tan","given":"Kevin S.W.","non-dropping-particle":"","parse-names":false,"suffix":""},{"dropping-particle":"","family":"Lin","given":"Qingsong","non-dropping-particle":"","parse-names":false,"suffix":""}],"container-title":"Nature Communications","id":"ITEM-1","issued":{"date-parts":[["2015"]]},"page":"10111","publisher":"Nature Publishing Group","title":"Haem-activated promiscuous targeting of artemisinin in Plasmodium falciparum","type":"article-journal","volume":"6"},"uris":["http://www.mendeley.com/documents/?uuid=045c0bf2-ed03-43c7-a6e9-e9893c338873","http://www.mendeley.com/documents/?uuid=6cba74ff-ed98-4467-838d-c44cfa117be4"]},{"id":"ITEM-2","itemData":{"DOI":"10.1073/pnas.1600459113","ISSN":"10916490","PMID":"26858419","abstract":"The artemisinin (ART)-based antimalarials have contributed significantly to reducing global malaria deaths over the past decade, but we still do not know how they kill parasites. To gain greater insight into the potential mechanisms of ART drug action, we developed a suite of ART activity-based protein profiling probes to identify parasite protein drug targets in situ. Probes were designed to retain biological activity and alkylate the molecular target(s) of Plasmodium falciparum 3D7 parasites in situ. Proteins tagged with the ART probe can then be isolated using click chemistry before identification by liquid chromatography-MS/MS. Using these probes, we define an ART proteome that shows alkylated targets in the glycolytic, hemoglobin degradation, antioxidant defense, and protein synthesis pathways, processes essential for parasite survival. This work reveals the pleiotropic nature of the biological functions targeted by this important class of antimalarial drugs.","author":[{"dropping-particle":"","family":"Ismail","given":"Hanafy M.","non-dropping-particle":"","parse-names":false,"suffix":""},{"dropping-particle":"","family":"Barton","given":"Victoria","non-dropping-particle":"","parse-names":false,"suffix":""},{"dropping-particle":"","family":"Phanchana","given":"Matthew","non-dropping-particle":"","parse-names":false,"suffix":""},{"dropping-particle":"","family":"Charoensutthivarakul","given":"Sitthivut","non-dropping-particle":"","parse-names":false,"suffix":""},{"dropping-particle":"","family":"Wong","given":"Michael H.L.","non-dropping-particle":"","parse-names":false,"suffix":""},{"dropping-particle":"","family":"Hemingway","given":"Janet","non-dropping-particle":"","parse-names":false,"suffix":""},{"dropping-particle":"","family":"Biagini","given":"Giancarlo A.","non-dropping-particle":"","parse-names":false,"suffix":""},{"dropping-particle":"","family":"O'Neill","given":"Paul M.","non-dropping-particle":"","parse-names":false,"suffix":""},{"dropping-particle":"","family":"Ward","given":"Stephen A.","non-dropping-particle":"","parse-names":false,"suffix":""}],"container-title":"Proceedings of the National Academy of Sciences of the United States of America","id":"ITEM-2","issue":"8","issued":{"date-parts":[["2016"]]},"page":"2080-2085","title":"Artemisinin activity-based probes identify multiple molecular targets within the asexual stage of the malaria parasites Plasmodium falciparum 3D7","type":"article-journal","volume":"113"},"uris":["http://www.mendeley.com/documents/?uuid=48ddd873-4a39-471f-8ad4-4b8d0c8b9b46","http://www.mendeley.com/documents/?uuid=afe57f3c-81e6-4e07-8822-892502e76e83","http://www.mendeley.com/documents/?uuid=e0300e8e-4af6-4850-befb-3018b9a05cc0"]},{"id":"ITEM-3","itemData":{"DOI":"10.1002/anie.201512062","ISSN":"15213773","PMID":"27089538","abstract":"In spite of the recent increase in endoperoxide antimalarials under development, it remains unclear if all these chemotypes share a common mechanism of action. This is important since it will influence cross-resistance risks between the different classes. Here we investigate this proposition using novel clickable 1,2,4-trioxolane activity based protein-profiling probes (ABPPs). ABPPs with potent antimalarial activity were able to alkylate protein target(s) within the asexual erythrocytic stage of Plasmodium falciparum (3D7). Importantly, comparison of the alkylation fingerprint with that generated from an artemisinin ABPP equivalent confirms a highly conserved alkylation profile, with both endoperoxide classes targeting proteins in the glycolytic, hemoglobin degradation, antioxidant defence, protein synthesis and protein stress pathways, essential biological processes for plasmodial survival. The alkylation signatures of the two chemotypes show significant overlap (ca. 90 %) both qualitatively and semi-quantitatively, suggesting a common mechanism of action that raises concerns about potential cross-resistance liabilities. Clickable 1,2,4-trioxolane activity-based protein-profiling probes (ABPPs) were designed to retain antimalarial activity and alkylate the molecular targets of the blood stage of Plasmodium falciparum in situ. Comparison of the 1,2,4-trioxolane protein alkylation signature with the corresponding artemisinin ABPPs indicates that both drug classes target key proteins in the glycolytic, hemoglobin degradation, antioxidant defence and protein synthesis pathways.","author":[{"dropping-particle":"","family":"Ismail","given":"Hanafy M.","non-dropping-particle":"","parse-names":false,"suffix":""},{"dropping-particle":"","family":"Barton","given":"Victoria E.","non-dropping-particle":"","parse-names":false,"suffix":""},{"dropping-particle":"","family":"Panchana","given":"Matthew","non-dropping-particle":"","parse-names":false,"suffix":""},{"dropping-particle":"","family":"Charoensutthivarakul","given":"Sitthivut","non-dropping-particle":"","parse-names":false,"suffix":""},{"dropping-particle":"","family":"Biagini","given":"Giancarlo A.","non-dropping-particle":"","parse-names":false,"suffix":""},{"dropping-particle":"","family":"Ward","given":"Stephen A.","non-dropping-particle":"","parse-names":false,"suffix":""},{"dropping-particle":"","family":"O'Neill","given":"Paul M.","non-dropping-particle":"","parse-names":false,"suffix":""}],"container-title":"Angewandte Chemie - International Edition","id":"ITEM-3","issue":"22","issued":{"date-parts":[["2016"]]},"page":"6401-6405","title":"A click chemistry-based proteomic approach reveals that 1,2,4-trioxolane and artemisinin antimalarials share a common protein alkylation profile","type":"article-journal","volume":"55"},"uris":["http://www.mendeley.com/documents/?uuid=a5981ea1-58dc-42c2-9d6e-eca13a70676b","http://www.mendeley.com/documents/?uuid=e7242e5d-f928-4209-9d61-2e5f3fbfa5eb","http://www.mendeley.com/documents/?uuid=1edf4ad0-036c-4525-babc-4a2c082e04e7"]},{"id":"ITEM-4","itemData":{"DOI":"10.1021/acsinfecdis.9b00264","ISSN":"23738227","PMID":"31626733","abstract":"Antimalarial peroxides such as the phytochemical artemisinin or the synthetic ozonides arterolane and artefenomel undergo reductive cleavage of the pharmacophoric peroxide bond by ferrous heme, released by parasite hemoglobin digestion. The generated carbon-centered radicals alkylate heme in an intramolecular reaction and proteins in an intermolecular reaction. Here, we determine the proteinaceous alkylation signatures of artemisinin and synthetic ozonides in Plasmodium falciparum using alkyne click chemistry probes to identify target proteins by affinity purification and mass spectrometry-based proteomics. Using stringent controls and purification procedures, we identified 25 P. falciparum proteins that were alkylated by the antimalarial peroxides in a peroxide-dependent manner, but the alkylation patterns were more random than we had anticipated. Moreover, there was little overlap in the alkylation signatures identified in this work and those disclosed in previous studies. Our findings suggest that alkylation of parasite proteins by antimalarial peroxides is likely to be a nonspecific, stochastic process.","author":[{"dropping-particle":"","family":"Jourdan","given":"Joëlle","non-dropping-particle":"","parse-names":false,"suffix":""},{"dropping-particle":"","family":"Walz","given":"Annabelle","non-dropping-particle":"","parse-names":false,"suffix":""},{"dropping-particle":"","family":"Matile","given":"Hugues","non-dropping-particle":"","parse-names":false,"suffix":""},{"dropping-particle":"","family":"Schmidt","given":"Alexander","non-dropping-particle":"","parse-names":false,"suffix":""},{"dropping-particle":"","family":"Wu","given":"Jianbo","non-dropping-particle":"","parse-names":false,"suffix":""},{"dropping-particle":"","family":"Wang","given":"Xiaofang","non-dropping-particle":"","parse-names":false,"suffix":""},{"dropping-particle":"","family":"Dong","given":"Yuxiang","non-dropping-particle":"","parse-names":false,"suffix":""},{"dropping-particle":"","family":"Vennerstrom","given":"Jonathan L.","non-dropping-particle":"","parse-names":false,"suffix":""},{"dropping-particle":"","family":"Schmidt","given":"Remo S.","non-dropping-particle":"","parse-names":false,"suffix":""},{"dropping-particle":"","family":"Wittlin","given":"Sergio","non-dropping-particle":"","parse-names":false,"suffix":""},{"dropping-particle":"","family":"Mäser","given":"Pascal","non-dropping-particle":"","parse-names":false,"suffix":""}],"container-title":"ACS Infectious Diseases","id":"ITEM-4","issue":"12","issued":{"date-parts":[["2019"]]},"page":"2067-2075","title":"Stochastic Protein Alkylation by Antimalarial Peroxides","type":"article-journal","volume":"5"},"uris":["http://www.mendeley.com/documents/?uuid=edbd6067-6b71-400c-a71e-dc0c307aa6e9","http://www.mendeley.com/documents/?uuid=e9f78385-0491-4eaa-a33a-9238a469d0b5","http://www.mendeley.com/documents/?uuid=2a963369-25a4-416b-9afc-c2222d088aea"]}],"mendeley":{"formattedCitation":"&lt;sup&gt;47,68–70&lt;/sup&gt;","plainTextFormattedCitation":"47,68–70","previouslyFormattedCitation":"&lt;sup&gt;47,68–70&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47,68–70</w:t>
      </w:r>
      <w:r w:rsidRPr="00C07E8E">
        <w:rPr>
          <w:rFonts w:cs="Times New Roman"/>
          <w:color w:val="auto"/>
          <w:szCs w:val="22"/>
        </w:rPr>
        <w:fldChar w:fldCharType="end"/>
      </w:r>
      <w:r w:rsidRPr="00C07E8E">
        <w:rPr>
          <w:rFonts w:cs="Times New Roman"/>
          <w:color w:val="auto"/>
          <w:szCs w:val="22"/>
        </w:rPr>
        <w:t xml:space="preserve">    </w:t>
      </w:r>
    </w:p>
    <w:p w14:paraId="7ADBFCA5" w14:textId="3B5491EC" w:rsidR="00731D35"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Wang </w:t>
      </w:r>
      <w:r w:rsidRPr="00C07E8E">
        <w:rPr>
          <w:rFonts w:cs="Times New Roman"/>
          <w:i/>
          <w:iCs/>
          <w:color w:val="auto"/>
          <w:szCs w:val="22"/>
        </w:rPr>
        <w:t>et al.</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{"citationItems":[{"id":"ITEM-1","itemData":{"DOI":"10.1038/ncomms10111","ISSN":"20411723","PMID":"26694030","abstract":"The mechanism of action of artemisinin and its derivatives, the most potent of the anti-malarial drugs, is not completely understood. Here we present an unbiased chemical proteomics analysis to directly explore this mechanism in Plasmodium falciparum. We use an alkyne-tagged artemisinin analogue coupled with biotin to identify 124 artemisinin covalent binding protein targets, many of which are involved in the essential biological processes of the parasite. Such a broad targeting spectrum disrupts the biochemical landscape of the parasite and causes its death. Furthermore, using alkyne-tagged artemisinin coupled with a fluorescent dye to monitor protein binding, we show that haem, rather than free ferrous iron, is predominantly responsible for artemisinin activation. The haem derives primarily from the parasite's haem biosynthesis pathway at the early ring stage and from haemoglobin digestion at the latter stages. Our results support a unifying model to explain the action and specificity of artemisinin in parasite killing.","author":[{"dropping-particle":"","family":"Wang","given":"Jigang","non-dropping-particle":"","parse-names":false,"suffix":""},{"dropping-particle":"","family":"Zhang","given":"Chong Jing","non-dropping-particle":"","parse-names":false,"suffix":""},{"dropping-particle":"","family":"Chia","given":"Wan Ni","non-dropping-particle":"","parse-names":false,"suffix":""},{"dropping-particle":"","family":"Loh","given":"Cheryl C.Y.","non-dropping-particle":"","parse-names":false,"suffix":""},{"dropping-particle":"","family":"Li","given":"Zhengjun","non-dropping-particle":"","parse-names":false,"suffix":""},{"dropping-particle":"","family":"Lee","given":"Yew Mun","non-dropping-particle":"","parse-names":false,"suffix":""},{"dropping-particle":"","family":"He","given":"Yingke","non-dropping-particle":"","parse-names":false,"suffix":""},{"dropping-particle":"","family":"Yuan","given":"Li Xia","non-dropping-particle":"","parse-names":false,"suffix":""},{"dropping-particle":"","family":"Lim","given":"Teck Kwang","non-dropping-particle":"","parse-names":false,"suffix":""},{"dropping-particle":"","family":"Liu","given":"Min","non-dropping-particle":"","parse-names":false,"suffix":""},{"dropping-particle":"","family":"Liew","given":"Chin Xia","non-dropping-particle":"","parse-names":false,"suffix":""},{"dropping-particle":"","family":"Lee","given":"Yan Quan","non-dropping-particle":"","parse-names":false,"suffix":""},{"dropping-particle":"","family":"Zhang","given":"Jianbin","non-dropping-particle":"","parse-names":false,"suffix":""},{"dropping-particle":"","family":"Lu","given":"Nianci","non-dropping-particle":"","parse-names":false,"suffix":""},{"dropping-particle":"","family":"Lim","given":"Chwee Teck","non-dropping-particle":"","parse-names":false,"suffix":""},{"dropping-particle":"","family":"Hua","given":"Zi Chun","non-dropping-particle":"","parse-names":false,"suffix":""},{"dropping-particle":"","family":"Liu","given":"Bin","non-dropping-particle":"","parse-names":false,"suffix":""},{"dropping-particle":"","family":"Shen","given":"Han Ming","non-dropping-particle":"","parse-names":false,"suffix":""},{"dropping-particle":"","family":"Tan","given":"Kevin S.W.","non-dropping-particle":"","parse-names":false,"suffix":""},{"dropping-particle":"","family":"Lin","given":"Qingsong","non-dropping-particle":"","parse-names":false,"suffix":""}],"container-title":"Nature Communications","id":"ITEM-1","issued":{"date-parts":[["2015"]]},"page":"10111","publisher":"Nature Publishing Group","title":"Haem-activated promiscuous targeting of artemisinin in Plasmodium falciparum","type":"article-journal","volume":"6"},"uris":["http://www.mendeley.com/documents/?uuid=045c0bf2-ed03-43c7-a6e9-e9893c338873","http://www.mendeley.com/documents/?uuid=6cba74ff-ed98-4467-838d-c44cfa117be4"]}],"mendeley":{"formattedCitation":"&lt;sup&gt;47&lt;/sup&gt;","plainTextFormattedCitation":"47","previouslyFormattedCitation":"&lt;sup&gt;47&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47</w:t>
      </w:r>
      <w:r w:rsidRPr="00C07E8E">
        <w:rPr>
          <w:rFonts w:cs="Times New Roman"/>
          <w:color w:val="auto"/>
          <w:szCs w:val="22"/>
        </w:rPr>
        <w:fldChar w:fldCharType="end"/>
      </w:r>
      <w:r w:rsidRPr="00C07E8E">
        <w:rPr>
          <w:rFonts w:cs="Times New Roman"/>
          <w:color w:val="auto"/>
          <w:szCs w:val="22"/>
        </w:rPr>
        <w:t xml:space="preserve"> used a non-optimised artemisinin-alkyne activity-based </w:t>
      </w:r>
      <w:r w:rsidR="000A17AF">
        <w:rPr>
          <w:rFonts w:cs="Times New Roman"/>
          <w:color w:val="auto"/>
          <w:szCs w:val="22"/>
        </w:rPr>
        <w:t>(</w:t>
      </w:r>
      <w:r w:rsidR="00D52B17" w:rsidRPr="00C07E8E">
        <w:rPr>
          <w:rFonts w:cs="Times New Roman"/>
          <w:b/>
          <w:bCs/>
          <w:color w:val="auto"/>
          <w:szCs w:val="22"/>
        </w:rPr>
        <w:t>1</w:t>
      </w:r>
      <w:r w:rsidR="00BF291B">
        <w:rPr>
          <w:rFonts w:cs="Times New Roman"/>
          <w:b/>
          <w:bCs/>
          <w:color w:val="auto"/>
          <w:szCs w:val="22"/>
        </w:rPr>
        <w:t>2</w:t>
      </w:r>
      <w:r w:rsidR="009C2372" w:rsidRPr="007370A6">
        <w:rPr>
          <w:rFonts w:cs="Times New Roman"/>
          <w:b/>
          <w:color w:val="auto"/>
          <w:szCs w:val="22"/>
        </w:rPr>
        <w:t>,</w:t>
      </w:r>
      <w:r w:rsidR="009C2372" w:rsidRPr="007125A3">
        <w:rPr>
          <w:rFonts w:cs="Times New Roman"/>
          <w:b/>
          <w:bCs/>
          <w:color w:val="auto"/>
          <w:szCs w:val="22"/>
        </w:rPr>
        <w:t xml:space="preserve"> </w:t>
      </w:r>
      <w:r w:rsidR="009C2372" w:rsidRPr="007370A6">
        <w:rPr>
          <w:rFonts w:cs="Times New Roman"/>
          <w:b/>
          <w:color w:val="auto"/>
          <w:szCs w:val="22"/>
        </w:rPr>
        <w:t>Figure 3</w:t>
      </w:r>
      <w:r w:rsidR="000A17AF" w:rsidRPr="000A17AF">
        <w:rPr>
          <w:rFonts w:cs="Times New Roman"/>
          <w:color w:val="auto"/>
          <w:szCs w:val="22"/>
        </w:rPr>
        <w:t>)</w:t>
      </w:r>
      <w:r w:rsidRPr="000A17AF">
        <w:rPr>
          <w:rFonts w:cs="Times New Roman"/>
          <w:color w:val="auto"/>
          <w:szCs w:val="22"/>
        </w:rPr>
        <w:t xml:space="preserve"> protein</w:t>
      </w:r>
      <w:r w:rsidRPr="00C07E8E">
        <w:rPr>
          <w:rFonts w:cs="Times New Roman"/>
          <w:color w:val="auto"/>
          <w:szCs w:val="22"/>
        </w:rPr>
        <w:t xml:space="preserve">-profiling probe associated </w:t>
      </w:r>
      <w:r w:rsidRPr="00606BE2">
        <w:rPr>
          <w:rFonts w:cs="Times New Roman"/>
          <w:color w:val="auto"/>
          <w:szCs w:val="22"/>
        </w:rPr>
        <w:t>with 124 artemisinin-alkylated proteins through click-chemistry procedures</w:t>
      </w:r>
      <w:r w:rsidR="003810B4" w:rsidRPr="00606BE2">
        <w:rPr>
          <w:rFonts w:cs="Times New Roman"/>
          <w:color w:val="auto"/>
          <w:szCs w:val="22"/>
        </w:rPr>
        <w:t xml:space="preserve">. </w:t>
      </w:r>
      <w:r w:rsidRPr="00606BE2">
        <w:rPr>
          <w:rFonts w:cs="Times New Roman"/>
          <w:color w:val="auto"/>
          <w:szCs w:val="22"/>
        </w:rPr>
        <w:t xml:space="preserve">The addition of free-iron chelator deferoxamine, in the presence of hemin or heme, was found to decrease the alkylation of a few protein targets slightly, but not all of them. </w:t>
      </w:r>
      <w:r w:rsidR="003810B4" w:rsidRPr="00606BE2">
        <w:rPr>
          <w:rFonts w:cs="Times New Roman"/>
          <w:color w:val="auto"/>
          <w:szCs w:val="22"/>
        </w:rPr>
        <w:t xml:space="preserve">This observation </w:t>
      </w:r>
      <w:r w:rsidR="007541CF" w:rsidRPr="00606BE2">
        <w:rPr>
          <w:rFonts w:cs="Times New Roman"/>
          <w:color w:val="auto"/>
          <w:szCs w:val="22"/>
        </w:rPr>
        <w:t>shows</w:t>
      </w:r>
      <w:r w:rsidR="003810B4" w:rsidRPr="00606BE2">
        <w:rPr>
          <w:rFonts w:cs="Times New Roman"/>
          <w:color w:val="auto"/>
          <w:szCs w:val="22"/>
        </w:rPr>
        <w:t xml:space="preserve"> that besides </w:t>
      </w:r>
      <w:r w:rsidR="007541CF" w:rsidRPr="00606BE2">
        <w:rPr>
          <w:rFonts w:cs="Times New Roman"/>
          <w:color w:val="auto"/>
          <w:szCs w:val="22"/>
        </w:rPr>
        <w:t xml:space="preserve">the role of </w:t>
      </w:r>
      <w:r w:rsidR="003810B4" w:rsidRPr="00606BE2">
        <w:rPr>
          <w:rFonts w:cs="Times New Roman"/>
          <w:color w:val="auto"/>
          <w:szCs w:val="22"/>
        </w:rPr>
        <w:t>heme</w:t>
      </w:r>
      <w:r w:rsidR="007541CF" w:rsidRPr="00606BE2">
        <w:rPr>
          <w:rFonts w:cs="Times New Roman"/>
          <w:color w:val="auto"/>
          <w:szCs w:val="22"/>
        </w:rPr>
        <w:t xml:space="preserve"> in the bioactivation of endoperoxides,</w:t>
      </w:r>
      <w:r w:rsidR="003810B4" w:rsidRPr="00606BE2">
        <w:rPr>
          <w:rFonts w:cs="Times New Roman"/>
          <w:color w:val="auto"/>
          <w:szCs w:val="22"/>
        </w:rPr>
        <w:t xml:space="preserve"> free </w:t>
      </w:r>
      <w:r w:rsidR="007541CF" w:rsidRPr="00606BE2">
        <w:rPr>
          <w:rFonts w:cs="Times New Roman"/>
          <w:color w:val="auto"/>
          <w:szCs w:val="22"/>
        </w:rPr>
        <w:t>ferrous iron may also have a role in this process</w:t>
      </w:r>
      <w:r w:rsidRPr="00606BE2">
        <w:rPr>
          <w:rFonts w:cs="Times New Roman"/>
          <w:color w:val="auto"/>
          <w:szCs w:val="22"/>
        </w:rPr>
        <w:t xml:space="preserve">. Ismail </w:t>
      </w:r>
      <w:r w:rsidRPr="00606BE2">
        <w:rPr>
          <w:rFonts w:cs="Times New Roman"/>
          <w:i/>
          <w:iCs/>
          <w:color w:val="auto"/>
          <w:szCs w:val="22"/>
        </w:rPr>
        <w:t>et al.</w:t>
      </w:r>
      <w:r w:rsidRPr="00606BE2">
        <w:rPr>
          <w:rFonts w:cs="Times New Roman"/>
          <w:color w:val="auto"/>
          <w:szCs w:val="22"/>
        </w:rPr>
        <w:fldChar w:fldCharType="begin" w:fldLock="1"/>
      </w:r>
      <w:r w:rsidR="007125A3">
        <w:rPr>
          <w:rFonts w:cs="Times New Roman"/>
          <w:color w:val="auto"/>
          <w:szCs w:val="22"/>
        </w:rPr>
        <w:instrText>ADDIN CSL_CITATION {"citationItems":[{"id":"ITEM-1","itemData":{"DOI":"10.1002/anie.201512062","ISSN":"15213773","PMID":"27089538","abstract":"In spite of the recent increase in endoperoxide antimalarials under development, it remains unclear if all these chemotypes share a common mechanism of action. This is important since it will influence cross-resistance risks between the different classes. Here we investigate this proposition using novel clickable 1,2,4-trioxolane activity based protein-profiling probes (ABPPs). ABPPs with potent antimalarial activity were able to alkylate protein target(s) within the asexual erythrocytic stage of Plasmodium falciparum (3D7). Importantly, comparison of the alkylation fingerprint with that generated from an artemisinin ABPP equivalent confirms a highly conserved alkylation profile, with both endoperoxide classes targeting proteins in the glycolytic, hemoglobin degradation, antioxidant defence, protein synthesis and protein stress pathways, essential biological processes for plasmodial survival. The alkylation signatures of the two chemotypes show significant overlap (ca. 90 %) both qualitatively and semi-quantitatively, suggesting a common mechanism of action that raises concerns about potential cross-resistance liabilities. Clickable 1,2,4-trioxolane activity-based protein-profiling probes (ABPPs) were designed to retain antimalarial activity and alkylate the molecular targets of the blood stage of Plasmodium falciparum in situ. Comparison of the 1,2,4-trioxolane protein alkylation signature with the corresponding artemisinin ABPPs indicates that both drug classes target key proteins in the glycolytic, hemoglobin degradation, antioxidant defence and protein synthesis pathways.","author":[{"dropping-particle":"","family":"Ismail","given":"Hanafy M.","non-dropping-particle":"","parse-names":false,"suffix":""},{"dropping-particle":"","family":"Barton","given":"Victoria E.","non-dropping-particle":"","parse-names":false,"suffix":""},{"dropping-particle":"","family":"Panchana","given":"Matthew","non-dropping-particle":"","parse-names":false,"suffix":""},{"dropping-particle":"","family":"Charoensutthivarakul","given":"Sitthivut","non-dropping-particle":"","parse-names":false,"suffix":""},{"dropping-particle":"","family":"Biagini","given":"Giancarlo A.","non-dropping-particle":"","parse-names":false,"suffix":""},{"dropping-particle":"","family":"Ward","given":"Stephen A.","non-dropping-particle":"","parse-names":false,"suffix":""},{"dropping-particle":"","family":"O'Neill","given":"Paul M.","non-dropping-particle":"","parse-names":false,"suffix":""}],"container-title":"Angewandte Chemie - International Edition","id":"ITEM-1","issue":"22","issued":{"date-parts":[["2016"]]},"page":"6401-6405","title":"A click chemistry-based proteomic approach reveals that 1,2,4-trioxolane and artemisinin antimalarials share a common protein alkylation profile","type":"article-journal","volume":"55"},"uris":["http://www.mendeley.com/documents/?uuid=a5981ea1-58dc-42c2-9d6e-eca13a70676b","http://www.mendeley.com/documents/?uuid=e7242e5d-f928-4209-9d61-2e5f3fbfa5eb"]}],"mendeley":{"formattedCitation":"&lt;sup&gt;69&lt;/sup&gt;","plainTextFormattedCitation":"69","previouslyFormattedCitation":"&lt;sup&gt;69&lt;/sup&gt;"},"properties":{"noteIndex":0},"schema":"https://github.com/citation-style-language/schema/raw/master/csl-citation.json"}</w:instrText>
      </w:r>
      <w:r w:rsidRPr="00606BE2">
        <w:rPr>
          <w:rFonts w:cs="Times New Roman"/>
          <w:color w:val="auto"/>
          <w:szCs w:val="22"/>
        </w:rPr>
        <w:fldChar w:fldCharType="separate"/>
      </w:r>
      <w:r w:rsidR="007125A3" w:rsidRPr="007125A3">
        <w:rPr>
          <w:rFonts w:cs="Times New Roman"/>
          <w:noProof/>
          <w:color w:val="auto"/>
          <w:szCs w:val="22"/>
          <w:vertAlign w:val="superscript"/>
        </w:rPr>
        <w:t>69</w:t>
      </w:r>
      <w:r w:rsidRPr="00606BE2">
        <w:rPr>
          <w:rFonts w:cs="Times New Roman"/>
          <w:color w:val="auto"/>
          <w:szCs w:val="22"/>
        </w:rPr>
        <w:fldChar w:fldCharType="end"/>
      </w:r>
      <w:r w:rsidRPr="00606BE2">
        <w:rPr>
          <w:rFonts w:cs="Times New Roman"/>
          <w:color w:val="auto"/>
          <w:szCs w:val="22"/>
        </w:rPr>
        <w:t xml:space="preserve"> optimised the endoperoxide-ABPPs strategy, using artemisinin probes and also their deoxo-analogs, as controls (</w:t>
      </w:r>
      <w:r w:rsidR="00BF291B">
        <w:rPr>
          <w:rFonts w:cs="Times New Roman"/>
          <w:b/>
          <w:bCs/>
          <w:color w:val="auto"/>
          <w:szCs w:val="22"/>
        </w:rPr>
        <w:t>13</w:t>
      </w:r>
      <w:r w:rsidRPr="00606BE2">
        <w:rPr>
          <w:rFonts w:cs="Times New Roman"/>
          <w:b/>
          <w:bCs/>
          <w:color w:val="auto"/>
          <w:szCs w:val="22"/>
        </w:rPr>
        <w:t>-</w:t>
      </w:r>
      <w:r w:rsidR="00D52B17" w:rsidRPr="00606BE2">
        <w:rPr>
          <w:rFonts w:cs="Times New Roman"/>
          <w:b/>
          <w:bCs/>
          <w:color w:val="auto"/>
          <w:szCs w:val="22"/>
        </w:rPr>
        <w:t>1</w:t>
      </w:r>
      <w:r w:rsidR="00BF291B">
        <w:rPr>
          <w:rFonts w:cs="Times New Roman"/>
          <w:b/>
          <w:bCs/>
          <w:color w:val="auto"/>
          <w:szCs w:val="22"/>
        </w:rPr>
        <w:t>6</w:t>
      </w:r>
      <w:r w:rsidR="009C2372" w:rsidRPr="009C2372">
        <w:rPr>
          <w:rFonts w:cs="Times New Roman"/>
          <w:color w:val="auto"/>
          <w:szCs w:val="22"/>
        </w:rPr>
        <w:t>,</w:t>
      </w:r>
      <w:r w:rsidR="009C2372">
        <w:rPr>
          <w:rFonts w:cs="Times New Roman"/>
          <w:b/>
          <w:bCs/>
          <w:color w:val="auto"/>
          <w:szCs w:val="22"/>
        </w:rPr>
        <w:t xml:space="preserve"> </w:t>
      </w:r>
      <w:r w:rsidR="009C2372">
        <w:rPr>
          <w:rFonts w:cs="Times New Roman"/>
          <w:color w:val="auto"/>
          <w:szCs w:val="22"/>
        </w:rPr>
        <w:t>Figure 3</w:t>
      </w:r>
      <w:r w:rsidRPr="00606BE2">
        <w:rPr>
          <w:rFonts w:cs="Times New Roman"/>
          <w:color w:val="auto"/>
          <w:szCs w:val="22"/>
        </w:rPr>
        <w:t>). Copper(I)-catalyzed and bioorthogonal copper-free click chemistry were employed to identify the protein-ART adducts, where the group identified 59 ART-labeled proteins.</w:t>
      </w:r>
      <w:r w:rsidRPr="00C07E8E">
        <w:rPr>
          <w:rFonts w:cs="Times New Roman"/>
          <w:color w:val="auto"/>
          <w:szCs w:val="22"/>
        </w:rPr>
        <w:t xml:space="preserve"> </w:t>
      </w:r>
    </w:p>
    <w:p w14:paraId="272BF5E2" w14:textId="56EA9115" w:rsidR="000A17AF" w:rsidRDefault="00C07E8E" w:rsidP="00532D1D">
      <w:pPr>
        <w:autoSpaceDE w:val="0"/>
        <w:autoSpaceDN w:val="0"/>
        <w:adjustRightInd w:val="0"/>
        <w:rPr>
          <w:rFonts w:cs="Times New Roman"/>
          <w:color w:val="auto"/>
          <w:szCs w:val="22"/>
        </w:rPr>
      </w:pPr>
      <w:r w:rsidRPr="00C07E8E">
        <w:rPr>
          <w:rFonts w:cs="Times New Roman"/>
          <w:color w:val="auto"/>
          <w:szCs w:val="22"/>
        </w:rPr>
        <w:tab/>
      </w:r>
      <w:r w:rsidR="00495930" w:rsidRPr="00707585">
        <w:rPr>
          <w:rFonts w:cs="Times New Roman"/>
          <w:color w:val="auto"/>
          <w:szCs w:val="22"/>
        </w:rPr>
        <w:t xml:space="preserve">Additionally, Li </w:t>
      </w:r>
      <w:r w:rsidR="00495930" w:rsidRPr="00707585">
        <w:rPr>
          <w:rFonts w:cs="Times New Roman"/>
          <w:i/>
          <w:iCs/>
          <w:color w:val="auto"/>
          <w:szCs w:val="22"/>
        </w:rPr>
        <w:t>et al.</w:t>
      </w:r>
      <w:r w:rsidR="00495930" w:rsidRPr="00707585">
        <w:rPr>
          <w:rFonts w:cs="Times New Roman"/>
          <w:color w:val="auto"/>
          <w:szCs w:val="22"/>
        </w:rPr>
        <w:fldChar w:fldCharType="begin" w:fldLock="1"/>
      </w:r>
      <w:r w:rsidR="007125A3">
        <w:rPr>
          <w:rFonts w:cs="Times New Roman"/>
          <w:color w:val="auto"/>
          <w:szCs w:val="22"/>
        </w:rPr>
        <w:instrText>ADDIN CSL_CITATION {"citationItems":[{"id":"ITEM-1","itemData":{"DOI":"10.1021/acs.bioconjchem.6b00556","ISSN":"15204812","PMID":"27998071","abstract":"Despite the fact that multiple artemisinin-alkylated proteins in Plasmodium falciparum have been identified in recent studies, the alkylation mechanism and accurate binding site of artemisinin-protein interaction have remained elusive. Here, we report the chemical-probe-based enrichment of the artemisinin-binding peptide and characterization of the artemisinin-binding site of P. falciparum translationally controlled tumor protein (TCTP). A peptide fragment within the N-terminal region of TCTP was enriched and found to be alkylated by an artemisinin-derived probe. MS2 fragments showed that artemisinin could alkylate multiple amino acids from Phe12 to Tyr22 of TCTP, which was supported by labeling experiments upon site-directed mutagenesis and computational modeling studies. Taken together, the \"capture-and-release\" strategy affords consolidated advantages previously unavailable in artemisinin-protein binding site studies, and our results deepened the understanding of the mechanism of protein alkylation via heme-activated artemisinin.","author":[{"dropping-particle":"","family":"Li","given":"Weichao","non-dropping-particle":"","parse-names":false,"suffix":""},{"dropping-particle":"","family":"Zhou","given":"Yiqing","non-dropping-particle":"","parse-names":false,"suffix":""},{"dropping-particle":"","family":"Tang","given":"Guanghui","non-dropping-particle":"","parse-names":false,"suffix":""},{"dropping-particle":"","family":"Xiao","given":"Youli","non-dropping-particle":"","parse-names":false,"suffix":""}],"container-title":"Bioconjugate Chemistry","id":"ITEM-1","issue":"12","issued":{"date-parts":[["2016"]]},"page":"2828-2833","title":"Characterization of the Artemisinin Binding Site for Translationally Controlled Tumor Protein (TCTP) by Bioorthogonal Click Chemistry","type":"article-journal","volume":"27"},"uris":["http://www.mendeley.com/documents/?uuid=5ae0d92b-4753-49d7-816d-2b72fb239f27","http://www.mendeley.com/documents/?uuid=0840e2ba-ae6a-432c-927c-11fb47c56473"]}],"mendeley":{"formattedCitation":"&lt;sup&gt;71&lt;/sup&gt;","plainTextFormattedCitation":"71","previouslyFormattedCitation":"&lt;sup&gt;71&lt;/sup&gt;"},"properties":{"noteIndex":0},"schema":"https://github.com/citation-style-language/schema/raw/master/csl-citation.json"}</w:instrText>
      </w:r>
      <w:r w:rsidR="00495930" w:rsidRPr="00707585">
        <w:rPr>
          <w:rFonts w:cs="Times New Roman"/>
          <w:color w:val="auto"/>
          <w:szCs w:val="22"/>
        </w:rPr>
        <w:fldChar w:fldCharType="separate"/>
      </w:r>
      <w:r w:rsidR="007125A3" w:rsidRPr="007125A3">
        <w:rPr>
          <w:rFonts w:cs="Times New Roman"/>
          <w:noProof/>
          <w:color w:val="auto"/>
          <w:szCs w:val="22"/>
          <w:vertAlign w:val="superscript"/>
        </w:rPr>
        <w:t>71</w:t>
      </w:r>
      <w:r w:rsidR="00495930" w:rsidRPr="00707585">
        <w:rPr>
          <w:rFonts w:cs="Times New Roman"/>
          <w:color w:val="auto"/>
          <w:szCs w:val="22"/>
        </w:rPr>
        <w:fldChar w:fldCharType="end"/>
      </w:r>
      <w:r w:rsidR="00495930" w:rsidRPr="00707585">
        <w:rPr>
          <w:rFonts w:cs="Times New Roman"/>
          <w:color w:val="auto"/>
          <w:szCs w:val="22"/>
        </w:rPr>
        <w:t xml:space="preserve"> have investigated the artemisinin-binding site within </w:t>
      </w:r>
      <w:r w:rsidR="00495930" w:rsidRPr="00707585">
        <w:rPr>
          <w:rFonts w:cs="Times New Roman"/>
          <w:i/>
          <w:iCs/>
          <w:color w:val="auto"/>
          <w:szCs w:val="22"/>
        </w:rPr>
        <w:t>Pf</w:t>
      </w:r>
      <w:r w:rsidR="00495930" w:rsidRPr="00707585">
        <w:rPr>
          <w:rFonts w:cs="Times New Roman"/>
          <w:color w:val="auto"/>
          <w:szCs w:val="22"/>
        </w:rPr>
        <w:t>TCTP, through chemical proteomic</w:t>
      </w:r>
      <w:r w:rsidR="00495930">
        <w:rPr>
          <w:rFonts w:cs="Times New Roman"/>
          <w:color w:val="auto"/>
          <w:szCs w:val="22"/>
        </w:rPr>
        <w:t>s</w:t>
      </w:r>
      <w:r w:rsidR="00495930" w:rsidRPr="00707585">
        <w:rPr>
          <w:rFonts w:cs="Times New Roman"/>
          <w:color w:val="auto"/>
          <w:szCs w:val="22"/>
        </w:rPr>
        <w:t xml:space="preserve">. Using artemisinin-based probes (using the ART-probe </w:t>
      </w:r>
      <w:r w:rsidR="00495930" w:rsidRPr="00707585">
        <w:rPr>
          <w:rFonts w:cs="Times New Roman"/>
          <w:b/>
          <w:bCs/>
          <w:color w:val="auto"/>
          <w:szCs w:val="22"/>
        </w:rPr>
        <w:t>1</w:t>
      </w:r>
      <w:r w:rsidR="00BF291B">
        <w:rPr>
          <w:rFonts w:cs="Times New Roman"/>
          <w:b/>
          <w:bCs/>
          <w:color w:val="auto"/>
          <w:szCs w:val="22"/>
        </w:rPr>
        <w:t>3</w:t>
      </w:r>
      <w:r w:rsidR="00495930" w:rsidRPr="00707585">
        <w:rPr>
          <w:rFonts w:cs="Times New Roman"/>
          <w:b/>
          <w:bCs/>
          <w:color w:val="auto"/>
          <w:szCs w:val="22"/>
        </w:rPr>
        <w:t xml:space="preserve">, </w:t>
      </w:r>
      <w:r w:rsidR="00495930" w:rsidRPr="00707585">
        <w:rPr>
          <w:rFonts w:cs="Times New Roman"/>
          <w:color w:val="auto"/>
          <w:szCs w:val="22"/>
        </w:rPr>
        <w:t>Figure 3), the group was</w:t>
      </w:r>
      <w:r w:rsidR="00495930" w:rsidRPr="00707585">
        <w:rPr>
          <w:color w:val="auto"/>
          <w:szCs w:val="22"/>
        </w:rPr>
        <w:t xml:space="preserve"> able to identify the </w:t>
      </w:r>
      <w:r w:rsidR="00495930" w:rsidRPr="00707585">
        <w:rPr>
          <w:rFonts w:cs="Times New Roman"/>
          <w:color w:val="auto"/>
          <w:szCs w:val="22"/>
        </w:rPr>
        <w:t xml:space="preserve">artemisinin-alkylated peptide fragments within </w:t>
      </w:r>
      <w:r w:rsidR="00495930" w:rsidRPr="00707585">
        <w:rPr>
          <w:rFonts w:cs="Times New Roman"/>
          <w:i/>
          <w:iCs/>
          <w:color w:val="auto"/>
          <w:szCs w:val="22"/>
        </w:rPr>
        <w:t>Pf</w:t>
      </w:r>
      <w:r w:rsidR="00495930" w:rsidRPr="00707585">
        <w:rPr>
          <w:rFonts w:cs="Times New Roman"/>
          <w:color w:val="auto"/>
          <w:szCs w:val="22"/>
        </w:rPr>
        <w:t>TCTP,</w:t>
      </w:r>
      <w:r w:rsidR="00495930" w:rsidRPr="00707585">
        <w:rPr>
          <w:color w:val="auto"/>
          <w:szCs w:val="22"/>
        </w:rPr>
        <w:t xml:space="preserve"> </w:t>
      </w:r>
      <w:r w:rsidR="00495930">
        <w:rPr>
          <w:color w:val="auto"/>
          <w:szCs w:val="22"/>
        </w:rPr>
        <w:t>in which</w:t>
      </w:r>
      <w:r w:rsidR="00495930" w:rsidRPr="00707585">
        <w:rPr>
          <w:color w:val="auto"/>
          <w:szCs w:val="22"/>
        </w:rPr>
        <w:t xml:space="preserve"> the ART-probe</w:t>
      </w:r>
      <w:r w:rsidR="00495930">
        <w:rPr>
          <w:color w:val="auto"/>
          <w:szCs w:val="22"/>
        </w:rPr>
        <w:t xml:space="preserve"> </w:t>
      </w:r>
      <w:r w:rsidR="00495930" w:rsidRPr="00707585">
        <w:rPr>
          <w:color w:val="auto"/>
          <w:szCs w:val="22"/>
        </w:rPr>
        <w:t xml:space="preserve">modified multiple nearby </w:t>
      </w:r>
      <w:r w:rsidR="00495930">
        <w:rPr>
          <w:color w:val="auto"/>
          <w:szCs w:val="22"/>
        </w:rPr>
        <w:t xml:space="preserve">amino acid </w:t>
      </w:r>
      <w:r w:rsidR="00495930" w:rsidRPr="00707585">
        <w:rPr>
          <w:color w:val="auto"/>
          <w:szCs w:val="22"/>
        </w:rPr>
        <w:t>residues</w:t>
      </w:r>
      <w:r w:rsidR="00495930">
        <w:rPr>
          <w:color w:val="auto"/>
          <w:szCs w:val="22"/>
        </w:rPr>
        <w:t>, such as</w:t>
      </w:r>
      <w:r w:rsidR="00495930" w:rsidRPr="00707585">
        <w:rPr>
          <w:color w:val="auto"/>
          <w:szCs w:val="22"/>
        </w:rPr>
        <w:t xml:space="preserve"> Asn, Asp</w:t>
      </w:r>
      <w:r w:rsidR="00495930">
        <w:rPr>
          <w:color w:val="auto"/>
          <w:szCs w:val="22"/>
        </w:rPr>
        <w:t xml:space="preserve">, Lys, </w:t>
      </w:r>
      <w:r w:rsidR="00495930" w:rsidRPr="00707585">
        <w:rPr>
          <w:color w:val="auto"/>
          <w:szCs w:val="22"/>
        </w:rPr>
        <w:t>Phe, Thr, and Cys. Interestingly, t</w:t>
      </w:r>
      <w:r w:rsidR="00495930" w:rsidRPr="00707585">
        <w:rPr>
          <w:rFonts w:cs="Times New Roman"/>
          <w:color w:val="auto"/>
          <w:szCs w:val="22"/>
        </w:rPr>
        <w:t xml:space="preserve">hese results emphasized the </w:t>
      </w:r>
      <w:r w:rsidR="00495930">
        <w:rPr>
          <w:rFonts w:cs="Times New Roman"/>
          <w:color w:val="auto"/>
          <w:szCs w:val="22"/>
        </w:rPr>
        <w:t>role</w:t>
      </w:r>
      <w:r w:rsidR="00495930" w:rsidRPr="00707585">
        <w:rPr>
          <w:rFonts w:cs="Times New Roman"/>
          <w:color w:val="auto"/>
          <w:szCs w:val="22"/>
        </w:rPr>
        <w:t xml:space="preserve"> of </w:t>
      </w:r>
      <w:r w:rsidR="00C02082">
        <w:rPr>
          <w:rFonts w:cs="Times New Roman"/>
          <w:color w:val="auto"/>
          <w:szCs w:val="22"/>
        </w:rPr>
        <w:t xml:space="preserve">the </w:t>
      </w:r>
      <w:r w:rsidR="00495930" w:rsidRPr="00707585">
        <w:rPr>
          <w:rFonts w:cs="Times New Roman"/>
          <w:color w:val="auto"/>
          <w:szCs w:val="22"/>
        </w:rPr>
        <w:t xml:space="preserve">Cys19 residue as </w:t>
      </w:r>
      <w:r w:rsidR="00495930">
        <w:rPr>
          <w:rFonts w:cs="Times New Roman"/>
          <w:color w:val="auto"/>
          <w:szCs w:val="22"/>
        </w:rPr>
        <w:t>an</w:t>
      </w:r>
      <w:r w:rsidR="00495930" w:rsidRPr="00707585">
        <w:rPr>
          <w:rFonts w:cs="Times New Roman"/>
          <w:color w:val="auto"/>
          <w:szCs w:val="22"/>
        </w:rPr>
        <w:t xml:space="preserve"> electron donor during endoperoxide bioactivation and of both Phe12 and Cys19 as important residues on the interaction of artemisinin with</w:t>
      </w:r>
      <w:r w:rsidR="00495930">
        <w:rPr>
          <w:rFonts w:cs="Times New Roman"/>
          <w:color w:val="auto"/>
          <w:szCs w:val="22"/>
        </w:rPr>
        <w:t>in</w:t>
      </w:r>
      <w:r w:rsidR="00495930" w:rsidRPr="00707585">
        <w:rPr>
          <w:rFonts w:cs="Times New Roman"/>
          <w:color w:val="auto"/>
          <w:szCs w:val="22"/>
        </w:rPr>
        <w:t xml:space="preserve"> </w:t>
      </w:r>
      <w:r w:rsidR="00495930" w:rsidRPr="00707585">
        <w:rPr>
          <w:rFonts w:cs="Times New Roman"/>
          <w:i/>
          <w:iCs/>
          <w:color w:val="auto"/>
          <w:szCs w:val="22"/>
        </w:rPr>
        <w:t>Pf</w:t>
      </w:r>
      <w:r w:rsidR="00495930" w:rsidRPr="00707585">
        <w:rPr>
          <w:rFonts w:cs="Times New Roman"/>
          <w:color w:val="auto"/>
          <w:szCs w:val="22"/>
        </w:rPr>
        <w:t>TCTP</w:t>
      </w:r>
      <w:r w:rsidR="00C02082">
        <w:rPr>
          <w:rFonts w:cs="Times New Roman"/>
          <w:color w:val="auto"/>
          <w:szCs w:val="22"/>
        </w:rPr>
        <w:t>.</w:t>
      </w:r>
      <w:r w:rsidR="00C02082" w:rsidRPr="00C07E8E">
        <w:rPr>
          <w:rFonts w:cs="Times New Roman"/>
          <w:color w:val="auto"/>
          <w:szCs w:val="22"/>
        </w:rPr>
        <w:t xml:space="preserve">   </w:t>
      </w:r>
    </w:p>
    <w:p w14:paraId="743EF5BC" w14:textId="6BD5D42F" w:rsidR="006B71A6" w:rsidRPr="00C07E8E" w:rsidRDefault="000A17AF" w:rsidP="00532D1D">
      <w:pPr>
        <w:autoSpaceDE w:val="0"/>
        <w:autoSpaceDN w:val="0"/>
        <w:adjustRightInd w:val="0"/>
        <w:rPr>
          <w:rFonts w:cs="Times New Roman"/>
          <w:color w:val="auto"/>
          <w:szCs w:val="22"/>
        </w:rPr>
      </w:pPr>
      <w:r>
        <w:rPr>
          <w:rFonts w:cs="Times New Roman"/>
          <w:color w:val="auto"/>
          <w:szCs w:val="22"/>
        </w:rPr>
        <w:tab/>
      </w:r>
      <w:r w:rsidR="00C07E8E" w:rsidRPr="00C07E8E">
        <w:rPr>
          <w:rFonts w:cs="Times New Roman"/>
          <w:color w:val="auto"/>
          <w:szCs w:val="22"/>
        </w:rPr>
        <w:t>All these studies</w:t>
      </w:r>
      <w:r w:rsidR="007D2B73" w:rsidRPr="00C07E8E">
        <w:rPr>
          <w:rFonts w:cs="Times New Roman"/>
          <w:color w:val="auto"/>
          <w:szCs w:val="22"/>
        </w:rPr>
        <w:t xml:space="preserve"> allowed to detect</w:t>
      </w:r>
      <w:r w:rsidR="00C07E8E" w:rsidRPr="00C07E8E">
        <w:rPr>
          <w:rFonts w:cs="Times New Roman"/>
          <w:color w:val="auto"/>
          <w:szCs w:val="22"/>
        </w:rPr>
        <w:t xml:space="preserve"> parasite proteins </w:t>
      </w:r>
      <w:r w:rsidR="007D2B73" w:rsidRPr="00C07E8E">
        <w:rPr>
          <w:rFonts w:cs="Times New Roman"/>
          <w:color w:val="auto"/>
          <w:szCs w:val="22"/>
        </w:rPr>
        <w:t>implicated</w:t>
      </w:r>
      <w:r w:rsidR="00C07E8E" w:rsidRPr="00C07E8E">
        <w:rPr>
          <w:rFonts w:cs="Times New Roman"/>
          <w:color w:val="auto"/>
          <w:szCs w:val="22"/>
        </w:rPr>
        <w:t xml:space="preserve"> in</w:t>
      </w:r>
      <w:r w:rsidR="007D2B73" w:rsidRPr="00C07E8E">
        <w:rPr>
          <w:rFonts w:cs="Times New Roman"/>
          <w:color w:val="auto"/>
          <w:szCs w:val="22"/>
        </w:rPr>
        <w:t xml:space="preserve"> a wide range of cellular</w:t>
      </w:r>
      <w:r w:rsidR="00C07E8E" w:rsidRPr="00C07E8E">
        <w:rPr>
          <w:rFonts w:cs="Times New Roman"/>
          <w:color w:val="auto"/>
          <w:szCs w:val="22"/>
        </w:rPr>
        <w:t xml:space="preserve"> processes, including hemoglobin digestion, ribosomal proteins, and transport proteins, metabolic </w:t>
      </w:r>
      <w:r w:rsidR="00C07E8E" w:rsidRPr="00C07E8E">
        <w:rPr>
          <w:rFonts w:cs="Times New Roman"/>
          <w:color w:val="auto"/>
          <w:szCs w:val="22"/>
        </w:rPr>
        <w:lastRenderedPageBreak/>
        <w:t xml:space="preserve">processes, and antioxidant defenses. Expectedly, the peroxide bond was observed to be </w:t>
      </w:r>
      <w:r w:rsidR="007D2B73" w:rsidRPr="00C07E8E">
        <w:rPr>
          <w:rFonts w:cs="Times New Roman"/>
          <w:color w:val="auto"/>
          <w:szCs w:val="22"/>
        </w:rPr>
        <w:t>indispensable</w:t>
      </w:r>
      <w:r w:rsidR="00C07E8E" w:rsidRPr="00C07E8E">
        <w:rPr>
          <w:rFonts w:cs="Times New Roman"/>
          <w:color w:val="auto"/>
          <w:szCs w:val="22"/>
        </w:rPr>
        <w:t xml:space="preserve"> for protein alkylation,</w:t>
      </w:r>
      <w:r w:rsidR="007D2B73" w:rsidRPr="00C07E8E">
        <w:rPr>
          <w:rFonts w:cs="Times New Roman"/>
          <w:color w:val="auto"/>
          <w:szCs w:val="22"/>
        </w:rPr>
        <w:t xml:space="preserve"> whereas heme was shown to have a more important role </w:t>
      </w:r>
      <w:r w:rsidR="00C02082">
        <w:rPr>
          <w:rFonts w:cs="Times New Roman"/>
          <w:color w:val="auto"/>
          <w:szCs w:val="22"/>
        </w:rPr>
        <w:t xml:space="preserve">in </w:t>
      </w:r>
      <w:r w:rsidR="00C02082" w:rsidRPr="00C07E8E">
        <w:rPr>
          <w:rFonts w:cs="Times New Roman"/>
          <w:color w:val="auto"/>
          <w:szCs w:val="22"/>
        </w:rPr>
        <w:t xml:space="preserve">bioactivation </w:t>
      </w:r>
      <w:r w:rsidR="007D2B73" w:rsidRPr="00C07E8E">
        <w:rPr>
          <w:rFonts w:cs="Times New Roman"/>
          <w:color w:val="auto"/>
          <w:szCs w:val="22"/>
        </w:rPr>
        <w:t xml:space="preserve">than free ferrous iron. </w:t>
      </w:r>
      <w:r w:rsidR="00C07E8E" w:rsidRPr="00C07E8E">
        <w:rPr>
          <w:rFonts w:cs="Times New Roman"/>
          <w:color w:val="auto"/>
          <w:szCs w:val="22"/>
        </w:rPr>
        <w:t xml:space="preserve">A drawback of these studies is that they only assessed covalent protein alkylation, while non-proteinaceous alkylation targets such as heme, lipid peroxidation, and mechanistic pathways </w:t>
      </w:r>
      <w:r w:rsidR="004E1F75" w:rsidRPr="00C07E8E">
        <w:rPr>
          <w:rFonts w:cs="Times New Roman"/>
          <w:color w:val="auto"/>
          <w:szCs w:val="22"/>
        </w:rPr>
        <w:t>concerning</w:t>
      </w:r>
      <w:r w:rsidR="00C07E8E" w:rsidRPr="00C07E8E">
        <w:rPr>
          <w:rFonts w:cs="Times New Roman"/>
          <w:color w:val="auto"/>
          <w:szCs w:val="22"/>
        </w:rPr>
        <w:t xml:space="preserve"> non-covalent interactions with </w:t>
      </w:r>
      <w:r w:rsidR="004E1F75" w:rsidRPr="00C07E8E">
        <w:rPr>
          <w:rFonts w:cs="Times New Roman"/>
          <w:color w:val="auto"/>
          <w:szCs w:val="22"/>
        </w:rPr>
        <w:t xml:space="preserve">the parasite </w:t>
      </w:r>
      <w:r w:rsidR="00C07E8E" w:rsidRPr="00C07E8E">
        <w:rPr>
          <w:rFonts w:cs="Times New Roman"/>
          <w:color w:val="auto"/>
          <w:szCs w:val="22"/>
        </w:rPr>
        <w:t>proteins, should not be dismissed. Another downside is that there wasn’t enough correlation in the alkylated proteins identified between all findings,</w:t>
      </w:r>
      <w:r w:rsidR="00C07E8E" w:rsidRPr="00C07E8E">
        <w:rPr>
          <w:rFonts w:cs="Times New Roman"/>
          <w:color w:val="auto"/>
          <w:szCs w:val="22"/>
        </w:rPr>
        <w:fldChar w:fldCharType="begin" w:fldLock="1"/>
      </w:r>
      <w:r w:rsidR="007125A3">
        <w:rPr>
          <w:rFonts w:cs="Times New Roman"/>
          <w:color w:val="auto"/>
          <w:szCs w:val="22"/>
        </w:rPr>
        <w:instrText>ADDIN CSL_CITATION {"citationItems":[{"id":"ITEM-1","itemData":{"DOI":"10.1038/ncomms10111","ISSN":"20411723","PMID":"26694030","abstract":"The mechanism of action of artemisinin and its derivatives, the most potent of the anti-malarial drugs, is not completely understood. Here we present an unbiased chemical proteomics analysis to directly explore this mechanism in Plasmodium falciparum. We use an alkyne-tagged artemisinin analogue coupled with biotin to identify 124 artemisinin covalent binding protein targets, many of which are involved in the essential biological processes of the parasite. Such a broad targeting spectrum disrupts the biochemical landscape of the parasite and causes its death. Furthermore, using alkyne-tagged artemisinin coupled with a fluorescent dye to monitor protein binding, we show that haem, rather than free ferrous iron, is predominantly responsible for artemisinin activation. The haem derives primarily from the parasite's haem biosynthesis pathway at the early ring stage and from haemoglobin digestion at the latter stages. Our results support a unifying model to explain the action and specificity of artemisinin in parasite killing.","author":[{"dropping-particle":"","family":"Wang","given":"Jigang","non-dropping-particle":"","parse-names":false,"suffix":""},{"dropping-particle":"","family":"Zhang","given":"Chong Jing","non-dropping-particle":"","parse-names":false,"suffix":""},{"dropping-particle":"","family":"Chia","given":"Wan Ni","non-dropping-particle":"","parse-names":false,"suffix":""},{"dropping-particle":"","family":"Loh","given":"Cheryl C.Y.","non-dropping-particle":"","parse-names":false,"suffix":""},{"dropping-particle":"","family":"Li","given":"Zhengjun","non-dropping-particle":"","parse-names":false,"suffix":""},{"dropping-particle":"","family":"Lee","given":"Yew Mun","non-dropping-particle":"","parse-names":false,"suffix":""},{"dropping-particle":"","family":"He","given":"Yingke","non-dropping-particle":"","parse-names":false,"suffix":""},{"dropping-particle":"","family":"Yuan","given":"Li Xia","non-dropping-particle":"","parse-names":false,"suffix":""},{"dropping-particle":"","family":"Lim","given":"Teck Kwang","non-dropping-particle":"","parse-names":false,"suffix":""},{"dropping-particle":"","family":"Liu","given":"Min","non-dropping-particle":"","parse-names":false,"suffix":""},{"dropping-particle":"","family":"Liew","given":"Chin Xia","non-dropping-particle":"","parse-names":false,"suffix":""},{"dropping-particle":"","family":"Lee","given":"Yan Quan","non-dropping-particle":"","parse-names":false,"suffix":""},{"dropping-particle":"","family":"Zhang","given":"Jianbin","non-dropping-particle":"","parse-names":false,"suffix":""},{"dropping-particle":"","family":"Lu","given":"Nianci","non-dropping-particle":"","parse-names":false,"suffix":""},{"dropping-particle":"","family":"Lim","given":"Chwee Teck","non-dropping-particle":"","parse-names":false,"suffix":""},{"dropping-particle":"","family":"Hua","given":"Zi Chun","non-dropping-particle":"","parse-names":false,"suffix":""},{"dropping-particle":"","family":"Liu","given":"Bin","non-dropping-particle":"","parse-names":false,"suffix":""},{"dropping-particle":"","family":"Shen","given":"Han Ming","non-dropping-particle":"","parse-names":false,"suffix":""},{"dropping-particle":"","family":"Tan","given":"Kevin S.W.","non-dropping-particle":"","parse-names":false,"suffix":""},{"dropping-particle":"","family":"Lin","given":"Qingsong","non-dropping-particle":"","parse-names":false,"suffix":""}],"container-title":"Nature Communications","id":"ITEM-1","issued":{"date-parts":[["2015"]]},"page":"10111","publisher":"Nature Publishing Group","title":"Haem-activated promiscuous targeting of artemisinin in Plasmodium falciparum","type":"article-journal","volume":"6"},"uris":["http://www.mendeley.com/documents/?uuid=045c0bf2-ed03-43c7-a6e9-e9893c338873","http://www.mendeley.com/documents/?uuid=6cba74ff-ed98-4467-838d-c44cfa117be4"]},{"id":"ITEM-2","itemData":{"DOI":"10.1073/pnas.1600459113","ISSN":"10916490","PMID":"26858419","abstract":"The artemisinin (ART)-based antimalarials have contributed significantly to reducing global malaria deaths over the past decade, but we still do not know how they kill parasites. To gain greater insight into the potential mechanisms of ART drug action, we developed a suite of ART activity-based protein profiling probes to identify parasite protein drug targets in situ. Probes were designed to retain biological activity and alkylate the molecular target(s) of Plasmodium falciparum 3D7 parasites in situ. Proteins tagged with the ART probe can then be isolated using click chemistry before identification by liquid chromatography-MS/MS. Using these probes, we define an ART proteome that shows alkylated targets in the glycolytic, hemoglobin degradation, antioxidant defense, and protein synthesis pathways, processes essential for parasite survival. This work reveals the pleiotropic nature of the biological functions targeted by this important class of antimalarial drugs.","author":[{"dropping-particle":"","family":"Ismail","given":"Hanafy M.","non-dropping-particle":"","parse-names":false,"suffix":""},{"dropping-particle":"","family":"Barton","given":"Victoria","non-dropping-particle":"","parse-names":false,"suffix":""},{"dropping-particle":"","family":"Phanchana","given":"Matthew","non-dropping-particle":"","parse-names":false,"suffix":""},{"dropping-particle":"","family":"Charoensutthivarakul","given":"Sitthivut","non-dropping-particle":"","parse-names":false,"suffix":""},{"dropping-particle":"","family":"Wong","given":"Michael H.L.","non-dropping-particle":"","parse-names":false,"suffix":""},{"dropping-particle":"","family":"Hemingway","given":"Janet","non-dropping-particle":"","parse-names":false,"suffix":""},{"dropping-particle":"","family":"Biagini","given":"Giancarlo A.","non-dropping-particle":"","parse-names":false,"suffix":""},{"dropping-particle":"","family":"O'Neill","given":"Paul M.","non-dropping-particle":"","parse-names":false,"suffix":""},{"dropping-particle":"","family":"Ward","given":"Stephen A.","non-dropping-particle":"","parse-names":false,"suffix":""}],"container-title":"Proceedings of the National Academy of Sciences of the United States of America","id":"ITEM-2","issue":"8","issued":{"date-parts":[["2016"]]},"page":"2080-2085","title":"Artemisinin activity-based probes identify multiple molecular targets within the asexual stage of the malaria parasites Plasmodium falciparum 3D7","type":"article-journal","volume":"113"},"uris":["http://www.mendeley.com/documents/?uuid=48ddd873-4a39-471f-8ad4-4b8d0c8b9b46","http://www.mendeley.com/documents/?uuid=afe57f3c-81e6-4e07-8822-892502e76e83","http://www.mendeley.com/documents/?uuid=933b6bbe-a148-45e1-904c-ac920a116985"]},{"id":"ITEM-3","itemData":{"DOI":"10.1002/anie.201512062","ISSN":"15213773","PMID":"27089538","abstract":"In spite of the recent increase in endoperoxide antimalarials under development, it remains unclear if all these chemotypes share a common mechanism of action. This is important since it will influence cross-resistance risks between the different classes. Here we investigate this proposition using novel clickable 1,2,4-trioxolane activity based protein-profiling probes (ABPPs). ABPPs with potent antimalarial activity were able to alkylate protein target(s) within the asexual erythrocytic stage of Plasmodium falciparum (3D7). Importantly, comparison of the alkylation fingerprint with that generated from an artemisinin ABPP equivalent confirms a highly conserved alkylation profile, with both endoperoxide classes targeting proteins in the glycolytic, hemoglobin degradation, antioxidant defence, protein synthesis and protein stress pathways, essential biological processes for plasmodial survival. The alkylation signatures of the two chemotypes show significant overlap (ca. 90 %) both qualitatively and semi-quantitatively, suggesting a common mechanism of action that raises concerns about potential cross-resistance liabilities. Clickable 1,2,4-trioxolane activity-based protein-profiling probes (ABPPs) were designed to retain antimalarial activity and alkylate the molecular targets of the blood stage of Plasmodium falciparum in situ. Comparison of the 1,2,4-trioxolane protein alkylation signature with the corresponding artemisinin ABPPs indicates that both drug classes target key proteins in the glycolytic, hemoglobin degradation, antioxidant defence and protein synthesis pathways.","author":[{"dropping-particle":"","family":"Ismail","given":"Hanafy M.","non-dropping-particle":"","parse-names":false,"suffix":""},{"dropping-particle":"","family":"Barton","given":"Victoria E.","non-dropping-particle":"","parse-names":false,"suffix":""},{"dropping-particle":"","family":"Panchana","given":"Matthew","non-dropping-particle":"","parse-names":false,"suffix":""},{"dropping-particle":"","family":"Charoensutthivarakul","given":"Sitthivut","non-dropping-particle":"","parse-names":false,"suffix":""},{"dropping-particle":"","family":"Biagini","given":"Giancarlo A.","non-dropping-particle":"","parse-names":false,"suffix":""},{"dropping-particle":"","family":"Ward","given":"Stephen A.","non-dropping-particle":"","parse-names":false,"suffix":""},{"dropping-particle":"","family":"O'Neill","given":"Paul M.","non-dropping-particle":"","parse-names":false,"suffix":""}],"container-title":"Angewandte Chemie - International Edition","id":"ITEM-3","issue":"22","issued":{"date-parts":[["2016"]]},"page":"6401-6405","title":"A click chemistry-based proteomic approach reveals that 1,2,4-trioxolane and artemisinin antimalarials share a common protein alkylation profile","type":"article-journal","volume":"55"},"uris":["http://www.mendeley.com/documents/?uuid=a5981ea1-58dc-42c2-9d6e-eca13a70676b","http://www.mendeley.com/documents/?uuid=e7242e5d-f928-4209-9d61-2e5f3fbfa5eb","http://www.mendeley.com/documents/?uuid=966df8fb-1d63-4869-b45f-94169cd95ff5"]},{"id":"ITEM-4","itemData":{"DOI":"10.1021/acsinfecdis.9b00264","ISSN":"23738227","PMID":"31626733","abstract":"Antimalarial peroxides such as the phytochemical artemisinin or the synthetic ozonides arterolane and artefenomel undergo reductive cleavage of the pharmacophoric peroxide bond by ferrous heme, released by parasite hemoglobin digestion. The generated carbon-centered radicals alkylate heme in an intramolecular reaction and proteins in an intermolecular reaction. Here, we determine the proteinaceous alkylation signatures of artemisinin and synthetic ozonides in Plasmodium falciparum using alkyne click chemistry probes to identify target proteins by affinity purification and mass spectrometry-based proteomics. Using stringent controls and purification procedures, we identified 25 P. falciparum proteins that were alkylated by the antimalarial peroxides in a peroxide-dependent manner, but the alkylation patterns were more random than we had anticipated. Moreover, there was little overlap in the alkylation signatures identified in this work and those disclosed in previous studies. Our findings suggest that alkylation of parasite proteins by antimalarial peroxides is likely to be a nonspecific, stochastic process.","author":[{"dropping-particle":"","family":"Jourdan","given":"Joëlle","non-dropping-particle":"","parse-names":false,"suffix":""},{"dropping-particle":"","family":"Walz","given":"Annabelle","non-dropping-particle":"","parse-names":false,"suffix":""},{"dropping-particle":"","family":"Matile","given":"Hugues","non-dropping-particle":"","parse-names":false,"suffix":""},{"dropping-particle":"","family":"Schmidt","given":"Alexander","non-dropping-particle":"","parse-names":false,"suffix":""},{"dropping-particle":"","family":"Wu","given":"Jianbo","non-dropping-particle":"","parse-names":false,"suffix":""},{"dropping-particle":"","family":"Wang","given":"Xiaofang","non-dropping-particle":"","parse-names":false,"suffix":""},{"dropping-particle":"","family":"Dong","given":"Yuxiang","non-dropping-particle":"","parse-names":false,"suffix":""},{"dropping-particle":"","family":"Vennerstrom","given":"Jonathan L.","non-dropping-particle":"","parse-names":false,"suffix":""},{"dropping-particle":"","family":"Schmidt","given":"Remo S.","non-dropping-particle":"","parse-names":false,"suffix":""},{"dropping-particle":"","family":"Wittlin","given":"Sergio","non-dropping-particle":"","parse-names":false,"suffix":""},{"dropping-particle":"","family":"Mäser","given":"Pascal","non-dropping-particle":"","parse-names":false,"suffix":""}],"container-title":"ACS Infectious Diseases","id":"ITEM-4","issue":"12","issued":{"date-parts":[["2019"]]},"page":"2067-2075","title":"Stochastic Protein Alkylation by Antimalarial Peroxides","type":"article-journal","volume":"5"},"uris":["http://www.mendeley.com/documents/?uuid=edbd6067-6b71-400c-a71e-dc0c307aa6e9","http://www.mendeley.com/documents/?uuid=e9f78385-0491-4eaa-a33a-9238a469d0b5","http://www.mendeley.com/documents/?uuid=dd0923d5-9822-4405-82ab-fe8dbfaa9bb6"]}],"mendeley":{"formattedCitation":"&lt;sup&gt;47,68–70&lt;/sup&gt;","plainTextFormattedCitation":"47,68–70","previouslyFormattedCitation":"&lt;sup&gt;47,68–70&lt;/sup&gt;"},"properties":{"noteIndex":0},"schema":"https://github.com/citation-style-language/schema/raw/master/csl-citation.json"}</w:instrText>
      </w:r>
      <w:r w:rsidR="00C07E8E" w:rsidRPr="00C07E8E">
        <w:rPr>
          <w:rFonts w:cs="Times New Roman"/>
          <w:color w:val="auto"/>
          <w:szCs w:val="22"/>
        </w:rPr>
        <w:fldChar w:fldCharType="separate"/>
      </w:r>
      <w:r w:rsidR="007125A3" w:rsidRPr="007125A3">
        <w:rPr>
          <w:rFonts w:cs="Times New Roman"/>
          <w:noProof/>
          <w:color w:val="auto"/>
          <w:szCs w:val="22"/>
          <w:vertAlign w:val="superscript"/>
        </w:rPr>
        <w:t>47,68–70</w:t>
      </w:r>
      <w:r w:rsidR="00C07E8E" w:rsidRPr="00C07E8E">
        <w:rPr>
          <w:rFonts w:cs="Times New Roman"/>
          <w:color w:val="auto"/>
          <w:szCs w:val="22"/>
        </w:rPr>
        <w:fldChar w:fldCharType="end"/>
      </w:r>
      <w:r w:rsidR="00C07E8E" w:rsidRPr="00C07E8E">
        <w:rPr>
          <w:rFonts w:cs="Times New Roman"/>
          <w:color w:val="auto"/>
          <w:szCs w:val="22"/>
        </w:rPr>
        <w:t>, which can be explained by the differences in the conditions used in each study. However, these results can also suggest that activated endoperoxides unsystematically and non-specifically alkylate parasite proteins, thus inhibiting</w:t>
      </w:r>
      <w:r w:rsidR="004E1F75" w:rsidRPr="00C07E8E">
        <w:rPr>
          <w:rFonts w:cs="Times New Roman"/>
          <w:color w:val="auto"/>
          <w:szCs w:val="22"/>
        </w:rPr>
        <w:t xml:space="preserve"> essential</w:t>
      </w:r>
      <w:r w:rsidR="00C07E8E" w:rsidRPr="00C07E8E">
        <w:rPr>
          <w:rFonts w:cs="Times New Roman"/>
          <w:color w:val="auto"/>
          <w:szCs w:val="22"/>
        </w:rPr>
        <w:t xml:space="preserve"> proteins involved in </w:t>
      </w:r>
      <w:r w:rsidR="004E1F75" w:rsidRPr="00C07E8E">
        <w:rPr>
          <w:rFonts w:cs="Times New Roman"/>
          <w:color w:val="auto"/>
          <w:szCs w:val="22"/>
        </w:rPr>
        <w:t xml:space="preserve">key </w:t>
      </w:r>
      <w:r w:rsidR="00C07E8E" w:rsidRPr="00C07E8E">
        <w:rPr>
          <w:rFonts w:cs="Times New Roman"/>
          <w:color w:val="auto"/>
          <w:szCs w:val="22"/>
        </w:rPr>
        <w:t xml:space="preserve">parasite pathways, in a multiple target approach.  </w:t>
      </w:r>
    </w:p>
    <w:p w14:paraId="2139F5D5" w14:textId="77777777" w:rsidR="0063758C" w:rsidRPr="00C07E8E" w:rsidRDefault="0063758C" w:rsidP="00532D1D">
      <w:pPr>
        <w:autoSpaceDE w:val="0"/>
        <w:autoSpaceDN w:val="0"/>
        <w:adjustRightInd w:val="0"/>
        <w:rPr>
          <w:rFonts w:cs="Times New Roman"/>
          <w:color w:val="auto"/>
          <w:szCs w:val="22"/>
        </w:rPr>
      </w:pPr>
    </w:p>
    <w:p w14:paraId="4798B12A" w14:textId="31D604E9" w:rsidR="00650F2D"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t>Arteflene</w:t>
      </w:r>
      <w:r w:rsidR="00590382">
        <w:rPr>
          <w:rFonts w:cs="Times New Roman"/>
          <w:color w:val="auto"/>
          <w:sz w:val="22"/>
          <w:szCs w:val="22"/>
        </w:rPr>
        <w:t>- The first Synthetic Clin</w:t>
      </w:r>
      <w:r w:rsidR="00A61870">
        <w:rPr>
          <w:rFonts w:cs="Times New Roman"/>
          <w:color w:val="auto"/>
          <w:sz w:val="22"/>
          <w:szCs w:val="22"/>
        </w:rPr>
        <w:t>i</w:t>
      </w:r>
      <w:r w:rsidR="00590382">
        <w:rPr>
          <w:rFonts w:cs="Times New Roman"/>
          <w:color w:val="auto"/>
          <w:sz w:val="22"/>
          <w:szCs w:val="22"/>
        </w:rPr>
        <w:t>cal Candidate Endoperoxide</w:t>
      </w:r>
    </w:p>
    <w:p w14:paraId="47D1685B" w14:textId="77777777" w:rsidR="00650F2D" w:rsidRPr="00C07E8E" w:rsidRDefault="00650F2D" w:rsidP="00532D1D">
      <w:pPr>
        <w:rPr>
          <w:szCs w:val="22"/>
        </w:rPr>
      </w:pPr>
    </w:p>
    <w:p w14:paraId="479D4B91" w14:textId="27408C1E" w:rsidR="00AF53F1" w:rsidRPr="00C07E8E" w:rsidRDefault="006D7105" w:rsidP="00532D1D">
      <w:pPr>
        <w:keepNext/>
        <w:jc w:val="center"/>
        <w:rPr>
          <w:rFonts w:cs="Times New Roman"/>
          <w:color w:val="auto"/>
          <w:szCs w:val="22"/>
        </w:rPr>
      </w:pPr>
      <w:r w:rsidRPr="006D7105">
        <w:rPr>
          <w:rFonts w:cs="Times New Roman"/>
          <w:noProof/>
          <w:color w:val="auto"/>
          <w:szCs w:val="22"/>
        </w:rPr>
        <w:object w:dxaOrig="7745" w:dyaOrig="2923" w14:anchorId="1909BE2A">
          <v:shape id="_x0000_i1029" type="#_x0000_t75" alt="" style="width:387pt;height:145.8pt;mso-width-percent:0;mso-height-percent:0;mso-width-percent:0;mso-height-percent:0" o:ole="">
            <v:imagedata r:id="rId14" o:title=""/>
          </v:shape>
          <o:OLEObject Type="Embed" ProgID="ChemDraw.Document.6.0" ShapeID="_x0000_i1029" DrawAspect="Content" ObjectID="_1669219463" r:id="rId15"/>
        </w:object>
      </w:r>
    </w:p>
    <w:p w14:paraId="7868D1B7" w14:textId="0183CF94" w:rsidR="00AF53F1" w:rsidRPr="00C07E8E" w:rsidRDefault="00C07E8E" w:rsidP="00532D1D">
      <w:pPr>
        <w:pStyle w:val="Legenda"/>
        <w:spacing w:after="0" w:line="360" w:lineRule="auto"/>
        <w:rPr>
          <w:rFonts w:cs="Times New Roman"/>
          <w:i w:val="0"/>
          <w:iCs w:val="0"/>
          <w:color w:val="auto"/>
          <w:sz w:val="22"/>
          <w:szCs w:val="22"/>
        </w:rPr>
      </w:pPr>
      <w:r w:rsidRPr="00C07E8E">
        <w:rPr>
          <w:rFonts w:cs="Times New Roman"/>
          <w:b/>
          <w:bCs/>
          <w:i w:val="0"/>
          <w:iCs w:val="0"/>
          <w:color w:val="auto"/>
          <w:sz w:val="22"/>
          <w:szCs w:val="22"/>
        </w:rPr>
        <w:t xml:space="preserve">Figure </w:t>
      </w:r>
      <w:r w:rsidR="00D52B17" w:rsidRPr="00C07E8E">
        <w:rPr>
          <w:rFonts w:cs="Times New Roman"/>
          <w:b/>
          <w:bCs/>
          <w:i w:val="0"/>
          <w:iCs w:val="0"/>
          <w:color w:val="auto"/>
          <w:sz w:val="22"/>
          <w:szCs w:val="22"/>
        </w:rPr>
        <w:t>4</w:t>
      </w:r>
      <w:r w:rsidRPr="00C07E8E">
        <w:rPr>
          <w:rFonts w:cs="Times New Roman"/>
          <w:b/>
          <w:bCs/>
          <w:i w:val="0"/>
          <w:iCs w:val="0"/>
          <w:color w:val="auto"/>
          <w:sz w:val="22"/>
          <w:szCs w:val="22"/>
        </w:rPr>
        <w:t>:</w:t>
      </w:r>
      <w:r w:rsidRPr="00C07E8E">
        <w:rPr>
          <w:rFonts w:cs="Times New Roman"/>
          <w:i w:val="0"/>
          <w:iCs w:val="0"/>
          <w:color w:val="auto"/>
          <w:sz w:val="22"/>
          <w:szCs w:val="22"/>
        </w:rPr>
        <w:t xml:space="preserve"> Structure </w:t>
      </w:r>
      <w:r w:rsidR="00C02082">
        <w:rPr>
          <w:rFonts w:cs="Times New Roman"/>
          <w:i w:val="0"/>
          <w:iCs w:val="0"/>
          <w:color w:val="auto"/>
          <w:sz w:val="22"/>
          <w:szCs w:val="22"/>
        </w:rPr>
        <w:t>representation</w:t>
      </w:r>
      <w:r w:rsidR="007125A3">
        <w:rPr>
          <w:rFonts w:cs="Times New Roman"/>
          <w:i w:val="0"/>
          <w:iCs w:val="0"/>
          <w:color w:val="auto"/>
          <w:sz w:val="22"/>
          <w:szCs w:val="22"/>
        </w:rPr>
        <w:t>s</w:t>
      </w:r>
      <w:r w:rsidR="00C02082">
        <w:rPr>
          <w:rFonts w:cs="Times New Roman"/>
          <w:i w:val="0"/>
          <w:iCs w:val="0"/>
          <w:color w:val="auto"/>
          <w:sz w:val="22"/>
          <w:szCs w:val="22"/>
        </w:rPr>
        <w:t xml:space="preserve"> </w:t>
      </w:r>
      <w:r w:rsidRPr="00C07E8E">
        <w:rPr>
          <w:rFonts w:cs="Times New Roman"/>
          <w:i w:val="0"/>
          <w:iCs w:val="0"/>
          <w:color w:val="auto"/>
          <w:sz w:val="22"/>
          <w:szCs w:val="22"/>
        </w:rPr>
        <w:t>of the natural product Yingzhaosu A</w:t>
      </w:r>
      <w:r w:rsidR="00D52B17" w:rsidRPr="00C07E8E">
        <w:rPr>
          <w:rFonts w:cs="Times New Roman"/>
          <w:i w:val="0"/>
          <w:iCs w:val="0"/>
          <w:color w:val="auto"/>
          <w:sz w:val="22"/>
          <w:szCs w:val="22"/>
        </w:rPr>
        <w:t xml:space="preserve"> </w:t>
      </w:r>
      <w:r w:rsidR="00D52B17" w:rsidRPr="00C07E8E">
        <w:rPr>
          <w:rFonts w:cs="Times New Roman"/>
          <w:b/>
          <w:bCs/>
          <w:i w:val="0"/>
          <w:iCs w:val="0"/>
          <w:color w:val="auto"/>
          <w:sz w:val="22"/>
          <w:szCs w:val="22"/>
        </w:rPr>
        <w:t>1</w:t>
      </w:r>
      <w:r w:rsidR="00BF291B">
        <w:rPr>
          <w:rFonts w:cs="Times New Roman"/>
          <w:b/>
          <w:bCs/>
          <w:i w:val="0"/>
          <w:iCs w:val="0"/>
          <w:color w:val="auto"/>
          <w:sz w:val="22"/>
          <w:szCs w:val="22"/>
        </w:rPr>
        <w:t>8</w:t>
      </w:r>
      <w:r w:rsidR="00C02082">
        <w:rPr>
          <w:rFonts w:cs="Times New Roman"/>
          <w:b/>
          <w:bCs/>
          <w:i w:val="0"/>
          <w:iCs w:val="0"/>
          <w:color w:val="auto"/>
          <w:sz w:val="22"/>
          <w:szCs w:val="22"/>
        </w:rPr>
        <w:t>,</w:t>
      </w:r>
      <w:r w:rsidRPr="00C07E8E">
        <w:rPr>
          <w:rFonts w:cs="Times New Roman"/>
          <w:i w:val="0"/>
          <w:iCs w:val="0"/>
          <w:color w:val="auto"/>
          <w:sz w:val="22"/>
          <w:szCs w:val="22"/>
        </w:rPr>
        <w:t xml:space="preserve"> </w:t>
      </w:r>
      <w:r w:rsidR="001753B8" w:rsidRPr="007370A6">
        <w:rPr>
          <w:rFonts w:cs="Times New Roman"/>
          <w:i w:val="0"/>
          <w:iCs w:val="0"/>
          <w:color w:val="auto"/>
          <w:sz w:val="22"/>
          <w:szCs w:val="22"/>
        </w:rPr>
        <w:t>of</w:t>
      </w:r>
      <w:r w:rsidR="001753B8">
        <w:rPr>
          <w:rFonts w:cs="Times New Roman"/>
          <w:b/>
          <w:bCs/>
          <w:i w:val="0"/>
          <w:iCs w:val="0"/>
          <w:color w:val="auto"/>
          <w:sz w:val="22"/>
          <w:szCs w:val="22"/>
        </w:rPr>
        <w:t xml:space="preserve"> </w:t>
      </w:r>
      <w:r w:rsidRPr="00C07E8E">
        <w:rPr>
          <w:rFonts w:cs="Times New Roman"/>
          <w:i w:val="0"/>
          <w:iCs w:val="0"/>
          <w:color w:val="auto"/>
          <w:sz w:val="22"/>
          <w:szCs w:val="22"/>
        </w:rPr>
        <w:t>the synthetic endoperoxide antimalarial Arteflene</w:t>
      </w:r>
      <w:r w:rsidR="00D52B17" w:rsidRPr="00C07E8E">
        <w:rPr>
          <w:rFonts w:cs="Times New Roman"/>
          <w:i w:val="0"/>
          <w:iCs w:val="0"/>
          <w:color w:val="auto"/>
          <w:sz w:val="22"/>
          <w:szCs w:val="22"/>
        </w:rPr>
        <w:t xml:space="preserve"> </w:t>
      </w:r>
      <w:r w:rsidR="00D52B17" w:rsidRPr="00C07E8E">
        <w:rPr>
          <w:rFonts w:cs="Times New Roman"/>
          <w:b/>
          <w:bCs/>
          <w:i w:val="0"/>
          <w:iCs w:val="0"/>
          <w:color w:val="auto"/>
          <w:sz w:val="22"/>
          <w:szCs w:val="22"/>
        </w:rPr>
        <w:t>1</w:t>
      </w:r>
      <w:r w:rsidR="00BF291B">
        <w:rPr>
          <w:rFonts w:cs="Times New Roman"/>
          <w:b/>
          <w:bCs/>
          <w:i w:val="0"/>
          <w:iCs w:val="0"/>
          <w:color w:val="auto"/>
          <w:sz w:val="22"/>
          <w:szCs w:val="22"/>
        </w:rPr>
        <w:t>7</w:t>
      </w:r>
      <w:r w:rsidR="001753B8">
        <w:rPr>
          <w:rFonts w:cs="Times New Roman"/>
          <w:b/>
          <w:bCs/>
          <w:i w:val="0"/>
          <w:iCs w:val="0"/>
          <w:color w:val="auto"/>
          <w:sz w:val="22"/>
          <w:szCs w:val="22"/>
        </w:rPr>
        <w:t xml:space="preserve"> </w:t>
      </w:r>
      <w:r w:rsidR="001753B8" w:rsidRPr="007370A6">
        <w:rPr>
          <w:rFonts w:cs="Times New Roman"/>
          <w:i w:val="0"/>
          <w:iCs w:val="0"/>
          <w:color w:val="auto"/>
          <w:sz w:val="22"/>
          <w:szCs w:val="22"/>
        </w:rPr>
        <w:t>and</w:t>
      </w:r>
      <w:r w:rsidR="001753B8">
        <w:rPr>
          <w:rFonts w:cs="Times New Roman"/>
          <w:b/>
          <w:bCs/>
          <w:i w:val="0"/>
          <w:iCs w:val="0"/>
          <w:color w:val="auto"/>
          <w:sz w:val="22"/>
          <w:szCs w:val="22"/>
        </w:rPr>
        <w:t xml:space="preserve"> </w:t>
      </w:r>
      <w:r w:rsidR="001753B8">
        <w:rPr>
          <w:rFonts w:cs="Times New Roman"/>
          <w:i w:val="0"/>
          <w:iCs w:val="0"/>
          <w:color w:val="auto"/>
          <w:sz w:val="22"/>
          <w:szCs w:val="22"/>
        </w:rPr>
        <w:t>of its active 8-hydroxy</w:t>
      </w:r>
      <w:r w:rsidR="001753B8" w:rsidRPr="00117853">
        <w:rPr>
          <w:rFonts w:cs="Times New Roman"/>
          <w:i w:val="0"/>
          <w:iCs w:val="0"/>
          <w:color w:val="auto"/>
          <w:sz w:val="22"/>
          <w:szCs w:val="22"/>
        </w:rPr>
        <w:t xml:space="preserve"> metabolite Ro 47-6936</w:t>
      </w:r>
      <w:r w:rsidR="001753B8">
        <w:rPr>
          <w:rFonts w:cs="Times New Roman"/>
          <w:i w:val="0"/>
          <w:iCs w:val="0"/>
          <w:color w:val="auto"/>
          <w:sz w:val="22"/>
          <w:szCs w:val="22"/>
        </w:rPr>
        <w:t xml:space="preserve"> </w:t>
      </w:r>
      <w:r w:rsidR="001753B8" w:rsidRPr="00117853">
        <w:rPr>
          <w:rFonts w:cs="Times New Roman"/>
          <w:b/>
          <w:bCs/>
          <w:i w:val="0"/>
          <w:iCs w:val="0"/>
          <w:color w:val="auto"/>
          <w:sz w:val="22"/>
          <w:szCs w:val="22"/>
        </w:rPr>
        <w:t>19</w:t>
      </w:r>
      <w:r w:rsidR="001753B8">
        <w:rPr>
          <w:rFonts w:cs="Times New Roman"/>
          <w:i w:val="0"/>
          <w:iCs w:val="0"/>
          <w:color w:val="auto"/>
          <w:sz w:val="22"/>
          <w:szCs w:val="22"/>
        </w:rPr>
        <w:t>,</w:t>
      </w:r>
      <w:r w:rsidR="001753B8">
        <w:rPr>
          <w:rFonts w:cs="Times New Roman"/>
          <w:b/>
          <w:bCs/>
          <w:i w:val="0"/>
          <w:iCs w:val="0"/>
          <w:color w:val="auto"/>
          <w:sz w:val="22"/>
          <w:szCs w:val="22"/>
        </w:rPr>
        <w:t xml:space="preserve"> </w:t>
      </w:r>
    </w:p>
    <w:p w14:paraId="684243BA" w14:textId="77777777" w:rsidR="00953669" w:rsidRPr="00C07E8E" w:rsidRDefault="00953669" w:rsidP="00532D1D">
      <w:pPr>
        <w:rPr>
          <w:rFonts w:cs="Times New Roman"/>
          <w:color w:val="auto"/>
          <w:szCs w:val="22"/>
        </w:rPr>
      </w:pPr>
    </w:p>
    <w:p w14:paraId="512D264A" w14:textId="6CF21923" w:rsidR="00074AF3" w:rsidRPr="007370A6" w:rsidRDefault="00C07E8E" w:rsidP="00532D1D">
      <w:pPr>
        <w:keepNext/>
        <w:rPr>
          <w:rFonts w:cs="Times New Roman"/>
          <w:b/>
          <w:bCs/>
          <w:color w:val="auto"/>
          <w:szCs w:val="22"/>
        </w:rPr>
      </w:pPr>
      <w:r w:rsidRPr="00C07E8E">
        <w:rPr>
          <w:rFonts w:cs="Times New Roman"/>
          <w:color w:val="auto"/>
          <w:szCs w:val="22"/>
        </w:rPr>
        <w:tab/>
        <w:t>Arteflene (</w:t>
      </w:r>
      <w:r w:rsidR="00D52B17" w:rsidRPr="00C07E8E">
        <w:rPr>
          <w:rFonts w:cs="Times New Roman"/>
          <w:b/>
          <w:bCs/>
          <w:color w:val="auto"/>
          <w:szCs w:val="22"/>
        </w:rPr>
        <w:t>1</w:t>
      </w:r>
      <w:r w:rsidR="00B77582">
        <w:rPr>
          <w:rFonts w:cs="Times New Roman"/>
          <w:b/>
          <w:bCs/>
          <w:color w:val="auto"/>
          <w:szCs w:val="22"/>
        </w:rPr>
        <w:t>7</w:t>
      </w:r>
      <w:r w:rsidR="009C2372" w:rsidRPr="007125A3">
        <w:rPr>
          <w:rFonts w:cs="Times New Roman"/>
          <w:b/>
          <w:bCs/>
          <w:color w:val="auto"/>
          <w:szCs w:val="22"/>
        </w:rPr>
        <w:t xml:space="preserve">, </w:t>
      </w:r>
      <w:r w:rsidR="009C2372" w:rsidRPr="007370A6">
        <w:rPr>
          <w:rFonts w:cs="Times New Roman"/>
          <w:b/>
          <w:color w:val="auto"/>
          <w:szCs w:val="22"/>
        </w:rPr>
        <w:t>Figure 4</w:t>
      </w:r>
      <w:r w:rsidRPr="00C07E8E">
        <w:rPr>
          <w:rFonts w:cs="Times New Roman"/>
          <w:color w:val="auto"/>
          <w:szCs w:val="22"/>
        </w:rPr>
        <w:t>)</w:t>
      </w:r>
      <w:r w:rsidR="002721F3" w:rsidRPr="00C07E8E">
        <w:rPr>
          <w:rFonts w:cs="Times New Roman"/>
          <w:color w:val="auto"/>
          <w:szCs w:val="22"/>
        </w:rPr>
        <w:t xml:space="preserve"> is a synthetic </w:t>
      </w:r>
      <w:r w:rsidR="002E61C4" w:rsidRPr="00C07E8E">
        <w:rPr>
          <w:rFonts w:cs="Times New Roman"/>
          <w:color w:val="auto"/>
          <w:szCs w:val="22"/>
        </w:rPr>
        <w:t>1,2-dioxane containing antimalarial</w:t>
      </w:r>
      <w:r w:rsidRPr="00C07E8E">
        <w:rPr>
          <w:rFonts w:cs="Times New Roman"/>
          <w:color w:val="auto"/>
          <w:szCs w:val="22"/>
        </w:rPr>
        <w:t xml:space="preserve"> reported by F. Hoffmann-La Roche in 1994.</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{"citationItems":[{"id":"ITEM-1","itemData":{"ISSN":"01772392","PMID":"7899802","abstract":"The sesquiterpene peroxide Ro42-1611 (arteflene), a synthetic derivative of yingzhaosu, was evaluated extensively against various drug-sensitive and drug-resistant lines of Plasmodium falciparum in vitro and P. berghei in vivo in mice. The potential therapeutic and prophylactic activities were studied comparatively with the standard antimalarials chloroquine, mefloquine and quinine, as well as qinghaosu and the derivatives artemether and artesunic acid. Experimentally arteflene proved to be a highly effective antimalarial drug. In vivo it is active at low doses against blood stages of P. berghei in mice after oral or parenteral administration. It as a rapid onset of drug action and a long lasting suppressive effect when given after infection, as well as a good potential for prophylactic activity when given before infection. The suppressive and prophylactic properties are comparable to chloroquine and superior to qinghaosu, artemether and artesunic acid. In vitro the compound showed no signs of cross-resistance with existing antimalarials. It was consistently rather more active against drug-resistant than against drug-sensitive strains of P. falciparum. Drug interaction studies in vitro and in vivo with chloroquine, mefloquine and quinine revealed an additive to synergistic effect with arteflene. Antagonism with these drugs was not observed. Compared with standard antimalarials he activity of arteflene in vitro is lower than would be expected from the in vivo results. This may be due to pharmacokinetic properties of the compound and the formation of an active metabolite which sustains the activity of arteflene in vivo.","author":[{"dropping-particle":"","family":"Jaquet","given":"C.","non-dropping-particle":"","parse-names":false,"suffix":""},{"dropping-particle":"","family":"Stohler","given":"H. R.","non-dropping-particle":"","parse-names":false,"suffix":""},{"dropping-particle":"","family":"Chollet","given":"J.","non-dropping-particle":"","parse-names":false,"suffix":""},{"dropping-particle":"","family":"Peters","given":"W.","non-dropping-particle":"","parse-names":false,"suffix":""}],"container-title":"Tropical Medicine and Parasitology","id":"ITEM-1","issue":"3","issued":{"date-parts":[["1994"]]},"page":"266-271","title":"Antimalarial activity of the bicyclic peroxide Ro42-1611 (arteflene) in experimental models","type":"article-journal","volume":"45"},"uris":["http://www.mendeley.com/documents/?uuid=1889d37a-db97-406f-b9e1-579f17400a7d","http://www.mendeley.com/documents/?uuid=834715c7-7634-4236-9232-b9d0c76a5ecc"]}],"mendeley":{"formattedCitation":"&lt;sup&gt;72&lt;/sup&gt;","plainTextFormattedCitation":"72","previouslyFormattedCitation":"&lt;sup&gt;72&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72</w:t>
      </w:r>
      <w:r w:rsidR="00601B2A" w:rsidRPr="00C07E8E">
        <w:rPr>
          <w:rFonts w:cs="Times New Roman"/>
          <w:color w:val="auto"/>
          <w:szCs w:val="22"/>
        </w:rPr>
        <w:fldChar w:fldCharType="end"/>
      </w:r>
      <w:r w:rsidR="005715BE" w:rsidRPr="00C07E8E">
        <w:rPr>
          <w:rFonts w:cs="Times New Roman"/>
          <w:color w:val="auto"/>
          <w:szCs w:val="22"/>
        </w:rPr>
        <w:t xml:space="preserve"> </w:t>
      </w:r>
      <w:r w:rsidR="00293AE3" w:rsidRPr="00C07E8E">
        <w:rPr>
          <w:rFonts w:cs="Times New Roman"/>
          <w:color w:val="auto"/>
          <w:szCs w:val="22"/>
        </w:rPr>
        <w:t>It</w:t>
      </w:r>
      <w:r w:rsidR="00293AE3" w:rsidRPr="00C07E8E">
        <w:rPr>
          <w:rFonts w:cs="Times New Roman"/>
          <w:b/>
          <w:bCs/>
          <w:color w:val="auto"/>
          <w:szCs w:val="22"/>
        </w:rPr>
        <w:t xml:space="preserve"> </w:t>
      </w:r>
      <w:r w:rsidRPr="00C07E8E">
        <w:rPr>
          <w:rFonts w:cs="Times New Roman"/>
          <w:color w:val="auto"/>
          <w:szCs w:val="22"/>
        </w:rPr>
        <w:t xml:space="preserve">was </w:t>
      </w:r>
      <w:r w:rsidR="001753B8" w:rsidRPr="00C07E8E">
        <w:rPr>
          <w:rFonts w:cs="Times New Roman"/>
          <w:color w:val="auto"/>
          <w:szCs w:val="22"/>
        </w:rPr>
        <w:t>s</w:t>
      </w:r>
      <w:r w:rsidR="001753B8">
        <w:rPr>
          <w:rFonts w:cs="Times New Roman"/>
          <w:color w:val="auto"/>
          <w:szCs w:val="22"/>
        </w:rPr>
        <w:t>elected</w:t>
      </w:r>
      <w:r w:rsidR="001753B8" w:rsidRPr="00C07E8E">
        <w:rPr>
          <w:rFonts w:cs="Times New Roman"/>
          <w:color w:val="auto"/>
          <w:szCs w:val="22"/>
        </w:rPr>
        <w:t xml:space="preserve"> </w:t>
      </w:r>
      <w:r w:rsidRPr="00C07E8E">
        <w:rPr>
          <w:rFonts w:cs="Times New Roman"/>
          <w:color w:val="auto"/>
          <w:szCs w:val="22"/>
        </w:rPr>
        <w:t xml:space="preserve">during a project focusing on the synthesis of </w:t>
      </w:r>
      <w:r w:rsidR="00A479B3" w:rsidRPr="00C07E8E">
        <w:rPr>
          <w:rFonts w:cs="Times New Roman"/>
          <w:color w:val="auto"/>
          <w:szCs w:val="22"/>
        </w:rPr>
        <w:t xml:space="preserve">a series of </w:t>
      </w:r>
      <w:r w:rsidRPr="00C07E8E">
        <w:rPr>
          <w:rFonts w:cs="Times New Roman"/>
          <w:color w:val="auto"/>
          <w:szCs w:val="22"/>
        </w:rPr>
        <w:t xml:space="preserve">simplified </w:t>
      </w:r>
      <w:r w:rsidR="00784D1E" w:rsidRPr="00C07E8E">
        <w:rPr>
          <w:rFonts w:cs="Times New Roman"/>
          <w:color w:val="auto"/>
          <w:szCs w:val="22"/>
        </w:rPr>
        <w:t>analogs</w:t>
      </w:r>
      <w:r w:rsidRPr="00C07E8E">
        <w:rPr>
          <w:rFonts w:cs="Times New Roman"/>
          <w:color w:val="auto"/>
          <w:szCs w:val="22"/>
        </w:rPr>
        <w:t xml:space="preserve"> of Yingzhaosu A</w:t>
      </w:r>
      <w:r w:rsidR="00784D1E" w:rsidRPr="00C07E8E">
        <w:rPr>
          <w:rFonts w:cs="Times New Roman"/>
          <w:color w:val="auto"/>
          <w:szCs w:val="22"/>
        </w:rPr>
        <w:t xml:space="preserve"> (</w:t>
      </w:r>
      <w:r w:rsidR="00D52B17" w:rsidRPr="00C07E8E">
        <w:rPr>
          <w:rFonts w:cs="Times New Roman"/>
          <w:b/>
          <w:bCs/>
          <w:color w:val="auto"/>
          <w:szCs w:val="22"/>
        </w:rPr>
        <w:t>1</w:t>
      </w:r>
      <w:r w:rsidR="00B77582">
        <w:rPr>
          <w:rFonts w:cs="Times New Roman"/>
          <w:b/>
          <w:bCs/>
          <w:color w:val="auto"/>
          <w:szCs w:val="22"/>
        </w:rPr>
        <w:t>8</w:t>
      </w:r>
      <w:r w:rsidR="00784D1E" w:rsidRPr="00C07E8E">
        <w:rPr>
          <w:rFonts w:cs="Times New Roman"/>
          <w:color w:val="auto"/>
          <w:szCs w:val="22"/>
        </w:rPr>
        <w:t>)</w:t>
      </w:r>
      <w:r w:rsidRPr="00C07E8E">
        <w:rPr>
          <w:rFonts w:cs="Times New Roman"/>
          <w:color w:val="auto"/>
          <w:szCs w:val="22"/>
        </w:rPr>
        <w:t xml:space="preserve"> </w:t>
      </w:r>
      <w:r w:rsidR="00784D1E" w:rsidRPr="00C07E8E">
        <w:rPr>
          <w:rFonts w:cs="Times New Roman"/>
          <w:color w:val="auto"/>
          <w:szCs w:val="22"/>
        </w:rPr>
        <w:t>– a natural product endoperoxide isolated from the Chinese herb Yingzhao. Yingzhaosu A possesses potent antimalarial activity however</w:t>
      </w:r>
      <w:r w:rsidR="00751FC4" w:rsidRPr="00C07E8E">
        <w:rPr>
          <w:rFonts w:cs="Times New Roman"/>
          <w:color w:val="auto"/>
          <w:szCs w:val="22"/>
        </w:rPr>
        <w:t>,</w:t>
      </w:r>
      <w:r w:rsidR="00784D1E" w:rsidRPr="00C07E8E">
        <w:rPr>
          <w:rFonts w:cs="Times New Roman"/>
          <w:color w:val="auto"/>
          <w:szCs w:val="22"/>
        </w:rPr>
        <w:t xml:space="preserve"> due to lack of abundance and a lengthy total synthesis from R-(-)-carvone</w:t>
      </w:r>
      <w:r w:rsidR="00751FC4" w:rsidRPr="00C07E8E">
        <w:rPr>
          <w:rFonts w:cs="Times New Roman"/>
          <w:color w:val="auto"/>
          <w:szCs w:val="22"/>
        </w:rPr>
        <w:t>,</w:t>
      </w:r>
      <w:r w:rsidR="00784D1E" w:rsidRPr="00C07E8E">
        <w:rPr>
          <w:rFonts w:cs="Times New Roman"/>
          <w:color w:val="auto"/>
          <w:szCs w:val="22"/>
        </w:rPr>
        <w:t xml:space="preserve"> it is not suitable for use as a therapeutic.</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{"citationItems":[{"id":"ITEM-1","itemData":{"DOI":"10.1002/med.10066","ISSN":"01986325","PMID":"15170591","abstract":"The discovery of artemisinin in 1971 initiated a new era in antimalarial chemotherapy. Although the clinically useful semisynthetic artemisinin derivatives are rapid acting and potent antimalarial drugs, they have short half-lives and must be administered over a period of 5-7 days, leading to noncompliance and recrudescence. With this in view, many synthetic antimalarial peroxides have been prepared. Yet, identification of orally active synthetic peroxide drug development candidates that are easily synthesized, inexpensive, and with good biopharmaceutical properties has been surprisingly difficult. In this review, we document the pitfalls and progress made in this endeavor. For each of 15 synthetic peroxide structural classes, we note highlights of the synthetic routes, product stereochemistry, and origin of the peroxide O atoms. Both in vitro and in vivo antimalarial data are then discussed and any SAR noted. Available data indicates that several synthetic 1,2,4-trioxanes are only marginally less effective than the semisynthetic artemisinins. Within a given peroxide chemical family, the more lipophilic members are more potent and possess better oral antimalarial activity in animal models than their more polar counterparts. This poses a challenge to identify peroxide structures with suitable \"drug-like\" physicochemical properties. Nonetheless, substantial progress has been made in the identification of a new generation of synthetic antimalarial peroxides. © 2004 Wiley Periodicals, Inc.","author":[{"dropping-particle":"","family":"Tang","given":"Yuanqing","non-dropping-particle":"","parse-names":false,"suffix":""},{"dropping-particle":"","family":"Dong","given":"Yuxiang","non-dropping-particle":"","parse-names":false,"suffix":""},{"dropping-particle":"","family":"Vennerstrom","given":"Jonathan L.","non-dropping-particle":"","parse-names":false,"suffix":""}],"container-title":"Medicinal Research Reviews","id":"ITEM-1","issue":"4","issued":{"date-parts":[["2004","7"]]},"page":"425-448","title":"Synthetic peroxides as antimalarizals","type":"article-journal","volume":"24"},"uris":["http://www.mendeley.com/documents/?uuid=3c4f0d91-cd96-43b7-9237-0f95b0f9a107","http://www.mendeley.com/documents/?uuid=6b0cfe60-e537-4b0e-90dc-3d4fe660e1e0"]}],"mendeley":{"formattedCitation":"&lt;sup&gt;73&lt;/sup&gt;","plainTextFormattedCitation":"73","previouslyFormattedCitation":"&lt;sup&gt;73&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73</w:t>
      </w:r>
      <w:r w:rsidR="00601B2A" w:rsidRPr="00C07E8E">
        <w:rPr>
          <w:rFonts w:cs="Times New Roman"/>
          <w:color w:val="auto"/>
          <w:szCs w:val="22"/>
        </w:rPr>
        <w:fldChar w:fldCharType="end"/>
      </w:r>
      <w:r w:rsidR="00601B2A" w:rsidRPr="00C07E8E">
        <w:rPr>
          <w:rFonts w:cs="Times New Roman"/>
          <w:color w:val="auto"/>
          <w:szCs w:val="22"/>
          <w:vertAlign w:val="superscript"/>
        </w:rPr>
        <w:t>,</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{"citationItems":[{"id":"ITEM-1","itemData":{"DOI":"10.1016/S0040-4039(00)93555-X","ISSN":"00404039","abstract":"The first total synthesis of (+)-Yingzhaosu A, an antimalarial constituent isolated from Yingzhao (Artabotrys uncinatus (L.) Merr.), was achieved starting from R-(-)-carvone. © 1991.","author":[{"dropping-particle":"","family":"Xu","given":"Xing Xiang","non-dropping-particle":"","parse-names":false,"suffix":""},{"dropping-particle":"","family":"Zhu","given":"Jie","non-dropping-particle":"","parse-names":false,"suffix":""},{"dropping-particle":"","family":"Huang","given":"Da Zhong","non-dropping-particle":"","parse-names":false,"suffix":""},{"dropping-particle":"","family":"Zhou","given":"Wei Shan","non-dropping-particle":"","parse-names":false,"suffix":""}],"container-title":"Tetrahedron Letters","id":"ITEM-1","issue":"41","issued":{"date-parts":[["1991"]]},"page":"5785-5788","title":"Total synthesis of (+)-Yingzhaosu A","type":"article-journal","volume":"32"},"uris":["http://www.mendeley.com/documents/?uuid=ac1b4cd2-e27f-4cb2-bb01-001f55d53f64","http://www.mendeley.com/documents/?uuid=cf3957b1-5c4f-4d21-a464-890186540916"]}],"mendeley":{"formattedCitation":"&lt;sup&gt;74&lt;/sup&gt;","plainTextFormattedCitation":"74","previouslyFormattedCitation":"&lt;sup&gt;74&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74</w:t>
      </w:r>
      <w:r w:rsidR="00601B2A" w:rsidRPr="00C07E8E">
        <w:rPr>
          <w:rFonts w:cs="Times New Roman"/>
          <w:color w:val="auto"/>
          <w:szCs w:val="22"/>
        </w:rPr>
        <w:fldChar w:fldCharType="end"/>
      </w:r>
      <w:r w:rsidR="00601B2A" w:rsidRPr="00C07E8E">
        <w:rPr>
          <w:rFonts w:cs="Times New Roman"/>
          <w:color w:val="auto"/>
          <w:szCs w:val="22"/>
        </w:rPr>
        <w:t xml:space="preserve"> </w:t>
      </w:r>
      <w:r w:rsidR="00F429AE" w:rsidRPr="00C07E8E">
        <w:rPr>
          <w:rFonts w:cs="Times New Roman"/>
          <w:color w:val="auto"/>
          <w:szCs w:val="22"/>
        </w:rPr>
        <w:t xml:space="preserve">Arteflene was synthesised </w:t>
      </w:r>
      <w:r w:rsidR="00886994" w:rsidRPr="00C07E8E">
        <w:rPr>
          <w:rFonts w:cs="Times New Roman"/>
          <w:color w:val="auto"/>
          <w:szCs w:val="22"/>
        </w:rPr>
        <w:t>from R-carvone</w:t>
      </w:r>
      <w:r w:rsidRPr="00C07E8E">
        <w:rPr>
          <w:rFonts w:cs="Times New Roman"/>
          <w:color w:val="auto"/>
          <w:szCs w:val="22"/>
        </w:rPr>
        <w:t xml:space="preserve"> (</w:t>
      </w:r>
      <w:r w:rsidR="00B77582">
        <w:rPr>
          <w:rFonts w:cs="Times New Roman"/>
          <w:b/>
          <w:bCs/>
          <w:color w:val="auto"/>
          <w:szCs w:val="22"/>
        </w:rPr>
        <w:t>20</w:t>
      </w:r>
      <w:r w:rsidRPr="00C07E8E">
        <w:rPr>
          <w:rFonts w:cs="Times New Roman"/>
          <w:color w:val="auto"/>
          <w:szCs w:val="22"/>
        </w:rPr>
        <w:t xml:space="preserve">, scheme </w:t>
      </w:r>
      <w:r w:rsidR="00953669" w:rsidRPr="00C07E8E">
        <w:rPr>
          <w:rFonts w:cs="Times New Roman"/>
          <w:color w:val="auto"/>
          <w:szCs w:val="22"/>
        </w:rPr>
        <w:t>2</w:t>
      </w:r>
      <w:r w:rsidRPr="00C07E8E">
        <w:rPr>
          <w:rFonts w:cs="Times New Roman"/>
          <w:color w:val="auto"/>
          <w:szCs w:val="22"/>
        </w:rPr>
        <w:t>)</w:t>
      </w:r>
      <w:r w:rsidR="00886994" w:rsidRPr="00C07E8E">
        <w:rPr>
          <w:rFonts w:cs="Times New Roman"/>
          <w:color w:val="auto"/>
          <w:szCs w:val="22"/>
        </w:rPr>
        <w:t xml:space="preserve"> with an initial acid catalysed epoxidation of the alkene followed by </w:t>
      </w:r>
      <w:r w:rsidR="00B6712E" w:rsidRPr="00C07E8E">
        <w:rPr>
          <w:rFonts w:cs="Times New Roman"/>
          <w:color w:val="auto"/>
          <w:szCs w:val="22"/>
        </w:rPr>
        <w:t xml:space="preserve">opening to the diol. The diol was cleaved to the ketone </w:t>
      </w:r>
      <w:r w:rsidR="00D52B17" w:rsidRPr="00C07E8E">
        <w:rPr>
          <w:rFonts w:cs="Times New Roman"/>
          <w:b/>
          <w:bCs/>
          <w:color w:val="auto"/>
          <w:szCs w:val="22"/>
        </w:rPr>
        <w:t>2</w:t>
      </w:r>
      <w:r w:rsidR="00B77582">
        <w:rPr>
          <w:rFonts w:cs="Times New Roman"/>
          <w:b/>
          <w:bCs/>
          <w:color w:val="auto"/>
          <w:szCs w:val="22"/>
        </w:rPr>
        <w:t>1</w:t>
      </w:r>
      <w:r w:rsidR="00FA57C3" w:rsidRPr="00C07E8E">
        <w:rPr>
          <w:rFonts w:cs="Times New Roman"/>
          <w:b/>
          <w:bCs/>
          <w:color w:val="auto"/>
          <w:szCs w:val="22"/>
        </w:rPr>
        <w:t xml:space="preserve"> </w:t>
      </w:r>
      <w:r w:rsidR="001E4555" w:rsidRPr="00C07E8E">
        <w:rPr>
          <w:rFonts w:cs="Times New Roman"/>
          <w:color w:val="auto"/>
          <w:szCs w:val="22"/>
        </w:rPr>
        <w:t xml:space="preserve">followed by conversion to </w:t>
      </w:r>
      <w:r w:rsidR="00D52B17" w:rsidRPr="00C07E8E">
        <w:rPr>
          <w:rFonts w:cs="Times New Roman"/>
          <w:b/>
          <w:bCs/>
          <w:color w:val="auto"/>
          <w:szCs w:val="22"/>
        </w:rPr>
        <w:t>2</w:t>
      </w:r>
      <w:r w:rsidR="00B77582">
        <w:rPr>
          <w:rFonts w:cs="Times New Roman"/>
          <w:b/>
          <w:bCs/>
          <w:color w:val="auto"/>
          <w:szCs w:val="22"/>
        </w:rPr>
        <w:t>2</w:t>
      </w:r>
      <w:r w:rsidR="001E4555" w:rsidRPr="00C07E8E">
        <w:rPr>
          <w:rFonts w:cs="Times New Roman"/>
          <w:b/>
          <w:bCs/>
          <w:color w:val="auto"/>
          <w:szCs w:val="22"/>
        </w:rPr>
        <w:t xml:space="preserve"> </w:t>
      </w:r>
      <w:r w:rsidR="001E4555" w:rsidRPr="00C07E8E">
        <w:rPr>
          <w:rFonts w:cs="Times New Roman"/>
          <w:color w:val="auto"/>
          <w:szCs w:val="22"/>
        </w:rPr>
        <w:t>by Wittig olefination</w:t>
      </w:r>
      <w:r w:rsidR="00081840" w:rsidRPr="00C07E8E">
        <w:rPr>
          <w:rFonts w:cs="Times New Roman"/>
          <w:color w:val="auto"/>
          <w:szCs w:val="22"/>
        </w:rPr>
        <w:t xml:space="preserve">. </w:t>
      </w:r>
      <w:r w:rsidR="009756B1" w:rsidRPr="00C07E8E">
        <w:rPr>
          <w:rFonts w:cs="Times New Roman"/>
          <w:color w:val="auto"/>
          <w:szCs w:val="22"/>
        </w:rPr>
        <w:t xml:space="preserve">The </w:t>
      </w:r>
      <w:r w:rsidR="00371E4D" w:rsidRPr="00C07E8E">
        <w:rPr>
          <w:rFonts w:cs="Times New Roman"/>
          <w:color w:val="auto"/>
          <w:szCs w:val="22"/>
        </w:rPr>
        <w:t>1-2</w:t>
      </w:r>
      <w:r w:rsidR="00A479B3" w:rsidRPr="00C07E8E">
        <w:rPr>
          <w:rFonts w:cs="Times New Roman"/>
          <w:color w:val="auto"/>
          <w:szCs w:val="22"/>
        </w:rPr>
        <w:t>-dio</w:t>
      </w:r>
      <w:r w:rsidR="009756B1" w:rsidRPr="00C07E8E">
        <w:rPr>
          <w:rFonts w:cs="Times New Roman"/>
          <w:color w:val="auto"/>
          <w:szCs w:val="22"/>
        </w:rPr>
        <w:t xml:space="preserve">xane moiety was installed by singlet oxygen ene reaction </w:t>
      </w:r>
      <w:r w:rsidR="007A38BB" w:rsidRPr="00C07E8E">
        <w:rPr>
          <w:rFonts w:cs="Times New Roman"/>
          <w:color w:val="auto"/>
          <w:szCs w:val="22"/>
        </w:rPr>
        <w:t xml:space="preserve">followed by </w:t>
      </w:r>
      <w:r w:rsidR="004D0B91" w:rsidRPr="00C07E8E">
        <w:rPr>
          <w:rFonts w:cs="Times New Roman"/>
          <w:color w:val="auto"/>
          <w:szCs w:val="22"/>
        </w:rPr>
        <w:lastRenderedPageBreak/>
        <w:t xml:space="preserve">intramolecular cyclisation </w:t>
      </w:r>
      <w:r w:rsidRPr="00C07E8E">
        <w:rPr>
          <w:rFonts w:cs="Times New Roman"/>
          <w:color w:val="auto"/>
          <w:szCs w:val="22"/>
        </w:rPr>
        <w:t>by M</w:t>
      </w:r>
      <w:r w:rsidR="004D0B91" w:rsidRPr="00C07E8E">
        <w:rPr>
          <w:rFonts w:cs="Times New Roman"/>
          <w:color w:val="auto"/>
          <w:szCs w:val="22"/>
        </w:rPr>
        <w:t>ichael addition to produce the</w:t>
      </w:r>
      <w:r w:rsidR="006E22AB" w:rsidRPr="00C07E8E">
        <w:rPr>
          <w:rFonts w:cs="Times New Roman"/>
          <w:color w:val="auto"/>
          <w:szCs w:val="22"/>
        </w:rPr>
        <w:t xml:space="preserve"> trioxane </w:t>
      </w:r>
      <w:r w:rsidR="00520A73" w:rsidRPr="00C07E8E">
        <w:rPr>
          <w:rFonts w:cs="Times New Roman"/>
          <w:b/>
          <w:bCs/>
          <w:color w:val="auto"/>
          <w:szCs w:val="22"/>
        </w:rPr>
        <w:t>2</w:t>
      </w:r>
      <w:r w:rsidR="00B77582">
        <w:rPr>
          <w:rFonts w:cs="Times New Roman"/>
          <w:b/>
          <w:bCs/>
          <w:color w:val="auto"/>
          <w:szCs w:val="22"/>
        </w:rPr>
        <w:t>3</w:t>
      </w:r>
      <w:r w:rsidR="006E22AB" w:rsidRPr="00C07E8E">
        <w:rPr>
          <w:rFonts w:cs="Times New Roman"/>
          <w:color w:val="auto"/>
          <w:szCs w:val="22"/>
        </w:rPr>
        <w:t xml:space="preserve">. Ozonolysis of the </w:t>
      </w:r>
      <w:r w:rsidR="00300E8F" w:rsidRPr="00C07E8E">
        <w:rPr>
          <w:rFonts w:cs="Times New Roman"/>
          <w:color w:val="auto"/>
          <w:szCs w:val="22"/>
        </w:rPr>
        <w:t xml:space="preserve">alkene provided a handle for </w:t>
      </w:r>
      <w:r w:rsidR="00660C3A" w:rsidRPr="00C07E8E">
        <w:rPr>
          <w:rFonts w:cs="Times New Roman"/>
          <w:color w:val="auto"/>
          <w:szCs w:val="22"/>
        </w:rPr>
        <w:t xml:space="preserve">Wittig olefination to </w:t>
      </w:r>
      <w:r w:rsidR="00EB68D4" w:rsidRPr="00C07E8E">
        <w:rPr>
          <w:rFonts w:cs="Times New Roman"/>
          <w:color w:val="auto"/>
          <w:szCs w:val="22"/>
        </w:rPr>
        <w:t>yield</w:t>
      </w:r>
      <w:r w:rsidR="00660C3A" w:rsidRPr="00C07E8E">
        <w:rPr>
          <w:rFonts w:cs="Times New Roman"/>
          <w:color w:val="auto"/>
          <w:szCs w:val="22"/>
        </w:rPr>
        <w:t xml:space="preserve"> </w:t>
      </w:r>
      <w:r w:rsidR="00EB68D4" w:rsidRPr="00C07E8E">
        <w:rPr>
          <w:rFonts w:cs="Times New Roman"/>
          <w:color w:val="auto"/>
          <w:szCs w:val="22"/>
        </w:rPr>
        <w:t>Arteflene</w:t>
      </w:r>
      <w:r w:rsidR="00601B2A" w:rsidRPr="00C07E8E">
        <w:rPr>
          <w:rFonts w:cs="Times New Roman"/>
          <w:color w:val="auto"/>
          <w:szCs w:val="22"/>
        </w:rPr>
        <w:t>.</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{"citationItems":[{"id":"ITEM-1","itemData":{"ISSN":"01772392","PMID":"7899802","abstract":"The sesquiterpene peroxide Ro42-1611 (arteflene), a synthetic derivative of yingzhaosu, was evaluated extensively against various drug-sensitive and drug-resistant lines of Plasmodium falciparum in vitro and P. berghei in vivo in mice. The potential therapeutic and prophylactic activities were studied comparatively with the standard antimalarials chloroquine, mefloquine and quinine, as well as qinghaosu and the derivatives artemether and artesunic acid. Experimentally arteflene proved to be a highly effective antimalarial drug. In vivo it is active at low doses against blood stages of P. berghei in mice after oral or parenteral administration. It as a rapid onset of drug action and a long lasting suppressive effect when given after infection, as well as a good potential for prophylactic activity when given before infection. The suppressive and prophylactic properties are comparable to chloroquine and superior to qinghaosu, artemether and artesunic acid. In vitro the compound showed no signs of cross-resistance with existing antimalarials. It was consistently rather more active against drug-resistant than against drug-sensitive strains of P. falciparum. Drug interaction studies in vitro and in vivo with chloroquine, mefloquine and quinine revealed an additive to synergistic effect with arteflene. Antagonism with these drugs was not observed. Compared with standard antimalarials he activity of arteflene in vitro is lower than would be expected from the in vivo results. This may be due to pharmacokinetic properties of the compound and the formation of an active metabolite which sustains the activity of arteflene in vivo.","author":[{"dropping-particle":"","family":"Jaquet","given":"C.","non-dropping-particle":"","parse-names":false,"suffix":""},{"dropping-particle":"","family":"Stohler","given":"H. R.","non-dropping-particle":"","parse-names":false,"suffix":""},{"dropping-particle":"","family":"Chollet","given":"J.","non-dropping-particle":"","parse-names":false,"suffix":""},{"dropping-particle":"","family":"Peters","given":"W.","non-dropping-particle":"","parse-names":false,"suffix":""}],"container-title":"Tropical Medicine and Parasitology","id":"ITEM-1","issue":"3","issued":{"date-parts":[["1994"]]},"page":"266-271","title":"Antimalarial activity of the bicyclic peroxide Ro42-1611 (arteflene) in experimental models","type":"article-journal","volume":"45"},"uris":["http://www.mendeley.com/documents/?uuid=834715c7-7634-4236-9232-b9d0c76a5ecc","http://www.mendeley.com/documents/?uuid=1889d37a-db97-406f-b9e1-579f17400a7d"]}],"mendeley":{"formattedCitation":"&lt;sup&gt;72&lt;/sup&gt;","plainTextFormattedCitation":"72","previouslyFormattedCitation":"&lt;sup&gt;72&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72</w:t>
      </w:r>
      <w:r w:rsidR="00601B2A" w:rsidRPr="00C07E8E">
        <w:rPr>
          <w:rFonts w:cs="Times New Roman"/>
          <w:color w:val="auto"/>
          <w:szCs w:val="22"/>
        </w:rPr>
        <w:fldChar w:fldCharType="end"/>
      </w:r>
    </w:p>
    <w:p w14:paraId="4C22B80E" w14:textId="1B46B21F" w:rsidR="00074AF3" w:rsidRPr="00C07E8E" w:rsidRDefault="00730A60" w:rsidP="00532D1D">
      <w:pPr>
        <w:keepNext/>
        <w:rPr>
          <w:rFonts w:cs="Times New Roman"/>
          <w:color w:val="auto"/>
          <w:szCs w:val="22"/>
        </w:rPr>
      </w:pPr>
      <w:r w:rsidRPr="006D7105">
        <w:rPr>
          <w:rFonts w:cs="Times New Roman"/>
          <w:noProof/>
          <w:color w:val="auto"/>
          <w:szCs w:val="22"/>
        </w:rPr>
        <w:object w:dxaOrig="9120" w:dyaOrig="4140" w14:anchorId="21CDE28E">
          <v:shape id="_x0000_i1030" type="#_x0000_t75" alt="" style="width:454.8pt;height:208.2pt" o:ole="">
            <v:imagedata r:id="rId16" o:title=""/>
          </v:shape>
          <o:OLEObject Type="Embed" ProgID="ChemDraw.Document.6.0" ShapeID="_x0000_i1030" DrawAspect="Content" ObjectID="_1669219464" r:id="rId17"/>
        </w:object>
      </w:r>
    </w:p>
    <w:p w14:paraId="6AFBBC63" w14:textId="1EBB417D" w:rsidR="00074AF3" w:rsidRPr="00C07E8E" w:rsidRDefault="00C07E8E" w:rsidP="00532D1D">
      <w:pPr>
        <w:pStyle w:val="Legenda"/>
        <w:spacing w:after="0" w:line="360" w:lineRule="auto"/>
        <w:jc w:val="center"/>
        <w:rPr>
          <w:rFonts w:cs="Times New Roman"/>
          <w:color w:val="auto"/>
          <w:sz w:val="22"/>
          <w:szCs w:val="22"/>
        </w:rPr>
      </w:pPr>
      <w:r w:rsidRPr="00C07E8E">
        <w:rPr>
          <w:rFonts w:cs="Times New Roman"/>
          <w:b/>
          <w:bCs/>
          <w:i w:val="0"/>
          <w:iCs w:val="0"/>
          <w:color w:val="auto"/>
          <w:sz w:val="22"/>
          <w:szCs w:val="22"/>
        </w:rPr>
        <w:t xml:space="preserve">Scheme </w:t>
      </w:r>
      <w:r w:rsidR="00953669" w:rsidRPr="00C07E8E">
        <w:rPr>
          <w:rFonts w:cs="Times New Roman"/>
          <w:b/>
          <w:bCs/>
          <w:i w:val="0"/>
          <w:iCs w:val="0"/>
          <w:color w:val="auto"/>
          <w:sz w:val="22"/>
          <w:szCs w:val="22"/>
        </w:rPr>
        <w:t>2</w:t>
      </w:r>
      <w:r w:rsidRPr="00C07E8E">
        <w:rPr>
          <w:rFonts w:cs="Times New Roman"/>
          <w:i w:val="0"/>
          <w:iCs w:val="0"/>
          <w:color w:val="auto"/>
          <w:sz w:val="22"/>
          <w:szCs w:val="22"/>
        </w:rPr>
        <w:t xml:space="preserve">: </w:t>
      </w:r>
      <w:r w:rsidR="00EE13A7">
        <w:rPr>
          <w:rFonts w:cs="Times New Roman"/>
          <w:i w:val="0"/>
          <w:iCs w:val="0"/>
          <w:color w:val="auto"/>
          <w:sz w:val="22"/>
          <w:szCs w:val="22"/>
        </w:rPr>
        <w:t>S</w:t>
      </w:r>
      <w:r w:rsidR="00EE13A7" w:rsidRPr="00C07E8E">
        <w:rPr>
          <w:rFonts w:cs="Times New Roman"/>
          <w:i w:val="0"/>
          <w:iCs w:val="0"/>
          <w:color w:val="auto"/>
          <w:sz w:val="22"/>
          <w:szCs w:val="22"/>
        </w:rPr>
        <w:t xml:space="preserve">ynthetic </w:t>
      </w:r>
      <w:r w:rsidR="00EE13A7">
        <w:rPr>
          <w:rFonts w:cs="Times New Roman"/>
          <w:i w:val="0"/>
          <w:iCs w:val="0"/>
          <w:color w:val="auto"/>
          <w:sz w:val="22"/>
          <w:szCs w:val="22"/>
        </w:rPr>
        <w:t xml:space="preserve">route to the </w:t>
      </w:r>
      <w:r w:rsidR="00EE13A7" w:rsidRPr="00C07E8E">
        <w:rPr>
          <w:rFonts w:cs="Times New Roman"/>
          <w:i w:val="0"/>
          <w:iCs w:val="0"/>
          <w:color w:val="auto"/>
          <w:sz w:val="22"/>
          <w:szCs w:val="22"/>
        </w:rPr>
        <w:t>trioxane antimalarial Arteflene (</w:t>
      </w:r>
      <w:r w:rsidR="00EE13A7" w:rsidRPr="00C07E8E">
        <w:rPr>
          <w:rFonts w:cs="Times New Roman"/>
          <w:b/>
          <w:bCs/>
          <w:i w:val="0"/>
          <w:iCs w:val="0"/>
          <w:color w:val="auto"/>
          <w:sz w:val="22"/>
          <w:szCs w:val="22"/>
        </w:rPr>
        <w:t>1</w:t>
      </w:r>
      <w:r w:rsidR="00B77582">
        <w:rPr>
          <w:rFonts w:cs="Times New Roman"/>
          <w:b/>
          <w:bCs/>
          <w:i w:val="0"/>
          <w:iCs w:val="0"/>
          <w:color w:val="auto"/>
          <w:sz w:val="22"/>
          <w:szCs w:val="22"/>
        </w:rPr>
        <w:t>7</w:t>
      </w:r>
      <w:r w:rsidR="00EE13A7" w:rsidRPr="00C07E8E">
        <w:rPr>
          <w:rFonts w:cs="Times New Roman"/>
          <w:i w:val="0"/>
          <w:iCs w:val="0"/>
          <w:color w:val="auto"/>
          <w:sz w:val="22"/>
          <w:szCs w:val="22"/>
        </w:rPr>
        <w:t>)</w:t>
      </w:r>
    </w:p>
    <w:p w14:paraId="567710DC" w14:textId="77777777" w:rsidR="00536DE9" w:rsidRPr="00C07E8E" w:rsidRDefault="00536DE9" w:rsidP="00532D1D"/>
    <w:p w14:paraId="30CE9B2B" w14:textId="0B82A5D2" w:rsidR="00E265EF" w:rsidRPr="00C07E8E" w:rsidRDefault="00C07E8E" w:rsidP="00532D1D">
      <w:pPr>
        <w:ind w:firstLine="720"/>
        <w:rPr>
          <w:rFonts w:cs="Times New Roman"/>
          <w:color w:val="auto"/>
          <w:szCs w:val="22"/>
        </w:rPr>
      </w:pPr>
      <w:r w:rsidRPr="00C07E8E">
        <w:rPr>
          <w:rFonts w:cs="Times New Roman"/>
          <w:color w:val="auto"/>
          <w:szCs w:val="22"/>
        </w:rPr>
        <w:t>Arteflene possesses a</w:t>
      </w:r>
      <w:r w:rsidR="00CB750B" w:rsidRPr="00C07E8E">
        <w:rPr>
          <w:rFonts w:cs="Times New Roman"/>
          <w:color w:val="auto"/>
          <w:szCs w:val="22"/>
        </w:rPr>
        <w:t xml:space="preserve"> modest</w:t>
      </w:r>
      <w:r w:rsidRPr="00C07E8E">
        <w:rPr>
          <w:rFonts w:cs="Times New Roman"/>
          <w:color w:val="auto"/>
          <w:szCs w:val="22"/>
        </w:rPr>
        <w:t xml:space="preserve"> </w:t>
      </w:r>
      <w:r w:rsidR="00293AE3" w:rsidRPr="00C07E8E">
        <w:rPr>
          <w:rFonts w:cs="Times New Roman"/>
          <w:i/>
          <w:iCs/>
          <w:color w:val="auto"/>
          <w:szCs w:val="22"/>
        </w:rPr>
        <w:t xml:space="preserve">P. falciparum </w:t>
      </w:r>
      <w:r w:rsidRPr="00C07E8E">
        <w:rPr>
          <w:rFonts w:cs="Times New Roman"/>
          <w:color w:val="auto"/>
          <w:szCs w:val="22"/>
        </w:rPr>
        <w:t>IC</w:t>
      </w:r>
      <w:r w:rsidR="00D5561F" w:rsidRPr="00C07E8E">
        <w:rPr>
          <w:rFonts w:cs="Times New Roman"/>
          <w:color w:val="auto"/>
          <w:szCs w:val="22"/>
          <w:vertAlign w:val="subscript"/>
        </w:rPr>
        <w:t xml:space="preserve">50 </w:t>
      </w:r>
      <w:r w:rsidR="00D5561F" w:rsidRPr="00C07E8E">
        <w:rPr>
          <w:rFonts w:cs="Times New Roman"/>
          <w:color w:val="auto"/>
          <w:szCs w:val="22"/>
        </w:rPr>
        <w:t>of</w:t>
      </w:r>
      <w:r w:rsidRPr="00C07E8E">
        <w:rPr>
          <w:rFonts w:cs="Times New Roman"/>
          <w:color w:val="auto"/>
          <w:szCs w:val="22"/>
        </w:rPr>
        <w:t xml:space="preserve"> </w:t>
      </w:r>
      <w:r w:rsidR="00CB750B" w:rsidRPr="00C07E8E">
        <w:rPr>
          <w:rFonts w:cs="Times New Roman"/>
          <w:color w:val="auto"/>
          <w:szCs w:val="22"/>
        </w:rPr>
        <w:t>70 nM</w:t>
      </w:r>
      <w:r w:rsidR="00D5561F" w:rsidRPr="00C07E8E">
        <w:rPr>
          <w:rFonts w:cs="Times New Roman"/>
          <w:color w:val="auto"/>
          <w:szCs w:val="22"/>
        </w:rPr>
        <w:t xml:space="preserve">, </w:t>
      </w:r>
      <w:r w:rsidR="008452BF" w:rsidRPr="00C07E8E">
        <w:rPr>
          <w:rFonts w:cs="Times New Roman"/>
          <w:color w:val="auto"/>
          <w:szCs w:val="22"/>
        </w:rPr>
        <w:t xml:space="preserve">4-fold less potent than Yingzhaosu A, </w:t>
      </w:r>
      <w:r w:rsidR="00716AFB" w:rsidRPr="00C07E8E">
        <w:rPr>
          <w:rFonts w:cs="Times New Roman"/>
          <w:color w:val="auto"/>
          <w:szCs w:val="22"/>
        </w:rPr>
        <w:t>however it was found to have a potent ED</w:t>
      </w:r>
      <w:r w:rsidR="00716AFB" w:rsidRPr="00C07E8E">
        <w:rPr>
          <w:rFonts w:cs="Times New Roman"/>
          <w:color w:val="auto"/>
          <w:szCs w:val="22"/>
          <w:vertAlign w:val="subscript"/>
        </w:rPr>
        <w:t>50</w:t>
      </w:r>
      <w:r w:rsidR="00716AFB" w:rsidRPr="00C07E8E">
        <w:rPr>
          <w:rFonts w:cs="Times New Roman"/>
          <w:color w:val="auto"/>
          <w:szCs w:val="22"/>
        </w:rPr>
        <w:t xml:space="preserve"> </w:t>
      </w:r>
      <w:r w:rsidR="009A7BC5" w:rsidRPr="00C07E8E">
        <w:rPr>
          <w:rFonts w:cs="Times New Roman"/>
          <w:color w:val="auto"/>
          <w:szCs w:val="22"/>
        </w:rPr>
        <w:t xml:space="preserve">of 10 mg/kg </w:t>
      </w:r>
      <w:r w:rsidR="00716AFB" w:rsidRPr="00C07E8E">
        <w:rPr>
          <w:rFonts w:cs="Times New Roman"/>
          <w:color w:val="auto"/>
          <w:szCs w:val="22"/>
        </w:rPr>
        <w:t xml:space="preserve">in the </w:t>
      </w:r>
      <w:r w:rsidR="00716AFB" w:rsidRPr="00C07E8E">
        <w:rPr>
          <w:rFonts w:cs="Times New Roman"/>
          <w:i/>
          <w:iCs/>
          <w:color w:val="auto"/>
          <w:szCs w:val="22"/>
        </w:rPr>
        <w:t xml:space="preserve">P. berghei </w:t>
      </w:r>
      <w:r w:rsidR="00716AFB" w:rsidRPr="00C07E8E">
        <w:rPr>
          <w:rFonts w:cs="Times New Roman"/>
          <w:color w:val="auto"/>
          <w:szCs w:val="22"/>
        </w:rPr>
        <w:t>mouse model</w:t>
      </w:r>
      <w:r w:rsidR="003D17D8">
        <w:rPr>
          <w:rFonts w:cs="Times New Roman"/>
          <w:color w:val="auto"/>
          <w:szCs w:val="22"/>
        </w:rPr>
        <w:t>,</w:t>
      </w:r>
      <w:r w:rsidR="00F67F43" w:rsidRPr="00C07E8E">
        <w:rPr>
          <w:rFonts w:cs="Times New Roman"/>
          <w:color w:val="auto"/>
          <w:szCs w:val="22"/>
        </w:rPr>
        <w:t xml:space="preserve"> comparable with </w:t>
      </w:r>
      <w:r w:rsidR="00AF1E6A" w:rsidRPr="00C07E8E">
        <w:rPr>
          <w:rFonts w:cs="Times New Roman"/>
          <w:color w:val="auto"/>
          <w:szCs w:val="22"/>
        </w:rPr>
        <w:t xml:space="preserve">Artemether and Artesunate. </w:t>
      </w:r>
      <w:r w:rsidR="004C5878" w:rsidRPr="00C07E8E">
        <w:rPr>
          <w:rFonts w:cs="Times New Roman"/>
          <w:color w:val="auto"/>
          <w:szCs w:val="22"/>
        </w:rPr>
        <w:t xml:space="preserve">It was noted that Arteflene displayed a rapid </w:t>
      </w:r>
      <w:r w:rsidR="00A4128B" w:rsidRPr="00C07E8E">
        <w:rPr>
          <w:rFonts w:cs="Times New Roman"/>
          <w:color w:val="auto"/>
          <w:szCs w:val="22"/>
        </w:rPr>
        <w:t xml:space="preserve">and </w:t>
      </w:r>
      <w:r w:rsidR="00084627" w:rsidRPr="00C07E8E">
        <w:rPr>
          <w:rFonts w:cs="Times New Roman"/>
          <w:color w:val="auto"/>
          <w:szCs w:val="22"/>
        </w:rPr>
        <w:t>long-lasting</w:t>
      </w:r>
      <w:r w:rsidR="00A4128B" w:rsidRPr="00C07E8E">
        <w:rPr>
          <w:rFonts w:cs="Times New Roman"/>
          <w:color w:val="auto"/>
          <w:szCs w:val="22"/>
        </w:rPr>
        <w:t xml:space="preserve"> suppressive effect on parasitaemia in the </w:t>
      </w:r>
      <w:r w:rsidR="00A4128B" w:rsidRPr="00C07E8E">
        <w:rPr>
          <w:rFonts w:cs="Times New Roman"/>
          <w:i/>
          <w:iCs/>
          <w:color w:val="auto"/>
          <w:szCs w:val="22"/>
        </w:rPr>
        <w:t xml:space="preserve">P. berghei </w:t>
      </w:r>
      <w:r w:rsidR="00A4128B" w:rsidRPr="00C07E8E">
        <w:rPr>
          <w:rFonts w:cs="Times New Roman"/>
          <w:color w:val="auto"/>
          <w:szCs w:val="22"/>
        </w:rPr>
        <w:t>mouse model.</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{"citationItems":[{"id":"ITEM-1","itemData":{"ISSN":"01772392","PMID":"7899802","abstract":"The sesquiterpene peroxide Ro42-1611 (arteflene), a synthetic derivative of yingzhaosu, was evaluated extensively against various drug-sensitive and drug-resistant lines of Plasmodium falciparum in vitro and P. berghei in vivo in mice. The potential therapeutic and prophylactic activities were studied comparatively with the standard antimalarials chloroquine, mefloquine and quinine, as well as qinghaosu and the derivatives artemether and artesunic acid. Experimentally arteflene proved to be a highly effective antimalarial drug. In vivo it is active at low doses against blood stages of P. berghei in mice after oral or parenteral administration. It as a rapid onset of drug action and a long lasting suppressive effect when given after infection, as well as a good potential for prophylactic activity when given before infection. The suppressive and prophylactic properties are comparable to chloroquine and superior to qinghaosu, artemether and artesunic acid. In vitro the compound showed no signs of cross-resistance with existing antimalarials. It was consistently rather more active against drug-resistant than against drug-sensitive strains of P. falciparum. Drug interaction studies in vitro and in vivo with chloroquine, mefloquine and quinine revealed an additive to synergistic effect with arteflene. Antagonism with these drugs was not observed. Compared with standard antimalarials he activity of arteflene in vitro is lower than would be expected from the in vivo results. This may be due to pharmacokinetic properties of the compound and the formation of an active metabolite which sustains the activity of arteflene in vivo.","author":[{"dropping-particle":"","family":"Jaquet","given":"C.","non-dropping-particle":"","parse-names":false,"suffix":""},{"dropping-particle":"","family":"Stohler","given":"H. R.","non-dropping-particle":"","parse-names":false,"suffix":""},{"dropping-particle":"","family":"Chollet","given":"J.","non-dropping-particle":"","parse-names":false,"suffix":""},{"dropping-particle":"","family":"Peters","given":"W.","non-dropping-particle":"","parse-names":false,"suffix":""}],"container-title":"Tropical Medicine and Parasitology","id":"ITEM-1","issue":"3","issued":{"date-parts":[["1994"]]},"page":"266-271","title":"Antimalarial activity of the bicyclic peroxide Ro42-1611 (arteflene) in experimental models","type":"article-journal","volume":"45"},"uris":["http://www.mendeley.com/documents/?uuid=834715c7-7634-4236-9232-b9d0c76a5ecc","http://www.mendeley.com/documents/?uuid=1889d37a-db97-406f-b9e1-579f17400a7d"]}],"mendeley":{"formattedCitation":"&lt;sup&gt;72&lt;/sup&gt;","plainTextFormattedCitation":"72","previouslyFormattedCitation":"&lt;sup&gt;72&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72</w:t>
      </w:r>
      <w:r w:rsidR="00601B2A" w:rsidRPr="00C07E8E">
        <w:rPr>
          <w:rFonts w:cs="Times New Roman"/>
          <w:color w:val="auto"/>
          <w:szCs w:val="22"/>
        </w:rPr>
        <w:fldChar w:fldCharType="end"/>
      </w:r>
      <w:r w:rsidR="005715BE" w:rsidRPr="00C07E8E">
        <w:rPr>
          <w:rFonts w:cs="Times New Roman"/>
          <w:color w:val="auto"/>
          <w:szCs w:val="22"/>
        </w:rPr>
        <w:t xml:space="preserve"> </w:t>
      </w:r>
      <w:r w:rsidR="00BE4737" w:rsidRPr="00C07E8E">
        <w:rPr>
          <w:rFonts w:cs="Times New Roman"/>
          <w:color w:val="auto"/>
          <w:szCs w:val="22"/>
        </w:rPr>
        <w:t xml:space="preserve">Additionally, it was seen that arteflene possessed </w:t>
      </w:r>
      <w:r w:rsidR="00E90448" w:rsidRPr="00C07E8E">
        <w:rPr>
          <w:rFonts w:cs="Times New Roman"/>
          <w:color w:val="auto"/>
          <w:szCs w:val="22"/>
        </w:rPr>
        <w:t>a poor pharmacokinetic</w:t>
      </w:r>
      <w:r w:rsidR="00E80831" w:rsidRPr="00C07E8E">
        <w:rPr>
          <w:rFonts w:cs="Times New Roman"/>
          <w:color w:val="auto"/>
          <w:szCs w:val="22"/>
        </w:rPr>
        <w:t xml:space="preserve"> (PK)</w:t>
      </w:r>
      <w:r w:rsidR="00E90448" w:rsidRPr="00C07E8E">
        <w:rPr>
          <w:rFonts w:cs="Times New Roman"/>
          <w:color w:val="auto"/>
          <w:szCs w:val="22"/>
        </w:rPr>
        <w:t xml:space="preserve"> profile</w:t>
      </w:r>
      <w:r w:rsidR="009A7BC5">
        <w:rPr>
          <w:rFonts w:cs="Times New Roman"/>
          <w:color w:val="auto"/>
          <w:szCs w:val="22"/>
        </w:rPr>
        <w:t>,</w:t>
      </w:r>
      <w:r w:rsidR="00E90448" w:rsidRPr="00C07E8E">
        <w:rPr>
          <w:rFonts w:cs="Times New Roman"/>
          <w:color w:val="auto"/>
          <w:szCs w:val="22"/>
        </w:rPr>
        <w:t xml:space="preserve"> with high metabolic clearance, </w:t>
      </w:r>
      <w:r w:rsidR="004C5878" w:rsidRPr="00C07E8E">
        <w:rPr>
          <w:rFonts w:cs="Times New Roman"/>
          <w:color w:val="auto"/>
          <w:szCs w:val="22"/>
        </w:rPr>
        <w:t xml:space="preserve">poor oral </w:t>
      </w:r>
      <w:r w:rsidR="00A4128B" w:rsidRPr="00C07E8E">
        <w:rPr>
          <w:rFonts w:cs="Times New Roman"/>
          <w:color w:val="auto"/>
          <w:szCs w:val="22"/>
        </w:rPr>
        <w:t>bioavailability,</w:t>
      </w:r>
      <w:r w:rsidR="004C5878" w:rsidRPr="00C07E8E">
        <w:rPr>
          <w:rFonts w:cs="Times New Roman"/>
          <w:color w:val="auto"/>
          <w:szCs w:val="22"/>
        </w:rPr>
        <w:t xml:space="preserve"> and a short half-life of 1.4 – 4.7 hours</w:t>
      </w:r>
      <w:r w:rsidR="00254ABE" w:rsidRPr="00C07E8E">
        <w:rPr>
          <w:rFonts w:cs="Times New Roman"/>
          <w:color w:val="auto"/>
          <w:szCs w:val="22"/>
        </w:rPr>
        <w:t>.</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{"citationItems":[{"id":"ITEM-1","itemData":{"ISSN":"01772392","PMID":"7899803","abstract":"Ro 42-1611 (arteflene) is a new synthetic structural analogue of yingzhaosu, a Chinese traditional herbal drug, now under development for treatment of malaria. The in vivo activity of arteflene in a mouse animal model was 4-5 fold higher after parenteral than after oral administration. Pharmacokinetics of the drug were investigated in mice, rats, dogs, marmosets and cynomolgus monkeys. Plasma concentrations of arteflene were determined using a specific HPLC-UV method; the limit of quantification was 45 ng/ml using 0.5ml plasma. The oral bioavailability was very low and variable (0.6 % in mice, 4-5 % in rats, 2.5 ± 1% in dogs, &lt; 0.5 % in marmosets and &lt; 0.5 % in cynomolgus) as expected from the high metabolic clearance and the relative short apparent half-life (1.4 -4.7 h). However, a metabolite (MA) was observed in plasma of all species indicating that drug was absorbed but underwent extensive first-pass metabolism. MA was also detected in samples of human plasma, collected during an oral tolerability study in healthy volunteers. After incubation of 14C-arteflene with liver microsomes of mice, rats, dogs and humans, the same major metabolite was detected and both samples were identical to Ro 47-6936 which was chemically synthesized as a reference compound. The in vitro activity of Ro 47-6936 was tested against Plasmodium falciparum and found to be about 1/4 that of the parent drug. Therefore, this metabolite makes a significant contribution to the biological activity in vivo, partially explaining the high activity of arteflene after oral administration in spite of its low bioavailability. Moreover, comparison of the metabolic patterns from human, rat and dog microsomes indicated that the dog is an appropriate species for toxicological evaluations.","author":[{"dropping-particle":"","family":"Girometta","given":"M. A.","non-dropping-particle":"","parse-names":false,"suffix":""},{"dropping-particle":"","family":"Jauch","given":"R.","non-dropping-particle":"","parse-names":false,"suffix":""},{"dropping-particle":"","family":"Ponelle","given":"C.","non-dropping-particle":"","parse-names":false,"suffix":""},{"dropping-particle":"","family":"Guenzi","given":"A.","non-dropping-particle":"","parse-names":false,"suffix":""},{"dropping-particle":"","family":"Wiegand-Chou","given":"R. C.","non-dropping-particle":"","parse-names":false,"suffix":""}],"container-title":"Tropical Medicine and Parasitology","id":"ITEM-1","issue":"3","issued":{"date-parts":[["1994"]]},"page":"272-277","title":"Animal pharmacokinetics and metabolism of the new antimalarial Ro42-1611 (arteflene)","type":"article-journal","volume":"45"},"uris":["http://www.mendeley.com/documents/?uuid=955de031-2c30-4e51-8118-cea455c9f10c","http://www.mendeley.com/documents/?uuid=9eadfbbb-6785-4e6a-bac7-0871f88f6e3d"]}],"mendeley":{"formattedCitation":"&lt;sup&gt;75&lt;/sup&gt;","plainTextFormattedCitation":"75","previouslyFormattedCitation":"&lt;sup&gt;75&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75</w:t>
      </w:r>
      <w:r w:rsidR="00601B2A" w:rsidRPr="00C07E8E">
        <w:rPr>
          <w:rFonts w:cs="Times New Roman"/>
          <w:color w:val="auto"/>
          <w:szCs w:val="22"/>
        </w:rPr>
        <w:fldChar w:fldCharType="end"/>
      </w:r>
      <w:r w:rsidR="00601B2A" w:rsidRPr="00C07E8E">
        <w:rPr>
          <w:rFonts w:cs="Times New Roman"/>
          <w:color w:val="auto"/>
          <w:szCs w:val="22"/>
        </w:rPr>
        <w:t xml:space="preserve"> </w:t>
      </w:r>
      <w:r w:rsidR="00B0308A" w:rsidRPr="00C07E8E">
        <w:rPr>
          <w:rFonts w:cs="Times New Roman"/>
          <w:color w:val="auto"/>
          <w:szCs w:val="22"/>
        </w:rPr>
        <w:t xml:space="preserve">The counterintuitive </w:t>
      </w:r>
      <w:r w:rsidR="00B0308A" w:rsidRPr="007370A6">
        <w:rPr>
          <w:rFonts w:cs="Times New Roman"/>
          <w:i/>
          <w:iCs/>
          <w:color w:val="auto"/>
          <w:szCs w:val="22"/>
        </w:rPr>
        <w:t>in vivo</w:t>
      </w:r>
      <w:r w:rsidR="00B0308A" w:rsidRPr="00C07E8E">
        <w:rPr>
          <w:rFonts w:cs="Times New Roman"/>
          <w:color w:val="auto"/>
          <w:szCs w:val="22"/>
        </w:rPr>
        <w:t xml:space="preserve"> activity can be explained by the rapid formation of an active 8-hydroxy metabolite</w:t>
      </w:r>
      <w:r w:rsidR="008275D3" w:rsidRPr="00C07E8E">
        <w:rPr>
          <w:rFonts w:cs="Times New Roman"/>
          <w:color w:val="auto"/>
          <w:szCs w:val="22"/>
        </w:rPr>
        <w:t xml:space="preserve"> (Ro 47-6936</w:t>
      </w:r>
      <w:r w:rsidR="006F53DF" w:rsidRPr="00C07E8E">
        <w:rPr>
          <w:rFonts w:cs="Times New Roman"/>
          <w:color w:val="auto"/>
          <w:szCs w:val="22"/>
        </w:rPr>
        <w:t xml:space="preserve">, </w:t>
      </w:r>
      <w:r w:rsidR="00520A73" w:rsidRPr="00C07E8E">
        <w:rPr>
          <w:rFonts w:cs="Times New Roman"/>
          <w:b/>
          <w:bCs/>
          <w:color w:val="auto"/>
          <w:szCs w:val="22"/>
        </w:rPr>
        <w:t>1</w:t>
      </w:r>
      <w:r w:rsidR="00B77582">
        <w:rPr>
          <w:rFonts w:cs="Times New Roman"/>
          <w:b/>
          <w:bCs/>
          <w:color w:val="auto"/>
          <w:szCs w:val="22"/>
        </w:rPr>
        <w:t>9</w:t>
      </w:r>
      <w:r w:rsidR="006F53DF" w:rsidRPr="007370A6">
        <w:rPr>
          <w:rFonts w:cs="Times New Roman"/>
          <w:b/>
          <w:color w:val="auto"/>
          <w:szCs w:val="22"/>
        </w:rPr>
        <w:t xml:space="preserve">, Figure </w:t>
      </w:r>
      <w:r w:rsidR="00520A73" w:rsidRPr="007370A6">
        <w:rPr>
          <w:rFonts w:cs="Times New Roman"/>
          <w:b/>
          <w:color w:val="auto"/>
          <w:szCs w:val="22"/>
        </w:rPr>
        <w:t>4</w:t>
      </w:r>
      <w:r w:rsidR="008275D3" w:rsidRPr="00C07E8E">
        <w:rPr>
          <w:rFonts w:cs="Times New Roman"/>
          <w:color w:val="auto"/>
          <w:szCs w:val="22"/>
        </w:rPr>
        <w:t>)</w:t>
      </w:r>
      <w:r w:rsidR="003859B6" w:rsidRPr="00C07E8E">
        <w:rPr>
          <w:rFonts w:cs="Times New Roman"/>
          <w:color w:val="auto"/>
          <w:szCs w:val="22"/>
        </w:rPr>
        <w:t xml:space="preserve"> upon extensive first pass metabolism </w:t>
      </w:r>
      <w:r w:rsidRPr="00C07E8E">
        <w:rPr>
          <w:rFonts w:cs="Times New Roman"/>
          <w:color w:val="auto"/>
          <w:szCs w:val="22"/>
        </w:rPr>
        <w:t xml:space="preserve">of Arteflene. </w:t>
      </w:r>
      <w:r w:rsidR="006F53DF" w:rsidRPr="00C07E8E">
        <w:rPr>
          <w:rFonts w:cs="Times New Roman"/>
          <w:color w:val="auto"/>
          <w:szCs w:val="22"/>
        </w:rPr>
        <w:t xml:space="preserve">The </w:t>
      </w:r>
      <w:r w:rsidR="006F53DF" w:rsidRPr="007370A6">
        <w:rPr>
          <w:rFonts w:cs="Times New Roman"/>
          <w:i/>
          <w:iCs/>
          <w:color w:val="auto"/>
          <w:szCs w:val="22"/>
        </w:rPr>
        <w:t>in vitro</w:t>
      </w:r>
      <w:r w:rsidR="006F53DF" w:rsidRPr="00C07E8E">
        <w:rPr>
          <w:rFonts w:cs="Times New Roman"/>
          <w:color w:val="auto"/>
          <w:szCs w:val="22"/>
        </w:rPr>
        <w:t xml:space="preserve"> activity of Ro 47-6936 was found to be just 4-fold lower than the parent drug and was therefore determined to be likely to contribute to the high </w:t>
      </w:r>
      <w:r w:rsidR="006F53DF" w:rsidRPr="007370A6">
        <w:rPr>
          <w:rFonts w:cs="Times New Roman"/>
          <w:i/>
          <w:iCs/>
          <w:color w:val="auto"/>
          <w:szCs w:val="22"/>
        </w:rPr>
        <w:t xml:space="preserve">in vivo </w:t>
      </w:r>
      <w:r w:rsidR="006F53DF" w:rsidRPr="00C07E8E">
        <w:rPr>
          <w:rFonts w:cs="Times New Roman"/>
          <w:color w:val="auto"/>
          <w:szCs w:val="22"/>
        </w:rPr>
        <w:t>activity after oral administration.</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{"citationItems":[{"id":"ITEM-1","itemData":{"ISSN":"01772392","PMID":"7899803","abstract":"Ro 42-1611 (arteflene) is a new synthetic structural analogue of yingzhaosu, a Chinese traditional herbal drug, now under development for treatment of malaria. The in vivo activity of arteflene in a mouse animal model was 4-5 fold higher after parenteral than after oral administration. Pharmacokinetics of the drug were investigated in mice, rats, dogs, marmosets and cynomolgus monkeys. Plasma concentrations of arteflene were determined using a specific HPLC-UV method; the limit of quantification was 45 ng/ml using 0.5ml plasma. The oral bioavailability was very low and variable (0.6 % in mice, 4-5 % in rats, 2.5 ± 1% in dogs, &lt; 0.5 % in marmosets and &lt; 0.5 % in cynomolgus) as expected from the high metabolic clearance and the relative short apparent half-life (1.4 -4.7 h). However, a metabolite (MA) was observed in plasma of all species indicating that drug was absorbed but underwent extensive first-pass metabolism. MA was also detected in samples of human plasma, collected during an oral tolerability study in healthy volunteers. After incubation of 14C-arteflene with liver microsomes of mice, rats, dogs and humans, the same major metabolite was detected and both samples were identical to Ro 47-6936 which was chemically synthesized as a reference compound. The in vitro activity of Ro 47-6936 was tested against Plasmodium falciparum and found to be about 1/4 that of the parent drug. Therefore, this metabolite makes a significant contribution to the biological activity in vivo, partially explaining the high activity of arteflene after oral administration in spite of its low bioavailability. Moreover, comparison of the metabolic patterns from human, rat and dog microsomes indicated that the dog is an appropriate species for toxicological evaluations.","author":[{"dropping-particle":"","family":"Girometta","given":"M. A.","non-dropping-particle":"","parse-names":false,"suffix":""},{"dropping-particle":"","family":"Jauch","given":"R.","non-dropping-particle":"","parse-names":false,"suffix":""},{"dropping-particle":"","family":"Ponelle","given":"C.","non-dropping-particle":"","parse-names":false,"suffix":""},{"dropping-particle":"","family":"Guenzi","given":"A.","non-dropping-particle":"","parse-names":false,"suffix":""},{"dropping-particle":"","family":"Wiegand-Chou","given":"R. C.","non-dropping-particle":"","parse-names":false,"suffix":""}],"container-title":"Tropical Medicine and Parasitology","id":"ITEM-1","issue":"3","issued":{"date-parts":[["1994"]]},"page":"272-277","title":"Animal pharmacokinetics and metabolism of the new antimalarial Ro42-1611 (arteflene)","type":"article-journal","volume":"45"},"uris":["http://www.mendeley.com/documents/?uuid=9eadfbbb-6785-4e6a-bac7-0871f88f6e3d","http://www.mendeley.com/documents/?uuid=955de031-2c30-4e51-8118-cea455c9f10c"]}],"mendeley":{"formattedCitation":"&lt;sup&gt;75&lt;/sup&gt;","plainTextFormattedCitation":"75","previouslyFormattedCitation":"&lt;sup&gt;75&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75</w:t>
      </w:r>
      <w:r w:rsidR="00601B2A" w:rsidRPr="00C07E8E">
        <w:rPr>
          <w:rFonts w:cs="Times New Roman"/>
          <w:color w:val="auto"/>
          <w:szCs w:val="22"/>
        </w:rPr>
        <w:fldChar w:fldCharType="end"/>
      </w:r>
    </w:p>
    <w:p w14:paraId="012392E6" w14:textId="278179AC" w:rsidR="00071B4C" w:rsidRPr="00C07E8E" w:rsidRDefault="00C07E8E" w:rsidP="00532D1D">
      <w:pPr>
        <w:rPr>
          <w:rFonts w:cs="Times New Roman"/>
          <w:color w:val="auto"/>
          <w:szCs w:val="22"/>
        </w:rPr>
      </w:pPr>
      <w:r w:rsidRPr="00C07E8E">
        <w:rPr>
          <w:rFonts w:cs="Times New Roman"/>
          <w:color w:val="auto"/>
          <w:szCs w:val="22"/>
        </w:rPr>
        <w:tab/>
      </w:r>
      <w:r w:rsidR="0002688C" w:rsidRPr="00C07E8E">
        <w:rPr>
          <w:rFonts w:cs="Times New Roman"/>
          <w:color w:val="auto"/>
          <w:szCs w:val="22"/>
        </w:rPr>
        <w:t>Phase I clinical trials in healthy volunteers were reported in 1994</w:t>
      </w:r>
      <w:r w:rsidR="00713333">
        <w:rPr>
          <w:rFonts w:cs="Times New Roman"/>
          <w:color w:val="auto"/>
          <w:szCs w:val="22"/>
        </w:rPr>
        <w:t>,</w:t>
      </w:r>
      <w:r w:rsidR="0002688C" w:rsidRPr="00C07E8E">
        <w:rPr>
          <w:rFonts w:cs="Times New Roman"/>
          <w:color w:val="auto"/>
          <w:szCs w:val="22"/>
        </w:rPr>
        <w:t xml:space="preserve"> assessing for </w:t>
      </w:r>
      <w:r w:rsidR="00240E72" w:rsidRPr="00C07E8E">
        <w:rPr>
          <w:rFonts w:cs="Times New Roman"/>
          <w:color w:val="auto"/>
          <w:szCs w:val="22"/>
        </w:rPr>
        <w:t xml:space="preserve">tolerability and </w:t>
      </w:r>
      <w:r w:rsidR="00E80831" w:rsidRPr="00C07E8E">
        <w:rPr>
          <w:rFonts w:cs="Times New Roman"/>
          <w:color w:val="auto"/>
          <w:szCs w:val="22"/>
        </w:rPr>
        <w:t>PK</w:t>
      </w:r>
      <w:r w:rsidR="00240E72" w:rsidRPr="00C07E8E">
        <w:rPr>
          <w:rFonts w:cs="Times New Roman"/>
          <w:color w:val="auto"/>
          <w:szCs w:val="22"/>
        </w:rPr>
        <w:t>.</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{"citationItems":[{"id":"ITEM-1","itemData":{"ISSN":"01772392","PMID":"7899804","abstract":"The safety, tolerability and pharmacokinetics of the antimalarial arteflene (Ro 42-1611) were evaluated in a single ascending dose, double-blind, placebo-controlled trial in healthy male volunteers. Six groups of 9 volunteers (6 active and 3 placebo) received single oral doses of 100, 300, 900, 1800, 2700 and 3600 mg as a drinking suspension in the fasted state. For pharmacokinetic evaluation serial plasma and urine samples were collected up to 48h after drug intake. Samples were analyzed for unchanged drug and the 8-hydroxy-metabolite using a new HPLC assay with W detection. Serial blood samples were also taken for pharmacodynamics (ex vivo inhibition of Plasmodium falciparum growth). No serious adverse events were reported and no withdrawals occurred. Laboratory parameters(haematology, blood chemistry, urinalysis), vital signs (blood pressure, heart rate, body temperature) and electrocardiograms revealed no clinically relevant changes. Highly significant inhibition of P. falciparum growth was observed in sera from subjects who received 300mg or higher doses as early as 30 minutes and up to 8 h post dosing. Evaluation of the pharmacokinetics from the plasma concentration-time data showed that the mean C(max) and AUC values increased linearly with dose up to a dose level of 1800 mg. At higher doses a plateau was reached pointing to a saturation of absorption from the gastrointestinal tract. Maximum concentrations in plasma were reached 1.7 to 3.3 hourspost-dose. The elimination half-lives were relatively short and ranged between 2 and 4 hours. In plasma, the 8-hydroxy-metabolite reached approximately 3 times the C(max) values of the unchanged substance. The T(max) value and elimination half-life of the metabolite were similar to that of arteflene. Although this metabolite is 3-5 times less active than the parent drug in vitro, it may contribute considerably to the antiplasmodial activity of arteflene. In urine no arteflene nor 8-hydroxy-metabolite could be detected,but other metabolites which did not appear in plasma were observed. In conclusion, arteflene was well tolerated up to single doses of 3600 mg p.o. Due to a subproportional increase in plasma concentrations above doses of 1800mg, it is not recommended to, use higher oral doses in therapeutic studies.","author":[{"dropping-particle":"","family":"Weidekamm","given":"E.","non-dropping-particle":"","parse-names":false,"suffix":""},{"dropping-particle":"","family":"Dumont","given":"E.","non-dropping-particle":"","parse-names":false,"suffix":""},{"dropping-particle":"","family":"Jaquet","given":"C.","non-dropping-particle":"","parse-names":false,"suffix":""}],"container-title":"Tropical Medicine and Parasitology","id":"ITEM-1","issue":"3","issued":{"date-parts":[["1994"]]},"page":"278-283","title":"Tolerability and pharmacokinetics of Ro42-1611 (arteflene) in man","type":"article-journal","volume":"45"},"uris":["http://www.mendeley.com/documents/?uuid=0241a86c-db2c-478c-8688-73fc4c8a8d88","http://www.mendeley.com/documents/?uuid=1404057f-21c1-43cf-98bb-7d7a9e96f439"]}],"mendeley":{"formattedCitation":"&lt;sup&gt;76&lt;/sup&gt;","plainTextFormattedCitation":"76","previouslyFormattedCitation":"&lt;sup&gt;76&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76</w:t>
      </w:r>
      <w:r w:rsidR="00601B2A" w:rsidRPr="00C07E8E">
        <w:rPr>
          <w:rFonts w:cs="Times New Roman"/>
          <w:color w:val="auto"/>
          <w:szCs w:val="22"/>
        </w:rPr>
        <w:fldChar w:fldCharType="end"/>
      </w:r>
      <w:r w:rsidR="00240E72" w:rsidRPr="00C07E8E">
        <w:rPr>
          <w:rFonts w:cs="Times New Roman"/>
          <w:color w:val="auto"/>
          <w:szCs w:val="22"/>
        </w:rPr>
        <w:t xml:space="preserve"> </w:t>
      </w:r>
      <w:r w:rsidR="00F14E60" w:rsidRPr="00C07E8E">
        <w:rPr>
          <w:rFonts w:cs="Times New Roman"/>
          <w:color w:val="auto"/>
          <w:szCs w:val="22"/>
        </w:rPr>
        <w:t xml:space="preserve">Six groups of 9 volunteers were administered either </w:t>
      </w:r>
      <w:r w:rsidR="00B75A54" w:rsidRPr="00C07E8E">
        <w:rPr>
          <w:rFonts w:cs="Times New Roman"/>
          <w:color w:val="auto"/>
          <w:szCs w:val="22"/>
        </w:rPr>
        <w:t xml:space="preserve">Arteflene in single ascending doses or a placebo. No adverse events were reported with no clinical </w:t>
      </w:r>
      <w:r w:rsidR="004E7A37" w:rsidRPr="00C07E8E">
        <w:rPr>
          <w:rFonts w:cs="Times New Roman"/>
          <w:color w:val="auto"/>
          <w:szCs w:val="22"/>
        </w:rPr>
        <w:t>changes identified</w:t>
      </w:r>
      <w:r w:rsidR="00713333">
        <w:rPr>
          <w:rFonts w:cs="Times New Roman"/>
          <w:color w:val="auto"/>
          <w:szCs w:val="22"/>
        </w:rPr>
        <w:t>,</w:t>
      </w:r>
      <w:r w:rsidR="004E7A37" w:rsidRPr="00C07E8E">
        <w:rPr>
          <w:rFonts w:cs="Times New Roman"/>
          <w:color w:val="auto"/>
          <w:szCs w:val="22"/>
        </w:rPr>
        <w:t xml:space="preserve"> suggesting a good safety profile for Arteflene.</w:t>
      </w:r>
      <w:r w:rsidR="005715BE" w:rsidRPr="00C07E8E">
        <w:rPr>
          <w:rFonts w:cs="Times New Roman"/>
          <w:color w:val="auto"/>
          <w:szCs w:val="22"/>
        </w:rPr>
        <w:t xml:space="preserve"> </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{"citationItems":[{"id":"ITEM-1","itemData":{"ISSN":"01772392","PMID":"7899804","abstract":"The safety, tolerability and pharmacokinetics of the antimalarial arteflene (Ro 42-1611) were evaluated in a single ascending dose, double-blind, placebo-controlled trial in healthy male volunteers. Six groups of 9 volunteers (6 active and 3 placebo) received single oral doses of 100, 300, 900, 1800, 2700 and 3600 mg as a drinking suspension in the fasted state. For pharmacokinetic evaluation serial plasma and urine samples were collected up to 48h after drug intake. Samples were analyzed for unchanged drug and the 8-hydroxy-metabolite using a new HPLC assay with W detection. Serial blood samples were also taken for pharmacodynamics (ex vivo inhibition of Plasmodium falciparum growth). No serious adverse events were reported and no withdrawals occurred. Laboratory parameters(haematology, blood chemistry, urinalysis), vital signs (blood pressure, heart rate, body temperature) and electrocardiograms revealed no clinically relevant changes. Highly significant inhibition of P. falciparum growth was observed in sera from subjects who received 300mg or higher doses as early as 30 minutes and up to 8 h post dosing. Evaluation of the pharmacokinetics from the plasma concentration-time data showed that the mean C(max) and AUC values increased linearly with dose up to a dose level of 1800 mg. At higher doses a plateau was reached pointing to a saturation of absorption from the gastrointestinal tract. Maximum concentrations in plasma were reached 1.7 to 3.3 hourspost-dose. The elimination half-lives were relatively short and ranged between 2 and 4 hours. In plasma, the 8-hydroxy-metabolite reached approximately 3 times the C(max) values of the unchanged substance. The T(max) value and elimination half-life of the metabolite were similar to that of arteflene. Although this metabolite is 3-5 times less active than the parent drug in vitro, it may contribute considerably to the antiplasmodial activity of arteflene. In urine no arteflene nor 8-hydroxy-metabolite could be detected,but other metabolites which did not appear in plasma were observed. In conclusion, arteflene was well tolerated up to single doses of 3600 mg p.o. Due to a subproportional increase in plasma concentrations above doses of 1800mg, it is not recommended to, use higher oral doses in therapeutic studies.","author":[{"dropping-particle":"","family":"Weidekamm","given":"E.","non-dropping-particle":"","parse-names":false,"suffix":""},{"dropping-particle":"","family":"Dumont","given":"E.","non-dropping-particle":"","parse-names":false,"suffix":""},{"dropping-particle":"","family":"Jaquet","given":"C.","non-dropping-particle":"","parse-names":false,"suffix":""}],"container-title":"Tropical Medicine and Parasitology","id":"ITEM-1","issue":"3","issued":{"date-parts":[["1994"]]},"page":"278-283","title":"Tolerability and pharmacokinetics of Ro42-1611 (arteflene) in man","type":"article-journal","volume":"45"},"uris":["http://www.mendeley.com/documents/?uuid=1404057f-21c1-43cf-98bb-7d7a9e96f439","http://www.mendeley.com/documents/?uuid=0241a86c-db2c-478c-8688-73fc4c8a8d88"]}],"mendeley":{"formattedCitation":"&lt;sup&gt;76&lt;/sup&gt;","plainTextFormattedCitation":"76","previouslyFormattedCitation":"&lt;sup&gt;76&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76</w:t>
      </w:r>
      <w:r w:rsidR="00601B2A" w:rsidRPr="00C07E8E">
        <w:rPr>
          <w:rFonts w:cs="Times New Roman"/>
          <w:color w:val="auto"/>
          <w:szCs w:val="22"/>
        </w:rPr>
        <w:fldChar w:fldCharType="end"/>
      </w:r>
      <w:r w:rsidR="00601B2A" w:rsidRPr="00C07E8E">
        <w:rPr>
          <w:rFonts w:cs="Times New Roman"/>
          <w:color w:val="auto"/>
          <w:szCs w:val="22"/>
        </w:rPr>
        <w:t xml:space="preserve"> </w:t>
      </w:r>
      <w:r w:rsidR="005715BE" w:rsidRPr="00C07E8E">
        <w:rPr>
          <w:rFonts w:cs="Times New Roman"/>
          <w:color w:val="auto"/>
          <w:szCs w:val="22"/>
        </w:rPr>
        <w:t>Additionally</w:t>
      </w:r>
      <w:r w:rsidR="00E80831" w:rsidRPr="00C07E8E">
        <w:rPr>
          <w:rFonts w:cs="Times New Roman"/>
          <w:color w:val="auto"/>
          <w:szCs w:val="22"/>
        </w:rPr>
        <w:t>, the PK profile was found to scale linearly with dose</w:t>
      </w:r>
      <w:r w:rsidR="00713333">
        <w:rPr>
          <w:rFonts w:cs="Times New Roman"/>
          <w:color w:val="auto"/>
          <w:szCs w:val="22"/>
        </w:rPr>
        <w:t>,</w:t>
      </w:r>
      <w:r w:rsidR="00E80831" w:rsidRPr="00C07E8E">
        <w:rPr>
          <w:rFonts w:cs="Times New Roman"/>
          <w:color w:val="auto"/>
          <w:szCs w:val="22"/>
        </w:rPr>
        <w:t xml:space="preserve"> </w:t>
      </w:r>
      <w:r w:rsidR="003839F0" w:rsidRPr="00C07E8E">
        <w:rPr>
          <w:rFonts w:cs="Times New Roman"/>
          <w:color w:val="auto"/>
          <w:szCs w:val="22"/>
        </w:rPr>
        <w:t xml:space="preserve">however due to the metabolic instability the </w:t>
      </w:r>
      <w:r w:rsidR="006E7B10" w:rsidRPr="00C07E8E">
        <w:rPr>
          <w:rFonts w:cs="Times New Roman"/>
          <w:color w:val="auto"/>
          <w:szCs w:val="22"/>
        </w:rPr>
        <w:t xml:space="preserve">elimination </w:t>
      </w:r>
      <w:r w:rsidRPr="00C07E8E">
        <w:rPr>
          <w:rFonts w:cs="Times New Roman"/>
          <w:color w:val="auto"/>
          <w:szCs w:val="22"/>
        </w:rPr>
        <w:t>half-life</w:t>
      </w:r>
      <w:r w:rsidR="006E7B10" w:rsidRPr="00C07E8E">
        <w:rPr>
          <w:rFonts w:cs="Times New Roman"/>
          <w:color w:val="auto"/>
          <w:szCs w:val="22"/>
        </w:rPr>
        <w:t xml:space="preserve"> was found to</w:t>
      </w:r>
      <w:r w:rsidR="00A324F5" w:rsidRPr="00C07E8E">
        <w:rPr>
          <w:rFonts w:cs="Times New Roman"/>
          <w:color w:val="auto"/>
          <w:szCs w:val="22"/>
        </w:rPr>
        <w:t xml:space="preserve"> be relatively short</w:t>
      </w:r>
      <w:r w:rsidR="00713333">
        <w:rPr>
          <w:rFonts w:cs="Times New Roman"/>
          <w:color w:val="auto"/>
          <w:szCs w:val="22"/>
        </w:rPr>
        <w:t>,</w:t>
      </w:r>
      <w:r w:rsidR="00A324F5" w:rsidRPr="00C07E8E">
        <w:rPr>
          <w:rFonts w:cs="Times New Roman"/>
          <w:color w:val="auto"/>
          <w:szCs w:val="22"/>
        </w:rPr>
        <w:t xml:space="preserve"> ranging between 2 to 4 hours.</w:t>
      </w:r>
      <w:r w:rsidR="005715BE" w:rsidRPr="00C07E8E">
        <w:rPr>
          <w:rFonts w:cs="Times New Roman"/>
          <w:color w:val="auto"/>
          <w:szCs w:val="22"/>
        </w:rPr>
        <w:t xml:space="preserve"> </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{"citationItems":[{"id":"ITEM-1","itemData":{"ISSN":"01772392","PMID":"7899804","abstract":"The safety, tolerability and pharmacokinetics of the antimalarial arteflene (Ro 42-1611) were evaluated in a single ascending dose, double-blind, placebo-controlled trial in healthy male volunteers. Six groups of 9 volunteers (6 active and 3 placebo) received single oral doses of 100, 300, 900, 1800, 2700 and 3600 mg as a drinking suspension in the fasted state. For pharmacokinetic evaluation serial plasma and urine samples were collected up to 48h after drug intake. Samples were analyzed for unchanged drug and the 8-hydroxy-metabolite using a new HPLC assay with W detection. Serial blood samples were also taken for pharmacodynamics (ex vivo inhibition of Plasmodium falciparum growth). No serious adverse events were reported and no withdrawals occurred. Laboratory parameters(haematology, blood chemistry, urinalysis), vital signs (blood pressure, heart rate, body temperature) and electrocardiograms revealed no clinically relevant changes. Highly significant inhibition of P. falciparum growth was observed in sera from subjects who received 300mg or higher doses as early as 30 minutes and up to 8 h post dosing. Evaluation of the pharmacokinetics from the plasma concentration-time data showed that the mean C(max) and AUC values increased linearly with dose up to a dose level of 1800 mg. At higher doses a plateau was reached pointing to a saturation of absorption from the gastrointestinal tract. Maximum concentrations in plasma were reached 1.7 to 3.3 hourspost-dose. The elimination half-lives were relatively short and ranged between 2 and 4 hours. In plasma, the 8-hydroxy-metabolite reached approximately 3 times the C(max) values of the unchanged substance. The T(max) value and elimination half-life of the metabolite were similar to that of arteflene. Although this metabolite is 3-5 times less active than the parent drug in vitro, it may contribute considerably to the antiplasmodial activity of arteflene. In urine no arteflene nor 8-hydroxy-metabolite could be detected,but other metabolites which did not appear in plasma were observed. In conclusion, arteflene was well tolerated up to single doses of 3600 mg p.o. Due to a subproportional increase in plasma concentrations above doses of 1800mg, it is not recommended to, use higher oral doses in therapeutic studies.","author":[{"dropping-particle":"","family":"Weidekamm","given":"E.","non-dropping-particle":"","parse-names":false,"suffix":""},{"dropping-particle":"","family":"Dumont","given":"E.","non-dropping-particle":"","parse-names":false,"suffix":""},{"dropping-particle":"","family":"Jaquet","given":"C.","non-dropping-particle":"","parse-names":false,"suffix":""}],"container-title":"Tropical Medicine and Parasitology","id":"ITEM-1","issue":"3","issued":{"date-parts":[["1994"]]},"page":"278-283","title":"Tolerability and pharmacokinetics of Ro42-1611 (arteflene) in man","type":"article-journal","volume":"45"},"uris":["http://www.mendeley.com/documents/?uuid=1404057f-21c1-43cf-98bb-7d7a9e96f439","http://www.mendeley.com/documents/?uuid=0241a86c-db2c-478c-8688-73fc4c8a8d88"]}],"mendeley":{"formattedCitation":"&lt;sup&gt;76&lt;/sup&gt;","plainTextFormattedCitation":"76","previouslyFormattedCitation":"&lt;sup&gt;76&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76</w:t>
      </w:r>
      <w:r w:rsidR="00601B2A" w:rsidRPr="00C07E8E">
        <w:rPr>
          <w:rFonts w:cs="Times New Roman"/>
          <w:color w:val="auto"/>
          <w:szCs w:val="22"/>
        </w:rPr>
        <w:fldChar w:fldCharType="end"/>
      </w:r>
      <w:r w:rsidR="00601B2A" w:rsidRPr="00C07E8E">
        <w:rPr>
          <w:rFonts w:cs="Times New Roman"/>
          <w:color w:val="auto"/>
          <w:szCs w:val="22"/>
        </w:rPr>
        <w:t xml:space="preserve"> </w:t>
      </w:r>
      <w:r w:rsidR="00A324F5" w:rsidRPr="00C07E8E">
        <w:rPr>
          <w:rFonts w:cs="Times New Roman"/>
          <w:color w:val="auto"/>
          <w:szCs w:val="22"/>
        </w:rPr>
        <w:t xml:space="preserve">Additionally, Cmax for Arteflene was found </w:t>
      </w:r>
      <w:r w:rsidR="00C11944" w:rsidRPr="00C07E8E">
        <w:rPr>
          <w:rFonts w:cs="Times New Roman"/>
          <w:color w:val="auto"/>
          <w:szCs w:val="22"/>
        </w:rPr>
        <w:t>to be reached quickly at 1.7 to 3.3 hours post dose however the</w:t>
      </w:r>
      <w:r w:rsidR="007F0974" w:rsidRPr="00C07E8E">
        <w:rPr>
          <w:rFonts w:cs="Times New Roman"/>
          <w:color w:val="auto"/>
          <w:szCs w:val="22"/>
        </w:rPr>
        <w:t xml:space="preserve"> Cmax of the</w:t>
      </w:r>
      <w:r w:rsidR="00C11944" w:rsidRPr="00C07E8E">
        <w:rPr>
          <w:rFonts w:cs="Times New Roman"/>
          <w:color w:val="auto"/>
          <w:szCs w:val="22"/>
        </w:rPr>
        <w:t xml:space="preserve"> 8-hydroxy-metabolite Ro 47-6936 was </w:t>
      </w:r>
      <w:r w:rsidR="007F0974" w:rsidRPr="00C07E8E">
        <w:rPr>
          <w:rFonts w:cs="Times New Roman"/>
          <w:color w:val="auto"/>
          <w:szCs w:val="22"/>
        </w:rPr>
        <w:t>found to be 3-fold greater than that of the parent drug</w:t>
      </w:r>
      <w:r w:rsidR="00713333">
        <w:rPr>
          <w:rFonts w:cs="Times New Roman"/>
          <w:color w:val="auto"/>
          <w:szCs w:val="22"/>
        </w:rPr>
        <w:t>,</w:t>
      </w:r>
      <w:r w:rsidR="007F0974" w:rsidRPr="00C07E8E">
        <w:rPr>
          <w:rFonts w:cs="Times New Roman"/>
          <w:color w:val="auto"/>
          <w:szCs w:val="22"/>
        </w:rPr>
        <w:t xml:space="preserve"> further supporting its role in the </w:t>
      </w:r>
      <w:r w:rsidR="007F0974" w:rsidRPr="007370A6">
        <w:rPr>
          <w:rFonts w:cs="Times New Roman"/>
          <w:i/>
          <w:iCs/>
          <w:color w:val="auto"/>
          <w:szCs w:val="22"/>
        </w:rPr>
        <w:t>in vivo</w:t>
      </w:r>
      <w:r w:rsidR="007F0974" w:rsidRPr="00C07E8E">
        <w:rPr>
          <w:rFonts w:cs="Times New Roman"/>
          <w:color w:val="auto"/>
          <w:szCs w:val="22"/>
        </w:rPr>
        <w:t xml:space="preserve"> activity of Arteflene</w:t>
      </w:r>
      <w:r w:rsidR="00601B2A" w:rsidRPr="00C07E8E">
        <w:rPr>
          <w:rFonts w:cs="Times New Roman"/>
          <w:color w:val="auto"/>
          <w:szCs w:val="22"/>
        </w:rPr>
        <w:t xml:space="preserve">. </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{"citationItems":[{"id":"ITEM-1","itemData":{"ISSN":"01772392","PMID":"7899804","abstract":"The safety, tolerability and pharmacokinetics of the antimalarial arteflene (Ro 42-1611) were evaluated in a single ascending dose, double-blind, placebo-controlled trial in healthy male volunteers. Six groups of 9 volunteers (6 active and 3 placebo) received single oral doses of 100, 300, 900, 1800, 2700 and 3600 mg as a drinking suspension in the fasted state. For pharmacokinetic evaluation serial plasma and urine samples were collected up to 48h after drug intake. Samples were analyzed for unchanged drug and the 8-hydroxy-metabolite using a new HPLC assay with W detection. Serial blood samples were also taken for pharmacodynamics (ex vivo inhibition of Plasmodium falciparum growth). No serious adverse events were reported and no withdrawals occurred. Laboratory parameters(haematology, blood chemistry, urinalysis), vital signs (blood pressure, heart rate, body temperature) and electrocardiograms revealed no clinically relevant changes. Highly significant inhibition of P. falciparum growth was observed in sera from subjects who received 300mg or higher doses as early as 30 minutes and up to 8 h post dosing. Evaluation of the pharmacokinetics from the plasma concentration-time data showed that the mean C(max) and AUC values increased linearly with dose up to a dose level of 1800 mg. At higher doses a plateau was reached pointing to a saturation of absorption from the gastrointestinal tract. Maximum concentrations in plasma were reached 1.7 to 3.3 hourspost-dose. The elimination half-lives were relatively short and ranged between 2 and 4 hours. In plasma, the 8-hydroxy-metabolite reached approximately 3 times the C(max) values of the unchanged substance. The T(max) value and elimination half-life of the metabolite were similar to that of arteflene. Although this metabolite is 3-5 times less active than the parent drug in vitro, it may contribute considerably to the antiplasmodial activity of arteflene. In urine no arteflene nor 8-hydroxy-metabolite could be detected,but other metabolites which did not appear in plasma were observed. In conclusion, arteflene was well tolerated up to single doses of 3600 mg p.o. Due to a subproportional increase in plasma concentrations above doses of 1800mg, it is not recommended to, use higher oral doses in therapeutic studies.","author":[{"dropping-particle":"","family":"Weidekamm","given":"E.","non-dropping-particle":"","parse-names":false,"suffix":""},{"dropping-particle":"","family":"Dumont","given":"E.","non-dropping-particle":"","parse-names":false,"suffix":""},{"dropping-particle":"","family":"Jaquet","given":"C.","non-dropping-particle":"","parse-names":false,"suffix":""}],"container-title":"Tropical Medicine and Parasitology","id":"ITEM-1","issue":"3","issued":{"date-parts":[["1994"]]},"page":"278-283","title":"Tolerability and pharmacokinetics of Ro42-1611 (arteflene) in man","type":"article-journal","volume":"45"},"uris":["http://www.mendeley.com/documents/?uuid=1404057f-21c1-43cf-98bb-7d7a9e96f439","http://www.mendeley.com/documents/?uuid=0241a86c-db2c-478c-8688-73fc4c8a8d88"]}],"mendeley":{"formattedCitation":"&lt;sup&gt;76&lt;/sup&gt;","plainTextFormattedCitation":"76","previouslyFormattedCitation":"&lt;sup&gt;76&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76</w:t>
      </w:r>
      <w:r w:rsidR="00601B2A" w:rsidRPr="00C07E8E">
        <w:rPr>
          <w:rFonts w:cs="Times New Roman"/>
          <w:color w:val="auto"/>
          <w:szCs w:val="22"/>
        </w:rPr>
        <w:fldChar w:fldCharType="end"/>
      </w:r>
      <w:r w:rsidR="00601B2A" w:rsidRPr="00C07E8E">
        <w:rPr>
          <w:rFonts w:cs="Times New Roman"/>
          <w:color w:val="auto"/>
          <w:szCs w:val="22"/>
        </w:rPr>
        <w:t xml:space="preserve"> </w:t>
      </w:r>
      <w:r w:rsidR="005715BE" w:rsidRPr="00C07E8E">
        <w:rPr>
          <w:rFonts w:cs="Times New Roman"/>
          <w:color w:val="auto"/>
          <w:szCs w:val="22"/>
        </w:rPr>
        <w:t xml:space="preserve"> </w:t>
      </w:r>
      <w:r w:rsidR="007F0974" w:rsidRPr="00C07E8E">
        <w:rPr>
          <w:rFonts w:cs="Times New Roman"/>
          <w:color w:val="auto"/>
          <w:szCs w:val="22"/>
        </w:rPr>
        <w:t xml:space="preserve"> </w:t>
      </w:r>
      <w:r w:rsidR="008837F8" w:rsidRPr="00C07E8E">
        <w:rPr>
          <w:rFonts w:cs="Times New Roman"/>
          <w:i/>
          <w:iCs/>
          <w:color w:val="auto"/>
          <w:szCs w:val="22"/>
        </w:rPr>
        <w:t xml:space="preserve">P. falciparum </w:t>
      </w:r>
      <w:r w:rsidR="008837F8" w:rsidRPr="00C07E8E">
        <w:rPr>
          <w:rFonts w:cs="Times New Roman"/>
          <w:color w:val="auto"/>
          <w:szCs w:val="22"/>
        </w:rPr>
        <w:t>growth inhibition assays in sera taken from patients showed significant inhibition for</w:t>
      </w:r>
      <w:r w:rsidRPr="00C07E8E">
        <w:rPr>
          <w:rFonts w:cs="Times New Roman"/>
          <w:color w:val="auto"/>
          <w:szCs w:val="22"/>
        </w:rPr>
        <w:t xml:space="preserve"> volunteers who received 300 mg or higher doses in samples obtained between 30 minutes and 8 hours post dosing which supported the clinical efficacy of Arteflene</w:t>
      </w:r>
      <w:r w:rsidR="00601B2A" w:rsidRPr="00C07E8E">
        <w:rPr>
          <w:rFonts w:cs="Times New Roman"/>
          <w:color w:val="auto"/>
          <w:szCs w:val="22"/>
        </w:rPr>
        <w:t>.</w:t>
      </w:r>
      <w:r w:rsidR="00601B2A" w:rsidRPr="00C07E8E">
        <w:rPr>
          <w:rFonts w:cs="Times New Roman"/>
          <w:color w:val="auto"/>
          <w:szCs w:val="22"/>
        </w:rPr>
        <w:fldChar w:fldCharType="begin" w:fldLock="1"/>
      </w:r>
      <w:r w:rsidR="007125A3">
        <w:rPr>
          <w:rFonts w:cs="Times New Roman"/>
          <w:color w:val="auto"/>
          <w:szCs w:val="22"/>
        </w:rPr>
        <w:instrText>ADDIN CSL_CITATION {"citationItems":[{"id":"ITEM-1","itemData":{"ISSN":"01772392","PMID":"7899804","abstract":"The safety, tolerability and pharmacokinetics of the antimalarial arteflene (Ro 42-1611) were evaluated in a single ascending dose, double-blind, placebo-controlled trial in healthy male volunteers. Six groups of 9 volunteers (6 active and 3 placebo) received single oral doses of 100, 300, 900, 1800, 2700 and 3600 mg as a drinking suspension in the fasted state. For pharmacokinetic evaluation serial plasma and urine samples were collected up to 48h after drug intake. Samples were analyzed for unchanged drug and the 8-hydroxy-metabolite using a new HPLC assay with W detection. Serial blood samples were also taken for pharmacodynamics (ex vivo inhibition of Plasmodium falciparum growth). No serious adverse events were reported and no withdrawals occurred. Laboratory parameters(haematology, blood chemistry, urinalysis), vital signs (blood pressure, heart rate, body temperature) and electrocardiograms revealed no clinically relevant changes. Highly significant inhibition of P. falciparum growth was observed in sera from subjects who received 300mg or higher doses as early as 30 minutes and up to 8 h post dosing. Evaluation of the pharmacokinetics from the plasma concentration-time data showed that the mean C(max) and AUC values increased linearly with dose up to a dose level of 1800 mg. At higher doses a plateau was reached pointing to a saturation of absorption from the gastrointestinal tract. Maximum concentrations in plasma were reached 1.7 to 3.3 hourspost-dose. The elimination half-lives were relatively short and ranged between 2 and 4 hours. In plasma, the 8-hydroxy-metabolite reached approximately 3 times the C(max) values of the unchanged substance. The T(max) value and elimination half-life of the metabolite were similar to that of arteflene. Although this metabolite is 3-5 times less active than the parent drug in vitro, it may contribute considerably to the antiplasmodial activity of arteflene. In urine no arteflene nor 8-hydroxy-metabolite could be detected,but other metabolites which did not appear in plasma were observed. In conclusion, arteflene was well tolerated up to single doses of 3600 mg p.o. Due to a subproportional increase in plasma concentrations above doses of 1800mg, it is not recommended to, use higher oral doses in therapeutic studies.","author":[{"dropping-particle":"","family":"Weidekamm","given":"E.","non-dropping-particle":"","parse-names":false,"suffix":""},{"dropping-particle":"","family":"Dumont","given":"E.","non-dropping-particle":"","parse-names":false,"suffix":""},{"dropping-particle":"","family":"Jaquet","given":"C.","non-dropping-particle":"","parse-names":false,"suffix":""}],"container-title":"Tropical Medicine and Parasitology","id":"ITEM-1","issue":"3","issued":{"date-parts":[["1994"]]},"page":"278-283","title":"Tolerability and pharmacokinetics of Ro42-1611 (arteflene) in man","type":"article-journal","volume":"45"},"uris":["http://www.mendeley.com/documents/?uuid=1404057f-21c1-43cf-98bb-7d7a9e96f439","http://www.mendeley.com/documents/?uuid=0241a86c-db2c-478c-8688-73fc4c8a8d88"]}],"mendeley":{"formattedCitation":"&lt;sup&gt;76&lt;/sup&gt;","plainTextFormattedCitation":"76","previouslyFormattedCitation":"&lt;sup&gt;76&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76</w:t>
      </w:r>
      <w:r w:rsidR="00601B2A" w:rsidRPr="00C07E8E">
        <w:rPr>
          <w:rFonts w:cs="Times New Roman"/>
          <w:color w:val="auto"/>
          <w:szCs w:val="22"/>
        </w:rPr>
        <w:fldChar w:fldCharType="end"/>
      </w:r>
    </w:p>
    <w:p w14:paraId="4CC71F9A" w14:textId="51BB6094" w:rsidR="005715BE" w:rsidRPr="00C07E8E" w:rsidRDefault="00C07E8E" w:rsidP="00532D1D">
      <w:pPr>
        <w:rPr>
          <w:rFonts w:cs="Times New Roman"/>
          <w:color w:val="auto"/>
          <w:szCs w:val="22"/>
        </w:rPr>
      </w:pPr>
      <w:r w:rsidRPr="00C07E8E">
        <w:rPr>
          <w:rFonts w:cs="Times New Roman"/>
          <w:color w:val="auto"/>
          <w:szCs w:val="22"/>
        </w:rPr>
        <w:lastRenderedPageBreak/>
        <w:tab/>
      </w:r>
      <w:r w:rsidR="00F85493" w:rsidRPr="00C07E8E">
        <w:rPr>
          <w:rFonts w:cs="Times New Roman"/>
          <w:color w:val="auto"/>
          <w:szCs w:val="22"/>
        </w:rPr>
        <w:t xml:space="preserve"> </w:t>
      </w:r>
      <w:r w:rsidR="004B76C5" w:rsidRPr="00C07E8E">
        <w:rPr>
          <w:rFonts w:cs="Times New Roman"/>
          <w:color w:val="auto"/>
          <w:szCs w:val="22"/>
        </w:rPr>
        <w:t>Phase II clinical trials of Arteflene have been carried out with patient cohorts from Nigeria and Burkina Faso, and Cameroon.</w:t>
      </w:r>
      <w:r w:rsidR="00601B2A" w:rsidRPr="00C07E8E">
        <w:rPr>
          <w:rFonts w:cs="Times New Roman"/>
          <w:color w:val="auto"/>
          <w:szCs w:val="22"/>
        </w:rPr>
        <w:fldChar w:fldCharType="begin" w:fldLock="1"/>
      </w:r>
      <w:r w:rsidR="00CA5C6A">
        <w:rPr>
          <w:rFonts w:cs="Times New Roman"/>
          <w:color w:val="auto"/>
          <w:szCs w:val="22"/>
        </w:rPr>
        <w:instrText>ADDIN CSL_CITATION {"citationItems":[{"id":"ITEM-1","itemData":{"ISSN":"01772392","PMID":"7899806","abstract":"The novel antimalarial Ro 42-1611 (arteflene) was evaluated for safety and efficacy in an open, non-comparative study of patients with mild malaria in the south of Cameroon. Thirty male patients aged 12 to 42 years, with an initial Plasmodium falciparum count of &gt;5000 (mean: 21,406) parasites/μl and a body temperature of 37.7% to 39.8°C, were selected to receive a single dose of arteflene, corresponding to 25 ± 2.5 mg /kg bodyweight. Efficacy was assessed at 6, 9,12, 24, 36, 48 and 72 hours, and at seven days by: reduction in parasitaemia and time to parasite clearance; resolution of fever and clinical cure (defined as the absence of signs and symptoms of malaria). Adverse events were reported at baseline and at each assessment point, and laboratory tests were carried out at 2 and 7 days. The mean number of parasites/μl fell from 21,406 at baseline to 157 after 48 hours, at which point 80% of patients were completely free of parasites. Mean body temperature was reduced from 38.9°C at baseline to 37.3°C 12 hours after arteflene administration, and by this time 80% of patients had a normal temperature. Clinical cure rates were also high, with 70% of patients free of all signs and symptoms after 24 hours. However, by day 7, 6/30 (20%) presented with smears positive for P. falciparum. There were no adverse events considered to be related to treatment. A single dose of 25 mg/kg arteflene was found to be an effective and well-tolerated treatment for mild P. falciparum malaria.","author":[{"dropping-particle":"","family":"Somo-Moyou","given":"R.","non-dropping-particle":"","parse-names":false,"suffix":""},{"dropping-particle":"","family":"Mittelholzer","given":"M. L.","non-dropping-particle":"","parse-names":false,"suffix":""},{"dropping-particle":"","family":"Sorenson","given":"F.","non-dropping-particle":"","parse-names":false,"suffix":""},{"dropping-particle":"","family":"Haller","given":"L.","non-dropping-particle":"","parse-names":false,"suffix":""},{"dropping-particle":"","family":"Sturchler","given":"D.","non-dropping-particle":"","parse-names":false,"suffix":""}],"container-title":"Tropical Medicine and Parasitology","id":"ITEM-1","issue":"3","issued":{"date-parts":[["1994"]]},"page":"288-291","title":"Efficacy of Ro42-1611 (arteflene) in the treatment of patients with mild malaria: A clinical trial in Cameroon","type":"article-journal","volume":"45"},"uris":["http://www.mendeley.com/documents/?uuid=f8d8aa8c-1d14-45f0-b4fa-6bc4f694b7ee"]},{"id":"ITEM-2","itemData":{"ISSN":"01772392","abstract":"An open, non-comparative clinical trial was carried out in Nigeria and Burkina Faso to investigate the safety and efficacy of the novel antimalarial arteflene in patients with mild malaria. Patients were males aged 12 to 16 years, with a Plasmodium falciparum count of 104 to 105 parasites/μl and a body temperature of 37.5 to 38.5°C. Twenty-three patients received a single dose of Ro 42-1611 (arteflene), corresponding to 25 ± 2.5 mg/kg bodyweight. Nineteen patients were evaluable for standard efficacy. Efficacy was assessed at 6, 9,12, 24, 36, 48 and 72 hours, and at seven days, by: reduction in parasitaemia and time to parasite clearance; resolution of fever; and clinical cure (defined as the absence of signs and symptoms of malaria). Adverse events were reported at each assessment point, and laboratory tests were carried out at baseline and at 2 and 7 days. The parasite count was reduced by 50% or more in 89.5% of patients after 48 hours, and 52.6% were completely free of parasites at the same time. Normal temperature was achieved in 89.5% of patients and clinical cure in 75%, after 48 hours. One patient reported mild vertigo and mild pruritus. The lower than expected effect was thought to be due to inadequate storage of the arteflene suspension. There were no withdrawals due to adverse events and no deaths. A single dose of 25 mg/kg arteflene was found to be an effective and well-tolerated treatment for mild P. falciparum malaria.","author":[{"dropping-particle":"","family":"Salako","given":"L. A.","non-dropping-particle":"","parse-names":false,"suffix":""},{"dropping-particle":"","family":"Guiguemde","given":"R.","non-dropping-particle":"","parse-names":false,"suffix":""},{"dropping-particle":"","family":"Mittelholzer","given":"M. L.","non-dropping-particle":"","parse-names":false,"suffix":""},{"dropping-particle":"","family":"Haller","given":"L.","non-dropping-particle":"","parse-names":false,"suffix":""},{"dropping-particle":"","family":"Sorenson","given":"F.","non-dropping-particle":"","parse-names":false,"suffix":""},{"dropping-particle":"","family":"Sturchler","given":"D.","non-dropping-particle":"","parse-names":false,"suffix":""}],"container-title":"Tropical Medicine and Parasitology","id":"ITEM-2","issued":{"date-parts":[["1994"]]},"title":"Ro42-1611 in the treatment of patients with mild malaria: A clinical trial in Nigeria and Burkina Faso","type":"paper-conference"},"uris":["http://www.mendeley.com/documents/?uuid=c7bbe8ef-96f1-4d3e-8390-5129d0635daa"]}],"mendeley":{"formattedCitation":"&lt;sup&gt;77,78&lt;/sup&gt;","plainTextFormattedCitation":"77,78","previouslyFormattedCitation":"&lt;sup&gt;77,78&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77,78</w:t>
      </w:r>
      <w:r w:rsidR="00601B2A" w:rsidRPr="00C07E8E">
        <w:rPr>
          <w:rFonts w:cs="Times New Roman"/>
          <w:color w:val="auto"/>
          <w:szCs w:val="22"/>
        </w:rPr>
        <w:fldChar w:fldCharType="end"/>
      </w:r>
      <w:r w:rsidR="00601B2A" w:rsidRPr="00C07E8E">
        <w:rPr>
          <w:rFonts w:cs="Times New Roman"/>
          <w:color w:val="auto"/>
          <w:szCs w:val="22"/>
        </w:rPr>
        <w:t xml:space="preserve"> </w:t>
      </w:r>
      <w:r w:rsidR="00074AF3" w:rsidRPr="00C07E8E">
        <w:rPr>
          <w:rFonts w:cs="Times New Roman"/>
          <w:color w:val="auto"/>
          <w:szCs w:val="22"/>
        </w:rPr>
        <w:t>Clinical</w:t>
      </w:r>
      <w:r w:rsidR="00F515D7" w:rsidRPr="00C07E8E">
        <w:rPr>
          <w:rFonts w:cs="Times New Roman"/>
          <w:color w:val="auto"/>
          <w:szCs w:val="22"/>
        </w:rPr>
        <w:t xml:space="preserve"> trials in Nigeria and Burkina Faso</w:t>
      </w:r>
      <w:r w:rsidR="004E6B43" w:rsidRPr="00C07E8E">
        <w:rPr>
          <w:rFonts w:cs="Times New Roman"/>
          <w:color w:val="auto"/>
          <w:szCs w:val="22"/>
        </w:rPr>
        <w:t xml:space="preserve"> investigated the efficacy </w:t>
      </w:r>
      <w:r w:rsidR="00DA4CF0" w:rsidRPr="00C07E8E">
        <w:rPr>
          <w:rFonts w:cs="Times New Roman"/>
          <w:color w:val="auto"/>
          <w:szCs w:val="22"/>
        </w:rPr>
        <w:t xml:space="preserve">of Arteflene as a monotherapy </w:t>
      </w:r>
      <w:r w:rsidR="00D52BAB" w:rsidRPr="00C07E8E">
        <w:rPr>
          <w:rFonts w:cs="Times New Roman"/>
          <w:color w:val="auto"/>
          <w:szCs w:val="22"/>
        </w:rPr>
        <w:t xml:space="preserve">in </w:t>
      </w:r>
      <w:r w:rsidR="00CE5497" w:rsidRPr="00C07E8E">
        <w:rPr>
          <w:rFonts w:cs="Times New Roman"/>
          <w:color w:val="auto"/>
          <w:szCs w:val="22"/>
        </w:rPr>
        <w:t xml:space="preserve">patients aged 12 to </w:t>
      </w:r>
      <w:r w:rsidR="009E7722" w:rsidRPr="00C07E8E">
        <w:rPr>
          <w:rFonts w:cs="Times New Roman"/>
          <w:color w:val="auto"/>
          <w:szCs w:val="22"/>
        </w:rPr>
        <w:t>16 years</w:t>
      </w:r>
      <w:r w:rsidR="00D52BAB" w:rsidRPr="00C07E8E">
        <w:rPr>
          <w:rFonts w:cs="Times New Roman"/>
          <w:color w:val="auto"/>
          <w:szCs w:val="22"/>
        </w:rPr>
        <w:t xml:space="preserve"> with mild malaria</w:t>
      </w:r>
      <w:r w:rsidR="006034A1" w:rsidRPr="00C07E8E">
        <w:rPr>
          <w:rFonts w:cs="Times New Roman"/>
          <w:color w:val="auto"/>
          <w:szCs w:val="22"/>
        </w:rPr>
        <w:t xml:space="preserve">. </w:t>
      </w:r>
      <w:r w:rsidR="00F515D7" w:rsidRPr="00C07E8E">
        <w:rPr>
          <w:rFonts w:cs="Times New Roman"/>
          <w:color w:val="auto"/>
          <w:szCs w:val="22"/>
        </w:rPr>
        <w:t xml:space="preserve">In </w:t>
      </w:r>
      <w:r w:rsidR="00407812" w:rsidRPr="00C07E8E">
        <w:rPr>
          <w:rFonts w:cs="Times New Roman"/>
          <w:color w:val="auto"/>
          <w:szCs w:val="22"/>
        </w:rPr>
        <w:t>89.5 % of patients parasitaemia was found to be reduced by 50 % or more</w:t>
      </w:r>
      <w:r w:rsidR="00967FD3" w:rsidRPr="00C07E8E">
        <w:rPr>
          <w:rFonts w:cs="Times New Roman"/>
          <w:color w:val="auto"/>
          <w:szCs w:val="22"/>
        </w:rPr>
        <w:t xml:space="preserve"> 48 hours post dose</w:t>
      </w:r>
      <w:r w:rsidR="00407812" w:rsidRPr="00C07E8E">
        <w:rPr>
          <w:rFonts w:cs="Times New Roman"/>
          <w:color w:val="auto"/>
          <w:szCs w:val="22"/>
        </w:rPr>
        <w:t xml:space="preserve"> with 52.6 % of patients </w:t>
      </w:r>
      <w:r w:rsidR="00DA4CF0" w:rsidRPr="00C07E8E">
        <w:rPr>
          <w:rFonts w:cs="Times New Roman"/>
          <w:color w:val="auto"/>
          <w:szCs w:val="22"/>
        </w:rPr>
        <w:t>being completely free from parasites</w:t>
      </w:r>
      <w:r w:rsidR="00601B2A" w:rsidRPr="00C07E8E">
        <w:rPr>
          <w:rFonts w:cs="Times New Roman"/>
          <w:color w:val="auto"/>
          <w:szCs w:val="22"/>
        </w:rPr>
        <w:t>.</w:t>
      </w:r>
      <w:r w:rsidR="00601B2A" w:rsidRPr="00C07E8E">
        <w:rPr>
          <w:rFonts w:cs="Times New Roman"/>
          <w:color w:val="auto"/>
          <w:szCs w:val="22"/>
        </w:rPr>
        <w:fldChar w:fldCharType="begin" w:fldLock="1"/>
      </w:r>
      <w:r w:rsidR="00CA5C6A">
        <w:rPr>
          <w:rFonts w:cs="Times New Roman"/>
          <w:color w:val="auto"/>
          <w:szCs w:val="22"/>
        </w:rPr>
        <w:instrText>ADDIN CSL_CITATION {"citationItems":[{"id":"ITEM-1","itemData":{"ISSN":"01772392","abstract":"An open, non-comparative clinical trial was carried out in Nigeria and Burkina Faso to investigate the safety and efficacy of the novel antimalarial arteflene in patients with mild malaria. Patients were males aged 12 to 16 years, with a Plasmodium falciparum count of 104 to 105 parasites/μl and a body temperature of 37.5 to 38.5°C. Twenty-three patients received a single dose of Ro 42-1611 (arteflene), corresponding to 25 ± 2.5 mg/kg bodyweight. Nineteen patients were evaluable for standard efficacy. Efficacy was assessed at 6, 9,12, 24, 36, 48 and 72 hours, and at seven days, by: reduction in parasitaemia and time to parasite clearance; resolution of fever; and clinical cure (defined as the absence of signs and symptoms of malaria). Adverse events were reported at each assessment point, and laboratory tests were carried out at baseline and at 2 and 7 days. The parasite count was reduced by 50% or more in 89.5% of patients after 48 hours, and 52.6% were completely free of parasites at the same time. Normal temperature was achieved in 89.5% of patients and clinical cure in 75%, after 48 hours. One patient reported mild vertigo and mild pruritus. The lower than expected effect was thought to be due to inadequate storage of the arteflene suspension. There were no withdrawals due to adverse events and no deaths. A single dose of 25 mg/kg arteflene was found to be an effective and well-tolerated treatment for mild P. falciparum malaria.","author":[{"dropping-particle":"","family":"Salako","given":"L. A.","non-dropping-particle":"","parse-names":false,"suffix":""},{"dropping-particle":"","family":"Guiguemde","given":"R.","non-dropping-particle":"","parse-names":false,"suffix":""},{"dropping-particle":"","family":"Mittelholzer","given":"M. L.","non-dropping-particle":"","parse-names":false,"suffix":""},{"dropping-particle":"","family":"Haller","given":"L.","non-dropping-particle":"","parse-names":false,"suffix":""},{"dropping-particle":"","family":"Sorenson","given":"F.","non-dropping-particle":"","parse-names":false,"suffix":""},{"dropping-particle":"","family":"Sturchler","given":"D.","non-dropping-particle":"","parse-names":false,"suffix":""}],"container-title":"Tropical Medicine and Parasitology","id":"ITEM-1","issued":{"date-parts":[["1994"]]},"title":"Ro42-1611 in the treatment of patients with mild malaria: A clinical trial in Nigeria and Burkina Faso","type":"paper-conference"},"uris":["http://www.mendeley.com/documents/?uuid=c7bbe8ef-96f1-4d3e-8390-5129d0635daa"]}],"mendeley":{"formattedCitation":"&lt;sup&gt;78&lt;/sup&gt;","plainTextFormattedCitation":"78","previouslyFormattedCitation":"&lt;sup&gt;78&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78</w:t>
      </w:r>
      <w:r w:rsidR="00601B2A" w:rsidRPr="00C07E8E">
        <w:rPr>
          <w:rFonts w:cs="Times New Roman"/>
          <w:color w:val="auto"/>
          <w:szCs w:val="22"/>
        </w:rPr>
        <w:fldChar w:fldCharType="end"/>
      </w:r>
      <w:r w:rsidR="00601B2A" w:rsidRPr="00C07E8E">
        <w:rPr>
          <w:rFonts w:cs="Times New Roman"/>
          <w:color w:val="auto"/>
          <w:szCs w:val="22"/>
        </w:rPr>
        <w:t xml:space="preserve"> </w:t>
      </w:r>
      <w:r w:rsidR="00074AF3" w:rsidRPr="00C07E8E">
        <w:rPr>
          <w:rFonts w:cs="Times New Roman"/>
          <w:color w:val="auto"/>
          <w:szCs w:val="22"/>
        </w:rPr>
        <w:t>Additionally</w:t>
      </w:r>
      <w:r w:rsidR="00DA4CF0" w:rsidRPr="00C07E8E">
        <w:rPr>
          <w:rFonts w:cs="Times New Roman"/>
          <w:color w:val="auto"/>
          <w:szCs w:val="22"/>
        </w:rPr>
        <w:t xml:space="preserve">, </w:t>
      </w:r>
      <w:r w:rsidR="00D355A8" w:rsidRPr="00C07E8E">
        <w:rPr>
          <w:rFonts w:cs="Times New Roman"/>
          <w:color w:val="auto"/>
          <w:szCs w:val="22"/>
        </w:rPr>
        <w:t xml:space="preserve">alleviation of fever was seen in 89.5 % of patients </w:t>
      </w:r>
      <w:r w:rsidR="001E1CF3" w:rsidRPr="00C07E8E">
        <w:rPr>
          <w:rFonts w:cs="Times New Roman"/>
          <w:color w:val="auto"/>
          <w:szCs w:val="22"/>
        </w:rPr>
        <w:t xml:space="preserve">with a clinical cure observed in </w:t>
      </w:r>
      <w:r w:rsidR="00967FD3" w:rsidRPr="00C07E8E">
        <w:rPr>
          <w:rFonts w:cs="Times New Roman"/>
          <w:color w:val="auto"/>
          <w:szCs w:val="22"/>
        </w:rPr>
        <w:t>75 % over the same period</w:t>
      </w:r>
      <w:r w:rsidR="00601B2A" w:rsidRPr="00C07E8E">
        <w:rPr>
          <w:rFonts w:cs="Times New Roman"/>
          <w:color w:val="auto"/>
          <w:szCs w:val="22"/>
        </w:rPr>
        <w:t>.</w:t>
      </w:r>
      <w:r w:rsidR="00601B2A" w:rsidRPr="00C07E8E">
        <w:rPr>
          <w:rFonts w:cs="Times New Roman"/>
          <w:color w:val="auto"/>
          <w:szCs w:val="22"/>
        </w:rPr>
        <w:fldChar w:fldCharType="begin" w:fldLock="1"/>
      </w:r>
      <w:r w:rsidR="00CA5C6A">
        <w:rPr>
          <w:rFonts w:cs="Times New Roman"/>
          <w:color w:val="auto"/>
          <w:szCs w:val="22"/>
        </w:rPr>
        <w:instrText>ADDIN CSL_CITATION {"citationItems":[{"id":"ITEM-1","itemData":{"ISSN":"01772392","abstract":"An open, non-comparative clinical trial was carried out in Nigeria and Burkina Faso to investigate the safety and efficacy of the novel antimalarial arteflene in patients with mild malaria. Patients were males aged 12 to 16 years, with a Plasmodium falciparum count of 104 to 105 parasites/μl and a body temperature of 37.5 to 38.5°C. Twenty-three patients received a single dose of Ro 42-1611 (arteflene), corresponding to 25 ± 2.5 mg/kg bodyweight. Nineteen patients were evaluable for standard efficacy. Efficacy was assessed at 6, 9,12, 24, 36, 48 and 72 hours, and at seven days, by: reduction in parasitaemia and time to parasite clearance; resolution of fever; and clinical cure (defined as the absence of signs and symptoms of malaria). Adverse events were reported at each assessment point, and laboratory tests were carried out at baseline and at 2 and 7 days. The parasite count was reduced by 50% or more in 89.5% of patients after 48 hours, and 52.6% were completely free of parasites at the same time. Normal temperature was achieved in 89.5% of patients and clinical cure in 75%, after 48 hours. One patient reported mild vertigo and mild pruritus. The lower than expected effect was thought to be due to inadequate storage of the arteflene suspension. There were no withdrawals due to adverse events and no deaths. A single dose of 25 mg/kg arteflene was found to be an effective and well-tolerated treatment for mild P. falciparum malaria.","author":[{"dropping-particle":"","family":"Salako","given":"L. A.","non-dropping-particle":"","parse-names":false,"suffix":""},{"dropping-particle":"","family":"Guiguemde","given":"R.","non-dropping-particle":"","parse-names":false,"suffix":""},{"dropping-particle":"","family":"Mittelholzer","given":"M. L.","non-dropping-particle":"","parse-names":false,"suffix":""},{"dropping-particle":"","family":"Haller","given":"L.","non-dropping-particle":"","parse-names":false,"suffix":""},{"dropping-particle":"","family":"Sorenson","given":"F.","non-dropping-particle":"","parse-names":false,"suffix":""},{"dropping-particle":"","family":"Sturchler","given":"D.","non-dropping-particle":"","parse-names":false,"suffix":""}],"container-title":"Tropical Medicine and Parasitology","id":"ITEM-1","issued":{"date-parts":[["1994"]]},"title":"Ro42-1611 in the treatment of patients with mild malaria: A clinical trial in Nigeria and Burkina Faso","type":"paper-conference"},"uris":["http://www.mendeley.com/documents/?uuid=c7bbe8ef-96f1-4d3e-8390-5129d0635daa"]}],"mendeley":{"formattedCitation":"&lt;sup&gt;78&lt;/sup&gt;","plainTextFormattedCitation":"78","previouslyFormattedCitation":"&lt;sup&gt;78&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78</w:t>
      </w:r>
      <w:r w:rsidR="00601B2A" w:rsidRPr="00C07E8E">
        <w:rPr>
          <w:rFonts w:cs="Times New Roman"/>
          <w:color w:val="auto"/>
          <w:szCs w:val="22"/>
        </w:rPr>
        <w:fldChar w:fldCharType="end"/>
      </w:r>
      <w:r w:rsidR="00601B2A" w:rsidRPr="00C07E8E">
        <w:rPr>
          <w:rFonts w:cs="Times New Roman"/>
          <w:color w:val="auto"/>
          <w:szCs w:val="22"/>
        </w:rPr>
        <w:t xml:space="preserve"> </w:t>
      </w:r>
      <w:r w:rsidR="00967FD3" w:rsidRPr="00C07E8E">
        <w:rPr>
          <w:rFonts w:cs="Times New Roman"/>
          <w:color w:val="auto"/>
          <w:szCs w:val="22"/>
        </w:rPr>
        <w:t>Despite this, the efficacy observed was less than expected by the investigators</w:t>
      </w:r>
      <w:r w:rsidR="00713333">
        <w:rPr>
          <w:rFonts w:cs="Times New Roman"/>
          <w:color w:val="auto"/>
          <w:szCs w:val="22"/>
        </w:rPr>
        <w:t>,</w:t>
      </w:r>
      <w:r w:rsidR="008A03DF" w:rsidRPr="00C07E8E">
        <w:rPr>
          <w:rFonts w:cs="Times New Roman"/>
          <w:color w:val="auto"/>
          <w:szCs w:val="22"/>
        </w:rPr>
        <w:t xml:space="preserve"> attributed to inadequate storage of the </w:t>
      </w:r>
      <w:r w:rsidR="0029040F" w:rsidRPr="00C07E8E">
        <w:rPr>
          <w:rFonts w:cs="Times New Roman"/>
          <w:color w:val="auto"/>
          <w:szCs w:val="22"/>
        </w:rPr>
        <w:t>A</w:t>
      </w:r>
      <w:r w:rsidR="008A03DF" w:rsidRPr="00C07E8E">
        <w:rPr>
          <w:rFonts w:cs="Times New Roman"/>
          <w:color w:val="auto"/>
          <w:szCs w:val="22"/>
        </w:rPr>
        <w:t>rteflene suspension</w:t>
      </w:r>
      <w:r w:rsidR="00601B2A" w:rsidRPr="00C07E8E">
        <w:rPr>
          <w:rFonts w:cs="Times New Roman"/>
          <w:color w:val="auto"/>
          <w:szCs w:val="22"/>
        </w:rPr>
        <w:t xml:space="preserve">. </w:t>
      </w:r>
      <w:r w:rsidR="00601B2A" w:rsidRPr="00C07E8E">
        <w:rPr>
          <w:rFonts w:cs="Times New Roman"/>
          <w:color w:val="auto"/>
          <w:szCs w:val="22"/>
        </w:rPr>
        <w:fldChar w:fldCharType="begin" w:fldLock="1"/>
      </w:r>
      <w:r w:rsidR="00CA5C6A">
        <w:rPr>
          <w:rFonts w:cs="Times New Roman"/>
          <w:color w:val="auto"/>
          <w:szCs w:val="22"/>
        </w:rPr>
        <w:instrText>ADDIN CSL_CITATION {"citationItems":[{"id":"ITEM-1","itemData":{"ISSN":"01772392","abstract":"An open, non-comparative clinical trial was carried out in Nigeria and Burkina Faso to investigate the safety and efficacy of the novel antimalarial arteflene in patients with mild malaria. Patients were males aged 12 to 16 years, with a Plasmodium falciparum count of 104 to 105 parasites/μl and a body temperature of 37.5 to 38.5°C. Twenty-three patients received a single dose of Ro 42-1611 (arteflene), corresponding to 25 ± 2.5 mg/kg bodyweight. Nineteen patients were evaluable for standard efficacy. Efficacy was assessed at 6, 9,12, 24, 36, 48 and 72 hours, and at seven days, by: reduction in parasitaemia and time to parasite clearance; resolution of fever; and clinical cure (defined as the absence of signs and symptoms of malaria). Adverse events were reported at each assessment point, and laboratory tests were carried out at baseline and at 2 and 7 days. The parasite count was reduced by 50% or more in 89.5% of patients after 48 hours, and 52.6% were completely free of parasites at the same time. Normal temperature was achieved in 89.5% of patients and clinical cure in 75%, after 48 hours. One patient reported mild vertigo and mild pruritus. The lower than expected effect was thought to be due to inadequate storage of the arteflene suspension. There were no withdrawals due to adverse events and no deaths. A single dose of 25 mg/kg arteflene was found to be an effective and well-tolerated treatment for mild P. falciparum malaria.","author":[{"dropping-particle":"","family":"Salako","given":"L. A.","non-dropping-particle":"","parse-names":false,"suffix":""},{"dropping-particle":"","family":"Guiguemde","given":"R.","non-dropping-particle":"","parse-names":false,"suffix":""},{"dropping-particle":"","family":"Mittelholzer","given":"M. L.","non-dropping-particle":"","parse-names":false,"suffix":""},{"dropping-particle":"","family":"Haller","given":"L.","non-dropping-particle":"","parse-names":false,"suffix":""},{"dropping-particle":"","family":"Sorenson","given":"F.","non-dropping-particle":"","parse-names":false,"suffix":""},{"dropping-particle":"","family":"Sturchler","given":"D.","non-dropping-particle":"","parse-names":false,"suffix":""}],"container-title":"Tropical Medicine and Parasitology","id":"ITEM-1","issued":{"date-parts":[["1994"]]},"title":"Ro42-1611 in the treatment of patients with mild malaria: A clinical trial in Nigeria and Burkina Faso","type":"paper-conference"},"uris":["http://www.mendeley.com/documents/?uuid=c7bbe8ef-96f1-4d3e-8390-5129d0635daa"]}],"mendeley":{"formattedCitation":"&lt;sup&gt;78&lt;/sup&gt;","plainTextFormattedCitation":"78","previouslyFormattedCitation":"&lt;sup&gt;78&lt;/sup&gt;"},"properties":{"noteIndex":0},"schema":"https://github.com/citation-style-language/schema/raw/master/csl-citation.json"}</w:instrText>
      </w:r>
      <w:r w:rsidR="00601B2A" w:rsidRPr="00C07E8E">
        <w:rPr>
          <w:rFonts w:cs="Times New Roman"/>
          <w:color w:val="auto"/>
          <w:szCs w:val="22"/>
        </w:rPr>
        <w:fldChar w:fldCharType="separate"/>
      </w:r>
      <w:r w:rsidR="007125A3" w:rsidRPr="007125A3">
        <w:rPr>
          <w:rFonts w:cs="Times New Roman"/>
          <w:noProof/>
          <w:color w:val="auto"/>
          <w:szCs w:val="22"/>
          <w:vertAlign w:val="superscript"/>
        </w:rPr>
        <w:t>78</w:t>
      </w:r>
      <w:r w:rsidR="00601B2A" w:rsidRPr="00C07E8E">
        <w:rPr>
          <w:rFonts w:cs="Times New Roman"/>
          <w:color w:val="auto"/>
          <w:szCs w:val="22"/>
        </w:rPr>
        <w:fldChar w:fldCharType="end"/>
      </w:r>
    </w:p>
    <w:p w14:paraId="0E142A92" w14:textId="5C109AC7" w:rsidR="004C0641" w:rsidRDefault="00C07E8E" w:rsidP="00532D1D">
      <w:pPr>
        <w:ind w:firstLine="720"/>
        <w:rPr>
          <w:rFonts w:cs="Times New Roman"/>
          <w:color w:val="auto"/>
          <w:szCs w:val="22"/>
        </w:rPr>
      </w:pPr>
      <w:r w:rsidRPr="00C07E8E">
        <w:rPr>
          <w:rFonts w:cs="Times New Roman"/>
          <w:color w:val="auto"/>
          <w:szCs w:val="22"/>
        </w:rPr>
        <w:t xml:space="preserve">Trials in Cameroon investigated </w:t>
      </w:r>
      <w:r w:rsidR="00FC260D" w:rsidRPr="00C07E8E">
        <w:rPr>
          <w:rFonts w:cs="Times New Roman"/>
          <w:color w:val="auto"/>
          <w:szCs w:val="22"/>
        </w:rPr>
        <w:t xml:space="preserve">clinical efficacy </w:t>
      </w:r>
      <w:r w:rsidR="00A96F44" w:rsidRPr="00C07E8E">
        <w:rPr>
          <w:rFonts w:cs="Times New Roman"/>
          <w:color w:val="auto"/>
          <w:szCs w:val="22"/>
        </w:rPr>
        <w:t xml:space="preserve">of 25 mg/kg </w:t>
      </w:r>
      <w:r w:rsidR="00433189" w:rsidRPr="00C07E8E">
        <w:rPr>
          <w:rFonts w:cs="Times New Roman"/>
          <w:color w:val="auto"/>
          <w:szCs w:val="22"/>
        </w:rPr>
        <w:t xml:space="preserve">Arteflene </w:t>
      </w:r>
      <w:r w:rsidR="00FC260D" w:rsidRPr="00C07E8E">
        <w:rPr>
          <w:rFonts w:cs="Times New Roman"/>
          <w:color w:val="auto"/>
          <w:szCs w:val="22"/>
        </w:rPr>
        <w:t xml:space="preserve">in a cohort of </w:t>
      </w:r>
      <w:r w:rsidR="00C4105B" w:rsidRPr="00C07E8E">
        <w:rPr>
          <w:rFonts w:cs="Times New Roman"/>
          <w:color w:val="auto"/>
          <w:szCs w:val="22"/>
        </w:rPr>
        <w:t xml:space="preserve">30 </w:t>
      </w:r>
      <w:r w:rsidR="00FC260D" w:rsidRPr="00C07E8E">
        <w:rPr>
          <w:rFonts w:cs="Times New Roman"/>
          <w:color w:val="auto"/>
          <w:szCs w:val="22"/>
        </w:rPr>
        <w:t xml:space="preserve">patients </w:t>
      </w:r>
      <w:r w:rsidR="009E7722" w:rsidRPr="00C07E8E">
        <w:rPr>
          <w:rFonts w:cs="Times New Roman"/>
          <w:color w:val="auto"/>
          <w:szCs w:val="22"/>
        </w:rPr>
        <w:t>aged 12 to 42 years</w:t>
      </w:r>
      <w:r w:rsidR="00FC260D" w:rsidRPr="00C07E8E">
        <w:rPr>
          <w:rFonts w:cs="Times New Roman"/>
          <w:color w:val="auto"/>
          <w:szCs w:val="22"/>
        </w:rPr>
        <w:t xml:space="preserve"> </w:t>
      </w:r>
      <w:r w:rsidR="009E7722" w:rsidRPr="00C07E8E">
        <w:rPr>
          <w:rFonts w:cs="Times New Roman"/>
          <w:color w:val="auto"/>
          <w:szCs w:val="22"/>
        </w:rPr>
        <w:t xml:space="preserve">with an initial </w:t>
      </w:r>
      <w:r w:rsidR="009E7722" w:rsidRPr="00C07E8E">
        <w:rPr>
          <w:rFonts w:cs="Times New Roman"/>
          <w:i/>
          <w:iCs/>
          <w:color w:val="auto"/>
          <w:szCs w:val="22"/>
        </w:rPr>
        <w:t xml:space="preserve">P. falciparum </w:t>
      </w:r>
      <w:r w:rsidR="009E7722" w:rsidRPr="00C07E8E">
        <w:rPr>
          <w:rFonts w:cs="Times New Roman"/>
          <w:color w:val="auto"/>
          <w:szCs w:val="22"/>
        </w:rPr>
        <w:t>count of &gt;5000</w:t>
      </w:r>
      <w:r w:rsidR="00C4105B" w:rsidRPr="00C07E8E">
        <w:rPr>
          <w:rFonts w:cs="Times New Roman"/>
          <w:color w:val="auto"/>
          <w:szCs w:val="22"/>
        </w:rPr>
        <w:t xml:space="preserve"> parasites per microlitre.</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{"citationItems":[{"id":"ITEM-1","itemData":{"ISSN":"01772392","PMID":"7899806","abstract":"The novel antimalarial Ro 42-1611 (arteflene) was evaluated for safety and efficacy in an open, non-comparative study of patients with mild malaria in the south of Cameroon. Thirty male patients aged 12 to 42 years, with an initial Plasmodium falciparum count of &gt;5000 (mean: 21,406) parasites/μl and a body temperature of 37.7% to 39.8°C, were selected to receive a single dose of arteflene, corresponding to 25 ± 2.5 mg /kg bodyweight. Efficacy was assessed at 6, 9,12, 24, 36, 48 and 72 hours, and at seven days by: reduction in parasitaemia and time to parasite clearance; resolution of fever and clinical cure (defined as the absence of signs and symptoms of malaria). Adverse events were reported at baseline and at each assessment point, and laboratory tests were carried out at 2 and 7 days. The mean number of parasites/μl fell from 21,406 at baseline to 157 after 48 hours, at which point 80% of patients were completely free of parasites. Mean body temperature was reduced from 38.9°C at baseline to 37.3°C 12 hours after arteflene administration, and by this time 80% of patients had a normal temperature. Clinical cure rates were also high, with 70% of patients free of all signs and symptoms after 24 hours. However, by day 7, 6/30 (20%) presented with smears positive for P. falciparum. There were no adverse events considered to be related to treatment. A single dose of 25 mg/kg arteflene was found to be an effective and well-tolerated treatment for mild P. falciparum malaria.","author":[{"dropping-particle":"","family":"Somo-Moyou","given":"R.","non-dropping-particle":"","parse-names":false,"suffix":""},{"dropping-particle":"","family":"Mittelholzer","given":"M. L.","non-dropping-particle":"","parse-names":false,"suffix":""},{"dropping-particle":"","family":"Sorenson","given":"F.","non-dropping-particle":"","parse-names":false,"suffix":""},{"dropping-particle":"","family":"Haller","given":"L.","non-dropping-particle":"","parse-names":false,"suffix":""},{"dropping-particle":"","family":"Sturchler","given":"D.","non-dropping-particle":"","parse-names":false,"suffix":""}],"container-title":"Tropical Medicine and Parasitology","id":"ITEM-1","issue":"3","issued":{"date-parts":[["1994"]]},"page":"288-291","title":"Efficacy of Ro42-1611 (arteflene) in the treatment of patients with mild malaria: A clinical trial in Cameroon","type":"article-journal","volume":"45"},"uris":["http://www.mendeley.com/documents/?uuid=f8d8aa8c-1d14-45f0-b4fa-6bc4f694b7ee"]}],"mendeley":{"formattedCitation":"&lt;sup&gt;77&lt;/sup&gt;","plainTextFormattedCitation":"77","previouslyFormattedCitation":"&lt;sup&gt;77&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77</w:t>
      </w:r>
      <w:r w:rsidR="00D71C99" w:rsidRPr="00C07E8E">
        <w:rPr>
          <w:rFonts w:cs="Times New Roman"/>
          <w:color w:val="auto"/>
          <w:szCs w:val="22"/>
        </w:rPr>
        <w:fldChar w:fldCharType="end"/>
      </w:r>
      <w:r w:rsidR="00D71C99" w:rsidRPr="00C07E8E">
        <w:rPr>
          <w:rFonts w:cs="Times New Roman"/>
          <w:color w:val="auto"/>
          <w:szCs w:val="22"/>
        </w:rPr>
        <w:t xml:space="preserve"> </w:t>
      </w:r>
      <w:r w:rsidR="00074AF3" w:rsidRPr="00C07E8E">
        <w:rPr>
          <w:rFonts w:cs="Times New Roman"/>
          <w:color w:val="auto"/>
          <w:szCs w:val="22"/>
        </w:rPr>
        <w:t>Mean</w:t>
      </w:r>
      <w:r w:rsidR="004B1B8E" w:rsidRPr="00C07E8E">
        <w:rPr>
          <w:rFonts w:cs="Times New Roman"/>
          <w:color w:val="auto"/>
          <w:szCs w:val="22"/>
        </w:rPr>
        <w:t xml:space="preserve"> parasite count </w:t>
      </w:r>
      <w:r w:rsidR="00D272A4" w:rsidRPr="00C07E8E">
        <w:rPr>
          <w:rFonts w:cs="Times New Roman"/>
          <w:color w:val="auto"/>
          <w:szCs w:val="22"/>
        </w:rPr>
        <w:t xml:space="preserve">was observed to fall from 21,406 to 157 after 48 hours </w:t>
      </w:r>
      <w:r w:rsidR="00D139B4" w:rsidRPr="00C07E8E">
        <w:rPr>
          <w:rFonts w:cs="Times New Roman"/>
          <w:color w:val="auto"/>
          <w:szCs w:val="22"/>
        </w:rPr>
        <w:t>with 80 % of patients completely free of parasites</w:t>
      </w:r>
      <w:r w:rsidR="007203AD" w:rsidRPr="00C07E8E">
        <w:rPr>
          <w:rFonts w:cs="Times New Roman"/>
          <w:color w:val="auto"/>
          <w:szCs w:val="22"/>
        </w:rPr>
        <w:t xml:space="preserve">. Similarly, clinical cure </w:t>
      </w:r>
      <w:r w:rsidR="00E90931" w:rsidRPr="00C07E8E">
        <w:rPr>
          <w:rFonts w:cs="Times New Roman"/>
          <w:color w:val="auto"/>
          <w:szCs w:val="22"/>
        </w:rPr>
        <w:t>was observed in 70 % of patients</w:t>
      </w:r>
      <w:r w:rsidR="00D71C99" w:rsidRPr="00C07E8E">
        <w:rPr>
          <w:rFonts w:cs="Times New Roman"/>
          <w:color w:val="auto"/>
          <w:szCs w:val="22"/>
        </w:rPr>
        <w:t xml:space="preserve">. </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{"citationItems":[{"id":"ITEM-1","itemData":{"ISSN":"01772392","PMID":"7899806","abstract":"The novel antimalarial Ro 42-1611 (arteflene) was evaluated for safety and efficacy in an open, non-comparative study of patients with mild malaria in the south of Cameroon. Thirty male patients aged 12 to 42 years, with an initial Plasmodium falciparum count of &gt;5000 (mean: 21,406) parasites/μl and a body temperature of 37.7% to 39.8°C, were selected to receive a single dose of arteflene, corresponding to 25 ± 2.5 mg /kg bodyweight. Efficacy was assessed at 6, 9,12, 24, 36, 48 and 72 hours, and at seven days by: reduction in parasitaemia and time to parasite clearance; resolution of fever and clinical cure (defined as the absence of signs and symptoms of malaria). Adverse events were reported at baseline and at each assessment point, and laboratory tests were carried out at 2 and 7 days. The mean number of parasites/μl fell from 21,406 at baseline to 157 after 48 hours, at which point 80% of patients were completely free of parasites. Mean body temperature was reduced from 38.9°C at baseline to 37.3°C 12 hours after arteflene administration, and by this time 80% of patients had a normal temperature. Clinical cure rates were also high, with 70% of patients free of all signs and symptoms after 24 hours. However, by day 7, 6/30 (20%) presented with smears positive for P. falciparum. There were no adverse events considered to be related to treatment. A single dose of 25 mg/kg arteflene was found to be an effective and well-tolerated treatment for mild P. falciparum malaria.","author":[{"dropping-particle":"","family":"Somo-Moyou","given":"R.","non-dropping-particle":"","parse-names":false,"suffix":""},{"dropping-particle":"","family":"Mittelholzer","given":"M. L.","non-dropping-particle":"","parse-names":false,"suffix":""},{"dropping-particle":"","family":"Sorenson","given":"F.","non-dropping-particle":"","parse-names":false,"suffix":""},{"dropping-particle":"","family":"Haller","given":"L.","non-dropping-particle":"","parse-names":false,"suffix":""},{"dropping-particle":"","family":"Sturchler","given":"D.","non-dropping-particle":"","parse-names":false,"suffix":""}],"container-title":"Tropical Medicine and Parasitology","id":"ITEM-1","issue":"3","issued":{"date-parts":[["1994"]]},"page":"288-291","title":"Efficacy of Ro42-1611 (arteflene) in the treatment of patients with mild malaria: A clinical trial in Cameroon","type":"article-journal","volume":"45"},"uris":["http://www.mendeley.com/documents/?uuid=f8d8aa8c-1d14-45f0-b4fa-6bc4f694b7ee"]}],"mendeley":{"formattedCitation":"&lt;sup&gt;77&lt;/sup&gt;","plainTextFormattedCitation":"77","previouslyFormattedCitation":"&lt;sup&gt;77&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77</w:t>
      </w:r>
      <w:r w:rsidR="00D71C99" w:rsidRPr="00C07E8E">
        <w:rPr>
          <w:rFonts w:cs="Times New Roman"/>
          <w:color w:val="auto"/>
          <w:szCs w:val="22"/>
        </w:rPr>
        <w:fldChar w:fldCharType="end"/>
      </w:r>
      <w:r w:rsidR="00D71C99" w:rsidRPr="00C07E8E">
        <w:rPr>
          <w:rFonts w:cs="Times New Roman"/>
          <w:color w:val="auto"/>
          <w:szCs w:val="22"/>
        </w:rPr>
        <w:t xml:space="preserve"> </w:t>
      </w:r>
      <w:r w:rsidR="009964F8" w:rsidRPr="00C07E8E">
        <w:rPr>
          <w:rFonts w:cs="Times New Roman"/>
          <w:color w:val="auto"/>
          <w:szCs w:val="22"/>
        </w:rPr>
        <w:t xml:space="preserve">In contrast to the high clinical cure rate, </w:t>
      </w:r>
      <w:r w:rsidR="0020447C" w:rsidRPr="00C07E8E">
        <w:rPr>
          <w:rFonts w:cs="Times New Roman"/>
          <w:color w:val="auto"/>
          <w:szCs w:val="22"/>
        </w:rPr>
        <w:t xml:space="preserve">20 % of patients were found to be smear positive for </w:t>
      </w:r>
      <w:r w:rsidR="001C3DA0" w:rsidRPr="00C07E8E">
        <w:rPr>
          <w:rFonts w:cs="Times New Roman"/>
          <w:i/>
          <w:iCs/>
          <w:color w:val="auto"/>
          <w:szCs w:val="22"/>
        </w:rPr>
        <w:t>P. falciparum</w:t>
      </w:r>
      <w:r w:rsidR="00713333">
        <w:rPr>
          <w:rFonts w:cs="Times New Roman"/>
          <w:color w:val="auto"/>
          <w:szCs w:val="22"/>
        </w:rPr>
        <w:t>,</w:t>
      </w:r>
      <w:r w:rsidR="001C3DA0" w:rsidRPr="00C07E8E">
        <w:rPr>
          <w:rFonts w:cs="Times New Roman"/>
          <w:i/>
          <w:iCs/>
          <w:color w:val="auto"/>
          <w:szCs w:val="22"/>
        </w:rPr>
        <w:t xml:space="preserve"> </w:t>
      </w:r>
      <w:r w:rsidR="00433189" w:rsidRPr="00C07E8E">
        <w:rPr>
          <w:rFonts w:cs="Times New Roman"/>
          <w:color w:val="auto"/>
          <w:szCs w:val="22"/>
        </w:rPr>
        <w:t xml:space="preserve">casting doubt on whether single dose 25 mg/kg Arteflene is </w:t>
      </w:r>
      <w:r w:rsidR="00E43342" w:rsidRPr="00C07E8E">
        <w:rPr>
          <w:rFonts w:cs="Times New Roman"/>
          <w:color w:val="auto"/>
          <w:szCs w:val="22"/>
        </w:rPr>
        <w:t xml:space="preserve">an effective treatment for </w:t>
      </w:r>
      <w:r w:rsidR="00E43342" w:rsidRPr="00C07E8E">
        <w:rPr>
          <w:rFonts w:cs="Times New Roman"/>
          <w:i/>
          <w:iCs/>
          <w:color w:val="auto"/>
          <w:szCs w:val="22"/>
        </w:rPr>
        <w:t xml:space="preserve">P. falciparum </w:t>
      </w:r>
      <w:r w:rsidR="00E43342" w:rsidRPr="00C07E8E">
        <w:rPr>
          <w:rFonts w:cs="Times New Roman"/>
          <w:color w:val="auto"/>
          <w:szCs w:val="22"/>
        </w:rPr>
        <w:t>malaria.</w:t>
      </w:r>
      <w:r w:rsidR="00D71C99" w:rsidRPr="00C07E8E">
        <w:rPr>
          <w:rFonts w:cs="Times New Roman"/>
          <w:color w:val="auto"/>
          <w:szCs w:val="22"/>
        </w:rPr>
        <w:t xml:space="preserve"> </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{"citationItems":[{"id":"ITEM-1","itemData":{"ISSN":"01772392","PMID":"7899806","abstract":"The novel antimalarial Ro 42-1611 (arteflene) was evaluated for safety and efficacy in an open, non-comparative study of patients with mild malaria in the south of Cameroon. Thirty male patients aged 12 to 42 years, with an initial Plasmodium falciparum count of &gt;5000 (mean: 21,406) parasites/μl and a body temperature of 37.7% to 39.8°C, were selected to receive a single dose of arteflene, corresponding to 25 ± 2.5 mg /kg bodyweight. Efficacy was assessed at 6, 9,12, 24, 36, 48 and 72 hours, and at seven days by: reduction in parasitaemia and time to parasite clearance; resolution of fever and clinical cure (defined as the absence of signs and symptoms of malaria). Adverse events were reported at baseline and at each assessment point, and laboratory tests were carried out at 2 and 7 days. The mean number of parasites/μl fell from 21,406 at baseline to 157 after 48 hours, at which point 80% of patients were completely free of parasites. Mean body temperature was reduced from 38.9°C at baseline to 37.3°C 12 hours after arteflene administration, and by this time 80% of patients had a normal temperature. Clinical cure rates were also high, with 70% of patients free of all signs and symptoms after 24 hours. However, by day 7, 6/30 (20%) presented with smears positive for P. falciparum. There were no adverse events considered to be related to treatment. A single dose of 25 mg/kg arteflene was found to be an effective and well-tolerated treatment for mild P. falciparum malaria.","author":[{"dropping-particle":"","family":"Somo-Moyou","given":"R.","non-dropping-particle":"","parse-names":false,"suffix":""},{"dropping-particle":"","family":"Mittelholzer","given":"M. L.","non-dropping-particle":"","parse-names":false,"suffix":""},{"dropping-particle":"","family":"Sorenson","given":"F.","non-dropping-particle":"","parse-names":false,"suffix":""},{"dropping-particle":"","family":"Haller","given":"L.","non-dropping-particle":"","parse-names":false,"suffix":""},{"dropping-particle":"","family":"Sturchler","given":"D.","non-dropping-particle":"","parse-names":false,"suffix":""}],"container-title":"Tropical Medicine and Parasitology","id":"ITEM-1","issue":"3","issued":{"date-parts":[["1994"]]},"page":"288-291","title":"Efficacy of Ro42-1611 (arteflene) in the treatment of patients with mild malaria: A clinical trial in Cameroon","type":"article-journal","volume":"45"},"uris":["http://www.mendeley.com/documents/?uuid=f8d8aa8c-1d14-45f0-b4fa-6bc4f694b7ee"]}],"mendeley":{"formattedCitation":"&lt;sup&gt;77&lt;/sup&gt;","plainTextFormattedCitation":"77","previouslyFormattedCitation":"&lt;sup&gt;77&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77</w:t>
      </w:r>
      <w:r w:rsidR="00D71C99" w:rsidRPr="00C07E8E">
        <w:rPr>
          <w:rFonts w:cs="Times New Roman"/>
          <w:color w:val="auto"/>
          <w:szCs w:val="22"/>
        </w:rPr>
        <w:fldChar w:fldCharType="end"/>
      </w:r>
      <w:r w:rsidR="00D71C99" w:rsidRPr="00C07E8E">
        <w:rPr>
          <w:rFonts w:cs="Times New Roman"/>
          <w:color w:val="auto"/>
          <w:szCs w:val="22"/>
        </w:rPr>
        <w:t xml:space="preserve"> </w:t>
      </w:r>
      <w:r w:rsidR="009D0FC3" w:rsidRPr="00C07E8E">
        <w:rPr>
          <w:rFonts w:cs="Times New Roman"/>
          <w:color w:val="auto"/>
          <w:szCs w:val="22"/>
        </w:rPr>
        <w:t xml:space="preserve"> Further to this, </w:t>
      </w:r>
      <w:r w:rsidR="00B5320B" w:rsidRPr="00C07E8E">
        <w:rPr>
          <w:rFonts w:cs="Times New Roman"/>
          <w:color w:val="auto"/>
          <w:szCs w:val="22"/>
        </w:rPr>
        <w:t xml:space="preserve">25 mg/kg </w:t>
      </w:r>
      <w:r w:rsidR="00153984" w:rsidRPr="00C07E8E">
        <w:rPr>
          <w:rFonts w:cs="Times New Roman"/>
          <w:color w:val="auto"/>
          <w:szCs w:val="22"/>
        </w:rPr>
        <w:t>Arteflene</w:t>
      </w:r>
      <w:r w:rsidR="001E5918" w:rsidRPr="00C07E8E">
        <w:rPr>
          <w:rFonts w:cs="Times New Roman"/>
          <w:color w:val="auto"/>
          <w:szCs w:val="22"/>
        </w:rPr>
        <w:t xml:space="preserve"> was </w:t>
      </w:r>
      <w:r w:rsidR="00153984" w:rsidRPr="00C07E8E">
        <w:rPr>
          <w:rFonts w:cs="Times New Roman"/>
          <w:color w:val="auto"/>
          <w:szCs w:val="22"/>
        </w:rPr>
        <w:t xml:space="preserve">investigated in comparison </w:t>
      </w:r>
      <w:r w:rsidR="00886A05" w:rsidRPr="00C07E8E">
        <w:rPr>
          <w:rFonts w:cs="Times New Roman"/>
          <w:color w:val="auto"/>
          <w:szCs w:val="22"/>
        </w:rPr>
        <w:t xml:space="preserve">to 15 mg/kg </w:t>
      </w:r>
      <w:r w:rsidR="00153984" w:rsidRPr="00C07E8E">
        <w:rPr>
          <w:rFonts w:cs="Times New Roman"/>
          <w:color w:val="auto"/>
          <w:szCs w:val="22"/>
        </w:rPr>
        <w:t xml:space="preserve">Mefloquine in the treatment of </w:t>
      </w:r>
      <w:r w:rsidR="00153984" w:rsidRPr="00C07E8E">
        <w:rPr>
          <w:rFonts w:cs="Times New Roman"/>
          <w:i/>
          <w:iCs/>
          <w:color w:val="auto"/>
          <w:szCs w:val="22"/>
        </w:rPr>
        <w:t xml:space="preserve">P. falciparum </w:t>
      </w:r>
      <w:r w:rsidR="00153984" w:rsidRPr="00C07E8E">
        <w:rPr>
          <w:rFonts w:cs="Times New Roman"/>
          <w:color w:val="auto"/>
          <w:szCs w:val="22"/>
        </w:rPr>
        <w:t>malaria in children</w:t>
      </w:r>
      <w:r w:rsidR="00B5320B" w:rsidRPr="00C07E8E">
        <w:rPr>
          <w:rFonts w:cs="Times New Roman"/>
          <w:color w:val="auto"/>
          <w:szCs w:val="22"/>
        </w:rPr>
        <w:t>.</w:t>
      </w:r>
      <w:r w:rsidR="00886A05" w:rsidRPr="00C07E8E">
        <w:rPr>
          <w:rFonts w:cs="Times New Roman"/>
          <w:color w:val="auto"/>
          <w:szCs w:val="22"/>
        </w:rPr>
        <w:t xml:space="preserve"> </w:t>
      </w:r>
      <w:r w:rsidR="00C11D79" w:rsidRPr="00C07E8E">
        <w:rPr>
          <w:rFonts w:cs="Times New Roman"/>
          <w:color w:val="auto"/>
          <w:szCs w:val="22"/>
        </w:rPr>
        <w:t xml:space="preserve">High grade resistance was observed in </w:t>
      </w:r>
      <w:r w:rsidR="00726A62" w:rsidRPr="00C07E8E">
        <w:rPr>
          <w:rFonts w:cs="Times New Roman"/>
          <w:color w:val="auto"/>
          <w:szCs w:val="22"/>
        </w:rPr>
        <w:t xml:space="preserve">40 % of the arteflene cohort while no </w:t>
      </w:r>
      <w:r w:rsidR="00074AF3" w:rsidRPr="00C07E8E">
        <w:rPr>
          <w:rFonts w:cs="Times New Roman"/>
          <w:color w:val="auto"/>
          <w:szCs w:val="22"/>
        </w:rPr>
        <w:t>high-grade</w:t>
      </w:r>
      <w:r w:rsidR="00726A62" w:rsidRPr="00C07E8E">
        <w:rPr>
          <w:rFonts w:cs="Times New Roman"/>
          <w:color w:val="auto"/>
          <w:szCs w:val="22"/>
        </w:rPr>
        <w:t xml:space="preserve"> resistance was observed in the mefloquine treated cohor</w:t>
      </w:r>
      <w:r w:rsidR="00F5188C" w:rsidRPr="00C07E8E">
        <w:rPr>
          <w:rFonts w:cs="Times New Roman"/>
          <w:color w:val="auto"/>
          <w:szCs w:val="22"/>
        </w:rPr>
        <w:t>t</w:t>
      </w:r>
      <w:r w:rsidR="004804C0">
        <w:rPr>
          <w:rFonts w:cs="Times New Roman"/>
          <w:color w:val="auto"/>
          <w:szCs w:val="22"/>
        </w:rPr>
        <w:t>,</w:t>
      </w:r>
      <w:r w:rsidR="00F5188C" w:rsidRPr="00C07E8E">
        <w:rPr>
          <w:rFonts w:cs="Times New Roman"/>
          <w:color w:val="auto"/>
          <w:szCs w:val="22"/>
        </w:rPr>
        <w:t xml:space="preserve"> adding further weight to the argument against 25 mg/kg Arteflene monotherapy.</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{"citationItems":[{"id":"ITEM-1","itemData":{"DOI":"10.4269/ajtmh.1996.55.259","ISSN":"00029637","PMID":"8842111","abstract":"Arteflene is a synthetic peroxide recently developed from an indication of antimalarial activity found in the Chinese plant Artabotrys uncinatus. The new antimalarial was compared against mefloquine in a phase 3, open-labeled, randomized trial in children with uncomplicated Plasmodium falciparum malaria in Gabon. Patients received single oral doses of either 25 mg/kg of arteflene suspension or 15 mg/kg of mefloquine tablets. High-grade (RII and RIII) resistance was observed in eight (40%) of the 20 patients receiving the single dose of arteflene, but in none of the 21 mefloquine-treated patients (P &lt; 0.005). At day 28, only one patient in the arteflene group, compared with all 21 patients in the mefloquine group, was cured (P &lt; 0.001). Arteflene cleared fever slightly but not significantly faster than mefloquine and the 50% and 90% parasite clearance times were comparable in both treatment groups. In vitro results in the arteflene group suggest an increase of arteflene resistance when comparing sensitivity of paired parasite isolates before treatment and at recrudescence. Both treatment regimens were well-tolerated. In conclusion, single dose monotherapy with arteflene was not effective in curing children suffering from uncomplicated P. falciparum malaria in Gabon, while mefloquine proved to be highly effective for this purpose.","author":[{"dropping-particle":"","family":"Radloff","given":"Paul D.","non-dropping-particle":"","parse-names":false,"suffix":""},{"dropping-particle":"","family":"Philipps","given":"Jorg","non-dropping-particle":"","parse-names":false,"suffix":""},{"dropping-particle":"","family":"Nkeyi","given":"Marcel","non-dropping-particle":"","parse-names":false,"suffix":""},{"dropping-particle":"","family":"Sturchler","given":"Dieter","non-dropping-particle":"","parse-names":false,"suffix":""},{"dropping-particle":"","family":"Mittelholzer","given":"Marie Luise","non-dropping-particle":"","parse-names":false,"suffix":""},{"dropping-particle":"","family":"Kremsner","given":"Peter G.","non-dropping-particle":"","parse-names":false,"suffix":""}],"container-title":"American Journal of Tropical Medicine and Hygiene","id":"ITEM-1","issue":"3","issued":{"date-parts":[["1996"]]},"page":"259-262","title":"Arteflene compared with mefloquine for treating Plasmodium falciparum malaria in children","type":"article-journal","volume":"55"},"uris":["http://www.mendeley.com/documents/?uuid=d93572c0-8139-4274-a0ed-96c9b9ac5cf2","http://www.mendeley.com/documents/?uuid=943bf8c8-3387-4221-9252-ea9686270629"]}],"mendeley":{"formattedCitation":"&lt;sup&gt;79&lt;/sup&gt;","plainTextFormattedCitation":"79","previouslyFormattedCitation":"&lt;sup&gt;79&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79</w:t>
      </w:r>
      <w:r w:rsidR="00D71C99" w:rsidRPr="00C07E8E">
        <w:rPr>
          <w:rFonts w:cs="Times New Roman"/>
          <w:color w:val="auto"/>
          <w:szCs w:val="22"/>
        </w:rPr>
        <w:fldChar w:fldCharType="end"/>
      </w:r>
      <w:r w:rsidR="003841A6">
        <w:rPr>
          <w:rFonts w:cs="Times New Roman"/>
          <w:color w:val="auto"/>
          <w:szCs w:val="22"/>
        </w:rPr>
        <w:t xml:space="preserve"> </w:t>
      </w:r>
      <w:r w:rsidR="00EA5480">
        <w:rPr>
          <w:rFonts w:cs="Times New Roman"/>
          <w:color w:val="auto"/>
          <w:szCs w:val="22"/>
        </w:rPr>
        <w:t>Following clinical trials, Arteflene has not been developed further –</w:t>
      </w:r>
      <w:r w:rsidR="00380C02">
        <w:rPr>
          <w:rFonts w:cs="Times New Roman"/>
          <w:color w:val="auto"/>
          <w:szCs w:val="22"/>
        </w:rPr>
        <w:t xml:space="preserve"> this may be due to poorer clinical efficacy in comparison to semi-synthetic ARTs, a relatively high recrudescence rate and high grade resistance observed in clinical trials.</w:t>
      </w:r>
    </w:p>
    <w:p w14:paraId="36B1D6E4" w14:textId="77777777" w:rsidR="000012AA" w:rsidRPr="00C07E8E" w:rsidRDefault="000012AA" w:rsidP="00532D1D">
      <w:pPr>
        <w:ind w:firstLine="720"/>
        <w:rPr>
          <w:rFonts w:cs="Times New Roman"/>
          <w:color w:val="auto"/>
          <w:szCs w:val="22"/>
        </w:rPr>
      </w:pPr>
    </w:p>
    <w:p w14:paraId="5F8DB6FA" w14:textId="240479F6" w:rsidR="00251197" w:rsidRPr="00C07E8E" w:rsidRDefault="00C07E8E" w:rsidP="00532D1D">
      <w:pPr>
        <w:pStyle w:val="Ttulo1"/>
        <w:numPr>
          <w:ilvl w:val="1"/>
          <w:numId w:val="3"/>
        </w:numPr>
        <w:spacing w:before="0"/>
        <w:rPr>
          <w:rFonts w:cs="Times New Roman"/>
          <w:color w:val="auto"/>
          <w:sz w:val="22"/>
          <w:szCs w:val="22"/>
        </w:rPr>
      </w:pPr>
      <w:r w:rsidRPr="00C07E8E">
        <w:rPr>
          <w:rFonts w:cs="Times New Roman"/>
          <w:color w:val="auto"/>
          <w:sz w:val="22"/>
          <w:szCs w:val="22"/>
        </w:rPr>
        <w:t xml:space="preserve">Mechanism of </w:t>
      </w:r>
      <w:r w:rsidR="00C014E2">
        <w:rPr>
          <w:rFonts w:cs="Times New Roman"/>
          <w:color w:val="auto"/>
          <w:sz w:val="22"/>
          <w:szCs w:val="22"/>
        </w:rPr>
        <w:t>Fe(II) Activation and Postulated Parasiticidal Intermediate</w:t>
      </w:r>
    </w:p>
    <w:p w14:paraId="5AB17FF7" w14:textId="14BD2A7A" w:rsidR="00251197" w:rsidRPr="00C07E8E" w:rsidRDefault="00C07E8E" w:rsidP="00532D1D">
      <w:pPr>
        <w:autoSpaceDE w:val="0"/>
        <w:autoSpaceDN w:val="0"/>
        <w:adjustRightInd w:val="0"/>
        <w:rPr>
          <w:rFonts w:cs="Times New Roman"/>
          <w:b/>
          <w:bCs/>
          <w:color w:val="auto"/>
          <w:szCs w:val="22"/>
        </w:rPr>
      </w:pPr>
      <w:r w:rsidRPr="00C07E8E">
        <w:rPr>
          <w:rFonts w:cs="Times New Roman"/>
          <w:b/>
          <w:bCs/>
          <w:i/>
          <w:iCs/>
          <w:color w:val="auto"/>
          <w:szCs w:val="22"/>
        </w:rPr>
        <w:tab/>
      </w:r>
      <w:r w:rsidRPr="00C07E8E">
        <w:rPr>
          <w:rFonts w:cs="Times New Roman"/>
          <w:color w:val="auto"/>
          <w:szCs w:val="22"/>
        </w:rPr>
        <w:t>O’Neil</w:t>
      </w:r>
      <w:r w:rsidR="00D5222D" w:rsidRPr="00C07E8E">
        <w:rPr>
          <w:rFonts w:cs="Times New Roman"/>
          <w:color w:val="auto"/>
          <w:szCs w:val="22"/>
        </w:rPr>
        <w:t>l and coworkers</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{"citationItems":[{"id":"ITEM-1","itemData":{"DOI":"10.1021/jo991585m","ISSN":"00223263","PMID":"10814129","author":[{"dropping-particle":"","family":"O'Neill","given":"Paul M.","non-dropping-particle":"","parse-names":false,"suffix":""},{"dropping-particle":"","family":"Bishop","given":"Laurence P.D.","non-dropping-particle":"","parse-names":false,"suffix":""},{"dropping-particle":"","family":"Searle","given":"Natalie L.","non-dropping-particle":"","parse-names":false,"suffix":""},{"dropping-particle":"","family":"Maggs","given":"James L.","non-dropping-particle":"","parse-names":false,"suffix":""},{"dropping-particle":"","family":"Storr","given":"Richard C.","non-dropping-particle":"","parse-names":false,"suffix":""},{"dropping-particle":"","family":"Ward","given":"Stephen A.","non-dropping-particle":"","parse-names":false,"suffix":""},{"dropping-particle":"","family":"Kevin Park","given":"B.","non-dropping-particle":"","parse-names":false,"suffix":""},{"dropping-particle":"","family":"Mabbs","given":"Frank","non-dropping-particle":"","parse-names":false,"suffix":""}],"container-title":"Journal of Organic Chemistry","id":"ITEM-1","issue":"5","issued":{"date-parts":[["2000"]]},"page":"1578-1582","title":"Biomimetic Fe(II)-mediated degradation of arteflene (Ro-42-1611). The first EPR spin-trapping evidence for the previously postulated secondary carbon-centered cyclohexyl radical","type":"article-journal","volume":"65"},"uris":["http://www.mendeley.com/documents/?uuid=3784a934-c6cd-4009-81dd-0efa51ad6ad1","http://www.mendeley.com/documents/?uuid=6cb0bc6c-755f-40b5-84be-49130b3495df"]}],"mendeley":{"formattedCitation":"&lt;sup&gt;59&lt;/sup&gt;","plainTextFormattedCitation":"59","previouslyFormattedCitation":"&lt;sup&gt;59&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59</w:t>
      </w:r>
      <w:r w:rsidRPr="00C07E8E">
        <w:rPr>
          <w:rFonts w:cs="Times New Roman"/>
          <w:color w:val="auto"/>
          <w:szCs w:val="22"/>
        </w:rPr>
        <w:fldChar w:fldCharType="end"/>
      </w:r>
      <w:r w:rsidRPr="00C07E8E">
        <w:rPr>
          <w:rFonts w:cs="Times New Roman"/>
          <w:color w:val="auto"/>
          <w:szCs w:val="22"/>
        </w:rPr>
        <w:t xml:space="preserve"> have described the mechanism of action of arteflene </w:t>
      </w:r>
      <w:r w:rsidRPr="00C07E8E">
        <w:rPr>
          <w:rFonts w:cs="Times New Roman"/>
          <w:b/>
          <w:bCs/>
          <w:color w:val="auto"/>
          <w:szCs w:val="22"/>
        </w:rPr>
        <w:t>1</w:t>
      </w:r>
      <w:r w:rsidR="00B77582">
        <w:rPr>
          <w:rFonts w:cs="Times New Roman"/>
          <w:b/>
          <w:bCs/>
          <w:color w:val="auto"/>
          <w:szCs w:val="22"/>
        </w:rPr>
        <w:t>7</w:t>
      </w:r>
      <w:r w:rsidRPr="00C07E8E">
        <w:rPr>
          <w:rFonts w:cs="Times New Roman"/>
          <w:color w:val="auto"/>
          <w:szCs w:val="22"/>
        </w:rPr>
        <w:t xml:space="preserve">, through mimetic studies using ferrous chloride, demonstrating that reaction of </w:t>
      </w:r>
      <w:r w:rsidRPr="00C07E8E">
        <w:rPr>
          <w:rFonts w:cs="Times New Roman"/>
          <w:b/>
          <w:bCs/>
          <w:color w:val="auto"/>
          <w:szCs w:val="22"/>
        </w:rPr>
        <w:t>1</w:t>
      </w:r>
      <w:r w:rsidR="00B77582">
        <w:rPr>
          <w:rFonts w:cs="Times New Roman"/>
          <w:b/>
          <w:bCs/>
          <w:color w:val="auto"/>
          <w:szCs w:val="22"/>
        </w:rPr>
        <w:t>7</w:t>
      </w:r>
      <w:r w:rsidR="00520A73" w:rsidRPr="00C07E8E">
        <w:rPr>
          <w:rFonts w:cs="Times New Roman"/>
          <w:b/>
          <w:bCs/>
          <w:color w:val="auto"/>
          <w:szCs w:val="22"/>
        </w:rPr>
        <w:t xml:space="preserve"> </w:t>
      </w:r>
      <w:r w:rsidRPr="00C07E8E">
        <w:rPr>
          <w:rFonts w:cs="Times New Roman"/>
          <w:color w:val="auto"/>
          <w:szCs w:val="22"/>
        </w:rPr>
        <w:t>with FeCl</w:t>
      </w:r>
      <w:r w:rsidRPr="00C07E8E">
        <w:rPr>
          <w:rFonts w:cs="Times New Roman"/>
          <w:color w:val="auto"/>
          <w:szCs w:val="22"/>
          <w:vertAlign w:val="subscript"/>
        </w:rPr>
        <w:t>2</w:t>
      </w:r>
      <w:r w:rsidRPr="00C07E8E">
        <w:rPr>
          <w:rFonts w:cs="Times New Roman"/>
          <w:color w:val="auto"/>
          <w:szCs w:val="22"/>
        </w:rPr>
        <w:t xml:space="preserve"> induces homolytic cleavage of the peroxide bridge (with a single electron donation from ferrous iron) in peroxide oxygen </w:t>
      </w:r>
      <w:r w:rsidRPr="00C07E8E">
        <w:rPr>
          <w:rFonts w:cs="Times New Roman"/>
          <w:b/>
          <w:bCs/>
          <w:color w:val="auto"/>
          <w:szCs w:val="22"/>
        </w:rPr>
        <w:t>O2</w:t>
      </w:r>
      <w:r w:rsidRPr="00C07E8E">
        <w:rPr>
          <w:rFonts w:cs="Times New Roman"/>
          <w:color w:val="auto"/>
          <w:szCs w:val="22"/>
        </w:rPr>
        <w:t xml:space="preserve">, generating an </w:t>
      </w:r>
      <w:r w:rsidRPr="00C07E8E">
        <w:rPr>
          <w:rFonts w:cs="Times New Roman"/>
          <w:i/>
          <w:iCs/>
          <w:color w:val="auto"/>
          <w:szCs w:val="22"/>
        </w:rPr>
        <w:t>O</w:t>
      </w:r>
      <w:r w:rsidRPr="00C07E8E">
        <w:rPr>
          <w:rFonts w:cs="Times New Roman"/>
          <w:color w:val="auto"/>
          <w:szCs w:val="22"/>
        </w:rPr>
        <w:t xml:space="preserve">-centred radical </w:t>
      </w:r>
      <w:r w:rsidR="00520A73" w:rsidRPr="00C07E8E">
        <w:rPr>
          <w:rFonts w:cs="Times New Roman"/>
          <w:b/>
          <w:bCs/>
          <w:color w:val="auto"/>
          <w:szCs w:val="22"/>
        </w:rPr>
        <w:t>2</w:t>
      </w:r>
      <w:r w:rsidR="005168C9">
        <w:rPr>
          <w:rFonts w:cs="Times New Roman"/>
          <w:b/>
          <w:bCs/>
          <w:color w:val="auto"/>
          <w:szCs w:val="22"/>
        </w:rPr>
        <w:t>5</w:t>
      </w:r>
      <w:r w:rsidRPr="00C07E8E">
        <w:rPr>
          <w:rFonts w:cs="Times New Roman"/>
          <w:color w:val="auto"/>
          <w:szCs w:val="22"/>
        </w:rPr>
        <w:t xml:space="preserve">. This intermediate radical then rearranges to provide a stable enone system </w:t>
      </w:r>
      <w:r w:rsidR="00520A73" w:rsidRPr="00C07E8E">
        <w:rPr>
          <w:rFonts w:cs="Times New Roman"/>
          <w:b/>
          <w:bCs/>
          <w:color w:val="auto"/>
          <w:szCs w:val="22"/>
        </w:rPr>
        <w:t>2</w:t>
      </w:r>
      <w:r w:rsidR="005168C9">
        <w:rPr>
          <w:rFonts w:cs="Times New Roman"/>
          <w:b/>
          <w:bCs/>
          <w:color w:val="auto"/>
          <w:szCs w:val="22"/>
        </w:rPr>
        <w:t>6</w:t>
      </w:r>
      <w:r w:rsidRPr="00C07E8E">
        <w:rPr>
          <w:rFonts w:cs="Times New Roman"/>
          <w:color w:val="auto"/>
          <w:szCs w:val="22"/>
        </w:rPr>
        <w:t xml:space="preserve"> and a secondary </w:t>
      </w:r>
      <w:r w:rsidRPr="00C07E8E">
        <w:rPr>
          <w:rFonts w:cs="Times New Roman"/>
          <w:i/>
          <w:iCs/>
          <w:color w:val="auto"/>
          <w:szCs w:val="22"/>
        </w:rPr>
        <w:t>C</w:t>
      </w:r>
      <w:r w:rsidRPr="00C07E8E">
        <w:rPr>
          <w:rFonts w:cs="Times New Roman"/>
          <w:color w:val="auto"/>
          <w:szCs w:val="22"/>
        </w:rPr>
        <w:t>-cent</w:t>
      </w:r>
      <w:r w:rsidR="001C6A67" w:rsidRPr="00C07E8E">
        <w:rPr>
          <w:rFonts w:cs="Times New Roman"/>
          <w:color w:val="auto"/>
          <w:szCs w:val="22"/>
        </w:rPr>
        <w:t>e</w:t>
      </w:r>
      <w:r w:rsidRPr="00C07E8E">
        <w:rPr>
          <w:rFonts w:cs="Times New Roman"/>
          <w:color w:val="auto"/>
          <w:szCs w:val="22"/>
        </w:rPr>
        <w:t xml:space="preserve">red radical </w:t>
      </w:r>
      <w:r w:rsidRPr="00C07E8E">
        <w:rPr>
          <w:rFonts w:cs="Times New Roman"/>
          <w:b/>
          <w:bCs/>
          <w:color w:val="auto"/>
          <w:szCs w:val="22"/>
        </w:rPr>
        <w:t>2</w:t>
      </w:r>
      <w:r w:rsidR="005168C9">
        <w:rPr>
          <w:rFonts w:cs="Times New Roman"/>
          <w:b/>
          <w:bCs/>
          <w:color w:val="auto"/>
          <w:szCs w:val="22"/>
        </w:rPr>
        <w:t>7</w:t>
      </w:r>
      <w:r w:rsidRPr="00C07E8E">
        <w:rPr>
          <w:rFonts w:cs="Times New Roman"/>
          <w:color w:val="auto"/>
          <w:szCs w:val="22"/>
        </w:rPr>
        <w:t>, which, under the reaction conditions, undergoes polymeri</w:t>
      </w:r>
      <w:r w:rsidR="000A17AF">
        <w:rPr>
          <w:rFonts w:cs="Times New Roman"/>
          <w:color w:val="auto"/>
          <w:szCs w:val="22"/>
        </w:rPr>
        <w:t>s</w:t>
      </w:r>
      <w:r w:rsidRPr="00C07E8E">
        <w:rPr>
          <w:rFonts w:cs="Times New Roman"/>
          <w:color w:val="auto"/>
          <w:szCs w:val="22"/>
        </w:rPr>
        <w:t xml:space="preserve">ation. Generation of the diol </w:t>
      </w:r>
      <w:r w:rsidR="005168C9">
        <w:rPr>
          <w:rFonts w:cs="Times New Roman"/>
          <w:b/>
          <w:bCs/>
          <w:color w:val="auto"/>
          <w:szCs w:val="22"/>
        </w:rPr>
        <w:t>30</w:t>
      </w:r>
      <w:r w:rsidR="00520A73" w:rsidRPr="00C07E8E">
        <w:rPr>
          <w:rFonts w:cs="Times New Roman"/>
          <w:b/>
          <w:bCs/>
          <w:color w:val="auto"/>
          <w:szCs w:val="22"/>
        </w:rPr>
        <w:t xml:space="preserve"> </w:t>
      </w:r>
      <w:r w:rsidRPr="00C07E8E">
        <w:rPr>
          <w:rFonts w:cs="Times New Roman"/>
          <w:color w:val="auto"/>
          <w:szCs w:val="22"/>
        </w:rPr>
        <w:t xml:space="preserve"> happens when a two-electron reduction occurs, by the association of </w:t>
      </w:r>
      <w:r w:rsidR="001C6A67" w:rsidRPr="00C07E8E">
        <w:rPr>
          <w:rFonts w:cs="Times New Roman"/>
          <w:color w:val="auto"/>
          <w:szCs w:val="22"/>
        </w:rPr>
        <w:t>Fe</w:t>
      </w:r>
      <w:r w:rsidR="001C6A67" w:rsidRPr="00C07E8E">
        <w:rPr>
          <w:rFonts w:cs="Times New Roman"/>
          <w:color w:val="auto"/>
          <w:szCs w:val="22"/>
          <w:vertAlign w:val="superscript"/>
        </w:rPr>
        <w:t>2+</w:t>
      </w:r>
      <w:r w:rsidR="007541CF" w:rsidRPr="00C07E8E">
        <w:rPr>
          <w:rFonts w:cs="Times New Roman"/>
          <w:color w:val="auto"/>
          <w:szCs w:val="22"/>
        </w:rPr>
        <w:t xml:space="preserve"> </w:t>
      </w:r>
      <w:r w:rsidRPr="00C07E8E">
        <w:rPr>
          <w:rFonts w:cs="Times New Roman"/>
          <w:color w:val="auto"/>
          <w:szCs w:val="22"/>
        </w:rPr>
        <w:t xml:space="preserve">with peroxide oxygen </w:t>
      </w:r>
      <w:r w:rsidRPr="00C07E8E">
        <w:rPr>
          <w:rFonts w:cs="Times New Roman"/>
          <w:b/>
          <w:bCs/>
          <w:color w:val="auto"/>
          <w:szCs w:val="22"/>
        </w:rPr>
        <w:t xml:space="preserve">O1 </w:t>
      </w:r>
      <w:r w:rsidRPr="00C07E8E">
        <w:rPr>
          <w:rFonts w:cs="Times New Roman"/>
          <w:color w:val="auto"/>
          <w:szCs w:val="22"/>
        </w:rPr>
        <w:t>(inducing a homolytic cleavage of the peroxide)</w:t>
      </w:r>
      <w:r w:rsidRPr="00C07E8E">
        <w:rPr>
          <w:rFonts w:cs="Times New Roman"/>
          <w:b/>
          <w:bCs/>
          <w:color w:val="auto"/>
          <w:szCs w:val="22"/>
        </w:rPr>
        <w:t xml:space="preserve"> </w:t>
      </w:r>
      <w:r w:rsidRPr="00C07E8E">
        <w:rPr>
          <w:rFonts w:cs="Times New Roman"/>
          <w:color w:val="auto"/>
          <w:szCs w:val="22"/>
        </w:rPr>
        <w:t xml:space="preserve">to produce an </w:t>
      </w:r>
      <w:r w:rsidRPr="00C07E8E">
        <w:rPr>
          <w:rFonts w:cs="Times New Roman"/>
          <w:i/>
          <w:iCs/>
          <w:color w:val="auto"/>
          <w:szCs w:val="22"/>
        </w:rPr>
        <w:t>O</w:t>
      </w:r>
      <w:r w:rsidRPr="00C07E8E">
        <w:rPr>
          <w:rFonts w:cs="Times New Roman"/>
          <w:color w:val="auto"/>
          <w:szCs w:val="22"/>
        </w:rPr>
        <w:t>-cent</w:t>
      </w:r>
      <w:r w:rsidR="001C6A67" w:rsidRPr="00C07E8E">
        <w:rPr>
          <w:rFonts w:cs="Times New Roman"/>
          <w:color w:val="auto"/>
          <w:szCs w:val="22"/>
        </w:rPr>
        <w:t>e</w:t>
      </w:r>
      <w:r w:rsidRPr="00C07E8E">
        <w:rPr>
          <w:rFonts w:cs="Times New Roman"/>
          <w:color w:val="auto"/>
          <w:szCs w:val="22"/>
        </w:rPr>
        <w:t xml:space="preserve">red radical </w:t>
      </w:r>
      <w:r w:rsidRPr="00C07E8E">
        <w:rPr>
          <w:rFonts w:cs="Times New Roman"/>
          <w:b/>
          <w:bCs/>
          <w:color w:val="auto"/>
          <w:szCs w:val="22"/>
        </w:rPr>
        <w:t>2</w:t>
      </w:r>
      <w:r w:rsidR="005168C9">
        <w:rPr>
          <w:rFonts w:cs="Times New Roman"/>
          <w:b/>
          <w:bCs/>
          <w:color w:val="auto"/>
          <w:szCs w:val="22"/>
        </w:rPr>
        <w:t>8</w:t>
      </w:r>
      <w:r w:rsidRPr="00C07E8E">
        <w:rPr>
          <w:rFonts w:cs="Times New Roman"/>
          <w:color w:val="auto"/>
          <w:szCs w:val="22"/>
        </w:rPr>
        <w:t xml:space="preserve"> where its rearrangement is not possible. Instead, the oxy radical undergoes further reduction to the anion </w:t>
      </w:r>
      <w:r w:rsidRPr="00C07E8E">
        <w:rPr>
          <w:rFonts w:cs="Times New Roman"/>
          <w:b/>
          <w:bCs/>
          <w:color w:val="auto"/>
          <w:szCs w:val="22"/>
        </w:rPr>
        <w:t>2</w:t>
      </w:r>
      <w:r w:rsidR="005168C9">
        <w:rPr>
          <w:rFonts w:cs="Times New Roman"/>
          <w:b/>
          <w:bCs/>
          <w:color w:val="auto"/>
          <w:szCs w:val="22"/>
        </w:rPr>
        <w:t>9</w:t>
      </w:r>
      <w:r w:rsidRPr="00C07E8E">
        <w:rPr>
          <w:rFonts w:cs="Times New Roman"/>
          <w:b/>
          <w:bCs/>
          <w:color w:val="auto"/>
          <w:szCs w:val="22"/>
        </w:rPr>
        <w:t xml:space="preserve"> </w:t>
      </w:r>
      <w:r w:rsidRPr="00C07E8E">
        <w:rPr>
          <w:rFonts w:cs="Times New Roman"/>
          <w:color w:val="auto"/>
          <w:szCs w:val="22"/>
        </w:rPr>
        <w:t>followed by protonation to give the corresponding diol (</w:t>
      </w:r>
      <w:r w:rsidRPr="00C07E8E">
        <w:rPr>
          <w:rFonts w:cs="Times New Roman"/>
          <w:b/>
          <w:bCs/>
          <w:color w:val="auto"/>
          <w:szCs w:val="22"/>
        </w:rPr>
        <w:t xml:space="preserve">Figure </w:t>
      </w:r>
      <w:r w:rsidR="00520A73" w:rsidRPr="00C07E8E">
        <w:rPr>
          <w:rFonts w:cs="Times New Roman"/>
          <w:b/>
          <w:bCs/>
          <w:color w:val="auto"/>
          <w:szCs w:val="22"/>
        </w:rPr>
        <w:t>5</w:t>
      </w:r>
      <w:r w:rsidRPr="00C07E8E">
        <w:rPr>
          <w:rFonts w:cs="Times New Roman"/>
          <w:b/>
          <w:bCs/>
          <w:color w:val="auto"/>
          <w:szCs w:val="22"/>
        </w:rPr>
        <w:t>, a</w:t>
      </w:r>
      <w:r w:rsidRPr="00C07E8E">
        <w:rPr>
          <w:rFonts w:cs="Times New Roman"/>
          <w:color w:val="auto"/>
          <w:szCs w:val="22"/>
        </w:rPr>
        <w:t>).</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{"citationItems":[{"id":"ITEM-1","itemData":{"DOI":"10.1016/S0040-4039(97)00874-5","ISSN":"00404039","abstract":"Arlenene 4 reacts with FeCl2.4H20 in acetonitrile or with hemin / N-acetylcysteine (heme Fe(II)) in acetonitrile to produce the diol 5 and the enone 6. Treatment of arteflene with Zn/AcOH, a model of NADH dehydrogenase, results in the formation of the diol 5 in 80% yield The formation of the enone 6 indicates that arteflene fragments to a non-stabilised carbon-centred radical. This radical intermediate is proposed to mediate the potent antimalarial activity of 4.","author":[{"dropping-particle":"","family":"O' Neill","given":"Paul M.","non-dropping-particle":"","parse-names":false,"suffix":""},{"dropping-particle":"","family":"Bishop","given":"Laurence P.","non-dropping-particle":"","parse-names":false,"suffix":""},{"dropping-particle":"","family":"Searle","given":"Natalie L.","non-dropping-particle":"","parse-names":false,"suffix":""},{"dropping-particle":"","family":"Maggs","given":"James L.","non-dropping-particle":"","parse-names":false,"suffix":""},{"dropping-particle":"","family":"Ward","given":"Stephen A.","non-dropping-particle":"","parse-names":false,"suffix":""},{"dropping-particle":"","family":"Bray","given":"Patrick G.","non-dropping-particle":"","parse-names":false,"suffix":""},{"dropping-particle":"","family":"Storr","given":"Richard C.","non-dropping-particle":"","parse-names":false,"suffix":""},{"dropping-particle":"","family":"Park","given":"B. Kevin","non-dropping-particle":"","parse-names":false,"suffix":""}],"container-title":"Tetrahedron Letters","id":"ITEM-1","issue":"24","issued":{"date-parts":[["1997"]]},"page":"4263-4266","title":"The biomimetic iron-mediated degradation of arteflene (Ro-42-1611), an endoperoxide antimalarial: Implications for the mechanism of antimalarial activity","type":"article-journal","volume":"38"},"uris":["http://www.mendeley.com/documents/?uuid=022a4551-0cbe-46e4-83b0-feac20ee0fb0","http://www.mendeley.com/documents/?uuid=29e35282-50a9-43a4-a93d-9da94b5c9230"]}],"mendeley":{"formattedCitation":"&lt;sup&gt;80&lt;/sup&gt;","plainTextFormattedCitation":"80","previouslyFormattedCitation":"&lt;sup&gt;80&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80</w:t>
      </w:r>
      <w:r w:rsidRPr="00C07E8E">
        <w:rPr>
          <w:rFonts w:cs="Times New Roman"/>
          <w:color w:val="auto"/>
          <w:szCs w:val="22"/>
        </w:rPr>
        <w:fldChar w:fldCharType="end"/>
      </w:r>
      <w:r w:rsidRPr="00C07E8E">
        <w:rPr>
          <w:rFonts w:cs="Times New Roman"/>
          <w:color w:val="auto"/>
          <w:szCs w:val="22"/>
        </w:rPr>
        <w:t xml:space="preserve"> This reaction pathway was confirmed by EPR spectroscopy, </w:t>
      </w:r>
      <w:r w:rsidRPr="00C07E8E">
        <w:rPr>
          <w:rFonts w:cs="Times New Roman"/>
          <w:color w:val="auto"/>
          <w:szCs w:val="22"/>
          <w:shd w:val="clear" w:color="auto" w:fill="FFFFFF"/>
        </w:rPr>
        <w:t>wherein</w:t>
      </w:r>
      <w:r w:rsidRPr="00C07E8E">
        <w:rPr>
          <w:rFonts w:cs="Times New Roman"/>
          <w:color w:val="auto"/>
          <w:szCs w:val="22"/>
        </w:rPr>
        <w:t xml:space="preserve"> the secondary carbon-centred radical </w:t>
      </w:r>
      <w:r w:rsidRPr="00C07E8E">
        <w:rPr>
          <w:rFonts w:cs="Times New Roman"/>
          <w:b/>
          <w:bCs/>
          <w:color w:val="auto"/>
          <w:szCs w:val="22"/>
        </w:rPr>
        <w:t>2</w:t>
      </w:r>
      <w:r w:rsidR="005168C9">
        <w:rPr>
          <w:rFonts w:cs="Times New Roman"/>
          <w:b/>
          <w:bCs/>
          <w:color w:val="auto"/>
          <w:szCs w:val="22"/>
        </w:rPr>
        <w:t>7</w:t>
      </w:r>
      <w:r w:rsidRPr="00C07E8E">
        <w:rPr>
          <w:rFonts w:cs="Times New Roman"/>
          <w:b/>
          <w:bCs/>
          <w:color w:val="auto"/>
          <w:szCs w:val="22"/>
        </w:rPr>
        <w:t xml:space="preserve"> </w:t>
      </w:r>
      <w:r w:rsidRPr="00C07E8E">
        <w:rPr>
          <w:rFonts w:cs="Times New Roman"/>
          <w:color w:val="auto"/>
          <w:szCs w:val="22"/>
        </w:rPr>
        <w:t xml:space="preserve">was spin trapped by 5,5-dimethyl-1-pyrroline </w:t>
      </w:r>
      <w:r w:rsidRPr="00C07E8E">
        <w:rPr>
          <w:rFonts w:cs="Times New Roman"/>
          <w:i/>
          <w:iCs/>
          <w:color w:val="auto"/>
          <w:szCs w:val="22"/>
        </w:rPr>
        <w:t>N</w:t>
      </w:r>
      <w:r w:rsidRPr="00C07E8E">
        <w:rPr>
          <w:rFonts w:cs="Times New Roman"/>
          <w:color w:val="auto"/>
          <w:szCs w:val="22"/>
        </w:rPr>
        <w:t>-oxide (DMPO) and 3,5-dibromo-4-nitrosobenzenesulfonic acid sodium salt (DBNBS).</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{"citationItems":[{"id":"ITEM-1","itemData":{"DOI":"10.1016/S0040-4039(97)00874-5","ISSN":"00404039","abstract":"Arlenene 4 reacts with FeCl2.4H20 in acetonitrile or with hemin / N-acetylcysteine (heme Fe(II)) in acetonitrile to produce the diol 5 and the enone 6. Treatment of arteflene with Zn/AcOH, a model of NADH dehydrogenase, results in the formation of the diol 5 in 80% yield The formation of the enone 6 indicates that arteflene fragments to a non-stabilised carbon-centred radical. This radical intermediate is proposed to mediate the potent antimalarial activity of 4.","author":[{"dropping-particle":"","family":"O' Neill","given":"Paul M.","non-dropping-particle":"","parse-names":false,"suffix":""},{"dropping-particle":"","family":"Bishop","given":"Laurence P.","non-dropping-particle":"","parse-names":false,"suffix":""},{"dropping-particle":"","family":"Searle","given":"Natalie L.","non-dropping-particle":"","parse-names":false,"suffix":""},{"dropping-particle":"","family":"Maggs","given":"James L.","non-dropping-particle":"","parse-names":false,"suffix":""},{"dropping-particle":"","family":"Ward","given":"Stephen A.","non-dropping-particle":"","parse-names":false,"suffix":""},{"dropping-particle":"","family":"Bray","given":"Patrick G.","non-dropping-particle":"","parse-names":false,"suffix":""},{"dropping-particle":"","family":"Storr","given":"Richard C.","non-dropping-particle":"","parse-names":false,"suffix":""},{"dropping-particle":"","family":"Park","given":"B. Kevin","non-dropping-particle":"","parse-names":false,"suffix":""}],"container-title":"Tetrahedron Letters","id":"ITEM-1","issue":"24","issued":{"date-parts":[["1997"]]},"page":"4263-4266","title":"The biomimetic iron-mediated degradation of arteflene (Ro-42-1611), an endoperoxide antimalarial: Implications for the mechanism of antimalarial activity","type":"article-journal","volume":"38"},"uris":["http://www.mendeley.com/documents/?uuid=29e35282-50a9-43a4-a93d-9da94b5c9230","http://www.mendeley.com/documents/?uuid=022a4551-0cbe-46e4-83b0-feac20ee0fb0"]}],"mendeley":{"formattedCitation":"&lt;sup&gt;80&lt;/sup&gt;","plainTextFormattedCitation":"80","previouslyFormattedCitation":"&lt;sup&gt;80&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80</w:t>
      </w:r>
      <w:r w:rsidRPr="00C07E8E">
        <w:rPr>
          <w:rFonts w:cs="Times New Roman"/>
          <w:color w:val="auto"/>
          <w:szCs w:val="22"/>
        </w:rPr>
        <w:fldChar w:fldCharType="end"/>
      </w:r>
      <w:r w:rsidRPr="00C07E8E">
        <w:rPr>
          <w:rFonts w:cs="Times New Roman"/>
          <w:color w:val="auto"/>
          <w:szCs w:val="22"/>
        </w:rPr>
        <w:t xml:space="preserve"> Cazelles </w:t>
      </w:r>
      <w:r w:rsidRPr="00C07E8E">
        <w:rPr>
          <w:rFonts w:cs="Times New Roman"/>
          <w:i/>
          <w:iCs/>
          <w:color w:val="auto"/>
          <w:szCs w:val="22"/>
        </w:rPr>
        <w:t>et al.</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{"citationItems":[{"id":"ITEM-1","itemData":{"DOI":"10.1021/jo990744z","ISSN":"00223263","abstract":"The peroxide-containing antimalarial drug arteflene (Ro 42-1611) generates an alkyl radical after the reductive homolytic cleavage of the peroxide bond in the presence of a heme model Mn(II)(TPP). This alkyl radical has been trapped by TEMPO, and the different products of the reduction activation of arteflene have been characterized. These data suggest that, in these experimental conditions, arteflene is not a significant alkylating agent compared to artemisinin, a trioxane-containing antimalarial drug.","author":[{"dropping-particle":"","family":"Cazelles","given":"Jérôme","non-dropping-particle":"","parse-names":false,"suffix":""},{"dropping-particle":"","family":"Robert","given":"Anne","non-dropping-particle":"","parse-names":false,"suffix":""},{"dropping-particle":"","family":"Meunier","given":"Bernard","non-dropping-particle":"","parse-names":false,"suffix":""}],"container-title":"Journal of Organic Chemistry","id":"ITEM-1","issue":"18","issued":{"date-parts":[["1999"]]},"page":"6776-6781","title":"Characterization of the main radical and products resulting from a reductive activation of the antimalarial arteflene (Ro 42-1611)","type":"article-journal","volume":"64"},"uris":["http://www.mendeley.com/documents/?uuid=5a87535d-f734-4658-8d4c-987b557c8c94","http://www.mendeley.com/documents/?uuid=5e951ead-e4c4-4929-8419-c50fd0d98dcb"]}],"mendeley":{"formattedCitation":"&lt;sup&gt;81&lt;/sup&gt;","plainTextFormattedCitation":"81","previouslyFormattedCitation":"&lt;sup&gt;81&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81</w:t>
      </w:r>
      <w:r w:rsidRPr="00C07E8E">
        <w:rPr>
          <w:rFonts w:cs="Times New Roman"/>
          <w:color w:val="auto"/>
          <w:szCs w:val="22"/>
        </w:rPr>
        <w:fldChar w:fldCharType="end"/>
      </w:r>
      <w:r w:rsidRPr="00C07E8E">
        <w:rPr>
          <w:rFonts w:cs="Times New Roman"/>
          <w:color w:val="auto"/>
          <w:szCs w:val="22"/>
        </w:rPr>
        <w:t xml:space="preserve"> also reported a study of arteflene reaction with Mn</w:t>
      </w:r>
      <w:r w:rsidRPr="00C07E8E">
        <w:rPr>
          <w:rFonts w:cs="Times New Roman"/>
          <w:color w:val="auto"/>
          <w:szCs w:val="22"/>
          <w:vertAlign w:val="superscript"/>
        </w:rPr>
        <w:t>II</w:t>
      </w:r>
      <w:r w:rsidRPr="00C07E8E">
        <w:rPr>
          <w:rFonts w:cs="Times New Roman"/>
          <w:color w:val="auto"/>
          <w:szCs w:val="22"/>
        </w:rPr>
        <w:t>(TPP), in the presence of borohydride, followed by generation of adduct with the alkyl radical and 2,2,6,6-tetramethyl-1-piperidinyloxy (TEMPO) (</w:t>
      </w:r>
      <w:r w:rsidRPr="00C07E8E">
        <w:rPr>
          <w:rFonts w:cs="Times New Roman"/>
          <w:b/>
          <w:bCs/>
          <w:color w:val="auto"/>
          <w:szCs w:val="22"/>
        </w:rPr>
        <w:t xml:space="preserve">Figure </w:t>
      </w:r>
      <w:r w:rsidR="00520A73" w:rsidRPr="00C07E8E">
        <w:rPr>
          <w:rFonts w:cs="Times New Roman"/>
          <w:b/>
          <w:bCs/>
          <w:color w:val="auto"/>
          <w:szCs w:val="22"/>
        </w:rPr>
        <w:t>5</w:t>
      </w:r>
      <w:r w:rsidRPr="00C07E8E">
        <w:rPr>
          <w:rFonts w:cs="Times New Roman"/>
          <w:b/>
          <w:bCs/>
          <w:color w:val="auto"/>
          <w:szCs w:val="22"/>
        </w:rPr>
        <w:t>, b</w:t>
      </w:r>
      <w:r w:rsidRPr="00C07E8E">
        <w:rPr>
          <w:rFonts w:cs="Times New Roman"/>
          <w:color w:val="auto"/>
          <w:szCs w:val="22"/>
        </w:rPr>
        <w:t xml:space="preserve">).  </w:t>
      </w:r>
    </w:p>
    <w:p w14:paraId="66871D31" w14:textId="1A74CD89" w:rsidR="00251197" w:rsidRPr="00C07E8E" w:rsidRDefault="00730A60" w:rsidP="00532D1D">
      <w:pPr>
        <w:autoSpaceDE w:val="0"/>
        <w:autoSpaceDN w:val="0"/>
        <w:adjustRightInd w:val="0"/>
        <w:spacing w:after="240"/>
        <w:rPr>
          <w:rFonts w:cs="Times New Roman"/>
          <w:color w:val="auto"/>
          <w:szCs w:val="22"/>
        </w:rPr>
      </w:pPr>
      <w:r w:rsidRPr="006D7105">
        <w:rPr>
          <w:rFonts w:cs="Times New Roman"/>
          <w:noProof/>
          <w:color w:val="auto"/>
          <w:szCs w:val="22"/>
        </w:rPr>
        <w:object w:dxaOrig="9290" w:dyaOrig="6209" w14:anchorId="7FDD5864">
          <v:shape id="_x0000_i1031" type="#_x0000_t75" alt="" style="width:465.6pt;height:310.2pt" o:ole="">
            <v:imagedata r:id="rId18" o:title=""/>
          </v:shape>
          <o:OLEObject Type="Embed" ProgID="ChemDraw.Document.6.0" ShapeID="_x0000_i1031" DrawAspect="Content" ObjectID="_1669219465" r:id="rId19"/>
        </w:object>
      </w:r>
    </w:p>
    <w:p w14:paraId="6877C14E" w14:textId="6889EE58" w:rsidR="00251197"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 xml:space="preserve">Figure </w:t>
      </w:r>
      <w:r w:rsidR="00520A73" w:rsidRPr="00C07E8E">
        <w:rPr>
          <w:rFonts w:cs="Times New Roman"/>
          <w:b/>
          <w:bCs/>
          <w:color w:val="auto"/>
          <w:szCs w:val="22"/>
        </w:rPr>
        <w:t>5</w:t>
      </w:r>
      <w:r w:rsidRPr="00C07E8E">
        <w:rPr>
          <w:rFonts w:cs="Times New Roman"/>
          <w:color w:val="auto"/>
          <w:szCs w:val="22"/>
        </w:rPr>
        <w:t>: (a) Ferrous-Mediated degradation of Arteflene; (b) DMPO, DBNBS</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{"citationItems":[{"id":"ITEM-1","itemData":{"DOI":"10.1016/S0040-4039(97)00874-5","ISSN":"00404039","abstract":"Arlenene 4 reacts with FeCl2.4H20 in acetonitrile or with hemin / N-acetylcysteine (heme Fe(II)) in acetonitrile to produce the diol 5 and the enone 6. Treatment of arteflene with Zn/AcOH, a model of NADH dehydrogenase, results in the formation of the diol 5 in 80% yield The formation of the enone 6 indicates that arteflene fragments to a non-stabilised carbon-centred radical. This radical intermediate is proposed to mediate the potent antimalarial activity of 4.","author":[{"dropping-particle":"","family":"O' Neill","given":"Paul M.","non-dropping-particle":"","parse-names":false,"suffix":""},{"dropping-particle":"","family":"Bishop","given":"Laurence P.","non-dropping-particle":"","parse-names":false,"suffix":""},{"dropping-particle":"","family":"Searle","given":"Natalie L.","non-dropping-particle":"","parse-names":false,"suffix":""},{"dropping-particle":"","family":"Maggs","given":"James L.","non-dropping-particle":"","parse-names":false,"suffix":""},{"dropping-particle":"","family":"Ward","given":"Stephen A.","non-dropping-particle":"","parse-names":false,"suffix":""},{"dropping-particle":"","family":"Bray","given":"Patrick G.","non-dropping-particle":"","parse-names":false,"suffix":""},{"dropping-particle":"","family":"Storr","given":"Richard C.","non-dropping-particle":"","parse-names":false,"suffix":""},{"dropping-particle":"","family":"Park","given":"B. Kevin","non-dropping-particle":"","parse-names":false,"suffix":""}],"container-title":"Tetrahedron Letters","id":"ITEM-1","issue":"24","issued":{"date-parts":[["1997"]]},"page":"4263-4266","title":"The biomimetic iron-mediated degradation of arteflene (Ro-42-1611), an endoperoxide antimalarial: Implications for the mechanism of antimalarial activity","type":"article-journal","volume":"38"},"uris":["http://www.mendeley.com/documents/?uuid=29e35282-50a9-43a4-a93d-9da94b5c9230","http://www.mendeley.com/documents/?uuid=022a4551-0cbe-46e4-83b0-feac20ee0fb0"]}],"mendeley":{"formattedCitation":"&lt;sup&gt;80&lt;/sup&gt;","plainTextFormattedCitation":"80","previouslyFormattedCitation":"&lt;sup&gt;80&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80</w:t>
      </w:r>
      <w:r w:rsidRPr="00C07E8E">
        <w:rPr>
          <w:rFonts w:cs="Times New Roman"/>
          <w:color w:val="auto"/>
          <w:szCs w:val="22"/>
        </w:rPr>
        <w:fldChar w:fldCharType="end"/>
      </w:r>
      <w:r w:rsidRPr="00C07E8E">
        <w:rPr>
          <w:rFonts w:cs="Times New Roman"/>
          <w:color w:val="auto"/>
          <w:szCs w:val="22"/>
        </w:rPr>
        <w:t>, and TEMPO</w:t>
      </w:r>
      <w:r w:rsidRPr="00C07E8E">
        <w:rPr>
          <w:rFonts w:cs="Times New Roman"/>
          <w:color w:val="auto"/>
          <w:szCs w:val="22"/>
        </w:rPr>
        <w:fldChar w:fldCharType="begin" w:fldLock="1"/>
      </w:r>
      <w:r w:rsidR="00CA5C6A">
        <w:rPr>
          <w:rFonts w:cs="Times New Roman"/>
          <w:color w:val="auto"/>
          <w:szCs w:val="22"/>
        </w:rPr>
        <w:instrText>ADDIN CSL_CITATION {"citationItems":[{"id":"ITEM-1","itemData":{"DOI":"10.1021/jo990744z","ISSN":"00223263","abstract":"The peroxide-containing antimalarial drug arteflene (Ro 42-1611) generates an alkyl radical after the reductive homolytic cleavage of the peroxide bond in the presence of a heme model Mn(II)(TPP). This alkyl radical has been trapped by TEMPO, and the different products of the reduction activation of arteflene have been characterized. These data suggest that, in these experimental conditions, arteflene is not a significant alkylating agent compared to artemisinin, a trioxane-containing antimalarial drug.","author":[{"dropping-particle":"","family":"Cazelles","given":"Jérôme","non-dropping-particle":"","parse-names":false,"suffix":""},{"dropping-particle":"","family":"Robert","given":"Anne","non-dropping-particle":"","parse-names":false,"suffix":""},{"dropping-particle":"","family":"Meunier","given":"Bernard","non-dropping-particle":"","parse-names":false,"suffix":""}],"container-title":"Journal of Organic Chemistry","id":"ITEM-1","issue":"18","issued":{"date-parts":[["1999"]]},"page":"6776-6781","title":"Characterization of the main radical and products resulting from a reductive activation of the antimalarial arteflene (Ro 42-1611)","type":"article-journal","volume":"64"},"uris":["http://www.mendeley.com/documents/?uuid=5e951ead-e4c4-4929-8419-c50fd0d98dcb","http://www.mendeley.com/documents/?uuid=5a87535d-f734-4658-8d4c-987b557c8c94"]}],"mendeley":{"formattedCitation":"&lt;sup&gt;81&lt;/sup&gt;","plainTextFormattedCitation":"81","previouslyFormattedCitation":"&lt;sup&gt;81&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81</w:t>
      </w:r>
      <w:r w:rsidRPr="00C07E8E">
        <w:rPr>
          <w:rFonts w:cs="Times New Roman"/>
          <w:color w:val="auto"/>
          <w:szCs w:val="22"/>
        </w:rPr>
        <w:fldChar w:fldCharType="end"/>
      </w:r>
      <w:r w:rsidRPr="00C07E8E">
        <w:rPr>
          <w:rFonts w:cs="Times New Roman"/>
          <w:color w:val="auto"/>
          <w:szCs w:val="22"/>
        </w:rPr>
        <w:t xml:space="preserve"> adducts.</w:t>
      </w:r>
    </w:p>
    <w:p w14:paraId="553FCBBD" w14:textId="77777777" w:rsidR="006B71A6" w:rsidRPr="00C07E8E" w:rsidRDefault="006B71A6" w:rsidP="00532D1D">
      <w:pPr>
        <w:autoSpaceDE w:val="0"/>
        <w:autoSpaceDN w:val="0"/>
        <w:adjustRightInd w:val="0"/>
        <w:rPr>
          <w:rFonts w:cs="Times New Roman"/>
          <w:color w:val="auto"/>
          <w:szCs w:val="22"/>
        </w:rPr>
      </w:pPr>
    </w:p>
    <w:p w14:paraId="0B77FBE9" w14:textId="77777777" w:rsidR="00650F2D"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t>Fenozan-50F</w:t>
      </w:r>
    </w:p>
    <w:p w14:paraId="1507E2DA" w14:textId="522FFC18" w:rsidR="008E242D" w:rsidRPr="00C07E8E" w:rsidRDefault="00730A60" w:rsidP="00532D1D">
      <w:pPr>
        <w:keepNext/>
        <w:jc w:val="center"/>
        <w:rPr>
          <w:rFonts w:cs="Times New Roman"/>
          <w:color w:val="auto"/>
          <w:szCs w:val="22"/>
        </w:rPr>
      </w:pPr>
      <w:r w:rsidRPr="006D7105">
        <w:rPr>
          <w:rFonts w:cs="Times New Roman"/>
          <w:noProof/>
          <w:color w:val="auto"/>
          <w:szCs w:val="22"/>
        </w:rPr>
        <w:object w:dxaOrig="3214" w:dyaOrig="2832" w14:anchorId="7C131350">
          <v:shape id="_x0000_i1032" type="#_x0000_t75" alt="" style="width:162pt;height:142.2pt" o:ole="">
            <v:imagedata r:id="rId20" o:title=""/>
          </v:shape>
          <o:OLEObject Type="Embed" ProgID="ChemDraw.Document.6.0" ShapeID="_x0000_i1032" DrawAspect="Content" ObjectID="_1669219466" r:id="rId21"/>
        </w:object>
      </w:r>
    </w:p>
    <w:p w14:paraId="6A968A6D" w14:textId="2E700EAD" w:rsidR="0028395C"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Figure </w:t>
      </w:r>
      <w:r w:rsidR="00520A73" w:rsidRPr="00C07E8E">
        <w:rPr>
          <w:rFonts w:cs="Times New Roman"/>
          <w:b/>
          <w:bCs/>
          <w:i w:val="0"/>
          <w:iCs w:val="0"/>
          <w:color w:val="auto"/>
          <w:sz w:val="22"/>
          <w:szCs w:val="22"/>
        </w:rPr>
        <w:t>6</w:t>
      </w:r>
      <w:r w:rsidRPr="00C07E8E">
        <w:rPr>
          <w:rFonts w:cs="Times New Roman"/>
          <w:i w:val="0"/>
          <w:iCs w:val="0"/>
          <w:color w:val="auto"/>
          <w:sz w:val="22"/>
          <w:szCs w:val="22"/>
        </w:rPr>
        <w:t xml:space="preserve">: Structure </w:t>
      </w:r>
      <w:r w:rsidR="00BF7B36">
        <w:rPr>
          <w:rFonts w:cs="Times New Roman"/>
          <w:i w:val="0"/>
          <w:iCs w:val="0"/>
          <w:color w:val="auto"/>
          <w:sz w:val="22"/>
          <w:szCs w:val="22"/>
        </w:rPr>
        <w:t xml:space="preserve">representation </w:t>
      </w:r>
      <w:r w:rsidRPr="00C07E8E">
        <w:rPr>
          <w:rFonts w:cs="Times New Roman"/>
          <w:i w:val="0"/>
          <w:iCs w:val="0"/>
          <w:color w:val="auto"/>
          <w:sz w:val="22"/>
          <w:szCs w:val="22"/>
        </w:rPr>
        <w:t>of the 1,2,4-trioxane antimalarial Fenozan-50F</w:t>
      </w:r>
    </w:p>
    <w:p w14:paraId="2C497182" w14:textId="77777777" w:rsidR="0015093C" w:rsidRPr="00C07E8E" w:rsidRDefault="0015093C" w:rsidP="00532D1D">
      <w:pPr>
        <w:rPr>
          <w:rFonts w:cs="Times New Roman"/>
          <w:color w:val="auto"/>
          <w:szCs w:val="22"/>
        </w:rPr>
      </w:pPr>
    </w:p>
    <w:p w14:paraId="18945003" w14:textId="4F8567C9" w:rsidR="006F7C74" w:rsidRPr="00C07E8E" w:rsidRDefault="00C07E8E" w:rsidP="00532D1D">
      <w:pPr>
        <w:rPr>
          <w:rFonts w:cs="Times New Roman"/>
          <w:color w:val="auto"/>
          <w:szCs w:val="22"/>
        </w:rPr>
      </w:pPr>
      <w:r w:rsidRPr="00C07E8E">
        <w:rPr>
          <w:rFonts w:cs="Times New Roman"/>
          <w:color w:val="auto"/>
          <w:szCs w:val="22"/>
        </w:rPr>
        <w:tab/>
      </w:r>
      <w:r w:rsidR="007205FC" w:rsidRPr="00C07E8E">
        <w:rPr>
          <w:rFonts w:cs="Times New Roman"/>
          <w:color w:val="auto"/>
          <w:szCs w:val="22"/>
        </w:rPr>
        <w:t>Fenozan-50F</w:t>
      </w:r>
      <w:r w:rsidR="009C2372">
        <w:rPr>
          <w:rFonts w:cs="Times New Roman"/>
          <w:color w:val="auto"/>
          <w:szCs w:val="22"/>
        </w:rPr>
        <w:t xml:space="preserve"> </w:t>
      </w:r>
      <w:r w:rsidR="009C2372" w:rsidRPr="00C07E8E">
        <w:rPr>
          <w:rFonts w:cs="Times New Roman"/>
          <w:color w:val="auto"/>
          <w:szCs w:val="22"/>
        </w:rPr>
        <w:t>(</w:t>
      </w:r>
      <w:r w:rsidR="009C2372" w:rsidRPr="00C07E8E">
        <w:rPr>
          <w:rFonts w:cs="Times New Roman"/>
          <w:b/>
          <w:bCs/>
          <w:color w:val="auto"/>
          <w:szCs w:val="22"/>
        </w:rPr>
        <w:t>3</w:t>
      </w:r>
      <w:r w:rsidR="003F0F34">
        <w:rPr>
          <w:rFonts w:cs="Times New Roman"/>
          <w:b/>
          <w:bCs/>
          <w:color w:val="auto"/>
          <w:szCs w:val="22"/>
        </w:rPr>
        <w:t>1</w:t>
      </w:r>
      <w:r w:rsidR="009C2372" w:rsidRPr="007370A6">
        <w:rPr>
          <w:rFonts w:cs="Times New Roman"/>
          <w:b/>
          <w:color w:val="auto"/>
          <w:szCs w:val="22"/>
        </w:rPr>
        <w:t>, Figure 6</w:t>
      </w:r>
      <w:r w:rsidR="009C2372" w:rsidRPr="00C07E8E">
        <w:rPr>
          <w:rFonts w:cs="Times New Roman"/>
          <w:color w:val="auto"/>
          <w:szCs w:val="22"/>
        </w:rPr>
        <w:t>)</w:t>
      </w:r>
      <w:r w:rsidR="009C2372">
        <w:rPr>
          <w:rFonts w:cs="Times New Roman"/>
          <w:color w:val="auto"/>
          <w:szCs w:val="22"/>
        </w:rPr>
        <w:t xml:space="preserve"> </w:t>
      </w:r>
      <w:r w:rsidR="007205FC" w:rsidRPr="00C07E8E">
        <w:rPr>
          <w:rFonts w:cs="Times New Roman"/>
          <w:color w:val="auto"/>
          <w:szCs w:val="22"/>
        </w:rPr>
        <w:t xml:space="preserve">was first reported in 1992 in the investigation of </w:t>
      </w:r>
      <w:r w:rsidR="007205FC" w:rsidRPr="00C07E8E">
        <w:rPr>
          <w:rFonts w:cs="Times New Roman"/>
          <w:i/>
          <w:iCs/>
          <w:color w:val="auto"/>
          <w:szCs w:val="22"/>
        </w:rPr>
        <w:t>cis</w:t>
      </w:r>
      <w:r w:rsidR="007205FC" w:rsidRPr="00C07E8E">
        <w:rPr>
          <w:rFonts w:cs="Times New Roman"/>
          <w:color w:val="auto"/>
          <w:szCs w:val="22"/>
        </w:rPr>
        <w:t>-fused cyclopenteno-1,2,4-trioxanes (fenozans)</w:t>
      </w:r>
      <w:r w:rsidR="00BF7B36">
        <w:rPr>
          <w:rFonts w:cs="Times New Roman"/>
          <w:color w:val="auto"/>
          <w:szCs w:val="22"/>
        </w:rPr>
        <w:t>,</w:t>
      </w:r>
      <w:r w:rsidR="007205FC" w:rsidRPr="00C07E8E">
        <w:rPr>
          <w:rFonts w:cs="Times New Roman"/>
          <w:color w:val="auto"/>
          <w:szCs w:val="22"/>
        </w:rPr>
        <w:t xml:space="preserve"> following work by Jeffords </w:t>
      </w:r>
      <w:r w:rsidR="00233EB9">
        <w:rPr>
          <w:rFonts w:cs="Times New Roman"/>
          <w:color w:val="auto"/>
          <w:szCs w:val="22"/>
        </w:rPr>
        <w:t xml:space="preserve">group </w:t>
      </w:r>
      <w:r w:rsidR="007205FC" w:rsidRPr="00C07E8E">
        <w:rPr>
          <w:rFonts w:cs="Times New Roman"/>
          <w:color w:val="auto"/>
          <w:szCs w:val="22"/>
        </w:rPr>
        <w:t>on the</w:t>
      </w:r>
      <w:r w:rsidR="00233EB9">
        <w:rPr>
          <w:rFonts w:cs="Times New Roman"/>
          <w:color w:val="auto"/>
          <w:szCs w:val="22"/>
        </w:rPr>
        <w:t xml:space="preserve"> extensive</w:t>
      </w:r>
      <w:r w:rsidR="007205FC" w:rsidRPr="00C07E8E">
        <w:rPr>
          <w:rFonts w:cs="Times New Roman"/>
          <w:color w:val="auto"/>
          <w:szCs w:val="22"/>
        </w:rPr>
        <w:t xml:space="preserve"> synthetic methodology for the synthesis of 1,2,4-trioxanes</w:t>
      </w:r>
      <w:r w:rsidR="009C2372">
        <w:rPr>
          <w:rFonts w:cs="Times New Roman"/>
          <w:color w:val="auto"/>
          <w:szCs w:val="22"/>
        </w:rPr>
        <w:t>.</w:t>
      </w:r>
      <w:r w:rsidR="007205FC"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{"citationItems":[{"id":"ITEM-1","itemData":{"DOI":"10.1080/00034983.1993.11812733","ISSN":"00034983","PMID":"8346987","abstract":"The new Chinese antimalarial blood schizontocide, artemisinin, derived from the plant Artemisia annua, displays a high level of activity against polyresistant Plasmodium falciparum. Several synthetic 1,2,4-trioxanes were examined in a search for compounds that exhibit a similar type of action against drug-resistant parasites. This paper, the first of a series, describes the examination of these trioxanes against drug-sensitive and drug-resistant malaria parasites in a rodent model, using artemisinin and arteether as comparison standards. Cis-fused cyclohexeno-1,2,4-trioxanes (10-17) substituted with various side-chains revealed for the most part variable but weak antimalarial activity. On the other hand, cis-fused cyclopenteno-1,2,4-trioxanes (18-19) showed greater activity, 19 showing about 1/30th of the activity of arteether against drug-sensitive Plasmodium berghei in vivo, thereby providing a clue to the structure activity relationship.","author":[{"dropping-particle":"","family":"Peters","given":"W.","non-dropping-particle":"","parse-names":false,"suffix":""},{"dropping-particle":"","family":"Robinson","given":"B. L.","non-dropping-particle":"","parse-names":false,"suffix":""},{"dropping-particle":"","family":"Rossier","given":"J. C.","non-dropping-particle":"","parse-names":false,"suffix":""},{"dropping-particle":"","family":"Jefford","given":"C. W.","non-dropping-particle":"","parse-names":false,"suffix":""}],"container-title":"Annals of Tropical Medicine and Parasitology","id":"ITEM-1","issue":"1","issued":{"date-parts":[["1993"]]},"page":"1-7","title":"The chemotherapy of rodent malaria. XLVIII. The activities of some synthetic 1,2,4-trioxanes against chloroquine-sensitive and chloroquine-resistant parasites. Part 1: Studies leading to the development of novel cis-fused cyclopenteno derivatives","type":"article-journal","volume":"87"},"uris":["http://www.mendeley.com/documents/?uuid=16d24816-2cbd-4f85-bac5-fed7068c5f8b","http://www.mendeley.com/documents/?uuid=6d88d7d1-d60c-4f62-8724-736a2f53a2a5"]},{"id":"ITEM-2","itemData":{"DOI":"10.1080/00034983.1993.11812734","ISSN":"00034983","PMID":"8346994","abstract":"The activity of 51 synthetic cis-fused cyclopenteno-1,2,4-trioxanes has been examined against drug-sensitive and chloroquine-resistant malaria parasites in vivo. Some of them display high levels of blood schizontocidal activity when administered orally or subcutaneously. They retain their activity against lines of parasites that are resistant to widely differing antimalarials such as 4-aminoquinolines, aminoalcohols, dihydrofolate reductase inhibitors and artemisinin. The most potent compound of the present series is cis-(±)-4a,7a-dihydro-6,7a-di(p-fiuorophenyl)spiro[cyciopentane-3,3'-7H -cyclopenta-1,2,4-trioxin], otherwise known as Fenozan-50F.","author":[{"dropping-particle":"","family":"Peters","given":"W.","non-dropping-particle":"","parse-names":false,"suffix":""},{"dropping-particle":"","family":"Robinson","given":"B. L.","non-dropping-particle":"","parse-names":false,"suffix":""},{"dropping-particle":"","family":"Rossiter","given":"J. C.","non-dropping-particle":"","parse-names":false,"suffix":""},{"dropping-particle":"","family":"Misra","given":"D.","non-dropping-particle":"","parse-names":false,"suffix":""},{"dropping-particle":"","family":"Jefford","given":"C. W.","non-dropping-particle":"","parse-names":false,"suffix":""}],"container-title":"Annals of Tropical Medicine and Parasitology","id":"ITEM-2","issue":"1","issued":{"date-parts":[["1993"]]},"page":"9-16","title":"The chemotherapy of rodent malaria. XLIX. The activities of some synthetic 1,2,4-trioxanes against chloroquinesensitive and chloroquine-resistant parasites. Part 2: Structure-activity studies on cis-fused cyclopenteno-1,2,4-trioxanes (fenozans) against dr","type":"article-journal","volume":"87"},"uris":["http://www.mendeley.com/documents/?uuid=986b1287-11d2-45b8-b2f4-69550bc1701c","http://www.mendeley.com/documents/?uuid=70ee5b2a-d340-4eeb-94af-3d864607a85d"]},{"id":"ITEM-3","itemData":{"DOI":"10.1016/S0167-2991(08)62876-1","ISSN":"01672991","abstract":"The capture by aldehydes of transient zwitterionic peroxides derived from the reaction of singlet oxygen and various electron-rich olefins leads to 1,2,4-trioxanes. Ketones do not react with these transient species. However, it is shown that 1,2-dioxetanes, endo-peroxides, and hydroperoxy derivatives on catalysis can react equally well with aldehydes and ketones in an inter- and intramolecular manner to give monocyclic, bicyclic and bridged bicyclic trioxane derivatives. The chemistry of the trioxane ring is demonstrated by its use as a new protecting group and as an intermediate in synthesis for preparing cis-1,2-diols. © 1991, Elsevier Inc. All rights reserved.","author":[{"dropping-particle":"","family":"Jefford","given":"C. W.","non-dropping-particle":"","parse-names":false,"suffix":""}],"container-title":"Studies in Surface Science and Catalysis","id":"ITEM-3","issue":"C","issued":{"date-parts":[["1991"]]},"page":"555-564","title":"1,2,4-Trioxanes, The Chemistry of A New Class of Saturated Heterocycles","type":"article-journal","volume":"66"},"uris":["http://www.mendeley.com/documents/?uuid=aaf48250-bbbc-4fd1-b600-aa3d0e7abeec","http://www.mendeley.com/documents/?uuid=356b20fb-a0f0-418f-8c01-fcab13ebf553"]}],"mendeley":{"formattedCitation":"&lt;sup&gt;82–84&lt;/sup&gt;","plainTextFormattedCitation":"82–84","previouslyFormattedCitation":"&lt;sup&gt;82–84&lt;/sup&gt;"},"properties":{"noteIndex":0},"schema":"https://github.com/citation-style-language/schema/raw/master/csl-citation.json"}</w:instrText>
      </w:r>
      <w:r w:rsidR="007205FC" w:rsidRPr="00C07E8E">
        <w:rPr>
          <w:rFonts w:cs="Times New Roman"/>
          <w:color w:val="auto"/>
          <w:szCs w:val="22"/>
        </w:rPr>
        <w:fldChar w:fldCharType="separate"/>
      </w:r>
      <w:r w:rsidR="007125A3" w:rsidRPr="007125A3">
        <w:rPr>
          <w:rFonts w:cs="Times New Roman"/>
          <w:noProof/>
          <w:color w:val="auto"/>
          <w:szCs w:val="22"/>
          <w:vertAlign w:val="superscript"/>
        </w:rPr>
        <w:t>82–84</w:t>
      </w:r>
      <w:r w:rsidR="007205FC" w:rsidRPr="00C07E8E">
        <w:rPr>
          <w:rFonts w:cs="Times New Roman"/>
          <w:color w:val="auto"/>
          <w:szCs w:val="22"/>
        </w:rPr>
        <w:fldChar w:fldCharType="end"/>
      </w:r>
      <w:r w:rsidR="007205FC" w:rsidRPr="00C07E8E">
        <w:rPr>
          <w:rFonts w:cs="Times New Roman"/>
          <w:color w:val="auto"/>
          <w:szCs w:val="22"/>
        </w:rPr>
        <w:t xml:space="preserve"> A series of fenozans were synthesised using the methods reported by Jeffords</w:t>
      </w:r>
      <w:r w:rsidR="00BF7B36">
        <w:rPr>
          <w:rFonts w:cs="Times New Roman"/>
          <w:color w:val="auto"/>
          <w:szCs w:val="22"/>
        </w:rPr>
        <w:t>,</w:t>
      </w:r>
      <w:r w:rsidR="007205FC" w:rsidRPr="00C07E8E">
        <w:rPr>
          <w:rFonts w:cs="Times New Roman"/>
          <w:color w:val="auto"/>
          <w:szCs w:val="22"/>
        </w:rPr>
        <w:t xml:space="preserve"> as summarised in </w:t>
      </w:r>
      <w:r w:rsidR="007205FC" w:rsidRPr="007370A6">
        <w:rPr>
          <w:rFonts w:cs="Times New Roman"/>
          <w:b/>
          <w:color w:val="auto"/>
          <w:szCs w:val="22"/>
        </w:rPr>
        <w:t xml:space="preserve">Scheme </w:t>
      </w:r>
      <w:r w:rsidR="00953669" w:rsidRPr="007370A6">
        <w:rPr>
          <w:rFonts w:cs="Times New Roman"/>
          <w:b/>
          <w:color w:val="auto"/>
          <w:szCs w:val="22"/>
        </w:rPr>
        <w:t>3</w:t>
      </w:r>
      <w:r w:rsidR="007205FC" w:rsidRPr="00C07E8E">
        <w:rPr>
          <w:rFonts w:cs="Times New Roman"/>
          <w:color w:val="auto"/>
          <w:szCs w:val="22"/>
        </w:rPr>
        <w:t>.</w:t>
      </w:r>
      <w:r w:rsidR="007205FC"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{"citationItems":[{"id":"ITEM-1","itemData":{"DOI":"10.1080/00034983.1993.11812733","ISSN":"00034983","PMID":"8346987","abstract":"The new Chinese antimalarial blood schizontocide, artemisinin, derived from the plant Artemisia annua, displays a high level of activity against polyresistant Plasmodium falciparum. Several synthetic 1,2,4-trioxanes were examined in a search for compounds that exhibit a similar type of action against drug-resistant parasites. This paper, the first of a series, describes the examination of these trioxanes against drug-sensitive and drug-resistant malaria parasites in a rodent model, using artemisinin and arteether as comparison standards. Cis-fused cyclohexeno-1,2,4-trioxanes (10-17) substituted with various side-chains revealed for the most part variable but weak antimalarial activity. On the other hand, cis-fused cyclopenteno-1,2,4-trioxanes (18-19) showed greater activity, 19 showing about 1/30th of the activity of arteether against drug-sensitive Plasmodium berghei in vivo, thereby providing a clue to the structure activity relationship.","author":[{"dropping-particle":"","family":"Peters","given":"W.","non-dropping-particle":"","parse-names":false,"suffix":""},{"dropping-particle":"","family":"Robinson","given":"B. L.","non-dropping-particle":"","parse-names":false,"suffix":""},{"dropping-particle":"","family":"Rossier","given":"J. C.","non-dropping-particle":"","parse-names":false,"suffix":""},{"dropping-particle":"","family":"Jefford","given":"C. W.","non-dropping-particle":"","parse-names":false,"suffix":""}],"container-title":"Annals of Tropical Medicine and Parasitology","id":"ITEM-1","issue":"1","issued":{"date-parts":[["1993"]]},"page":"1-7","title":"The chemotherapy of rodent malaria. XLVIII. The activities of some synthetic 1,2,4-trioxanes against chloroquine-sensitive and chloroquine-resistant parasites. Part 1: Studies leading to the development of novel cis-fused cyclopenteno derivatives","type":"article-journal","volume":"87"},"uris":["http://www.mendeley.com/documents/?uuid=6d88d7d1-d60c-4f62-8724-736a2f53a2a5","http://www.mendeley.com/documents/?uuid=16d24816-2cbd-4f85-bac5-fed7068c5f8b"]},{"id":"ITEM-2","itemData":{"DOI":"10.1080/00034983.1993.11812734","ISSN":"00034983","PMID":"8346994","abstract":"The activity of 51 synthetic cis-fused cyclopenteno-1,2,4-trioxanes has been examined against drug-sensitive and chloroquine-resistant malaria parasites in vivo. Some of them display high levels of blood schizontocidal activity when administered orally or subcutaneously. They retain their activity against lines of parasites that are resistant to widely differing antimalarials such as 4-aminoquinolines, aminoalcohols, dihydrofolate reductase inhibitors and artemisinin. The most potent compound of the present series is cis-(±)-4a,7a-dihydro-6,7a-di(p-fiuorophenyl)spiro[cyciopentane-3,3'-7H -cyclopenta-1,2,4-trioxin], otherwise known as Fenozan-50F.","author":[{"dropping-particle":"","family":"Peters","given":"W.","non-dropping-particle":"","parse-names":false,"suffix":""},{"dropping-particle":"","family":"Robinson","given":"B. L.","non-dropping-particle":"","parse-names":false,"suffix":""},{"dropping-particle":"","family":"Rossiter","given":"J. C.","non-dropping-particle":"","parse-names":false,"suffix":""},{"dropping-particle":"","family":"Misra","given":"D.","non-dropping-particle":"","parse-names":false,"suffix":""},{"dropping-particle":"","family":"Jefford","given":"C. W.","non-dropping-particle":"","parse-names":false,"suffix":""}],"container-title":"Annals of Tropical Medicine and Parasitology","id":"ITEM-2","issue":"1","issued":{"date-parts":[["1993"]]},"page":"9-16","title":"The chemotherapy of rodent malaria. XLIX. The activities of some synthetic 1,2,4-trioxanes against chloroquinesensitive and chloroquine-resistant parasites. Part 2: Structure-activity studies on cis-fused cyclopenteno-1,2,4-trioxanes (fenozans) against dr","type":"article-journal","volume":"87"},"uris":["http://www.mendeley.com/documents/?uuid=70ee5b2a-d340-4eeb-94af-3d864607a85d","http://www.mendeley.com/documents/?uuid=986b1287-11d2-45b8-b2f4-69550bc1701c","http://www.mendeley.com/documents/?uuid=f567f7a7-9b0a-466d-870a-6641c11cb3d3"]}],"mendeley":{"formattedCitation":"&lt;sup&gt;82,83&lt;/sup&gt;","plainTextFormattedCitation":"82,83","previouslyFormattedCitation":"&lt;sup&gt;82,83&lt;/sup&gt;"},"properties":{"noteIndex":0},"schema":"https://github.com/citation-style-language/schema/raw/master/csl-citation.json"}</w:instrText>
      </w:r>
      <w:r w:rsidR="007205FC" w:rsidRPr="00C07E8E">
        <w:rPr>
          <w:rFonts w:cs="Times New Roman"/>
          <w:color w:val="auto"/>
          <w:szCs w:val="22"/>
        </w:rPr>
        <w:fldChar w:fldCharType="separate"/>
      </w:r>
      <w:r w:rsidR="007125A3" w:rsidRPr="007125A3">
        <w:rPr>
          <w:rFonts w:cs="Times New Roman"/>
          <w:noProof/>
          <w:color w:val="auto"/>
          <w:szCs w:val="22"/>
          <w:vertAlign w:val="superscript"/>
        </w:rPr>
        <w:t>82,83</w:t>
      </w:r>
      <w:r w:rsidR="007205FC" w:rsidRPr="00C07E8E">
        <w:rPr>
          <w:rFonts w:cs="Times New Roman"/>
          <w:color w:val="auto"/>
          <w:szCs w:val="22"/>
        </w:rPr>
        <w:fldChar w:fldCharType="end"/>
      </w:r>
      <w:r w:rsidR="007205FC" w:rsidRPr="00C07E8E">
        <w:rPr>
          <w:rFonts w:cs="Times New Roman"/>
          <w:color w:val="auto"/>
          <w:szCs w:val="22"/>
        </w:rPr>
        <w:t xml:space="preserve">  Fenozan-50F was synthesised from 1,4-bis(4-fluorophenyl)-cyclopentadiene </w:t>
      </w:r>
      <w:r w:rsidR="006C7352" w:rsidRPr="00C07E8E">
        <w:rPr>
          <w:rFonts w:cs="Times New Roman"/>
          <w:b/>
          <w:bCs/>
          <w:color w:val="auto"/>
          <w:szCs w:val="22"/>
        </w:rPr>
        <w:t>3</w:t>
      </w:r>
      <w:r w:rsidR="003F0F34">
        <w:rPr>
          <w:rFonts w:cs="Times New Roman"/>
          <w:b/>
          <w:bCs/>
          <w:color w:val="auto"/>
          <w:szCs w:val="22"/>
        </w:rPr>
        <w:t>5</w:t>
      </w:r>
      <w:r w:rsidR="00BF7B36">
        <w:rPr>
          <w:rFonts w:cs="Times New Roman"/>
          <w:b/>
          <w:bCs/>
          <w:color w:val="auto"/>
          <w:szCs w:val="22"/>
        </w:rPr>
        <w:t>,</w:t>
      </w:r>
      <w:r w:rsidR="007205FC" w:rsidRPr="00C07E8E">
        <w:rPr>
          <w:rFonts w:cs="Times New Roman"/>
          <w:color w:val="auto"/>
          <w:szCs w:val="22"/>
        </w:rPr>
        <w:t xml:space="preserve"> previously prepared by condensation of 4-fluorophenacyl </w:t>
      </w:r>
      <w:r w:rsidR="007205FC" w:rsidRPr="00C07E8E">
        <w:rPr>
          <w:rFonts w:cs="Times New Roman"/>
          <w:color w:val="auto"/>
          <w:szCs w:val="22"/>
        </w:rPr>
        <w:lastRenderedPageBreak/>
        <w:t>bromide (</w:t>
      </w:r>
      <w:r w:rsidR="006C7352" w:rsidRPr="00C07E8E">
        <w:rPr>
          <w:rFonts w:cs="Times New Roman"/>
          <w:b/>
          <w:bCs/>
          <w:color w:val="auto"/>
          <w:szCs w:val="22"/>
        </w:rPr>
        <w:t>3</w:t>
      </w:r>
      <w:r w:rsidR="003F0F34">
        <w:rPr>
          <w:rFonts w:cs="Times New Roman"/>
          <w:b/>
          <w:bCs/>
          <w:color w:val="auto"/>
          <w:szCs w:val="22"/>
        </w:rPr>
        <w:t>2</w:t>
      </w:r>
      <w:r w:rsidR="007205FC" w:rsidRPr="00C07E8E">
        <w:rPr>
          <w:rFonts w:cs="Times New Roman"/>
          <w:color w:val="auto"/>
          <w:szCs w:val="22"/>
        </w:rPr>
        <w:t xml:space="preserve">) with ethyl-acetoacetate to afford </w:t>
      </w:r>
      <w:r w:rsidR="006C7352" w:rsidRPr="00C07E8E">
        <w:rPr>
          <w:rFonts w:cs="Times New Roman"/>
          <w:b/>
          <w:bCs/>
          <w:color w:val="auto"/>
          <w:szCs w:val="22"/>
        </w:rPr>
        <w:t>3</w:t>
      </w:r>
      <w:r w:rsidR="003F0F34">
        <w:rPr>
          <w:rFonts w:cs="Times New Roman"/>
          <w:b/>
          <w:bCs/>
          <w:color w:val="auto"/>
          <w:szCs w:val="22"/>
        </w:rPr>
        <w:t>3</w:t>
      </w:r>
      <w:r w:rsidR="007205FC" w:rsidRPr="00C07E8E">
        <w:rPr>
          <w:rFonts w:cs="Times New Roman"/>
          <w:b/>
          <w:bCs/>
          <w:color w:val="auto"/>
          <w:szCs w:val="22"/>
        </w:rPr>
        <w:t xml:space="preserve"> </w:t>
      </w:r>
      <w:r w:rsidR="007205FC" w:rsidRPr="00C07E8E">
        <w:rPr>
          <w:rFonts w:cs="Times New Roman"/>
          <w:color w:val="auto"/>
          <w:szCs w:val="22"/>
        </w:rPr>
        <w:t xml:space="preserve">which upon treatment with base cyclised to give the substituted cyclopentenone </w:t>
      </w:r>
      <w:r w:rsidR="006C7352" w:rsidRPr="00C07E8E">
        <w:rPr>
          <w:rFonts w:cs="Times New Roman"/>
          <w:b/>
          <w:bCs/>
          <w:color w:val="auto"/>
          <w:szCs w:val="22"/>
        </w:rPr>
        <w:t>3</w:t>
      </w:r>
      <w:r w:rsidR="003F0F34">
        <w:rPr>
          <w:rFonts w:cs="Times New Roman"/>
          <w:b/>
          <w:bCs/>
          <w:color w:val="auto"/>
          <w:szCs w:val="22"/>
        </w:rPr>
        <w:t>4</w:t>
      </w:r>
      <w:r w:rsidR="006C7352" w:rsidRPr="00C07E8E">
        <w:rPr>
          <w:rFonts w:cs="Times New Roman"/>
          <w:b/>
          <w:bCs/>
          <w:color w:val="auto"/>
          <w:szCs w:val="22"/>
        </w:rPr>
        <w:t>.</w:t>
      </w:r>
      <w:r w:rsidR="007205FC" w:rsidRPr="00C07E8E">
        <w:rPr>
          <w:rFonts w:cs="Times New Roman"/>
          <w:color w:val="auto"/>
          <w:szCs w:val="22"/>
        </w:rPr>
        <w:t xml:space="preserve"> Grignard addition of 4-fluorophenyl magnesium bromide into </w:t>
      </w:r>
      <w:r w:rsidR="006C7352" w:rsidRPr="00C07E8E">
        <w:rPr>
          <w:rFonts w:cs="Times New Roman"/>
          <w:b/>
          <w:bCs/>
          <w:color w:val="auto"/>
          <w:szCs w:val="22"/>
        </w:rPr>
        <w:t>3</w:t>
      </w:r>
      <w:r w:rsidR="003F0F34">
        <w:rPr>
          <w:rFonts w:cs="Times New Roman"/>
          <w:b/>
          <w:bCs/>
          <w:color w:val="auto"/>
          <w:szCs w:val="22"/>
        </w:rPr>
        <w:t>4</w:t>
      </w:r>
      <w:r w:rsidR="007205FC" w:rsidRPr="00C07E8E">
        <w:rPr>
          <w:rFonts w:cs="Times New Roman"/>
          <w:color w:val="auto"/>
          <w:szCs w:val="22"/>
        </w:rPr>
        <w:t xml:space="preserve"> and subsequent heating yielded </w:t>
      </w:r>
      <w:r w:rsidR="006C7352" w:rsidRPr="00C07E8E">
        <w:rPr>
          <w:rFonts w:cs="Times New Roman"/>
          <w:b/>
          <w:bCs/>
          <w:color w:val="auto"/>
          <w:szCs w:val="22"/>
        </w:rPr>
        <w:t>3</w:t>
      </w:r>
      <w:r w:rsidR="003F0F34">
        <w:rPr>
          <w:rFonts w:cs="Times New Roman"/>
          <w:b/>
          <w:bCs/>
          <w:color w:val="auto"/>
          <w:szCs w:val="22"/>
        </w:rPr>
        <w:t>5</w:t>
      </w:r>
      <w:r w:rsidR="007205FC" w:rsidRPr="00C07E8E">
        <w:rPr>
          <w:rFonts w:cs="Times New Roman"/>
          <w:color w:val="auto"/>
          <w:szCs w:val="22"/>
        </w:rPr>
        <w:t xml:space="preserve">. Dye-sensitised photoaddition of singlet oxygen yielded the endoperoxide </w:t>
      </w:r>
      <w:r w:rsidR="006C7352" w:rsidRPr="00C07E8E">
        <w:rPr>
          <w:rFonts w:cs="Times New Roman"/>
          <w:b/>
          <w:bCs/>
          <w:color w:val="auto"/>
          <w:szCs w:val="22"/>
        </w:rPr>
        <w:t>3</w:t>
      </w:r>
      <w:r w:rsidR="003F0F34">
        <w:rPr>
          <w:rFonts w:cs="Times New Roman"/>
          <w:b/>
          <w:bCs/>
          <w:color w:val="auto"/>
          <w:szCs w:val="22"/>
        </w:rPr>
        <w:t>6</w:t>
      </w:r>
      <w:r w:rsidR="007205FC" w:rsidRPr="00C07E8E">
        <w:rPr>
          <w:rFonts w:cs="Times New Roman"/>
          <w:b/>
          <w:bCs/>
          <w:color w:val="auto"/>
          <w:szCs w:val="22"/>
        </w:rPr>
        <w:t xml:space="preserve"> </w:t>
      </w:r>
      <w:r w:rsidR="007205FC" w:rsidRPr="00C07E8E">
        <w:rPr>
          <w:rFonts w:cs="Times New Roman"/>
          <w:color w:val="auto"/>
          <w:szCs w:val="22"/>
        </w:rPr>
        <w:t>which was condensed with cyclopentanone in the presence of catalytic Me</w:t>
      </w:r>
      <w:r w:rsidR="007205FC" w:rsidRPr="00C07E8E">
        <w:rPr>
          <w:rFonts w:cs="Times New Roman"/>
          <w:color w:val="auto"/>
          <w:szCs w:val="22"/>
          <w:vertAlign w:val="subscript"/>
        </w:rPr>
        <w:t>3</w:t>
      </w:r>
      <w:r w:rsidR="007205FC" w:rsidRPr="00C07E8E">
        <w:rPr>
          <w:rFonts w:cs="Times New Roman"/>
          <w:color w:val="auto"/>
          <w:szCs w:val="22"/>
        </w:rPr>
        <w:t>SiOTf to yield Fenozan-50F (</w:t>
      </w:r>
      <w:r w:rsidR="006C7352" w:rsidRPr="00C07E8E">
        <w:rPr>
          <w:rFonts w:cs="Times New Roman"/>
          <w:b/>
          <w:bCs/>
          <w:color w:val="auto"/>
          <w:szCs w:val="22"/>
        </w:rPr>
        <w:t>3</w:t>
      </w:r>
      <w:r w:rsidR="003F0F34">
        <w:rPr>
          <w:rFonts w:cs="Times New Roman"/>
          <w:b/>
          <w:bCs/>
          <w:color w:val="auto"/>
          <w:szCs w:val="22"/>
        </w:rPr>
        <w:t>1</w:t>
      </w:r>
      <w:r w:rsidR="007205FC" w:rsidRPr="00C07E8E">
        <w:rPr>
          <w:rFonts w:cs="Times New Roman"/>
          <w:color w:val="auto"/>
          <w:szCs w:val="22"/>
        </w:rPr>
        <w:t>) as an enantiomeric mixture which was separated by chiral HPLC.</w:t>
      </w:r>
      <w:r w:rsidR="007205FC" w:rsidRPr="00C07E8E">
        <w:rPr>
          <w:rFonts w:cs="Times New Roman"/>
          <w:color w:val="auto"/>
          <w:szCs w:val="22"/>
        </w:rPr>
        <w:fldChar w:fldCharType="begin" w:fldLock="1"/>
      </w:r>
      <w:r w:rsidR="00CA5C6A">
        <w:rPr>
          <w:rFonts w:cs="Times New Roman"/>
          <w:color w:val="auto"/>
          <w:szCs w:val="22"/>
        </w:rPr>
        <w:instrText>ADDIN CSL_CITATION {"citationItems":[{"id":"ITEM-1","itemData":{"DOI":"10.1002/hlca.19950780312","ISSN":"15222675","abstract":"Two pairs of enantiomerically pure cis‐fused cyclopenteno‐1,2,4‐trioxanes (7, ent‐7 and 8, ent‐8) are prepared (Schemes 1–3). Their identities are established by dye‐sensitized photo‐oxygenation of ent‐7 and 8, ent‐8 to the allylichydroperxides, reduction to the corresponding alcohols, and conversion to the (1S)‐camphanates (Scheme 4), the structures of which are determined by X‐ray analysis. The dynamic properties of ent‐7 are investigated by NMR spectroscopy and PM3 calculations. Evidence for an easily accessible twist‐boat conformation is obtained. The in vitro and in vivo antimalarial activities of 7, ent‐7,8, and ent‐8 as well as those of the racemic mixtures are evaluated against Plasmodium falciparum, P. berghei, and P. yoelii. No correlation is observed between configuration and activity. Racemates and pure enantiomers have commensurate activities. The mode of action on the intraerythrocytic parasite is rationalized in terms of close docking by the twist‐boat conformer of the trioxane on the surface of a molecule of heme, single‐electron transfer to the OO σ* orbital, and scission to the acetal radical which then irreversibly isomerizes to a C‐centered radical, the ultimate lethal agent (Scheme 5). Copyright © 1995 Verlag GmbH &amp; Co. KGaA, Weinheim","author":[{"dropping-particle":"","family":"Jefford","given":"Charles W.","non-dropping-particle":"","parse-names":false,"suffix":""},{"dropping-particle":"","family":"Kohmoto","given":"Shigeo","non-dropping-particle":"","parse-names":false,"suffix":""},{"dropping-particle":"","family":"Jaggi","given":"Danielle","non-dropping-particle":"","parse-names":false,"suffix":""},{"dropping-particle":"","family":"Timári","given":"Géza","non-dropping-particle":"","parse-names":false,"suffix":""},{"dropping-particle":"","family":"Rossier","given":"Jean-Claude","non-dropping-particle":"","parse-names":false,"suffix":""},{"dropping-particle":"","family":"Rudaz","given":"Manyck","non-dropping-particle":"","parse-names":false,"suffix":""},{"dropping-particle":"","family":"Barbuzzi","given":"Olivier","non-dropping-particle":"","parse-names":false,"suffix":""},{"dropping-particle":"","family":"Gérard","given":"David","non-dropping-particle":"","parse-names":false,"suffix":""},{"dropping-particle":"","family":"Burger","given":"Ulrich","non-dropping-particle":"","parse-names":false,"suffix":""},{"dropping-particle":"","family":"Kamalaprija","given":"Phillipe","non-dropping-particle":"","parse-names":false,"suffix":""},{"dropping-particle":"","family":"Mareda","given":"Jiri","non-dropping-particle":"","parse-names":false,"suffix":""},{"dropping-particle":"","family":"Bernadinelli","given":"Gérald","non-dropping-particle":"","parse-names":false,"suffix":""}],"container-title":"Helvetica Chimica Acta","id":"ITEM-1","issue":"3","issued":{"date-parts":[["1995"]]},"page":"647-662","title":"Synthesis, Structure, and Antimalarial Activity of Some Enantiomerically Pure, cis-Fused Cyclopenteno-1,2,4-trioxanes","type":"article-journal","volume":"78"},"uris":["http://www.mendeley.com/documents/?uuid=eda0e513-04aa-4129-8a41-5a14e50deee8"]}],"mendeley":{"formattedCitation":"&lt;sup&gt;85&lt;/sup&gt;","plainTextFormattedCitation":"85","previouslyFormattedCitation":"&lt;sup&gt;85&lt;/sup&gt;"},"properties":{"noteIndex":0},"schema":"https://github.com/citation-style-language/schema/raw/master/csl-citation.json"}</w:instrText>
      </w:r>
      <w:r w:rsidR="007205FC" w:rsidRPr="00C07E8E">
        <w:rPr>
          <w:rFonts w:cs="Times New Roman"/>
          <w:color w:val="auto"/>
          <w:szCs w:val="22"/>
        </w:rPr>
        <w:fldChar w:fldCharType="separate"/>
      </w:r>
      <w:r w:rsidR="007125A3" w:rsidRPr="007125A3">
        <w:rPr>
          <w:rFonts w:cs="Times New Roman"/>
          <w:noProof/>
          <w:color w:val="auto"/>
          <w:szCs w:val="22"/>
          <w:vertAlign w:val="superscript"/>
        </w:rPr>
        <w:t>85</w:t>
      </w:r>
      <w:r w:rsidR="007205FC" w:rsidRPr="00C07E8E">
        <w:rPr>
          <w:rFonts w:cs="Times New Roman"/>
          <w:color w:val="auto"/>
          <w:szCs w:val="22"/>
        </w:rPr>
        <w:fldChar w:fldCharType="end"/>
      </w:r>
      <w:r w:rsidR="007205FC" w:rsidRPr="00C07E8E">
        <w:rPr>
          <w:rFonts w:cs="Times New Roman"/>
          <w:color w:val="auto"/>
          <w:szCs w:val="22"/>
        </w:rPr>
        <w:t xml:space="preserve"> Fenozan-50F has been investigated extensively in rodent models of malaria.</w:t>
      </w:r>
    </w:p>
    <w:p w14:paraId="0CCE3705" w14:textId="7229BB51" w:rsidR="008C26C6" w:rsidRPr="00C07E8E" w:rsidRDefault="00730A60" w:rsidP="00532D1D">
      <w:pPr>
        <w:keepNext/>
        <w:rPr>
          <w:rFonts w:cs="Times New Roman"/>
          <w:color w:val="auto"/>
          <w:szCs w:val="22"/>
        </w:rPr>
      </w:pPr>
      <w:r w:rsidRPr="006D7105">
        <w:rPr>
          <w:rFonts w:cs="Times New Roman"/>
          <w:noProof/>
          <w:color w:val="auto"/>
          <w:szCs w:val="22"/>
        </w:rPr>
        <w:object w:dxaOrig="9260" w:dyaOrig="5820" w14:anchorId="54B1D557">
          <v:shape id="_x0000_i1033" type="#_x0000_t75" alt="" style="width:462pt;height:290.4pt" o:ole="">
            <v:imagedata r:id="rId22" o:title=""/>
          </v:shape>
          <o:OLEObject Type="Embed" ProgID="ChemDraw.Document.6.0" ShapeID="_x0000_i1033" DrawAspect="Content" ObjectID="_1669219467" r:id="rId23"/>
        </w:object>
      </w:r>
    </w:p>
    <w:p w14:paraId="5E216992" w14:textId="3160363B" w:rsidR="006F7C74" w:rsidRPr="00C07E8E" w:rsidRDefault="00C07E8E" w:rsidP="00532D1D">
      <w:pPr>
        <w:pStyle w:val="Legenda"/>
        <w:spacing w:after="0" w:line="360" w:lineRule="auto"/>
        <w:rPr>
          <w:rFonts w:cs="Times New Roman"/>
          <w:i w:val="0"/>
          <w:iCs w:val="0"/>
          <w:color w:val="auto"/>
          <w:sz w:val="22"/>
          <w:szCs w:val="22"/>
        </w:rPr>
      </w:pPr>
      <w:r w:rsidRPr="00C07E8E">
        <w:rPr>
          <w:rFonts w:cs="Times New Roman"/>
          <w:b/>
          <w:bCs/>
          <w:i w:val="0"/>
          <w:iCs w:val="0"/>
          <w:color w:val="auto"/>
          <w:sz w:val="22"/>
          <w:szCs w:val="22"/>
        </w:rPr>
        <w:t xml:space="preserve">Scheme </w:t>
      </w:r>
      <w:r w:rsidR="00953669" w:rsidRPr="00C07E8E">
        <w:rPr>
          <w:rFonts w:cs="Times New Roman"/>
          <w:b/>
          <w:bCs/>
          <w:i w:val="0"/>
          <w:iCs w:val="0"/>
          <w:color w:val="auto"/>
          <w:sz w:val="22"/>
          <w:szCs w:val="22"/>
        </w:rPr>
        <w:t>3</w:t>
      </w:r>
      <w:r w:rsidRPr="00C07E8E">
        <w:rPr>
          <w:rFonts w:cs="Times New Roman"/>
          <w:b/>
          <w:bCs/>
          <w:i w:val="0"/>
          <w:iCs w:val="0"/>
          <w:color w:val="auto"/>
          <w:sz w:val="22"/>
          <w:szCs w:val="22"/>
        </w:rPr>
        <w:t>:</w:t>
      </w:r>
      <w:r w:rsidRPr="00C07E8E">
        <w:rPr>
          <w:rFonts w:cs="Times New Roman"/>
          <w:i w:val="0"/>
          <w:iCs w:val="0"/>
          <w:color w:val="auto"/>
          <w:sz w:val="22"/>
          <w:szCs w:val="22"/>
        </w:rPr>
        <w:t xml:space="preserve"> Synthesis of the 1,2,4-trioxane antimalarial </w:t>
      </w:r>
      <w:bookmarkStart w:id="2" w:name="_Hlk48916410"/>
      <w:r w:rsidRPr="00C07E8E">
        <w:rPr>
          <w:rFonts w:cs="Times New Roman"/>
          <w:i w:val="0"/>
          <w:iCs w:val="0"/>
          <w:color w:val="auto"/>
          <w:sz w:val="22"/>
          <w:szCs w:val="22"/>
        </w:rPr>
        <w:t>Fenozan-50F</w:t>
      </w:r>
      <w:r w:rsidR="00233EB9">
        <w:rPr>
          <w:rFonts w:cs="Times New Roman"/>
          <w:i w:val="0"/>
          <w:iCs w:val="0"/>
          <w:color w:val="auto"/>
          <w:sz w:val="22"/>
          <w:szCs w:val="22"/>
        </w:rPr>
        <w:t xml:space="preserve"> </w:t>
      </w:r>
      <w:r w:rsidR="00233EB9" w:rsidRPr="007370A6">
        <w:rPr>
          <w:rFonts w:cs="Times New Roman"/>
          <w:b/>
          <w:i w:val="0"/>
          <w:iCs w:val="0"/>
          <w:color w:val="auto"/>
          <w:sz w:val="22"/>
          <w:szCs w:val="22"/>
        </w:rPr>
        <w:t>3</w:t>
      </w:r>
      <w:r w:rsidR="003F0F34">
        <w:rPr>
          <w:rFonts w:cs="Times New Roman"/>
          <w:b/>
          <w:i w:val="0"/>
          <w:iCs w:val="0"/>
          <w:color w:val="auto"/>
          <w:sz w:val="22"/>
          <w:szCs w:val="22"/>
        </w:rPr>
        <w:t>1</w:t>
      </w:r>
      <w:r w:rsidR="00AF7210" w:rsidRPr="007370A6">
        <w:rPr>
          <w:rFonts w:cs="Times New Roman"/>
          <w:bCs/>
          <w:i w:val="0"/>
          <w:iCs w:val="0"/>
          <w:color w:val="auto"/>
          <w:sz w:val="22"/>
          <w:szCs w:val="22"/>
        </w:rPr>
        <w:t>.</w:t>
      </w:r>
      <w:bookmarkEnd w:id="2"/>
    </w:p>
    <w:p w14:paraId="42DBED11" w14:textId="77777777" w:rsidR="005B5648" w:rsidRPr="00C07E8E" w:rsidRDefault="005B5648" w:rsidP="00532D1D">
      <w:pPr>
        <w:rPr>
          <w:rFonts w:cs="Times New Roman"/>
          <w:color w:val="auto"/>
          <w:szCs w:val="22"/>
        </w:rPr>
      </w:pPr>
    </w:p>
    <w:p w14:paraId="0A2275A7" w14:textId="4095C2E1" w:rsidR="00C9576F" w:rsidRPr="00C07E8E" w:rsidRDefault="00C07E8E" w:rsidP="00532D1D">
      <w:pPr>
        <w:rPr>
          <w:rFonts w:cs="Times New Roman"/>
          <w:color w:val="auto"/>
          <w:szCs w:val="22"/>
        </w:rPr>
      </w:pPr>
      <w:r w:rsidRPr="00C07E8E">
        <w:rPr>
          <w:rFonts w:cs="Times New Roman"/>
          <w:color w:val="auto"/>
          <w:szCs w:val="22"/>
        </w:rPr>
        <w:tab/>
        <w:t xml:space="preserve">Fenozan-50F was screened against </w:t>
      </w:r>
      <w:r w:rsidR="00914D90" w:rsidRPr="00C07E8E">
        <w:rPr>
          <w:rFonts w:cs="Times New Roman"/>
          <w:color w:val="auto"/>
          <w:szCs w:val="22"/>
        </w:rPr>
        <w:t xml:space="preserve">chloroquine (CQ) </w:t>
      </w:r>
      <w:r w:rsidR="00841A1C" w:rsidRPr="00C07E8E">
        <w:rPr>
          <w:rFonts w:cs="Times New Roman"/>
          <w:color w:val="auto"/>
          <w:szCs w:val="22"/>
        </w:rPr>
        <w:t>resistan</w:t>
      </w:r>
      <w:r w:rsidR="00841A1C">
        <w:rPr>
          <w:rFonts w:cs="Times New Roman"/>
          <w:color w:val="auto"/>
          <w:szCs w:val="22"/>
        </w:rPr>
        <w:t>t</w:t>
      </w:r>
      <w:r w:rsidR="00841A1C" w:rsidRPr="00C07E8E">
        <w:rPr>
          <w:rFonts w:cs="Times New Roman"/>
          <w:color w:val="auto"/>
          <w:szCs w:val="22"/>
        </w:rPr>
        <w:t xml:space="preserve"> </w:t>
      </w:r>
      <w:r w:rsidR="00486FB8" w:rsidRPr="00C07E8E">
        <w:rPr>
          <w:rFonts w:cs="Times New Roman"/>
          <w:color w:val="auto"/>
          <w:szCs w:val="22"/>
        </w:rPr>
        <w:t xml:space="preserve">W2 and CQ sensitive D6 strains of </w:t>
      </w:r>
      <w:r w:rsidR="00486FB8" w:rsidRPr="00C07E8E">
        <w:rPr>
          <w:rFonts w:cs="Times New Roman"/>
          <w:i/>
          <w:iCs/>
          <w:color w:val="auto"/>
          <w:szCs w:val="22"/>
        </w:rPr>
        <w:t xml:space="preserve">P. falciparum </w:t>
      </w:r>
      <w:r w:rsidR="00486FB8" w:rsidRPr="00C07E8E">
        <w:rPr>
          <w:rFonts w:cs="Times New Roman"/>
          <w:color w:val="auto"/>
          <w:szCs w:val="22"/>
        </w:rPr>
        <w:t>and was found to be equipotent</w:t>
      </w:r>
      <w:r w:rsidR="00841A1C">
        <w:rPr>
          <w:rFonts w:cs="Times New Roman"/>
          <w:color w:val="auto"/>
          <w:szCs w:val="22"/>
        </w:rPr>
        <w:t>,</w:t>
      </w:r>
      <w:r w:rsidR="00486FB8" w:rsidRPr="00C07E8E">
        <w:rPr>
          <w:rFonts w:cs="Times New Roman"/>
          <w:color w:val="auto"/>
          <w:szCs w:val="22"/>
        </w:rPr>
        <w:t xml:space="preserve"> </w:t>
      </w:r>
      <w:r w:rsidR="00D15348" w:rsidRPr="00C07E8E">
        <w:rPr>
          <w:rFonts w:cs="Times New Roman"/>
          <w:color w:val="auto"/>
          <w:szCs w:val="22"/>
        </w:rPr>
        <w:t>with IC</w:t>
      </w:r>
      <w:r w:rsidR="00D15348" w:rsidRPr="00C07E8E">
        <w:rPr>
          <w:rFonts w:cs="Times New Roman"/>
          <w:color w:val="auto"/>
          <w:szCs w:val="22"/>
          <w:vertAlign w:val="subscript"/>
        </w:rPr>
        <w:t xml:space="preserve">50 </w:t>
      </w:r>
      <w:r w:rsidR="00D15348" w:rsidRPr="00C07E8E">
        <w:rPr>
          <w:rFonts w:cs="Times New Roman"/>
          <w:color w:val="auto"/>
          <w:szCs w:val="22"/>
        </w:rPr>
        <w:t>values of 2.01 and 2.0</w:t>
      </w:r>
      <w:r w:rsidR="008B56B8" w:rsidRPr="00C07E8E">
        <w:rPr>
          <w:rFonts w:cs="Times New Roman"/>
          <w:color w:val="auto"/>
          <w:szCs w:val="22"/>
        </w:rPr>
        <w:t>7 ng/ml respectively. In comparison to Artesunate</w:t>
      </w:r>
      <w:r w:rsidR="00233EB9">
        <w:rPr>
          <w:rFonts w:cs="Times New Roman"/>
          <w:color w:val="auto"/>
          <w:szCs w:val="22"/>
        </w:rPr>
        <w:t>,</w:t>
      </w:r>
      <w:r w:rsidR="008B56B8" w:rsidRPr="00C07E8E">
        <w:rPr>
          <w:rFonts w:cs="Times New Roman"/>
          <w:color w:val="auto"/>
          <w:szCs w:val="22"/>
        </w:rPr>
        <w:t xml:space="preserve"> Fenozan-50F was found to be 4 and </w:t>
      </w:r>
      <w:r w:rsidR="00AF7ECD" w:rsidRPr="00C07E8E">
        <w:rPr>
          <w:rFonts w:cs="Times New Roman"/>
          <w:color w:val="auto"/>
          <w:szCs w:val="22"/>
        </w:rPr>
        <w:t>2 fold less potent against W2 and D6 respectively.</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{"citationItems":[{"id":"ITEM-1","itemData":{"DOI":"10.1002/hlca.19950780312","ISSN":"15222675","abstract":"Two pairs of enantiomerically pure cis‐fused cyclopenteno‐1,2,4‐trioxanes (7, ent‐7 and 8, ent‐8) are prepared (Schemes 1–3). Their identities are established by dye‐sensitized photo‐oxygenation of ent‐7 and 8, ent‐8 to the allylichydroperxides, reduction to the corresponding alcohols, and conversion to the (1S)‐camphanates (Scheme 4), the structures of which are determined by X‐ray analysis. The dynamic properties of ent‐7 are investigated by NMR spectroscopy and PM3 calculations. Evidence for an easily accessible twist‐boat conformation is obtained. The in vitro and in vivo antimalarial activities of 7, ent‐7,8, and ent‐8 as well as those of the racemic mixtures are evaluated against Plasmodium falciparum, P. berghei, and P. yoelii. No correlation is observed between configuration and activity. Racemates and pure enantiomers have commensurate activities. The mode of action on the intraerythrocytic parasite is rationalized in terms of close docking by the twist‐boat conformer of the trioxane on the surface of a molecule of heme, single‐electron transfer to the OO σ* orbital, and scission to the acetal radical which then irreversibly isomerizes to a C‐centered radical, the ultimate lethal agent (Scheme 5). Copyright © 1995 Verlag GmbH &amp; Co. KGaA, Weinheim","author":[{"dropping-particle":"","family":"Jefford","given":"Charles W.","non-dropping-particle":"","parse-names":false,"suffix":""},{"dropping-particle":"","family":"Kohmoto","given":"Shigeo","non-dropping-particle":"","parse-names":false,"suffix":""},{"dropping-particle":"","family":"Jaggi","given":"Danielle","non-dropping-particle":"","parse-names":false,"suffix":""},{"dropping-particle":"","family":"Timári","given":"Géza","non-dropping-particle":"","parse-names":false,"suffix":""},{"dropping-particle":"","family":"Rossier","given":"Jean-Claude","non-dropping-particle":"","parse-names":false,"suffix":""},{"dropping-particle":"","family":"Rudaz","given":"Manyck","non-dropping-particle":"","parse-names":false,"suffix":""},{"dropping-particle":"","family":"Barbuzzi","given":"Olivier","non-dropping-particle":"","parse-names":false,"suffix":""},{"dropping-particle":"","family":"Gérard","given":"David","non-dropping-particle":"","parse-names":false,"suffix":""},{"dropping-particle":"","family":"Burger","given":"Ulrich","non-dropping-particle":"","parse-names":false,"suffix":""},{"dropping-particle":"","family":"Kamalaprija","given":"Phillipe","non-dropping-particle":"","parse-names":false,"suffix":""},{"dropping-particle":"","family":"Mareda","given":"Jiri","non-dropping-particle":"","parse-names":false,"suffix":""},{"dropping-particle":"","family":"Bernadinelli","given":"Gérald","non-dropping-particle":"","parse-names":false,"suffix":""}],"container-title":"Helvetica Chimica Acta","id":"ITEM-1","issue":"3","issued":{"date-parts":[["1995"]]},"page":"647-662","title":"Synthesis, Structure, and Antimalarial Activity of Some Enantiomerically Pure, cis-Fused Cyclopenteno-1,2,4-trioxanes","type":"article-journal","volume":"78"},"uris":["http://www.mendeley.com/documents/?uuid=eda0e513-04aa-4129-8a41-5a14e50deee8"]}],"mendeley":{"formattedCitation":"&lt;sup&gt;85&lt;/sup&gt;","plainTextFormattedCitation":"85","previouslyFormattedCitation":"&lt;sup&gt;85&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85</w:t>
      </w:r>
      <w:r w:rsidR="00D71C99" w:rsidRPr="00C07E8E">
        <w:rPr>
          <w:rFonts w:cs="Times New Roman"/>
          <w:color w:val="auto"/>
          <w:szCs w:val="22"/>
        </w:rPr>
        <w:fldChar w:fldCharType="end"/>
      </w:r>
      <w:r w:rsidR="00AF7ECD" w:rsidRPr="00C07E8E">
        <w:rPr>
          <w:rFonts w:cs="Times New Roman"/>
          <w:color w:val="auto"/>
          <w:szCs w:val="22"/>
        </w:rPr>
        <w:t xml:space="preserve"> </w:t>
      </w:r>
      <w:r w:rsidR="00B618E9" w:rsidRPr="00C07E8E">
        <w:rPr>
          <w:rFonts w:cs="Times New Roman"/>
          <w:color w:val="auto"/>
          <w:szCs w:val="22"/>
        </w:rPr>
        <w:t xml:space="preserve">In the </w:t>
      </w:r>
      <w:r w:rsidR="00B618E9" w:rsidRPr="00C07E8E">
        <w:rPr>
          <w:rFonts w:cs="Times New Roman"/>
          <w:i/>
          <w:iCs/>
          <w:color w:val="auto"/>
          <w:szCs w:val="22"/>
        </w:rPr>
        <w:t xml:space="preserve">P. berghei </w:t>
      </w:r>
      <w:r w:rsidR="00B618E9" w:rsidRPr="00C07E8E">
        <w:rPr>
          <w:rFonts w:cs="Times New Roman"/>
          <w:color w:val="auto"/>
          <w:szCs w:val="22"/>
        </w:rPr>
        <w:t>mouse model it was found to</w:t>
      </w:r>
      <w:r w:rsidR="00941EDF" w:rsidRPr="00C07E8E">
        <w:rPr>
          <w:rFonts w:cs="Times New Roman"/>
          <w:color w:val="auto"/>
          <w:szCs w:val="22"/>
        </w:rPr>
        <w:t xml:space="preserve"> possess </w:t>
      </w:r>
      <w:r w:rsidR="00341BE2" w:rsidRPr="00C07E8E">
        <w:rPr>
          <w:rFonts w:cs="Times New Roman"/>
          <w:color w:val="auto"/>
          <w:szCs w:val="22"/>
        </w:rPr>
        <w:t>potent</w:t>
      </w:r>
      <w:r w:rsidR="00A92154" w:rsidRPr="00C07E8E">
        <w:rPr>
          <w:rFonts w:cs="Times New Roman"/>
          <w:color w:val="auto"/>
          <w:szCs w:val="22"/>
        </w:rPr>
        <w:t xml:space="preserve"> </w:t>
      </w:r>
      <w:r w:rsidR="00341BE2" w:rsidRPr="00C07E8E">
        <w:rPr>
          <w:rFonts w:cs="Times New Roman"/>
          <w:color w:val="auto"/>
          <w:szCs w:val="22"/>
        </w:rPr>
        <w:t>ED</w:t>
      </w:r>
      <w:r w:rsidR="00341BE2" w:rsidRPr="00C07E8E">
        <w:rPr>
          <w:rFonts w:cs="Times New Roman"/>
          <w:color w:val="auto"/>
          <w:szCs w:val="22"/>
          <w:vertAlign w:val="subscript"/>
        </w:rPr>
        <w:t>50</w:t>
      </w:r>
      <w:r w:rsidR="00341BE2" w:rsidRPr="00C07E8E">
        <w:rPr>
          <w:rFonts w:cs="Times New Roman"/>
          <w:color w:val="auto"/>
          <w:szCs w:val="22"/>
        </w:rPr>
        <w:t xml:space="preserve"> </w:t>
      </w:r>
      <w:r w:rsidR="00A92154" w:rsidRPr="00C07E8E">
        <w:rPr>
          <w:rFonts w:cs="Times New Roman"/>
          <w:color w:val="auto"/>
          <w:szCs w:val="22"/>
        </w:rPr>
        <w:t>value of 2.5 mg/kg/day over 4 days</w:t>
      </w:r>
      <w:r w:rsidR="00C458F8" w:rsidRPr="00C07E8E">
        <w:rPr>
          <w:rFonts w:cs="Times New Roman"/>
          <w:color w:val="auto"/>
          <w:szCs w:val="22"/>
        </w:rPr>
        <w:t xml:space="preserve"> by subcutaneous administration</w:t>
      </w:r>
      <w:r w:rsidR="005D483B">
        <w:rPr>
          <w:rFonts w:cs="Times New Roman"/>
          <w:color w:val="auto"/>
          <w:szCs w:val="22"/>
        </w:rPr>
        <w:t>,</w:t>
      </w:r>
      <w:r w:rsidR="00355B5F" w:rsidRPr="00C07E8E">
        <w:rPr>
          <w:rFonts w:cs="Times New Roman"/>
          <w:color w:val="auto"/>
          <w:szCs w:val="22"/>
        </w:rPr>
        <w:t xml:space="preserve"> as well </w:t>
      </w:r>
      <w:r w:rsidR="008C3F16" w:rsidRPr="00C07E8E">
        <w:rPr>
          <w:rFonts w:cs="Times New Roman"/>
          <w:color w:val="auto"/>
          <w:szCs w:val="22"/>
        </w:rPr>
        <w:t xml:space="preserve">as </w:t>
      </w:r>
      <w:r w:rsidR="00DF3FE5" w:rsidRPr="00C07E8E">
        <w:rPr>
          <w:rFonts w:cs="Times New Roman"/>
          <w:color w:val="auto"/>
          <w:szCs w:val="22"/>
        </w:rPr>
        <w:t>possessing</w:t>
      </w:r>
      <w:r w:rsidR="008C3F16" w:rsidRPr="00C07E8E">
        <w:rPr>
          <w:rFonts w:cs="Times New Roman"/>
          <w:color w:val="auto"/>
          <w:szCs w:val="22"/>
        </w:rPr>
        <w:t xml:space="preserve"> </w:t>
      </w:r>
      <w:r w:rsidR="00DF3FE5" w:rsidRPr="00C07E8E">
        <w:rPr>
          <w:rFonts w:cs="Times New Roman"/>
          <w:color w:val="auto"/>
          <w:szCs w:val="22"/>
        </w:rPr>
        <w:t xml:space="preserve">equal activity </w:t>
      </w:r>
      <w:r w:rsidR="00806DBC" w:rsidRPr="00C07E8E">
        <w:rPr>
          <w:rFonts w:cs="Times New Roman"/>
          <w:color w:val="auto"/>
          <w:szCs w:val="22"/>
        </w:rPr>
        <w:t xml:space="preserve"> </w:t>
      </w:r>
      <w:r w:rsidR="00413B71" w:rsidRPr="00C07E8E">
        <w:rPr>
          <w:rFonts w:cs="Times New Roman"/>
          <w:color w:val="auto"/>
          <w:szCs w:val="22"/>
        </w:rPr>
        <w:t>in the oral route with an ED</w:t>
      </w:r>
      <w:r w:rsidR="00413B71" w:rsidRPr="00C07E8E">
        <w:rPr>
          <w:rFonts w:cs="Times New Roman"/>
          <w:color w:val="auto"/>
          <w:szCs w:val="22"/>
          <w:vertAlign w:val="subscript"/>
        </w:rPr>
        <w:t>50</w:t>
      </w:r>
      <w:r w:rsidR="00413B71" w:rsidRPr="00C07E8E">
        <w:rPr>
          <w:rFonts w:cs="Times New Roman"/>
          <w:color w:val="auto"/>
          <w:szCs w:val="22"/>
        </w:rPr>
        <w:t xml:space="preserve"> of 2.6 mg/mg/day over 4 days.</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{"citationItems":[{"id":"ITEM-1","itemData":{"DOI":"10.1080/00034983.1993.11812734","ISSN":"00034983","PMID":"8346994","abstract":"The activity of 51 synthetic cis-fused cyclopenteno-1,2,4-trioxanes has been examined against drug-sensitive and chloroquine-resistant malaria parasites in vivo. Some of them display high levels of blood schizontocidal activity when administered orally or subcutaneously. They retain their activity against lines of parasites that are resistant to widely differing antimalarials such as 4-aminoquinolines, aminoalcohols, dihydrofolate reductase inhibitors and artemisinin. The most potent compound of the present series is cis-(±)-4a,7a-dihydro-6,7a-di(p-fiuorophenyl)spiro[cyciopentane-3,3'-7H -cyclopenta-1,2,4-trioxin], otherwise known as Fenozan-50F.","author":[{"dropping-particle":"","family":"Peters","given":"W.","non-dropping-particle":"","parse-names":false,"suffix":""},{"dropping-particle":"","family":"Robinson","given":"B. L.","non-dropping-particle":"","parse-names":false,"suffix":""},{"dropping-particle":"","family":"Rossiter","given":"J. C.","non-dropping-particle":"","parse-names":false,"suffix":""},{"dropping-particle":"","family":"Misra","given":"D.","non-dropping-particle":"","parse-names":false,"suffix":""},{"dropping-particle":"","family":"Jefford","given":"C. W.","non-dropping-particle":"","parse-names":false,"suffix":""}],"container-title":"Annals of Tropical Medicine and Parasitology","id":"ITEM-1","issue":"1","issued":{"date-parts":[["1993"]]},"page":"9-16","title":"The chemotherapy of rodent malaria. XLIX. The activities of some synthetic 1,2,4-trioxanes against chloroquinesensitive and chloroquine-resistant parasites. Part 2: Structure-activity studies on cis-fused cyclopenteno-1,2,4-trioxanes (fenozans) against dr","type":"article-journal","volume":"87"},"uris":["http://www.mendeley.com/documents/?uuid=70ee5b2a-d340-4eeb-94af-3d864607a85d","http://www.mendeley.com/documents/?uuid=986b1287-11d2-45b8-b2f4-69550bc1701c"]},{"id":"ITEM-2","itemData":{"DOI":"10.1002/hlca.19950780312","ISSN":"15222675","abstract":"Two pairs of enantiomerically pure cis‐fused cyclopenteno‐1,2,4‐trioxanes (7, ent‐7 and 8, ent‐8) are prepared (Schemes 1–3). Their identities are established by dye‐sensitized photo‐oxygenation of ent‐7 and 8, ent‐8 to the allylichydroperxides, reduction to the corresponding alcohols, and conversion to the (1S)‐camphanates (Scheme 4), the structures of which are determined by X‐ray analysis. The dynamic properties of ent‐7 are investigated by NMR spectroscopy and PM3 calculations. Evidence for an easily accessible twist‐boat conformation is obtained. The in vitro and in vivo antimalarial activities of 7, ent‐7,8, and ent‐8 as well as those of the racemic mixtures are evaluated against Plasmodium falciparum, P. berghei, and P. yoelii. No correlation is observed between configuration and activity. Racemates and pure enantiomers have commensurate activities. The mode of action on the intraerythrocytic parasite is rationalized in terms of close docking by the twist‐boat conformer of the trioxane on the surface of a molecule of heme, single‐electron transfer to the OO σ* orbital, and scission to the acetal radical which then irreversibly isomerizes to a C‐centered radical, the ultimate lethal agent (Scheme 5). Copyright © 1995 Verlag GmbH &amp; Co. KGaA, Weinheim","author":[{"dropping-particle":"","family":"Jefford","given":"Charles W.","non-dropping-particle":"","parse-names":false,"suffix":""},{"dropping-particle":"","family":"Kohmoto","given":"Shigeo","non-dropping-particle":"","parse-names":false,"suffix":""},{"dropping-particle":"","family":"Jaggi","given":"Danielle","non-dropping-particle":"","parse-names":false,"suffix":""},{"dropping-particle":"","family":"Timári","given":"Géza","non-dropping-particle":"","parse-names":false,"suffix":""},{"dropping-particle":"","family":"Rossier","given":"Jean-Claude","non-dropping-particle":"","parse-names":false,"suffix":""},{"dropping-particle":"","family":"Rudaz","given":"Manyck","non-dropping-particle":"","parse-names":false,"suffix":""},{"dropping-particle":"","family":"Barbuzzi","given":"Olivier","non-dropping-particle":"","parse-names":false,"suffix":""},{"dropping-particle":"","family":"Gérard","given":"David","non-dropping-particle":"","parse-names":false,"suffix":""},{"dropping-particle":"","family":"Burger","given":"Ulrich","non-dropping-particle":"","parse-names":false,"suffix":""},{"dropping-particle":"","family":"Kamalaprija","given":"Phillipe","non-dropping-particle":"","parse-names":false,"suffix":""},{"dropping-particle":"","family":"Mareda","given":"Jiri","non-dropping-particle":"","parse-names":false,"suffix":""},{"dropping-particle":"","family":"Bernadinelli","given":"Gérald","non-dropping-particle":"","parse-names":false,"suffix":""}],"container-title":"Helvetica Chimica Acta","id":"ITEM-2","issue":"3","issued":{"date-parts":[["1995"]]},"page":"647-662","title":"Synthesis, Structure, and Antimalarial Activity of Some Enantiomerically Pure, cis-Fused Cyclopenteno-1,2,4-trioxanes","type":"article-journal","volume":"78"},"uris":["http://www.mendeley.com/documents/?uuid=eda0e513-04aa-4129-8a41-5a14e50deee8"]}],"mendeley":{"formattedCitation":"&lt;sup&gt;83,85&lt;/sup&gt;","plainTextFormattedCitation":"83,85","previouslyFormattedCitation":"&lt;sup&gt;83,85&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83,85</w:t>
      </w:r>
      <w:r w:rsidR="00D71C99" w:rsidRPr="00C07E8E">
        <w:rPr>
          <w:rFonts w:cs="Times New Roman"/>
          <w:color w:val="auto"/>
          <w:szCs w:val="22"/>
        </w:rPr>
        <w:fldChar w:fldCharType="end"/>
      </w:r>
      <w:r w:rsidR="00992DB5" w:rsidRPr="00C07E8E">
        <w:rPr>
          <w:rFonts w:cs="Times New Roman"/>
          <w:color w:val="auto"/>
          <w:szCs w:val="22"/>
        </w:rPr>
        <w:t xml:space="preserve"> </w:t>
      </w:r>
      <w:r w:rsidR="003E5769" w:rsidRPr="00C07E8E">
        <w:rPr>
          <w:rFonts w:cs="Times New Roman"/>
          <w:color w:val="auto"/>
          <w:szCs w:val="22"/>
        </w:rPr>
        <w:t xml:space="preserve">In the </w:t>
      </w:r>
      <w:r w:rsidR="003E5769" w:rsidRPr="00C07E8E">
        <w:rPr>
          <w:rFonts w:cs="Times New Roman"/>
          <w:i/>
          <w:iCs/>
          <w:color w:val="auto"/>
          <w:szCs w:val="22"/>
        </w:rPr>
        <w:t xml:space="preserve">P. berghei </w:t>
      </w:r>
      <w:r w:rsidR="003E5769" w:rsidRPr="00C07E8E">
        <w:rPr>
          <w:rFonts w:cs="Times New Roman"/>
          <w:color w:val="auto"/>
          <w:szCs w:val="22"/>
        </w:rPr>
        <w:t>model</w:t>
      </w:r>
      <w:r w:rsidR="002D206E">
        <w:rPr>
          <w:rFonts w:cs="Times New Roman"/>
          <w:color w:val="auto"/>
          <w:szCs w:val="22"/>
        </w:rPr>
        <w:t>,</w:t>
      </w:r>
      <w:r w:rsidR="003E5769" w:rsidRPr="00C07E8E">
        <w:rPr>
          <w:rFonts w:cs="Times New Roman"/>
          <w:color w:val="auto"/>
          <w:szCs w:val="22"/>
        </w:rPr>
        <w:t xml:space="preserve"> after treatment</w:t>
      </w:r>
      <w:r w:rsidR="00811316" w:rsidRPr="00C07E8E">
        <w:rPr>
          <w:rFonts w:cs="Times New Roman"/>
          <w:color w:val="auto"/>
          <w:szCs w:val="22"/>
        </w:rPr>
        <w:t xml:space="preserve"> of two mice</w:t>
      </w:r>
      <w:r w:rsidR="003E5769" w:rsidRPr="00C07E8E">
        <w:rPr>
          <w:rFonts w:cs="Times New Roman"/>
          <w:color w:val="auto"/>
          <w:szCs w:val="22"/>
        </w:rPr>
        <w:t xml:space="preserve"> with</w:t>
      </w:r>
      <w:r w:rsidR="00F87B26" w:rsidRPr="00C07E8E">
        <w:rPr>
          <w:rFonts w:cs="Times New Roman"/>
          <w:color w:val="auto"/>
          <w:szCs w:val="22"/>
        </w:rPr>
        <w:t xml:space="preserve"> a single dose of</w:t>
      </w:r>
      <w:r w:rsidR="00811316" w:rsidRPr="00C07E8E">
        <w:rPr>
          <w:rFonts w:cs="Times New Roman"/>
          <w:color w:val="auto"/>
          <w:szCs w:val="22"/>
        </w:rPr>
        <w:t xml:space="preserve"> 30 mg/kg</w:t>
      </w:r>
      <w:r w:rsidR="00F87B26" w:rsidRPr="00C07E8E">
        <w:rPr>
          <w:rFonts w:cs="Times New Roman"/>
          <w:color w:val="auto"/>
          <w:szCs w:val="22"/>
        </w:rPr>
        <w:t xml:space="preserve"> Fenozan-50F </w:t>
      </w:r>
      <w:r w:rsidR="00811316" w:rsidRPr="00C07E8E">
        <w:rPr>
          <w:rFonts w:cs="Times New Roman"/>
          <w:color w:val="auto"/>
          <w:szCs w:val="22"/>
        </w:rPr>
        <w:t>complete reduction in parasitaemia was observed in one mouse</w:t>
      </w:r>
      <w:r w:rsidR="00375AC2" w:rsidRPr="00C07E8E">
        <w:rPr>
          <w:rFonts w:cs="Times New Roman"/>
          <w:color w:val="auto"/>
          <w:szCs w:val="22"/>
        </w:rPr>
        <w:t xml:space="preserve"> </w:t>
      </w:r>
      <w:r w:rsidR="00811316" w:rsidRPr="00C07E8E">
        <w:rPr>
          <w:rFonts w:cs="Times New Roman"/>
          <w:color w:val="auto"/>
          <w:szCs w:val="22"/>
        </w:rPr>
        <w:t xml:space="preserve">by day 5 and to 0.8 % compared to baseline in the other. </w:t>
      </w:r>
      <w:r w:rsidR="008E6E86" w:rsidRPr="00C07E8E">
        <w:rPr>
          <w:rFonts w:cs="Times New Roman"/>
          <w:color w:val="auto"/>
          <w:szCs w:val="22"/>
        </w:rPr>
        <w:t xml:space="preserve">Despite </w:t>
      </w:r>
      <w:r w:rsidR="001A564E" w:rsidRPr="00C07E8E">
        <w:rPr>
          <w:rFonts w:cs="Times New Roman"/>
          <w:color w:val="auto"/>
          <w:szCs w:val="22"/>
        </w:rPr>
        <w:t>both treated animals surviving at least 33 days, reoccurrence of parasitaemia was observed</w:t>
      </w:r>
      <w:r w:rsidR="003B0D21" w:rsidRPr="00C07E8E">
        <w:rPr>
          <w:rFonts w:cs="Times New Roman"/>
          <w:color w:val="auto"/>
          <w:szCs w:val="22"/>
        </w:rPr>
        <w:t xml:space="preserve"> in both.</w:t>
      </w:r>
      <w:r w:rsidR="00970240" w:rsidRPr="00C07E8E">
        <w:rPr>
          <w:rFonts w:cs="Times New Roman"/>
          <w:color w:val="auto"/>
          <w:szCs w:val="22"/>
        </w:rPr>
        <w:t xml:space="preserve"> </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{"citationItems":[{"id":"ITEM-1","itemData":{"DOI":"10.1080/00034983.1993.11812745","ISSN":"00034983","PMID":"8561518","abstract":"A novel difluorinated 3,3'-spirocyclopentane 1,2,4-trioxane ('Fenozan-50F') is a potent blood schizontocide against drug-sensitive and drug-resistant rodent malaria parasites. It also exerts some action against pre-erythrocytic schizogony, is a potent gametocytocide, and exerts a direct sporontocidal effect in infected mosquitoes. In the '4-day test' the ED90s are 6.8 and 6.0 mg/kg/day for four consecutive days by the subcutaneous and oral routes respectively against drug-sensitive Plasmodium berghei N, and 6.3 and 25 mg/kg against chloroquine-resistant P. yoelii NS in vivo. By the oral route against P. bergheri N infection in mice, Fenozan-50F is about half as active as arteether but nearly three times as active as sodium artesunate. The activity of Fenozan-50F is retained against a wide spectrum of drug-resistant parasite lines, although those highly resistant to quinine or to artemisinin are less responsive at the ED90 level. At the ultrastructural level the compound, when administered to infected mice, causes marked changes in the membranes and ribosomes of trophozoites and young schizonts and of immature gametocytes, although few changes are apparent in mature gametocytes. Its toxicity appears to be very low when it is administered to mice by either the oral or subcutaneous route. Fenozan-50F is considered to be a good candidate for eventual use as a therapeutic agent for infection with polyresistant malaria in man.","author":[{"dropping-particle":"","family":"Peters","given":"W.","non-dropping-particle":"","parse-names":false,"suffix":""},{"dropping-particle":"","family":"Robinson","given":"B. L.","non-dropping-particle":"","parse-names":false,"suffix":""},{"dropping-particle":"","family":"Tovey","given":"G.","non-dropping-particle":"","parse-names":false,"suffix":""},{"dropping-particle":"","family":"Rossier","given":"J. C.","non-dropping-particle":"","parse-names":false,"suffix":""},{"dropping-particle":"","family":"Jefford","given":"C. W.","non-dropping-particle":"","parse-names":false,"suffix":""}],"container-title":"Annals of Tropical Medicine and Parasitology","id":"ITEM-1","issue":"2","issued":{"date-parts":[["1993"]]},"page":"111-123","title":"The chemotherapy of rodent malaria. L. The activities of some synthetic 1,2,4-trioxanes against chloroquine-sensitive and chloroquine-resistant parasites. Part 3: Observations on 'Fenozan-50F', a difluorinated 3,3'spirocyclopentane 1,2,4-trioxane","type":"article-journal","volume":"87"},"uris":["http://www.mendeley.com/documents/?uuid=7740b9f5-dc80-4278-9e3d-7933be5fe421","http://www.mendeley.com/documents/?uuid=8e859610-d615-4500-aeae-99f65aa40056"]}],"mendeley":{"formattedCitation":"&lt;sup&gt;86&lt;/sup&gt;","plainTextFormattedCitation":"86","previouslyFormattedCitation":"&lt;sup&gt;86&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86</w:t>
      </w:r>
      <w:r w:rsidR="00D71C99" w:rsidRPr="00C07E8E">
        <w:rPr>
          <w:rFonts w:cs="Times New Roman"/>
          <w:color w:val="auto"/>
          <w:szCs w:val="22"/>
        </w:rPr>
        <w:fldChar w:fldCharType="end"/>
      </w:r>
      <w:r w:rsidR="00911BB0" w:rsidRPr="00C07E8E">
        <w:rPr>
          <w:rFonts w:cs="Times New Roman"/>
          <w:color w:val="auto"/>
          <w:szCs w:val="22"/>
        </w:rPr>
        <w:t xml:space="preserve"> Furthermore, resistance acquisition studies found that the </w:t>
      </w:r>
      <w:r w:rsidR="00340EC8" w:rsidRPr="00C07E8E">
        <w:rPr>
          <w:rFonts w:cs="Times New Roman"/>
          <w:color w:val="auto"/>
          <w:szCs w:val="22"/>
        </w:rPr>
        <w:t xml:space="preserve">resistance index (ED90 resistant strain/ED90 of parent line) for Fenozan-50F was </w:t>
      </w:r>
      <w:r w:rsidR="00747975" w:rsidRPr="00C07E8E">
        <w:rPr>
          <w:rFonts w:cs="Times New Roman"/>
          <w:color w:val="auto"/>
          <w:szCs w:val="22"/>
        </w:rPr>
        <w:t>3.4</w:t>
      </w:r>
      <w:r w:rsidR="007A289D">
        <w:rPr>
          <w:rFonts w:cs="Times New Roman"/>
          <w:color w:val="auto"/>
          <w:szCs w:val="22"/>
        </w:rPr>
        <w:t>,</w:t>
      </w:r>
      <w:r w:rsidR="00747975" w:rsidRPr="00C07E8E">
        <w:rPr>
          <w:rFonts w:cs="Times New Roman"/>
          <w:color w:val="auto"/>
          <w:szCs w:val="22"/>
        </w:rPr>
        <w:t xml:space="preserve"> </w:t>
      </w:r>
      <w:r w:rsidR="00FD2F60" w:rsidRPr="00C07E8E">
        <w:rPr>
          <w:rFonts w:cs="Times New Roman"/>
          <w:color w:val="auto"/>
          <w:szCs w:val="22"/>
        </w:rPr>
        <w:t>suggesting a low propensity to acquire resistance.</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{"citationItems":[{"id":"ITEM-1","itemData":{"DOI":"10.1080/00034983.1999.11813429","ISSN":"00034983","PMID":"10656034","abstract":"Chloroquine-sensitive Plasmodium berghei N and chloroquine-resistant P. yoelii ssp. NS were exposed to selection pressure, in the '2% relapse technique', from artemisinin, artesunate, a bicyclic, synthetic endoperoxide Ro 41-3823 (an analogue of arteflene) or Fenozan B07, a synthetic 1,2,4-trioxane endoperoxide. Whereas resistance against artemisinin did develop to a moderate level in both parasites, only a low level of resistance or none developed to the other compounds, and resistant parasites readily lost resistance once drug-selection pressure was withdrawn. The relevance of these observations and the experience of other investigators are discussed in relation to the possible risk that resistance may be developed in nature once endoperoxides are deployed widely against multidrug-resistant P. falciparum.","author":[{"dropping-particle":"","family":"Peters","given":"W.","non-dropping-particle":"","parse-names":false,"suffix":""},{"dropping-particle":"","family":"Robinson","given":"B. L.","non-dropping-particle":"","parse-names":false,"suffix":""}],"container-title":"Annals of Tropical Medicine and Parasitology","id":"ITEM-1","issue":"4","issued":{"date-parts":[["1999"]]},"page":"325-339","title":"The chemotherapy of rodent malaria. LVI. Studies on the development of resistance to natural and synthetic endoperoxides","type":"article-journal","volume":"93"},"uris":["http://www.mendeley.com/documents/?uuid=43584781-b78c-4178-90b3-36b69a0b5be4","http://www.mendeley.com/documents/?uuid=33b42e8d-ffe4-422a-91fb-981531ca4940"]}],"mendeley":{"formattedCitation":"&lt;sup&gt;87&lt;/sup&gt;","plainTextFormattedCitation":"87","previouslyFormattedCitation":"&lt;sup&gt;87&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87</w:t>
      </w:r>
      <w:r w:rsidR="00D71C99" w:rsidRPr="00C07E8E">
        <w:rPr>
          <w:rFonts w:cs="Times New Roman"/>
          <w:color w:val="auto"/>
          <w:szCs w:val="22"/>
        </w:rPr>
        <w:fldChar w:fldCharType="end"/>
      </w:r>
    </w:p>
    <w:p w14:paraId="67083E4A" w14:textId="4C61FD7E" w:rsidR="00A66743" w:rsidRPr="00C07E8E" w:rsidRDefault="00C07E8E" w:rsidP="00532D1D">
      <w:pPr>
        <w:rPr>
          <w:rFonts w:cs="Times New Roman"/>
          <w:color w:val="auto"/>
          <w:szCs w:val="22"/>
        </w:rPr>
      </w:pPr>
      <w:r w:rsidRPr="00C07E8E">
        <w:rPr>
          <w:rFonts w:cs="Times New Roman"/>
          <w:color w:val="auto"/>
          <w:szCs w:val="22"/>
          <w:vertAlign w:val="subscript"/>
        </w:rPr>
        <w:tab/>
      </w:r>
      <w:r w:rsidR="00970240" w:rsidRPr="00C07E8E">
        <w:rPr>
          <w:rFonts w:cs="Times New Roman"/>
          <w:color w:val="auto"/>
          <w:szCs w:val="22"/>
        </w:rPr>
        <w:t xml:space="preserve">Fenozan-50F was investigated for prophylactic action by </w:t>
      </w:r>
      <w:r w:rsidR="007B590A" w:rsidRPr="00C07E8E">
        <w:rPr>
          <w:rFonts w:cs="Times New Roman"/>
          <w:color w:val="auto"/>
          <w:szCs w:val="22"/>
        </w:rPr>
        <w:t xml:space="preserve">challenging mice with </w:t>
      </w:r>
      <w:r w:rsidR="007B590A" w:rsidRPr="00C07E8E">
        <w:rPr>
          <w:rFonts w:cs="Times New Roman"/>
          <w:i/>
          <w:iCs/>
          <w:color w:val="auto"/>
          <w:szCs w:val="22"/>
        </w:rPr>
        <w:t xml:space="preserve">P. berghei </w:t>
      </w:r>
      <w:r w:rsidR="007B590A" w:rsidRPr="00C07E8E">
        <w:rPr>
          <w:rFonts w:cs="Times New Roman"/>
          <w:color w:val="auto"/>
          <w:szCs w:val="22"/>
        </w:rPr>
        <w:t xml:space="preserve">after receiving a </w:t>
      </w:r>
      <w:r w:rsidR="00636F73" w:rsidRPr="00C07E8E">
        <w:rPr>
          <w:rFonts w:cs="Times New Roman"/>
          <w:color w:val="auto"/>
          <w:szCs w:val="22"/>
        </w:rPr>
        <w:t>single dose of 100, 300</w:t>
      </w:r>
      <w:r w:rsidR="00BF3203" w:rsidRPr="00C07E8E">
        <w:rPr>
          <w:rFonts w:cs="Times New Roman"/>
          <w:color w:val="auto"/>
          <w:szCs w:val="22"/>
        </w:rPr>
        <w:t xml:space="preserve">, </w:t>
      </w:r>
      <w:r w:rsidR="00636F73" w:rsidRPr="00C07E8E">
        <w:rPr>
          <w:rFonts w:cs="Times New Roman"/>
          <w:color w:val="auto"/>
          <w:szCs w:val="22"/>
        </w:rPr>
        <w:t>600 mg/kg</w:t>
      </w:r>
      <w:r w:rsidR="00A53DC6" w:rsidRPr="00C07E8E">
        <w:rPr>
          <w:rFonts w:cs="Times New Roman"/>
          <w:color w:val="auto"/>
          <w:szCs w:val="22"/>
        </w:rPr>
        <w:t xml:space="preserve"> subcutaneously and </w:t>
      </w:r>
      <w:r w:rsidR="000E60DA" w:rsidRPr="00C07E8E">
        <w:rPr>
          <w:rFonts w:cs="Times New Roman"/>
          <w:color w:val="auto"/>
          <w:szCs w:val="22"/>
        </w:rPr>
        <w:t xml:space="preserve">600, 1000 and 3000 mg/kg orally. </w:t>
      </w:r>
      <w:r w:rsidR="000E60DA" w:rsidRPr="00C07E8E">
        <w:rPr>
          <w:rFonts w:cs="Times New Roman"/>
          <w:color w:val="auto"/>
          <w:szCs w:val="22"/>
        </w:rPr>
        <w:lastRenderedPageBreak/>
        <w:t>In the subcutaneous arm, survival was seen to days 12, 16 and 15 respectively</w:t>
      </w:r>
      <w:r w:rsidR="002D206E">
        <w:rPr>
          <w:rFonts w:cs="Times New Roman"/>
          <w:color w:val="auto"/>
          <w:szCs w:val="22"/>
        </w:rPr>
        <w:t>,</w:t>
      </w:r>
      <w:r w:rsidR="000E60DA" w:rsidRPr="00C07E8E">
        <w:rPr>
          <w:rFonts w:cs="Times New Roman"/>
          <w:color w:val="auto"/>
          <w:szCs w:val="22"/>
        </w:rPr>
        <w:t xml:space="preserve"> suggesting tha</w:t>
      </w:r>
      <w:r w:rsidR="0018696B" w:rsidRPr="00C07E8E">
        <w:rPr>
          <w:rFonts w:cs="Times New Roman"/>
          <w:color w:val="auto"/>
          <w:szCs w:val="22"/>
        </w:rPr>
        <w:t xml:space="preserve">t a prolonged response was present. All mice dosed orally </w:t>
      </w:r>
      <w:r w:rsidR="00C05019" w:rsidRPr="00C07E8E">
        <w:rPr>
          <w:rFonts w:cs="Times New Roman"/>
          <w:color w:val="auto"/>
          <w:szCs w:val="22"/>
        </w:rPr>
        <w:t>had died by day 8</w:t>
      </w:r>
      <w:r w:rsidR="002D206E">
        <w:rPr>
          <w:rFonts w:cs="Times New Roman"/>
          <w:color w:val="auto"/>
          <w:szCs w:val="22"/>
        </w:rPr>
        <w:t>,</w:t>
      </w:r>
      <w:r w:rsidR="00C05019" w:rsidRPr="00C07E8E">
        <w:rPr>
          <w:rFonts w:cs="Times New Roman"/>
          <w:color w:val="auto"/>
          <w:szCs w:val="22"/>
        </w:rPr>
        <w:t xml:space="preserve"> </w:t>
      </w:r>
      <w:r w:rsidR="006428F6" w:rsidRPr="00C07E8E">
        <w:rPr>
          <w:rFonts w:cs="Times New Roman"/>
          <w:color w:val="auto"/>
          <w:szCs w:val="22"/>
        </w:rPr>
        <w:t>suggesting either poor absorption or rapid excretion.</w:t>
      </w:r>
      <w:r w:rsidR="00967F84" w:rsidRPr="00C07E8E">
        <w:rPr>
          <w:rFonts w:cs="Times New Roman"/>
          <w:color w:val="auto"/>
          <w:szCs w:val="22"/>
        </w:rPr>
        <w:t xml:space="preserve"> Additionally, Fenozan 50F was found to </w:t>
      </w:r>
      <w:r w:rsidR="00A957F9" w:rsidRPr="00C07E8E">
        <w:rPr>
          <w:rFonts w:cs="Times New Roman"/>
          <w:color w:val="auto"/>
          <w:szCs w:val="22"/>
        </w:rPr>
        <w:t>possess</w:t>
      </w:r>
      <w:r w:rsidRPr="00C07E8E">
        <w:rPr>
          <w:rFonts w:cs="Times New Roman"/>
          <w:color w:val="auto"/>
          <w:szCs w:val="22"/>
        </w:rPr>
        <w:t xml:space="preserve"> modest</w:t>
      </w:r>
      <w:r w:rsidR="00A957F9" w:rsidRPr="00C07E8E">
        <w:rPr>
          <w:rFonts w:cs="Times New Roman"/>
          <w:color w:val="auto"/>
          <w:szCs w:val="22"/>
        </w:rPr>
        <w:t xml:space="preserve"> activity against gametocytes</w:t>
      </w:r>
      <w:r w:rsidR="00C26A83" w:rsidRPr="00C07E8E">
        <w:rPr>
          <w:rFonts w:cs="Times New Roman"/>
          <w:color w:val="auto"/>
          <w:szCs w:val="22"/>
        </w:rPr>
        <w:t xml:space="preserve"> </w:t>
      </w:r>
      <w:r w:rsidR="00BA67E4" w:rsidRPr="00C07E8E">
        <w:rPr>
          <w:rFonts w:cs="Times New Roman"/>
          <w:color w:val="auto"/>
          <w:szCs w:val="22"/>
        </w:rPr>
        <w:t xml:space="preserve">with </w:t>
      </w:r>
      <w:r w:rsidRPr="00C07E8E">
        <w:rPr>
          <w:rFonts w:cs="Times New Roman"/>
          <w:color w:val="auto"/>
          <w:szCs w:val="22"/>
        </w:rPr>
        <w:t>gametocytocidal dose (GD50 and GD90) values of 8 and 70 mg/kg</w:t>
      </w:r>
      <w:r w:rsidR="002D206E">
        <w:rPr>
          <w:rFonts w:cs="Times New Roman"/>
          <w:color w:val="auto"/>
          <w:szCs w:val="22"/>
        </w:rPr>
        <w:t>,</w:t>
      </w:r>
      <w:r w:rsidRPr="00C07E8E">
        <w:rPr>
          <w:rFonts w:cs="Times New Roman"/>
          <w:color w:val="auto"/>
          <w:szCs w:val="22"/>
        </w:rPr>
        <w:t xml:space="preserve"> respectively.</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{"citationItems":[{"id":"ITEM-1","itemData":{"DOI":"10.1080/00034983.1993.11812745","ISSN":"00034983","PMID":"8561518","abstract":"A novel difluorinated 3,3'-spirocyclopentane 1,2,4-trioxane ('Fenozan-50F') is a potent blood schizontocide against drug-sensitive and drug-resistant rodent malaria parasites. It also exerts some action against pre-erythrocytic schizogony, is a potent gametocytocide, and exerts a direct sporontocidal effect in infected mosquitoes. In the '4-day test' the ED90s are 6.8 and 6.0 mg/kg/day for four consecutive days by the subcutaneous and oral routes respectively against drug-sensitive Plasmodium berghei N, and 6.3 and 25 mg/kg against chloroquine-resistant P. yoelii NS in vivo. By the oral route against P. bergheri N infection in mice, Fenozan-50F is about half as active as arteether but nearly three times as active as sodium artesunate. The activity of Fenozan-50F is retained against a wide spectrum of drug-resistant parasite lines, although those highly resistant to quinine or to artemisinin are less responsive at the ED90 level. At the ultrastructural level the compound, when administered to infected mice, causes marked changes in the membranes and ribosomes of trophozoites and young schizonts and of immature gametocytes, although few changes are apparent in mature gametocytes. Its toxicity appears to be very low when it is administered to mice by either the oral or subcutaneous route. Fenozan-50F is considered to be a good candidate for eventual use as a therapeutic agent for infection with polyresistant malaria in man.","author":[{"dropping-particle":"","family":"Peters","given":"W.","non-dropping-particle":"","parse-names":false,"suffix":""},{"dropping-particle":"","family":"Robinson","given":"B. L.","non-dropping-particle":"","parse-names":false,"suffix":""},{"dropping-particle":"","family":"Tovey","given":"G.","non-dropping-particle":"","parse-names":false,"suffix":""},{"dropping-particle":"","family":"Rossier","given":"J. C.","non-dropping-particle":"","parse-names":false,"suffix":""},{"dropping-particle":"","family":"Jefford","given":"C. W.","non-dropping-particle":"","parse-names":false,"suffix":""}],"container-title":"Annals of Tropical Medicine and Parasitology","id":"ITEM-1","issue":"2","issued":{"date-parts":[["1993"]]},"page":"111-123","title":"The chemotherapy of rodent malaria. L. The activities of some synthetic 1,2,4-trioxanes against chloroquine-sensitive and chloroquine-resistant parasites. Part 3: Observations on 'Fenozan-50F', a difluorinated 3,3'spirocyclopentane 1,2,4-trioxane","type":"article-journal","volume":"87"},"uris":["http://www.mendeley.com/documents/?uuid=8e859610-d615-4500-aeae-99f65aa40056","http://www.mendeley.com/documents/?uuid=7740b9f5-dc80-4278-9e3d-7933be5fe421"]}],"mendeley":{"formattedCitation":"&lt;sup&gt;86&lt;/sup&gt;","plainTextFormattedCitation":"86","previouslyFormattedCitation":"&lt;sup&gt;86&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86</w:t>
      </w:r>
      <w:r w:rsidR="00D71C99" w:rsidRPr="00C07E8E">
        <w:rPr>
          <w:rFonts w:cs="Times New Roman"/>
          <w:color w:val="auto"/>
          <w:szCs w:val="22"/>
        </w:rPr>
        <w:fldChar w:fldCharType="end"/>
      </w:r>
      <w:r w:rsidRPr="00C07E8E">
        <w:rPr>
          <w:rFonts w:cs="Times New Roman"/>
          <w:color w:val="auto"/>
          <w:szCs w:val="22"/>
        </w:rPr>
        <w:t xml:space="preserve"> </w:t>
      </w:r>
      <w:r w:rsidR="00C81732" w:rsidRPr="00C07E8E">
        <w:rPr>
          <w:rFonts w:cs="Times New Roman"/>
          <w:color w:val="auto"/>
          <w:szCs w:val="22"/>
        </w:rPr>
        <w:t xml:space="preserve">Interaction of Fenozan-50F in combination with other antimalarial partner drugs was investigated in the </w:t>
      </w:r>
      <w:r w:rsidR="00184551" w:rsidRPr="00C07E8E">
        <w:rPr>
          <w:rFonts w:cs="Times New Roman"/>
          <w:i/>
          <w:iCs/>
          <w:color w:val="auto"/>
          <w:szCs w:val="22"/>
        </w:rPr>
        <w:t xml:space="preserve">P. yoelii </w:t>
      </w:r>
      <w:r w:rsidR="00184551" w:rsidRPr="00C07E8E">
        <w:rPr>
          <w:rFonts w:cs="Times New Roman"/>
          <w:color w:val="auto"/>
          <w:szCs w:val="22"/>
        </w:rPr>
        <w:t>infected mice model</w:t>
      </w:r>
      <w:r w:rsidR="002D206E">
        <w:rPr>
          <w:rFonts w:cs="Times New Roman"/>
          <w:color w:val="auto"/>
          <w:szCs w:val="22"/>
        </w:rPr>
        <w:t>,</w:t>
      </w:r>
      <w:r w:rsidR="00184551" w:rsidRPr="00C07E8E">
        <w:rPr>
          <w:rFonts w:cs="Times New Roman"/>
          <w:color w:val="auto"/>
          <w:szCs w:val="22"/>
        </w:rPr>
        <w:t xml:space="preserve"> </w:t>
      </w:r>
      <w:r w:rsidR="00506166" w:rsidRPr="00C07E8E">
        <w:rPr>
          <w:rFonts w:cs="Times New Roman"/>
          <w:color w:val="auto"/>
          <w:szCs w:val="22"/>
        </w:rPr>
        <w:t>against several resistant and sensitive strains</w:t>
      </w:r>
      <w:r w:rsidR="00184551" w:rsidRPr="00C07E8E">
        <w:rPr>
          <w:rFonts w:cs="Times New Roman"/>
          <w:color w:val="auto"/>
          <w:szCs w:val="22"/>
        </w:rPr>
        <w:t xml:space="preserve">. </w:t>
      </w:r>
      <w:r w:rsidR="00341544" w:rsidRPr="00C07E8E">
        <w:rPr>
          <w:rFonts w:cs="Times New Roman"/>
          <w:color w:val="auto"/>
          <w:szCs w:val="22"/>
        </w:rPr>
        <w:t xml:space="preserve">In combination with CQ, Fenozan-50F appeared to </w:t>
      </w:r>
      <w:r w:rsidR="00F269E6" w:rsidRPr="00C07E8E">
        <w:rPr>
          <w:rFonts w:cs="Times New Roman"/>
          <w:color w:val="auto"/>
          <w:szCs w:val="22"/>
        </w:rPr>
        <w:t xml:space="preserve">potentiate the antimalarial activity in the CQ resistant strain but not the sensitive strain. It was also found to be potentiating in combination with </w:t>
      </w:r>
      <w:r w:rsidR="007F5189" w:rsidRPr="00C07E8E">
        <w:rPr>
          <w:rFonts w:cs="Times New Roman"/>
          <w:color w:val="auto"/>
          <w:szCs w:val="22"/>
        </w:rPr>
        <w:t xml:space="preserve">Mefloquine and halofantrine in the CQ resistant strain. </w:t>
      </w:r>
      <w:r w:rsidR="00564A6B" w:rsidRPr="00C07E8E">
        <w:rPr>
          <w:rFonts w:cs="Times New Roman"/>
          <w:color w:val="auto"/>
          <w:szCs w:val="22"/>
        </w:rPr>
        <w:t xml:space="preserve">Antagonism was </w:t>
      </w:r>
      <w:r w:rsidR="00506166" w:rsidRPr="00C07E8E">
        <w:rPr>
          <w:rFonts w:cs="Times New Roman"/>
          <w:color w:val="auto"/>
          <w:szCs w:val="22"/>
        </w:rPr>
        <w:t xml:space="preserve">observed between </w:t>
      </w:r>
      <w:r w:rsidR="007A09BA" w:rsidRPr="00C07E8E">
        <w:rPr>
          <w:rFonts w:cs="Times New Roman"/>
          <w:color w:val="auto"/>
          <w:szCs w:val="22"/>
        </w:rPr>
        <w:t>Fenozan-50F and pyron</w:t>
      </w:r>
      <w:r w:rsidR="00CE262D" w:rsidRPr="00C07E8E">
        <w:rPr>
          <w:rFonts w:cs="Times New Roman"/>
          <w:color w:val="auto"/>
          <w:szCs w:val="22"/>
        </w:rPr>
        <w:t xml:space="preserve">aridine against the CQ resistant strain. </w:t>
      </w:r>
      <w:r w:rsidR="003F55C5" w:rsidRPr="00C07E8E">
        <w:rPr>
          <w:rFonts w:cs="Times New Roman"/>
          <w:color w:val="auto"/>
          <w:szCs w:val="22"/>
        </w:rPr>
        <w:t xml:space="preserve">Combination with mefloquine similarly displayed antagonism in a mefloquine resistant strain of </w:t>
      </w:r>
      <w:r w:rsidR="003F55C5" w:rsidRPr="00C07E8E">
        <w:rPr>
          <w:rFonts w:cs="Times New Roman"/>
          <w:i/>
          <w:iCs/>
          <w:color w:val="auto"/>
          <w:szCs w:val="22"/>
        </w:rPr>
        <w:t>P. yoelii</w:t>
      </w:r>
      <w:r w:rsidR="00D71C99" w:rsidRPr="00C07E8E">
        <w:rPr>
          <w:rFonts w:cs="Times New Roman"/>
          <w:i/>
          <w:iCs/>
          <w:color w:val="auto"/>
          <w:szCs w:val="22"/>
        </w:rPr>
        <w:t>.</w:t>
      </w:r>
      <w:r w:rsidR="00D71C99" w:rsidRPr="00C07E8E">
        <w:rPr>
          <w:rFonts w:cs="Times New Roman"/>
          <w:i/>
          <w:iCs/>
          <w:color w:val="auto"/>
          <w:szCs w:val="22"/>
        </w:rPr>
        <w:fldChar w:fldCharType="begin" w:fldLock="1"/>
      </w:r>
      <w:r w:rsidR="00CA5C6A">
        <w:rPr>
          <w:rFonts w:cs="Times New Roman"/>
          <w:i/>
          <w:iCs/>
          <w:color w:val="auto"/>
          <w:szCs w:val="22"/>
        </w:rPr>
        <w:instrText>ADDIN CSL_CITATION {"citationItems":[{"id":"ITEM-1","itemData":{"DOI":"10.1080/00034983.1997.11813109","ISSN":"00034983","PMID":"9093427","abstract":"Fenozan B07, a 1,2,4-trioxane endoperoxide with potent blood schizontocidal activity against drug-sensitive and drug-resistant rodent malaria parasites, exerted a modest potentiating action when administered with chloroquine (CQ) to mice infected with parasites of the CQ-resistant P. yoelii ssp. NS, but not when given to mice infected with the CQ-sensitive P. berghei N strain. The reason why this potentiation may be of particular value in the treatment of severe falciparum malaria is discussed. Mefloquine and halofantrine displayed a similar level of potentiation with Fenozan B07 against the CQ-resistant parasites. However, antagonism was shown by combinations of Fenozan B07 with pyronaridine or the 8-aminoquinoline WR 238 605 when used against CQ-resistant parasites. Mefloquine with Fenozan B07 is also antagonistic against a highly mefloquine-resistant line of P. yoelii ssp. NS. The reasons behind such antagonism are not known. The importance is stressed of using carefully selected drug combinations of novel antimalarials, rather than single drugs, in order to impede the selection of drug-resistant parasites, bur only after adequate, preclinical, toxicity testing.","author":[{"dropping-particle":"","family":"Fleck","given":"S. L.","non-dropping-particle":"","parse-names":false,"suffix":""},{"dropping-particle":"","family":"Robinson","given":"B. L.","non-dropping-particle":"","parse-names":false,"suffix":""},{"dropping-particle":"","family":"Peters","given":"W.","non-dropping-particle":"","parse-names":false,"suffix":""}],"container-title":"Annals of Tropical Medicine and Parasitology","id":"ITEM-1","issue":"1","issued":{"date-parts":[["1997"]]},"page":"33-39","title":"The chemotherapy of rodent malaria. LIV. Combinations of 'Fenozan B07' (Fenozan-50F), a difluorinated 3,3'-spirocyclopentane 1,2,4-trioxane, with other drugs against drug-sensitive and drug-resistant parasites","type":"article-journal","volume":"91"},"uris":["http://www.mendeley.com/documents/?uuid=f481d8dd-ca40-41d7-b44a-0613c743cd45","http://www.mendeley.com/documents/?uuid=f34c060f-a72c-480f-a735-09ef31694967"]}],"mendeley":{"formattedCitation":"&lt;sup&gt;88&lt;/sup&gt;","plainTextFormattedCitation":"88","previouslyFormattedCitation":"&lt;sup&gt;88&lt;/sup&gt;"},"properties":{"noteIndex":0},"schema":"https://github.com/citation-style-language/schema/raw/master/csl-citation.json"}</w:instrText>
      </w:r>
      <w:r w:rsidR="00D71C99" w:rsidRPr="00C07E8E">
        <w:rPr>
          <w:rFonts w:cs="Times New Roman"/>
          <w:i/>
          <w:iCs/>
          <w:color w:val="auto"/>
          <w:szCs w:val="22"/>
        </w:rPr>
        <w:fldChar w:fldCharType="separate"/>
      </w:r>
      <w:r w:rsidR="007125A3" w:rsidRPr="007125A3">
        <w:rPr>
          <w:rFonts w:cs="Times New Roman"/>
          <w:iCs/>
          <w:noProof/>
          <w:color w:val="auto"/>
          <w:szCs w:val="22"/>
          <w:vertAlign w:val="superscript"/>
        </w:rPr>
        <w:t>88</w:t>
      </w:r>
      <w:r w:rsidR="00D71C99" w:rsidRPr="00C07E8E">
        <w:rPr>
          <w:rFonts w:cs="Times New Roman"/>
          <w:i/>
          <w:iCs/>
          <w:color w:val="auto"/>
          <w:szCs w:val="22"/>
        </w:rPr>
        <w:fldChar w:fldCharType="end"/>
      </w:r>
    </w:p>
    <w:p w14:paraId="424A86AF" w14:textId="3D1224A2" w:rsidR="00251197" w:rsidRPr="00C07E8E" w:rsidRDefault="00C07E8E" w:rsidP="00532D1D">
      <w:pPr>
        <w:ind w:firstLine="720"/>
        <w:rPr>
          <w:rFonts w:cs="Times New Roman"/>
          <w:color w:val="auto"/>
          <w:szCs w:val="22"/>
        </w:rPr>
      </w:pPr>
      <w:r w:rsidRPr="00C07E8E">
        <w:rPr>
          <w:rFonts w:cs="Times New Roman"/>
          <w:color w:val="auto"/>
          <w:szCs w:val="22"/>
        </w:rPr>
        <w:t>Presently, Fenozan-50F has not been tested in humans</w:t>
      </w:r>
      <w:r w:rsidR="00855BB0" w:rsidRPr="00C07E8E">
        <w:rPr>
          <w:rFonts w:cs="Times New Roman"/>
          <w:color w:val="auto"/>
          <w:szCs w:val="22"/>
        </w:rPr>
        <w:t>. However,</w:t>
      </w:r>
      <w:r w:rsidR="00580368" w:rsidRPr="00C07E8E">
        <w:rPr>
          <w:rFonts w:cs="Times New Roman"/>
          <w:color w:val="auto"/>
          <w:szCs w:val="22"/>
        </w:rPr>
        <w:t xml:space="preserve"> the </w:t>
      </w:r>
      <w:r w:rsidR="00580368" w:rsidRPr="00C07E8E">
        <w:rPr>
          <w:rFonts w:cs="Times New Roman"/>
          <w:i/>
          <w:iCs/>
          <w:color w:val="auto"/>
          <w:szCs w:val="22"/>
        </w:rPr>
        <w:t xml:space="preserve">in vivo </w:t>
      </w:r>
      <w:r w:rsidR="00580368" w:rsidRPr="00C07E8E">
        <w:rPr>
          <w:rFonts w:cs="Times New Roman"/>
          <w:color w:val="auto"/>
          <w:szCs w:val="22"/>
        </w:rPr>
        <w:t xml:space="preserve">data obtained through extensive testing in the mouse model suggests that Fenozan-50F </w:t>
      </w:r>
      <w:r w:rsidR="00233EB9">
        <w:rPr>
          <w:rFonts w:cs="Times New Roman"/>
          <w:color w:val="auto"/>
          <w:szCs w:val="22"/>
        </w:rPr>
        <w:t>whilst</w:t>
      </w:r>
      <w:r w:rsidR="00233EB9" w:rsidRPr="00C07E8E">
        <w:rPr>
          <w:rFonts w:cs="Times New Roman"/>
          <w:color w:val="auto"/>
          <w:szCs w:val="22"/>
        </w:rPr>
        <w:t xml:space="preserve"> </w:t>
      </w:r>
      <w:r w:rsidR="00580368" w:rsidRPr="00C07E8E">
        <w:rPr>
          <w:rFonts w:cs="Times New Roman"/>
          <w:color w:val="auto"/>
          <w:szCs w:val="22"/>
        </w:rPr>
        <w:t>likely be effective, the</w:t>
      </w:r>
      <w:r w:rsidR="00163C67" w:rsidRPr="00C07E8E">
        <w:rPr>
          <w:rFonts w:cs="Times New Roman"/>
          <w:color w:val="auto"/>
          <w:szCs w:val="22"/>
        </w:rPr>
        <w:t xml:space="preserve"> risk of recrudescence, the poor chemoprotective effect following oral dosing and the potential for rapid elimination </w:t>
      </w:r>
      <w:r w:rsidR="00855BB0" w:rsidRPr="00C07E8E">
        <w:rPr>
          <w:rFonts w:cs="Times New Roman"/>
          <w:color w:val="auto"/>
          <w:szCs w:val="22"/>
        </w:rPr>
        <w:t>would suggest that a single dose of Fenozan-50F would be unlikely to cure malaria.</w:t>
      </w:r>
      <w:r w:rsidR="000536E8" w:rsidRPr="00C07E8E">
        <w:rPr>
          <w:rFonts w:cs="Times New Roman"/>
          <w:color w:val="auto"/>
          <w:szCs w:val="22"/>
        </w:rPr>
        <w:fldChar w:fldCharType="begin" w:fldLock="1"/>
      </w:r>
      <w:r w:rsidR="00CA5C6A">
        <w:rPr>
          <w:rFonts w:cs="Times New Roman"/>
          <w:color w:val="auto"/>
          <w:szCs w:val="22"/>
        </w:rPr>
        <w:instrText>ADDIN CSL_CITATION {"citationItems":[{"id":"ITEM-1","itemData":{"DOI":"10.1080/00034983.1993.11812745","ISSN":"00034983","PMID":"8561518","abstract":"A novel difluorinated 3,3'-spirocyclopentane 1,2,4-trioxane ('Fenozan-50F') is a potent blood schizontocide against drug-sensitive and drug-resistant rodent malaria parasites. It also exerts some action against pre-erythrocytic schizogony, is a potent gametocytocide, and exerts a direct sporontocidal effect in infected mosquitoes. In the '4-day test' the ED90s are 6.8 and 6.0 mg/kg/day for four consecutive days by the subcutaneous and oral routes respectively against drug-sensitive Plasmodium berghei N, and 6.3 and 25 mg/kg against chloroquine-resistant P. yoelii NS in vivo. By the oral route against P. bergheri N infection in mice, Fenozan-50F is about half as active as arteether but nearly three times as active as sodium artesunate. The activity of Fenozan-50F is retained against a wide spectrum of drug-resistant parasite lines, although those highly resistant to quinine or to artemisinin are less responsive at the ED90 level. At the ultrastructural level the compound, when administered to infected mice, causes marked changes in the membranes and ribosomes of trophozoites and young schizonts and of immature gametocytes, although few changes are apparent in mature gametocytes. Its toxicity appears to be very low when it is administered to mice by either the oral or subcutaneous route. Fenozan-50F is considered to be a good candidate for eventual use as a therapeutic agent for infection with polyresistant malaria in man.","author":[{"dropping-particle":"","family":"Peters","given":"W.","non-dropping-particle":"","parse-names":false,"suffix":""},{"dropping-particle":"","family":"Robinson","given":"B. L.","non-dropping-particle":"","parse-names":false,"suffix":""},{"dropping-particle":"","family":"Tovey","given":"G.","non-dropping-particle":"","parse-names":false,"suffix":""},{"dropping-particle":"","family":"Rossier","given":"J. C.","non-dropping-particle":"","parse-names":false,"suffix":""},{"dropping-particle":"","family":"Jefford","given":"C. W.","non-dropping-particle":"","parse-names":false,"suffix":""}],"container-title":"Annals of Tropical Medicine and Parasitology","id":"ITEM-1","issue":"2","issued":{"date-parts":[["1993"]]},"page":"111-123","title":"The chemotherapy of rodent malaria. L. The activities of some synthetic 1,2,4-trioxanes against chloroquine-sensitive and chloroquine-resistant parasites. Part 3: Observations on 'Fenozan-50F', a difluorinated 3,3'spirocyclopentane 1,2,4-trioxane","type":"article-journal","volume":"87"},"uris":["http://www.mendeley.com/documents/?uuid=8e859610-d615-4500-aeae-99f65aa40056","http://www.mendeley.com/documents/?uuid=7740b9f5-dc80-4278-9e3d-7933be5fe421"]},{"id":"ITEM-2","itemData":{"DOI":"10.1080/00034983.1993.11812734","ISSN":"00034983","PMID":"8346994","abstract":"The activity of 51 synthetic cis-fused cyclopenteno-1,2,4-trioxanes has been examined against drug-sensitive and chloroquine-resistant malaria parasites in vivo. Some of them display high levels of blood schizontocidal activity when administered orally or subcutaneously. They retain their activity against lines of parasites that are resistant to widely differing antimalarials such as 4-aminoquinolines, aminoalcohols, dihydrofolate reductase inhibitors and artemisinin. The most potent compound of the present series is cis-(±)-4a,7a-dihydro-6,7a-di(p-fiuorophenyl)spiro[cyciopentane-3,3'-7H -cyclopenta-1,2,4-trioxin], otherwise known as Fenozan-50F.","author":[{"dropping-particle":"","family":"Peters","given":"W.","non-dropping-particle":"","parse-names":false,"suffix":""},{"dropping-particle":"","family":"Robinson","given":"B. L.","non-dropping-particle":"","parse-names":false,"suffix":""},{"dropping-particle":"","family":"Rossiter","given":"J. C.","non-dropping-particle":"","parse-names":false,"suffix":""},{"dropping-particle":"","family":"Misra","given":"D.","non-dropping-particle":"","parse-names":false,"suffix":""},{"dropping-particle":"","family":"Jefford","given":"C. W.","non-dropping-particle":"","parse-names":false,"suffix":""}],"container-title":"Annals of Tropical Medicine and Parasitology","id":"ITEM-2","issue":"1","issued":{"date-parts":[["1993"]]},"page":"9-16","title":"The chemotherapy of rodent malaria. XLIX. The activities of some synthetic 1,2,4-trioxanes against chloroquinesensitive and chloroquine-resistant parasites. Part 2: Structure-activity studies on cis-fused cyclopenteno-1,2,4-trioxanes (fenozans) against dr","type":"article-journal","volume":"87"},"uris":["http://www.mendeley.com/documents/?uuid=70ee5b2a-d340-4eeb-94af-3d864607a85d","http://www.mendeley.com/documents/?uuid=986b1287-11d2-45b8-b2f4-69550bc1701c","http://www.mendeley.com/documents/?uuid=c707c9dc-3193-47b8-8b2a-27df964ec428"]}],"mendeley":{"formattedCitation":"&lt;sup&gt;83,86&lt;/sup&gt;","plainTextFormattedCitation":"83,86","previouslyFormattedCitation":"&lt;sup&gt;83,86&lt;/sup&gt;"},"properties":{"noteIndex":0},"schema":"https://github.com/citation-style-language/schema/raw/master/csl-citation.json"}</w:instrText>
      </w:r>
      <w:r w:rsidR="000536E8" w:rsidRPr="00C07E8E">
        <w:rPr>
          <w:rFonts w:cs="Times New Roman"/>
          <w:color w:val="auto"/>
          <w:szCs w:val="22"/>
        </w:rPr>
        <w:fldChar w:fldCharType="separate"/>
      </w:r>
      <w:r w:rsidR="007125A3" w:rsidRPr="007125A3">
        <w:rPr>
          <w:rFonts w:cs="Times New Roman"/>
          <w:noProof/>
          <w:color w:val="auto"/>
          <w:szCs w:val="22"/>
          <w:vertAlign w:val="superscript"/>
        </w:rPr>
        <w:t>83,86</w:t>
      </w:r>
      <w:r w:rsidR="000536E8" w:rsidRPr="00C07E8E">
        <w:rPr>
          <w:rFonts w:cs="Times New Roman"/>
          <w:color w:val="auto"/>
          <w:szCs w:val="22"/>
        </w:rPr>
        <w:fldChar w:fldCharType="end"/>
      </w:r>
      <w:r w:rsidR="00855BB0" w:rsidRPr="00C07E8E">
        <w:rPr>
          <w:rFonts w:cs="Times New Roman"/>
          <w:color w:val="auto"/>
          <w:szCs w:val="22"/>
        </w:rPr>
        <w:t xml:space="preserve"> Instead, it is likely that </w:t>
      </w:r>
      <w:r w:rsidR="00C679E4" w:rsidRPr="00C07E8E">
        <w:rPr>
          <w:rFonts w:cs="Times New Roman"/>
          <w:color w:val="auto"/>
          <w:szCs w:val="22"/>
        </w:rPr>
        <w:t>multiple doses would be required</w:t>
      </w:r>
      <w:r w:rsidR="002D206E">
        <w:rPr>
          <w:rFonts w:cs="Times New Roman"/>
          <w:color w:val="auto"/>
          <w:szCs w:val="22"/>
        </w:rPr>
        <w:t>,</w:t>
      </w:r>
      <w:r w:rsidR="00C679E4" w:rsidRPr="00C07E8E">
        <w:rPr>
          <w:rFonts w:cs="Times New Roman"/>
          <w:color w:val="auto"/>
          <w:szCs w:val="22"/>
        </w:rPr>
        <w:t xml:space="preserve"> falling short of the single dose cure outlined in</w:t>
      </w:r>
      <w:r w:rsidR="00233EB9">
        <w:rPr>
          <w:rFonts w:cs="Times New Roman"/>
          <w:color w:val="auto"/>
          <w:szCs w:val="22"/>
        </w:rPr>
        <w:t xml:space="preserve"> the Medicines for Malaria </w:t>
      </w:r>
      <w:r w:rsidR="00C679E4" w:rsidRPr="00C07E8E">
        <w:rPr>
          <w:rFonts w:cs="Times New Roman"/>
          <w:color w:val="auto"/>
          <w:szCs w:val="22"/>
        </w:rPr>
        <w:t xml:space="preserve"> </w:t>
      </w:r>
      <w:r w:rsidR="00233EB9">
        <w:rPr>
          <w:rFonts w:cs="Times New Roman"/>
          <w:color w:val="auto"/>
          <w:szCs w:val="22"/>
        </w:rPr>
        <w:t>(</w:t>
      </w:r>
      <w:r w:rsidR="00C679E4" w:rsidRPr="00C07E8E">
        <w:rPr>
          <w:rFonts w:cs="Times New Roman"/>
          <w:color w:val="auto"/>
          <w:szCs w:val="22"/>
        </w:rPr>
        <w:t>MMV</w:t>
      </w:r>
      <w:r w:rsidR="00233EB9">
        <w:rPr>
          <w:rFonts w:cs="Times New Roman"/>
          <w:color w:val="auto"/>
          <w:szCs w:val="22"/>
        </w:rPr>
        <w:t>) target candidate profile, known as</w:t>
      </w:r>
      <w:r w:rsidR="00C679E4" w:rsidRPr="00C07E8E">
        <w:rPr>
          <w:rFonts w:cs="Times New Roman"/>
          <w:color w:val="auto"/>
          <w:szCs w:val="22"/>
        </w:rPr>
        <w:t xml:space="preserve"> TCP1.</w:t>
      </w:r>
      <w:r w:rsidR="00D71C99" w:rsidRPr="00C07E8E">
        <w:rPr>
          <w:rFonts w:cs="Times New Roman"/>
          <w:color w:val="auto"/>
          <w:szCs w:val="22"/>
        </w:rPr>
        <w:fldChar w:fldCharType="begin" w:fldLock="1"/>
      </w:r>
      <w:r w:rsidR="00CA5C6A">
        <w:rPr>
          <w:rFonts w:cs="Times New Roman"/>
          <w:color w:val="auto"/>
          <w:szCs w:val="22"/>
        </w:rPr>
        <w:instrText>ADDIN CSL_CITATION {"citationItems":[{"id":"ITEM-1","itemData":{"DOI":"10.1186/s12936-016-1675-x","ISSN":"14752875","PMID":"28086874","abstract":"A decade of discovery and development of new anti-malarial medicines has led to a renewed focus on malaria elimination and eradication. Changes in the way new anti-malarial drugs are discovered and developed have led to a dramatic increase in the number and diversity of new molecules presently in pre-clinical and early clinical development. The twin challenges faced can be summarized by multi-drug resistant malaria from the Greater Mekong Sub-region, and the need to provide simplified medicines. This review lists changes in anti-malarial target candidate and target product profiles over the last 4 years. As well as new medicines to treat disease and prevent transmission, there has been increased focus on the longer term goal of finding new medicines for chemoprotection, potentially with long-acting molecules, or parenteral formulations. Other gaps in the malaria armamentarium, such as drugs to treat severe malaria and endectocides (that kill mosquitoes which feed on people who have taken the drug), are defined here. Ultimately the elimination of malaria requires medicines that are safe and well-tolerated to be used in vulnerable populations: in pregnancy, especially the first trimester, and in those suffering from malnutrition or co-infection with other pathogens. These updates reflect the maturing of an understanding of the key challenges in producing the next generation of medicines to control, eliminate and ultimately eradicate malaria.","author":[{"dropping-particle":"","family":"Burrows","given":"Jeremy N.","non-dropping-particle":"","parse-names":false,"suffix":""},{"dropping-particle":"","family":"Duparc","given":"Stephan","non-dropping-particle":"","parse-names":false,"suffix":""},{"dropping-particle":"","family":"Gutteridge","given":"Winston E.","non-dropping-particle":"","parse-names":false,"suffix":""},{"dropping-particle":"","family":"Hooft Van Huijsduijnen","given":"Rob","non-dropping-particle":"","parse-names":false,"suffix":""},{"dropping-particle":"","family":"Kaszubska","given":"Wiweka","non-dropping-particle":"","parse-names":false,"suffix":""},{"dropping-particle":"","family":"Macintyre","given":"Fiona","non-dropping-particle":"","parse-names":false,"suffix":""},{"dropping-particle":"","family":"Mazzuri","given":"Sébastien","non-dropping-particle":"","parse-names":false,"suffix":""},{"dropping-particle":"","family":"Möhrle","given":"Jörg J.","non-dropping-particle":"","parse-names":false,"suffix":""},{"dropping-particle":"","family":"Wells","given":"Timothy N.C.","non-dropping-particle":"","parse-names":false,"suffix":""}],"container-title":"Malaria Journal","id":"ITEM-1","issue":"1","issued":{"date-parts":[["2017"]]},"page":"26","title":"New developments in anti-malarial target candidate and product profiles","type":"article-journal","volume":"16"},"uris":["http://www.mendeley.com/documents/?uuid=bc369b16-26a9-4d3e-95fb-6040244de494"]}],"mendeley":{"formattedCitation":"&lt;sup&gt;89&lt;/sup&gt;","plainTextFormattedCitation":"89","previouslyFormattedCitation":"&lt;sup&gt;89&lt;/sup&gt;"},"properties":{"noteIndex":0},"schema":"https://github.com/citation-style-language/schema/raw/master/csl-citation.json"}</w:instrText>
      </w:r>
      <w:r w:rsidR="00D71C99" w:rsidRPr="00C07E8E">
        <w:rPr>
          <w:rFonts w:cs="Times New Roman"/>
          <w:color w:val="auto"/>
          <w:szCs w:val="22"/>
        </w:rPr>
        <w:fldChar w:fldCharType="separate"/>
      </w:r>
      <w:r w:rsidR="007125A3" w:rsidRPr="007125A3">
        <w:rPr>
          <w:rFonts w:cs="Times New Roman"/>
          <w:noProof/>
          <w:color w:val="auto"/>
          <w:szCs w:val="22"/>
          <w:vertAlign w:val="superscript"/>
        </w:rPr>
        <w:t>89</w:t>
      </w:r>
      <w:r w:rsidR="00D71C99" w:rsidRPr="00C07E8E">
        <w:rPr>
          <w:rFonts w:cs="Times New Roman"/>
          <w:color w:val="auto"/>
          <w:szCs w:val="22"/>
        </w:rPr>
        <w:fldChar w:fldCharType="end"/>
      </w:r>
    </w:p>
    <w:p w14:paraId="401DAD55" w14:textId="77777777" w:rsidR="001C6A67" w:rsidRPr="00C07E8E" w:rsidRDefault="001C6A67" w:rsidP="00532D1D">
      <w:pPr>
        <w:ind w:firstLine="720"/>
        <w:rPr>
          <w:rFonts w:cs="Times New Roman"/>
          <w:color w:val="auto"/>
          <w:szCs w:val="22"/>
        </w:rPr>
      </w:pPr>
    </w:p>
    <w:p w14:paraId="4D8F73D7" w14:textId="7C142F5E" w:rsidR="00251197" w:rsidRPr="00C07E8E" w:rsidRDefault="00C07E8E" w:rsidP="00532D1D">
      <w:pPr>
        <w:pStyle w:val="Ttulo1"/>
        <w:numPr>
          <w:ilvl w:val="1"/>
          <w:numId w:val="3"/>
        </w:numPr>
        <w:spacing w:before="0" w:after="240"/>
        <w:rPr>
          <w:rFonts w:cs="Times New Roman"/>
          <w:color w:val="auto"/>
          <w:sz w:val="22"/>
          <w:szCs w:val="22"/>
        </w:rPr>
      </w:pPr>
      <w:r w:rsidRPr="00C07E8E">
        <w:rPr>
          <w:rFonts w:cs="Times New Roman"/>
          <w:color w:val="auto"/>
          <w:sz w:val="22"/>
          <w:szCs w:val="22"/>
        </w:rPr>
        <w:t xml:space="preserve">Mechanism of </w:t>
      </w:r>
      <w:r w:rsidR="00C014E2">
        <w:rPr>
          <w:rFonts w:cs="Times New Roman"/>
          <w:color w:val="auto"/>
          <w:sz w:val="22"/>
          <w:szCs w:val="22"/>
        </w:rPr>
        <w:t xml:space="preserve">Iron Bioactivation and Generation of Radical </w:t>
      </w:r>
      <w:r w:rsidR="0000060D">
        <w:rPr>
          <w:rFonts w:cs="Times New Roman"/>
          <w:color w:val="auto"/>
          <w:sz w:val="22"/>
          <w:szCs w:val="22"/>
        </w:rPr>
        <w:t xml:space="preserve">and </w:t>
      </w:r>
      <w:r w:rsidR="00495930">
        <w:rPr>
          <w:rFonts w:cs="Times New Roman"/>
          <w:color w:val="auto"/>
          <w:sz w:val="22"/>
          <w:szCs w:val="22"/>
        </w:rPr>
        <w:t>Carboc</w:t>
      </w:r>
      <w:r w:rsidR="0000060D">
        <w:rPr>
          <w:rFonts w:cs="Times New Roman"/>
          <w:color w:val="auto"/>
          <w:sz w:val="22"/>
          <w:szCs w:val="22"/>
        </w:rPr>
        <w:t xml:space="preserve">ation </w:t>
      </w:r>
      <w:r w:rsidR="00C014E2">
        <w:rPr>
          <w:rFonts w:cs="Times New Roman"/>
          <w:color w:val="auto"/>
          <w:sz w:val="22"/>
          <w:szCs w:val="22"/>
        </w:rPr>
        <w:t>Intermediates</w:t>
      </w:r>
    </w:p>
    <w:p w14:paraId="135BD068" w14:textId="0AEBCB41" w:rsidR="00251197"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The reaction </w:t>
      </w:r>
      <w:r w:rsidR="00330EA3" w:rsidRPr="00C07E8E">
        <w:rPr>
          <w:rFonts w:cs="Times New Roman"/>
          <w:color w:val="auto"/>
          <w:szCs w:val="22"/>
        </w:rPr>
        <w:t xml:space="preserve">of Fenozan-50F </w:t>
      </w:r>
      <w:r w:rsidR="006C7352" w:rsidRPr="00C07E8E">
        <w:rPr>
          <w:rFonts w:cs="Times New Roman"/>
          <w:b/>
          <w:bCs/>
          <w:color w:val="auto"/>
          <w:szCs w:val="22"/>
        </w:rPr>
        <w:t>3</w:t>
      </w:r>
      <w:r w:rsidR="003F0F34">
        <w:rPr>
          <w:rFonts w:cs="Times New Roman"/>
          <w:b/>
          <w:bCs/>
          <w:color w:val="auto"/>
          <w:szCs w:val="22"/>
        </w:rPr>
        <w:t>1</w:t>
      </w:r>
      <w:r w:rsidRPr="00C07E8E">
        <w:rPr>
          <w:rFonts w:cs="Times New Roman"/>
          <w:color w:val="auto"/>
          <w:szCs w:val="22"/>
        </w:rPr>
        <w:t xml:space="preserve"> with </w:t>
      </w:r>
      <w:r w:rsidR="007541CF" w:rsidRPr="00C07E8E">
        <w:rPr>
          <w:rFonts w:cs="Times New Roman"/>
          <w:color w:val="auto"/>
          <w:szCs w:val="22"/>
        </w:rPr>
        <w:t>Fe</w:t>
      </w:r>
      <w:r w:rsidRPr="00C07E8E">
        <w:rPr>
          <w:rFonts w:cs="Times New Roman"/>
          <w:color w:val="auto"/>
          <w:szCs w:val="22"/>
        </w:rPr>
        <w:t xml:space="preserve">(II) chloride promotes a homolytic cleavage of the </w:t>
      </w:r>
      <w:r w:rsidR="00BE6196" w:rsidRPr="00C07E8E">
        <w:rPr>
          <w:rFonts w:cs="Times New Roman"/>
          <w:color w:val="auto"/>
          <w:szCs w:val="22"/>
        </w:rPr>
        <w:t>endo</w:t>
      </w:r>
      <w:r w:rsidRPr="00C07E8E">
        <w:rPr>
          <w:rFonts w:cs="Times New Roman"/>
          <w:color w:val="auto"/>
          <w:szCs w:val="22"/>
        </w:rPr>
        <w:t xml:space="preserve">peroxide bond, wherein a single-electron transfer by the ferrous ion gives the radical anion </w:t>
      </w:r>
      <w:r w:rsidR="00330EA3" w:rsidRPr="00C07E8E">
        <w:rPr>
          <w:rFonts w:cs="Times New Roman"/>
          <w:b/>
          <w:bCs/>
          <w:color w:val="auto"/>
          <w:szCs w:val="22"/>
        </w:rPr>
        <w:t>3</w:t>
      </w:r>
      <w:r w:rsidR="003F0F34">
        <w:rPr>
          <w:rFonts w:cs="Times New Roman"/>
          <w:b/>
          <w:bCs/>
          <w:color w:val="auto"/>
          <w:szCs w:val="22"/>
        </w:rPr>
        <w:t>7</w:t>
      </w:r>
      <w:r w:rsidRPr="00C07E8E">
        <w:rPr>
          <w:rFonts w:cs="Times New Roman"/>
          <w:color w:val="auto"/>
          <w:szCs w:val="22"/>
        </w:rPr>
        <w:t xml:space="preserve">. Protonation of the radical anion affords an </w:t>
      </w:r>
      <w:r w:rsidRPr="00C07E8E">
        <w:rPr>
          <w:rFonts w:cs="Times New Roman"/>
          <w:i/>
          <w:iCs/>
          <w:color w:val="auto"/>
          <w:szCs w:val="22"/>
        </w:rPr>
        <w:t>O</w:t>
      </w:r>
      <w:r w:rsidRPr="00C07E8E">
        <w:rPr>
          <w:rFonts w:cs="Times New Roman"/>
          <w:color w:val="auto"/>
          <w:szCs w:val="22"/>
        </w:rPr>
        <w:t xml:space="preserve">-centred radical </w:t>
      </w:r>
      <w:r w:rsidR="00330EA3" w:rsidRPr="00C07E8E">
        <w:rPr>
          <w:rFonts w:cs="Times New Roman"/>
          <w:b/>
          <w:bCs/>
          <w:color w:val="auto"/>
          <w:szCs w:val="22"/>
        </w:rPr>
        <w:t>3</w:t>
      </w:r>
      <w:r w:rsidR="003F0F34">
        <w:rPr>
          <w:rFonts w:cs="Times New Roman"/>
          <w:b/>
          <w:bCs/>
          <w:color w:val="auto"/>
          <w:szCs w:val="22"/>
        </w:rPr>
        <w:t>8</w:t>
      </w:r>
      <w:r w:rsidRPr="00C07E8E">
        <w:rPr>
          <w:rFonts w:cs="Times New Roman"/>
          <w:color w:val="auto"/>
          <w:szCs w:val="22"/>
        </w:rPr>
        <w:t xml:space="preserve">, </w:t>
      </w:r>
      <w:r w:rsidR="008D48DE">
        <w:rPr>
          <w:rFonts w:cs="Times New Roman"/>
          <w:color w:val="auto"/>
          <w:szCs w:val="22"/>
        </w:rPr>
        <w:t>that, upon</w:t>
      </w:r>
      <w:r w:rsidR="008D48DE" w:rsidRPr="00C07E8E">
        <w:rPr>
          <w:rFonts w:cs="Times New Roman"/>
          <w:color w:val="auto"/>
          <w:szCs w:val="22"/>
        </w:rPr>
        <w:t xml:space="preserve"> </w:t>
      </w:r>
      <w:r w:rsidRPr="00C07E8E">
        <w:rPr>
          <w:rFonts w:cs="Times New Roman"/>
          <w:color w:val="auto"/>
          <w:szCs w:val="22"/>
        </w:rPr>
        <w:t xml:space="preserve">subsequent capture of a H-atom from the medium (SH), generates the pentanoate </w:t>
      </w:r>
      <w:r w:rsidR="007125A3">
        <w:rPr>
          <w:rFonts w:cs="Times New Roman"/>
          <w:b/>
          <w:bCs/>
          <w:color w:val="auto"/>
          <w:szCs w:val="22"/>
        </w:rPr>
        <w:t>40</w:t>
      </w:r>
      <w:r w:rsidR="00330EA3" w:rsidRPr="00C07E8E">
        <w:rPr>
          <w:rFonts w:cs="Times New Roman"/>
          <w:b/>
          <w:bCs/>
          <w:color w:val="auto"/>
          <w:szCs w:val="22"/>
        </w:rPr>
        <w:t xml:space="preserve"> </w:t>
      </w:r>
      <w:r w:rsidRPr="00C07E8E">
        <w:rPr>
          <w:rFonts w:cs="Times New Roman"/>
          <w:color w:val="auto"/>
          <w:szCs w:val="22"/>
        </w:rPr>
        <w:t xml:space="preserve">product. Alternatively, alkoxy radicals </w:t>
      </w:r>
      <w:r w:rsidR="00330EA3" w:rsidRPr="00C07E8E">
        <w:rPr>
          <w:rFonts w:cs="Times New Roman"/>
          <w:b/>
          <w:bCs/>
          <w:color w:val="auto"/>
          <w:szCs w:val="22"/>
        </w:rPr>
        <w:t>3</w:t>
      </w:r>
      <w:r w:rsidR="003F0F34">
        <w:rPr>
          <w:rFonts w:cs="Times New Roman"/>
          <w:b/>
          <w:bCs/>
          <w:color w:val="auto"/>
          <w:szCs w:val="22"/>
        </w:rPr>
        <w:t>7</w:t>
      </w:r>
      <w:r w:rsidRPr="00C07E8E">
        <w:rPr>
          <w:rFonts w:cs="Times New Roman"/>
          <w:color w:val="auto"/>
          <w:szCs w:val="22"/>
        </w:rPr>
        <w:t xml:space="preserve"> or </w:t>
      </w:r>
      <w:r w:rsidR="00330EA3" w:rsidRPr="00C07E8E">
        <w:rPr>
          <w:rFonts w:cs="Times New Roman"/>
          <w:b/>
          <w:bCs/>
          <w:color w:val="auto"/>
          <w:szCs w:val="22"/>
        </w:rPr>
        <w:t>3</w:t>
      </w:r>
      <w:r w:rsidR="003F0F34">
        <w:rPr>
          <w:rFonts w:cs="Times New Roman"/>
          <w:b/>
          <w:bCs/>
          <w:color w:val="auto"/>
          <w:szCs w:val="22"/>
        </w:rPr>
        <w:t>8</w:t>
      </w:r>
      <w:r w:rsidRPr="00C07E8E">
        <w:rPr>
          <w:rFonts w:cs="Times New Roman"/>
          <w:color w:val="auto"/>
          <w:szCs w:val="22"/>
        </w:rPr>
        <w:t xml:space="preserve"> can undergo a β-scission pathway, providing primary carbon-centred radicals </w:t>
      </w:r>
      <w:r w:rsidR="003F0F34">
        <w:rPr>
          <w:rFonts w:cs="Times New Roman"/>
          <w:b/>
          <w:bCs/>
          <w:color w:val="auto"/>
          <w:szCs w:val="22"/>
        </w:rPr>
        <w:t>4</w:t>
      </w:r>
      <w:r w:rsidR="007125A3">
        <w:rPr>
          <w:rFonts w:cs="Times New Roman"/>
          <w:b/>
          <w:bCs/>
          <w:color w:val="auto"/>
          <w:szCs w:val="22"/>
        </w:rPr>
        <w:t>1</w:t>
      </w:r>
      <w:r w:rsidRPr="00C07E8E">
        <w:rPr>
          <w:rFonts w:cs="Times New Roman"/>
          <w:b/>
          <w:bCs/>
          <w:color w:val="auto"/>
          <w:szCs w:val="22"/>
        </w:rPr>
        <w:t xml:space="preserve"> </w:t>
      </w:r>
      <w:r w:rsidRPr="00C07E8E">
        <w:rPr>
          <w:rFonts w:cs="Times New Roman"/>
          <w:color w:val="auto"/>
          <w:szCs w:val="22"/>
        </w:rPr>
        <w:t xml:space="preserve">and </w:t>
      </w:r>
      <w:r w:rsidR="00330EA3" w:rsidRPr="00C07E8E">
        <w:rPr>
          <w:rFonts w:cs="Times New Roman"/>
          <w:b/>
          <w:bCs/>
          <w:color w:val="auto"/>
          <w:szCs w:val="22"/>
        </w:rPr>
        <w:t>4</w:t>
      </w:r>
      <w:r w:rsidR="007125A3">
        <w:rPr>
          <w:rFonts w:cs="Times New Roman"/>
          <w:b/>
          <w:bCs/>
          <w:color w:val="auto"/>
          <w:szCs w:val="22"/>
        </w:rPr>
        <w:t>2</w:t>
      </w:r>
      <w:r w:rsidRPr="00C07E8E">
        <w:rPr>
          <w:rFonts w:cs="Times New Roman"/>
          <w:color w:val="auto"/>
          <w:szCs w:val="22"/>
        </w:rPr>
        <w:t>, which can react with parasite proteins and heme, conferring its antimalarial action</w:t>
      </w:r>
      <w:r w:rsidR="00953669" w:rsidRPr="00C07E8E">
        <w:rPr>
          <w:rFonts w:cs="Times New Roman"/>
          <w:color w:val="auto"/>
          <w:szCs w:val="22"/>
        </w:rPr>
        <w:t xml:space="preserve"> (</w:t>
      </w:r>
      <w:r w:rsidR="00953669" w:rsidRPr="00C07E8E">
        <w:rPr>
          <w:rFonts w:cs="Times New Roman"/>
          <w:b/>
          <w:bCs/>
          <w:color w:val="auto"/>
          <w:szCs w:val="22"/>
        </w:rPr>
        <w:t>Scheme 4</w:t>
      </w:r>
      <w:r w:rsidR="00953669" w:rsidRPr="00C07E8E">
        <w:rPr>
          <w:rFonts w:cs="Times New Roman"/>
          <w:color w:val="auto"/>
          <w:szCs w:val="22"/>
        </w:rPr>
        <w:t>)</w:t>
      </w:r>
      <w:r w:rsidRPr="00C07E8E">
        <w:rPr>
          <w:rFonts w:cs="Times New Roman"/>
          <w:color w:val="auto"/>
          <w:szCs w:val="22"/>
        </w:rPr>
        <w:t xml:space="preserve">. </w:t>
      </w:r>
      <w:r w:rsidR="00495930" w:rsidRPr="00114F6C">
        <w:rPr>
          <w:rFonts w:cs="Times New Roman"/>
          <w:color w:val="auto"/>
          <w:szCs w:val="22"/>
        </w:rPr>
        <w:t xml:space="preserve">A second, oxidative step </w:t>
      </w:r>
      <w:r w:rsidR="00495930">
        <w:rPr>
          <w:rFonts w:cs="Times New Roman"/>
          <w:color w:val="auto"/>
          <w:szCs w:val="22"/>
        </w:rPr>
        <w:t>can happen</w:t>
      </w:r>
      <w:r w:rsidR="00495930" w:rsidRPr="00114F6C">
        <w:rPr>
          <w:rFonts w:cs="Times New Roman"/>
          <w:color w:val="auto"/>
          <w:szCs w:val="22"/>
        </w:rPr>
        <w:t xml:space="preserve"> in the presence of higher amounts of ferrous iron</w:t>
      </w:r>
      <w:r w:rsidR="00495930">
        <w:rPr>
          <w:rFonts w:cs="Times New Roman"/>
          <w:color w:val="auto"/>
          <w:szCs w:val="22"/>
        </w:rPr>
        <w:t>, where o</w:t>
      </w:r>
      <w:r w:rsidR="00495930" w:rsidRPr="00114F6C">
        <w:rPr>
          <w:rFonts w:cs="Times New Roman"/>
          <w:color w:val="auto"/>
          <w:szCs w:val="22"/>
        </w:rPr>
        <w:t xml:space="preserve">xidation of the primary carbon-centred radical </w:t>
      </w:r>
      <w:r w:rsidR="00495930" w:rsidRPr="00114F6C">
        <w:rPr>
          <w:rFonts w:cs="Times New Roman"/>
          <w:b/>
          <w:bCs/>
          <w:color w:val="auto"/>
          <w:szCs w:val="22"/>
        </w:rPr>
        <w:t>4</w:t>
      </w:r>
      <w:r w:rsidR="003F0F34">
        <w:rPr>
          <w:rFonts w:cs="Times New Roman"/>
          <w:b/>
          <w:bCs/>
          <w:color w:val="auto"/>
          <w:szCs w:val="22"/>
        </w:rPr>
        <w:t>2</w:t>
      </w:r>
      <w:r w:rsidR="00495930">
        <w:rPr>
          <w:rFonts w:cs="Times New Roman"/>
          <w:color w:val="auto"/>
          <w:szCs w:val="22"/>
        </w:rPr>
        <w:t xml:space="preserve"> generates</w:t>
      </w:r>
      <w:r w:rsidR="00495930" w:rsidRPr="00114F6C">
        <w:rPr>
          <w:rFonts w:cs="Times New Roman"/>
          <w:color w:val="auto"/>
          <w:szCs w:val="22"/>
        </w:rPr>
        <w:t xml:space="preserve"> </w:t>
      </w:r>
      <w:r w:rsidR="00A61870">
        <w:rPr>
          <w:rFonts w:cs="Times New Roman"/>
          <w:color w:val="auto"/>
          <w:szCs w:val="22"/>
        </w:rPr>
        <w:t>a primary</w:t>
      </w:r>
      <w:r w:rsidR="00A61870" w:rsidRPr="00114F6C">
        <w:rPr>
          <w:rFonts w:cs="Times New Roman"/>
          <w:color w:val="auto"/>
          <w:szCs w:val="22"/>
        </w:rPr>
        <w:t xml:space="preserve"> </w:t>
      </w:r>
      <w:r w:rsidR="00495930" w:rsidRPr="00114F6C">
        <w:rPr>
          <w:rFonts w:cs="Times New Roman"/>
          <w:color w:val="auto"/>
          <w:szCs w:val="22"/>
        </w:rPr>
        <w:t xml:space="preserve">carbocation </w:t>
      </w:r>
      <w:r w:rsidR="00495930" w:rsidRPr="00114F6C">
        <w:rPr>
          <w:rFonts w:cs="Times New Roman"/>
          <w:b/>
          <w:bCs/>
          <w:color w:val="auto"/>
          <w:szCs w:val="22"/>
        </w:rPr>
        <w:t>4</w:t>
      </w:r>
      <w:r w:rsidR="003F0F34">
        <w:rPr>
          <w:rFonts w:cs="Times New Roman"/>
          <w:b/>
          <w:bCs/>
          <w:color w:val="auto"/>
          <w:szCs w:val="22"/>
        </w:rPr>
        <w:t>3</w:t>
      </w:r>
      <w:r w:rsidR="00495930">
        <w:rPr>
          <w:rFonts w:cs="Times New Roman"/>
          <w:color w:val="auto"/>
          <w:szCs w:val="22"/>
        </w:rPr>
        <w:t xml:space="preserve">, </w:t>
      </w:r>
      <w:r w:rsidR="00495930" w:rsidRPr="00114F6C">
        <w:rPr>
          <w:rFonts w:cs="Times New Roman"/>
          <w:color w:val="auto"/>
          <w:szCs w:val="22"/>
        </w:rPr>
        <w:t xml:space="preserve">most probably stabilized </w:t>
      </w:r>
      <w:r w:rsidR="00495930">
        <w:rPr>
          <w:rFonts w:cs="Times New Roman"/>
          <w:color w:val="auto"/>
          <w:szCs w:val="22"/>
        </w:rPr>
        <w:t>as</w:t>
      </w:r>
      <w:r w:rsidR="008D48DE">
        <w:rPr>
          <w:rFonts w:cs="Times New Roman"/>
          <w:color w:val="auto"/>
          <w:szCs w:val="22"/>
        </w:rPr>
        <w:t xml:space="preserve"> the</w:t>
      </w:r>
      <w:r w:rsidR="00495930" w:rsidRPr="00114F6C">
        <w:rPr>
          <w:rFonts w:cs="Times New Roman"/>
          <w:color w:val="auto"/>
          <w:szCs w:val="22"/>
        </w:rPr>
        <w:t xml:space="preserve"> bicyclic oxonium species </w:t>
      </w:r>
      <w:r w:rsidR="00495930" w:rsidRPr="00114F6C">
        <w:rPr>
          <w:rFonts w:cs="Times New Roman"/>
          <w:b/>
          <w:bCs/>
          <w:color w:val="auto"/>
          <w:szCs w:val="22"/>
        </w:rPr>
        <w:t>4</w:t>
      </w:r>
      <w:r w:rsidR="003F0F34">
        <w:rPr>
          <w:rFonts w:cs="Times New Roman"/>
          <w:b/>
          <w:bCs/>
          <w:color w:val="auto"/>
          <w:szCs w:val="22"/>
        </w:rPr>
        <w:t>4</w:t>
      </w:r>
      <w:r w:rsidR="00495930" w:rsidRPr="005E1BED">
        <w:rPr>
          <w:rFonts w:cs="Times New Roman"/>
          <w:color w:val="auto"/>
          <w:szCs w:val="22"/>
        </w:rPr>
        <w:t>.</w:t>
      </w:r>
      <w:r w:rsidR="00495930">
        <w:rPr>
          <w:rFonts w:cs="Times New Roman"/>
          <w:color w:val="auto"/>
          <w:szCs w:val="22"/>
        </w:rPr>
        <w:t xml:space="preserve"> Reaction of </w:t>
      </w:r>
      <w:r w:rsidR="00495930" w:rsidRPr="00805BF0">
        <w:rPr>
          <w:rFonts w:cs="Times New Roman"/>
          <w:b/>
          <w:bCs/>
          <w:color w:val="auto"/>
          <w:szCs w:val="22"/>
        </w:rPr>
        <w:t>4</w:t>
      </w:r>
      <w:r w:rsidR="003F0F34">
        <w:rPr>
          <w:rFonts w:cs="Times New Roman"/>
          <w:b/>
          <w:bCs/>
          <w:color w:val="auto"/>
          <w:szCs w:val="22"/>
        </w:rPr>
        <w:t>4</w:t>
      </w:r>
      <w:r w:rsidR="00495930">
        <w:rPr>
          <w:rFonts w:cs="Times New Roman"/>
          <w:color w:val="auto"/>
          <w:szCs w:val="22"/>
        </w:rPr>
        <w:t xml:space="preserve"> with water produces</w:t>
      </w:r>
      <w:r w:rsidR="00495930" w:rsidRPr="005A52AC">
        <w:rPr>
          <w:rFonts w:cs="Times New Roman"/>
          <w:color w:val="auto"/>
          <w:szCs w:val="22"/>
        </w:rPr>
        <w:t xml:space="preserve"> the alcohol </w:t>
      </w:r>
      <w:r w:rsidR="00495930" w:rsidRPr="005A52AC">
        <w:rPr>
          <w:rFonts w:cs="Times New Roman"/>
          <w:b/>
          <w:bCs/>
          <w:color w:val="auto"/>
          <w:szCs w:val="22"/>
        </w:rPr>
        <w:t>4</w:t>
      </w:r>
      <w:r w:rsidR="003F0F34">
        <w:rPr>
          <w:rFonts w:cs="Times New Roman"/>
          <w:b/>
          <w:bCs/>
          <w:color w:val="auto"/>
          <w:szCs w:val="22"/>
        </w:rPr>
        <w:t>5</w:t>
      </w:r>
      <w:r w:rsidR="00495930" w:rsidRPr="005A52AC">
        <w:rPr>
          <w:rFonts w:cs="Times New Roman"/>
          <w:color w:val="auto"/>
          <w:szCs w:val="22"/>
        </w:rPr>
        <w:t xml:space="preserve">, which can dimerize to species </w:t>
      </w:r>
      <w:r w:rsidR="00495930" w:rsidRPr="005A52AC">
        <w:rPr>
          <w:rFonts w:cs="Times New Roman"/>
          <w:b/>
          <w:bCs/>
          <w:color w:val="auto"/>
          <w:szCs w:val="22"/>
        </w:rPr>
        <w:t>4</w:t>
      </w:r>
      <w:r w:rsidR="003F0F34">
        <w:rPr>
          <w:rFonts w:cs="Times New Roman"/>
          <w:b/>
          <w:bCs/>
          <w:color w:val="auto"/>
          <w:szCs w:val="22"/>
        </w:rPr>
        <w:t>6</w:t>
      </w:r>
      <w:r w:rsidR="00495930">
        <w:rPr>
          <w:rFonts w:cs="Times New Roman"/>
          <w:color w:val="auto"/>
          <w:szCs w:val="22"/>
        </w:rPr>
        <w:t>. Carbon-centred radical and carbocation intermediates may eventually induce cellular oxidative stress and promote protein alkylation</w:t>
      </w:r>
      <w:r w:rsidR="00495930" w:rsidRPr="00C07E8E">
        <w:rPr>
          <w:rFonts w:cs="Times New Roman"/>
          <w:color w:val="auto"/>
          <w:szCs w:val="22"/>
        </w:rPr>
        <w:t xml:space="preserve">, conferring its antimalarial </w:t>
      </w:r>
      <w:r w:rsidR="00495930">
        <w:rPr>
          <w:rFonts w:cs="Times New Roman"/>
          <w:color w:val="auto"/>
          <w:szCs w:val="22"/>
        </w:rPr>
        <w:t xml:space="preserve">action </w:t>
      </w:r>
      <w:r w:rsidR="00495930" w:rsidRPr="00805BF0">
        <w:rPr>
          <w:rFonts w:cs="Times New Roman"/>
          <w:color w:val="auto"/>
          <w:szCs w:val="22"/>
        </w:rPr>
        <w:t>(Scheme 4).</w:t>
      </w:r>
      <w:r w:rsidR="00495930" w:rsidRPr="00805BF0">
        <w:rPr>
          <w:rFonts w:cs="Times New Roman"/>
          <w:color w:val="auto"/>
          <w:szCs w:val="22"/>
        </w:rPr>
        <w:fldChar w:fldCharType="begin" w:fldLock="1"/>
      </w:r>
      <w:r w:rsidR="00192B39">
        <w:rPr>
          <w:rFonts w:cs="Times New Roman"/>
          <w:color w:val="auto"/>
          <w:szCs w:val="22"/>
        </w:rPr>
        <w:instrText>ADDIN CSL_CITATION {"citationItems":[{"id":"ITEM-1","itemData":{"DOI":"10.1002/hlca.19950780216","ISSN":"15222675","abstract":"Two cis‐fused cyclopenteno‐1,2,4‐trioxanes, 1a and 1b, were subjected to Zn in AcOH or FeCl2 · 4H2O in MeCN. In the first case, the main course was deoxygenation to give cyclopentanone (18) and the 1,4‐diphenyl‐ or 1,4‐bis(4‐fluorophenyl)cyclopent‐3‐ene‐1,2‐diol 10 (Scheme 5). In the second case, isomerization chiefly occurred resulting in the formation of a dimer 9 of the respective 3,5‐diaryl‐5‐hydroxycyclopent‐2‐enyl 5‐hydroxypentanoates 8 (Scheme 3). Copyright © 1995 Verlag GmbH &amp; Co. KGaA, Weinheim","author":[{"dropping-particle":"","family":"Jefford","given":"Charles W.","non-dropping-particle":"","parse-names":false,"suffix":""},{"dropping-particle":"","family":"Favarger","given":"France","non-dropping-particle":"","parse-names":false,"suffix":""},{"dropping-particle":"","family":"Vicente","given":"Maria Da Graça H.","non-dropping-particle":"","parse-names":false,"suffix":""},{"dropping-particle":"","family":"Jacquier","given":"Yvan","non-dropping-particle":"","parse-names":false,"suffix":""}],"container-title":"Helvetica Chimica Acta","id":"ITEM-1","issue":"2","issued":{"date-parts":[["1995"]]},"page":"452-458","title":"The Decomposition of cis‐Fused Cyclopenteno‐1,2,4‐Trioxanes induced by Ferrous Salts and some oxophilic reagents","type":"article-journal","volume":"78"},"uris":["http://www.mendeley.com/documents/?uuid=ec715801-3e1f-425b-b900-a3bf8301ad03","http://www.mendeley.com/documents/?uuid=7ddc1615-92ac-4c46-ae8f-763df1b92793"]},{"id":"ITEM-2","itemData":{"DOI":"10.1002/hlca.19950780312","ISSN":"15222675","abstract":"Two pairs of enantiomerically pure cis‐fused cyclopenteno‐1,2,4‐trioxanes (7, ent‐7 and 8, ent‐8) are prepared (Schemes 1–3). Their identities are established by dye‐sensitized photo‐oxygenation of ent‐7 and 8, ent‐8 to the allylichydroperxides, reduction to the corresponding alcohols, and conversion to the (1S)‐camphanates (Scheme 4), the structures of which are determined by X‐ray analysis. The dynamic properties of ent‐7 are investigated by NMR spectroscopy and PM3 calculations. Evidence for an easily accessible twist‐boat conformation is obtained. The in vitro and in vivo antimalarial activities of 7, ent‐7,8, and ent‐8 as well as those of the racemic mixtures are evaluated against Plasmodium falciparum, P. berghei, and P. yoelii. No correlation is observed between configuration and activity. Racemates and pure enantiomers have commensurate activities. The mode of action on the intraerythrocytic parasite is rationalized in terms of close docking by the twist‐boat conformer of the trioxane on the surface of a molecule of heme, single‐electron transfer to the OO σ* orbital, and scission to the acetal radical which then irreversibly isomerizes to a C‐centered radical, the ultimate lethal agent (Scheme 5). Copyright © 1995 Verlag GmbH &amp; Co. KGaA, Weinheim","author":[{"dropping-particle":"","family":"Jefford","given":"Charles W.","non-dropping-particle":"","parse-names":false,"suffix":""},{"dropping-particle":"","family":"Kohmoto","given":"Shigeo","non-dropping-particle":"","parse-names":false,"suffix":""},{"dropping-particle":"","family":"Jaggi","given":"Danielle","non-dropping-particle":"","parse-names":false,"suffix":""},{"dropping-particle":"","family":"Timári","given":"Géza","non-dropping-particle":"","parse-names":false,"suffix":""},{"dropping-particle":"","family":"Rossier","given":"Jean-Claude","non-dropping-particle":"","parse-names":false,"suffix":""},{"dropping-particle":"","family":"Rudaz","given":"Manyck","non-dropping-particle":"","parse-names":false,"suffix":""},{"dropping-particle":"","family":"Barbuzzi","given":"Olivier","non-dropping-particle":"","parse-names":false,"suffix":""},{"dropping-particle":"","family":"Gérard","given":"David","non-dropping-particle":"","parse-names":false,"suffix":""},{"dropping-particle":"","family":"Burger","given":"Ulrich","non-dropping-particle":"","parse-names":false,"suffix":""},{"dropping-particle":"","family":"Kamalaprija","given":"Phillipe","non-dropping-particle":"","parse-names":false,"suffix":""},{"dropping-particle":"","family":"Mareda","given":"Jiri","non-dropping-particle":"","parse-names":false,"suffix":""},{"dropping-particle":"","family":"Bernadinelli","given":"Gérald","non-dropping-particle":"","parse-names":false,"suffix":""}],"container-title":"Helvetica Chimica Acta","id":"ITEM-2","issue":"3","issued":{"date-parts":[["1995"]]},"page":"647-662","title":"Synthesis, Structure, and Antimalarial Activity of Some Enantiomerically Pure, cis-Fused Cyclopenteno-1,2,4-trioxanes","type":"article-journal","volume":"78"},"uris":["http://www.mendeley.com/documents/?uuid=f0064ddb-e260-4d7f-a95d-0f95e5eee6e5"]}],"mendeley":{"formattedCitation":"&lt;sup&gt;85,90&lt;/sup&gt;","plainTextFormattedCitation":"85,90","previouslyFormattedCitation":"&lt;sup&gt;85,90&lt;/sup&gt;"},"properties":{"noteIndex":0},"schema":"https://github.com/citation-style-language/schema/raw/master/csl-citation.json"}</w:instrText>
      </w:r>
      <w:r w:rsidR="00495930" w:rsidRPr="00805BF0">
        <w:rPr>
          <w:rFonts w:cs="Times New Roman"/>
          <w:color w:val="auto"/>
          <w:szCs w:val="22"/>
        </w:rPr>
        <w:fldChar w:fldCharType="separate"/>
      </w:r>
      <w:r w:rsidR="00CA5C6A" w:rsidRPr="00CA5C6A">
        <w:rPr>
          <w:rFonts w:cs="Times New Roman"/>
          <w:noProof/>
          <w:color w:val="auto"/>
          <w:szCs w:val="22"/>
          <w:vertAlign w:val="superscript"/>
        </w:rPr>
        <w:t>85,90</w:t>
      </w:r>
      <w:r w:rsidR="00495930" w:rsidRPr="00805BF0">
        <w:rPr>
          <w:rFonts w:cs="Times New Roman"/>
          <w:color w:val="auto"/>
          <w:szCs w:val="22"/>
        </w:rPr>
        <w:fldChar w:fldCharType="end"/>
      </w:r>
      <w:r w:rsidR="00495930">
        <w:rPr>
          <w:rFonts w:cs="Times New Roman"/>
          <w:color w:val="auto"/>
          <w:szCs w:val="22"/>
        </w:rPr>
        <w:t xml:space="preserve"> </w:t>
      </w:r>
    </w:p>
    <w:p w14:paraId="4456DC54" w14:textId="77777777" w:rsidR="00DB2918" w:rsidRPr="00C07E8E" w:rsidRDefault="00DB2918" w:rsidP="00532D1D">
      <w:pPr>
        <w:autoSpaceDE w:val="0"/>
        <w:autoSpaceDN w:val="0"/>
        <w:adjustRightInd w:val="0"/>
        <w:rPr>
          <w:rFonts w:cs="Times New Roman"/>
          <w:color w:val="auto"/>
          <w:szCs w:val="22"/>
        </w:rPr>
      </w:pPr>
    </w:p>
    <w:p w14:paraId="534F6558" w14:textId="17B45EC3" w:rsidR="00251197" w:rsidRPr="00C07E8E" w:rsidRDefault="00730A60" w:rsidP="00532D1D">
      <w:pPr>
        <w:autoSpaceDE w:val="0"/>
        <w:autoSpaceDN w:val="0"/>
        <w:adjustRightInd w:val="0"/>
        <w:jc w:val="center"/>
        <w:rPr>
          <w:rFonts w:cs="Times New Roman"/>
          <w:color w:val="auto"/>
          <w:szCs w:val="22"/>
        </w:rPr>
      </w:pPr>
      <w:r>
        <w:rPr>
          <w:noProof/>
        </w:rPr>
        <w:object w:dxaOrig="13448" w:dyaOrig="8436" w14:anchorId="6C6011E5">
          <v:shape id="_x0000_i1034" type="#_x0000_t75" alt="" style="width:461.4pt;height:289.2pt" o:ole="">
            <v:imagedata r:id="rId24" o:title=""/>
          </v:shape>
          <o:OLEObject Type="Embed" ProgID="ChemDraw.Document.6.0" ShapeID="_x0000_i1034" DrawAspect="Content" ObjectID="_1669219468" r:id="rId25"/>
        </w:object>
      </w:r>
      <w:r w:rsidR="003F0F34" w:rsidDel="003F0F34">
        <w:t xml:space="preserve"> </w:t>
      </w:r>
    </w:p>
    <w:p w14:paraId="27EFD137" w14:textId="571F4BD4" w:rsidR="00251197" w:rsidRPr="00C07E8E" w:rsidRDefault="00C07E8E" w:rsidP="00532D1D">
      <w:pPr>
        <w:rPr>
          <w:rFonts w:cs="Times New Roman"/>
          <w:color w:val="auto"/>
          <w:szCs w:val="22"/>
        </w:rPr>
      </w:pPr>
      <w:r w:rsidRPr="00C07E8E">
        <w:rPr>
          <w:rFonts w:cs="Times New Roman"/>
          <w:b/>
          <w:bCs/>
          <w:color w:val="auto"/>
          <w:szCs w:val="22"/>
        </w:rPr>
        <w:t xml:space="preserve">Scheme </w:t>
      </w:r>
      <w:r w:rsidR="00953669" w:rsidRPr="00C07E8E">
        <w:rPr>
          <w:rFonts w:cs="Times New Roman"/>
          <w:b/>
          <w:bCs/>
          <w:color w:val="auto"/>
          <w:szCs w:val="22"/>
        </w:rPr>
        <w:t>4</w:t>
      </w:r>
      <w:r w:rsidRPr="00C07E8E">
        <w:rPr>
          <w:rFonts w:cs="Times New Roman"/>
          <w:b/>
          <w:bCs/>
          <w:color w:val="auto"/>
          <w:szCs w:val="22"/>
        </w:rPr>
        <w:t>:</w:t>
      </w:r>
      <w:r w:rsidRPr="00C07E8E">
        <w:rPr>
          <w:rFonts w:cs="Times New Roman"/>
          <w:color w:val="auto"/>
          <w:szCs w:val="22"/>
        </w:rPr>
        <w:t xml:space="preserve"> </w:t>
      </w:r>
      <w:r w:rsidR="00EE13A7">
        <w:rPr>
          <w:rFonts w:cs="Times New Roman"/>
          <w:color w:val="auto"/>
          <w:szCs w:val="22"/>
        </w:rPr>
        <w:t>Proposed mechanisms for f</w:t>
      </w:r>
      <w:r w:rsidR="00EE13A7" w:rsidRPr="00C07E8E">
        <w:rPr>
          <w:rFonts w:cs="Times New Roman"/>
          <w:color w:val="auto"/>
          <w:szCs w:val="22"/>
        </w:rPr>
        <w:t>errous-</w:t>
      </w:r>
      <w:r w:rsidR="00EE13A7">
        <w:rPr>
          <w:rFonts w:cs="Times New Roman"/>
          <w:color w:val="auto"/>
          <w:szCs w:val="22"/>
        </w:rPr>
        <w:t>m</w:t>
      </w:r>
      <w:r w:rsidR="00EE13A7" w:rsidRPr="00C07E8E">
        <w:rPr>
          <w:rFonts w:cs="Times New Roman"/>
          <w:color w:val="auto"/>
          <w:szCs w:val="22"/>
        </w:rPr>
        <w:t>ediated degradation of Fenozan-50F</w:t>
      </w:r>
      <w:r w:rsidR="00EE13A7">
        <w:rPr>
          <w:rFonts w:cs="Times New Roman"/>
          <w:color w:val="auto"/>
          <w:szCs w:val="22"/>
        </w:rPr>
        <w:t>.</w:t>
      </w:r>
    </w:p>
    <w:p w14:paraId="3639E234" w14:textId="77777777" w:rsidR="006B71A6" w:rsidRPr="00C07E8E" w:rsidRDefault="006B71A6" w:rsidP="00532D1D">
      <w:pPr>
        <w:rPr>
          <w:rFonts w:cs="Times New Roman"/>
          <w:color w:val="auto"/>
          <w:szCs w:val="22"/>
        </w:rPr>
      </w:pPr>
    </w:p>
    <w:p w14:paraId="65A7B9B5" w14:textId="07FC689A" w:rsidR="00F972BA"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t>DU1301</w:t>
      </w:r>
      <w:r w:rsidR="000C3D97">
        <w:rPr>
          <w:rFonts w:cs="Times New Roman"/>
          <w:color w:val="auto"/>
          <w:sz w:val="22"/>
          <w:szCs w:val="22"/>
        </w:rPr>
        <w:t xml:space="preserve">- </w:t>
      </w:r>
      <w:r w:rsidR="003D746F">
        <w:rPr>
          <w:rFonts w:cs="Times New Roman"/>
          <w:color w:val="auto"/>
          <w:sz w:val="22"/>
          <w:szCs w:val="22"/>
        </w:rPr>
        <w:t>A Member of the Fenozan Class of 1,2,4-Trioxane</w:t>
      </w:r>
    </w:p>
    <w:p w14:paraId="6E8C4645" w14:textId="684B3E31" w:rsidR="0037653B" w:rsidRPr="00C07E8E" w:rsidRDefault="00730A60" w:rsidP="00532D1D">
      <w:pPr>
        <w:keepNext/>
        <w:rPr>
          <w:rFonts w:cs="Times New Roman"/>
          <w:color w:val="auto"/>
          <w:szCs w:val="22"/>
        </w:rPr>
      </w:pPr>
      <w:r w:rsidRPr="006D7105">
        <w:rPr>
          <w:rFonts w:cs="Times New Roman"/>
          <w:noProof/>
          <w:color w:val="auto"/>
          <w:szCs w:val="22"/>
        </w:rPr>
        <w:object w:dxaOrig="9197" w:dyaOrig="2251" w14:anchorId="5FE662DF">
          <v:shape id="_x0000_i1035" type="#_x0000_t75" alt="" style="width:458.4pt;height:113.4pt" o:ole="">
            <v:imagedata r:id="rId26" o:title=""/>
          </v:shape>
          <o:OLEObject Type="Embed" ProgID="ChemDraw.Document.6.0" ShapeID="_x0000_i1035" DrawAspect="Content" ObjectID="_1669219469" r:id="rId27"/>
        </w:object>
      </w:r>
    </w:p>
    <w:p w14:paraId="1670A607" w14:textId="77777777" w:rsidR="00200845"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Figure </w:t>
      </w:r>
      <w:r w:rsidR="001B4F41" w:rsidRPr="00C07E8E">
        <w:rPr>
          <w:rFonts w:cs="Times New Roman"/>
          <w:b/>
          <w:bCs/>
          <w:i w:val="0"/>
          <w:iCs w:val="0"/>
          <w:color w:val="auto"/>
          <w:sz w:val="22"/>
          <w:szCs w:val="22"/>
        </w:rPr>
        <w:t>7</w:t>
      </w:r>
      <w:r w:rsidRPr="00C07E8E">
        <w:rPr>
          <w:rFonts w:cs="Times New Roman"/>
          <w:b/>
          <w:bCs/>
          <w:i w:val="0"/>
          <w:iCs w:val="0"/>
          <w:color w:val="auto"/>
          <w:sz w:val="22"/>
          <w:szCs w:val="22"/>
        </w:rPr>
        <w:t>:</w:t>
      </w:r>
      <w:r w:rsidRPr="00C07E8E">
        <w:rPr>
          <w:rFonts w:cs="Times New Roman"/>
          <w:i w:val="0"/>
          <w:iCs w:val="0"/>
          <w:color w:val="auto"/>
          <w:sz w:val="22"/>
          <w:szCs w:val="22"/>
        </w:rPr>
        <w:t xml:space="preserve"> Structures of trioxaquine antimalarials DU1102 and DU1301</w:t>
      </w:r>
    </w:p>
    <w:p w14:paraId="7A9E0FD0" w14:textId="77777777" w:rsidR="007205FC" w:rsidRPr="00C07E8E" w:rsidRDefault="007205FC" w:rsidP="00532D1D">
      <w:pPr>
        <w:rPr>
          <w:rFonts w:cs="Times New Roman"/>
          <w:color w:val="auto"/>
          <w:szCs w:val="22"/>
        </w:rPr>
      </w:pPr>
    </w:p>
    <w:p w14:paraId="1CD1A463" w14:textId="6FA9EF62" w:rsidR="00D73B52" w:rsidRPr="00C07E8E" w:rsidRDefault="00C07E8E" w:rsidP="00532D1D">
      <w:pPr>
        <w:rPr>
          <w:rFonts w:cs="Times New Roman"/>
          <w:color w:val="auto"/>
          <w:szCs w:val="22"/>
        </w:rPr>
      </w:pPr>
      <w:r w:rsidRPr="00C07E8E">
        <w:rPr>
          <w:rFonts w:cs="Times New Roman"/>
          <w:color w:val="auto"/>
          <w:szCs w:val="22"/>
        </w:rPr>
        <w:t>A second class of trioxane containing antimalarials are the trioxaquines</w:t>
      </w:r>
      <w:r w:rsidR="008D48DE">
        <w:rPr>
          <w:rFonts w:cs="Times New Roman"/>
          <w:color w:val="auto"/>
          <w:szCs w:val="22"/>
        </w:rPr>
        <w:t>,</w:t>
      </w:r>
      <w:r w:rsidRPr="00C07E8E">
        <w:rPr>
          <w:rFonts w:cs="Times New Roman"/>
          <w:color w:val="auto"/>
          <w:szCs w:val="22"/>
        </w:rPr>
        <w:t xml:space="preserve"> which combine a</w:t>
      </w:r>
      <w:r w:rsidR="00276555" w:rsidRPr="00C07E8E">
        <w:rPr>
          <w:rFonts w:cs="Times New Roman"/>
          <w:color w:val="auto"/>
          <w:szCs w:val="22"/>
        </w:rPr>
        <w:t xml:space="preserve"> trioxane containing component </w:t>
      </w:r>
      <w:r w:rsidR="00455859" w:rsidRPr="00C07E8E">
        <w:rPr>
          <w:rFonts w:cs="Times New Roman"/>
          <w:color w:val="auto"/>
          <w:szCs w:val="22"/>
        </w:rPr>
        <w:t xml:space="preserve">and a 4-aminoquinoline moiety. The rationale behind these compounds is to afford a hybrid approach combining the alkylating properties of the trioxane component and the improved </w:t>
      </w:r>
      <w:r w:rsidR="00D15431" w:rsidRPr="00C07E8E">
        <w:rPr>
          <w:rFonts w:cs="Times New Roman"/>
          <w:color w:val="auto"/>
          <w:szCs w:val="22"/>
        </w:rPr>
        <w:t xml:space="preserve">penetration afforded by the 4-aminoquinoline. </w:t>
      </w:r>
      <w:r w:rsidR="00B6022B" w:rsidRPr="00C07E8E">
        <w:rPr>
          <w:rFonts w:cs="Times New Roman"/>
          <w:color w:val="auto"/>
          <w:szCs w:val="22"/>
        </w:rPr>
        <w:t>Initial synthesis of a series of trioxaquines was reported in 200</w:t>
      </w:r>
      <w:r w:rsidR="005A0C04" w:rsidRPr="00C07E8E">
        <w:rPr>
          <w:rFonts w:cs="Times New Roman"/>
          <w:color w:val="auto"/>
          <w:szCs w:val="22"/>
        </w:rPr>
        <w:t>0</w:t>
      </w:r>
      <w:r w:rsidR="008D48DE">
        <w:rPr>
          <w:rFonts w:cs="Times New Roman"/>
          <w:color w:val="auto"/>
          <w:szCs w:val="22"/>
        </w:rPr>
        <w:t>,</w:t>
      </w:r>
      <w:r w:rsidR="004E7D43" w:rsidRPr="00C07E8E">
        <w:rPr>
          <w:rFonts w:cs="Times New Roman"/>
          <w:color w:val="auto"/>
          <w:szCs w:val="22"/>
        </w:rPr>
        <w:t xml:space="preserve"> </w:t>
      </w:r>
      <w:r w:rsidR="00335C81" w:rsidRPr="00C07E8E">
        <w:rPr>
          <w:rFonts w:cs="Times New Roman"/>
          <w:color w:val="auto"/>
          <w:szCs w:val="22"/>
        </w:rPr>
        <w:t xml:space="preserve">focussing on the SAR of linker length between the 4-aminoquinoline  and </w:t>
      </w:r>
      <w:r w:rsidR="00561E74" w:rsidRPr="00C07E8E">
        <w:rPr>
          <w:rFonts w:cs="Times New Roman"/>
          <w:color w:val="auto"/>
          <w:szCs w:val="22"/>
        </w:rPr>
        <w:t>cis-fused cyclopenteno-1,2,4-trioxanes similar to the motif seen in Fenozan-50F</w:t>
      </w:r>
      <w:r w:rsidR="00364505" w:rsidRPr="00C07E8E">
        <w:rPr>
          <w:rFonts w:cs="Times New Roman"/>
          <w:color w:val="auto"/>
          <w:szCs w:val="22"/>
        </w:rPr>
        <w:t>.</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1439-7633(20001117)1:4&lt;281::aid-cbic281&gt;3.3.co;2-n","ISSN":"05700833","PMID":"11828420","author":[{"dropping-particle":"","family":"Dechy-Cabaret","given":"Odile","non-dropping-particle":"","parse-names":false,"suffix":""},{"dropping-particle":"","family":"Benoit-Vical","given":"Françoise","non-dropping-particle":"","parse-names":false,"suffix":""},{"dropping-particle":"","family":"Robert","given":"Anne","non-dropping-particle":"","parse-names":false,"suffix":""},{"dropping-particle":"","family":"Meunier","given":"Bernard","non-dropping-particle":"","parse-names":false,"suffix":""}],"container-title":"Angewandte Chemie (International Edition in English)","id":"ITEM-1","issue":"22 SUPPL.","issued":{"date-parts":[["2000"]]},"page":"281-283","title":"Preparation and antimalarial activities of \"trioxaquines\", new modular molecules with a trioxane skeleton linked to a 4-aminoquinoline","type":"article-journal","volume":"39"},"uris":["http://www.mendeley.com/documents/?uuid=3d9957f1-c7cf-436a-a671-8258780adccb","http://www.mendeley.com/documents/?uuid=40854b9a-477c-492b-a1b5-93c2a4e8581a"]}],"mendeley":{"formattedCitation":"&lt;sup&gt;91&lt;/sup&gt;","plainTextFormattedCitation":"91","previouslyFormattedCitation":"&lt;sup&gt;91&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91</w:t>
      </w:r>
      <w:r w:rsidR="000536E8" w:rsidRPr="00C07E8E">
        <w:rPr>
          <w:rFonts w:cs="Times New Roman"/>
          <w:color w:val="auto"/>
          <w:szCs w:val="22"/>
        </w:rPr>
        <w:fldChar w:fldCharType="end"/>
      </w:r>
      <w:r w:rsidR="00364505" w:rsidRPr="00C07E8E">
        <w:rPr>
          <w:rFonts w:cs="Times New Roman"/>
          <w:color w:val="auto"/>
          <w:szCs w:val="22"/>
        </w:rPr>
        <w:t xml:space="preserve"> </w:t>
      </w:r>
      <w:r w:rsidR="00C37F2C" w:rsidRPr="00C07E8E">
        <w:rPr>
          <w:rFonts w:cs="Times New Roman"/>
          <w:color w:val="auto"/>
          <w:szCs w:val="22"/>
        </w:rPr>
        <w:t>The optimum linker length was determined to be 2</w:t>
      </w:r>
      <w:r w:rsidR="001F3D6B" w:rsidRPr="00C07E8E">
        <w:rPr>
          <w:rFonts w:cs="Times New Roman"/>
          <w:color w:val="auto"/>
          <w:szCs w:val="22"/>
        </w:rPr>
        <w:t xml:space="preserve"> methylene units</w:t>
      </w:r>
      <w:r w:rsidR="008D48DE">
        <w:rPr>
          <w:rFonts w:cs="Times New Roman"/>
          <w:color w:val="auto"/>
          <w:szCs w:val="22"/>
        </w:rPr>
        <w:t>,</w:t>
      </w:r>
      <w:r w:rsidR="001F3D6B" w:rsidRPr="00C07E8E">
        <w:rPr>
          <w:rFonts w:cs="Times New Roman"/>
          <w:color w:val="auto"/>
          <w:szCs w:val="22"/>
        </w:rPr>
        <w:t xml:space="preserve"> affording the lead compound DU1102 </w:t>
      </w:r>
      <w:r w:rsidR="002312DC" w:rsidRPr="00C07E8E">
        <w:rPr>
          <w:rFonts w:cs="Times New Roman"/>
          <w:color w:val="auto"/>
          <w:szCs w:val="22"/>
        </w:rPr>
        <w:t>(</w:t>
      </w:r>
      <w:r w:rsidR="001B4F41" w:rsidRPr="00C07E8E">
        <w:rPr>
          <w:rFonts w:cs="Times New Roman"/>
          <w:b/>
          <w:bCs/>
          <w:color w:val="auto"/>
          <w:szCs w:val="22"/>
        </w:rPr>
        <w:t>4</w:t>
      </w:r>
      <w:r w:rsidR="00D62873">
        <w:rPr>
          <w:rFonts w:cs="Times New Roman"/>
          <w:b/>
          <w:bCs/>
          <w:color w:val="auto"/>
          <w:szCs w:val="22"/>
        </w:rPr>
        <w:t>7</w:t>
      </w:r>
      <w:r w:rsidR="00C87D3A" w:rsidRPr="007370A6">
        <w:rPr>
          <w:rFonts w:cs="Times New Roman"/>
          <w:b/>
          <w:color w:val="auto"/>
          <w:szCs w:val="22"/>
        </w:rPr>
        <w:t>, Figure 7</w:t>
      </w:r>
      <w:r w:rsidR="002312DC" w:rsidRPr="00C07E8E">
        <w:rPr>
          <w:rFonts w:cs="Times New Roman"/>
          <w:color w:val="auto"/>
          <w:szCs w:val="22"/>
        </w:rPr>
        <w:t xml:space="preserve">) </w:t>
      </w:r>
      <w:r w:rsidR="00734981" w:rsidRPr="00C07E8E">
        <w:rPr>
          <w:rFonts w:cs="Times New Roman"/>
          <w:color w:val="auto"/>
          <w:szCs w:val="22"/>
        </w:rPr>
        <w:t>with an IC</w:t>
      </w:r>
      <w:r w:rsidR="00734981" w:rsidRPr="00C07E8E">
        <w:rPr>
          <w:rFonts w:cs="Times New Roman"/>
          <w:color w:val="auto"/>
          <w:szCs w:val="22"/>
          <w:vertAlign w:val="subscript"/>
        </w:rPr>
        <w:t>50</w:t>
      </w:r>
      <w:r w:rsidR="00734981" w:rsidRPr="00C07E8E">
        <w:rPr>
          <w:rFonts w:cs="Times New Roman"/>
          <w:color w:val="auto"/>
          <w:szCs w:val="22"/>
        </w:rPr>
        <w:t xml:space="preserve"> against </w:t>
      </w:r>
      <w:r w:rsidR="00734981" w:rsidRPr="00C07E8E">
        <w:rPr>
          <w:rFonts w:cs="Times New Roman"/>
          <w:i/>
          <w:iCs/>
          <w:color w:val="auto"/>
          <w:szCs w:val="22"/>
        </w:rPr>
        <w:t xml:space="preserve">P. falciparum </w:t>
      </w:r>
      <w:r w:rsidR="00734981" w:rsidRPr="00C07E8E">
        <w:rPr>
          <w:rFonts w:cs="Times New Roman"/>
          <w:color w:val="auto"/>
          <w:szCs w:val="22"/>
        </w:rPr>
        <w:t xml:space="preserve">of </w:t>
      </w:r>
      <w:r w:rsidR="00C80A73" w:rsidRPr="00C07E8E">
        <w:rPr>
          <w:rFonts w:cs="Times New Roman"/>
          <w:color w:val="auto"/>
          <w:szCs w:val="22"/>
        </w:rPr>
        <w:t>43.1 nM</w:t>
      </w:r>
      <w:r w:rsidR="008D48DE">
        <w:rPr>
          <w:rFonts w:cs="Times New Roman"/>
          <w:color w:val="auto"/>
          <w:szCs w:val="22"/>
        </w:rPr>
        <w:t xml:space="preserve"> and</w:t>
      </w:r>
      <w:r w:rsidR="00C80A73" w:rsidRPr="00C07E8E">
        <w:rPr>
          <w:rFonts w:cs="Times New Roman"/>
          <w:color w:val="auto"/>
          <w:szCs w:val="22"/>
        </w:rPr>
        <w:t xml:space="preserve"> </w:t>
      </w:r>
      <w:r w:rsidR="008D48DE">
        <w:rPr>
          <w:rFonts w:cs="Times New Roman"/>
          <w:color w:val="auto"/>
          <w:szCs w:val="22"/>
        </w:rPr>
        <w:t xml:space="preserve">showing </w:t>
      </w:r>
      <w:r w:rsidR="00C80A73" w:rsidRPr="00C07E8E">
        <w:rPr>
          <w:rFonts w:cs="Times New Roman"/>
          <w:color w:val="auto"/>
          <w:szCs w:val="22"/>
        </w:rPr>
        <w:t>no significant difference between CQ sensitive and resistant strains</w:t>
      </w:r>
      <w:r w:rsidR="008D48DE">
        <w:rPr>
          <w:rFonts w:cs="Times New Roman"/>
          <w:color w:val="auto"/>
          <w:szCs w:val="22"/>
        </w:rPr>
        <w:t>,</w:t>
      </w:r>
      <w:r w:rsidR="00C80A73" w:rsidRPr="00C07E8E">
        <w:rPr>
          <w:rFonts w:cs="Times New Roman"/>
          <w:color w:val="auto"/>
          <w:szCs w:val="22"/>
        </w:rPr>
        <w:t xml:space="preserve"> indicating no cross resistance with CQ. </w:t>
      </w:r>
      <w:r w:rsidR="00380C02">
        <w:rPr>
          <w:rFonts w:cs="Times New Roman"/>
          <w:color w:val="auto"/>
          <w:szCs w:val="22"/>
        </w:rPr>
        <w:t xml:space="preserve">DU1102 was found to show a low level of </w:t>
      </w:r>
      <w:r w:rsidR="00380C02">
        <w:rPr>
          <w:rFonts w:cs="Times New Roman"/>
          <w:color w:val="auto"/>
          <w:szCs w:val="22"/>
        </w:rPr>
        <w:lastRenderedPageBreak/>
        <w:t>cross resistance with Pyrimethamine which</w:t>
      </w:r>
      <w:r w:rsidR="00D91EBD">
        <w:rPr>
          <w:rFonts w:cs="Times New Roman"/>
          <w:color w:val="auto"/>
          <w:szCs w:val="22"/>
        </w:rPr>
        <w:t>,</w:t>
      </w:r>
      <w:r w:rsidR="00380C02">
        <w:rPr>
          <w:rFonts w:cs="Times New Roman"/>
          <w:color w:val="auto"/>
          <w:szCs w:val="22"/>
        </w:rPr>
        <w:t xml:space="preserve"> along with poor aqueous solubility of DU1102 citrate</w:t>
      </w:r>
      <w:r w:rsidR="00D91EBD">
        <w:rPr>
          <w:rFonts w:cs="Times New Roman"/>
          <w:color w:val="auto"/>
          <w:szCs w:val="22"/>
        </w:rPr>
        <w:t>,</w:t>
      </w:r>
      <w:r w:rsidR="00380C02">
        <w:rPr>
          <w:rFonts w:cs="Times New Roman"/>
          <w:color w:val="auto"/>
          <w:szCs w:val="22"/>
        </w:rPr>
        <w:t xml:space="preserve"> indicates issues for further development.</w:t>
      </w:r>
      <w:r w:rsidR="00380C02">
        <w:rPr>
          <w:rFonts w:cs="Times New Roman"/>
          <w:color w:val="auto"/>
          <w:szCs w:val="22"/>
        </w:rPr>
        <w:fldChar w:fldCharType="begin" w:fldLock="1"/>
      </w:r>
      <w:r w:rsidR="00192B39">
        <w:rPr>
          <w:rFonts w:cs="Times New Roman"/>
          <w:color w:val="auto"/>
          <w:szCs w:val="22"/>
        </w:rPr>
        <w:instrText>ADDIN CSL_CITATION {"citationItems":[{"id":"ITEM-1","itemData":{"DOI":"10.1128/AAC.45.6.1886-1888.2001","ISSN":"00664804","PMID":"11353644","abstract":"The antimalarial trioxaquine derivative DU-1102, synthesized by covalent linkage between aminoquinoline and trioxane moieties, was highly active against Cameroonian isolates (mean 50% inhibitory concentration of 43 nmol/liter) of Plasmodium falciparum. There was no correlation between the responses to DU-1102 and chloroquine and only a low correlation between the responses to DU-1102 and pyrimethamine, suggesting an independent mode of action of the trioxaquine against the parasites.","author":[{"dropping-particle":"","family":"Basco","given":"Leonardo K.","non-dropping-particle":"","parse-names":false,"suffix":""},{"dropping-particle":"","family":"Dechy-Cabaret","given":"Odile","non-dropping-particle":"","parse-names":false,"suffix":""},{"dropping-particle":"","family":"Ndounga","given":"Mathieu","non-dropping-particle":"","parse-names":false,"suffix":""},{"dropping-particle":"","family":"Meche","given":"Fleurette Solange","non-dropping-particle":"","parse-names":false,"suffix":""},{"dropping-particle":"","family":"Robert","given":"Anne","non-dropping-particle":"","parse-names":false,"suffix":""},{"dropping-particle":"","family":"Meunier","given":"Bernard","non-dropping-particle":"","parse-names":false,"suffix":""}],"container-title":"Antimicrobial Agents and Chemotherapy","id":"ITEM-1","issue":"6","issued":{"date-parts":[["2001"]]},"page":"1886-1888","title":"In vitro activities of DU-1102, a new trioxaquine derivative, against Plasmodium falciparum isolates","type":"article-journal","volume":"45"},"uris":["http://www.mendeley.com/documents/?uuid=d119c53f-48b8-42f4-b8e1-6e474996c992","http://www.mendeley.com/documents/?uuid=6a020c35-e7e5-4d8a-9dda-a82f6baf6b7c"]},{"id":"ITEM-2","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Journal","id":"ITEM-2","issue":"7","issued":{"date-parts":[["2004"]]},"page":"1625-1636","title":"Synthesis and Antimalarial Activity of Trioxaquine Derivatives","type":"article-journal","volume":"10"},"uris":["http://www.mendeley.com/documents/?uuid=fdd676dc-6619-4885-8798-79e595804f60","http://www.mendeley.com/documents/?uuid=d92705c7-160a-4f19-9459-e67b4aa9894b"]}],"mendeley":{"formattedCitation":"&lt;sup&gt;92,93&lt;/sup&gt;","plainTextFormattedCitation":"92,93","previouslyFormattedCitation":"&lt;sup&gt;92,93&lt;/sup&gt;"},"properties":{"noteIndex":0},"schema":"https://github.com/citation-style-language/schema/raw/master/csl-citation.json"}</w:instrText>
      </w:r>
      <w:r w:rsidR="00380C02">
        <w:rPr>
          <w:rFonts w:cs="Times New Roman"/>
          <w:color w:val="auto"/>
          <w:szCs w:val="22"/>
        </w:rPr>
        <w:fldChar w:fldCharType="separate"/>
      </w:r>
      <w:r w:rsidR="00CA5C6A" w:rsidRPr="00CA5C6A">
        <w:rPr>
          <w:rFonts w:cs="Times New Roman"/>
          <w:noProof/>
          <w:color w:val="auto"/>
          <w:szCs w:val="22"/>
          <w:vertAlign w:val="superscript"/>
        </w:rPr>
        <w:t>92,93</w:t>
      </w:r>
      <w:r w:rsidR="00380C02">
        <w:rPr>
          <w:rFonts w:cs="Times New Roman"/>
          <w:color w:val="auto"/>
          <w:szCs w:val="22"/>
        </w:rPr>
        <w:fldChar w:fldCharType="end"/>
      </w:r>
    </w:p>
    <w:p w14:paraId="319C2D54" w14:textId="46C70A7C" w:rsidR="00D24222" w:rsidRPr="00C07E8E" w:rsidRDefault="00C07E8E" w:rsidP="00532D1D">
      <w:pPr>
        <w:rPr>
          <w:rFonts w:cs="Times New Roman"/>
          <w:color w:val="auto"/>
          <w:szCs w:val="22"/>
        </w:rPr>
      </w:pPr>
      <w:r w:rsidRPr="00C07E8E">
        <w:rPr>
          <w:rFonts w:cs="Times New Roman"/>
          <w:color w:val="auto"/>
          <w:szCs w:val="22"/>
        </w:rPr>
        <w:tab/>
      </w:r>
      <w:r w:rsidR="007079FB" w:rsidRPr="00C07E8E">
        <w:rPr>
          <w:rFonts w:cs="Times New Roman"/>
          <w:color w:val="auto"/>
          <w:szCs w:val="22"/>
        </w:rPr>
        <w:t>To</w:t>
      </w:r>
      <w:r w:rsidRPr="00C07E8E">
        <w:rPr>
          <w:rFonts w:cs="Times New Roman"/>
          <w:color w:val="auto"/>
          <w:szCs w:val="22"/>
        </w:rPr>
        <w:t xml:space="preserve"> exp</w:t>
      </w:r>
      <w:r w:rsidR="0030568B" w:rsidRPr="00C07E8E">
        <w:rPr>
          <w:rFonts w:cs="Times New Roman"/>
          <w:color w:val="auto"/>
          <w:szCs w:val="22"/>
        </w:rPr>
        <w:t xml:space="preserve">and the SAR understanding of the trioxaquines, a series of further trioxaquine analogues were synthesised exploring a wider range of </w:t>
      </w:r>
      <w:r w:rsidR="00D11C9C" w:rsidRPr="00C07E8E">
        <w:rPr>
          <w:rFonts w:cs="Times New Roman"/>
          <w:color w:val="auto"/>
          <w:szCs w:val="22"/>
        </w:rPr>
        <w:t>starting materials</w:t>
      </w:r>
      <w:r w:rsidR="00D91EBD">
        <w:rPr>
          <w:rFonts w:cs="Times New Roman"/>
          <w:color w:val="auto"/>
          <w:szCs w:val="22"/>
        </w:rPr>
        <w:t>,</w:t>
      </w:r>
      <w:r w:rsidR="00D11C9C" w:rsidRPr="00C07E8E">
        <w:rPr>
          <w:rFonts w:cs="Times New Roman"/>
          <w:color w:val="auto"/>
          <w:szCs w:val="22"/>
        </w:rPr>
        <w:t xml:space="preserve"> varying the diene utilised for </w:t>
      </w:r>
      <w:r w:rsidR="00621B29" w:rsidRPr="00C07E8E">
        <w:rPr>
          <w:rFonts w:cs="Times New Roman"/>
          <w:color w:val="auto"/>
          <w:szCs w:val="22"/>
        </w:rPr>
        <w:t>initial endoperoxide formation and the diketone used for condensation.</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Journal","id":"ITEM-1","issue":"7","issued":{"date-parts":[["2004"]]},"page":"1625-1636","title":"Synthesis and Antimalarial Activity of Trioxaquine Derivatives","type":"article-journal","volume":"10"},"uris":["http://www.mendeley.com/documents/?uuid=d92705c7-160a-4f19-9459-e67b4aa9894b","http://www.mendeley.com/documents/?uuid=fdd676dc-6619-4885-8798-79e595804f60"]}],"mendeley":{"formattedCitation":"&lt;sup&gt;93&lt;/sup&gt;","plainTextFormattedCitation":"93","previouslyFormattedCitation":"&lt;sup&gt;93&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93</w:t>
      </w:r>
      <w:r w:rsidR="000536E8" w:rsidRPr="00C07E8E">
        <w:rPr>
          <w:rFonts w:cs="Times New Roman"/>
          <w:color w:val="auto"/>
          <w:szCs w:val="22"/>
        </w:rPr>
        <w:fldChar w:fldCharType="end"/>
      </w:r>
      <w:r w:rsidR="00C63152" w:rsidRPr="00C07E8E">
        <w:rPr>
          <w:rFonts w:cs="Times New Roman"/>
          <w:color w:val="auto"/>
          <w:szCs w:val="22"/>
        </w:rPr>
        <w:t xml:space="preserve"> </w:t>
      </w:r>
      <w:r w:rsidR="00621B29" w:rsidRPr="00C07E8E">
        <w:rPr>
          <w:rFonts w:cs="Times New Roman"/>
          <w:color w:val="auto"/>
          <w:szCs w:val="22"/>
        </w:rPr>
        <w:t xml:space="preserve">Additionally, </w:t>
      </w:r>
      <w:r w:rsidR="00871774" w:rsidRPr="00C07E8E">
        <w:rPr>
          <w:rFonts w:cs="Times New Roman"/>
          <w:color w:val="auto"/>
          <w:szCs w:val="22"/>
        </w:rPr>
        <w:t>significant interest was placed on the separation of individual diastereomers</w:t>
      </w:r>
      <w:r w:rsidR="00D91EBD">
        <w:rPr>
          <w:rFonts w:cs="Times New Roman"/>
          <w:color w:val="auto"/>
          <w:szCs w:val="22"/>
        </w:rPr>
        <w:t>,</w:t>
      </w:r>
      <w:r w:rsidR="00871774" w:rsidRPr="00C07E8E">
        <w:rPr>
          <w:rFonts w:cs="Times New Roman"/>
          <w:color w:val="auto"/>
          <w:szCs w:val="22"/>
        </w:rPr>
        <w:t xml:space="preserve"> as previously DU1102 had only been screened as a mixture of stereoisomers</w:t>
      </w:r>
      <w:r w:rsidR="000536E8" w:rsidRPr="00C07E8E">
        <w:rPr>
          <w:rFonts w:cs="Times New Roman"/>
          <w:color w:val="auto"/>
          <w:szCs w:val="22"/>
        </w:rPr>
        <w:t>.</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Journal","id":"ITEM-1","issue":"7","issued":{"date-parts":[["2004"]]},"page":"1625-1636","title":"Synthesis and Antimalarial Activity of Trioxaquine Derivatives","type":"article-journal","volume":"10"},"uris":["http://www.mendeley.com/documents/?uuid=d92705c7-160a-4f19-9459-e67b4aa9894b","http://www.mendeley.com/documents/?uuid=fdd676dc-6619-4885-8798-79e595804f60"]},{"id":"ITEM-2","itemData":{"DOI":"10.1128/AAC.45.6.1886-1888.2001","ISSN":"00664804","PMID":"11353644","abstract":"The antimalarial trioxaquine derivative DU-1102, synthesized by covalent linkage between aminoquinoline and trioxane moieties, was highly active against Cameroonian isolates (mean 50% inhibitory concentration of 43 nmol/liter) of Plasmodium falciparum. There was no correlation between the responses to DU-1102 and chloroquine and only a low correlation between the responses to DU-1102 and pyrimethamine, suggesting an independent mode of action of the trioxaquine against the parasites.","author":[{"dropping-particle":"","family":"Basco","given":"Leonardo K.","non-dropping-particle":"","parse-names":false,"suffix":""},{"dropping-particle":"","family":"Dechy-Cabaret","given":"Odile","non-dropping-particle":"","parse-names":false,"suffix":""},{"dropping-particle":"","family":"Ndounga","given":"Mathieu","non-dropping-particle":"","parse-names":false,"suffix":""},{"dropping-particle":"","family":"Meche","given":"Fleurette Solange","non-dropping-particle":"","parse-names":false,"suffix":""},{"dropping-particle":"","family":"Robert","given":"Anne","non-dropping-particle":"","parse-names":false,"suffix":""},{"dropping-particle":"","family":"Meunier","given":"Bernard","non-dropping-particle":"","parse-names":false,"suffix":""}],"container-title":"Antimicrobial Agents and Chemotherapy","id":"ITEM-2","issue":"6","issued":{"date-parts":[["2001"]]},"page":"1886-1888","title":"In vitro activities of DU-1102, a new trioxaquine derivative, against Plasmodium falciparum isolates","type":"article-journal","volume":"45"},"uris":["http://www.mendeley.com/documents/?uuid=6a020c35-e7e5-4d8a-9dda-a82f6baf6b7c","http://www.mendeley.com/documents/?uuid=d119c53f-48b8-42f4-b8e1-6e474996c992","http://www.mendeley.com/documents/?uuid=4b712470-a516-431c-921b-382faaf5d398"]}],"mendeley":{"formattedCitation":"&lt;sup&gt;92,93&lt;/sup&gt;","plainTextFormattedCitation":"92,93","previouslyFormattedCitation":"&lt;sup&gt;92,93&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92,93</w:t>
      </w:r>
      <w:r w:rsidR="000536E8" w:rsidRPr="00C07E8E">
        <w:rPr>
          <w:rFonts w:cs="Times New Roman"/>
          <w:color w:val="auto"/>
          <w:szCs w:val="22"/>
        </w:rPr>
        <w:fldChar w:fldCharType="end"/>
      </w:r>
      <w:r w:rsidR="000536E8" w:rsidRPr="00C07E8E">
        <w:rPr>
          <w:rFonts w:cs="Times New Roman"/>
          <w:color w:val="auto"/>
          <w:szCs w:val="22"/>
        </w:rPr>
        <w:t xml:space="preserve"> </w:t>
      </w:r>
      <w:r w:rsidR="002312DC" w:rsidRPr="00C07E8E">
        <w:rPr>
          <w:rFonts w:cs="Times New Roman"/>
          <w:color w:val="auto"/>
          <w:szCs w:val="22"/>
        </w:rPr>
        <w:t xml:space="preserve">The use of the </w:t>
      </w:r>
      <w:r w:rsidR="008123EE" w:rsidRPr="00C07E8E">
        <w:rPr>
          <w:rFonts w:cs="Times New Roman"/>
          <w:color w:val="auto"/>
          <w:szCs w:val="22"/>
        </w:rPr>
        <w:t xml:space="preserve">abundant </w:t>
      </w:r>
      <w:r w:rsidR="00C735CE" w:rsidRPr="00C07E8E">
        <w:rPr>
          <w:rFonts w:cs="Times New Roman"/>
          <w:color w:val="auto"/>
          <w:szCs w:val="22"/>
        </w:rPr>
        <w:t>natural product α-terpinene</w:t>
      </w:r>
      <w:r w:rsidR="00886F00" w:rsidRPr="00C07E8E">
        <w:rPr>
          <w:rFonts w:cs="Times New Roman"/>
          <w:color w:val="auto"/>
          <w:szCs w:val="22"/>
        </w:rPr>
        <w:t xml:space="preserve"> (</w:t>
      </w:r>
      <w:r w:rsidR="001B4F41" w:rsidRPr="00C07E8E">
        <w:rPr>
          <w:rFonts w:cs="Times New Roman"/>
          <w:b/>
          <w:bCs/>
          <w:color w:val="auto"/>
          <w:szCs w:val="22"/>
        </w:rPr>
        <w:t>4</w:t>
      </w:r>
      <w:r w:rsidR="00D62873">
        <w:rPr>
          <w:rFonts w:cs="Times New Roman"/>
          <w:b/>
          <w:bCs/>
          <w:color w:val="auto"/>
          <w:szCs w:val="22"/>
        </w:rPr>
        <w:t>9</w:t>
      </w:r>
      <w:r w:rsidR="00FE3AE8" w:rsidRPr="007370A6">
        <w:rPr>
          <w:rFonts w:cs="Times New Roman"/>
          <w:b/>
          <w:color w:val="auto"/>
          <w:szCs w:val="22"/>
        </w:rPr>
        <w:t>, Scheme 5</w:t>
      </w:r>
      <w:r w:rsidR="008123EE" w:rsidRPr="00C07E8E">
        <w:rPr>
          <w:rFonts w:cs="Times New Roman"/>
          <w:color w:val="auto"/>
          <w:szCs w:val="22"/>
        </w:rPr>
        <w:t>)</w:t>
      </w:r>
      <w:r w:rsidR="00C735CE" w:rsidRPr="00C07E8E">
        <w:rPr>
          <w:rFonts w:cs="Times New Roman"/>
          <w:color w:val="auto"/>
          <w:szCs w:val="22"/>
        </w:rPr>
        <w:t xml:space="preserve"> as a starting material afforded the </w:t>
      </w:r>
      <w:r w:rsidR="00030FCC" w:rsidRPr="00C07E8E">
        <w:rPr>
          <w:rFonts w:cs="Times New Roman"/>
          <w:color w:val="auto"/>
          <w:szCs w:val="22"/>
        </w:rPr>
        <w:t>compound DU1301</w:t>
      </w:r>
      <w:r w:rsidR="00030FCC" w:rsidRPr="00C07E8E">
        <w:rPr>
          <w:rFonts w:cs="Times New Roman"/>
          <w:b/>
          <w:bCs/>
          <w:color w:val="auto"/>
          <w:szCs w:val="22"/>
        </w:rPr>
        <w:t xml:space="preserve"> </w:t>
      </w:r>
      <w:r w:rsidR="00030FCC" w:rsidRPr="00C07E8E">
        <w:rPr>
          <w:rFonts w:cs="Times New Roman"/>
          <w:color w:val="auto"/>
          <w:szCs w:val="22"/>
        </w:rPr>
        <w:t>(</w:t>
      </w:r>
      <w:r w:rsidR="001B4F41" w:rsidRPr="00C07E8E">
        <w:rPr>
          <w:rFonts w:cs="Times New Roman"/>
          <w:b/>
          <w:bCs/>
          <w:color w:val="auto"/>
          <w:szCs w:val="22"/>
        </w:rPr>
        <w:t>4</w:t>
      </w:r>
      <w:r w:rsidR="00D62873">
        <w:rPr>
          <w:rFonts w:cs="Times New Roman"/>
          <w:b/>
          <w:bCs/>
          <w:color w:val="auto"/>
          <w:szCs w:val="22"/>
        </w:rPr>
        <w:t>8</w:t>
      </w:r>
      <w:r w:rsidR="00FE3AE8" w:rsidRPr="007370A6">
        <w:rPr>
          <w:rFonts w:cs="Times New Roman"/>
          <w:b/>
          <w:color w:val="auto"/>
          <w:szCs w:val="22"/>
        </w:rPr>
        <w:t>, Figure 7</w:t>
      </w:r>
      <w:r w:rsidR="00030FCC" w:rsidRPr="00C07E8E">
        <w:rPr>
          <w:rFonts w:cs="Times New Roman"/>
          <w:color w:val="auto"/>
          <w:szCs w:val="22"/>
        </w:rPr>
        <w:t>). Initia</w:t>
      </w:r>
      <w:r w:rsidR="00B1769F" w:rsidRPr="00C07E8E">
        <w:rPr>
          <w:rFonts w:cs="Times New Roman"/>
          <w:color w:val="auto"/>
          <w:szCs w:val="22"/>
        </w:rPr>
        <w:t>l</w:t>
      </w:r>
      <w:r w:rsidR="00886F00" w:rsidRPr="00C07E8E">
        <w:rPr>
          <w:rFonts w:cs="Times New Roman"/>
          <w:color w:val="auto"/>
          <w:szCs w:val="22"/>
        </w:rPr>
        <w:t xml:space="preserve"> tetraphenylporphyrin (TPP) promoted photooxidation of </w:t>
      </w:r>
      <w:r w:rsidR="001B4F41" w:rsidRPr="00C07E8E">
        <w:rPr>
          <w:rFonts w:cs="Times New Roman"/>
          <w:b/>
          <w:bCs/>
          <w:color w:val="auto"/>
          <w:szCs w:val="22"/>
        </w:rPr>
        <w:t>4</w:t>
      </w:r>
      <w:r w:rsidR="00D62873">
        <w:rPr>
          <w:rFonts w:cs="Times New Roman"/>
          <w:b/>
          <w:bCs/>
          <w:color w:val="auto"/>
          <w:szCs w:val="22"/>
        </w:rPr>
        <w:t>9</w:t>
      </w:r>
      <w:r w:rsidR="008123EE" w:rsidRPr="00C07E8E">
        <w:rPr>
          <w:rFonts w:cs="Times New Roman"/>
          <w:b/>
          <w:bCs/>
          <w:color w:val="auto"/>
          <w:szCs w:val="22"/>
        </w:rPr>
        <w:t xml:space="preserve"> </w:t>
      </w:r>
      <w:r w:rsidR="00D91EBD" w:rsidRPr="00C07E8E">
        <w:rPr>
          <w:rFonts w:cs="Times New Roman"/>
          <w:color w:val="auto"/>
          <w:szCs w:val="22"/>
        </w:rPr>
        <w:t>afford</w:t>
      </w:r>
      <w:r w:rsidR="00D91EBD">
        <w:rPr>
          <w:rFonts w:cs="Times New Roman"/>
          <w:color w:val="auto"/>
          <w:szCs w:val="22"/>
        </w:rPr>
        <w:t>ing</w:t>
      </w:r>
      <w:r w:rsidR="00D91EBD" w:rsidRPr="00C07E8E">
        <w:rPr>
          <w:rFonts w:cs="Times New Roman"/>
          <w:color w:val="auto"/>
          <w:szCs w:val="22"/>
        </w:rPr>
        <w:t xml:space="preserve"> </w:t>
      </w:r>
      <w:r w:rsidR="008123EE" w:rsidRPr="00C07E8E">
        <w:rPr>
          <w:rFonts w:cs="Times New Roman"/>
          <w:color w:val="auto"/>
          <w:szCs w:val="22"/>
        </w:rPr>
        <w:t xml:space="preserve">the endoperoxide </w:t>
      </w:r>
      <w:r w:rsidR="00D62873">
        <w:rPr>
          <w:rFonts w:cs="Times New Roman"/>
          <w:b/>
          <w:bCs/>
          <w:color w:val="auto"/>
          <w:szCs w:val="22"/>
        </w:rPr>
        <w:t>50</w:t>
      </w:r>
      <w:r w:rsidR="0016649F" w:rsidRPr="00C07E8E">
        <w:rPr>
          <w:rFonts w:cs="Times New Roman"/>
          <w:color w:val="auto"/>
          <w:szCs w:val="22"/>
        </w:rPr>
        <w:t xml:space="preserve"> which was condensed with </w:t>
      </w:r>
      <w:r w:rsidR="008E6C50" w:rsidRPr="00C07E8E">
        <w:rPr>
          <w:rFonts w:cs="Times New Roman"/>
          <w:color w:val="auto"/>
          <w:szCs w:val="22"/>
        </w:rPr>
        <w:t xml:space="preserve">cyclohexane-1,4-dione to </w:t>
      </w:r>
      <w:r w:rsidR="00D91EBD">
        <w:rPr>
          <w:rFonts w:cs="Times New Roman"/>
          <w:color w:val="auto"/>
          <w:szCs w:val="22"/>
        </w:rPr>
        <w:t>yield</w:t>
      </w:r>
      <w:r w:rsidR="00D91EBD" w:rsidRPr="00C07E8E">
        <w:rPr>
          <w:rFonts w:cs="Times New Roman"/>
          <w:color w:val="auto"/>
          <w:szCs w:val="22"/>
        </w:rPr>
        <w:t xml:space="preserve"> </w:t>
      </w:r>
      <w:r w:rsidR="009F3554" w:rsidRPr="00C07E8E">
        <w:rPr>
          <w:rFonts w:cs="Times New Roman"/>
          <w:color w:val="auto"/>
          <w:szCs w:val="22"/>
        </w:rPr>
        <w:t>an</w:t>
      </w:r>
      <w:r w:rsidR="008E6C50" w:rsidRPr="00C07E8E">
        <w:rPr>
          <w:rFonts w:cs="Times New Roman"/>
          <w:color w:val="auto"/>
          <w:szCs w:val="22"/>
        </w:rPr>
        <w:t xml:space="preserve"> intermediate trioxane</w:t>
      </w:r>
      <w:r w:rsidR="00FE3AE8">
        <w:rPr>
          <w:rFonts w:cs="Times New Roman"/>
          <w:color w:val="auto"/>
          <w:szCs w:val="22"/>
        </w:rPr>
        <w:t xml:space="preserve"> </w:t>
      </w:r>
      <w:r w:rsidR="009F3554" w:rsidRPr="00C07E8E">
        <w:rPr>
          <w:rFonts w:cs="Times New Roman"/>
          <w:color w:val="auto"/>
          <w:szCs w:val="22"/>
        </w:rPr>
        <w:t>a</w:t>
      </w:r>
      <w:r w:rsidR="008E6C50" w:rsidRPr="00C07E8E">
        <w:rPr>
          <w:rFonts w:cs="Times New Roman"/>
          <w:color w:val="auto"/>
          <w:szCs w:val="22"/>
        </w:rPr>
        <w:t xml:space="preserve">s a mixture of </w:t>
      </w:r>
      <w:r w:rsidR="009F3554" w:rsidRPr="00C07E8E">
        <w:rPr>
          <w:rFonts w:cs="Times New Roman"/>
          <w:color w:val="auto"/>
          <w:szCs w:val="22"/>
        </w:rPr>
        <w:t>diasteromers</w:t>
      </w:r>
      <w:r w:rsidR="007F087A" w:rsidRPr="00C07E8E">
        <w:rPr>
          <w:rFonts w:cs="Times New Roman"/>
          <w:color w:val="auto"/>
          <w:szCs w:val="22"/>
        </w:rPr>
        <w:t xml:space="preserve"> and enantiomers</w:t>
      </w:r>
      <w:r w:rsidR="009F3554" w:rsidRPr="00C07E8E">
        <w:rPr>
          <w:rFonts w:cs="Times New Roman"/>
          <w:color w:val="auto"/>
          <w:szCs w:val="22"/>
        </w:rPr>
        <w:t xml:space="preserve">. The major diastereomer, </w:t>
      </w:r>
      <w:r w:rsidR="00D62873">
        <w:rPr>
          <w:rFonts w:cs="Times New Roman"/>
          <w:b/>
          <w:bCs/>
          <w:color w:val="auto"/>
          <w:szCs w:val="22"/>
        </w:rPr>
        <w:t>51</w:t>
      </w:r>
      <w:r w:rsidR="009F3554" w:rsidRPr="00C07E8E">
        <w:rPr>
          <w:rFonts w:cs="Times New Roman"/>
          <w:color w:val="auto"/>
          <w:szCs w:val="22"/>
        </w:rPr>
        <w:t xml:space="preserve">, was separated by selective precipitation </w:t>
      </w:r>
      <w:r w:rsidR="00AF6F1D" w:rsidRPr="00C07E8E">
        <w:rPr>
          <w:rFonts w:cs="Times New Roman"/>
          <w:color w:val="auto"/>
          <w:szCs w:val="22"/>
        </w:rPr>
        <w:t>and coupled</w:t>
      </w:r>
      <w:r w:rsidR="00D9677F" w:rsidRPr="00C07E8E">
        <w:rPr>
          <w:rFonts w:cs="Times New Roman"/>
          <w:color w:val="auto"/>
          <w:szCs w:val="22"/>
        </w:rPr>
        <w:t xml:space="preserve"> by reductive amination</w:t>
      </w:r>
      <w:r w:rsidR="00AF6F1D" w:rsidRPr="00C07E8E">
        <w:rPr>
          <w:rFonts w:cs="Times New Roman"/>
          <w:color w:val="auto"/>
          <w:szCs w:val="22"/>
        </w:rPr>
        <w:t xml:space="preserve"> with the 4-aminoquinoline</w:t>
      </w:r>
      <w:r w:rsidR="00D91EBD">
        <w:rPr>
          <w:rFonts w:cs="Times New Roman"/>
          <w:color w:val="auto"/>
          <w:szCs w:val="22"/>
        </w:rPr>
        <w:t xml:space="preserve"> </w:t>
      </w:r>
      <w:r w:rsidR="00AF6F1D" w:rsidRPr="00C07E8E">
        <w:rPr>
          <w:rFonts w:cs="Times New Roman"/>
          <w:color w:val="auto"/>
          <w:szCs w:val="22"/>
        </w:rPr>
        <w:t xml:space="preserve">component </w:t>
      </w:r>
      <w:r w:rsidR="00D62873">
        <w:rPr>
          <w:rFonts w:cs="Times New Roman"/>
          <w:b/>
          <w:bCs/>
          <w:color w:val="auto"/>
          <w:szCs w:val="22"/>
        </w:rPr>
        <w:t>53</w:t>
      </w:r>
      <w:r w:rsidR="00AF6F1D" w:rsidRPr="00C07E8E">
        <w:rPr>
          <w:rFonts w:cs="Times New Roman"/>
          <w:b/>
          <w:bCs/>
          <w:color w:val="auto"/>
          <w:szCs w:val="22"/>
        </w:rPr>
        <w:t xml:space="preserve"> </w:t>
      </w:r>
      <w:r w:rsidR="00961CBB" w:rsidRPr="00C07E8E">
        <w:rPr>
          <w:rFonts w:cs="Times New Roman"/>
          <w:color w:val="auto"/>
          <w:szCs w:val="22"/>
        </w:rPr>
        <w:t xml:space="preserve">to afford </w:t>
      </w:r>
      <w:r w:rsidR="001B4F41" w:rsidRPr="00C07E8E">
        <w:rPr>
          <w:rFonts w:cs="Times New Roman"/>
          <w:b/>
          <w:bCs/>
          <w:color w:val="auto"/>
          <w:szCs w:val="22"/>
        </w:rPr>
        <w:t>4</w:t>
      </w:r>
      <w:r w:rsidR="00D62873">
        <w:rPr>
          <w:rFonts w:cs="Times New Roman"/>
          <w:b/>
          <w:bCs/>
          <w:color w:val="auto"/>
          <w:szCs w:val="22"/>
        </w:rPr>
        <w:t>8</w:t>
      </w:r>
      <w:r w:rsidR="000D53ED" w:rsidRPr="00C07E8E">
        <w:rPr>
          <w:rFonts w:cs="Times New Roman"/>
          <w:color w:val="auto"/>
          <w:szCs w:val="22"/>
        </w:rPr>
        <w:t>.</w:t>
      </w:r>
      <w:r w:rsidR="000D53ED" w:rsidRPr="00C07E8E">
        <w:rPr>
          <w:rFonts w:cs="Times New Roman"/>
          <w:b/>
          <w:bCs/>
          <w:color w:val="auto"/>
          <w:szCs w:val="22"/>
        </w:rPr>
        <w:t xml:space="preserve"> </w:t>
      </w:r>
      <w:r w:rsidR="00D30FD3" w:rsidRPr="00C07E8E">
        <w:rPr>
          <w:rFonts w:cs="Times New Roman"/>
          <w:color w:val="auto"/>
          <w:szCs w:val="22"/>
        </w:rPr>
        <w:t xml:space="preserve">As the reductive amination was not stereoselective a mixture of </w:t>
      </w:r>
      <w:r w:rsidR="00646F98" w:rsidRPr="00C07E8E">
        <w:rPr>
          <w:rFonts w:cs="Times New Roman"/>
          <w:color w:val="auto"/>
          <w:szCs w:val="22"/>
        </w:rPr>
        <w:t xml:space="preserve">diastereomers – the </w:t>
      </w:r>
      <w:r w:rsidR="00646F98" w:rsidRPr="00C07E8E">
        <w:rPr>
          <w:rFonts w:cs="Times New Roman"/>
          <w:i/>
          <w:iCs/>
          <w:color w:val="auto"/>
          <w:szCs w:val="22"/>
        </w:rPr>
        <w:t>cis,cis</w:t>
      </w:r>
      <w:r w:rsidR="00646F98" w:rsidRPr="00C07E8E">
        <w:rPr>
          <w:rFonts w:cs="Times New Roman"/>
          <w:color w:val="auto"/>
          <w:szCs w:val="22"/>
        </w:rPr>
        <w:t xml:space="preserve"> and the </w:t>
      </w:r>
      <w:r w:rsidR="00646F98" w:rsidRPr="00C07E8E">
        <w:rPr>
          <w:rFonts w:cs="Times New Roman"/>
          <w:i/>
          <w:iCs/>
          <w:color w:val="auto"/>
          <w:szCs w:val="22"/>
        </w:rPr>
        <w:t>trans,cis</w:t>
      </w:r>
      <w:r w:rsidR="00646F98" w:rsidRPr="00C07E8E">
        <w:rPr>
          <w:rFonts w:cs="Times New Roman"/>
          <w:color w:val="auto"/>
          <w:szCs w:val="22"/>
        </w:rPr>
        <w:t xml:space="preserve"> diastereomers are shown in </w:t>
      </w:r>
      <w:r w:rsidR="006518D4" w:rsidRPr="00C07E8E">
        <w:rPr>
          <w:rFonts w:cs="Times New Roman"/>
          <w:color w:val="auto"/>
          <w:szCs w:val="22"/>
        </w:rPr>
        <w:t xml:space="preserve">Scheme </w:t>
      </w:r>
      <w:r w:rsidR="00953669" w:rsidRPr="00C07E8E">
        <w:rPr>
          <w:rFonts w:cs="Times New Roman"/>
          <w:color w:val="auto"/>
          <w:szCs w:val="22"/>
        </w:rPr>
        <w:t>5</w:t>
      </w:r>
      <w:r w:rsidR="006518D4" w:rsidRPr="00C07E8E">
        <w:rPr>
          <w:rFonts w:cs="Times New Roman"/>
          <w:color w:val="auto"/>
          <w:szCs w:val="22"/>
        </w:rPr>
        <w:t xml:space="preserve">, </w:t>
      </w:r>
      <w:r w:rsidR="006518D4" w:rsidRPr="00C07E8E">
        <w:rPr>
          <w:rFonts w:cs="Times New Roman"/>
          <w:b/>
          <w:bCs/>
          <w:color w:val="auto"/>
          <w:szCs w:val="22"/>
        </w:rPr>
        <w:t>B</w:t>
      </w:r>
      <w:r w:rsidR="006518D4" w:rsidRPr="00C07E8E">
        <w:rPr>
          <w:rFonts w:cs="Times New Roman"/>
          <w:color w:val="auto"/>
          <w:szCs w:val="22"/>
        </w:rPr>
        <w:t xml:space="preserve">. The enantiomers were separated by initial enrichment </w:t>
      </w:r>
      <w:r w:rsidR="00B30681" w:rsidRPr="00C07E8E">
        <w:rPr>
          <w:rFonts w:cs="Times New Roman"/>
          <w:color w:val="auto"/>
          <w:szCs w:val="22"/>
        </w:rPr>
        <w:t xml:space="preserve">to a 70:30 mixture of </w:t>
      </w:r>
      <w:r w:rsidR="00B30681" w:rsidRPr="009A34EA">
        <w:rPr>
          <w:rFonts w:cs="Times New Roman"/>
          <w:i/>
          <w:iCs/>
          <w:color w:val="auto"/>
          <w:szCs w:val="22"/>
        </w:rPr>
        <w:t>trans,cis</w:t>
      </w:r>
      <w:r w:rsidR="00B30681" w:rsidRPr="00C07E8E">
        <w:rPr>
          <w:rFonts w:cs="Times New Roman"/>
          <w:color w:val="auto"/>
          <w:szCs w:val="22"/>
        </w:rPr>
        <w:t xml:space="preserve">: </w:t>
      </w:r>
      <w:r w:rsidR="00B30681" w:rsidRPr="009A34EA">
        <w:rPr>
          <w:rFonts w:cs="Times New Roman"/>
          <w:i/>
          <w:iCs/>
          <w:color w:val="auto"/>
          <w:szCs w:val="22"/>
        </w:rPr>
        <w:t>cis,cis</w:t>
      </w:r>
      <w:r w:rsidR="00B30681" w:rsidRPr="00C07E8E">
        <w:rPr>
          <w:rFonts w:cs="Times New Roman"/>
          <w:color w:val="auto"/>
          <w:szCs w:val="22"/>
        </w:rPr>
        <w:t xml:space="preserve"> stereoisomers by selective precipitation</w:t>
      </w:r>
      <w:r w:rsidR="002F1EF9" w:rsidRPr="00C07E8E">
        <w:rPr>
          <w:rFonts w:cs="Times New Roman"/>
          <w:color w:val="auto"/>
          <w:szCs w:val="22"/>
        </w:rPr>
        <w:t xml:space="preserve"> followed by column chromatography.</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Journal","id":"ITEM-1","issue":"7","issued":{"date-parts":[["2004"]]},"page":"1625-1636","title":"Synthesis and Antimalarial Activity of Trioxaquine Derivatives","type":"article-journal","volume":"10"},"uris":["http://www.mendeley.com/documents/?uuid=d92705c7-160a-4f19-9459-e67b4aa9894b","http://www.mendeley.com/documents/?uuid=fdd676dc-6619-4885-8798-79e595804f60"]}],"mendeley":{"formattedCitation":"&lt;sup&gt;93&lt;/sup&gt;","plainTextFormattedCitation":"93","previouslyFormattedCitation":"&lt;sup&gt;93&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93</w:t>
      </w:r>
      <w:r w:rsidR="000536E8" w:rsidRPr="00C07E8E">
        <w:rPr>
          <w:rFonts w:cs="Times New Roman"/>
          <w:color w:val="auto"/>
          <w:szCs w:val="22"/>
        </w:rPr>
        <w:fldChar w:fldCharType="end"/>
      </w:r>
      <w:r w:rsidR="00FE3AE8">
        <w:rPr>
          <w:rFonts w:cs="Times New Roman"/>
          <w:color w:val="auto"/>
          <w:szCs w:val="22"/>
        </w:rPr>
        <w:t xml:space="preserve"> </w:t>
      </w:r>
    </w:p>
    <w:p w14:paraId="4F83AE4E" w14:textId="6AAE7272" w:rsidR="00C735CE" w:rsidRPr="00C07E8E" w:rsidRDefault="00730A60" w:rsidP="00532D1D">
      <w:pPr>
        <w:keepNext/>
        <w:jc w:val="center"/>
        <w:rPr>
          <w:rFonts w:cs="Times New Roman"/>
          <w:color w:val="auto"/>
          <w:szCs w:val="22"/>
        </w:rPr>
      </w:pPr>
      <w:r w:rsidRPr="006D7105">
        <w:rPr>
          <w:rFonts w:cs="Times New Roman"/>
          <w:noProof/>
          <w:color w:val="auto"/>
          <w:szCs w:val="22"/>
        </w:rPr>
        <w:object w:dxaOrig="8189" w:dyaOrig="7833" w14:anchorId="00B93509">
          <v:shape id="_x0000_i1036" type="#_x0000_t75" alt="" style="width:408.6pt;height:390pt" o:ole="">
            <v:imagedata r:id="rId28" o:title=""/>
          </v:shape>
          <o:OLEObject Type="Embed" ProgID="ChemDraw.Document.6.0" ShapeID="_x0000_i1036" DrawAspect="Content" ObjectID="_1669219470" r:id="rId29"/>
        </w:object>
      </w:r>
    </w:p>
    <w:p w14:paraId="09C2C86C" w14:textId="7B7BFF00" w:rsidR="00200845" w:rsidRPr="00C07E8E" w:rsidRDefault="00C07E8E" w:rsidP="00532D1D">
      <w:pPr>
        <w:pStyle w:val="Legenda"/>
        <w:spacing w:after="0" w:line="360" w:lineRule="auto"/>
        <w:rPr>
          <w:rFonts w:cs="Times New Roman"/>
          <w:i w:val="0"/>
          <w:iCs w:val="0"/>
          <w:color w:val="auto"/>
          <w:sz w:val="22"/>
          <w:szCs w:val="22"/>
        </w:rPr>
      </w:pPr>
      <w:r w:rsidRPr="00C07E8E">
        <w:rPr>
          <w:rFonts w:cs="Times New Roman"/>
          <w:b/>
          <w:bCs/>
          <w:i w:val="0"/>
          <w:iCs w:val="0"/>
          <w:color w:val="auto"/>
          <w:sz w:val="22"/>
          <w:szCs w:val="22"/>
        </w:rPr>
        <w:t xml:space="preserve">Scheme </w:t>
      </w:r>
      <w:r w:rsidR="00953669" w:rsidRPr="00C07E8E">
        <w:rPr>
          <w:rFonts w:cs="Times New Roman"/>
          <w:b/>
          <w:bCs/>
          <w:i w:val="0"/>
          <w:iCs w:val="0"/>
          <w:color w:val="auto"/>
          <w:sz w:val="22"/>
          <w:szCs w:val="22"/>
        </w:rPr>
        <w:t>5</w:t>
      </w:r>
      <w:r w:rsidRPr="00C07E8E">
        <w:rPr>
          <w:rFonts w:cs="Times New Roman"/>
          <w:i w:val="0"/>
          <w:iCs w:val="0"/>
          <w:color w:val="auto"/>
          <w:sz w:val="22"/>
          <w:szCs w:val="22"/>
        </w:rPr>
        <w:t>:</w:t>
      </w:r>
      <w:r w:rsidR="00D91EBD">
        <w:rPr>
          <w:rFonts w:cs="Times New Roman"/>
          <w:i w:val="0"/>
          <w:iCs w:val="0"/>
          <w:color w:val="auto"/>
          <w:sz w:val="22"/>
          <w:szCs w:val="22"/>
        </w:rPr>
        <w:t xml:space="preserve"> </w:t>
      </w:r>
      <w:r w:rsidR="00B421EF" w:rsidRPr="00C07E8E">
        <w:rPr>
          <w:rFonts w:cs="Times New Roman"/>
          <w:i w:val="0"/>
          <w:iCs w:val="0"/>
          <w:color w:val="auto"/>
          <w:sz w:val="22"/>
          <w:szCs w:val="22"/>
        </w:rPr>
        <w:t>A)</w:t>
      </w:r>
      <w:r w:rsidRPr="00C07E8E">
        <w:rPr>
          <w:rFonts w:cs="Times New Roman"/>
          <w:i w:val="0"/>
          <w:iCs w:val="0"/>
          <w:color w:val="auto"/>
          <w:sz w:val="22"/>
          <w:szCs w:val="22"/>
        </w:rPr>
        <w:t xml:space="preserve"> Synthesis of the trioxaquine DU1301 from α-terpinene</w:t>
      </w:r>
      <w:r w:rsidR="00B421EF" w:rsidRPr="00C07E8E">
        <w:rPr>
          <w:rFonts w:cs="Times New Roman"/>
          <w:i w:val="0"/>
          <w:iCs w:val="0"/>
          <w:color w:val="auto"/>
          <w:sz w:val="22"/>
          <w:szCs w:val="22"/>
        </w:rPr>
        <w:t xml:space="preserve"> B) Structure of </w:t>
      </w:r>
      <w:r w:rsidR="003A503C" w:rsidRPr="00C07E8E">
        <w:rPr>
          <w:rFonts w:cs="Times New Roman"/>
          <w:i w:val="0"/>
          <w:iCs w:val="0"/>
          <w:color w:val="auto"/>
          <w:sz w:val="22"/>
          <w:szCs w:val="22"/>
        </w:rPr>
        <w:t xml:space="preserve">cis,cis and </w:t>
      </w:r>
      <w:r w:rsidR="001279D8" w:rsidRPr="00C07E8E">
        <w:rPr>
          <w:rFonts w:cs="Times New Roman"/>
          <w:i w:val="0"/>
          <w:iCs w:val="0"/>
          <w:color w:val="auto"/>
          <w:sz w:val="22"/>
          <w:szCs w:val="22"/>
        </w:rPr>
        <w:t>trans</w:t>
      </w:r>
      <w:r w:rsidR="00DE65B3" w:rsidRPr="00C07E8E">
        <w:rPr>
          <w:rFonts w:cs="Times New Roman"/>
          <w:i w:val="0"/>
          <w:iCs w:val="0"/>
          <w:color w:val="auto"/>
          <w:sz w:val="22"/>
          <w:szCs w:val="22"/>
        </w:rPr>
        <w:t>,cis-stereoisomer</w:t>
      </w:r>
      <w:r w:rsidR="003A503C" w:rsidRPr="00C07E8E">
        <w:rPr>
          <w:rFonts w:cs="Times New Roman"/>
          <w:i w:val="0"/>
          <w:iCs w:val="0"/>
          <w:color w:val="auto"/>
          <w:sz w:val="22"/>
          <w:szCs w:val="22"/>
        </w:rPr>
        <w:t>s</w:t>
      </w:r>
      <w:r w:rsidR="00DE65B3" w:rsidRPr="00C07E8E">
        <w:rPr>
          <w:rFonts w:cs="Times New Roman"/>
          <w:i w:val="0"/>
          <w:iCs w:val="0"/>
          <w:color w:val="auto"/>
          <w:sz w:val="22"/>
          <w:szCs w:val="22"/>
        </w:rPr>
        <w:t xml:space="preserve"> of DU1301</w:t>
      </w:r>
      <w:r w:rsidR="003A503C" w:rsidRPr="00C07E8E">
        <w:rPr>
          <w:rFonts w:cs="Times New Roman"/>
          <w:i w:val="0"/>
          <w:iCs w:val="0"/>
          <w:color w:val="auto"/>
          <w:sz w:val="22"/>
          <w:szCs w:val="22"/>
        </w:rPr>
        <w:t xml:space="preserve"> – only one enantiomer for each </w:t>
      </w:r>
      <w:r w:rsidR="00D9677F" w:rsidRPr="00C07E8E">
        <w:rPr>
          <w:rFonts w:cs="Times New Roman"/>
          <w:i w:val="0"/>
          <w:iCs w:val="0"/>
          <w:color w:val="auto"/>
          <w:sz w:val="22"/>
          <w:szCs w:val="22"/>
        </w:rPr>
        <w:t>is shown</w:t>
      </w:r>
    </w:p>
    <w:p w14:paraId="108F81CC" w14:textId="77777777" w:rsidR="00251197" w:rsidRPr="00C07E8E" w:rsidRDefault="00251197" w:rsidP="00532D1D">
      <w:pPr>
        <w:rPr>
          <w:rFonts w:cs="Times New Roman"/>
          <w:color w:val="auto"/>
          <w:szCs w:val="22"/>
        </w:rPr>
      </w:pPr>
    </w:p>
    <w:p w14:paraId="6C73292D" w14:textId="20CDBD6D" w:rsidR="00251197" w:rsidRDefault="00C07E8E" w:rsidP="00532D1D">
      <w:pPr>
        <w:ind w:firstLine="720"/>
        <w:rPr>
          <w:rFonts w:cs="Times New Roman"/>
          <w:color w:val="auto"/>
          <w:szCs w:val="22"/>
        </w:rPr>
      </w:pPr>
      <w:r w:rsidRPr="00C07E8E">
        <w:rPr>
          <w:rFonts w:cs="Times New Roman"/>
          <w:color w:val="auto"/>
          <w:szCs w:val="22"/>
        </w:rPr>
        <w:t>DU1301</w:t>
      </w:r>
      <w:r w:rsidR="00EC6F11" w:rsidRPr="00C07E8E">
        <w:rPr>
          <w:rFonts w:cs="Times New Roman"/>
          <w:color w:val="auto"/>
          <w:szCs w:val="22"/>
        </w:rPr>
        <w:t xml:space="preserve"> citrate</w:t>
      </w:r>
      <w:r w:rsidRPr="00C07E8E">
        <w:rPr>
          <w:rFonts w:cs="Times New Roman"/>
          <w:color w:val="auto"/>
          <w:szCs w:val="22"/>
        </w:rPr>
        <w:t xml:space="preserve"> was screened </w:t>
      </w:r>
      <w:r w:rsidR="00B21653" w:rsidRPr="00C07E8E">
        <w:rPr>
          <w:rFonts w:cs="Times New Roman"/>
          <w:i/>
          <w:iCs/>
          <w:color w:val="auto"/>
          <w:szCs w:val="22"/>
        </w:rPr>
        <w:t xml:space="preserve">in vitro </w:t>
      </w:r>
      <w:r w:rsidR="00B21653" w:rsidRPr="00C07E8E">
        <w:rPr>
          <w:rFonts w:cs="Times New Roman"/>
          <w:color w:val="auto"/>
          <w:szCs w:val="22"/>
        </w:rPr>
        <w:t xml:space="preserve">against clinical isolates of </w:t>
      </w:r>
      <w:r w:rsidR="00B21653" w:rsidRPr="00C07E8E">
        <w:rPr>
          <w:rFonts w:cs="Times New Roman"/>
          <w:i/>
          <w:iCs/>
          <w:color w:val="auto"/>
          <w:szCs w:val="22"/>
        </w:rPr>
        <w:t xml:space="preserve">P. falciparum </w:t>
      </w:r>
      <w:r w:rsidR="00B21653" w:rsidRPr="00C07E8E">
        <w:rPr>
          <w:rFonts w:cs="Times New Roman"/>
          <w:color w:val="auto"/>
          <w:szCs w:val="22"/>
        </w:rPr>
        <w:t>including CQ sensitive, CQ resistant and extensively CQ resistant strains</w:t>
      </w:r>
      <w:r w:rsidR="00EC6F11" w:rsidRPr="00C07E8E">
        <w:rPr>
          <w:rFonts w:cs="Times New Roman"/>
          <w:color w:val="auto"/>
          <w:szCs w:val="22"/>
        </w:rPr>
        <w:t xml:space="preserve">. </w:t>
      </w:r>
      <w:r w:rsidR="00645131" w:rsidRPr="00C07E8E">
        <w:rPr>
          <w:rFonts w:cs="Times New Roman"/>
          <w:color w:val="auto"/>
          <w:szCs w:val="22"/>
        </w:rPr>
        <w:t>Screening was carried out with both the mixture of diastereomers and those separated by column chromatograp</w:t>
      </w:r>
      <w:r w:rsidR="000536E8" w:rsidRPr="00C07E8E">
        <w:rPr>
          <w:rFonts w:cs="Times New Roman"/>
          <w:color w:val="auto"/>
          <w:szCs w:val="22"/>
        </w:rPr>
        <w:t>h</w:t>
      </w:r>
      <w:r w:rsidR="00645131" w:rsidRPr="00C07E8E">
        <w:rPr>
          <w:rFonts w:cs="Times New Roman"/>
          <w:color w:val="auto"/>
          <w:szCs w:val="22"/>
        </w:rPr>
        <w:t>y.</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Journal","id":"ITEM-1","issue":"7","issued":{"date-parts":[["2004"]]},"page":"1625-1636","title":"Synthesis and Antimalarial Activity of Trioxaquine Derivatives","type":"article-journal","volume":"10"},"uris":["http://www.mendeley.com/documents/?uuid=d92705c7-160a-4f19-9459-e67b4aa9894b","http://www.mendeley.com/documents/?uuid=fdd676dc-6619-4885-8798-79e595804f60"]}],"mendeley":{"formattedCitation":"&lt;sup&gt;93&lt;/sup&gt;","plainTextFormattedCitation":"93","previouslyFormattedCitation":"&lt;sup&gt;93&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93</w:t>
      </w:r>
      <w:r w:rsidR="000536E8" w:rsidRPr="00C07E8E">
        <w:rPr>
          <w:rFonts w:cs="Times New Roman"/>
          <w:color w:val="auto"/>
          <w:szCs w:val="22"/>
        </w:rPr>
        <w:fldChar w:fldCharType="end"/>
      </w:r>
      <w:r w:rsidR="00645131" w:rsidRPr="00C07E8E">
        <w:rPr>
          <w:rFonts w:cs="Times New Roman"/>
          <w:color w:val="auto"/>
          <w:szCs w:val="22"/>
        </w:rPr>
        <w:t xml:space="preserve"> IC</w:t>
      </w:r>
      <w:r w:rsidR="00645131" w:rsidRPr="00C07E8E">
        <w:rPr>
          <w:rFonts w:cs="Times New Roman"/>
          <w:color w:val="auto"/>
          <w:szCs w:val="22"/>
          <w:vertAlign w:val="subscript"/>
        </w:rPr>
        <w:t xml:space="preserve">50 </w:t>
      </w:r>
      <w:r w:rsidR="00645131" w:rsidRPr="00C07E8E">
        <w:rPr>
          <w:rFonts w:cs="Times New Roman"/>
          <w:color w:val="auto"/>
          <w:szCs w:val="22"/>
        </w:rPr>
        <w:t xml:space="preserve">values were determined to range between </w:t>
      </w:r>
      <w:r w:rsidR="00150590" w:rsidRPr="00C07E8E">
        <w:rPr>
          <w:rFonts w:cs="Times New Roman"/>
          <w:color w:val="auto"/>
          <w:szCs w:val="22"/>
        </w:rPr>
        <w:t xml:space="preserve">5 and 19 nM with </w:t>
      </w:r>
      <w:r w:rsidR="006B41B9" w:rsidRPr="00C07E8E">
        <w:rPr>
          <w:rFonts w:cs="Times New Roman"/>
          <w:color w:val="auto"/>
          <w:szCs w:val="22"/>
        </w:rPr>
        <w:t xml:space="preserve">no significant difference between </w:t>
      </w:r>
      <w:r w:rsidR="00746E1A" w:rsidRPr="00C07E8E">
        <w:rPr>
          <w:rFonts w:cs="Times New Roman"/>
          <w:color w:val="auto"/>
          <w:szCs w:val="22"/>
        </w:rPr>
        <w:t xml:space="preserve">individual diastereomers and the diastereomeric mixture. </w:t>
      </w:r>
      <w:r w:rsidR="00155E75" w:rsidRPr="00C07E8E">
        <w:rPr>
          <w:rFonts w:cs="Times New Roman"/>
          <w:i/>
          <w:iCs/>
          <w:color w:val="auto"/>
          <w:szCs w:val="22"/>
        </w:rPr>
        <w:t xml:space="preserve">In vivo </w:t>
      </w:r>
      <w:r w:rsidR="00155E75" w:rsidRPr="00C07E8E">
        <w:rPr>
          <w:rFonts w:cs="Times New Roman"/>
          <w:color w:val="auto"/>
          <w:szCs w:val="22"/>
        </w:rPr>
        <w:t xml:space="preserve">studies were carried out in the </w:t>
      </w:r>
      <w:r w:rsidR="00155E75" w:rsidRPr="00C07E8E">
        <w:rPr>
          <w:rFonts w:cs="Times New Roman"/>
          <w:i/>
          <w:iCs/>
          <w:color w:val="auto"/>
          <w:szCs w:val="22"/>
        </w:rPr>
        <w:t xml:space="preserve">P. vinckei </w:t>
      </w:r>
      <w:r w:rsidR="00155E75" w:rsidRPr="00C07E8E">
        <w:rPr>
          <w:rFonts w:cs="Times New Roman"/>
          <w:color w:val="auto"/>
          <w:szCs w:val="22"/>
        </w:rPr>
        <w:t>mouse model</w:t>
      </w:r>
      <w:r w:rsidR="00333D8A" w:rsidRPr="00C07E8E">
        <w:rPr>
          <w:rFonts w:cs="Times New Roman"/>
          <w:color w:val="auto"/>
          <w:szCs w:val="22"/>
        </w:rPr>
        <w:t xml:space="preserve"> </w:t>
      </w:r>
      <w:r w:rsidR="00B846F1" w:rsidRPr="00C07E8E">
        <w:rPr>
          <w:rFonts w:cs="Times New Roman"/>
          <w:color w:val="auto"/>
          <w:szCs w:val="22"/>
        </w:rPr>
        <w:t xml:space="preserve">with </w:t>
      </w:r>
      <w:r w:rsidR="001B4F41" w:rsidRPr="00C07E8E">
        <w:rPr>
          <w:rFonts w:cs="Times New Roman"/>
          <w:b/>
          <w:bCs/>
          <w:color w:val="auto"/>
          <w:szCs w:val="22"/>
        </w:rPr>
        <w:t>4</w:t>
      </w:r>
      <w:r w:rsidR="00D62873">
        <w:rPr>
          <w:rFonts w:cs="Times New Roman"/>
          <w:b/>
          <w:bCs/>
          <w:color w:val="auto"/>
          <w:szCs w:val="22"/>
        </w:rPr>
        <w:t>8</w:t>
      </w:r>
      <w:r w:rsidR="00B846F1" w:rsidRPr="00C07E8E">
        <w:rPr>
          <w:rFonts w:cs="Times New Roman"/>
          <w:color w:val="auto"/>
          <w:szCs w:val="22"/>
        </w:rPr>
        <w:t xml:space="preserve"> administered either by </w:t>
      </w:r>
      <w:r w:rsidR="006C7388" w:rsidRPr="00C07E8E">
        <w:rPr>
          <w:rFonts w:cs="Times New Roman"/>
          <w:color w:val="auto"/>
          <w:szCs w:val="22"/>
        </w:rPr>
        <w:t xml:space="preserve">intraperitoneal </w:t>
      </w:r>
      <w:r w:rsidR="00B846F1" w:rsidRPr="00C07E8E">
        <w:rPr>
          <w:rFonts w:cs="Times New Roman"/>
          <w:color w:val="auto"/>
          <w:szCs w:val="22"/>
        </w:rPr>
        <w:t xml:space="preserve">or </w:t>
      </w:r>
      <w:r w:rsidR="006C7388" w:rsidRPr="00C07E8E">
        <w:rPr>
          <w:rFonts w:cs="Times New Roman"/>
          <w:color w:val="auto"/>
          <w:szCs w:val="22"/>
        </w:rPr>
        <w:t xml:space="preserve">oral </w:t>
      </w:r>
      <w:r w:rsidR="00B846F1" w:rsidRPr="00C07E8E">
        <w:rPr>
          <w:rFonts w:cs="Times New Roman"/>
          <w:color w:val="auto"/>
          <w:szCs w:val="22"/>
        </w:rPr>
        <w:t>routes. ED</w:t>
      </w:r>
      <w:r w:rsidR="00B846F1" w:rsidRPr="00C07E8E">
        <w:rPr>
          <w:rFonts w:cs="Times New Roman"/>
          <w:color w:val="auto"/>
          <w:szCs w:val="22"/>
          <w:vertAlign w:val="subscript"/>
        </w:rPr>
        <w:t xml:space="preserve">50 </w:t>
      </w:r>
      <w:r w:rsidR="00B846F1" w:rsidRPr="00C07E8E">
        <w:rPr>
          <w:rFonts w:cs="Times New Roman"/>
          <w:color w:val="auto"/>
          <w:szCs w:val="22"/>
        </w:rPr>
        <w:t xml:space="preserve">values were determined as 5 and 18 mg/kg </w:t>
      </w:r>
      <w:r w:rsidR="006C7388" w:rsidRPr="00C07E8E">
        <w:rPr>
          <w:rFonts w:cs="Times New Roman"/>
          <w:color w:val="auto"/>
          <w:szCs w:val="22"/>
        </w:rPr>
        <w:t>for intraperitoneal and oral routes respectively.</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Journal","id":"ITEM-1","issue":"7","issued":{"date-parts":[["2004"]]},"page":"1625-1636","title":"Synthesis and Antimalarial Activity of Trioxaquine Derivatives","type":"article-journal","volume":"10"},"uris":["http://www.mendeley.com/documents/?uuid=d92705c7-160a-4f19-9459-e67b4aa9894b","http://www.mendeley.com/documents/?uuid=fdd676dc-6619-4885-8798-79e595804f60"]}],"mendeley":{"formattedCitation":"&lt;sup&gt;93&lt;/sup&gt;","plainTextFormattedCitation":"93","previouslyFormattedCitation":"&lt;sup&gt;93&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93</w:t>
      </w:r>
      <w:r w:rsidR="000536E8" w:rsidRPr="00C07E8E">
        <w:rPr>
          <w:rFonts w:cs="Times New Roman"/>
          <w:color w:val="auto"/>
          <w:szCs w:val="22"/>
        </w:rPr>
        <w:fldChar w:fldCharType="end"/>
      </w:r>
      <w:r w:rsidR="006C7388" w:rsidRPr="00C07E8E">
        <w:rPr>
          <w:rFonts w:cs="Times New Roman"/>
          <w:color w:val="auto"/>
          <w:szCs w:val="22"/>
        </w:rPr>
        <w:t xml:space="preserve"> </w:t>
      </w:r>
      <w:r w:rsidR="00BD665F" w:rsidRPr="00C07E8E">
        <w:rPr>
          <w:rFonts w:cs="Times New Roman"/>
          <w:color w:val="auto"/>
          <w:szCs w:val="22"/>
        </w:rPr>
        <w:t>The fact that the oral ED</w:t>
      </w:r>
      <w:r w:rsidR="00BD665F" w:rsidRPr="00C07E8E">
        <w:rPr>
          <w:rFonts w:cs="Times New Roman"/>
          <w:color w:val="auto"/>
          <w:szCs w:val="22"/>
          <w:vertAlign w:val="subscript"/>
        </w:rPr>
        <w:t>50</w:t>
      </w:r>
      <w:r w:rsidR="00BD665F" w:rsidRPr="00C07E8E">
        <w:rPr>
          <w:rFonts w:cs="Times New Roman"/>
          <w:color w:val="auto"/>
          <w:szCs w:val="22"/>
        </w:rPr>
        <w:t xml:space="preserve"> is only 4 fold lower than that of the intraperitoneal</w:t>
      </w:r>
      <w:r w:rsidR="0050200E" w:rsidRPr="00C07E8E">
        <w:rPr>
          <w:rFonts w:cs="Times New Roman"/>
          <w:color w:val="auto"/>
          <w:szCs w:val="22"/>
        </w:rPr>
        <w:t xml:space="preserve"> suggests reasonable bioavailability however no formal </w:t>
      </w:r>
      <w:r w:rsidR="00EE350F" w:rsidRPr="00C07E8E">
        <w:rPr>
          <w:rFonts w:cs="Times New Roman"/>
          <w:color w:val="auto"/>
          <w:szCs w:val="22"/>
        </w:rPr>
        <w:t>drug metabolism and pharmacokinetic (</w:t>
      </w:r>
      <w:r w:rsidR="0050200E" w:rsidRPr="00C07E8E">
        <w:rPr>
          <w:rFonts w:cs="Times New Roman"/>
          <w:color w:val="auto"/>
          <w:szCs w:val="22"/>
        </w:rPr>
        <w:t>DMPK</w:t>
      </w:r>
      <w:r w:rsidR="00EE350F" w:rsidRPr="00C07E8E">
        <w:rPr>
          <w:rFonts w:cs="Times New Roman"/>
          <w:color w:val="auto"/>
          <w:szCs w:val="22"/>
        </w:rPr>
        <w:t>)</w:t>
      </w:r>
      <w:r w:rsidR="0050200E" w:rsidRPr="00C07E8E">
        <w:rPr>
          <w:rFonts w:cs="Times New Roman"/>
          <w:color w:val="auto"/>
          <w:szCs w:val="22"/>
        </w:rPr>
        <w:t xml:space="preserve"> testing data is available.</w:t>
      </w:r>
      <w:r w:rsidR="003C610F" w:rsidRPr="00C07E8E">
        <w:rPr>
          <w:rFonts w:cs="Times New Roman"/>
          <w:color w:val="auto"/>
          <w:szCs w:val="22"/>
        </w:rPr>
        <w:t xml:space="preserve"> </w:t>
      </w:r>
      <w:r w:rsidR="001B4F41" w:rsidRPr="00C07E8E">
        <w:rPr>
          <w:rFonts w:cs="Times New Roman"/>
          <w:b/>
          <w:bCs/>
          <w:color w:val="auto"/>
          <w:szCs w:val="22"/>
        </w:rPr>
        <w:t>4</w:t>
      </w:r>
      <w:r w:rsidR="00D62873">
        <w:rPr>
          <w:rFonts w:cs="Times New Roman"/>
          <w:b/>
          <w:bCs/>
          <w:color w:val="auto"/>
          <w:szCs w:val="22"/>
        </w:rPr>
        <w:t>8</w:t>
      </w:r>
      <w:r w:rsidR="003C610F" w:rsidRPr="00C07E8E">
        <w:rPr>
          <w:rFonts w:cs="Times New Roman"/>
          <w:color w:val="auto"/>
          <w:szCs w:val="22"/>
        </w:rPr>
        <w:t xml:space="preserve"> was also assessed </w:t>
      </w:r>
      <w:r w:rsidR="00104AA0" w:rsidRPr="00C07E8E">
        <w:rPr>
          <w:rFonts w:cs="Times New Roman"/>
          <w:color w:val="auto"/>
          <w:szCs w:val="22"/>
        </w:rPr>
        <w:t xml:space="preserve">for mutagenesis in an </w:t>
      </w:r>
      <w:r w:rsidR="00104AA0" w:rsidRPr="00C07E8E">
        <w:rPr>
          <w:rFonts w:cs="Times New Roman"/>
          <w:i/>
          <w:iCs/>
          <w:color w:val="auto"/>
          <w:szCs w:val="22"/>
        </w:rPr>
        <w:t xml:space="preserve">e. coli </w:t>
      </w:r>
      <w:r w:rsidR="00104AA0" w:rsidRPr="00C07E8E">
        <w:rPr>
          <w:rFonts w:cs="Times New Roman"/>
          <w:color w:val="auto"/>
          <w:szCs w:val="22"/>
        </w:rPr>
        <w:t>SOS response assay which determi</w:t>
      </w:r>
      <w:r w:rsidR="009F7520" w:rsidRPr="00C07E8E">
        <w:rPr>
          <w:rFonts w:cs="Times New Roman"/>
          <w:color w:val="auto"/>
          <w:szCs w:val="22"/>
        </w:rPr>
        <w:t xml:space="preserve">ned that </w:t>
      </w:r>
      <w:r w:rsidR="001B4F41" w:rsidRPr="00C07E8E">
        <w:rPr>
          <w:rFonts w:cs="Times New Roman"/>
          <w:b/>
          <w:bCs/>
          <w:color w:val="auto"/>
          <w:szCs w:val="22"/>
        </w:rPr>
        <w:t>4</w:t>
      </w:r>
      <w:r w:rsidR="00D62873">
        <w:rPr>
          <w:rFonts w:cs="Times New Roman"/>
          <w:b/>
          <w:bCs/>
          <w:color w:val="auto"/>
          <w:szCs w:val="22"/>
        </w:rPr>
        <w:t>8</w:t>
      </w:r>
      <w:r w:rsidR="009F7520" w:rsidRPr="00C07E8E">
        <w:rPr>
          <w:rFonts w:cs="Times New Roman"/>
          <w:color w:val="auto"/>
          <w:szCs w:val="22"/>
        </w:rPr>
        <w:t xml:space="preserve"> did not promote the SOS response indicating a low potential for mutagenicity.</w:t>
      </w:r>
      <w:r w:rsidR="002C4B57" w:rsidRPr="00C07E8E">
        <w:rPr>
          <w:rFonts w:cs="Times New Roman"/>
          <w:color w:val="auto"/>
          <w:szCs w:val="22"/>
        </w:rPr>
        <w:t xml:space="preserve"> </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{"citationItems":[{"id":"ITEM-1","itemData":{"DOI":"10.1002/chem.200305576","ISSN":"09476539","PMID":"15054749","abstract":"Trioxaquines are dual molecules that contain a trioxane motif linked to an aminoquinoline entity. Among the different compounds of this series, trioxaquine cis-15 (DU1302c), prepared from α-terpinene, a cheap natural product, showed efficient antimalarial activity in vitro on both sensitive and resistant strains of Plasmodium falciparum (IC50 = 5-19 nM). A stereochemical description of this stable, nontoxic, and non-genotoxic antimalarial agent is detailed. Mice infected with P. vinckei were successfully treated with cis-15 in a four-day suppressive test. The doses required to decrease parasitemia by 50% (ED50) were 5 and 18 mg kg -1d-1 after intraperitoneal and oral administration, respectively. Parasitemia clearance was complete without recrudescence at an intraperitoneal dose of 20 mgkg-1d-1.","author":[{"dropping-particle":"","family":"Dechy-Cabarett","given":"Odile","non-dropping-particle":"","parse-names":false,"suffix":""},{"dropping-particle":"","family":"Benoit-Vical","given":"François","non-dropping-particle":"","parse-names":false,"suffix":""},{"dropping-particle":"","family":"Loup","given":"Christophe","non-dropping-particle":"","parse-names":false,"suffix":""},{"dropping-particle":"","family":"Robert","given":"Anne","non-dropping-particle":"","parse-names":false,"suffix":""},{"dropping-particle":"","family":"Gornitzka","given":"Heinz","non-dropping-particle":"","parse-names":false,"suffix":""},{"dropping-particle":"","family":"Bonhoure","given":"Anne","non-dropping-particle":"","parse-names":false,"suffix":""},{"dropping-particle":"","family":"Vial","given":"Henri","non-dropping-particle":"","parse-names":false,"suffix":""},{"dropping-particle":"","family":"Magnaval","given":"Jean Françoise","non-dropping-particle":"","parse-names":false,"suffix":""},{"dropping-particle":"","family":"Séguéla","given":"Jean Paul","non-dropping-particle":"","parse-names":false,"suffix":""},{"dropping-particle":"","family":"Meunier","given":"Bernard","non-dropping-particle":"","parse-names":false,"suffix":""}],"container-title":"Chemistry - A European Journal","id":"ITEM-1","issue":"7","issued":{"date-parts":[["2004"]]},"page":"1625-1636","title":"Synthesis and Antimalarial Activity of Trioxaquine Derivatives","type":"article-journal","volume":"10"},"uris":["http://www.mendeley.com/documents/?uuid=d92705c7-160a-4f19-9459-e67b4aa9894b","http://www.mendeley.com/documents/?uuid=fdd676dc-6619-4885-8798-79e595804f60"]}],"mendeley":{"formattedCitation":"&lt;sup&gt;93&lt;/sup&gt;","plainTextFormattedCitation":"93","previouslyFormattedCitation":"&lt;sup&gt;93&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93</w:t>
      </w:r>
      <w:r w:rsidR="000536E8" w:rsidRPr="00C07E8E">
        <w:rPr>
          <w:rFonts w:cs="Times New Roman"/>
          <w:color w:val="auto"/>
          <w:szCs w:val="22"/>
        </w:rPr>
        <w:fldChar w:fldCharType="end"/>
      </w:r>
    </w:p>
    <w:p w14:paraId="39082DA0" w14:textId="293F7899" w:rsidR="002E7579" w:rsidRPr="00C07E8E" w:rsidRDefault="002E7579" w:rsidP="00532D1D">
      <w:pPr>
        <w:pStyle w:val="Ttulo1"/>
        <w:numPr>
          <w:ilvl w:val="1"/>
          <w:numId w:val="3"/>
        </w:numPr>
        <w:spacing w:before="0"/>
        <w:rPr>
          <w:rFonts w:cs="Times New Roman"/>
          <w:color w:val="auto"/>
          <w:sz w:val="22"/>
          <w:szCs w:val="22"/>
        </w:rPr>
      </w:pPr>
      <w:r w:rsidRPr="00C07E8E">
        <w:rPr>
          <w:rFonts w:cs="Times New Roman"/>
          <w:color w:val="auto"/>
          <w:sz w:val="22"/>
          <w:szCs w:val="22"/>
        </w:rPr>
        <w:lastRenderedPageBreak/>
        <w:t>Mechanism of Action</w:t>
      </w:r>
      <w:r w:rsidR="003D746F">
        <w:rPr>
          <w:rFonts w:cs="Times New Roman"/>
          <w:color w:val="auto"/>
          <w:sz w:val="22"/>
          <w:szCs w:val="22"/>
        </w:rPr>
        <w:t xml:space="preserve"> Studies</w:t>
      </w:r>
    </w:p>
    <w:p w14:paraId="52FBCC3A" w14:textId="4FED6DAB" w:rsidR="002E7579" w:rsidRPr="00C07E8E" w:rsidRDefault="002E7579" w:rsidP="00532D1D">
      <w:pPr>
        <w:autoSpaceDE w:val="0"/>
        <w:autoSpaceDN w:val="0"/>
        <w:adjustRightInd w:val="0"/>
        <w:spacing w:after="240"/>
        <w:rPr>
          <w:rFonts w:cs="Times New Roman"/>
          <w:color w:val="auto"/>
          <w:szCs w:val="22"/>
        </w:rPr>
      </w:pPr>
      <w:r w:rsidRPr="00C07E8E">
        <w:rPr>
          <w:rFonts w:cs="Times New Roman"/>
          <w:b/>
          <w:bCs/>
          <w:i/>
          <w:iCs/>
          <w:color w:val="auto"/>
          <w:szCs w:val="22"/>
        </w:rPr>
        <w:tab/>
      </w:r>
      <w:r w:rsidRPr="00C07E8E">
        <w:rPr>
          <w:rFonts w:cs="Times New Roman"/>
          <w:color w:val="auto"/>
          <w:szCs w:val="22"/>
        </w:rPr>
        <w:t xml:space="preserve">Studies with DU1301 </w:t>
      </w:r>
      <w:r w:rsidRPr="00C07E8E">
        <w:rPr>
          <w:rFonts w:cs="Times New Roman"/>
          <w:b/>
          <w:bCs/>
          <w:color w:val="auto"/>
          <w:szCs w:val="22"/>
        </w:rPr>
        <w:t>4</w:t>
      </w:r>
      <w:r w:rsidR="00D62873">
        <w:rPr>
          <w:rFonts w:cs="Times New Roman"/>
          <w:b/>
          <w:bCs/>
          <w:color w:val="auto"/>
          <w:szCs w:val="22"/>
        </w:rPr>
        <w:t>8</w:t>
      </w:r>
      <w:r w:rsidRPr="00C07E8E">
        <w:rPr>
          <w:rFonts w:cs="Times New Roman"/>
          <w:b/>
          <w:bCs/>
          <w:color w:val="auto"/>
          <w:szCs w:val="22"/>
        </w:rPr>
        <w:t xml:space="preserve"> </w:t>
      </w:r>
      <w:r w:rsidRPr="00C07E8E">
        <w:rPr>
          <w:rFonts w:cs="Times New Roman"/>
          <w:color w:val="auto"/>
          <w:szCs w:val="22"/>
        </w:rPr>
        <w:t xml:space="preserve">confirmed a dual mechanism of action for trioxaquines. Loup </w:t>
      </w:r>
      <w:r w:rsidRPr="00C07E8E">
        <w:rPr>
          <w:rFonts w:cs="Times New Roman"/>
          <w:i/>
          <w:iCs/>
          <w:color w:val="auto"/>
          <w:szCs w:val="22"/>
        </w:rPr>
        <w:t>et al.</w:t>
      </w:r>
      <w:r w:rsidRPr="00C07E8E">
        <w:rPr>
          <w:rFonts w:cs="Times New Roman"/>
          <w:color w:val="auto"/>
          <w:szCs w:val="22"/>
        </w:rPr>
        <w:fldChar w:fldCharType="begin" w:fldLock="1"/>
      </w:r>
      <w:r w:rsidR="007125A3">
        <w:rPr>
          <w:rFonts w:cs="Times New Roman"/>
          <w:color w:val="auto"/>
          <w:szCs w:val="22"/>
        </w:rPr>
        <w:instrText>ADDIN CSL_CITATION {"citationItems":[{"id":"ITEM-1","itemData":{"DOI":"10.1128/AAC.00239-07","ISSN":"00664804","PMID":"17698628","abstract":"Trioxaquines, potential antimalarial agents, and heme-artemisinin adducts, resulting from the alkylation of heme by artemisinin, were evaluated as inhibitors of β-hematin formation in 10 M acetate medium at pH 5. Copyright © 2007, American Society for Microbiology. All Rights Reserved.","author":[{"dropping-particle":"","family":"Loup","given":"Christophe","non-dropping-particle":"","parse-names":false,"suffix":""},{"dropping-particle":"","family":"Lelièvre","given":"Joël","non-dropping-particle":"","parse-names":false,"suffix":""},{"dropping-particle":"","family":"Benoit-Vical","given":"Françoise","non-dropping-particle":"","parse-names":false,"suffix":""},{"dropping-particle":"","family":"Meunier","given":"Bernard","non-dropping-particle":"","parse-names":false,"suffix":""}],"container-title":"Antimicrobial Agents and Chemotherapy","id":"ITEM-1","issue":"10","issued":{"date-parts":[["2007"]]},"page":"3768-3770","title":"Trioxaquines and heme-artemisinin adducts inhibit the in vitro formation of hemozoin better than chloroquine","type":"article-journal","volume":"51"},"uris":["http://www.mendeley.com/documents/?uuid=2522f9a1-4fe2-4172-97bd-c2d43eb3a1a5","http://www.mendeley.com/documents/?uuid=fbd82de3-9367-49a1-80e6-c0321fdb8d6f"]}],"mendeley":{"formattedCitation":"&lt;sup&gt;55&lt;/sup&gt;","plainTextFormattedCitation":"55","previouslyFormattedCitation":"&lt;sup&gt;55&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55</w:t>
      </w:r>
      <w:r w:rsidRPr="00C07E8E">
        <w:rPr>
          <w:rFonts w:cs="Times New Roman"/>
          <w:color w:val="auto"/>
          <w:szCs w:val="22"/>
        </w:rPr>
        <w:fldChar w:fldCharType="end"/>
      </w:r>
      <w:r w:rsidRPr="00C07E8E">
        <w:rPr>
          <w:rFonts w:cs="Times New Roman"/>
          <w:color w:val="auto"/>
          <w:szCs w:val="22"/>
        </w:rPr>
        <w:t xml:space="preserve"> have shown that </w:t>
      </w:r>
      <w:r w:rsidRPr="00C07E8E">
        <w:rPr>
          <w:rFonts w:cs="Times New Roman"/>
          <w:b/>
          <w:bCs/>
          <w:color w:val="auto"/>
          <w:szCs w:val="22"/>
        </w:rPr>
        <w:t>4</w:t>
      </w:r>
      <w:r w:rsidR="00D62873">
        <w:rPr>
          <w:rFonts w:cs="Times New Roman"/>
          <w:b/>
          <w:bCs/>
          <w:color w:val="auto"/>
          <w:szCs w:val="22"/>
        </w:rPr>
        <w:t>8</w:t>
      </w:r>
      <w:r w:rsidRPr="00C07E8E">
        <w:rPr>
          <w:rFonts w:cs="Times New Roman"/>
          <w:color w:val="auto"/>
          <w:szCs w:val="22"/>
        </w:rPr>
        <w:t xml:space="preserve">  was five times more effective as inhibitor of </w:t>
      </w:r>
      <w:r w:rsidRPr="00C07E8E">
        <w:rPr>
          <w:rFonts w:eastAsia="Arial Unicode MS" w:cs="Times New Roman"/>
          <w:color w:val="auto"/>
          <w:szCs w:val="22"/>
        </w:rPr>
        <w:t>β</w:t>
      </w:r>
      <w:r w:rsidRPr="00C07E8E">
        <w:rPr>
          <w:rFonts w:cs="Times New Roman"/>
          <w:color w:val="auto"/>
          <w:szCs w:val="22"/>
        </w:rPr>
        <w:t xml:space="preserve">-hematin (hemozoin) formation than chloroquine. Additionally, </w:t>
      </w:r>
      <w:r w:rsidRPr="00C07E8E">
        <w:rPr>
          <w:rFonts w:cs="Times New Roman"/>
          <w:b/>
          <w:bCs/>
          <w:color w:val="auto"/>
          <w:szCs w:val="22"/>
        </w:rPr>
        <w:t>4</w:t>
      </w:r>
      <w:r w:rsidR="00D62873">
        <w:rPr>
          <w:rFonts w:cs="Times New Roman"/>
          <w:b/>
          <w:bCs/>
          <w:color w:val="auto"/>
          <w:szCs w:val="22"/>
        </w:rPr>
        <w:t>8</w:t>
      </w:r>
      <w:r w:rsidRPr="00C07E8E">
        <w:rPr>
          <w:rFonts w:cs="Times New Roman"/>
          <w:color w:val="auto"/>
          <w:szCs w:val="22"/>
        </w:rPr>
        <w:t xml:space="preserve"> appears to efficiently alkylate heme,</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{"citationItems":[{"id":"ITEM-1","itemData":{"DOI":"10.1002/cbic.200400249","ISSN":"14394227","PMID":"15744769","abstract":"The sesquiterpene Artemisinin, an antimalarial drug that is effective against multidrug-resistant Plasmodium falciparum strains, contains a 1,2,4-trioxane, and the endoperoxide function plays a key role in its biological activity. However, its poor solubility means that hemisynthetic derivatives, such as artesunic acid, are preferred for drugs. The reductive activation of the peroxide function of artemisinin by iron(II)-heme produces heme derivatives that are alkylated at meso positions by a C-centered radical derived from artemisinin. We checked if the alkylating ability of trioxane-based drugs toward heme, which might be related to its parasiticidal activity, is a general feature by comparing the chemical reactivity toward heme of the clinically relevant derivative artesunic acid and DU1301, a drug of the trioxaguine family, that is active against P. falciparum. Both artesunic acid and trioxaguine DU1301 efficiently alkylated the heme macrocycle after activation of their peroxide function by the iron(II) of heme itself and thus gave rise to covalently coupled heme-drug products. This heme-drug adduct formation might be related to the high antimalarial activity of DU1301. © 2005 Wiley-VCH Verlag GmbH &amp; Co. KGaA.","author":[{"dropping-particle":"","family":"Laurent","given":"Sophie A.L.","non-dropping-particle":"","parse-names":false,"suffix":""},{"dropping-particle":"","family":"Loup","given":"Christophe","non-dropping-particle":"","parse-names":false,"suffix":""},{"dropping-particle":"","family":"Mourgues","given":"Sophie","non-dropping-particle":"","parse-names":false,"suffix":""},{"dropping-particle":"","family":"Robert","given":"Anne","non-dropping-particle":"","parse-names":false,"suffix":""},{"dropping-particle":"","family":"Meunier","given":"Bernard","non-dropping-particle":"","parse-names":false,"suffix":""}],"container-title":"ChemBioChem","id":"ITEM-1","issue":"4","issued":{"date-parts":[["2005"]]},"page":"653-658","title":"Heme alkylation by artesunic acid and trioxaquine DU1301, two antimalarial trioxanes","type":"article-journal","volume":"6"},"uris":["http://www.mendeley.com/documents/?uuid=68feb0b5-1dcb-4745-b076-87946c67f60c","http://www.mendeley.com/documents/?uuid=e7f68b08-30e2-459a-8dbe-9e7dfefd291a"]}],"mendeley":{"formattedCitation":"&lt;sup&gt;94&lt;/sup&gt;","plainTextFormattedCitation":"94","previouslyFormattedCitation":"&lt;sup&gt;94&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94</w:t>
      </w:r>
      <w:r w:rsidRPr="00C07E8E">
        <w:rPr>
          <w:rFonts w:cs="Times New Roman"/>
          <w:color w:val="auto"/>
          <w:szCs w:val="22"/>
        </w:rPr>
        <w:fldChar w:fldCharType="end"/>
      </w:r>
      <w:r w:rsidRPr="00C07E8E">
        <w:rPr>
          <w:rFonts w:cs="Times New Roman"/>
          <w:color w:val="auto"/>
          <w:szCs w:val="22"/>
        </w:rPr>
        <w:t xml:space="preserve"> due to its trioxane ring, which favours the production of an alkyl</w:t>
      </w:r>
      <w:r w:rsidR="0077728C">
        <w:rPr>
          <w:rFonts w:cs="Times New Roman"/>
          <w:color w:val="auto"/>
          <w:szCs w:val="22"/>
        </w:rPr>
        <w:t>at</w:t>
      </w:r>
      <w:r w:rsidRPr="00C07E8E">
        <w:rPr>
          <w:rFonts w:cs="Times New Roman"/>
          <w:color w:val="auto"/>
          <w:szCs w:val="22"/>
        </w:rPr>
        <w:t xml:space="preserve">ing carbon-centred radical entity. Homolytic cleavage of O-O bond primarily generates the </w:t>
      </w:r>
      <w:r w:rsidRPr="00C07E8E">
        <w:rPr>
          <w:rFonts w:cs="Times New Roman"/>
          <w:i/>
          <w:iCs/>
          <w:color w:val="auto"/>
          <w:szCs w:val="22"/>
        </w:rPr>
        <w:t>O</w:t>
      </w:r>
      <w:r w:rsidRPr="00C07E8E">
        <w:rPr>
          <w:rFonts w:cs="Times New Roman"/>
          <w:color w:val="auto"/>
          <w:szCs w:val="22"/>
        </w:rPr>
        <w:t xml:space="preserve">-centred radical </w:t>
      </w:r>
      <w:r w:rsidRPr="00C07E8E">
        <w:rPr>
          <w:rFonts w:cs="Times New Roman"/>
          <w:b/>
          <w:bCs/>
          <w:color w:val="auto"/>
          <w:szCs w:val="22"/>
        </w:rPr>
        <w:t>5</w:t>
      </w:r>
      <w:r w:rsidR="00D62873">
        <w:rPr>
          <w:rFonts w:cs="Times New Roman"/>
          <w:b/>
          <w:bCs/>
          <w:color w:val="auto"/>
          <w:szCs w:val="22"/>
        </w:rPr>
        <w:t>4</w:t>
      </w:r>
      <w:r w:rsidRPr="00C07E8E">
        <w:rPr>
          <w:rFonts w:cs="Times New Roman"/>
          <w:b/>
          <w:bCs/>
          <w:color w:val="auto"/>
          <w:szCs w:val="22"/>
        </w:rPr>
        <w:t xml:space="preserve"> </w:t>
      </w:r>
      <w:r w:rsidRPr="00C07E8E">
        <w:rPr>
          <w:rFonts w:cs="Times New Roman"/>
          <w:color w:val="auto"/>
          <w:szCs w:val="22"/>
        </w:rPr>
        <w:t xml:space="preserve">at </w:t>
      </w:r>
      <w:r w:rsidRPr="00C07E8E">
        <w:rPr>
          <w:rFonts w:cs="Times New Roman"/>
          <w:b/>
          <w:bCs/>
          <w:color w:val="auto"/>
          <w:szCs w:val="22"/>
        </w:rPr>
        <w:t>O2</w:t>
      </w:r>
      <w:r w:rsidRPr="00C07E8E">
        <w:rPr>
          <w:rFonts w:cs="Times New Roman"/>
          <w:color w:val="auto"/>
          <w:szCs w:val="22"/>
        </w:rPr>
        <w:t xml:space="preserve">, followed by a β-scission to form a primary carbon-centred radical </w:t>
      </w:r>
      <w:r w:rsidRPr="00C07E8E">
        <w:rPr>
          <w:rFonts w:cs="Times New Roman"/>
          <w:b/>
          <w:bCs/>
          <w:color w:val="auto"/>
          <w:szCs w:val="22"/>
        </w:rPr>
        <w:t>5</w:t>
      </w:r>
      <w:r w:rsidR="00D62873">
        <w:rPr>
          <w:rFonts w:cs="Times New Roman"/>
          <w:b/>
          <w:bCs/>
          <w:color w:val="auto"/>
          <w:szCs w:val="22"/>
        </w:rPr>
        <w:t>5</w:t>
      </w:r>
      <w:r w:rsidRPr="00C07E8E">
        <w:rPr>
          <w:rFonts w:cs="Times New Roman"/>
          <w:color w:val="auto"/>
          <w:szCs w:val="22"/>
        </w:rPr>
        <w:t xml:space="preserve">. The alkylating ability of trioxaquine </w:t>
      </w:r>
      <w:r w:rsidRPr="00C07E8E">
        <w:rPr>
          <w:rFonts w:cs="Times New Roman"/>
          <w:b/>
          <w:bCs/>
          <w:color w:val="auto"/>
          <w:szCs w:val="22"/>
        </w:rPr>
        <w:t>4</w:t>
      </w:r>
      <w:r w:rsidR="00D62873">
        <w:rPr>
          <w:rFonts w:cs="Times New Roman"/>
          <w:b/>
          <w:bCs/>
          <w:color w:val="auto"/>
          <w:szCs w:val="22"/>
        </w:rPr>
        <w:t>8</w:t>
      </w:r>
      <w:r w:rsidRPr="00C07E8E">
        <w:rPr>
          <w:rFonts w:cs="Times New Roman"/>
          <w:color w:val="auto"/>
          <w:szCs w:val="22"/>
        </w:rPr>
        <w:t xml:space="preserve"> toward Fe(II) heme was assessed in similar conditions as reported for artemisinins (</w:t>
      </w:r>
      <w:r w:rsidRPr="00C07E8E">
        <w:rPr>
          <w:rFonts w:cs="Times New Roman"/>
          <w:b/>
          <w:bCs/>
          <w:color w:val="auto"/>
          <w:szCs w:val="22"/>
        </w:rPr>
        <w:t xml:space="preserve">Scheme </w:t>
      </w:r>
      <w:r w:rsidR="00730A60">
        <w:rPr>
          <w:rFonts w:cs="Times New Roman"/>
          <w:b/>
          <w:bCs/>
          <w:color w:val="auto"/>
          <w:szCs w:val="22"/>
        </w:rPr>
        <w:t>6</w:t>
      </w:r>
      <w:r w:rsidRPr="00C07E8E">
        <w:rPr>
          <w:rFonts w:cs="Times New Roman"/>
          <w:color w:val="auto"/>
          <w:szCs w:val="22"/>
        </w:rPr>
        <w:t>).</w:t>
      </w:r>
      <w:r w:rsidRPr="00C07E8E">
        <w:rPr>
          <w:rFonts w:cs="Times New Roman"/>
          <w:color w:val="auto"/>
          <w:szCs w:val="22"/>
        </w:rPr>
        <w:fldChar w:fldCharType="begin" w:fldLock="1"/>
      </w:r>
      <w:r w:rsidR="00192B39">
        <w:rPr>
          <w:rFonts w:cs="Times New Roman"/>
          <w:color w:val="auto"/>
          <w:szCs w:val="22"/>
        </w:rPr>
        <w:instrText>ADDIN CSL_CITATION {"citationItems":[{"id":"ITEM-1","itemData":{"DOI":"10.1128/AAC.00165-08","ISSN":"00664804","PMID":"18559651","abstract":"The in vivo alkylation of heme by the antimalarial trioxaquine DU1301 afforded covalent heme-drug adducts that were detected in the spleens of Plasmodium sp.-infected mice. This result indicates that the alkylation capacities of trioxaquines in mammals infected with Plasmodium strains are similar to that of artemisinin, a natural antimalarial trioxane-containing drug. Copyright © 2008, American Society for Microbiology. All Rights Reserved.","author":[{"dropping-particle":"","family":"Garah","given":"Fatima Bousejra-El","non-dropping-particle":"","parse-names":false,"suffix":""},{"dropping-particle":"","family":"Claparols","given":"Catherine","non-dropping-particle":"","parse-names":false,"suffix":""},{"dropping-particle":"","family":"Benoit-Vical","given":"Françoise","non-dropping-particle":"","parse-names":false,"suffix":""},{"dropping-particle":"","family":"Meunier","given":"Bernard","non-dropping-particle":"","parse-names":false,"suffix":""},{"dropping-particle":"","family":"Robert","given":"Anne","non-dropping-particle":"","parse-names":false,"suffix":""}],"container-title":"Antimicrobial Agents and Chemotherapy","id":"ITEM-1","issue":"8","issued":{"date-parts":[["2008"]]},"page":"2966-2969","title":"The antimalarial trioxaquine DU1301 alkylates heme in malaria-infected mice","type":"article-journal","volume":"52"},"uris":["http://www.mendeley.com/documents/?uuid=92093cab-c03f-4692-92f2-70c498991124","http://www.mendeley.com/documents/?uuid=bd7f09f5-0669-49d8-93ef-321ab1f84974"]}],"mendeley":{"formattedCitation":"&lt;sup&gt;95&lt;/sup&gt;","plainTextFormattedCitation":"95","previouslyFormattedCitation":"&lt;sup&gt;95&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95</w:t>
      </w:r>
      <w:r w:rsidRPr="00C07E8E">
        <w:rPr>
          <w:rFonts w:cs="Times New Roman"/>
          <w:color w:val="auto"/>
          <w:szCs w:val="22"/>
        </w:rPr>
        <w:fldChar w:fldCharType="end"/>
      </w:r>
      <w:r w:rsidRPr="00C07E8E">
        <w:rPr>
          <w:rFonts w:cs="Times New Roman"/>
          <w:color w:val="auto"/>
          <w:szCs w:val="22"/>
        </w:rPr>
        <w:t xml:space="preserve">   </w:t>
      </w:r>
    </w:p>
    <w:p w14:paraId="20D6C170" w14:textId="284FEB04" w:rsidR="002E7579" w:rsidRPr="00C07E8E" w:rsidRDefault="006D7105" w:rsidP="00532D1D">
      <w:pPr>
        <w:autoSpaceDE w:val="0"/>
        <w:autoSpaceDN w:val="0"/>
        <w:adjustRightInd w:val="0"/>
        <w:rPr>
          <w:rFonts w:cs="Times New Roman"/>
          <w:color w:val="auto"/>
          <w:szCs w:val="22"/>
        </w:rPr>
      </w:pPr>
      <w:r>
        <w:rPr>
          <w:noProof/>
        </w:rPr>
        <w:object w:dxaOrig="11093" w:dyaOrig="8731" w14:anchorId="33BD6618">
          <v:shape id="_x0000_i1037" type="#_x0000_t75" alt="" style="width:451.2pt;height:355.2pt;mso-width-percent:0;mso-height-percent:0;mso-width-percent:0;mso-height-percent:0" o:ole="">
            <v:imagedata r:id="rId30" o:title=""/>
          </v:shape>
          <o:OLEObject Type="Embed" ProgID="ChemDraw.Document.6.0" ShapeID="_x0000_i1037" DrawAspect="Content" ObjectID="_1669219471" r:id="rId31"/>
        </w:object>
      </w:r>
      <w:r w:rsidR="00D53D4F" w:rsidDel="00D53D4F">
        <w:t xml:space="preserve"> </w:t>
      </w:r>
    </w:p>
    <w:p w14:paraId="69C79C88" w14:textId="0AE5C5FA" w:rsidR="002E7579" w:rsidRPr="00C07E8E" w:rsidRDefault="002E7579" w:rsidP="00532D1D">
      <w:pPr>
        <w:autoSpaceDE w:val="0"/>
        <w:autoSpaceDN w:val="0"/>
        <w:adjustRightInd w:val="0"/>
        <w:rPr>
          <w:rFonts w:cs="Times New Roman"/>
          <w:color w:val="auto"/>
          <w:szCs w:val="22"/>
        </w:rPr>
      </w:pPr>
      <w:r w:rsidRPr="00C07E8E">
        <w:rPr>
          <w:rFonts w:cs="Times New Roman"/>
          <w:b/>
          <w:bCs/>
          <w:color w:val="auto"/>
          <w:szCs w:val="22"/>
        </w:rPr>
        <w:t xml:space="preserve">Scheme </w:t>
      </w:r>
      <w:r w:rsidR="00730A60">
        <w:rPr>
          <w:rFonts w:cs="Times New Roman"/>
          <w:b/>
          <w:bCs/>
          <w:color w:val="auto"/>
          <w:szCs w:val="22"/>
        </w:rPr>
        <w:t>6</w:t>
      </w:r>
      <w:r w:rsidRPr="00C07E8E">
        <w:rPr>
          <w:rFonts w:cs="Times New Roman"/>
          <w:color w:val="auto"/>
          <w:szCs w:val="22"/>
        </w:rPr>
        <w:t xml:space="preserve">: </w:t>
      </w:r>
      <w:r w:rsidR="00EE13A7" w:rsidRPr="0015403F">
        <w:rPr>
          <w:rFonts w:cs="Times New Roman"/>
          <w:color w:val="auto"/>
          <w:szCs w:val="22"/>
        </w:rPr>
        <w:t xml:space="preserve">Proposed mechanisms for ferrous-mediated degradation of trioxaquine DU1301 </w:t>
      </w:r>
      <w:r w:rsidR="00EE13A7" w:rsidRPr="0015403F">
        <w:rPr>
          <w:rFonts w:cs="Times New Roman"/>
          <w:b/>
          <w:bCs/>
          <w:color w:val="auto"/>
          <w:szCs w:val="22"/>
        </w:rPr>
        <w:t>4</w:t>
      </w:r>
      <w:r w:rsidR="00D62873">
        <w:rPr>
          <w:rFonts w:cs="Times New Roman"/>
          <w:b/>
          <w:bCs/>
          <w:color w:val="auto"/>
          <w:szCs w:val="22"/>
        </w:rPr>
        <w:t>8</w:t>
      </w:r>
      <w:r w:rsidR="00EE13A7" w:rsidRPr="0015403F">
        <w:rPr>
          <w:rFonts w:cs="Times New Roman"/>
          <w:color w:val="auto"/>
          <w:szCs w:val="22"/>
        </w:rPr>
        <w:t xml:space="preserve">, generating the heme adducts </w:t>
      </w:r>
      <w:r w:rsidR="00EE13A7" w:rsidRPr="0015403F">
        <w:rPr>
          <w:rFonts w:cs="Times New Roman"/>
          <w:b/>
          <w:bCs/>
          <w:color w:val="auto"/>
          <w:szCs w:val="22"/>
        </w:rPr>
        <w:t>5</w:t>
      </w:r>
      <w:r w:rsidR="00D53D4F">
        <w:rPr>
          <w:rFonts w:cs="Times New Roman"/>
          <w:b/>
          <w:bCs/>
          <w:color w:val="auto"/>
          <w:szCs w:val="22"/>
        </w:rPr>
        <w:t>6</w:t>
      </w:r>
      <w:r w:rsidR="00EE13A7" w:rsidRPr="0015403F">
        <w:rPr>
          <w:rFonts w:cs="Times New Roman"/>
          <w:b/>
          <w:bCs/>
          <w:color w:val="auto"/>
          <w:szCs w:val="22"/>
        </w:rPr>
        <w:t xml:space="preserve"> </w:t>
      </w:r>
      <w:r w:rsidR="00EE13A7" w:rsidRPr="0015403F">
        <w:rPr>
          <w:rFonts w:cs="Times New Roman"/>
          <w:color w:val="auto"/>
          <w:szCs w:val="22"/>
        </w:rPr>
        <w:t xml:space="preserve">and </w:t>
      </w:r>
      <w:r w:rsidR="00EE13A7" w:rsidRPr="0015403F">
        <w:rPr>
          <w:rFonts w:cs="Times New Roman"/>
          <w:b/>
          <w:bCs/>
          <w:color w:val="auto"/>
          <w:szCs w:val="22"/>
        </w:rPr>
        <w:t>5</w:t>
      </w:r>
      <w:r w:rsidR="00D53D4F">
        <w:rPr>
          <w:rFonts w:cs="Times New Roman"/>
          <w:b/>
          <w:bCs/>
          <w:color w:val="auto"/>
          <w:szCs w:val="22"/>
        </w:rPr>
        <w:t>7</w:t>
      </w:r>
      <w:r w:rsidRPr="00C07E8E">
        <w:rPr>
          <w:rFonts w:cs="Times New Roman"/>
          <w:color w:val="auto"/>
          <w:szCs w:val="22"/>
        </w:rPr>
        <w:t>.</w:t>
      </w:r>
      <w:r w:rsidRPr="00C07E8E">
        <w:rPr>
          <w:rFonts w:cs="Times New Roman"/>
          <w:color w:val="auto"/>
          <w:szCs w:val="22"/>
        </w:rPr>
        <w:fldChar w:fldCharType="begin" w:fldLock="1"/>
      </w:r>
      <w:r w:rsidR="00192B39">
        <w:rPr>
          <w:rFonts w:cs="Times New Roman"/>
          <w:color w:val="auto"/>
          <w:szCs w:val="22"/>
        </w:rPr>
        <w:instrText>ADDIN CSL_CITATION {"citationItems":[{"id":"ITEM-1","itemData":{"DOI":"10.1128/AAC.00165-08","ISSN":"00664804","PMID":"18559651","abstract":"The in vivo alkylation of heme by the antimalarial trioxaquine DU1301 afforded covalent heme-drug adducts that were detected in the spleens of Plasmodium sp.-infected mice. This result indicates that the alkylation capacities of trioxaquines in mammals infected with Plasmodium strains are similar to that of artemisinin, a natural antimalarial trioxane-containing drug. Copyright © 2008, American Society for Microbiology. All Rights Reserved.","author":[{"dropping-particle":"","family":"Garah","given":"Fatima Bousejra-El","non-dropping-particle":"","parse-names":false,"suffix":""},{"dropping-particle":"","family":"Claparols","given":"Catherine","non-dropping-particle":"","parse-names":false,"suffix":""},{"dropping-particle":"","family":"Benoit-Vical","given":"Françoise","non-dropping-particle":"","parse-names":false,"suffix":""},{"dropping-particle":"","family":"Meunier","given":"Bernard","non-dropping-particle":"","parse-names":false,"suffix":""},{"dropping-particle":"","family":"Robert","given":"Anne","non-dropping-particle":"","parse-names":false,"suffix":""}],"container-title":"Antimicrobial Agents and Chemotherapy","id":"ITEM-1","issue":"8","issued":{"date-parts":[["2008"]]},"page":"2966-2969","title":"The antimalarial trioxaquine DU1301 alkylates heme in malaria-infected mice","type":"article-journal","volume":"52"},"uris":["http://www.mendeley.com/documents/?uuid=bd7f09f5-0669-49d8-93ef-321ab1f84974","http://www.mendeley.com/documents/?uuid=92093cab-c03f-4692-92f2-70c498991124"]}],"mendeley":{"formattedCitation":"&lt;sup&gt;95&lt;/sup&gt;","plainTextFormattedCitation":"95","previouslyFormattedCitation":"&lt;sup&gt;95&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95</w:t>
      </w:r>
      <w:r w:rsidRPr="00C07E8E">
        <w:rPr>
          <w:rFonts w:cs="Times New Roman"/>
          <w:color w:val="auto"/>
          <w:szCs w:val="22"/>
        </w:rPr>
        <w:fldChar w:fldCharType="end"/>
      </w:r>
    </w:p>
    <w:p w14:paraId="22ECBBD0" w14:textId="77777777" w:rsidR="002E7579" w:rsidRPr="00C07E8E" w:rsidRDefault="002E7579" w:rsidP="00532D1D">
      <w:pPr>
        <w:rPr>
          <w:rFonts w:cs="Times New Roman"/>
          <w:color w:val="auto"/>
          <w:szCs w:val="22"/>
        </w:rPr>
      </w:pPr>
    </w:p>
    <w:p w14:paraId="18FF9AC9" w14:textId="77777777" w:rsidR="00251197" w:rsidRPr="00C07E8E" w:rsidRDefault="00251197" w:rsidP="00532D1D">
      <w:pPr>
        <w:ind w:firstLine="720"/>
        <w:rPr>
          <w:rFonts w:cs="Times New Roman"/>
          <w:color w:val="auto"/>
          <w:szCs w:val="22"/>
        </w:rPr>
      </w:pPr>
    </w:p>
    <w:p w14:paraId="20E1D92D" w14:textId="77777777" w:rsidR="005B5648" w:rsidRPr="00C07E8E" w:rsidRDefault="005B5648" w:rsidP="00532D1D">
      <w:pPr>
        <w:ind w:firstLine="720"/>
        <w:rPr>
          <w:rFonts w:cs="Times New Roman"/>
          <w:color w:val="auto"/>
          <w:szCs w:val="22"/>
        </w:rPr>
      </w:pPr>
    </w:p>
    <w:p w14:paraId="13556A1E" w14:textId="2D8C0348" w:rsidR="00F972BA"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lastRenderedPageBreak/>
        <w:t xml:space="preserve"> PA1103/SAR116242</w:t>
      </w:r>
      <w:r w:rsidR="003D746F">
        <w:rPr>
          <w:rFonts w:cs="Times New Roman"/>
          <w:color w:val="auto"/>
          <w:sz w:val="22"/>
          <w:szCs w:val="22"/>
        </w:rPr>
        <w:t xml:space="preserve">-The First </w:t>
      </w:r>
      <w:r w:rsidR="00D6472C">
        <w:rPr>
          <w:rFonts w:cs="Times New Roman"/>
          <w:color w:val="auto"/>
          <w:sz w:val="22"/>
          <w:szCs w:val="22"/>
        </w:rPr>
        <w:t xml:space="preserve">Peroxide </w:t>
      </w:r>
      <w:r w:rsidR="003D746F">
        <w:rPr>
          <w:rFonts w:cs="Times New Roman"/>
          <w:color w:val="auto"/>
          <w:sz w:val="22"/>
          <w:szCs w:val="22"/>
        </w:rPr>
        <w:t>Drug Hybrid Clinical Candidate</w:t>
      </w:r>
    </w:p>
    <w:p w14:paraId="4ED4C169" w14:textId="37D430FD" w:rsidR="008E20BD" w:rsidRPr="00C07E8E" w:rsidRDefault="006D7105" w:rsidP="00532D1D">
      <w:pPr>
        <w:keepNext/>
        <w:jc w:val="center"/>
        <w:rPr>
          <w:rFonts w:cs="Times New Roman"/>
          <w:color w:val="auto"/>
          <w:szCs w:val="22"/>
        </w:rPr>
      </w:pPr>
      <w:r w:rsidRPr="006D7105">
        <w:rPr>
          <w:rFonts w:cs="Times New Roman"/>
          <w:noProof/>
          <w:color w:val="auto"/>
          <w:szCs w:val="22"/>
        </w:rPr>
        <w:object w:dxaOrig="4185" w:dyaOrig="2391" w14:anchorId="69EF96A0">
          <v:shape id="_x0000_i1038" type="#_x0000_t75" alt="" style="width:210pt;height:118.2pt;mso-width-percent:0;mso-height-percent:0;mso-width-percent:0;mso-height-percent:0" o:ole="">
            <v:imagedata r:id="rId32" o:title=""/>
          </v:shape>
          <o:OLEObject Type="Embed" ProgID="ChemDraw.Document.6.0" ShapeID="_x0000_i1038" DrawAspect="Content" ObjectID="_1669219472" r:id="rId33"/>
        </w:object>
      </w:r>
    </w:p>
    <w:p w14:paraId="530CC20B" w14:textId="489999ED" w:rsidR="008E20BD"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Figure </w:t>
      </w:r>
      <w:r w:rsidR="001B4F41" w:rsidRPr="00C07E8E">
        <w:rPr>
          <w:rFonts w:cs="Times New Roman"/>
          <w:b/>
          <w:bCs/>
          <w:i w:val="0"/>
          <w:iCs w:val="0"/>
          <w:color w:val="auto"/>
          <w:sz w:val="22"/>
          <w:szCs w:val="22"/>
        </w:rPr>
        <w:t>8</w:t>
      </w:r>
      <w:r w:rsidRPr="00C07E8E">
        <w:rPr>
          <w:rFonts w:cs="Times New Roman"/>
          <w:i w:val="0"/>
          <w:iCs w:val="0"/>
          <w:color w:val="auto"/>
          <w:sz w:val="22"/>
          <w:szCs w:val="22"/>
        </w:rPr>
        <w:t xml:space="preserve">: Structure </w:t>
      </w:r>
      <w:r w:rsidR="00A306A0">
        <w:rPr>
          <w:rFonts w:cs="Times New Roman"/>
          <w:i w:val="0"/>
          <w:iCs w:val="0"/>
          <w:color w:val="auto"/>
          <w:sz w:val="22"/>
          <w:szCs w:val="22"/>
        </w:rPr>
        <w:t xml:space="preserve">representation </w:t>
      </w:r>
      <w:r w:rsidRPr="00C07E8E">
        <w:rPr>
          <w:rFonts w:cs="Times New Roman"/>
          <w:i w:val="0"/>
          <w:iCs w:val="0"/>
          <w:color w:val="auto"/>
          <w:sz w:val="22"/>
          <w:szCs w:val="22"/>
        </w:rPr>
        <w:t>of the trioxaquine PA1103/SAR116242</w:t>
      </w:r>
    </w:p>
    <w:p w14:paraId="2B7D053A" w14:textId="77777777" w:rsidR="001F6E17" w:rsidRPr="00C07E8E" w:rsidRDefault="001F6E17" w:rsidP="00532D1D">
      <w:pPr>
        <w:rPr>
          <w:rFonts w:cs="Times New Roman"/>
          <w:color w:val="auto"/>
          <w:szCs w:val="22"/>
        </w:rPr>
      </w:pPr>
    </w:p>
    <w:p w14:paraId="763E44C1" w14:textId="54C0CA1D" w:rsidR="001F6E17" w:rsidRPr="00C07E8E" w:rsidRDefault="00C07E8E" w:rsidP="00532D1D">
      <w:pPr>
        <w:rPr>
          <w:rFonts w:cs="Times New Roman"/>
          <w:color w:val="auto"/>
          <w:szCs w:val="22"/>
        </w:rPr>
      </w:pPr>
      <w:r w:rsidRPr="00C07E8E">
        <w:rPr>
          <w:rFonts w:cs="Times New Roman"/>
          <w:color w:val="auto"/>
          <w:szCs w:val="22"/>
        </w:rPr>
        <w:t xml:space="preserve">PA1103/SAR116242 </w:t>
      </w:r>
      <w:r w:rsidR="00D841E1" w:rsidRPr="00C07E8E">
        <w:rPr>
          <w:rFonts w:cs="Times New Roman"/>
          <w:color w:val="auto"/>
          <w:szCs w:val="22"/>
        </w:rPr>
        <w:t>(</w:t>
      </w:r>
      <w:r w:rsidR="00480991">
        <w:rPr>
          <w:rFonts w:cs="Times New Roman"/>
          <w:b/>
          <w:bCs/>
          <w:color w:val="auto"/>
          <w:szCs w:val="22"/>
        </w:rPr>
        <w:t>5</w:t>
      </w:r>
      <w:r w:rsidR="001B4F41" w:rsidRPr="00C07E8E">
        <w:rPr>
          <w:rFonts w:cs="Times New Roman"/>
          <w:b/>
          <w:bCs/>
          <w:color w:val="auto"/>
          <w:szCs w:val="22"/>
        </w:rPr>
        <w:t>8</w:t>
      </w:r>
      <w:r w:rsidR="009A34EA" w:rsidRPr="007370A6">
        <w:rPr>
          <w:rFonts w:cs="Times New Roman"/>
          <w:b/>
          <w:color w:val="auto"/>
          <w:szCs w:val="22"/>
        </w:rPr>
        <w:t>,</w:t>
      </w:r>
      <w:r w:rsidR="009A34EA" w:rsidRPr="007125A3">
        <w:rPr>
          <w:rFonts w:cs="Times New Roman"/>
          <w:b/>
          <w:bCs/>
          <w:color w:val="auto"/>
          <w:szCs w:val="22"/>
        </w:rPr>
        <w:t xml:space="preserve"> </w:t>
      </w:r>
      <w:r w:rsidR="009A34EA" w:rsidRPr="007370A6">
        <w:rPr>
          <w:rFonts w:cs="Times New Roman"/>
          <w:b/>
          <w:color w:val="auto"/>
          <w:szCs w:val="22"/>
        </w:rPr>
        <w:t>Figure 8</w:t>
      </w:r>
      <w:r w:rsidR="00D841E1" w:rsidRPr="00C07E8E">
        <w:rPr>
          <w:rFonts w:cs="Times New Roman"/>
          <w:color w:val="auto"/>
          <w:szCs w:val="22"/>
        </w:rPr>
        <w:t xml:space="preserve">) </w:t>
      </w:r>
      <w:r w:rsidRPr="00C07E8E">
        <w:rPr>
          <w:rFonts w:cs="Times New Roman"/>
          <w:color w:val="auto"/>
          <w:szCs w:val="22"/>
        </w:rPr>
        <w:t>is a trioxaquine antimalarial initially developed by Palumed and more recently under development by Sanofi.</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{"citationItems":[{"id":"ITEM-1","itemData":{"DOI":"10.1002/ddr.20345","ISBN":"0272-4391","ISSN":"02724391","PMID":"21399701","abstract":"Malaria is a disease that affects nearly 40% of the global population, and chemotherapy remains the mainstay of its control strategy. The global malaria situation is increasingly being exacerbated by the emergence of drug resistance to most of the available antimalarials, necessitating search for novel drugs. A recent rational approach of antimalarial drug design characterized as \"covalent bitherapy\" involves linking two molecules with individual intrinsic activity into a single agent, thus packaging dualactivity into a single hybrid molecule. Current research in this field seems to endorse hybrid molecules as the next-generation antimalarial drugs. If the selective toxicity of hybrid prodrugs can be demonstrated in vivo with good bioavailability at the target site in the parasite, it would offer various advantages including dosage compliance, minimized toxicity, ability to design better drug combinations, and cheaper preclinical evaluation while achieving the ultimate object of delaying or circumventing the development of resistance. This review is focused on several hybrid molecules that have been developed, with particular emphasis on those deemed to have high potential for development for clinical use. © 2009 Wiley-Liss, Inc.","author":[{"dropping-particle":"","family":"Muregi","given":"Francis W.","non-dropping-particle":"","parse-names":false,"suffix":""},{"dropping-particle":"","family":"Ishih","given":"Akira","non-dropping-particle":"","parse-names":false,"suffix":""}],"container-title":"Drug Development Research","id":"ITEM-1","issue":"1","issued":{"date-parts":[["2010"]]},"page":"20-32","title":"Next-generation antimalarial drugs: Hybrid molecules as a new strategy in drug design","type":"article-journal","volume":"71"},"uris":["http://www.mendeley.com/documents/?uuid=eaf0c264-b008-4c43-8b60-3def4dcf8eac","http://www.mendeley.com/documents/?uuid=92b3ae41-28f1-4767-9c56-a4e6bbc0d3a1"]}],"mendeley":{"formattedCitation":"&lt;sup&gt;96&lt;/sup&gt;","plainTextFormattedCitation":"96","previouslyFormattedCitation":"&lt;sup&gt;96&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96</w:t>
      </w:r>
      <w:r w:rsidR="000536E8" w:rsidRPr="00C07E8E">
        <w:rPr>
          <w:rFonts w:cs="Times New Roman"/>
          <w:color w:val="auto"/>
          <w:szCs w:val="22"/>
        </w:rPr>
        <w:fldChar w:fldCharType="end"/>
      </w:r>
      <w:r w:rsidR="00B76DDC" w:rsidRPr="00C07E8E">
        <w:rPr>
          <w:rFonts w:cs="Times New Roman"/>
          <w:color w:val="auto"/>
          <w:szCs w:val="22"/>
        </w:rPr>
        <w:t xml:space="preserve"> </w:t>
      </w:r>
      <w:r w:rsidR="00DD4A97" w:rsidRPr="00C07E8E">
        <w:rPr>
          <w:rFonts w:cs="Times New Roman"/>
          <w:color w:val="auto"/>
          <w:szCs w:val="22"/>
        </w:rPr>
        <w:t xml:space="preserve">The discovery of </w:t>
      </w:r>
      <w:r w:rsidR="00480991">
        <w:rPr>
          <w:rFonts w:cs="Times New Roman"/>
          <w:b/>
          <w:bCs/>
          <w:color w:val="auto"/>
          <w:szCs w:val="22"/>
        </w:rPr>
        <w:t>5</w:t>
      </w:r>
      <w:r w:rsidR="001B4F41" w:rsidRPr="00C07E8E">
        <w:rPr>
          <w:rFonts w:cs="Times New Roman"/>
          <w:b/>
          <w:bCs/>
          <w:color w:val="auto"/>
          <w:szCs w:val="22"/>
        </w:rPr>
        <w:t>8</w:t>
      </w:r>
      <w:r w:rsidR="00DD4A97" w:rsidRPr="00C07E8E">
        <w:rPr>
          <w:rFonts w:cs="Times New Roman"/>
          <w:color w:val="auto"/>
          <w:szCs w:val="22"/>
        </w:rPr>
        <w:t xml:space="preserve"> is the culmination of synthesis </w:t>
      </w:r>
      <w:r w:rsidR="00EE6C83" w:rsidRPr="00C07E8E">
        <w:rPr>
          <w:rFonts w:cs="Times New Roman"/>
          <w:color w:val="auto"/>
          <w:szCs w:val="22"/>
        </w:rPr>
        <w:t xml:space="preserve">and evaluation </w:t>
      </w:r>
      <w:r w:rsidR="00EE6C83" w:rsidRPr="00C07E8E">
        <w:rPr>
          <w:rFonts w:cs="Times New Roman"/>
          <w:i/>
          <w:iCs/>
          <w:color w:val="auto"/>
          <w:szCs w:val="22"/>
        </w:rPr>
        <w:t>in vitro</w:t>
      </w:r>
      <w:r w:rsidR="00EE6C83" w:rsidRPr="00C07E8E">
        <w:rPr>
          <w:rFonts w:cs="Times New Roman"/>
          <w:color w:val="auto"/>
          <w:szCs w:val="22"/>
        </w:rPr>
        <w:t xml:space="preserve"> </w:t>
      </w:r>
      <w:r w:rsidR="00DD4A97" w:rsidRPr="00C07E8E">
        <w:rPr>
          <w:rFonts w:cs="Times New Roman"/>
          <w:color w:val="auto"/>
          <w:szCs w:val="22"/>
        </w:rPr>
        <w:t xml:space="preserve">of </w:t>
      </w:r>
      <w:r w:rsidR="00EE6C83">
        <w:rPr>
          <w:rFonts w:cs="Times New Roman"/>
          <w:color w:val="auto"/>
          <w:szCs w:val="22"/>
        </w:rPr>
        <w:t xml:space="preserve">a library comprising </w:t>
      </w:r>
      <w:r w:rsidR="00DD4A97" w:rsidRPr="00C07E8E">
        <w:rPr>
          <w:rFonts w:cs="Times New Roman"/>
          <w:color w:val="auto"/>
          <w:szCs w:val="22"/>
        </w:rPr>
        <w:t>120 trioxaquines and trioxaloquines (</w:t>
      </w:r>
      <w:r w:rsidR="004A3FF9" w:rsidRPr="00C07E8E">
        <w:rPr>
          <w:rFonts w:cs="Times New Roman"/>
          <w:color w:val="auto"/>
          <w:szCs w:val="22"/>
        </w:rPr>
        <w:t>hybrid molecules containing a trioxolane moiety).</w:t>
      </w:r>
      <w:r w:rsidR="00200A8C" w:rsidRPr="00C07E8E">
        <w:rPr>
          <w:rFonts w:cs="Times New Roman"/>
          <w:color w:val="auto"/>
          <w:szCs w:val="22"/>
        </w:rPr>
        <w:t xml:space="preserve"> The selection</w:t>
      </w:r>
      <w:r w:rsidR="00EE6C83" w:rsidRPr="00C07E8E">
        <w:rPr>
          <w:rFonts w:cs="Times New Roman"/>
          <w:color w:val="auto"/>
          <w:szCs w:val="22"/>
        </w:rPr>
        <w:t xml:space="preserve"> </w:t>
      </w:r>
      <w:r w:rsidR="00200A8C" w:rsidRPr="00C07E8E">
        <w:rPr>
          <w:rFonts w:cs="Times New Roman"/>
          <w:color w:val="auto"/>
          <w:szCs w:val="22"/>
        </w:rPr>
        <w:t xml:space="preserve">was narrowed down by further screening </w:t>
      </w:r>
      <w:r w:rsidR="00CB40F4" w:rsidRPr="00C07E8E">
        <w:rPr>
          <w:rFonts w:cs="Times New Roman"/>
          <w:i/>
          <w:iCs/>
          <w:color w:val="auto"/>
          <w:szCs w:val="22"/>
        </w:rPr>
        <w:t xml:space="preserve">in vivo </w:t>
      </w:r>
      <w:r w:rsidR="00CB40F4" w:rsidRPr="00C07E8E">
        <w:rPr>
          <w:rFonts w:cs="Times New Roman"/>
          <w:color w:val="auto"/>
          <w:szCs w:val="22"/>
        </w:rPr>
        <w:t>and DMPK studies</w:t>
      </w:r>
      <w:r w:rsidR="00841F9D">
        <w:rPr>
          <w:rFonts w:cs="Times New Roman"/>
          <w:color w:val="auto"/>
          <w:szCs w:val="22"/>
        </w:rPr>
        <w:t>,</w:t>
      </w:r>
      <w:r w:rsidR="00CB40F4" w:rsidRPr="00C07E8E">
        <w:rPr>
          <w:rFonts w:cs="Times New Roman"/>
          <w:color w:val="auto"/>
          <w:szCs w:val="22"/>
        </w:rPr>
        <w:t xml:space="preserve"> leading </w:t>
      </w:r>
      <w:r w:rsidR="00EE6C83">
        <w:rPr>
          <w:rFonts w:cs="Times New Roman"/>
          <w:color w:val="auto"/>
          <w:szCs w:val="22"/>
        </w:rPr>
        <w:t xml:space="preserve">to </w:t>
      </w:r>
      <w:r w:rsidR="00CB40F4" w:rsidRPr="00C07E8E">
        <w:rPr>
          <w:rFonts w:cs="Times New Roman"/>
          <w:color w:val="auto"/>
          <w:szCs w:val="22"/>
        </w:rPr>
        <w:t xml:space="preserve">the </w:t>
      </w:r>
      <w:r w:rsidR="00EE6C83">
        <w:rPr>
          <w:rFonts w:cs="Times New Roman"/>
          <w:color w:val="auto"/>
          <w:szCs w:val="22"/>
        </w:rPr>
        <w:t>proposal</w:t>
      </w:r>
      <w:r w:rsidR="00EE6C83" w:rsidRPr="00C07E8E">
        <w:rPr>
          <w:rFonts w:cs="Times New Roman"/>
          <w:color w:val="auto"/>
          <w:szCs w:val="22"/>
        </w:rPr>
        <w:t xml:space="preserve"> </w:t>
      </w:r>
      <w:r w:rsidR="00CB40F4" w:rsidRPr="00C07E8E">
        <w:rPr>
          <w:rFonts w:cs="Times New Roman"/>
          <w:color w:val="auto"/>
          <w:szCs w:val="22"/>
        </w:rPr>
        <w:t xml:space="preserve">of </w:t>
      </w:r>
      <w:r w:rsidR="00480991">
        <w:rPr>
          <w:rFonts w:cs="Times New Roman"/>
          <w:b/>
          <w:bCs/>
          <w:color w:val="auto"/>
          <w:szCs w:val="22"/>
        </w:rPr>
        <w:t>5</w:t>
      </w:r>
      <w:r w:rsidR="001B4F41" w:rsidRPr="00C07E8E">
        <w:rPr>
          <w:rFonts w:cs="Times New Roman"/>
          <w:b/>
          <w:bCs/>
          <w:color w:val="auto"/>
          <w:szCs w:val="22"/>
        </w:rPr>
        <w:t>8</w:t>
      </w:r>
      <w:r w:rsidR="00CB40F4" w:rsidRPr="00C07E8E">
        <w:rPr>
          <w:rFonts w:cs="Times New Roman"/>
          <w:b/>
          <w:bCs/>
          <w:color w:val="auto"/>
          <w:szCs w:val="22"/>
        </w:rPr>
        <w:t xml:space="preserve"> </w:t>
      </w:r>
      <w:r w:rsidR="00CB40F4" w:rsidRPr="00C07E8E">
        <w:rPr>
          <w:rFonts w:cs="Times New Roman"/>
          <w:color w:val="auto"/>
          <w:szCs w:val="22"/>
        </w:rPr>
        <w:t>for further development.</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86d7423a-332f-429c-b1de-2fd2fa74140a","http://www.mendeley.com/documents/?uuid=a468bd34-47d9-443a-a603-31b8d90669b0"]}],"mendeley":{"formattedCitation":"&lt;sup&gt;97&lt;/sup&gt;","plainTextFormattedCitation":"97","previouslyFormattedCitation":"&lt;sup&gt;97&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97</w:t>
      </w:r>
      <w:r w:rsidR="000536E8" w:rsidRPr="00C07E8E">
        <w:rPr>
          <w:rFonts w:cs="Times New Roman"/>
          <w:color w:val="auto"/>
          <w:szCs w:val="22"/>
        </w:rPr>
        <w:fldChar w:fldCharType="end"/>
      </w:r>
      <w:r w:rsidR="00115FDF" w:rsidRPr="00C07E8E">
        <w:rPr>
          <w:rFonts w:cs="Times New Roman"/>
          <w:color w:val="auto"/>
          <w:szCs w:val="22"/>
        </w:rPr>
        <w:t xml:space="preserve"> </w:t>
      </w:r>
      <w:r w:rsidR="004B4848" w:rsidRPr="00C07E8E">
        <w:rPr>
          <w:rFonts w:cs="Times New Roman"/>
          <w:color w:val="auto"/>
          <w:szCs w:val="22"/>
        </w:rPr>
        <w:t xml:space="preserve">Synthesis of </w:t>
      </w:r>
      <w:r w:rsidR="00480991">
        <w:rPr>
          <w:rFonts w:cs="Times New Roman"/>
          <w:b/>
          <w:bCs/>
          <w:color w:val="auto"/>
          <w:szCs w:val="22"/>
        </w:rPr>
        <w:t>5</w:t>
      </w:r>
      <w:r w:rsidR="001B4F41" w:rsidRPr="00C07E8E">
        <w:rPr>
          <w:rFonts w:cs="Times New Roman"/>
          <w:b/>
          <w:bCs/>
          <w:color w:val="auto"/>
          <w:szCs w:val="22"/>
        </w:rPr>
        <w:t>8</w:t>
      </w:r>
      <w:r w:rsidR="004B4848" w:rsidRPr="00C07E8E">
        <w:rPr>
          <w:rFonts w:cs="Times New Roman"/>
          <w:b/>
          <w:bCs/>
          <w:color w:val="auto"/>
          <w:szCs w:val="22"/>
        </w:rPr>
        <w:t xml:space="preserve"> </w:t>
      </w:r>
      <w:r w:rsidR="004B4848" w:rsidRPr="00C07E8E">
        <w:rPr>
          <w:rFonts w:cs="Times New Roman"/>
          <w:color w:val="auto"/>
          <w:szCs w:val="22"/>
        </w:rPr>
        <w:t xml:space="preserve">required the </w:t>
      </w:r>
      <w:r w:rsidR="00841F9D">
        <w:rPr>
          <w:rFonts w:cs="Times New Roman"/>
          <w:color w:val="auto"/>
          <w:szCs w:val="22"/>
        </w:rPr>
        <w:t>preparation</w:t>
      </w:r>
      <w:r w:rsidR="00841F9D" w:rsidRPr="00C07E8E">
        <w:rPr>
          <w:rFonts w:cs="Times New Roman"/>
          <w:color w:val="auto"/>
          <w:szCs w:val="22"/>
        </w:rPr>
        <w:t xml:space="preserve"> </w:t>
      </w:r>
      <w:r w:rsidR="004B4848" w:rsidRPr="00C07E8E">
        <w:rPr>
          <w:rFonts w:cs="Times New Roman"/>
          <w:color w:val="auto"/>
          <w:szCs w:val="22"/>
        </w:rPr>
        <w:t xml:space="preserve">of the intermediate trioxane </w:t>
      </w:r>
      <w:r w:rsidR="00480991">
        <w:rPr>
          <w:rFonts w:cs="Times New Roman"/>
          <w:b/>
          <w:bCs/>
          <w:color w:val="auto"/>
          <w:szCs w:val="22"/>
        </w:rPr>
        <w:t>6</w:t>
      </w:r>
      <w:r w:rsidR="008D70F0" w:rsidRPr="00C07E8E">
        <w:rPr>
          <w:rFonts w:cs="Times New Roman"/>
          <w:b/>
          <w:bCs/>
          <w:color w:val="auto"/>
          <w:szCs w:val="22"/>
        </w:rPr>
        <w:t>3</w:t>
      </w:r>
      <w:r w:rsidR="004B4848" w:rsidRPr="00C07E8E">
        <w:rPr>
          <w:rFonts w:cs="Times New Roman"/>
          <w:b/>
          <w:bCs/>
          <w:color w:val="auto"/>
          <w:szCs w:val="22"/>
        </w:rPr>
        <w:t xml:space="preserve"> </w:t>
      </w:r>
      <w:r w:rsidR="004B4848" w:rsidRPr="00C07E8E">
        <w:rPr>
          <w:rFonts w:cs="Times New Roman"/>
          <w:color w:val="auto"/>
          <w:szCs w:val="22"/>
        </w:rPr>
        <w:t xml:space="preserve">which </w:t>
      </w:r>
      <w:r w:rsidR="00AC3644" w:rsidRPr="00C07E8E">
        <w:rPr>
          <w:rFonts w:cs="Times New Roman"/>
          <w:color w:val="auto"/>
          <w:szCs w:val="22"/>
        </w:rPr>
        <w:t xml:space="preserve">has been synthesised by two routes – cobalt catalysed peroxysilylation of </w:t>
      </w:r>
      <w:r w:rsidR="00480991">
        <w:rPr>
          <w:rFonts w:cs="Times New Roman"/>
          <w:b/>
          <w:bCs/>
          <w:color w:val="auto"/>
          <w:szCs w:val="22"/>
        </w:rPr>
        <w:t>5</w:t>
      </w:r>
      <w:r w:rsidR="008D70F0" w:rsidRPr="00C07E8E">
        <w:rPr>
          <w:rFonts w:cs="Times New Roman"/>
          <w:b/>
          <w:bCs/>
          <w:color w:val="auto"/>
          <w:szCs w:val="22"/>
        </w:rPr>
        <w:t>9</w:t>
      </w:r>
      <w:r w:rsidR="00AC3644" w:rsidRPr="00C07E8E">
        <w:rPr>
          <w:rFonts w:cs="Times New Roman"/>
          <w:color w:val="auto"/>
          <w:szCs w:val="22"/>
        </w:rPr>
        <w:t xml:space="preserve"> </w:t>
      </w:r>
      <w:r w:rsidR="000C13FA" w:rsidRPr="00C07E8E">
        <w:rPr>
          <w:rFonts w:cs="Times New Roman"/>
          <w:color w:val="auto"/>
          <w:szCs w:val="22"/>
        </w:rPr>
        <w:t xml:space="preserve">or molybdenum catalysed perhydrolysis </w:t>
      </w:r>
      <w:r w:rsidR="000536E8" w:rsidRPr="00C07E8E">
        <w:rPr>
          <w:rFonts w:cs="Times New Roman"/>
          <w:color w:val="auto"/>
          <w:szCs w:val="22"/>
        </w:rPr>
        <w:t>of the</w:t>
      </w:r>
      <w:r w:rsidR="000C13FA" w:rsidRPr="00C07E8E">
        <w:rPr>
          <w:rFonts w:cs="Times New Roman"/>
          <w:color w:val="auto"/>
          <w:szCs w:val="22"/>
        </w:rPr>
        <w:t xml:space="preserve"> epoxide </w:t>
      </w:r>
      <w:r w:rsidR="00480991">
        <w:rPr>
          <w:rFonts w:cs="Times New Roman"/>
          <w:b/>
          <w:bCs/>
          <w:color w:val="auto"/>
          <w:szCs w:val="22"/>
        </w:rPr>
        <w:t>6</w:t>
      </w:r>
      <w:r w:rsidR="008D70F0" w:rsidRPr="00C07E8E">
        <w:rPr>
          <w:rFonts w:cs="Times New Roman"/>
          <w:b/>
          <w:bCs/>
          <w:color w:val="auto"/>
          <w:szCs w:val="22"/>
        </w:rPr>
        <w:t>1</w:t>
      </w:r>
      <w:r w:rsidR="00345D6B" w:rsidRPr="00C07E8E">
        <w:rPr>
          <w:rFonts w:cs="Times New Roman"/>
          <w:color w:val="auto"/>
          <w:szCs w:val="22"/>
        </w:rPr>
        <w:t xml:space="preserve">. </w:t>
      </w:r>
      <w:r w:rsidR="00480991">
        <w:rPr>
          <w:rFonts w:cs="Times New Roman"/>
          <w:b/>
          <w:bCs/>
          <w:color w:val="auto"/>
          <w:szCs w:val="22"/>
        </w:rPr>
        <w:t>6</w:t>
      </w:r>
      <w:r w:rsidR="008D70F0" w:rsidRPr="00C07E8E">
        <w:rPr>
          <w:rFonts w:cs="Times New Roman"/>
          <w:b/>
          <w:bCs/>
          <w:color w:val="auto"/>
          <w:szCs w:val="22"/>
        </w:rPr>
        <w:t>0</w:t>
      </w:r>
      <w:r w:rsidR="00345D6B" w:rsidRPr="00C07E8E">
        <w:rPr>
          <w:rFonts w:cs="Times New Roman"/>
          <w:b/>
          <w:bCs/>
          <w:color w:val="auto"/>
          <w:szCs w:val="22"/>
        </w:rPr>
        <w:t xml:space="preserve"> </w:t>
      </w:r>
      <w:r w:rsidR="00345D6B" w:rsidRPr="00C07E8E">
        <w:rPr>
          <w:rFonts w:cs="Times New Roman"/>
          <w:color w:val="auto"/>
          <w:szCs w:val="22"/>
        </w:rPr>
        <w:t xml:space="preserve">or </w:t>
      </w:r>
      <w:r w:rsidR="00480991">
        <w:rPr>
          <w:rFonts w:cs="Times New Roman"/>
          <w:b/>
          <w:bCs/>
          <w:color w:val="auto"/>
          <w:szCs w:val="22"/>
        </w:rPr>
        <w:t>6</w:t>
      </w:r>
      <w:r w:rsidR="008D70F0" w:rsidRPr="00C07E8E">
        <w:rPr>
          <w:rFonts w:cs="Times New Roman"/>
          <w:b/>
          <w:bCs/>
          <w:color w:val="auto"/>
          <w:szCs w:val="22"/>
        </w:rPr>
        <w:t>2</w:t>
      </w:r>
      <w:r w:rsidR="00A306A0" w:rsidRPr="007370A6">
        <w:rPr>
          <w:rFonts w:cs="Times New Roman"/>
          <w:color w:val="auto"/>
          <w:szCs w:val="22"/>
        </w:rPr>
        <w:t>,</w:t>
      </w:r>
      <w:r w:rsidR="00A306A0">
        <w:rPr>
          <w:rFonts w:cs="Times New Roman"/>
          <w:b/>
          <w:bCs/>
          <w:color w:val="auto"/>
          <w:szCs w:val="22"/>
        </w:rPr>
        <w:t xml:space="preserve"> </w:t>
      </w:r>
      <w:r w:rsidR="00345D6B" w:rsidRPr="00C07E8E">
        <w:rPr>
          <w:rFonts w:cs="Times New Roman"/>
          <w:color w:val="auto"/>
          <w:szCs w:val="22"/>
        </w:rPr>
        <w:t>respectively</w:t>
      </w:r>
      <w:r w:rsidR="00A306A0">
        <w:rPr>
          <w:rFonts w:cs="Times New Roman"/>
          <w:color w:val="auto"/>
          <w:szCs w:val="22"/>
        </w:rPr>
        <w:t>,</w:t>
      </w:r>
      <w:r w:rsidR="00345D6B" w:rsidRPr="00C07E8E">
        <w:rPr>
          <w:rFonts w:cs="Times New Roman"/>
          <w:color w:val="auto"/>
          <w:szCs w:val="22"/>
        </w:rPr>
        <w:t xml:space="preserve"> were condensed with </w:t>
      </w:r>
      <w:r w:rsidR="00210E40" w:rsidRPr="00C07E8E">
        <w:rPr>
          <w:rFonts w:cs="Times New Roman"/>
          <w:color w:val="auto"/>
          <w:szCs w:val="22"/>
        </w:rPr>
        <w:t xml:space="preserve">cyclohexan-1,4-dione to afford </w:t>
      </w:r>
      <w:r w:rsidR="00480991">
        <w:rPr>
          <w:rFonts w:cs="Times New Roman"/>
          <w:b/>
          <w:bCs/>
          <w:color w:val="auto"/>
          <w:szCs w:val="22"/>
        </w:rPr>
        <w:t>6</w:t>
      </w:r>
      <w:r w:rsidR="008D70F0" w:rsidRPr="00C07E8E">
        <w:rPr>
          <w:rFonts w:cs="Times New Roman"/>
          <w:b/>
          <w:bCs/>
          <w:color w:val="auto"/>
          <w:szCs w:val="22"/>
        </w:rPr>
        <w:t>3</w:t>
      </w:r>
      <w:r w:rsidR="00210E40" w:rsidRPr="00C07E8E">
        <w:rPr>
          <w:rFonts w:cs="Times New Roman"/>
          <w:color w:val="auto"/>
          <w:szCs w:val="22"/>
        </w:rPr>
        <w:t xml:space="preserve">. Much like DU1301, the intermediate </w:t>
      </w:r>
      <w:r w:rsidR="008340E3" w:rsidRPr="00C07E8E">
        <w:rPr>
          <w:rFonts w:cs="Times New Roman"/>
          <w:color w:val="auto"/>
          <w:szCs w:val="22"/>
        </w:rPr>
        <w:t>trioxane was coupled to the 4-aminoquinoline core</w:t>
      </w:r>
      <w:r w:rsidR="00115FDF" w:rsidRPr="00C07E8E">
        <w:rPr>
          <w:rFonts w:cs="Times New Roman"/>
          <w:color w:val="auto"/>
          <w:szCs w:val="22"/>
        </w:rPr>
        <w:t xml:space="preserve"> (</w:t>
      </w:r>
      <w:r w:rsidR="00480991">
        <w:rPr>
          <w:rFonts w:cs="Times New Roman"/>
          <w:b/>
          <w:bCs/>
          <w:color w:val="auto"/>
          <w:szCs w:val="22"/>
        </w:rPr>
        <w:t>6</w:t>
      </w:r>
      <w:r w:rsidR="008D70F0" w:rsidRPr="00C07E8E">
        <w:rPr>
          <w:rFonts w:cs="Times New Roman"/>
          <w:b/>
          <w:bCs/>
          <w:color w:val="auto"/>
          <w:szCs w:val="22"/>
        </w:rPr>
        <w:t>4</w:t>
      </w:r>
      <w:r w:rsidR="00A306A0" w:rsidRPr="00C07E8E">
        <w:rPr>
          <w:rFonts w:cs="Times New Roman"/>
          <w:color w:val="auto"/>
          <w:szCs w:val="22"/>
        </w:rPr>
        <w:t>)</w:t>
      </w:r>
      <w:r w:rsidR="00A306A0">
        <w:rPr>
          <w:rFonts w:cs="Times New Roman"/>
          <w:color w:val="auto"/>
          <w:szCs w:val="22"/>
        </w:rPr>
        <w:t xml:space="preserve"> (</w:t>
      </w:r>
      <w:r w:rsidR="008340E3" w:rsidRPr="00C07E8E">
        <w:rPr>
          <w:rFonts w:cs="Times New Roman"/>
          <w:color w:val="auto"/>
          <w:szCs w:val="22"/>
        </w:rPr>
        <w:t xml:space="preserve">synthesised by amination of </w:t>
      </w:r>
      <w:r w:rsidR="00480991">
        <w:rPr>
          <w:rFonts w:cs="Times New Roman"/>
          <w:b/>
          <w:bCs/>
          <w:color w:val="auto"/>
          <w:szCs w:val="22"/>
        </w:rPr>
        <w:t>52</w:t>
      </w:r>
      <w:r w:rsidR="00A306A0" w:rsidRPr="007370A6">
        <w:rPr>
          <w:rFonts w:cs="Times New Roman"/>
          <w:color w:val="auto"/>
          <w:szCs w:val="22"/>
        </w:rPr>
        <w:t>)</w:t>
      </w:r>
      <w:r w:rsidR="008340E3" w:rsidRPr="00C07E8E">
        <w:rPr>
          <w:rFonts w:cs="Times New Roman"/>
          <w:color w:val="auto"/>
          <w:szCs w:val="22"/>
        </w:rPr>
        <w:t xml:space="preserve">, </w:t>
      </w:r>
      <w:r w:rsidR="007718EA" w:rsidRPr="00C07E8E">
        <w:rPr>
          <w:rFonts w:cs="Times New Roman"/>
          <w:color w:val="auto"/>
          <w:szCs w:val="22"/>
        </w:rPr>
        <w:t xml:space="preserve">by reductive amination affording </w:t>
      </w:r>
      <w:r w:rsidR="00480991">
        <w:rPr>
          <w:rFonts w:cs="Times New Roman"/>
          <w:b/>
          <w:bCs/>
          <w:color w:val="auto"/>
          <w:szCs w:val="22"/>
        </w:rPr>
        <w:t>5</w:t>
      </w:r>
      <w:r w:rsidR="008D70F0" w:rsidRPr="00C07E8E">
        <w:rPr>
          <w:rFonts w:cs="Times New Roman"/>
          <w:b/>
          <w:bCs/>
          <w:color w:val="auto"/>
          <w:szCs w:val="22"/>
        </w:rPr>
        <w:t>8</w:t>
      </w:r>
      <w:r w:rsidR="007718EA" w:rsidRPr="00C07E8E">
        <w:rPr>
          <w:rFonts w:cs="Times New Roman"/>
          <w:b/>
          <w:bCs/>
          <w:color w:val="auto"/>
          <w:szCs w:val="22"/>
        </w:rPr>
        <w:t xml:space="preserve"> </w:t>
      </w:r>
      <w:r w:rsidR="007718EA" w:rsidRPr="00C07E8E">
        <w:rPr>
          <w:rFonts w:cs="Times New Roman"/>
          <w:color w:val="auto"/>
          <w:szCs w:val="22"/>
        </w:rPr>
        <w:t xml:space="preserve">as a mixture of </w:t>
      </w:r>
      <w:r w:rsidR="00810CD5" w:rsidRPr="00C07E8E">
        <w:rPr>
          <w:rFonts w:cs="Times New Roman"/>
          <w:color w:val="auto"/>
          <w:szCs w:val="22"/>
        </w:rPr>
        <w:t>diastereomers</w:t>
      </w:r>
      <w:r w:rsidR="00A306A0">
        <w:rPr>
          <w:rFonts w:cs="Times New Roman"/>
          <w:color w:val="auto"/>
          <w:szCs w:val="22"/>
        </w:rPr>
        <w:t>, which could be</w:t>
      </w:r>
      <w:r w:rsidR="00A306A0" w:rsidRPr="00C07E8E">
        <w:rPr>
          <w:rFonts w:cs="Times New Roman"/>
          <w:color w:val="auto"/>
          <w:szCs w:val="22"/>
        </w:rPr>
        <w:t xml:space="preserve"> </w:t>
      </w:r>
      <w:r w:rsidR="00810CD5" w:rsidRPr="00C07E8E">
        <w:rPr>
          <w:rFonts w:cs="Times New Roman"/>
          <w:color w:val="auto"/>
          <w:szCs w:val="22"/>
        </w:rPr>
        <w:t>separated by chiral-HPLC for structure determination and screening</w:t>
      </w:r>
      <w:r w:rsidR="00D96DFB" w:rsidRPr="00C07E8E">
        <w:rPr>
          <w:rFonts w:cs="Times New Roman"/>
          <w:color w:val="auto"/>
          <w:szCs w:val="22"/>
        </w:rPr>
        <w:t xml:space="preserve"> (</w:t>
      </w:r>
      <w:r w:rsidR="00D96DFB" w:rsidRPr="00C07E8E">
        <w:rPr>
          <w:rFonts w:cs="Times New Roman"/>
          <w:b/>
          <w:bCs/>
          <w:color w:val="auto"/>
          <w:szCs w:val="22"/>
        </w:rPr>
        <w:t>Scheme 6</w:t>
      </w:r>
      <w:r w:rsidR="00D96DFB" w:rsidRPr="00C07E8E">
        <w:rPr>
          <w:rFonts w:cs="Times New Roman"/>
          <w:color w:val="auto"/>
          <w:szCs w:val="22"/>
        </w:rPr>
        <w:t>)</w:t>
      </w:r>
      <w:r w:rsidR="00810CD5" w:rsidRPr="00C07E8E">
        <w:rPr>
          <w:rFonts w:cs="Times New Roman"/>
          <w:color w:val="auto"/>
          <w:szCs w:val="22"/>
        </w:rPr>
        <w:t>.</w:t>
      </w:r>
      <w:r w:rsidR="000536E8" w:rsidRPr="00C07E8E">
        <w:rPr>
          <w:rFonts w:cs="Times New Roman"/>
          <w:color w:val="auto"/>
          <w:szCs w:val="22"/>
        </w:rPr>
        <w:fldChar w:fldCharType="begin" w:fldLock="1"/>
      </w:r>
      <w:r w:rsidR="00192B39">
        <w:rPr>
          <w:rFonts w:cs="Times New Roman"/>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0536E8" w:rsidRPr="00C07E8E">
        <w:rPr>
          <w:rFonts w:cs="Times New Roman"/>
          <w:color w:val="auto"/>
          <w:szCs w:val="22"/>
        </w:rPr>
        <w:fldChar w:fldCharType="separate"/>
      </w:r>
      <w:r w:rsidR="00CA5C6A" w:rsidRPr="00CA5C6A">
        <w:rPr>
          <w:rFonts w:cs="Times New Roman"/>
          <w:noProof/>
          <w:color w:val="auto"/>
          <w:szCs w:val="22"/>
          <w:vertAlign w:val="superscript"/>
        </w:rPr>
        <w:t>97</w:t>
      </w:r>
      <w:r w:rsidR="000536E8" w:rsidRPr="00C07E8E">
        <w:rPr>
          <w:rFonts w:cs="Times New Roman"/>
          <w:color w:val="auto"/>
          <w:szCs w:val="22"/>
        </w:rPr>
        <w:fldChar w:fldCharType="end"/>
      </w:r>
      <w:r w:rsidR="001B4F41" w:rsidRPr="00C07E8E">
        <w:rPr>
          <w:rFonts w:cs="Times New Roman"/>
          <w:color w:val="auto"/>
          <w:szCs w:val="22"/>
        </w:rPr>
        <w:t xml:space="preserve"> </w:t>
      </w:r>
    </w:p>
    <w:p w14:paraId="4DE09347" w14:textId="0F276550" w:rsidR="008E20BD" w:rsidRPr="00C07E8E" w:rsidRDefault="006D7105" w:rsidP="00532D1D">
      <w:pPr>
        <w:keepNext/>
        <w:jc w:val="center"/>
        <w:rPr>
          <w:rFonts w:cs="Times New Roman"/>
          <w:color w:val="auto"/>
          <w:szCs w:val="22"/>
        </w:rPr>
      </w:pPr>
      <w:r w:rsidRPr="006D7105">
        <w:rPr>
          <w:rFonts w:cs="Times New Roman"/>
          <w:noProof/>
          <w:color w:val="auto"/>
          <w:szCs w:val="22"/>
        </w:rPr>
        <w:object w:dxaOrig="7944" w:dyaOrig="7584" w14:anchorId="7E5172E8">
          <v:shape id="_x0000_i1039" type="#_x0000_t75" alt="" style="width:400.2pt;height:378pt;mso-width-percent:0;mso-height-percent:0;mso-width-percent:0;mso-height-percent:0" o:ole="">
            <v:imagedata r:id="rId34" o:title=""/>
          </v:shape>
          <o:OLEObject Type="Embed" ProgID="ChemDraw.Document.6.0" ShapeID="_x0000_i1039" DrawAspect="Content" ObjectID="_1669219473" r:id="rId35"/>
        </w:object>
      </w:r>
    </w:p>
    <w:p w14:paraId="3B7EEBAD" w14:textId="03FEC85B" w:rsidR="005E343B"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Scheme </w:t>
      </w:r>
      <w:r w:rsidR="00730A60">
        <w:rPr>
          <w:rFonts w:cs="Times New Roman"/>
          <w:b/>
          <w:bCs/>
          <w:i w:val="0"/>
          <w:iCs w:val="0"/>
          <w:color w:val="auto"/>
          <w:sz w:val="22"/>
          <w:szCs w:val="22"/>
        </w:rPr>
        <w:t>7</w:t>
      </w:r>
      <w:r w:rsidRPr="00C07E8E">
        <w:rPr>
          <w:rFonts w:cs="Times New Roman"/>
          <w:b/>
          <w:bCs/>
          <w:i w:val="0"/>
          <w:iCs w:val="0"/>
          <w:color w:val="auto"/>
          <w:sz w:val="22"/>
          <w:szCs w:val="22"/>
        </w:rPr>
        <w:t>:</w:t>
      </w:r>
      <w:r w:rsidRPr="00C07E8E">
        <w:rPr>
          <w:rFonts w:cs="Times New Roman"/>
          <w:i w:val="0"/>
          <w:iCs w:val="0"/>
          <w:color w:val="auto"/>
          <w:sz w:val="22"/>
          <w:szCs w:val="22"/>
        </w:rPr>
        <w:t xml:space="preserve"> </w:t>
      </w:r>
      <w:r w:rsidR="00A306A0" w:rsidRPr="00C07E8E">
        <w:rPr>
          <w:rFonts w:cs="Times New Roman"/>
          <w:i w:val="0"/>
          <w:iCs w:val="0"/>
          <w:color w:val="auto"/>
          <w:sz w:val="22"/>
          <w:szCs w:val="22"/>
        </w:rPr>
        <w:t>Synthe</w:t>
      </w:r>
      <w:r w:rsidR="00A306A0">
        <w:rPr>
          <w:rFonts w:cs="Times New Roman"/>
          <w:i w:val="0"/>
          <w:iCs w:val="0"/>
          <w:color w:val="auto"/>
          <w:sz w:val="22"/>
          <w:szCs w:val="22"/>
        </w:rPr>
        <w:t>tic route to</w:t>
      </w:r>
      <w:r w:rsidRPr="00C07E8E">
        <w:rPr>
          <w:rFonts w:cs="Times New Roman"/>
          <w:i w:val="0"/>
          <w:iCs w:val="0"/>
          <w:color w:val="auto"/>
          <w:sz w:val="22"/>
          <w:szCs w:val="22"/>
        </w:rPr>
        <w:t xml:space="preserve"> PA1103/SAR116242</w:t>
      </w:r>
    </w:p>
    <w:p w14:paraId="0F24205F" w14:textId="77777777" w:rsidR="007039D5" w:rsidRPr="00C07E8E" w:rsidRDefault="007039D5" w:rsidP="00532D1D">
      <w:pPr>
        <w:rPr>
          <w:rFonts w:cs="Times New Roman"/>
          <w:color w:val="auto"/>
          <w:szCs w:val="22"/>
        </w:rPr>
      </w:pPr>
    </w:p>
    <w:p w14:paraId="77FA8BCA" w14:textId="20629809" w:rsidR="00115FDF" w:rsidRPr="00C07E8E" w:rsidRDefault="00A306A0" w:rsidP="00532D1D">
      <w:pPr>
        <w:ind w:firstLine="720"/>
        <w:rPr>
          <w:rFonts w:cs="Times New Roman"/>
          <w:color w:val="auto"/>
          <w:szCs w:val="22"/>
        </w:rPr>
      </w:pPr>
      <w:r w:rsidRPr="007370A6">
        <w:rPr>
          <w:rFonts w:cs="Times New Roman"/>
          <w:color w:val="auto"/>
          <w:szCs w:val="22"/>
        </w:rPr>
        <w:t>Trioxaquine</w:t>
      </w:r>
      <w:r>
        <w:rPr>
          <w:rFonts w:cs="Times New Roman"/>
          <w:b/>
          <w:bCs/>
          <w:color w:val="auto"/>
          <w:szCs w:val="22"/>
        </w:rPr>
        <w:t xml:space="preserve"> </w:t>
      </w:r>
      <w:r w:rsidR="00F4667A">
        <w:rPr>
          <w:rFonts w:cs="Times New Roman"/>
          <w:b/>
          <w:bCs/>
          <w:color w:val="auto"/>
          <w:szCs w:val="22"/>
        </w:rPr>
        <w:t>5</w:t>
      </w:r>
      <w:r w:rsidR="00C07E8E" w:rsidRPr="00C07E8E">
        <w:rPr>
          <w:rFonts w:cs="Times New Roman"/>
          <w:b/>
          <w:bCs/>
          <w:color w:val="auto"/>
          <w:szCs w:val="22"/>
        </w:rPr>
        <w:t>8</w:t>
      </w:r>
      <w:r w:rsidR="00370272" w:rsidRPr="00C07E8E">
        <w:rPr>
          <w:rFonts w:cs="Times New Roman"/>
          <w:color w:val="auto"/>
          <w:szCs w:val="22"/>
        </w:rPr>
        <w:t xml:space="preserve"> was screened against</w:t>
      </w:r>
      <w:r w:rsidR="00CF3B54" w:rsidRPr="00C07E8E">
        <w:rPr>
          <w:rFonts w:cs="Times New Roman"/>
          <w:color w:val="auto"/>
          <w:szCs w:val="22"/>
        </w:rPr>
        <w:t xml:space="preserve"> </w:t>
      </w:r>
      <w:r w:rsidR="006A3C69" w:rsidRPr="00C07E8E">
        <w:rPr>
          <w:rFonts w:cs="Times New Roman"/>
          <w:color w:val="auto"/>
          <w:szCs w:val="22"/>
        </w:rPr>
        <w:t xml:space="preserve">various clinical isolates of </w:t>
      </w:r>
      <w:r w:rsidR="006A3C69" w:rsidRPr="00C07E8E">
        <w:rPr>
          <w:rFonts w:cs="Times New Roman"/>
          <w:i/>
          <w:iCs/>
          <w:color w:val="auto"/>
          <w:szCs w:val="22"/>
        </w:rPr>
        <w:t xml:space="preserve">P. falciparum </w:t>
      </w:r>
      <w:r w:rsidR="006A3C69" w:rsidRPr="00C07E8E">
        <w:rPr>
          <w:rFonts w:cs="Times New Roman"/>
          <w:color w:val="auto"/>
          <w:szCs w:val="22"/>
        </w:rPr>
        <w:t>with IC</w:t>
      </w:r>
      <w:r w:rsidR="006A3C69" w:rsidRPr="00C07E8E">
        <w:rPr>
          <w:rFonts w:cs="Times New Roman"/>
          <w:color w:val="auto"/>
          <w:szCs w:val="22"/>
          <w:vertAlign w:val="subscript"/>
        </w:rPr>
        <w:t xml:space="preserve">50 </w:t>
      </w:r>
      <w:r w:rsidR="00052D48" w:rsidRPr="00C07E8E">
        <w:rPr>
          <w:rFonts w:cs="Times New Roman"/>
          <w:color w:val="auto"/>
          <w:szCs w:val="22"/>
        </w:rPr>
        <w:t xml:space="preserve">values ranging between 7 to 24 nM. Further </w:t>
      </w:r>
      <w:r w:rsidR="00052D48" w:rsidRPr="00C07E8E">
        <w:rPr>
          <w:rFonts w:cs="Times New Roman"/>
          <w:i/>
          <w:iCs/>
          <w:color w:val="auto"/>
          <w:szCs w:val="22"/>
        </w:rPr>
        <w:t xml:space="preserve">in vitro </w:t>
      </w:r>
      <w:r w:rsidR="00052D48" w:rsidRPr="00C07E8E">
        <w:rPr>
          <w:rFonts w:cs="Times New Roman"/>
          <w:color w:val="auto"/>
          <w:szCs w:val="22"/>
        </w:rPr>
        <w:t xml:space="preserve">screening against a freshly isolated </w:t>
      </w:r>
      <w:r w:rsidR="00586721" w:rsidRPr="00C07E8E">
        <w:rPr>
          <w:rFonts w:cs="Times New Roman"/>
          <w:color w:val="auto"/>
          <w:szCs w:val="22"/>
        </w:rPr>
        <w:t>multidrug-resistant isolate from Gabon determined an IC</w:t>
      </w:r>
      <w:r w:rsidR="00586721" w:rsidRPr="00C07E8E">
        <w:rPr>
          <w:rFonts w:cs="Times New Roman"/>
          <w:color w:val="auto"/>
          <w:szCs w:val="22"/>
          <w:vertAlign w:val="subscript"/>
        </w:rPr>
        <w:t>50</w:t>
      </w:r>
      <w:r w:rsidR="00586721" w:rsidRPr="00C07E8E">
        <w:rPr>
          <w:rFonts w:cs="Times New Roman"/>
          <w:color w:val="auto"/>
          <w:szCs w:val="22"/>
        </w:rPr>
        <w:t xml:space="preserve"> of 19.8 nM – outperforming CQ but perform</w:t>
      </w:r>
      <w:r w:rsidR="00532015" w:rsidRPr="00C07E8E">
        <w:rPr>
          <w:rFonts w:cs="Times New Roman"/>
          <w:color w:val="auto"/>
          <w:szCs w:val="22"/>
        </w:rPr>
        <w:t>ing</w:t>
      </w:r>
      <w:r w:rsidR="00586721" w:rsidRPr="00C07E8E">
        <w:rPr>
          <w:rFonts w:cs="Times New Roman"/>
          <w:color w:val="auto"/>
          <w:szCs w:val="22"/>
        </w:rPr>
        <w:t xml:space="preserve"> more poorly than artesunate</w:t>
      </w:r>
      <w:r w:rsidR="00532015" w:rsidRPr="00C07E8E">
        <w:rPr>
          <w:rFonts w:cs="Times New Roman"/>
          <w:color w:val="auto"/>
          <w:szCs w:val="22"/>
        </w:rPr>
        <w:t xml:space="preserve"> in the same assay</w:t>
      </w:r>
      <w:r w:rsidR="00586721"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97</w:t>
      </w:r>
      <w:r w:rsidR="00BB7163" w:rsidRPr="00C07E8E">
        <w:rPr>
          <w:rFonts w:cs="Times New Roman"/>
          <w:color w:val="auto"/>
          <w:szCs w:val="22"/>
        </w:rPr>
        <w:fldChar w:fldCharType="end"/>
      </w:r>
      <w:r w:rsidR="00BB7163" w:rsidRPr="00C07E8E">
        <w:rPr>
          <w:rFonts w:cs="Times New Roman"/>
          <w:color w:val="auto"/>
          <w:szCs w:val="22"/>
        </w:rPr>
        <w:t xml:space="preserve"> </w:t>
      </w:r>
      <w:r w:rsidR="003A0A36" w:rsidRPr="00C07E8E">
        <w:rPr>
          <w:rFonts w:cs="Times New Roman"/>
          <w:i/>
          <w:iCs/>
          <w:color w:val="auto"/>
          <w:szCs w:val="22"/>
        </w:rPr>
        <w:t xml:space="preserve">In vivo </w:t>
      </w:r>
      <w:r w:rsidR="003A0A36" w:rsidRPr="00C07E8E">
        <w:rPr>
          <w:rFonts w:cs="Times New Roman"/>
          <w:color w:val="auto"/>
          <w:szCs w:val="22"/>
        </w:rPr>
        <w:t xml:space="preserve">studies were carried out on CQ </w:t>
      </w:r>
      <w:r w:rsidR="00842468" w:rsidRPr="00C07E8E">
        <w:rPr>
          <w:rFonts w:cs="Times New Roman"/>
          <w:color w:val="auto"/>
          <w:szCs w:val="22"/>
        </w:rPr>
        <w:t>resistant</w:t>
      </w:r>
      <w:r w:rsidR="003A0A36" w:rsidRPr="00C07E8E">
        <w:rPr>
          <w:rFonts w:cs="Times New Roman"/>
          <w:color w:val="auto"/>
          <w:szCs w:val="22"/>
        </w:rPr>
        <w:t xml:space="preserve"> and CQ </w:t>
      </w:r>
      <w:r w:rsidR="00842468" w:rsidRPr="00C07E8E">
        <w:rPr>
          <w:rFonts w:cs="Times New Roman"/>
          <w:color w:val="auto"/>
          <w:szCs w:val="22"/>
        </w:rPr>
        <w:t>sensitive</w:t>
      </w:r>
      <w:r w:rsidR="003A0A36" w:rsidRPr="00C07E8E">
        <w:rPr>
          <w:rFonts w:cs="Times New Roman"/>
          <w:color w:val="auto"/>
          <w:szCs w:val="22"/>
        </w:rPr>
        <w:t xml:space="preserve"> strains of </w:t>
      </w:r>
      <w:r w:rsidR="003A0A36" w:rsidRPr="00C07E8E">
        <w:rPr>
          <w:rFonts w:cs="Times New Roman"/>
          <w:i/>
          <w:iCs/>
          <w:color w:val="auto"/>
          <w:szCs w:val="22"/>
        </w:rPr>
        <w:t xml:space="preserve">P. vinckei </w:t>
      </w:r>
      <w:r w:rsidR="003A0A36" w:rsidRPr="00C07E8E">
        <w:rPr>
          <w:rFonts w:cs="Times New Roman"/>
          <w:color w:val="auto"/>
          <w:szCs w:val="22"/>
        </w:rPr>
        <w:t xml:space="preserve">in the mouse model. </w:t>
      </w:r>
      <w:r w:rsidR="00842468" w:rsidRPr="00C07E8E">
        <w:rPr>
          <w:rFonts w:cs="Times New Roman"/>
          <w:color w:val="auto"/>
          <w:szCs w:val="22"/>
        </w:rPr>
        <w:t>CD</w:t>
      </w:r>
      <w:r w:rsidR="00842468" w:rsidRPr="00C07E8E">
        <w:rPr>
          <w:rFonts w:cs="Times New Roman"/>
          <w:color w:val="auto"/>
          <w:szCs w:val="22"/>
          <w:vertAlign w:val="subscript"/>
        </w:rPr>
        <w:t>50</w:t>
      </w:r>
      <w:r w:rsidR="00842468" w:rsidRPr="00C07E8E">
        <w:rPr>
          <w:rFonts w:cs="Times New Roman"/>
          <w:color w:val="auto"/>
          <w:szCs w:val="22"/>
        </w:rPr>
        <w:t xml:space="preserve"> values were determined to be 30 and 32 mg/kg/day over 4 days for CQ resistant and sensitive strains</w:t>
      </w:r>
      <w:r w:rsidR="005E7C9D">
        <w:rPr>
          <w:rFonts w:cs="Times New Roman"/>
          <w:color w:val="auto"/>
          <w:szCs w:val="22"/>
        </w:rPr>
        <w:t>,</w:t>
      </w:r>
      <w:r w:rsidR="00842468" w:rsidRPr="00C07E8E">
        <w:rPr>
          <w:rFonts w:cs="Times New Roman"/>
          <w:color w:val="auto"/>
          <w:szCs w:val="22"/>
        </w:rPr>
        <w:t xml:space="preserve"> respectively</w:t>
      </w:r>
      <w:r w:rsidR="00AC1B2D" w:rsidRPr="00C07E8E">
        <w:rPr>
          <w:rFonts w:cs="Times New Roman"/>
          <w:color w:val="auto"/>
          <w:szCs w:val="22"/>
        </w:rPr>
        <w:t xml:space="preserve">. </w:t>
      </w:r>
      <w:r w:rsidR="0019727B" w:rsidRPr="00C07E8E">
        <w:rPr>
          <w:rFonts w:cs="Times New Roman"/>
          <w:color w:val="auto"/>
          <w:szCs w:val="22"/>
        </w:rPr>
        <w:t xml:space="preserve">In CQ resistant model </w:t>
      </w:r>
      <w:r w:rsidR="00F4667A">
        <w:rPr>
          <w:rFonts w:cs="Times New Roman"/>
          <w:b/>
          <w:bCs/>
          <w:color w:val="auto"/>
          <w:szCs w:val="22"/>
        </w:rPr>
        <w:t>5</w:t>
      </w:r>
      <w:r w:rsidR="00C07E8E" w:rsidRPr="00C07E8E">
        <w:rPr>
          <w:rFonts w:cs="Times New Roman"/>
          <w:b/>
          <w:bCs/>
          <w:color w:val="auto"/>
          <w:szCs w:val="22"/>
        </w:rPr>
        <w:t>8</w:t>
      </w:r>
      <w:r w:rsidR="0019727B" w:rsidRPr="00C07E8E">
        <w:rPr>
          <w:rFonts w:cs="Times New Roman"/>
          <w:color w:val="auto"/>
          <w:szCs w:val="22"/>
        </w:rPr>
        <w:t xml:space="preserve"> outperformed CQ and artesunate (&gt;100mg/kg and 100mg/kg respectively)</w:t>
      </w:r>
      <w:r w:rsidR="005E7C9D">
        <w:rPr>
          <w:rFonts w:cs="Times New Roman"/>
          <w:color w:val="auto"/>
          <w:szCs w:val="22"/>
        </w:rPr>
        <w:t>,</w:t>
      </w:r>
      <w:r w:rsidR="00540D6E" w:rsidRPr="00C07E8E">
        <w:rPr>
          <w:rFonts w:cs="Times New Roman"/>
          <w:color w:val="auto"/>
          <w:szCs w:val="22"/>
        </w:rPr>
        <w:t xml:space="preserve"> suggesting no cross resistance to CQ</w:t>
      </w:r>
      <w:r w:rsidR="005E7C9D">
        <w:rPr>
          <w:rFonts w:cs="Times New Roman"/>
          <w:color w:val="auto"/>
          <w:szCs w:val="22"/>
        </w:rPr>
        <w:t>,</w:t>
      </w:r>
      <w:r w:rsidR="005E7C9D" w:rsidRPr="00C07E8E">
        <w:rPr>
          <w:rFonts w:cs="Times New Roman"/>
          <w:color w:val="auto"/>
          <w:szCs w:val="22"/>
        </w:rPr>
        <w:t xml:space="preserve"> </w:t>
      </w:r>
      <w:r w:rsidR="005E7C9D">
        <w:rPr>
          <w:rFonts w:cs="Times New Roman"/>
          <w:color w:val="auto"/>
          <w:szCs w:val="22"/>
        </w:rPr>
        <w:t>w</w:t>
      </w:r>
      <w:r w:rsidR="005E7C9D" w:rsidRPr="00C07E8E">
        <w:rPr>
          <w:rFonts w:cs="Times New Roman"/>
          <w:color w:val="auto"/>
          <w:szCs w:val="22"/>
        </w:rPr>
        <w:t>hile</w:t>
      </w:r>
      <w:r w:rsidR="0019727B" w:rsidRPr="00C07E8E">
        <w:rPr>
          <w:rFonts w:cs="Times New Roman"/>
          <w:color w:val="auto"/>
          <w:szCs w:val="22"/>
        </w:rPr>
        <w:t xml:space="preserve"> in the CQ sensitive strain</w:t>
      </w:r>
      <w:r w:rsidR="00540D6E" w:rsidRPr="00C07E8E">
        <w:rPr>
          <w:rFonts w:cs="Times New Roman"/>
          <w:color w:val="auto"/>
          <w:szCs w:val="22"/>
        </w:rPr>
        <w:t xml:space="preserve"> </w:t>
      </w:r>
      <w:r w:rsidR="00F4667A">
        <w:rPr>
          <w:rFonts w:cs="Times New Roman"/>
          <w:b/>
          <w:bCs/>
          <w:color w:val="auto"/>
          <w:szCs w:val="22"/>
        </w:rPr>
        <w:t>5</w:t>
      </w:r>
      <w:r w:rsidR="00C07E8E" w:rsidRPr="00C07E8E">
        <w:rPr>
          <w:rFonts w:cs="Times New Roman"/>
          <w:b/>
          <w:bCs/>
          <w:color w:val="auto"/>
          <w:szCs w:val="22"/>
        </w:rPr>
        <w:t>8</w:t>
      </w:r>
      <w:r w:rsidR="00540D6E" w:rsidRPr="00C07E8E">
        <w:rPr>
          <w:rFonts w:cs="Times New Roman"/>
          <w:b/>
          <w:bCs/>
          <w:color w:val="auto"/>
          <w:szCs w:val="22"/>
        </w:rPr>
        <w:t xml:space="preserve"> </w:t>
      </w:r>
      <w:r w:rsidR="00540D6E" w:rsidRPr="00C07E8E">
        <w:rPr>
          <w:rFonts w:cs="Times New Roman"/>
          <w:color w:val="auto"/>
          <w:szCs w:val="22"/>
        </w:rPr>
        <w:t xml:space="preserve">performed </w:t>
      </w:r>
      <w:r w:rsidR="0019727B" w:rsidRPr="00C07E8E">
        <w:rPr>
          <w:rFonts w:cs="Times New Roman"/>
          <w:color w:val="auto"/>
          <w:szCs w:val="22"/>
        </w:rPr>
        <w:t>poorer than CQ but similar to artesunate (16 and 32 mg/kg respectively</w:t>
      </w:r>
      <w:r w:rsidR="00BB7163"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97</w:t>
      </w:r>
      <w:r w:rsidR="00BB7163" w:rsidRPr="00C07E8E">
        <w:rPr>
          <w:rFonts w:cs="Times New Roman"/>
          <w:color w:val="auto"/>
          <w:szCs w:val="22"/>
        </w:rPr>
        <w:fldChar w:fldCharType="end"/>
      </w:r>
      <w:r w:rsidR="00532015" w:rsidRPr="00C07E8E">
        <w:rPr>
          <w:rFonts w:cs="Times New Roman"/>
          <w:color w:val="auto"/>
          <w:szCs w:val="22"/>
        </w:rPr>
        <w:t xml:space="preserve"> </w:t>
      </w:r>
      <w:r w:rsidR="0085086B" w:rsidRPr="00C07E8E">
        <w:rPr>
          <w:rFonts w:cs="Times New Roman"/>
          <w:color w:val="auto"/>
          <w:szCs w:val="22"/>
        </w:rPr>
        <w:t xml:space="preserve">A </w:t>
      </w:r>
      <w:r w:rsidR="0085086B" w:rsidRPr="00C07E8E">
        <w:rPr>
          <w:rFonts w:cs="Times New Roman"/>
          <w:i/>
          <w:iCs/>
          <w:color w:val="auto"/>
          <w:szCs w:val="22"/>
        </w:rPr>
        <w:t xml:space="preserve">P. falciparum </w:t>
      </w:r>
      <w:r w:rsidR="0085086B" w:rsidRPr="00C07E8E">
        <w:rPr>
          <w:rFonts w:cs="Times New Roman"/>
          <w:color w:val="auto"/>
          <w:szCs w:val="22"/>
        </w:rPr>
        <w:t xml:space="preserve">humanised mouse model was used to measure parasite reduction by treatment with </w:t>
      </w:r>
      <w:r w:rsidR="00F4667A">
        <w:rPr>
          <w:rFonts w:cs="Times New Roman"/>
          <w:b/>
          <w:bCs/>
          <w:color w:val="auto"/>
          <w:szCs w:val="22"/>
        </w:rPr>
        <w:t>5</w:t>
      </w:r>
      <w:r w:rsidR="00C07E8E" w:rsidRPr="00C07E8E">
        <w:rPr>
          <w:rFonts w:cs="Times New Roman"/>
          <w:b/>
          <w:bCs/>
          <w:color w:val="auto"/>
          <w:szCs w:val="22"/>
        </w:rPr>
        <w:t>8</w:t>
      </w:r>
      <w:r w:rsidR="007B1379" w:rsidRPr="00C07E8E">
        <w:rPr>
          <w:rFonts w:cs="Times New Roman"/>
          <w:color w:val="auto"/>
          <w:szCs w:val="22"/>
        </w:rPr>
        <w:t xml:space="preserve"> against W2 CQ resistant and 3D7 CQ sensitive strains of </w:t>
      </w:r>
      <w:r w:rsidR="007B1379" w:rsidRPr="00C07E8E">
        <w:rPr>
          <w:rFonts w:cs="Times New Roman"/>
          <w:i/>
          <w:iCs/>
          <w:color w:val="auto"/>
          <w:szCs w:val="22"/>
        </w:rPr>
        <w:t>P. falciparum.</w:t>
      </w:r>
      <w:r w:rsidR="00BB7163" w:rsidRPr="00C07E8E">
        <w:rPr>
          <w:rFonts w:cs="Times New Roman"/>
          <w:i/>
          <w:iCs/>
          <w:color w:val="auto"/>
          <w:szCs w:val="22"/>
        </w:rPr>
        <w:fldChar w:fldCharType="begin" w:fldLock="1"/>
      </w:r>
      <w:r w:rsidR="00192B39">
        <w:rPr>
          <w:rFonts w:cs="Times New Roman"/>
          <w:i/>
          <w:iCs/>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BB7163" w:rsidRPr="00C07E8E">
        <w:rPr>
          <w:rFonts w:cs="Times New Roman"/>
          <w:i/>
          <w:iCs/>
          <w:color w:val="auto"/>
          <w:szCs w:val="22"/>
        </w:rPr>
        <w:fldChar w:fldCharType="separate"/>
      </w:r>
      <w:r w:rsidR="00CA5C6A" w:rsidRPr="00CA5C6A">
        <w:rPr>
          <w:rFonts w:cs="Times New Roman"/>
          <w:iCs/>
          <w:noProof/>
          <w:color w:val="auto"/>
          <w:szCs w:val="22"/>
          <w:vertAlign w:val="superscript"/>
        </w:rPr>
        <w:t>97</w:t>
      </w:r>
      <w:r w:rsidR="00BB7163" w:rsidRPr="00C07E8E">
        <w:rPr>
          <w:rFonts w:cs="Times New Roman"/>
          <w:i/>
          <w:iCs/>
          <w:color w:val="auto"/>
          <w:szCs w:val="22"/>
        </w:rPr>
        <w:fldChar w:fldCharType="end"/>
      </w:r>
      <w:r w:rsidR="00532015" w:rsidRPr="00C07E8E">
        <w:rPr>
          <w:rFonts w:cs="Times New Roman"/>
          <w:i/>
          <w:iCs/>
          <w:color w:val="auto"/>
          <w:szCs w:val="22"/>
        </w:rPr>
        <w:t xml:space="preserve"> </w:t>
      </w:r>
      <w:r w:rsidR="007B1379" w:rsidRPr="00C07E8E">
        <w:rPr>
          <w:rFonts w:cs="Times New Roman"/>
          <w:color w:val="auto"/>
          <w:szCs w:val="22"/>
        </w:rPr>
        <w:t>In the 3D7 model</w:t>
      </w:r>
      <w:r w:rsidR="005E7C9D">
        <w:rPr>
          <w:rFonts w:cs="Times New Roman"/>
          <w:color w:val="auto"/>
          <w:szCs w:val="22"/>
        </w:rPr>
        <w:t>,</w:t>
      </w:r>
      <w:r w:rsidR="007B1379" w:rsidRPr="00C07E8E">
        <w:rPr>
          <w:rFonts w:cs="Times New Roman"/>
          <w:color w:val="auto"/>
          <w:szCs w:val="22"/>
        </w:rPr>
        <w:t xml:space="preserve"> parasite reduction at day 4 was found to be 100 % at 64 mg/kg/day while in the W2 model parasite reduction was found to be 77 % and 96 %</w:t>
      </w:r>
      <w:r w:rsidR="005E7C9D">
        <w:rPr>
          <w:rFonts w:cs="Times New Roman"/>
          <w:color w:val="auto"/>
          <w:szCs w:val="22"/>
        </w:rPr>
        <w:t>,</w:t>
      </w:r>
      <w:r w:rsidR="007B1379" w:rsidRPr="00C07E8E">
        <w:rPr>
          <w:rFonts w:cs="Times New Roman"/>
          <w:color w:val="auto"/>
          <w:szCs w:val="22"/>
        </w:rPr>
        <w:t xml:space="preserve"> at 32 and 64 mg/kg/day</w:t>
      </w:r>
      <w:r w:rsidR="005E7C9D">
        <w:rPr>
          <w:rFonts w:cs="Times New Roman"/>
          <w:color w:val="auto"/>
          <w:szCs w:val="22"/>
        </w:rPr>
        <w:t>,</w:t>
      </w:r>
      <w:r w:rsidR="007B1379" w:rsidRPr="00C07E8E">
        <w:rPr>
          <w:rFonts w:cs="Times New Roman"/>
          <w:color w:val="auto"/>
          <w:szCs w:val="22"/>
        </w:rPr>
        <w:t xml:space="preserve"> respectively.</w:t>
      </w:r>
      <w:r w:rsidR="00BB7163" w:rsidRPr="00C07E8E">
        <w:rPr>
          <w:rFonts w:cs="Times New Roman"/>
          <w:i/>
          <w:iCs/>
          <w:color w:val="auto"/>
          <w:szCs w:val="22"/>
        </w:rPr>
        <w:t xml:space="preserve"> </w:t>
      </w:r>
      <w:r w:rsidR="00BB7163" w:rsidRPr="00C07E8E">
        <w:rPr>
          <w:rFonts w:cs="Times New Roman"/>
          <w:i/>
          <w:iCs/>
          <w:color w:val="auto"/>
          <w:szCs w:val="22"/>
        </w:rPr>
        <w:fldChar w:fldCharType="begin" w:fldLock="1"/>
      </w:r>
      <w:r w:rsidR="00192B39">
        <w:rPr>
          <w:rFonts w:cs="Times New Roman"/>
          <w:i/>
          <w:iCs/>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BB7163" w:rsidRPr="00C07E8E">
        <w:rPr>
          <w:rFonts w:cs="Times New Roman"/>
          <w:i/>
          <w:iCs/>
          <w:color w:val="auto"/>
          <w:szCs w:val="22"/>
        </w:rPr>
        <w:fldChar w:fldCharType="separate"/>
      </w:r>
      <w:r w:rsidR="00CA5C6A" w:rsidRPr="00CA5C6A">
        <w:rPr>
          <w:rFonts w:cs="Times New Roman"/>
          <w:iCs/>
          <w:noProof/>
          <w:color w:val="auto"/>
          <w:szCs w:val="22"/>
          <w:vertAlign w:val="superscript"/>
        </w:rPr>
        <w:t>97</w:t>
      </w:r>
      <w:r w:rsidR="00BB7163" w:rsidRPr="00C07E8E">
        <w:rPr>
          <w:rFonts w:cs="Times New Roman"/>
          <w:i/>
          <w:iCs/>
          <w:color w:val="auto"/>
          <w:szCs w:val="22"/>
        </w:rPr>
        <w:fldChar w:fldCharType="end"/>
      </w:r>
    </w:p>
    <w:p w14:paraId="235B7E78" w14:textId="0225E27D" w:rsidR="00E45F05" w:rsidRDefault="00C07E8E" w:rsidP="00532D1D">
      <w:pPr>
        <w:rPr>
          <w:rFonts w:cs="Times New Roman"/>
          <w:color w:val="auto"/>
          <w:szCs w:val="22"/>
        </w:rPr>
      </w:pPr>
      <w:r w:rsidRPr="00C07E8E">
        <w:rPr>
          <w:rFonts w:cs="Times New Roman"/>
          <w:color w:val="auto"/>
          <w:szCs w:val="22"/>
        </w:rPr>
        <w:tab/>
      </w:r>
      <w:r w:rsidR="005E7C9D">
        <w:rPr>
          <w:rFonts w:cs="Times New Roman"/>
          <w:color w:val="auto"/>
          <w:szCs w:val="22"/>
        </w:rPr>
        <w:t xml:space="preserve">Compound </w:t>
      </w:r>
      <w:r w:rsidR="00F4667A">
        <w:rPr>
          <w:rFonts w:cs="Times New Roman"/>
          <w:b/>
          <w:bCs/>
          <w:color w:val="auto"/>
          <w:szCs w:val="22"/>
        </w:rPr>
        <w:t>5</w:t>
      </w:r>
      <w:r w:rsidR="008D70F0" w:rsidRPr="00C07E8E">
        <w:rPr>
          <w:rFonts w:cs="Times New Roman"/>
          <w:b/>
          <w:bCs/>
          <w:color w:val="auto"/>
          <w:szCs w:val="22"/>
        </w:rPr>
        <w:t>8</w:t>
      </w:r>
      <w:r w:rsidRPr="00C07E8E">
        <w:rPr>
          <w:rFonts w:cs="Times New Roman"/>
          <w:b/>
          <w:bCs/>
          <w:color w:val="auto"/>
          <w:szCs w:val="22"/>
        </w:rPr>
        <w:t xml:space="preserve"> </w:t>
      </w:r>
      <w:r w:rsidRPr="00C07E8E">
        <w:rPr>
          <w:rFonts w:cs="Times New Roman"/>
          <w:color w:val="auto"/>
          <w:szCs w:val="22"/>
        </w:rPr>
        <w:t>has been assessed for DMPK parameters including human microsomal and hepatocyte stability, cytochrome P450 (Cyp450) induction or inhibition and caco-2 permeability.</w:t>
      </w:r>
      <w:r w:rsidR="00BB7163" w:rsidRPr="00C07E8E">
        <w:rPr>
          <w:rFonts w:cs="Times New Roman"/>
          <w:i/>
          <w:iCs/>
          <w:color w:val="auto"/>
          <w:szCs w:val="22"/>
        </w:rPr>
        <w:fldChar w:fldCharType="begin" w:fldLock="1"/>
      </w:r>
      <w:r w:rsidR="00192B39">
        <w:rPr>
          <w:rFonts w:cs="Times New Roman"/>
          <w:i/>
          <w:iCs/>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BB7163" w:rsidRPr="00C07E8E">
        <w:rPr>
          <w:rFonts w:cs="Times New Roman"/>
          <w:i/>
          <w:iCs/>
          <w:color w:val="auto"/>
          <w:szCs w:val="22"/>
        </w:rPr>
        <w:fldChar w:fldCharType="separate"/>
      </w:r>
      <w:r w:rsidR="00CA5C6A" w:rsidRPr="00CA5C6A">
        <w:rPr>
          <w:rFonts w:cs="Times New Roman"/>
          <w:iCs/>
          <w:noProof/>
          <w:color w:val="auto"/>
          <w:szCs w:val="22"/>
          <w:vertAlign w:val="superscript"/>
        </w:rPr>
        <w:t>97</w:t>
      </w:r>
      <w:r w:rsidR="00BB7163" w:rsidRPr="00C07E8E">
        <w:rPr>
          <w:rFonts w:cs="Times New Roman"/>
          <w:i/>
          <w:iCs/>
          <w:color w:val="auto"/>
          <w:szCs w:val="22"/>
        </w:rPr>
        <w:fldChar w:fldCharType="end"/>
      </w:r>
      <w:r w:rsidRPr="00C07E8E">
        <w:rPr>
          <w:rFonts w:cs="Times New Roman"/>
          <w:color w:val="auto"/>
          <w:szCs w:val="22"/>
        </w:rPr>
        <w:t xml:space="preserve"> </w:t>
      </w:r>
      <w:r w:rsidR="00F4667A">
        <w:rPr>
          <w:rFonts w:cs="Times New Roman"/>
          <w:b/>
          <w:bCs/>
          <w:color w:val="auto"/>
          <w:szCs w:val="22"/>
        </w:rPr>
        <w:t>5</w:t>
      </w:r>
      <w:r w:rsidR="008D70F0" w:rsidRPr="00C07E8E">
        <w:rPr>
          <w:rFonts w:cs="Times New Roman"/>
          <w:b/>
          <w:bCs/>
          <w:color w:val="auto"/>
          <w:szCs w:val="22"/>
        </w:rPr>
        <w:t>8</w:t>
      </w:r>
      <w:r w:rsidRPr="00C07E8E">
        <w:rPr>
          <w:rFonts w:cs="Times New Roman"/>
          <w:b/>
          <w:bCs/>
          <w:color w:val="auto"/>
          <w:szCs w:val="22"/>
        </w:rPr>
        <w:t xml:space="preserve"> </w:t>
      </w:r>
      <w:r w:rsidRPr="00C07E8E">
        <w:rPr>
          <w:rFonts w:cs="Times New Roman"/>
          <w:color w:val="auto"/>
          <w:szCs w:val="22"/>
        </w:rPr>
        <w:lastRenderedPageBreak/>
        <w:t>was found to possess low clearance in human liver microsomes but moderate-high clearance in human hepatocytes</w:t>
      </w:r>
      <w:r w:rsidR="005E7C9D">
        <w:rPr>
          <w:rFonts w:cs="Times New Roman"/>
          <w:color w:val="auto"/>
          <w:szCs w:val="22"/>
        </w:rPr>
        <w:t>,</w:t>
      </w:r>
      <w:r w:rsidRPr="00C07E8E">
        <w:rPr>
          <w:rFonts w:cs="Times New Roman"/>
          <w:color w:val="auto"/>
          <w:szCs w:val="22"/>
        </w:rPr>
        <w:t xml:space="preserve"> however it is notable that in both assays </w:t>
      </w:r>
      <w:r w:rsidR="00F4667A">
        <w:rPr>
          <w:rFonts w:cs="Times New Roman"/>
          <w:b/>
          <w:bCs/>
          <w:color w:val="auto"/>
          <w:szCs w:val="22"/>
        </w:rPr>
        <w:t>5</w:t>
      </w:r>
      <w:r w:rsidR="008D70F0" w:rsidRPr="00C07E8E">
        <w:rPr>
          <w:rFonts w:cs="Times New Roman"/>
          <w:b/>
          <w:bCs/>
          <w:color w:val="auto"/>
          <w:szCs w:val="22"/>
        </w:rPr>
        <w:t>8</w:t>
      </w:r>
      <w:r w:rsidRPr="00C07E8E">
        <w:rPr>
          <w:rFonts w:cs="Times New Roman"/>
          <w:b/>
          <w:bCs/>
          <w:color w:val="auto"/>
          <w:szCs w:val="22"/>
        </w:rPr>
        <w:t xml:space="preserve"> </w:t>
      </w:r>
      <w:r w:rsidRPr="00C07E8E">
        <w:rPr>
          <w:rFonts w:cs="Times New Roman"/>
          <w:color w:val="auto"/>
          <w:szCs w:val="22"/>
        </w:rPr>
        <w:t>outperformed artesunate. No evidence of Cyp450 induction or inhibition was observed</w:t>
      </w:r>
      <w:r w:rsidR="005E7C9D">
        <w:rPr>
          <w:rFonts w:cs="Times New Roman"/>
          <w:color w:val="auto"/>
          <w:szCs w:val="22"/>
        </w:rPr>
        <w:t>,</w:t>
      </w:r>
      <w:r w:rsidRPr="00C07E8E">
        <w:rPr>
          <w:rFonts w:cs="Times New Roman"/>
          <w:color w:val="auto"/>
          <w:szCs w:val="22"/>
        </w:rPr>
        <w:t xml:space="preserve"> suggesting that drug-drug-interactions are unlikely to be an issue. Caco-2 permeability assays yielded similar values to that of CQ</w:t>
      </w:r>
      <w:r w:rsidR="005E7C9D">
        <w:rPr>
          <w:rFonts w:cs="Times New Roman"/>
          <w:color w:val="auto"/>
          <w:szCs w:val="22"/>
        </w:rPr>
        <w:t>,</w:t>
      </w:r>
      <w:r w:rsidRPr="00C07E8E">
        <w:rPr>
          <w:rFonts w:cs="Times New Roman"/>
          <w:color w:val="auto"/>
          <w:szCs w:val="22"/>
        </w:rPr>
        <w:t xml:space="preserve"> suggesting </w:t>
      </w:r>
      <w:r w:rsidR="005E7C9D">
        <w:rPr>
          <w:rFonts w:cs="Times New Roman"/>
          <w:color w:val="auto"/>
          <w:szCs w:val="22"/>
        </w:rPr>
        <w:t xml:space="preserve">that </w:t>
      </w:r>
      <w:r w:rsidRPr="00C07E8E">
        <w:rPr>
          <w:rFonts w:cs="Times New Roman"/>
          <w:color w:val="auto"/>
          <w:szCs w:val="22"/>
        </w:rPr>
        <w:t xml:space="preserve">the desired enhanced permeability was attained and </w:t>
      </w:r>
      <w:r w:rsidR="005E7C9D" w:rsidRPr="00C07E8E">
        <w:rPr>
          <w:rFonts w:cs="Times New Roman"/>
          <w:color w:val="auto"/>
          <w:szCs w:val="22"/>
        </w:rPr>
        <w:t>support</w:t>
      </w:r>
      <w:r w:rsidR="005E7C9D">
        <w:rPr>
          <w:rFonts w:cs="Times New Roman"/>
          <w:color w:val="auto"/>
          <w:szCs w:val="22"/>
        </w:rPr>
        <w:t>ing</w:t>
      </w:r>
      <w:r w:rsidR="005E7C9D" w:rsidRPr="00C07E8E">
        <w:rPr>
          <w:rFonts w:cs="Times New Roman"/>
          <w:color w:val="auto"/>
          <w:szCs w:val="22"/>
        </w:rPr>
        <w:t xml:space="preserve"> </w:t>
      </w:r>
      <w:r w:rsidRPr="00C07E8E">
        <w:rPr>
          <w:rFonts w:cs="Times New Roman"/>
          <w:color w:val="auto"/>
          <w:szCs w:val="22"/>
        </w:rPr>
        <w:t xml:space="preserve">the likelihood of oral bioavailability – though no PK studies have been carried out </w:t>
      </w:r>
      <w:r w:rsidRPr="00C07E8E">
        <w:rPr>
          <w:rFonts w:cs="Times New Roman"/>
          <w:i/>
          <w:iCs/>
          <w:color w:val="auto"/>
          <w:szCs w:val="22"/>
        </w:rPr>
        <w:t>in vivo.</w:t>
      </w:r>
      <w:r w:rsidR="00BB7163" w:rsidRPr="00C07E8E">
        <w:rPr>
          <w:rFonts w:cs="Times New Roman"/>
          <w:i/>
          <w:iCs/>
          <w:color w:val="auto"/>
          <w:szCs w:val="22"/>
        </w:rPr>
        <w:t xml:space="preserve"> </w:t>
      </w:r>
      <w:r w:rsidR="00BB7163" w:rsidRPr="00C07E8E">
        <w:rPr>
          <w:rFonts w:cs="Times New Roman"/>
          <w:i/>
          <w:iCs/>
          <w:color w:val="auto"/>
          <w:szCs w:val="22"/>
        </w:rPr>
        <w:fldChar w:fldCharType="begin" w:fldLock="1"/>
      </w:r>
      <w:r w:rsidR="00192B39">
        <w:rPr>
          <w:rFonts w:cs="Times New Roman"/>
          <w:i/>
          <w:iCs/>
          <w:color w:val="auto"/>
          <w:szCs w:val="22"/>
        </w:rPr>
        <w:instrText>ADDIN CSL_CITATION {"citationItems":[{"id":"ITEM-1","itemData":{"DOI":"10.1073/pnas.0804338105","ISSN":"00278424","PMID":"18987321","abstract":"Trioxaquines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America","id":"ITEM-1","issue":"45","issued":{"date-parts":[["2008"]]},"page":"17579-17584","title":"Selection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lt;/sup&gt;","plainTextFormattedCitation":"97","previouslyFormattedCitation":"&lt;sup&gt;97&lt;/sup&gt;"},"properties":{"noteIndex":0},"schema":"https://github.com/citation-style-language/schema/raw/master/csl-citation.json"}</w:instrText>
      </w:r>
      <w:r w:rsidR="00BB7163" w:rsidRPr="00C07E8E">
        <w:rPr>
          <w:rFonts w:cs="Times New Roman"/>
          <w:i/>
          <w:iCs/>
          <w:color w:val="auto"/>
          <w:szCs w:val="22"/>
        </w:rPr>
        <w:fldChar w:fldCharType="separate"/>
      </w:r>
      <w:r w:rsidR="00CA5C6A" w:rsidRPr="00CA5C6A">
        <w:rPr>
          <w:rFonts w:cs="Times New Roman"/>
          <w:iCs/>
          <w:noProof/>
          <w:color w:val="auto"/>
          <w:szCs w:val="22"/>
          <w:vertAlign w:val="superscript"/>
        </w:rPr>
        <w:t>97</w:t>
      </w:r>
      <w:r w:rsidR="00BB7163" w:rsidRPr="00C07E8E">
        <w:rPr>
          <w:rFonts w:cs="Times New Roman"/>
          <w:i/>
          <w:iCs/>
          <w:color w:val="auto"/>
          <w:szCs w:val="22"/>
        </w:rPr>
        <w:fldChar w:fldCharType="end"/>
      </w:r>
      <w:r w:rsidR="00BB7163" w:rsidRPr="00C07E8E">
        <w:rPr>
          <w:rFonts w:cs="Times New Roman"/>
          <w:i/>
          <w:iCs/>
          <w:color w:val="auto"/>
          <w:szCs w:val="22"/>
        </w:rPr>
        <w:t xml:space="preserve"> </w:t>
      </w:r>
      <w:r w:rsidRPr="00C07E8E">
        <w:rPr>
          <w:rFonts w:cs="Times New Roman"/>
          <w:color w:val="auto"/>
          <w:szCs w:val="22"/>
        </w:rPr>
        <w:t xml:space="preserve">Screening for cardiotoxicity in a hERG inhibition assay </w:t>
      </w:r>
      <w:r w:rsidR="005E7C9D">
        <w:rPr>
          <w:rFonts w:cs="Times New Roman"/>
          <w:color w:val="auto"/>
          <w:szCs w:val="22"/>
        </w:rPr>
        <w:t>revealed</w:t>
      </w:r>
      <w:r w:rsidRPr="00C07E8E">
        <w:rPr>
          <w:rFonts w:cs="Times New Roman"/>
          <w:color w:val="auto"/>
          <w:szCs w:val="22"/>
        </w:rPr>
        <w:t xml:space="preserve"> that </w:t>
      </w:r>
      <w:r w:rsidR="00F4667A">
        <w:rPr>
          <w:rFonts w:cs="Times New Roman"/>
          <w:b/>
          <w:bCs/>
          <w:color w:val="auto"/>
          <w:szCs w:val="22"/>
        </w:rPr>
        <w:t>5</w:t>
      </w:r>
      <w:r w:rsidR="008D70F0" w:rsidRPr="00C07E8E">
        <w:rPr>
          <w:rFonts w:cs="Times New Roman"/>
          <w:b/>
          <w:bCs/>
          <w:color w:val="auto"/>
          <w:szCs w:val="22"/>
        </w:rPr>
        <w:t>8</w:t>
      </w:r>
      <w:r w:rsidRPr="00C07E8E">
        <w:rPr>
          <w:rFonts w:cs="Times New Roman"/>
          <w:b/>
          <w:bCs/>
          <w:color w:val="auto"/>
          <w:szCs w:val="22"/>
        </w:rPr>
        <w:t xml:space="preserve"> </w:t>
      </w:r>
      <w:r w:rsidR="005E7C9D" w:rsidRPr="00C07E8E">
        <w:rPr>
          <w:rFonts w:cs="Times New Roman"/>
          <w:color w:val="auto"/>
          <w:szCs w:val="22"/>
        </w:rPr>
        <w:t>possesse</w:t>
      </w:r>
      <w:r w:rsidR="005E7C9D">
        <w:rPr>
          <w:rFonts w:cs="Times New Roman"/>
          <w:color w:val="auto"/>
          <w:szCs w:val="22"/>
        </w:rPr>
        <w:t>s</w:t>
      </w:r>
      <w:r w:rsidR="005E7C9D" w:rsidRPr="00C07E8E">
        <w:rPr>
          <w:rFonts w:cs="Times New Roman"/>
          <w:color w:val="auto"/>
          <w:szCs w:val="22"/>
        </w:rPr>
        <w:t xml:space="preserve"> </w:t>
      </w:r>
      <w:r w:rsidRPr="00C07E8E">
        <w:rPr>
          <w:rFonts w:cs="Times New Roman"/>
          <w:color w:val="auto"/>
          <w:szCs w:val="22"/>
        </w:rPr>
        <w:t xml:space="preserve">a </w:t>
      </w:r>
      <w:r w:rsidR="003D746F">
        <w:rPr>
          <w:rFonts w:cs="Times New Roman"/>
          <w:color w:val="auto"/>
          <w:szCs w:val="22"/>
        </w:rPr>
        <w:t>a low</w:t>
      </w:r>
      <w:r w:rsidR="003D746F" w:rsidRPr="00C07E8E">
        <w:rPr>
          <w:rFonts w:cs="Times New Roman"/>
          <w:color w:val="auto"/>
          <w:szCs w:val="22"/>
        </w:rPr>
        <w:t xml:space="preserve"> </w:t>
      </w:r>
      <w:r w:rsidRPr="00C07E8E">
        <w:rPr>
          <w:rFonts w:cs="Times New Roman"/>
          <w:color w:val="auto"/>
          <w:szCs w:val="22"/>
        </w:rPr>
        <w:t>IC</w:t>
      </w:r>
      <w:r w:rsidRPr="00C07E8E">
        <w:rPr>
          <w:rFonts w:cs="Times New Roman"/>
          <w:color w:val="auto"/>
          <w:szCs w:val="22"/>
          <w:vertAlign w:val="subscript"/>
        </w:rPr>
        <w:t>50</w:t>
      </w:r>
      <w:r w:rsidRPr="00C07E8E">
        <w:rPr>
          <w:rFonts w:cs="Times New Roman"/>
          <w:color w:val="auto"/>
          <w:szCs w:val="22"/>
        </w:rPr>
        <w:t xml:space="preserve"> of 1.5 μM which suggests that QT interval elongation may be an issue. QT elongation is a known adverse effect of CQ </w:t>
      </w:r>
      <w:r w:rsidR="006159A8" w:rsidRPr="00C07E8E">
        <w:rPr>
          <w:rFonts w:cs="Times New Roman"/>
          <w:color w:val="auto"/>
          <w:szCs w:val="22"/>
        </w:rPr>
        <w:t>with a hERG IC</w:t>
      </w:r>
      <w:r w:rsidR="006159A8" w:rsidRPr="00C07E8E">
        <w:rPr>
          <w:rFonts w:cs="Times New Roman"/>
          <w:color w:val="auto"/>
          <w:szCs w:val="22"/>
          <w:vertAlign w:val="subscript"/>
        </w:rPr>
        <w:t>50</w:t>
      </w:r>
      <w:r w:rsidR="006159A8" w:rsidRPr="00C07E8E">
        <w:rPr>
          <w:rFonts w:cs="Times New Roman"/>
          <w:color w:val="auto"/>
          <w:szCs w:val="22"/>
        </w:rPr>
        <w:t xml:space="preserve"> of 3 μM – 2 fold higher than </w:t>
      </w:r>
      <w:r w:rsidR="00F4667A">
        <w:rPr>
          <w:rFonts w:cs="Times New Roman"/>
          <w:b/>
          <w:bCs/>
          <w:color w:val="auto"/>
          <w:szCs w:val="22"/>
        </w:rPr>
        <w:t>5</w:t>
      </w:r>
      <w:r w:rsidR="008D70F0" w:rsidRPr="00C07E8E">
        <w:rPr>
          <w:rFonts w:cs="Times New Roman"/>
          <w:b/>
          <w:bCs/>
          <w:color w:val="auto"/>
          <w:szCs w:val="22"/>
        </w:rPr>
        <w:t>8</w:t>
      </w:r>
      <w:r w:rsidR="006159A8" w:rsidRPr="00C07E8E">
        <w:rPr>
          <w:rFonts w:cs="Times New Roman"/>
          <w:color w:val="auto"/>
          <w:szCs w:val="22"/>
        </w:rPr>
        <w:t xml:space="preserve"> which suggests that this might be </w:t>
      </w:r>
      <w:r w:rsidR="00532015" w:rsidRPr="00C07E8E">
        <w:rPr>
          <w:rFonts w:cs="Times New Roman"/>
          <w:color w:val="auto"/>
          <w:szCs w:val="22"/>
        </w:rPr>
        <w:t>a common occurance</w:t>
      </w:r>
      <w:r w:rsidR="003D746F">
        <w:rPr>
          <w:rFonts w:cs="Times New Roman"/>
          <w:color w:val="auto"/>
          <w:szCs w:val="22"/>
        </w:rPr>
        <w:t>.</w:t>
      </w:r>
      <w:r w:rsidR="003D746F" w:rsidRPr="00C07E8E">
        <w:rPr>
          <w:rFonts w:cs="Times New Roman"/>
          <w:color w:val="auto"/>
          <w:szCs w:val="22"/>
        </w:rPr>
        <w:fldChar w:fldCharType="begin" w:fldLock="1"/>
      </w:r>
      <w:r w:rsidR="00192B39">
        <w:rPr>
          <w:rFonts w:cs="Times New Roman"/>
          <w:color w:val="auto"/>
          <w:szCs w:val="22"/>
        </w:rPr>
        <w:instrText>ADDIN CSL_CITATION {"citationItems":[{"id":"ITEM-1","itemData":{"DOI":"10.1371/journal.pctr.0020006","ISSN":"15555887","abstract":"Objectives: To determine: (1) the pharmacokinetics and safety of an investigational aminoquinoline active against multidrug-resistant malaria parasites (AQ-13), including its effects on the QT interval, and (2) whether it has pharmacokinetic and safety profiles similar to chloroquine (CQ) in humans. Design: Phase I double-blind, randomized controlled trials to compare AQ-13 and CQ in healthy volunteers. Randomizations were performed at each step after completion of the previous dose. Setting: Tulane-Louisiana State University-Charity Hospital General Clinical Research Center in New Orleans. Participants: 126 healthy adults 21-45 years of age. Interventions: 10, 100, 300, 600, and 1,500 mg oral doses of CQ base in comparison with equivalent doses of AQ-13. Outcome Measures: Clinical and laboratory adverse events (AEs), pharmacokinetic parameters, and QT prolongation. Results: No hematologic, hepatic, renal, or other organ toxicity was observed with AQ-13 or CQ at any dose tested. Headache, lightheadedness/ dizziness, and gastrointestinal (GI) tract-related symptoms were the most common AEs. Although symptoms were more frequent with AQ-13, the numbers of volunteers who experienced symptoms with AQ-13 and CQ were similar (for AQ-13 and CQ, respectively: headache, 17/63 and 10/63, p = 0.2; lightheadedness/dizziness, 11/63 and 8/63, p = 0.6; GI symptoms, 14/ 63 and 13/63; p = 0.9). Both AQ-13 and CQ exhibited linear pharmacokinetics. However, AQ-13 was cleared more rapidly than CQ (respectively, median oral clearance 14.0-14.7 I/h versus 9.5-11.3 I/h; p ≤ 0.03). QTc prolongation was greater with CQ than AQ-13 (CQ: mean increase of 28 ms; 95% confidence interval [CI], 18 to 38 ms, versus AQ-13: mean increase of 10 ms; 95% CI, 2 to 17 ms; p = 0.01). There were no arrhythmias or other cardiac AEs with either AQ-13 or CQ. Conclusions: These studies revealed minimal differences in toxicity between AQ-13 and CQ, and similar linear pharmacokinetics. Copyright © 2007 Mzayek et al.","author":[{"dropping-particle":"","family":"Mzayek","given":"Fawaz","non-dropping-particle":"","parse-names":false,"suffix":""},{"dropping-particle":"","family":"Deng","given":"Haiyan","non-dropping-particle":"","parse-names":false,"suffix":""},{"dropping-particle":"","family":"Mather","given":"Frances J.","non-dropping-particle":"","parse-names":false,"suffix":""},{"dropping-particle":"","family":"Wasilevich","given":"Elizabeth C.","non-dropping-particle":"","parse-names":false,"suffix":""},{"dropping-particle":"","family":"Liu","given":"Huayin","non-dropping-particle":"","parse-names":false,"suffix":""},{"dropping-particle":"","family":"Hadi","given":"Christiane M.","non-dropping-particle":"","parse-names":false,"suffix":""},{"dropping-particle":"","family":"Chansolme","given":"David H.","non-dropping-particle":"","parse-names":false,"suffix":""},{"dropping-particle":"","family":"Murphy","given":"Holly A.","non-dropping-particle":"","parse-names":false,"suffix":""},{"dropping-particle":"","family":"Melek","given":"Bekir H.","non-dropping-particle":"","parse-names":false,"suffix":""},{"dropping-particle":"","family":"Tenaglia","given":"Alan N.","non-dropping-particle":"","parse-names":false,"suffix":""},{"dropping-particle":"","family":"Mushatt","given":"David M.","non-dropping-particle":"","parse-names":false,"suffix":""},{"dropping-particle":"","family":"Dreisbach","given":"Albert W.","non-dropping-particle":"","parse-names":false,"suffix":""},{"dropping-particle":"","family":"Lertora","given":"Juan J.L.","non-dropping-particle":"","parse-names":false,"suffix":""},{"dropping-particle":"","family":"Krogstad","given":"Donald J.","non-dropping-particle":"","parse-names":false,"suffix":""}],"container-title":"PLoS Clinical Trials","id":"ITEM-1","issue":"1","issued":{"date-parts":[["2007"]]},"page":"e6","title":"Randomized dose-ranging controlled trial of AQ-13, a candidate antimalarial, and chloroquine in healthy volunteers","type":"article-journal","volume":"2"},"uris":["http://www.mendeley.com/documents/?uuid=64517a97-e464-4a9d-9176-a5b8040ba1eb"]},{"id":"ITEM-2","itemData":{"DOI":"10.1128/AAC.02794-13","ISSN":"10986596","PMID":"24687509","abstract":"Chloroquine combined with primaquine has been the standard radical curative regimen for Plasmodium vivax and Plasmodium ovale malaria for over half a century. In an open-label crossover pharmacokinetic study, 16 healthy volunteers (4 males and 12 females) aged 20 to 47 years were randomized into two groups of three sequential hospital admissions to receive a single oral dose of 30 mg (base) primaquine, 600 mg (base) chloroquine, and the two drugs together. The coadministration of the two drugs did not affect chloroquine or desethylchloroquine pharmacokinetics but increased plasma primaquine concentrations significantly (P≤0.005); the geometric mean (90% confidence interval [CI]) increases were 63% (47 to 81%) in maximum concentration and 24% (13 to 35%) in total exposure. There were also corresponding increases in plasma carboxyprimaquine concentrations (P≤0.020). There were no significant electrocardiographic changes following primaquine administration, but there was slight corrected QT (QTc) (Fridericia) interval lengthening following chloroquine administration (median [range]=6.32 [-1.45 to 12.3] ms; P&lt;0.001), which was not affected by the addition of primaquine (5.58 [1.74 to 11.4] ms; P=0.642). This pharmacokinetic interaction may explain previous observations of synergy in preventing P. vivax relapse. This trial was registered at ClinicalTrials.gov under reference number NCT01218932. © 2014 Pukrittayakamee et al.","author":[{"dropping-particle":"","family":"Pukrittayakamee","given":"Sasithon","non-dropping-particle":"","parse-names":false,"suffix":""},{"dropping-particle":"","family":"Tarning","given":"Joel","non-dropping-particle":"","parse-names":false,"suffix":""},{"dropping-particle":"","family":"Jittamala","given":"Podjanee","non-dropping-particle":"","parse-names":false,"suffix":""},{"dropping-particle":"","family":"Charunwatthana","given":"Prakaykaew","non-dropping-particle":"","parse-names":false,"suffix":""},{"dropping-particle":"","family":"Lawpoolsri","given":"Saranath","non-dropping-particle":"","parse-names":false,"suffix":""},{"dropping-particle":"","family":"Lee","given":"Sue J.","non-dropping-particle":"","parse-names":false,"suffix":""},{"dropping-particle":"","family":"Hanpithakpong","given":"Warunee","non-dropping-particle":"","parse-names":false,"suffix":""},{"dropping-particle":"","family":"Hanboonkunupakarn","given":"Borimas","non-dropping-particle":"","parse-names":false,"suffix":""},{"dropping-particle":"","family":"Day","given":"Nicholas P.J.","non-dropping-particle":"","parse-names":false,"suffix":""},{"dropping-particle":"","family":"Ashley","given":"Elizabeth A.","non-dropping-particle":"","parse-names":false,"suffix":""},{"dropping-particle":"","family":"White","given":"Nicholas J.","non-dropping-particle":"","parse-names":false,"suffix":""}],"container-title":"Antimicrobial Agents and Chemotherapy","id":"ITEM-2","issue":"6","issued":{"date-parts":[["2014"]]},"page":"3354-3359","title":"Pharmacokinetic interactions between primaquine and chloroquine","type":"article-journal","volume":"58"},"uris":["http://www.mendeley.com/documents/?uuid=022eb819-8f21-4ff6-b34b-1c6111fa9c89","http://www.mendeley.com/documents/?uuid=356dfaee-82f3-4204-83fd-7c2b6a72cc5c"]},{"id":"ITEM-3","itemData":{"DOI":"10.1128/AAC.01846-19","ISSN":"10986596","PMID":"31907183","abstract":"Higher chloroquine doses can effectively treat up to 93 to 96% of malaria infections caused by Plasmodium falciparum carrying the resistance-conferring chloroquine resistance transporter (pfcrt) 76T allele. The tolerability of 50 (double the standard dose) and 70 mg/kg total chloroquine doses were assessed in this study. Fifteen 4- to 8-year-old children with uncomplicated malaria were given 10 mg/kg of chloroquine twice daily for 2 days and 5 mg/kg twice daily on the third day. Fifteen additional children were given 5 mg/kg twice daily for 2 more days. Chloroquine concentrations, blood pressure, electrocardiograms (ECGs), parasite density, and adverse events were assessed until day 28. Both dosages were well tolerated, and symptoms resolved by day 3 in parallel with increasing chloroquine concentrations. The median corrected QT (QTc) interval was 12 to 26 ms higher at expected peak concentrations than at day 0 (P &lt; 0.001). Pfcrt 76T was associated with delayed parasite clearance. Day 28 clinical and parasitological responses against P. falciparum with pfcrt 76T were 57% (4/7) and 67% (4/6) after treatment with 50 and 70 mg/kg, respectively. Dosages were well tolerated, and no severe cardiac adverse events occurred. The QTc interval increase was similar to that found in adults taking 25 mg/kg of chloroquine.","author":[{"dropping-particle":"","family":"Ursing","given":"Johan","non-dropping-particle":"","parse-names":false,"suffix":""},{"dropping-particle":"","family":"Rombo","given":"Lars","non-dropping-particle":"","parse-names":false,"suffix":""},{"dropping-particle":"","family":"Eksborg","given":"Staffan","non-dropping-particle":"","parse-names":false,"suffix":""},{"dropping-particle":"","family":"Larson","given":"Lena","non-dropping-particle":"","parse-names":false,"suffix":""},{"dropping-particle":"","family":"Bruvoll","given":"Anita","non-dropping-particle":"","parse-names":false,"suffix":""},{"dropping-particle":"","family":"Tarning","given":"Joel","non-dropping-particle":"","parse-names":false,"suffix":""},{"dropping-particle":"","family":"Rodrigues","given":"Amabelia","non-dropping-particle":"","parse-names":false,"suffix":""},{"dropping-particle":"","family":"Kofoed","given":"Poul Erik","non-dropping-particle":"","parse-names":false,"suffix":""}],"container-title":"Antimicrobial Agents and Chemotherapy","id":"ITEM-3","issue":"3","issued":{"date-parts":[["2020"]]},"page":"e01846-19","title":"High-dose chloroquine for uncomplicated plasmodium falciparum malaria is well tolerated and causes similar QT interval prolongation as standard-dose chloroquine in children","type":"article-journal","volume":"64"},"uris":["http://www.mendeley.com/documents/?uuid=06d03626-51e1-4e7b-a86b-50f2d3e25ea6","http://www.mendeley.com/documents/?uuid=f8247995-dd9a-4914-84e0-4ed95bac9cfd"]},{"id":"ITEM-4","itemData":{"DOI":"10.1073/pnas.0804338105","ISSN":"00278424","PMID":"18987321","abstract":"Trioxaquines are antimalarial agents based on hybrid structures with a dual mode of action. One of these molecules, PA1103/SAR116242, is highly active in vitro on several sensitive and resistant strains of Plasmodium falciparum at nanomolar concentrations (e.g., IC50 value = 10 nM with FcM29, a chloroquine-resistant strain) and also on multidrug-resistant strains obtained from fresh patient isolates in Gabon. This molecule is very efficient by oral route with a complete cure of mice infected with chloroquine-sensitive or chloroquine-resistant strains of Plasmodia at 26-32 mg/kg. This compound is also highly effective in humanized mice infected with P. falciparum. Combined with a good drug profile (preliminary absorption, metabolism, and safety parameters), these data were favorable for the selection of this particular trioxaquine for development as drug candidate among 120 other active hybrid molecules. © 2008 by The National Academy of Sciences of the USA.","author":[{"dropping-particle":"","family":"Coslédan","given":"Frédéric","non-dropping-particle":"","parse-names":false,"suffix":""},{"dropping-particle":"","family":"Fraisse","given":"Laurent","non-dropping-particle":"","parse-names":false,"suffix":""},{"dropping-particle":"","family":"Pellet","given":"Alain","non-dropping-particle":"","parse-names":false,"suffix":""},{"dropping-particle":"","family":"Guillou","given":"François","non-dropping-particle":"","parse-names":false,"suffix":""},{"dropping-particle":"","family":"Mordmüller","given":"Benjamin","non-dropping-particle":"","parse-names":false,"suffix":""},{"dropping-particle":"","family":"Kremsner","given":"Peter G.","non-dropping-particle":"","parse-names":false,"suffix":""},{"dropping-particle":"","family":"Moreno","given":"Alicia","non-dropping-particle":"","parse-names":false,"suffix":""},{"dropping-particle":"","family":"Mazier","given":"Dominique","non-dropping-particle":"","parse-names":false,"suffix":""},{"dropping-particle":"","family":"Maffrand","given":"Jean Pierre","non-dropping-particle":"","parse-names":false,"suffix":""},{"dropping-particle":"","family":"Meunier","given":"Bernard","non-dropping-particle":"","parse-names":false,"suffix":""}],"container-title":"Proceedings of the National Academy of Sciences of the United States of America","id":"ITEM-4","issue":"45","issued":{"date-parts":[["2008"]]},"page":"17579-17584","title":"Selection of a trioxaquine as an antimalarial drug candidate","type":"article-journal","volume":"105"},"uris":["http://www.mendeley.com/documents/?uuid=a468bd34-47d9-443a-a603-31b8d90669b0","http://www.mendeley.com/documents/?uuid=86d7423a-332f-429c-b1de-2fd2fa74140a"]}],"mendeley":{"formattedCitation":"&lt;sup&gt;97–100&lt;/sup&gt;","plainTextFormattedCitation":"97–100","previouslyFormattedCitation":"&lt;sup&gt;97–100&lt;/sup&gt;"},"properties":{"noteIndex":0},"schema":"https://github.com/citation-style-language/schema/raw/master/csl-citation.json"}</w:instrText>
      </w:r>
      <w:r w:rsidR="003D746F" w:rsidRPr="00C07E8E">
        <w:rPr>
          <w:rFonts w:cs="Times New Roman"/>
          <w:color w:val="auto"/>
          <w:szCs w:val="22"/>
        </w:rPr>
        <w:fldChar w:fldCharType="separate"/>
      </w:r>
      <w:r w:rsidR="00CA5C6A" w:rsidRPr="00CA5C6A">
        <w:rPr>
          <w:rFonts w:cs="Times New Roman"/>
          <w:noProof/>
          <w:color w:val="auto"/>
          <w:szCs w:val="22"/>
          <w:vertAlign w:val="superscript"/>
        </w:rPr>
        <w:t>97–100</w:t>
      </w:r>
      <w:r w:rsidR="003D746F" w:rsidRPr="00C07E8E">
        <w:rPr>
          <w:rFonts w:cs="Times New Roman"/>
          <w:color w:val="auto"/>
          <w:szCs w:val="22"/>
        </w:rPr>
        <w:fldChar w:fldCharType="end"/>
      </w:r>
      <w:r w:rsidR="003D746F">
        <w:rPr>
          <w:rFonts w:cs="Times New Roman"/>
          <w:color w:val="auto"/>
          <w:szCs w:val="22"/>
        </w:rPr>
        <w:t xml:space="preserve"> Following publication of PA1103</w:t>
      </w:r>
      <w:r w:rsidR="00861651" w:rsidRPr="00C07E8E">
        <w:rPr>
          <w:rFonts w:cs="Times New Roman"/>
          <w:color w:val="auto"/>
          <w:szCs w:val="22"/>
        </w:rPr>
        <w:t>/SAR116242</w:t>
      </w:r>
      <w:r w:rsidR="003D746F">
        <w:rPr>
          <w:rFonts w:cs="Times New Roman"/>
          <w:color w:val="auto"/>
          <w:szCs w:val="22"/>
        </w:rPr>
        <w:t xml:space="preserve"> as a drug candidate</w:t>
      </w:r>
      <w:r w:rsidR="005E7C9D">
        <w:rPr>
          <w:rFonts w:cs="Times New Roman"/>
          <w:color w:val="auto"/>
          <w:szCs w:val="22"/>
        </w:rPr>
        <w:t>,</w:t>
      </w:r>
      <w:r w:rsidR="003D746F">
        <w:rPr>
          <w:rFonts w:cs="Times New Roman"/>
          <w:color w:val="auto"/>
          <w:szCs w:val="22"/>
        </w:rPr>
        <w:t xml:space="preserve"> no additional information has been recorded on further preclinical testing or first into man profiling </w:t>
      </w:r>
      <w:r w:rsidR="006159A8" w:rsidRPr="00C07E8E">
        <w:rPr>
          <w:rFonts w:cs="Times New Roman"/>
          <w:color w:val="auto"/>
          <w:szCs w:val="22"/>
        </w:rPr>
        <w:t>.</w:t>
      </w:r>
      <w:r w:rsidR="00532015" w:rsidRPr="00C07E8E">
        <w:rPr>
          <w:rFonts w:cs="Times New Roman"/>
          <w:color w:val="auto"/>
          <w:szCs w:val="22"/>
        </w:rPr>
        <w:t xml:space="preserve"> </w:t>
      </w:r>
    </w:p>
    <w:p w14:paraId="03FF7A29" w14:textId="77777777" w:rsidR="00C41119" w:rsidRPr="00C07E8E" w:rsidRDefault="00C41119" w:rsidP="00532D1D">
      <w:pPr>
        <w:rPr>
          <w:rFonts w:cs="Times New Roman"/>
          <w:color w:val="auto"/>
          <w:szCs w:val="22"/>
        </w:rPr>
      </w:pPr>
    </w:p>
    <w:p w14:paraId="080F76DF" w14:textId="77777777" w:rsidR="00D96DFB" w:rsidRPr="00C07E8E" w:rsidRDefault="00C07E8E" w:rsidP="00532D1D">
      <w:pPr>
        <w:pStyle w:val="Ttulo1"/>
        <w:numPr>
          <w:ilvl w:val="0"/>
          <w:numId w:val="3"/>
        </w:numPr>
        <w:spacing w:before="0"/>
        <w:rPr>
          <w:rFonts w:cs="Times New Roman"/>
          <w:color w:val="auto"/>
          <w:sz w:val="22"/>
          <w:szCs w:val="22"/>
        </w:rPr>
      </w:pPr>
      <w:r w:rsidRPr="00C07E8E">
        <w:rPr>
          <w:rFonts w:cs="Times New Roman"/>
          <w:color w:val="auto"/>
          <w:sz w:val="22"/>
          <w:szCs w:val="22"/>
        </w:rPr>
        <w:t>Trioxolane Antimalarials</w:t>
      </w:r>
    </w:p>
    <w:p w14:paraId="5450021B" w14:textId="77777777" w:rsidR="006159A8" w:rsidRPr="00C07E8E" w:rsidRDefault="00C07E8E" w:rsidP="00532D1D">
      <w:pPr>
        <w:pStyle w:val="Ttulo1"/>
        <w:numPr>
          <w:ilvl w:val="1"/>
          <w:numId w:val="3"/>
        </w:numPr>
        <w:spacing w:before="0"/>
        <w:rPr>
          <w:rFonts w:cs="Times New Roman"/>
          <w:color w:val="auto"/>
          <w:sz w:val="22"/>
          <w:szCs w:val="22"/>
        </w:rPr>
      </w:pPr>
      <w:r w:rsidRPr="00C07E8E">
        <w:rPr>
          <w:rFonts w:cs="Times New Roman"/>
          <w:color w:val="auto"/>
          <w:sz w:val="22"/>
          <w:szCs w:val="22"/>
        </w:rPr>
        <w:t>Arterolane</w:t>
      </w:r>
      <w:r w:rsidR="00902D53" w:rsidRPr="00C07E8E">
        <w:rPr>
          <w:rFonts w:cs="Times New Roman"/>
          <w:color w:val="auto"/>
          <w:sz w:val="22"/>
          <w:szCs w:val="22"/>
        </w:rPr>
        <w:t xml:space="preserve"> (OZ277)</w:t>
      </w:r>
    </w:p>
    <w:p w14:paraId="1C6DAF63" w14:textId="268457F1" w:rsidR="00D57A1C" w:rsidRPr="00C07E8E" w:rsidRDefault="006D7105" w:rsidP="00532D1D">
      <w:pPr>
        <w:keepNext/>
        <w:jc w:val="center"/>
        <w:rPr>
          <w:rFonts w:cs="Times New Roman"/>
          <w:color w:val="auto"/>
          <w:szCs w:val="22"/>
        </w:rPr>
      </w:pPr>
      <w:r w:rsidRPr="006D7105">
        <w:rPr>
          <w:rFonts w:cs="Times New Roman"/>
          <w:noProof/>
          <w:color w:val="auto"/>
          <w:szCs w:val="22"/>
        </w:rPr>
        <w:object w:dxaOrig="8681" w:dyaOrig="2844" w14:anchorId="0C7EA142">
          <v:shape id="_x0000_i1040" type="#_x0000_t75" alt="" style="width:433.8pt;height:143.4pt;mso-width-percent:0;mso-height-percent:0;mso-width-percent:0;mso-height-percent:0" o:ole="">
            <v:imagedata r:id="rId36" o:title=""/>
          </v:shape>
          <o:OLEObject Type="Embed" ProgID="ChemDraw.Document.6.0" ShapeID="_x0000_i1040" DrawAspect="Content" ObjectID="_1669219474" r:id="rId37"/>
        </w:object>
      </w:r>
    </w:p>
    <w:p w14:paraId="36EE19D2" w14:textId="6746A9F6" w:rsidR="00C531B5"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Figure </w:t>
      </w:r>
      <w:r w:rsidR="008D70F0" w:rsidRPr="00C07E8E">
        <w:rPr>
          <w:rFonts w:cs="Times New Roman"/>
          <w:b/>
          <w:bCs/>
          <w:i w:val="0"/>
          <w:iCs w:val="0"/>
          <w:color w:val="auto"/>
          <w:sz w:val="22"/>
          <w:szCs w:val="22"/>
        </w:rPr>
        <w:t>9</w:t>
      </w:r>
      <w:r w:rsidRPr="00C07E8E">
        <w:rPr>
          <w:rFonts w:cs="Times New Roman"/>
          <w:b/>
          <w:bCs/>
          <w:i w:val="0"/>
          <w:iCs w:val="0"/>
          <w:color w:val="auto"/>
          <w:sz w:val="22"/>
          <w:szCs w:val="22"/>
        </w:rPr>
        <w:t>:</w:t>
      </w:r>
      <w:r w:rsidRPr="00C07E8E">
        <w:rPr>
          <w:rFonts w:cs="Times New Roman"/>
          <w:i w:val="0"/>
          <w:iCs w:val="0"/>
          <w:color w:val="auto"/>
          <w:sz w:val="22"/>
          <w:szCs w:val="22"/>
        </w:rPr>
        <w:t xml:space="preserve"> </w:t>
      </w:r>
      <w:r w:rsidR="00EE13A7" w:rsidRPr="00C07E8E">
        <w:rPr>
          <w:rFonts w:cs="Times New Roman"/>
          <w:i w:val="0"/>
          <w:iCs w:val="0"/>
          <w:color w:val="auto"/>
          <w:sz w:val="22"/>
          <w:szCs w:val="22"/>
        </w:rPr>
        <w:t>Structure</w:t>
      </w:r>
      <w:r w:rsidR="00EE13A7">
        <w:rPr>
          <w:rFonts w:cs="Times New Roman"/>
          <w:i w:val="0"/>
          <w:iCs w:val="0"/>
          <w:color w:val="auto"/>
          <w:sz w:val="22"/>
          <w:szCs w:val="22"/>
        </w:rPr>
        <w:t xml:space="preserve"> representation</w:t>
      </w:r>
      <w:r w:rsidR="00EE13A7" w:rsidRPr="00C07E8E">
        <w:rPr>
          <w:rFonts w:cs="Times New Roman"/>
          <w:i w:val="0"/>
          <w:iCs w:val="0"/>
          <w:color w:val="auto"/>
          <w:sz w:val="22"/>
          <w:szCs w:val="22"/>
        </w:rPr>
        <w:t xml:space="preserve"> of the trioxolane antimalarial Arte</w:t>
      </w:r>
      <w:r w:rsidR="00EE13A7">
        <w:rPr>
          <w:rFonts w:cs="Times New Roman"/>
          <w:i w:val="0"/>
          <w:iCs w:val="0"/>
          <w:color w:val="auto"/>
          <w:sz w:val="22"/>
          <w:szCs w:val="22"/>
        </w:rPr>
        <w:t>r</w:t>
      </w:r>
      <w:r w:rsidR="00EE13A7" w:rsidRPr="00C07E8E">
        <w:rPr>
          <w:rFonts w:cs="Times New Roman"/>
          <w:i w:val="0"/>
          <w:iCs w:val="0"/>
          <w:color w:val="auto"/>
          <w:sz w:val="22"/>
          <w:szCs w:val="22"/>
        </w:rPr>
        <w:t>olane (OZ277</w:t>
      </w:r>
      <w:r w:rsidR="00EE13A7">
        <w:rPr>
          <w:rFonts w:cs="Times New Roman"/>
          <w:i w:val="0"/>
          <w:iCs w:val="0"/>
          <w:color w:val="auto"/>
          <w:sz w:val="22"/>
          <w:szCs w:val="22"/>
        </w:rPr>
        <w:t xml:space="preserve">, </w:t>
      </w:r>
      <w:r w:rsidR="00EE13A7">
        <w:rPr>
          <w:rFonts w:cs="Times New Roman"/>
          <w:b/>
          <w:bCs/>
          <w:i w:val="0"/>
          <w:iCs w:val="0"/>
          <w:color w:val="auto"/>
          <w:sz w:val="22"/>
          <w:szCs w:val="22"/>
        </w:rPr>
        <w:t>6</w:t>
      </w:r>
      <w:r w:rsidR="00242711">
        <w:rPr>
          <w:rFonts w:cs="Times New Roman"/>
          <w:b/>
          <w:bCs/>
          <w:i w:val="0"/>
          <w:iCs w:val="0"/>
          <w:color w:val="auto"/>
          <w:sz w:val="22"/>
          <w:szCs w:val="22"/>
        </w:rPr>
        <w:t>5</w:t>
      </w:r>
      <w:r w:rsidR="00EE13A7" w:rsidRPr="00C07E8E">
        <w:rPr>
          <w:rFonts w:cs="Times New Roman"/>
          <w:i w:val="0"/>
          <w:iCs w:val="0"/>
          <w:color w:val="auto"/>
          <w:sz w:val="22"/>
          <w:szCs w:val="22"/>
        </w:rPr>
        <w:t xml:space="preserve">) and </w:t>
      </w:r>
      <w:r w:rsidR="00EE13A7">
        <w:rPr>
          <w:rFonts w:cs="Times New Roman"/>
          <w:i w:val="0"/>
          <w:iCs w:val="0"/>
          <w:color w:val="auto"/>
          <w:sz w:val="22"/>
          <w:szCs w:val="22"/>
        </w:rPr>
        <w:t xml:space="preserve">of </w:t>
      </w:r>
      <w:r w:rsidR="00EE13A7" w:rsidRPr="00C07E8E">
        <w:rPr>
          <w:rFonts w:cs="Times New Roman"/>
          <w:i w:val="0"/>
          <w:iCs w:val="0"/>
          <w:color w:val="auto"/>
          <w:sz w:val="22"/>
          <w:szCs w:val="22"/>
        </w:rPr>
        <w:t>the 4-aminoquinoline Piperaquine</w:t>
      </w:r>
      <w:r w:rsidR="00EE13A7">
        <w:rPr>
          <w:rFonts w:cs="Times New Roman"/>
          <w:i w:val="0"/>
          <w:iCs w:val="0"/>
          <w:color w:val="auto"/>
          <w:sz w:val="22"/>
          <w:szCs w:val="22"/>
        </w:rPr>
        <w:t xml:space="preserve"> </w:t>
      </w:r>
      <w:r w:rsidR="00EE13A7" w:rsidRPr="007823B5">
        <w:rPr>
          <w:rFonts w:cs="Times New Roman"/>
          <w:b/>
          <w:bCs/>
          <w:i w:val="0"/>
          <w:iCs w:val="0"/>
          <w:color w:val="auto"/>
          <w:sz w:val="22"/>
          <w:szCs w:val="22"/>
        </w:rPr>
        <w:t>6</w:t>
      </w:r>
      <w:r w:rsidR="00242711">
        <w:rPr>
          <w:rFonts w:cs="Times New Roman"/>
          <w:b/>
          <w:bCs/>
          <w:i w:val="0"/>
          <w:iCs w:val="0"/>
          <w:color w:val="auto"/>
          <w:sz w:val="22"/>
          <w:szCs w:val="22"/>
        </w:rPr>
        <w:t>6</w:t>
      </w:r>
    </w:p>
    <w:p w14:paraId="6761513F" w14:textId="77777777" w:rsidR="007039D5" w:rsidRPr="00C07E8E" w:rsidRDefault="007039D5" w:rsidP="00532D1D">
      <w:pPr>
        <w:rPr>
          <w:rFonts w:cs="Times New Roman"/>
          <w:color w:val="auto"/>
          <w:szCs w:val="22"/>
        </w:rPr>
      </w:pPr>
    </w:p>
    <w:p w14:paraId="1B76D46D" w14:textId="66C9FB0C" w:rsidR="00C531B5" w:rsidRPr="00C07E8E" w:rsidRDefault="005765DA" w:rsidP="00532D1D">
      <w:pPr>
        <w:spacing w:after="240"/>
        <w:rPr>
          <w:rFonts w:cs="Times New Roman"/>
          <w:color w:val="auto"/>
          <w:szCs w:val="22"/>
        </w:rPr>
      </w:pPr>
      <w:r>
        <w:rPr>
          <w:rFonts w:cs="Times New Roman"/>
          <w:color w:val="auto"/>
          <w:szCs w:val="22"/>
        </w:rPr>
        <w:tab/>
      </w:r>
      <w:r w:rsidR="00C07E8E" w:rsidRPr="00C07E8E">
        <w:rPr>
          <w:rFonts w:cs="Times New Roman"/>
          <w:color w:val="auto"/>
          <w:szCs w:val="22"/>
        </w:rPr>
        <w:t>The trioxolane antimalarials are among the most widely explored class of synthetic endoperoxide antimalarials utilising an 1,2,4-trioxolane moiety as the alkylating endoperoxide warhead.</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101</w:t>
      </w:r>
      <w:r w:rsidR="00BB7163" w:rsidRPr="00C07E8E">
        <w:rPr>
          <w:rFonts w:cs="Times New Roman"/>
          <w:color w:val="auto"/>
          <w:szCs w:val="22"/>
        </w:rPr>
        <w:fldChar w:fldCharType="end"/>
      </w:r>
      <w:r w:rsidR="00C07E8E" w:rsidRPr="00C07E8E">
        <w:rPr>
          <w:rFonts w:cs="Times New Roman"/>
          <w:color w:val="auto"/>
          <w:szCs w:val="22"/>
        </w:rPr>
        <w:t xml:space="preserve"> The discovery of the pharmacophore initially involved the measurement of potent antimalarial activity of simple spir</w:t>
      </w:r>
      <w:r w:rsidR="00532015" w:rsidRPr="00C07E8E">
        <w:rPr>
          <w:rFonts w:cs="Times New Roman"/>
          <w:color w:val="auto"/>
          <w:szCs w:val="22"/>
        </w:rPr>
        <w:t>o</w:t>
      </w:r>
      <w:r w:rsidR="00C07E8E" w:rsidRPr="00C07E8E">
        <w:rPr>
          <w:rFonts w:cs="Times New Roman"/>
          <w:color w:val="auto"/>
          <w:szCs w:val="22"/>
        </w:rPr>
        <w:t>-adamantyl and cyclohexyl trioxolanes. The first generation of molecules</w:t>
      </w:r>
      <w:r w:rsidR="003D746F">
        <w:rPr>
          <w:rFonts w:cs="Times New Roman"/>
          <w:color w:val="auto"/>
          <w:szCs w:val="22"/>
        </w:rPr>
        <w:t xml:space="preserve"> developed by the Vennerstrom group</w:t>
      </w:r>
      <w:r w:rsidR="00C07E8E" w:rsidRPr="00C07E8E">
        <w:rPr>
          <w:rFonts w:cs="Times New Roman"/>
          <w:color w:val="auto"/>
          <w:szCs w:val="22"/>
        </w:rPr>
        <w:t xml:space="preserve"> were closely based on the initial prototype molecules with the addition of solubilising group containing amides on the 4” position on the cyclohexyl ring allowing the development of </w:t>
      </w:r>
      <w:r w:rsidR="003D746F">
        <w:rPr>
          <w:rFonts w:cs="Times New Roman"/>
          <w:color w:val="auto"/>
          <w:szCs w:val="22"/>
        </w:rPr>
        <w:t>improved</w:t>
      </w:r>
      <w:r w:rsidR="003D746F" w:rsidRPr="00C07E8E">
        <w:rPr>
          <w:rFonts w:cs="Times New Roman"/>
          <w:color w:val="auto"/>
          <w:szCs w:val="22"/>
        </w:rPr>
        <w:t xml:space="preserve"> </w:t>
      </w:r>
      <w:r w:rsidR="00C07E8E" w:rsidRPr="00C07E8E">
        <w:rPr>
          <w:rFonts w:cs="Times New Roman"/>
          <w:color w:val="auto"/>
          <w:szCs w:val="22"/>
        </w:rPr>
        <w:t xml:space="preserve">drug-like properties. </w:t>
      </w:r>
      <w:r w:rsidR="007039D5" w:rsidRPr="00C07E8E">
        <w:rPr>
          <w:rFonts w:cs="Times New Roman"/>
          <w:color w:val="auto"/>
          <w:szCs w:val="22"/>
        </w:rPr>
        <w:t>Arterolane</w:t>
      </w:r>
      <w:r w:rsidR="005B5648" w:rsidRPr="00C07E8E">
        <w:rPr>
          <w:rFonts w:cs="Times New Roman"/>
          <w:color w:val="auto"/>
          <w:szCs w:val="22"/>
        </w:rPr>
        <w:t xml:space="preserve"> (</w:t>
      </w:r>
      <w:r w:rsidR="00242711">
        <w:rPr>
          <w:rFonts w:cs="Times New Roman"/>
          <w:b/>
          <w:bCs/>
          <w:color w:val="auto"/>
          <w:szCs w:val="22"/>
        </w:rPr>
        <w:t>65</w:t>
      </w:r>
      <w:r w:rsidRPr="007370A6">
        <w:rPr>
          <w:rFonts w:cs="Times New Roman"/>
          <w:b/>
          <w:color w:val="auto"/>
          <w:szCs w:val="22"/>
        </w:rPr>
        <w:t>,</w:t>
      </w:r>
      <w:r w:rsidRPr="007125A3">
        <w:rPr>
          <w:rFonts w:cs="Times New Roman"/>
          <w:b/>
          <w:bCs/>
          <w:color w:val="auto"/>
          <w:szCs w:val="22"/>
        </w:rPr>
        <w:t xml:space="preserve"> </w:t>
      </w:r>
      <w:r w:rsidRPr="007370A6">
        <w:rPr>
          <w:rFonts w:cs="Times New Roman"/>
          <w:b/>
          <w:color w:val="auto"/>
          <w:szCs w:val="22"/>
        </w:rPr>
        <w:t>Figure 9</w:t>
      </w:r>
      <w:r w:rsidR="00C07E8E" w:rsidRPr="00C07E8E">
        <w:rPr>
          <w:rFonts w:cs="Times New Roman"/>
          <w:color w:val="auto"/>
          <w:szCs w:val="22"/>
        </w:rPr>
        <w:t>) was the most potent analogue synthesised</w:t>
      </w:r>
      <w:r w:rsidR="00BB7163" w:rsidRPr="00C07E8E">
        <w:rPr>
          <w:rFonts w:cs="Times New Roman"/>
          <w:color w:val="auto"/>
          <w:szCs w:val="22"/>
        </w:rPr>
        <w:t xml:space="preserve"> of first-generation compounds.</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101</w:t>
      </w:r>
      <w:r w:rsidR="00BB7163" w:rsidRPr="00C07E8E">
        <w:rPr>
          <w:rFonts w:cs="Times New Roman"/>
          <w:color w:val="auto"/>
          <w:szCs w:val="22"/>
        </w:rPr>
        <w:fldChar w:fldCharType="end"/>
      </w:r>
      <w:r w:rsidR="00BB7163" w:rsidRPr="00C07E8E">
        <w:rPr>
          <w:rFonts w:cs="Times New Roman"/>
          <w:color w:val="auto"/>
          <w:szCs w:val="22"/>
        </w:rPr>
        <w:t xml:space="preserve"> </w:t>
      </w:r>
      <w:r w:rsidR="00C07E8E" w:rsidRPr="00C07E8E">
        <w:rPr>
          <w:rFonts w:cs="Times New Roman"/>
          <w:color w:val="auto"/>
          <w:szCs w:val="22"/>
        </w:rPr>
        <w:t xml:space="preserve">Griesbaum co-ozonolysis is </w:t>
      </w:r>
      <w:r w:rsidR="00532015" w:rsidRPr="00C07E8E">
        <w:rPr>
          <w:rFonts w:cs="Times New Roman"/>
          <w:color w:val="auto"/>
          <w:szCs w:val="22"/>
        </w:rPr>
        <w:t>a</w:t>
      </w:r>
      <w:r w:rsidR="00C07E8E" w:rsidRPr="00C07E8E">
        <w:rPr>
          <w:rFonts w:cs="Times New Roman"/>
          <w:color w:val="auto"/>
          <w:szCs w:val="22"/>
        </w:rPr>
        <w:t xml:space="preserve"> key reaction in the synthesis of trioxolane</w:t>
      </w:r>
      <w:r w:rsidR="000E6733" w:rsidRPr="00C07E8E">
        <w:rPr>
          <w:rFonts w:cs="Times New Roman"/>
          <w:color w:val="auto"/>
          <w:szCs w:val="22"/>
        </w:rPr>
        <w:t xml:space="preserve"> antimalarials</w:t>
      </w:r>
      <w:r w:rsidR="00C959CA">
        <w:rPr>
          <w:rFonts w:cs="Times New Roman"/>
          <w:color w:val="auto"/>
          <w:szCs w:val="22"/>
        </w:rPr>
        <w:t>,</w:t>
      </w:r>
      <w:r w:rsidR="00C07E8E" w:rsidRPr="00C07E8E">
        <w:rPr>
          <w:rFonts w:cs="Times New Roman"/>
          <w:color w:val="auto"/>
          <w:szCs w:val="22"/>
        </w:rPr>
        <w:t xml:space="preserve"> </w:t>
      </w:r>
      <w:r w:rsidR="000E6733" w:rsidRPr="00C07E8E">
        <w:rPr>
          <w:rFonts w:cs="Times New Roman"/>
          <w:color w:val="auto"/>
          <w:szCs w:val="22"/>
        </w:rPr>
        <w:t>involving the condensation of a carbonyl oxide generated from adamantan-2-one O-methyl oxime (</w:t>
      </w:r>
      <w:r w:rsidR="00904ACF" w:rsidRPr="00C07E8E">
        <w:rPr>
          <w:rFonts w:cs="Times New Roman"/>
          <w:b/>
          <w:bCs/>
          <w:color w:val="auto"/>
          <w:szCs w:val="22"/>
        </w:rPr>
        <w:t>6</w:t>
      </w:r>
      <w:r w:rsidR="00242711">
        <w:rPr>
          <w:rFonts w:cs="Times New Roman"/>
          <w:b/>
          <w:bCs/>
          <w:color w:val="auto"/>
          <w:szCs w:val="22"/>
        </w:rPr>
        <w:t>7</w:t>
      </w:r>
      <w:r w:rsidR="000E6733" w:rsidRPr="00C07E8E">
        <w:rPr>
          <w:rFonts w:cs="Times New Roman"/>
          <w:color w:val="auto"/>
          <w:szCs w:val="22"/>
        </w:rPr>
        <w:t>) with a cyclohexanone derivative (</w:t>
      </w:r>
      <w:r w:rsidR="00904ACF" w:rsidRPr="00C07E8E">
        <w:rPr>
          <w:rFonts w:cs="Times New Roman"/>
          <w:b/>
          <w:bCs/>
          <w:color w:val="auto"/>
          <w:szCs w:val="22"/>
        </w:rPr>
        <w:t>6</w:t>
      </w:r>
      <w:r w:rsidR="00242711">
        <w:rPr>
          <w:rFonts w:cs="Times New Roman"/>
          <w:b/>
          <w:bCs/>
          <w:color w:val="auto"/>
          <w:szCs w:val="22"/>
        </w:rPr>
        <w:t>8</w:t>
      </w:r>
      <w:r w:rsidR="000E6733" w:rsidRPr="00C07E8E">
        <w:rPr>
          <w:rFonts w:cs="Times New Roman"/>
          <w:color w:val="auto"/>
          <w:szCs w:val="22"/>
        </w:rPr>
        <w:t xml:space="preserve">) to afford the dispiro 1,2,4-trioxolane </w:t>
      </w:r>
      <w:r w:rsidR="00904ACF" w:rsidRPr="007370A6">
        <w:rPr>
          <w:rFonts w:cs="Times New Roman"/>
          <w:color w:val="auto"/>
          <w:szCs w:val="22"/>
        </w:rPr>
        <w:t>6</w:t>
      </w:r>
      <w:r w:rsidR="00242711" w:rsidRPr="007370A6">
        <w:rPr>
          <w:rFonts w:cs="Times New Roman"/>
          <w:color w:val="auto"/>
          <w:szCs w:val="22"/>
        </w:rPr>
        <w:t>9</w:t>
      </w:r>
      <w:r w:rsidR="00C959CA">
        <w:rPr>
          <w:rFonts w:cs="Times New Roman"/>
          <w:color w:val="auto"/>
          <w:szCs w:val="22"/>
        </w:rPr>
        <w:t>,</w:t>
      </w:r>
      <w:r w:rsidR="00021D08" w:rsidRPr="00C07E8E">
        <w:rPr>
          <w:rFonts w:cs="Times New Roman"/>
          <w:color w:val="auto"/>
          <w:szCs w:val="22"/>
        </w:rPr>
        <w:t xml:space="preserve"> with the syn compound as the major diastereomer.</w:t>
      </w:r>
      <w:r w:rsidR="003436AF" w:rsidRPr="00C07E8E">
        <w:rPr>
          <w:rFonts w:cs="Times New Roman"/>
          <w:color w:val="auto"/>
          <w:szCs w:val="22"/>
        </w:rPr>
        <w:t xml:space="preserve"> Studies by Vennerstrom into the cis-trans selectivity of Griesbaum co-ozonolysis showed that an ethyl ester </w:t>
      </w:r>
      <w:r w:rsidR="003436AF" w:rsidRPr="00C07E8E">
        <w:rPr>
          <w:rFonts w:cs="Times New Roman"/>
          <w:color w:val="auto"/>
          <w:szCs w:val="22"/>
        </w:rPr>
        <w:lastRenderedPageBreak/>
        <w:t xml:space="preserve">equivalent of </w:t>
      </w:r>
      <w:r w:rsidR="00904ACF" w:rsidRPr="00C07E8E">
        <w:rPr>
          <w:rFonts w:cs="Times New Roman"/>
          <w:b/>
          <w:bCs/>
          <w:color w:val="auto"/>
          <w:szCs w:val="22"/>
        </w:rPr>
        <w:t>6</w:t>
      </w:r>
      <w:r w:rsidR="00242711">
        <w:rPr>
          <w:rFonts w:cs="Times New Roman"/>
          <w:b/>
          <w:bCs/>
          <w:color w:val="auto"/>
          <w:szCs w:val="22"/>
        </w:rPr>
        <w:t>9</w:t>
      </w:r>
      <w:r w:rsidR="003436AF" w:rsidRPr="00C07E8E">
        <w:rPr>
          <w:rFonts w:cs="Times New Roman"/>
          <w:b/>
          <w:bCs/>
          <w:color w:val="auto"/>
          <w:szCs w:val="22"/>
        </w:rPr>
        <w:t xml:space="preserve"> </w:t>
      </w:r>
      <w:r w:rsidR="003436AF" w:rsidRPr="00C07E8E">
        <w:rPr>
          <w:rFonts w:cs="Times New Roman"/>
          <w:color w:val="auto"/>
          <w:szCs w:val="22"/>
        </w:rPr>
        <w:t>was synthesised in a cis:trans ratio of 4.5:1.</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{"citationItems":[{"id":"ITEM-1","itemData":{"DOI":"10.1021/jo040171c","ISSN":"00223263","abstract":"The diastereoselectivity of the Griesbaum coozonolysis reaction with O-methyl 2-adamantanone oxime and 4-substituted cyclohexanones reveals that the major tetrasubstituted ozonide isomers possess cis configurations, suggesting a preferred axial attack of the carbonyl oxide on the cyclohexanone dipolarophiles. It is evident that these tetrasubstituted ozonides are quite stable to triphenylphosphine, borohydrides, hydrazine, alkyllithiums, Grignard reagents, mercaptides, and aqueous KOH as illustrated by the synthesis of amine, alcohol, acid, ester, ether, sulfide, sulfone, and heterocycle-functionalized ozonides by a wide range of post-ozonolysis transformations.","author":[{"dropping-particle":"","family":"Tang","given":"Yuanqing","non-dropping-particle":"","parse-names":false,"suffix":""},{"dropping-particle":"","family":"Dong","given":"Yuxiang","non-dropping-particle":"","parse-names":false,"suffix":""},{"dropping-particle":"","family":"Karle","given":"Jean M","non-dropping-particle":"","parse-names":false,"suffix":""},{"dropping-particle":"","family":"DiTusa","given":"Charles A","non-dropping-particle":"","parse-names":false,"suffix":""},{"dropping-particle":"","family":"Vennerstrom","given":"Jonathan L","non-dropping-particle":"","parse-names":false,"suffix":""}],"container-title":"The Journal of Organic Chemistry","id":"ITEM-1","issue":"19","issued":{"date-parts":[["2004","9","1"]]},"note":"From Duplicate 1 (Synthesis of Tetrasubstituted Ozonides by the Griesbaum Coozonolysis Reaction: Diastereoselectivity and Functional Group Transformations by Post-Ozonolysis Reactions - Tang, Yuanqing; Dong, Yuxiang; Karle, Jean M; DiTusa, Charles A; Vennerstrom, Jonathan L)\n\ndoi: 10.1021/jo040171c","page":"6470-6473","publisher":"American Chemical Society","title":"Synthesis of Tetrasubstituted Ozonides by the Griesbaum Coozonolysis Reaction: Diastereoselectivity and Functional Group Transformations by Post-Ozonolysis Reactions","type":"article-journal","volume":"69"},"uris":["http://www.mendeley.com/documents/?uuid=48a43ab7-f31c-4e2f-b2fc-52f2d9c6f6c9"]}],"mendeley":{"formattedCitation":"&lt;sup&gt;102&lt;/sup&gt;","plainTextFormattedCitation":"102","previouslyFormattedCitation":"&lt;sup&gt;102&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102</w:t>
      </w:r>
      <w:r w:rsidR="00BB7163" w:rsidRPr="00C07E8E">
        <w:rPr>
          <w:rFonts w:cs="Times New Roman"/>
          <w:color w:val="auto"/>
          <w:szCs w:val="22"/>
        </w:rPr>
        <w:fldChar w:fldCharType="end"/>
      </w:r>
      <w:r w:rsidR="003436AF" w:rsidRPr="00C07E8E">
        <w:rPr>
          <w:rFonts w:cs="Times New Roman"/>
          <w:color w:val="auto"/>
          <w:szCs w:val="22"/>
        </w:rPr>
        <w:t xml:space="preserve"> </w:t>
      </w:r>
      <w:r w:rsidR="00021D08" w:rsidRPr="00C07E8E">
        <w:rPr>
          <w:rFonts w:cs="Times New Roman"/>
          <w:color w:val="auto"/>
          <w:szCs w:val="22"/>
        </w:rPr>
        <w:t>Hydrolysis of the ester and subsequent formation of the benzotriazole activated ester</w:t>
      </w:r>
      <w:r w:rsidR="00904ACF" w:rsidRPr="00C07E8E">
        <w:rPr>
          <w:rFonts w:cs="Times New Roman"/>
          <w:color w:val="auto"/>
          <w:szCs w:val="22"/>
        </w:rPr>
        <w:t xml:space="preserve"> </w:t>
      </w:r>
      <w:r w:rsidR="00242711">
        <w:rPr>
          <w:rFonts w:cs="Times New Roman"/>
          <w:b/>
          <w:bCs/>
          <w:color w:val="auto"/>
          <w:szCs w:val="22"/>
        </w:rPr>
        <w:t>70</w:t>
      </w:r>
      <w:r w:rsidR="00021D08" w:rsidRPr="00C07E8E">
        <w:rPr>
          <w:rFonts w:cs="Times New Roman"/>
          <w:b/>
          <w:bCs/>
          <w:color w:val="auto"/>
          <w:szCs w:val="22"/>
        </w:rPr>
        <w:t xml:space="preserve"> </w:t>
      </w:r>
      <w:r w:rsidR="00021D08" w:rsidRPr="00C07E8E">
        <w:rPr>
          <w:rFonts w:cs="Times New Roman"/>
          <w:color w:val="auto"/>
          <w:szCs w:val="22"/>
        </w:rPr>
        <w:t>allowed divergent synthesis of a range of analogues</w:t>
      </w:r>
      <w:r w:rsidR="00C959CA">
        <w:rPr>
          <w:rFonts w:cs="Times New Roman"/>
          <w:color w:val="auto"/>
          <w:szCs w:val="22"/>
        </w:rPr>
        <w:t>,</w:t>
      </w:r>
      <w:r w:rsidR="00021D08" w:rsidRPr="00C07E8E">
        <w:rPr>
          <w:rFonts w:cs="Times New Roman"/>
          <w:color w:val="auto"/>
          <w:szCs w:val="22"/>
        </w:rPr>
        <w:t xml:space="preserve"> including </w:t>
      </w:r>
      <w:r w:rsidR="007039D5" w:rsidRPr="00C07E8E">
        <w:rPr>
          <w:rFonts w:cs="Times New Roman"/>
          <w:color w:val="auto"/>
          <w:szCs w:val="22"/>
        </w:rPr>
        <w:t>Arterolane</w:t>
      </w:r>
      <w:r w:rsidR="00D96DFB" w:rsidRPr="00C07E8E">
        <w:rPr>
          <w:rFonts w:cs="Times New Roman"/>
          <w:color w:val="auto"/>
          <w:szCs w:val="22"/>
        </w:rPr>
        <w:t xml:space="preserve"> (Scheme 8)</w:t>
      </w:r>
      <w:r w:rsidR="00021D08"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101</w:t>
      </w:r>
      <w:r w:rsidR="00BB7163" w:rsidRPr="00C07E8E">
        <w:rPr>
          <w:rFonts w:cs="Times New Roman"/>
          <w:color w:val="auto"/>
          <w:szCs w:val="22"/>
        </w:rPr>
        <w:fldChar w:fldCharType="end"/>
      </w:r>
    </w:p>
    <w:p w14:paraId="38C01AB6" w14:textId="6004175B" w:rsidR="00D57A1C" w:rsidRPr="00C07E8E" w:rsidRDefault="006D7105" w:rsidP="00532D1D">
      <w:pPr>
        <w:keepNext/>
        <w:jc w:val="center"/>
        <w:rPr>
          <w:rFonts w:cs="Times New Roman"/>
          <w:color w:val="auto"/>
          <w:szCs w:val="22"/>
        </w:rPr>
      </w:pPr>
      <w:r w:rsidRPr="006D7105">
        <w:rPr>
          <w:rFonts w:cs="Times New Roman"/>
          <w:noProof/>
          <w:color w:val="auto"/>
          <w:szCs w:val="22"/>
        </w:rPr>
        <w:object w:dxaOrig="8317" w:dyaOrig="3285" w14:anchorId="26D43B3C">
          <v:shape id="_x0000_i1041" type="#_x0000_t75" alt="" style="width:414.6pt;height:163.2pt;mso-width-percent:0;mso-height-percent:0;mso-width-percent:0;mso-height-percent:0" o:ole="">
            <v:imagedata r:id="rId38" o:title=""/>
          </v:shape>
          <o:OLEObject Type="Embed" ProgID="ChemDraw.Document.6.0" ShapeID="_x0000_i1041" DrawAspect="Content" ObjectID="_1669219475" r:id="rId39"/>
        </w:object>
      </w:r>
    </w:p>
    <w:p w14:paraId="3CCD8C0A" w14:textId="77777777" w:rsidR="005B5648"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Scheme </w:t>
      </w:r>
      <w:r w:rsidR="00D96DFB" w:rsidRPr="00C07E8E">
        <w:rPr>
          <w:rFonts w:cs="Times New Roman"/>
          <w:b/>
          <w:bCs/>
          <w:i w:val="0"/>
          <w:iCs w:val="0"/>
          <w:color w:val="auto"/>
          <w:sz w:val="22"/>
          <w:szCs w:val="22"/>
        </w:rPr>
        <w:t>8</w:t>
      </w:r>
      <w:r w:rsidRPr="00C07E8E">
        <w:rPr>
          <w:rFonts w:cs="Times New Roman"/>
          <w:i w:val="0"/>
          <w:iCs w:val="0"/>
          <w:color w:val="auto"/>
          <w:sz w:val="22"/>
          <w:szCs w:val="22"/>
        </w:rPr>
        <w:t xml:space="preserve">: Synthesis of </w:t>
      </w:r>
      <w:r w:rsidR="007039D5" w:rsidRPr="00C07E8E">
        <w:rPr>
          <w:rFonts w:cs="Times New Roman"/>
          <w:i w:val="0"/>
          <w:iCs w:val="0"/>
          <w:color w:val="auto"/>
          <w:sz w:val="22"/>
          <w:szCs w:val="22"/>
        </w:rPr>
        <w:t>Artelorane</w:t>
      </w:r>
    </w:p>
    <w:p w14:paraId="34821FE5" w14:textId="77777777" w:rsidR="005B5648" w:rsidRPr="00C07E8E" w:rsidRDefault="005B5648" w:rsidP="00532D1D">
      <w:pPr>
        <w:rPr>
          <w:rFonts w:cs="Times New Roman"/>
          <w:color w:val="auto"/>
          <w:szCs w:val="22"/>
        </w:rPr>
      </w:pPr>
    </w:p>
    <w:p w14:paraId="7F0E59DF" w14:textId="3A227CD3" w:rsidR="00021D08" w:rsidRPr="00C07E8E" w:rsidRDefault="005765DA" w:rsidP="00532D1D">
      <w:pPr>
        <w:rPr>
          <w:rFonts w:cs="Times New Roman"/>
          <w:color w:val="auto"/>
          <w:szCs w:val="22"/>
        </w:rPr>
      </w:pPr>
      <w:r>
        <w:rPr>
          <w:rFonts w:cs="Times New Roman"/>
          <w:color w:val="auto"/>
          <w:szCs w:val="22"/>
        </w:rPr>
        <w:tab/>
      </w:r>
      <w:r w:rsidR="00C07E8E" w:rsidRPr="00C07E8E">
        <w:rPr>
          <w:rFonts w:cs="Times New Roman"/>
          <w:color w:val="auto"/>
          <w:szCs w:val="22"/>
        </w:rPr>
        <w:t>Arterolane</w:t>
      </w:r>
      <w:r w:rsidR="00251197" w:rsidRPr="00C07E8E">
        <w:rPr>
          <w:rFonts w:cs="Times New Roman"/>
          <w:color w:val="auto"/>
          <w:szCs w:val="22"/>
        </w:rPr>
        <w:t xml:space="preserve"> </w:t>
      </w:r>
      <w:r w:rsidR="00C07E8E" w:rsidRPr="00C07E8E">
        <w:rPr>
          <w:rFonts w:cs="Times New Roman"/>
          <w:color w:val="auto"/>
          <w:szCs w:val="22"/>
        </w:rPr>
        <w:t xml:space="preserve">was found to possess potent </w:t>
      </w:r>
      <w:r w:rsidR="00C07E8E" w:rsidRPr="00C07E8E">
        <w:rPr>
          <w:rFonts w:cs="Times New Roman"/>
          <w:i/>
          <w:iCs/>
          <w:color w:val="auto"/>
          <w:szCs w:val="22"/>
        </w:rPr>
        <w:t>P. falciparum</w:t>
      </w:r>
      <w:r w:rsidR="00C07E8E" w:rsidRPr="00C07E8E">
        <w:rPr>
          <w:rFonts w:cs="Times New Roman"/>
          <w:color w:val="auto"/>
          <w:szCs w:val="22"/>
        </w:rPr>
        <w:t xml:space="preserve"> IC</w:t>
      </w:r>
      <w:r w:rsidR="00C07E8E" w:rsidRPr="00C07E8E">
        <w:rPr>
          <w:rFonts w:cs="Times New Roman"/>
          <w:color w:val="auto"/>
          <w:szCs w:val="22"/>
        </w:rPr>
        <w:softHyphen/>
      </w:r>
      <w:r w:rsidR="00C07E8E" w:rsidRPr="00C07E8E">
        <w:rPr>
          <w:rFonts w:cs="Times New Roman"/>
          <w:color w:val="auto"/>
          <w:szCs w:val="22"/>
          <w:vertAlign w:val="subscript"/>
        </w:rPr>
        <w:t xml:space="preserve">50 </w:t>
      </w:r>
      <w:r w:rsidR="00C07E8E" w:rsidRPr="00C07E8E">
        <w:rPr>
          <w:rFonts w:cs="Times New Roman"/>
          <w:color w:val="auto"/>
          <w:szCs w:val="22"/>
        </w:rPr>
        <w:t>values of 0.91 nM and 1.0 nM against the CQ sensitive strain NF54 and CQ resistant strain K1</w:t>
      </w:r>
      <w:r w:rsidR="00C959CA">
        <w:rPr>
          <w:rFonts w:cs="Times New Roman"/>
          <w:color w:val="auto"/>
          <w:szCs w:val="22"/>
        </w:rPr>
        <w:t>,</w:t>
      </w:r>
      <w:r w:rsidR="00C07E8E" w:rsidRPr="00C07E8E">
        <w:rPr>
          <w:rFonts w:cs="Times New Roman"/>
          <w:color w:val="auto"/>
          <w:szCs w:val="22"/>
        </w:rPr>
        <w:t xml:space="preserve"> outperforming</w:t>
      </w:r>
      <w:r w:rsidR="008A2A32" w:rsidRPr="00C07E8E">
        <w:rPr>
          <w:rFonts w:cs="Times New Roman"/>
          <w:color w:val="auto"/>
          <w:szCs w:val="22"/>
        </w:rPr>
        <w:t xml:space="preserve"> artesunate</w:t>
      </w:r>
      <w:r w:rsidR="00C07E8E"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101</w:t>
      </w:r>
      <w:r w:rsidR="00BB7163" w:rsidRPr="00C07E8E">
        <w:rPr>
          <w:rFonts w:cs="Times New Roman"/>
          <w:color w:val="auto"/>
          <w:szCs w:val="22"/>
        </w:rPr>
        <w:fldChar w:fldCharType="end"/>
      </w:r>
      <w:r w:rsidR="008A2A32" w:rsidRPr="00C07E8E">
        <w:rPr>
          <w:rFonts w:cs="Times New Roman"/>
          <w:color w:val="auto"/>
          <w:szCs w:val="22"/>
        </w:rPr>
        <w:t xml:space="preserve"> </w:t>
      </w:r>
      <w:r w:rsidR="00532015" w:rsidRPr="00C07E8E">
        <w:rPr>
          <w:rFonts w:cs="Times New Roman"/>
          <w:color w:val="auto"/>
          <w:szCs w:val="22"/>
        </w:rPr>
        <w:t>In</w:t>
      </w:r>
      <w:r w:rsidR="00C07E8E" w:rsidRPr="00C07E8E">
        <w:rPr>
          <w:rFonts w:cs="Times New Roman"/>
          <w:i/>
          <w:iCs/>
          <w:color w:val="auto"/>
          <w:szCs w:val="22"/>
        </w:rPr>
        <w:t xml:space="preserve"> vivo </w:t>
      </w:r>
      <w:r w:rsidR="00C07E8E" w:rsidRPr="00C07E8E">
        <w:rPr>
          <w:rFonts w:cs="Times New Roman"/>
          <w:color w:val="auto"/>
          <w:szCs w:val="22"/>
        </w:rPr>
        <w:t xml:space="preserve">studies for 30-day survival in the </w:t>
      </w:r>
      <w:r w:rsidR="00C07E8E" w:rsidRPr="00C07E8E">
        <w:rPr>
          <w:rFonts w:cs="Times New Roman"/>
          <w:i/>
          <w:iCs/>
          <w:color w:val="auto"/>
          <w:szCs w:val="22"/>
        </w:rPr>
        <w:t xml:space="preserve">P. berghei </w:t>
      </w:r>
      <w:r w:rsidR="00C07E8E" w:rsidRPr="00C07E8E">
        <w:rPr>
          <w:rFonts w:cs="Times New Roman"/>
          <w:color w:val="auto"/>
          <w:szCs w:val="22"/>
        </w:rPr>
        <w:t xml:space="preserve">mouse </w:t>
      </w:r>
      <w:r w:rsidR="00273EE2">
        <w:rPr>
          <w:rFonts w:cs="Times New Roman"/>
          <w:color w:val="auto"/>
          <w:szCs w:val="22"/>
        </w:rPr>
        <w:t xml:space="preserve">model </w:t>
      </w:r>
      <w:r w:rsidR="00C07E8E" w:rsidRPr="00C07E8E">
        <w:rPr>
          <w:rFonts w:cs="Times New Roman"/>
          <w:color w:val="auto"/>
          <w:szCs w:val="22"/>
        </w:rPr>
        <w:t>showed cures in 66 % of mice</w:t>
      </w:r>
      <w:r w:rsidR="00273EE2">
        <w:rPr>
          <w:rFonts w:cs="Times New Roman"/>
          <w:color w:val="auto"/>
          <w:szCs w:val="22"/>
        </w:rPr>
        <w:t>,</w:t>
      </w:r>
      <w:r w:rsidR="00C07E8E" w:rsidRPr="00C07E8E">
        <w:rPr>
          <w:rFonts w:cs="Times New Roman"/>
          <w:color w:val="auto"/>
          <w:szCs w:val="22"/>
        </w:rPr>
        <w:t xml:space="preserve"> following</w:t>
      </w:r>
      <w:r w:rsidR="006D6159" w:rsidRPr="00C07E8E">
        <w:rPr>
          <w:rFonts w:cs="Times New Roman"/>
          <w:color w:val="auto"/>
          <w:szCs w:val="22"/>
        </w:rPr>
        <w:t xml:space="preserve"> doses of</w:t>
      </w:r>
      <w:r w:rsidR="00C07E8E" w:rsidRPr="00C07E8E">
        <w:rPr>
          <w:rFonts w:cs="Times New Roman"/>
          <w:color w:val="auto"/>
          <w:szCs w:val="22"/>
        </w:rPr>
        <w:t xml:space="preserve"> 3 mg/kg</w:t>
      </w:r>
      <w:r w:rsidR="006D6159" w:rsidRPr="00C07E8E">
        <w:rPr>
          <w:rFonts w:cs="Times New Roman"/>
          <w:color w:val="auto"/>
          <w:szCs w:val="22"/>
        </w:rPr>
        <w:t>/day over 3 days.</w:t>
      </w:r>
      <w:r w:rsidR="003C04F5" w:rsidRPr="00C07E8E">
        <w:rPr>
          <w:rFonts w:cs="Times New Roman"/>
          <w:color w:val="auto"/>
          <w:szCs w:val="22"/>
        </w:rPr>
        <w:t xml:space="preserve"> In contrast, a similar survival study with a single dose of 3 mg/kg resulted in an average of 9-day survival.</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candidate","type":"article-journal","volume":"430"},"uris":["http://www.mendeley.com/documents/?uuid=4ebfa213-904f-43f9-a144-14645b59ad3c"]},{"id":"ITEM-2","itemData":{"DOI":"10.1186/s12936-016-1675-x","ISSN":"14752875","PMID":"28086874","abstract":"A decade of discovery and development of new anti-malarial medicines has led to a renewed focus on malaria elimination and eradication. Changes in the way new anti-malarial drugs are discovered and developed have led to a dramatic increase in the number and diversity of new molecules presently in pre-clinical and early clinical development. The twin challenges faced can be summarized by multi-drug resistant malaria from the Greater Mekong Sub-region, and the need to provide simplified medicines. This review lists changes in anti-malarial target candidate and target product profiles over the last 4 years. As well as new medicines to treat disease and prevent transmission, there has been increased focus on the longer term goal of finding new medicines for chemoprotection, potentially with long-acting molecules, or parenteral formulations. Other gaps in the malaria armamentarium, such as drugs to treat severe malaria and endectocides (that kill mosquitoes which feed on people who have taken the drug), are defined here. Ultimately the elimination of malaria requires medicines that are safe and well-tolerated to be used in vulnerable populations: in pregnancy, especially the first trimester, and in those suffering from malnutrition or co-infection with other pathogens. These updates reflect the maturing of an understanding of the key challenges in producing the next generation of medicines to control, eliminate and ultimately eradicate malaria.","author":[{"dropping-particle":"","family":"Burrows","given":"Jeremy N.","non-dropping-particle":"","parse-names":false,"suffix":""},{"dropping-particle":"","family":"Duparc","given":"Stephan","non-dropping-particle":"","parse-names":false,"suffix":""},{"dropping-particle":"","family":"Gutteridge","given":"Winston E.","non-dropping-particle":"","parse-names":false,"suffix":""},{"dropping-particle":"","family":"Hooft Van Huijsduijnen","given":"Rob","non-dropping-particle":"","parse-names":false,"suffix":""},{"dropping-particle":"","family":"Kaszubska","given":"Wiweka","non-dropping-particle":"","parse-names":false,"suffix":""},{"dropping-particle":"","family":"Macintyre","given":"Fiona","non-dropping-particle":"","parse-names":false,"suffix":""},{"dropping-particle":"","family":"Mazzuri","given":"Sébastien","non-dropping-particle":"","parse-names":false,"suffix":""},{"dropping-particle":"","family":"Möhrle","given":"Jörg J.","non-dropping-particle":"","parse-names":false,"suffix":""},{"dropping-particle":"","family":"Wells","given":"Timothy N.C.","non-dropping-particle":"","parse-names":false,"suffix":""}],"container-title":"Malaria Journal","id":"ITEM-2","issue":"1","issued":{"date-parts":[["2017"]]},"page":"26","title":"New developments in anti-malarial target candidate and product profiles","type":"article-journal","volume":"16"},"uris":["http://www.mendeley.com/documents/?uuid=bc369b16-26a9-4d3e-95fb-6040244de494"]}],"mendeley":{"formattedCitation":"&lt;sup&gt;89,101&lt;/sup&gt;","plainTextFormattedCitation":"89,101","previouslyFormattedCitation":"&lt;sup&gt;89,101&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89,101</w:t>
      </w:r>
      <w:r w:rsidR="00BB7163" w:rsidRPr="00C07E8E">
        <w:rPr>
          <w:rFonts w:cs="Times New Roman"/>
          <w:color w:val="auto"/>
          <w:szCs w:val="22"/>
        </w:rPr>
        <w:fldChar w:fldCharType="end"/>
      </w:r>
      <w:r w:rsidR="008A2A32" w:rsidRPr="00C07E8E">
        <w:rPr>
          <w:rFonts w:cs="Times New Roman"/>
          <w:color w:val="auto"/>
          <w:szCs w:val="22"/>
        </w:rPr>
        <w:t xml:space="preserve"> </w:t>
      </w:r>
      <w:r w:rsidR="003C04F5" w:rsidRPr="00C07E8E">
        <w:rPr>
          <w:rFonts w:cs="Times New Roman"/>
          <w:color w:val="auto"/>
          <w:szCs w:val="22"/>
        </w:rPr>
        <w:t xml:space="preserve">Though </w:t>
      </w:r>
      <w:r w:rsidR="00C07E8E" w:rsidRPr="00C07E8E">
        <w:rPr>
          <w:rFonts w:cs="Times New Roman"/>
          <w:color w:val="auto"/>
          <w:szCs w:val="22"/>
        </w:rPr>
        <w:t>arterolane</w:t>
      </w:r>
      <w:r w:rsidR="00251197" w:rsidRPr="00C07E8E">
        <w:rPr>
          <w:rFonts w:cs="Times New Roman"/>
          <w:color w:val="auto"/>
          <w:szCs w:val="22"/>
        </w:rPr>
        <w:t xml:space="preserve"> </w:t>
      </w:r>
      <w:r w:rsidR="003C04F5" w:rsidRPr="00C07E8E">
        <w:rPr>
          <w:rFonts w:cs="Times New Roman"/>
          <w:color w:val="auto"/>
          <w:szCs w:val="22"/>
        </w:rPr>
        <w:t>possessed improved PK in comparison to semi-synthetic artemisinins artemether and artesunate the bioavailability is still low with an oral bioavailability of 35 %</w:t>
      </w:r>
      <w:r w:rsidR="00273EE2">
        <w:rPr>
          <w:rFonts w:cs="Times New Roman"/>
          <w:color w:val="auto"/>
          <w:szCs w:val="22"/>
        </w:rPr>
        <w:t>,</w:t>
      </w:r>
      <w:r w:rsidR="003C04F5" w:rsidRPr="00C07E8E">
        <w:rPr>
          <w:rFonts w:cs="Times New Roman"/>
          <w:color w:val="auto"/>
          <w:szCs w:val="22"/>
        </w:rPr>
        <w:t xml:space="preserve"> which likely contributes to the low survival after single </w:t>
      </w:r>
      <w:r w:rsidR="00861651">
        <w:rPr>
          <w:rFonts w:cs="Times New Roman"/>
          <w:color w:val="auto"/>
          <w:szCs w:val="22"/>
        </w:rPr>
        <w:t>oral</w:t>
      </w:r>
      <w:r w:rsidR="003D746F">
        <w:rPr>
          <w:rFonts w:cs="Times New Roman"/>
          <w:color w:val="auto"/>
          <w:szCs w:val="22"/>
        </w:rPr>
        <w:t xml:space="preserve"> </w:t>
      </w:r>
      <w:r w:rsidR="003C04F5" w:rsidRPr="00C07E8E">
        <w:rPr>
          <w:rFonts w:cs="Times New Roman"/>
          <w:color w:val="auto"/>
          <w:szCs w:val="22"/>
        </w:rPr>
        <w:t>dose</w:t>
      </w:r>
      <w:r w:rsidR="003D746F">
        <w:rPr>
          <w:rFonts w:cs="Times New Roman"/>
          <w:color w:val="auto"/>
          <w:szCs w:val="22"/>
        </w:rPr>
        <w:t>s in the mouse model used</w:t>
      </w:r>
      <w:r w:rsidR="003C04F5"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101</w:t>
      </w:r>
      <w:r w:rsidR="00BB7163" w:rsidRPr="00C07E8E">
        <w:rPr>
          <w:rFonts w:cs="Times New Roman"/>
          <w:color w:val="auto"/>
          <w:szCs w:val="22"/>
        </w:rPr>
        <w:fldChar w:fldCharType="end"/>
      </w:r>
      <w:r w:rsidR="008A2A32" w:rsidRPr="00C07E8E">
        <w:rPr>
          <w:rFonts w:cs="Times New Roman"/>
          <w:color w:val="auto"/>
          <w:szCs w:val="22"/>
        </w:rPr>
        <w:t xml:space="preserve"> </w:t>
      </w:r>
      <w:r w:rsidR="00251197" w:rsidRPr="00C07E8E">
        <w:rPr>
          <w:rFonts w:cs="Times New Roman"/>
          <w:color w:val="auto"/>
          <w:szCs w:val="22"/>
        </w:rPr>
        <w:t xml:space="preserve"> </w:t>
      </w:r>
    </w:p>
    <w:p w14:paraId="649ABD5D" w14:textId="11C11E5E" w:rsidR="003C04F5" w:rsidRPr="00C07E8E" w:rsidRDefault="00C07E8E" w:rsidP="00532D1D">
      <w:pPr>
        <w:rPr>
          <w:rFonts w:cs="Times New Roman"/>
          <w:color w:val="auto"/>
          <w:szCs w:val="22"/>
        </w:rPr>
      </w:pPr>
      <w:r w:rsidRPr="00C07E8E">
        <w:rPr>
          <w:rFonts w:cs="Times New Roman"/>
          <w:color w:val="auto"/>
          <w:szCs w:val="22"/>
        </w:rPr>
        <w:tab/>
      </w:r>
      <w:r w:rsidR="007039D5" w:rsidRPr="00C07E8E">
        <w:rPr>
          <w:rFonts w:cs="Times New Roman"/>
          <w:color w:val="auto"/>
          <w:szCs w:val="22"/>
        </w:rPr>
        <w:t xml:space="preserve">Arterolane </w:t>
      </w:r>
      <w:r w:rsidRPr="00C07E8E">
        <w:rPr>
          <w:rFonts w:cs="Times New Roman"/>
          <w:color w:val="auto"/>
          <w:szCs w:val="22"/>
        </w:rPr>
        <w:t>was progressed to phase I clinical trials, with results published in 2013.</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{"citationItems":[{"id":"ITEM-1","itemData":{"DOI":"10.1002/jcph.232","ISSN":"15524604","PMID":"24242999","abstract":"Arterolane (RBx11160, OZ277) maleate is a rapidly acting synthetic trioxolane anti-malarial. This randomized, placebo controlled study was a phase I study to evaluate the clinical safety and tolerability as well as pharmacokinetics (PKs) of arterolane maleate including food effect. Eight single rising oral doses of arterolane (25, 50, 100, 150, 200, 300, 400, 600 mg), food effect under fed and fasting conditions at 100 mg dose and four multiple oral dose regimens (25, 50, 100, 200 mg) were administered once daily for 7 days in 64 healthy young males (Caucasian). A randomized, placebo-controlled study was also conducted in healthy elderly males and females (Caucasian) to investigate PKs, safety and tolerability of single oral dose (100 mg) of arterolane. All doses were well tolerated after oral administration. The initial peak of arterolane was apparent at 2-3 hours post-dose followed by a secondary peak at approximately 5 hours post-dose. Thereafter, plasma arterolane concentration declined with a geometric mean t1/2 of approximately 2-4 hours. The PKs of arterolane appeared to be time-invariant after repeated once-daily dosing. The incidence of adverse events was similar for placebo and active treatments. Arterolane had similar PKs and tolerability in elderly and younger subjects and between elderly males and females. © 2013, The American College of Clinical Pharmacology.","author":[{"dropping-particle":"","family":"Saha","given":"Nilanjan","non-dropping-particle":"","parse-names":false,"suffix":""},{"dropping-particle":"","family":"Moehrle","given":"Joerg J.","non-dropping-particle":"","parse-names":false,"suffix":""},{"dropping-particle":"","family":"Zutshi","given":"Anita","non-dropping-particle":"","parse-names":false,"suffix":""},{"dropping-particle":"","family":"Sharma","given":"Pradeep","non-dropping-particle":"","parse-names":false,"suffix":""},{"dropping-particle":"","family":"Kaur","given":"Pawandeep","non-dropping-particle":"","parse-names":false,"suffix":""},{"dropping-particle":"","family":"Iyer","given":"Sunil S.","non-dropping-particle":"","parse-names":false,"suffix":""}],"container-title":"Journal of Clinical Pharmacology","id":"ITEM-1","issue":"4","issued":{"date-parts":[["2014"]]},"page":"386-393","title":"Safety, tolerability and pharmacokinetic profile of single and multiple oral doses of arterolane (RBx11160) maleate in healthy subjects","type":"article-journal","volume":"54"},"uris":["http://www.mendeley.com/documents/?uuid=7c136f27-d3c0-4877-8f80-2105d247bac8","http://www.mendeley.com/documents/?uuid=f7a52217-8518-4904-9ef8-0d4cb726fe2d"]}],"mendeley":{"formattedCitation":"&lt;sup&gt;103&lt;/sup&gt;","plainTextFormattedCitation":"103","previouslyFormattedCitation":"&lt;sup&gt;103&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103</w:t>
      </w:r>
      <w:r w:rsidR="00BB7163" w:rsidRPr="00C07E8E">
        <w:rPr>
          <w:rFonts w:cs="Times New Roman"/>
          <w:color w:val="auto"/>
          <w:szCs w:val="22"/>
        </w:rPr>
        <w:fldChar w:fldCharType="end"/>
      </w:r>
      <w:r w:rsidR="008A2A32" w:rsidRPr="00C07E8E">
        <w:rPr>
          <w:rFonts w:cs="Times New Roman"/>
          <w:color w:val="auto"/>
          <w:szCs w:val="22"/>
        </w:rPr>
        <w:t xml:space="preserve"> </w:t>
      </w:r>
      <w:r w:rsidRPr="00C07E8E">
        <w:rPr>
          <w:rFonts w:cs="Times New Roman"/>
          <w:color w:val="auto"/>
          <w:szCs w:val="22"/>
        </w:rPr>
        <w:t xml:space="preserve">An initial phase I safety and PK study </w:t>
      </w:r>
      <w:r w:rsidR="00273EE2" w:rsidRPr="00C07E8E">
        <w:rPr>
          <w:rFonts w:cs="Times New Roman"/>
          <w:color w:val="auto"/>
          <w:szCs w:val="22"/>
        </w:rPr>
        <w:t>involv</w:t>
      </w:r>
      <w:r w:rsidR="00273EE2">
        <w:rPr>
          <w:rFonts w:cs="Times New Roman"/>
          <w:color w:val="auto"/>
          <w:szCs w:val="22"/>
        </w:rPr>
        <w:t>ed</w:t>
      </w:r>
      <w:r w:rsidR="00273EE2" w:rsidRPr="00C07E8E">
        <w:rPr>
          <w:rFonts w:cs="Times New Roman"/>
          <w:color w:val="auto"/>
          <w:szCs w:val="22"/>
        </w:rPr>
        <w:t xml:space="preserve"> </w:t>
      </w:r>
      <w:r w:rsidRPr="00C07E8E">
        <w:rPr>
          <w:rFonts w:cs="Times New Roman"/>
          <w:color w:val="auto"/>
          <w:szCs w:val="22"/>
        </w:rPr>
        <w:t xml:space="preserve">64 healthy young males and a separate branch of elderly males and females. </w:t>
      </w:r>
      <w:r w:rsidR="008665AB" w:rsidRPr="00C07E8E">
        <w:rPr>
          <w:rFonts w:cs="Times New Roman"/>
          <w:color w:val="auto"/>
          <w:szCs w:val="22"/>
        </w:rPr>
        <w:t xml:space="preserve">It </w:t>
      </w:r>
      <w:r w:rsidR="00273EE2">
        <w:rPr>
          <w:rFonts w:cs="Times New Roman"/>
          <w:color w:val="auto"/>
          <w:szCs w:val="22"/>
        </w:rPr>
        <w:t>w</w:t>
      </w:r>
      <w:r w:rsidR="008665AB" w:rsidRPr="00C07E8E">
        <w:rPr>
          <w:rFonts w:cs="Times New Roman"/>
          <w:color w:val="auto"/>
          <w:szCs w:val="22"/>
        </w:rPr>
        <w:t>as observed that Cmax was reached 2-3 hours post dose</w:t>
      </w:r>
      <w:r w:rsidR="00273EE2">
        <w:rPr>
          <w:rFonts w:cs="Times New Roman"/>
          <w:color w:val="auto"/>
          <w:szCs w:val="22"/>
        </w:rPr>
        <w:t>,</w:t>
      </w:r>
      <w:r w:rsidR="008665AB" w:rsidRPr="00C07E8E">
        <w:rPr>
          <w:rFonts w:cs="Times New Roman"/>
          <w:color w:val="auto"/>
          <w:szCs w:val="22"/>
        </w:rPr>
        <w:t xml:space="preserve"> with a second peak appearing at around 5 hours post dose. The elimination half-life was found to be relatively short</w:t>
      </w:r>
      <w:r w:rsidR="00273EE2">
        <w:rPr>
          <w:rFonts w:cs="Times New Roman"/>
          <w:color w:val="auto"/>
          <w:szCs w:val="22"/>
        </w:rPr>
        <w:t>,</w:t>
      </w:r>
      <w:r w:rsidR="008665AB" w:rsidRPr="00C07E8E">
        <w:rPr>
          <w:rFonts w:cs="Times New Roman"/>
          <w:color w:val="auto"/>
          <w:szCs w:val="22"/>
        </w:rPr>
        <w:t xml:space="preserve"> at 2-4 hours, consistent with preclinical findings.</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{"citationItems":[{"id":"ITEM-1","itemData":{"DOI":"10.1002/jcph.232","ISSN":"15524604","PMID":"24242999","abstract":"Arterolane (RBx11160, OZ277) maleate is a rapidly acting synthetic trioxolane anti-malarial. This randomized, placebo controlled study was a phase I study to evaluate the clinical safety and tolerability as well as pharmacokinetics (PKs) of arterolane maleate including food effect. Eight single rising oral doses of arterolane (25, 50, 100, 150, 200, 300, 400, 600 mg), food effect under fed and fasting conditions at 100 mg dose and four multiple oral dose regimens (25, 50, 100, 200 mg) were administered once daily for 7 days in 64 healthy young males (Caucasian). A randomized, placebo-controlled study was also conducted in healthy elderly males and females (Caucasian) to investigate PKs, safety and tolerability of single oral dose (100 mg) of arterolane. All doses were well tolerated after oral administration. The initial peak of arterolane was apparent at 2-3 hours post-dose followed by a secondary peak at approximately 5 hours post-dose. Thereafter, plasma arterolane concentration declined with a geometric mean t1/2 of approximately 2-4 hours. The PKs of arterolane appeared to be time-invariant after repeated once-daily dosing. The incidence of adverse events was similar for placebo and active treatments. Arterolane had similar PKs and tolerability in elderly and younger subjects and between elderly males and females. © 2013, The American College of Clinical Pharmacology.","author":[{"dropping-particle":"","family":"Saha","given":"Nilanjan","non-dropping-particle":"","parse-names":false,"suffix":""},{"dropping-particle":"","family":"Moehrle","given":"Joerg J.","non-dropping-particle":"","parse-names":false,"suffix":""},{"dropping-particle":"","family":"Zutshi","given":"Anita","non-dropping-particle":"","parse-names":false,"suffix":""},{"dropping-particle":"","family":"Sharma","given":"Pradeep","non-dropping-particle":"","parse-names":false,"suffix":""},{"dropping-particle":"","family":"Kaur","given":"Pawandeep","non-dropping-particle":"","parse-names":false,"suffix":""},{"dropping-particle":"","family":"Iyer","given":"Sunil S.","non-dropping-particle":"","parse-names":false,"suffix":""}],"container-title":"Journal of Clinical Pharmacology","id":"ITEM-1","issue":"4","issued":{"date-parts":[["2014"]]},"page":"386-393","title":"Safety, tolerability and pharmacokinetic profile of single and multiple oral doses of arterolane (RBx11160) maleate in healthy subjects","type":"article-journal","volume":"54"},"uris":["http://www.mendeley.com/documents/?uuid=f7a52217-8518-4904-9ef8-0d4cb726fe2d","http://www.mendeley.com/documents/?uuid=7c136f27-d3c0-4877-8f80-2105d247bac8"]},{"id":"ITEM-2","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H.","non-dropping-particle":"","parse-names":false,"suffix":""}],"container-title":"Nature","id":"ITEM-2","issue":"7002","issued":{"date-parts":[["2004"]]},"page":"900-904","title":"Identification of an antimalarial synthetic trioxolane drug development candidate","type":"article-journal","volume":"430"},"uris":["http://www.mendeley.com/documents/?uuid=4ebfa213-904f-43f9-a144-14645b59ad3c"]}],"mendeley":{"formattedCitation":"&lt;sup&gt;101,103&lt;/sup&gt;","plainTextFormattedCitation":"101,103","previouslyFormattedCitation":"&lt;sup&gt;101,103&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101,103</w:t>
      </w:r>
      <w:r w:rsidR="00BB7163" w:rsidRPr="00C07E8E">
        <w:rPr>
          <w:rFonts w:cs="Times New Roman"/>
          <w:color w:val="auto"/>
          <w:szCs w:val="22"/>
        </w:rPr>
        <w:fldChar w:fldCharType="end"/>
      </w:r>
      <w:r w:rsidR="008665AB" w:rsidRPr="00C07E8E">
        <w:rPr>
          <w:rFonts w:cs="Times New Roman"/>
          <w:color w:val="auto"/>
          <w:szCs w:val="22"/>
        </w:rPr>
        <w:t xml:space="preserve"> Additionally, the bioavailability of </w:t>
      </w:r>
      <w:r w:rsidR="007039D5" w:rsidRPr="00C07E8E">
        <w:rPr>
          <w:rFonts w:cs="Times New Roman"/>
          <w:color w:val="auto"/>
          <w:szCs w:val="22"/>
        </w:rPr>
        <w:t xml:space="preserve">Arterolane </w:t>
      </w:r>
      <w:r w:rsidR="008665AB" w:rsidRPr="00C07E8E">
        <w:rPr>
          <w:rFonts w:cs="Times New Roman"/>
          <w:color w:val="auto"/>
          <w:szCs w:val="22"/>
        </w:rPr>
        <w:t>appeared to increase with dose</w:t>
      </w:r>
      <w:r w:rsidR="00273EE2">
        <w:rPr>
          <w:rFonts w:cs="Times New Roman"/>
          <w:color w:val="auto"/>
          <w:szCs w:val="22"/>
        </w:rPr>
        <w:t>,</w:t>
      </w:r>
      <w:r w:rsidR="008665AB" w:rsidRPr="00C07E8E">
        <w:rPr>
          <w:rFonts w:cs="Times New Roman"/>
          <w:color w:val="auto"/>
          <w:szCs w:val="22"/>
        </w:rPr>
        <w:t xml:space="preserve"> suggesting that metabolising enzymes or transporters involved in elimination might become saturated</w:t>
      </w:r>
      <w:r w:rsidR="00273EE2">
        <w:rPr>
          <w:rFonts w:cs="Times New Roman"/>
          <w:color w:val="auto"/>
          <w:szCs w:val="22"/>
        </w:rPr>
        <w:t xml:space="preserve"> </w:t>
      </w:r>
      <w:r w:rsidR="00273EE2" w:rsidRPr="00C07E8E">
        <w:rPr>
          <w:rFonts w:cs="Times New Roman"/>
          <w:color w:val="auto"/>
          <w:szCs w:val="22"/>
        </w:rPr>
        <w:t>at a certain concentration</w:t>
      </w:r>
      <w:r w:rsidR="008665AB" w:rsidRPr="00C07E8E">
        <w:rPr>
          <w:rFonts w:cs="Times New Roman"/>
          <w:color w:val="auto"/>
          <w:szCs w:val="22"/>
        </w:rPr>
        <w:t xml:space="preserve">. More concerningly, </w:t>
      </w:r>
      <w:r w:rsidR="007039D5" w:rsidRPr="00C07E8E">
        <w:rPr>
          <w:rFonts w:cs="Times New Roman"/>
          <w:color w:val="auto"/>
          <w:szCs w:val="22"/>
        </w:rPr>
        <w:t xml:space="preserve">Arterolane </w:t>
      </w:r>
      <w:r w:rsidR="008665AB" w:rsidRPr="00C07E8E">
        <w:rPr>
          <w:rFonts w:cs="Times New Roman"/>
          <w:color w:val="auto"/>
          <w:szCs w:val="22"/>
        </w:rPr>
        <w:t>displayed a food effect</w:t>
      </w:r>
      <w:r w:rsidR="00273EE2">
        <w:rPr>
          <w:rFonts w:cs="Times New Roman"/>
          <w:color w:val="auto"/>
          <w:szCs w:val="22"/>
        </w:rPr>
        <w:t>,</w:t>
      </w:r>
      <w:r w:rsidR="008665AB" w:rsidRPr="00C07E8E">
        <w:rPr>
          <w:rFonts w:cs="Times New Roman"/>
          <w:color w:val="auto"/>
          <w:szCs w:val="22"/>
        </w:rPr>
        <w:t xml:space="preserve"> with enhanced absorption observed after a high fat breakfast</w:t>
      </w:r>
      <w:r w:rsidR="00200EDA">
        <w:rPr>
          <w:rFonts w:cs="Times New Roman"/>
          <w:color w:val="auto"/>
          <w:szCs w:val="22"/>
        </w:rPr>
        <w:t>,</w:t>
      </w:r>
      <w:r w:rsidR="008665AB" w:rsidRPr="00C07E8E">
        <w:rPr>
          <w:rFonts w:cs="Times New Roman"/>
          <w:color w:val="auto"/>
          <w:szCs w:val="22"/>
        </w:rPr>
        <w:t xml:space="preserve"> </w:t>
      </w:r>
      <w:r w:rsidR="00200EDA">
        <w:rPr>
          <w:rFonts w:cs="Times New Roman"/>
          <w:color w:val="auto"/>
          <w:szCs w:val="22"/>
        </w:rPr>
        <w:t>compared to</w:t>
      </w:r>
      <w:r w:rsidR="008665AB" w:rsidRPr="00C07E8E">
        <w:rPr>
          <w:rFonts w:cs="Times New Roman"/>
          <w:color w:val="auto"/>
          <w:szCs w:val="22"/>
        </w:rPr>
        <w:t xml:space="preserve"> the fasted state- this may present as viable PK when administered to patients.</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{"citationItems":[{"id":"ITEM-1","itemData":{"DOI":"10.1002/jcph.232","ISSN":"15524604","PMID":"24242999","abstract":"Arterolane (RBx11160, OZ277) maleate is a rapidly acting synthetic trioxolane anti-malarial. This randomized, placebo controlled study was a phase I study to evaluate the clinical safety and tolerability as well as pharmacokinetics (PKs) of arterolane maleate including food effect. Eight single rising oral doses of arterolane (25, 50, 100, 150, 200, 300, 400, 600 mg), food effect under fed and fasting conditions at 100 mg dose and four multiple oral dose regimens (25, 50, 100, 200 mg) were administered once daily for 7 days in 64 healthy young males (Caucasian). A randomized, placebo-controlled study was also conducted in healthy elderly males and females (Caucasian) to investigate PKs, safety and tolerability of single oral dose (100 mg) of arterolane. All doses were well tolerated after oral administration. The initial peak of arterolane was apparent at 2-3 hours post-dose followed by a secondary peak at approximately 5 hours post-dose. Thereafter, plasma arterolane concentration declined with a geometric mean t1/2 of approximately 2-4 hours. The PKs of arterolane appeared to be time-invariant after repeated once-daily dosing. The incidence of adverse events was similar for placebo and active treatments. Arterolane had similar PKs and tolerability in elderly and younger subjects and between elderly males and females. © 2013, The American College of Clinical Pharmacology.","author":[{"dropping-particle":"","family":"Saha","given":"Nilanjan","non-dropping-particle":"","parse-names":false,"suffix":""},{"dropping-particle":"","family":"Moehrle","given":"Joerg J.","non-dropping-particle":"","parse-names":false,"suffix":""},{"dropping-particle":"","family":"Zutshi","given":"Anita","non-dropping-particle":"","parse-names":false,"suffix":""},{"dropping-particle":"","family":"Sharma","given":"Pradeep","non-dropping-particle":"","parse-names":false,"suffix":""},{"dropping-particle":"","family":"Kaur","given":"Pawandeep","non-dropping-particle":"","parse-names":false,"suffix":""},{"dropping-particle":"","family":"Iyer","given":"Sunil S.","non-dropping-particle":"","parse-names":false,"suffix":""}],"container-title":"Journal of Clinical Pharmacology","id":"ITEM-1","issue":"4","issued":{"date-parts":[["2014"]]},"page":"386-393","title":"Safety, tolerability and pharmacokinetic profile of single and multiple oral doses of arterolane (RBx11160) maleate in healthy subjects","type":"article-journal","volume":"54"},"uris":["http://www.mendeley.com/documents/?uuid=f7a52217-8518-4904-9ef8-0d4cb726fe2d","http://www.mendeley.com/documents/?uuid=7c136f27-d3c0-4877-8f80-2105d247bac8"]}],"mendeley":{"formattedCitation":"&lt;sup&gt;103&lt;/sup&gt;","plainTextFormattedCitation":"103","previouslyFormattedCitation":"&lt;sup&gt;103&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103</w:t>
      </w:r>
      <w:r w:rsidR="00BB7163" w:rsidRPr="00C07E8E">
        <w:rPr>
          <w:rFonts w:cs="Times New Roman"/>
          <w:color w:val="auto"/>
          <w:szCs w:val="22"/>
        </w:rPr>
        <w:fldChar w:fldCharType="end"/>
      </w:r>
      <w:r w:rsidR="008665AB" w:rsidRPr="00C07E8E">
        <w:rPr>
          <w:rFonts w:cs="Times New Roman"/>
          <w:color w:val="auto"/>
          <w:szCs w:val="22"/>
        </w:rPr>
        <w:t xml:space="preserve"> Nevertheless, in phase I trials </w:t>
      </w:r>
      <w:r w:rsidR="007039D5" w:rsidRPr="00C07E8E">
        <w:rPr>
          <w:rFonts w:cs="Times New Roman"/>
          <w:color w:val="auto"/>
          <w:szCs w:val="22"/>
        </w:rPr>
        <w:t>Arterolane</w:t>
      </w:r>
      <w:r w:rsidR="008665AB" w:rsidRPr="00C07E8E">
        <w:rPr>
          <w:rFonts w:cs="Times New Roman"/>
          <w:color w:val="auto"/>
          <w:szCs w:val="22"/>
        </w:rPr>
        <w:t xml:space="preserve"> was tolerated by all volunteers and was carried on for phase II clinical trials.</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{"citationItems":[{"id":"ITEM-1","itemData":{"DOI":"10.1177/0091270010385578","ISSN":"00912700","PMID":"21148048","abstract":"Arterolane (RBx 11160) maleate is a novel, rapidly acting synthetic trioxolane antimalarial compound being developed by Ranbaxy Research Laboratories (Haryana, India). It is presently under phase III in combination with piperaquine phosphate. The present work reports the relationship between pharmacokinetic (PK) parameter (AUC0-8h on day 0/day 6) and indices of pharmacodynamic (PD) response (50% parasite clearance [PC50], 90% parasite clearance [PC90], parasite clearance time [PCT], recrudescence) from a phase II, double-blind, multicenter, randomized, parallel-group, dose-ranging trial. Patients with acute uncomplicated P. falciparum malaria were randomized to 1 of 3 arterolane maleate (50, 100, and 200 mg) doses for 7 consecutive days. Plasma concentration data were available from 78, 76, and 75 patients receiving a 50-, 100-, and 200-mg dose, respectively. Based on PD modeling, its limitations and assumptions, minimum 150-mg dose arterolane maleate was recommended to optimize the probability of maximum therapeutic benefits for an adult. Doses higher than 100 mg are unlikely to reduce the probability of recrudescence. This study re-stresses the need of combining short and long-acting drugs to prevent resistance development and minimize recrudescence. © 2011 American College of Clinical Pharmacology, Inc.","author":[{"dropping-particle":"","family":"Gautam","given":"Anirudh","non-dropping-particle":"","parse-names":false,"suffix":""},{"dropping-particle":"","family":"Ahmed","given":"Tausif","non-dropping-particle":"","parse-names":false,"suffix":""},{"dropping-particle":"","family":"Sharma","given":"Pradeep","non-dropping-particle":"","parse-names":false,"suffix":""},{"dropping-particle":"","family":"Varshney","given":"Brijesh","non-dropping-particle":"","parse-names":false,"suffix":""},{"dropping-particle":"","family":"Kothari","given":"Monika","non-dropping-particle":"","parse-names":false,"suffix":""},{"dropping-particle":"","family":"Saha","given":"Nilanjan","non-dropping-particle":"","parse-names":false,"suffix":""},{"dropping-particle":"","family":"Roy","given":"Arjun","non-dropping-particle":"","parse-names":false,"suffix":""},{"dropping-particle":"","family":"Moehrle","given":"Joerg J.","non-dropping-particle":"","parse-names":false,"suffix":""},{"dropping-particle":"","family":"Paliwal","given":"Jyoti","non-dropping-particle":"","parse-names":false,"suffix":""}],"container-title":"Journal of Clinical Pharmacology","id":"ITEM-1","issue":"11","issued":{"date-parts":[["2011"]]},"page":"1519-1528","title":"Pharmacokinetics and pharmacodynamics of arterolane maleate following multiple oral doses in adult patients with p. falciparum malaria","type":"article-journal","volume":"51"},"uris":["http://www.mendeley.com/documents/?uuid=c30b935d-18e9-41a3-bb98-f2ab5874f224","http://www.mendeley.com/documents/?uuid=ad3641ad-b28d-41f8-8a62-3d237424fd2b"]}],"mendeley":{"formattedCitation":"&lt;sup&gt;104&lt;/sup&gt;","plainTextFormattedCitation":"104","previouslyFormattedCitation":"&lt;sup&gt;104&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104</w:t>
      </w:r>
      <w:r w:rsidR="00BB7163" w:rsidRPr="00C07E8E">
        <w:rPr>
          <w:rFonts w:cs="Times New Roman"/>
          <w:color w:val="auto"/>
          <w:szCs w:val="22"/>
        </w:rPr>
        <w:fldChar w:fldCharType="end"/>
      </w:r>
      <w:r w:rsidR="00251197" w:rsidRPr="00C07E8E">
        <w:rPr>
          <w:rFonts w:cs="Times New Roman"/>
          <w:color w:val="auto"/>
          <w:szCs w:val="22"/>
        </w:rPr>
        <w:t xml:space="preserve">  </w:t>
      </w:r>
    </w:p>
    <w:p w14:paraId="1F5F94A5" w14:textId="566D7CEA" w:rsidR="009D4B85" w:rsidRPr="00C07E8E" w:rsidRDefault="00C07E8E" w:rsidP="00532D1D">
      <w:pPr>
        <w:rPr>
          <w:rFonts w:cs="Times New Roman"/>
          <w:color w:val="auto"/>
          <w:szCs w:val="22"/>
        </w:rPr>
      </w:pPr>
      <w:r w:rsidRPr="00C07E8E">
        <w:rPr>
          <w:rFonts w:cs="Times New Roman"/>
          <w:color w:val="auto"/>
          <w:szCs w:val="22"/>
        </w:rPr>
        <w:tab/>
        <w:t xml:space="preserve">Phase II clinical trials were carried out in malaria infected patients aged 13 to 65. This trial investigated the relationship between the PK parameters and antimalarial activity of </w:t>
      </w:r>
      <w:r w:rsidR="007039D5" w:rsidRPr="00C07E8E">
        <w:rPr>
          <w:rFonts w:cs="Times New Roman"/>
          <w:color w:val="auto"/>
          <w:szCs w:val="22"/>
        </w:rPr>
        <w:t>Arterolane</w:t>
      </w:r>
      <w:r w:rsidR="00251197" w:rsidRPr="00C07E8E">
        <w:rPr>
          <w:rFonts w:cs="Times New Roman"/>
          <w:color w:val="auto"/>
          <w:szCs w:val="22"/>
        </w:rPr>
        <w:t xml:space="preserve"> </w:t>
      </w:r>
      <w:r w:rsidRPr="00C07E8E">
        <w:rPr>
          <w:rFonts w:cs="Times New Roman"/>
          <w:color w:val="auto"/>
          <w:szCs w:val="22"/>
        </w:rPr>
        <w:t>through measurement of overall exposure by area under the curve (AUC) and time taken to clear 50 % of parasites (PC</w:t>
      </w:r>
      <w:r w:rsidRPr="00C07E8E">
        <w:rPr>
          <w:rFonts w:cs="Times New Roman"/>
          <w:color w:val="auto"/>
          <w:szCs w:val="22"/>
          <w:vertAlign w:val="subscript"/>
        </w:rPr>
        <w:t>50</w:t>
      </w:r>
      <w:r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{"citationItems":[{"id":"ITEM-1","itemData":{"DOI":"10.1177/0091270010385578","ISSN":"00912700","PMID":"21148048","abstract":"Arterolane (RBx 11160) maleate is a novel, rapidly acting synthetic trioxolane antimalarial compound being developed by Ranbaxy Research Laboratories (Haryana, India). It is presently under phase III in combination with piperaquine phosphate. The present work reports the relationship between pharmacokinetic (PK) parameter (AUC0-8h on day 0/day 6) and indices of pharmacodynamic (PD) response (50% parasite clearance [PC50], 90% parasite clearance [PC90], parasite clearance time [PCT], recrudescence) from a phase II, double-blind, multicenter, randomized, parallel-group, dose-ranging trial. Patients with acute uncomplicated P. falciparum malaria were randomized to 1 of 3 arterolane maleate (50, 100, and 200 mg) doses for 7 consecutive days. Plasma concentration data were available from 78, 76, and 75 patients receiving a 50-, 100-, and 200-mg dose, respectively. Based on PD modeling, its limitations and assumptions, minimum 150-mg dose arterolane maleate was recommended to optimize the probability of maximum therapeutic benefits for an adult. Doses higher than 100 mg are unlikely to reduce the probability of recrudescence. This study re-stresses the need of combining short and long-acting drugs to prevent resistance development and minimize recrudescence. © 2011 American College of Clinical Pharmacology, Inc.","author":[{"dropping-particle":"","family":"Gautam","given":"Anirudh","non-dropping-particle":"","parse-names":false,"suffix":""},{"dropping-particle":"","family":"Ahmed","given":"Tausif","non-dropping-particle":"","parse-names":false,"suffix":""},{"dropping-particle":"","family":"Sharma","given":"Pradeep","non-dropping-particle":"","parse-names":false,"suffix":""},{"dropping-particle":"","family":"Varshney","given":"Brijesh","non-dropping-particle":"","parse-names":false,"suffix":""},{"dropping-particle":"","family":"Kothari","given":"Monika","non-dropping-particle":"","parse-names":false,"suffix":""},{"dropping-particle":"","family":"Saha","given":"Nilanjan","non-dropping-particle":"","parse-names":false,"suffix":""},{"dropping-particle":"","family":"Roy","given":"Arjun","non-dropping-particle":"","parse-names":false,"suffix":""},{"dropping-particle":"","family":"Moehrle","given":"Joerg J.","non-dropping-particle":"","parse-names":false,"suffix":""},{"dropping-particle":"","family":"Paliwal","given":"Jyoti","non-dropping-particle":"","parse-names":false,"suffix":""}],"container-title":"Journal of Clinical Pharmacology","id":"ITEM-1","issue":"11","issued":{"date-parts":[["2011"]]},"page":"1519-1528","title":"Pharmacokinetics and pharmacodynamics of arterolane maleate following multiple oral doses in adult patients with p. falciparum malaria","type":"article-journal","volume":"51"},"uris":["http://www.mendeley.com/documents/?uuid=ad3641ad-b28d-41f8-8a62-3d237424fd2b","http://www.mendeley.com/documents/?uuid=c30b935d-18e9-41a3-bb98-f2ab5874f224"]}],"mendeley":{"formattedCitation":"&lt;sup&gt;104&lt;/sup&gt;","plainTextFormattedCitation":"104","previouslyFormattedCitation":"&lt;sup&gt;104&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104</w:t>
      </w:r>
      <w:r w:rsidR="00BB7163" w:rsidRPr="00C07E8E">
        <w:rPr>
          <w:rFonts w:cs="Times New Roman"/>
          <w:color w:val="auto"/>
          <w:szCs w:val="22"/>
        </w:rPr>
        <w:fldChar w:fldCharType="end"/>
      </w:r>
      <w:r w:rsidR="008A2A32" w:rsidRPr="00C07E8E">
        <w:rPr>
          <w:rFonts w:cs="Times New Roman"/>
          <w:color w:val="auto"/>
          <w:szCs w:val="22"/>
        </w:rPr>
        <w:t xml:space="preserve"> </w:t>
      </w:r>
      <w:r w:rsidRPr="00C07E8E">
        <w:rPr>
          <w:rFonts w:cs="Times New Roman"/>
          <w:color w:val="auto"/>
          <w:szCs w:val="22"/>
        </w:rPr>
        <w:t>Screening at 50, 100 and 200 mg/kg showed PC50 times of 12, 9 and 9.4 hours</w:t>
      </w:r>
      <w:r w:rsidR="00200EDA">
        <w:rPr>
          <w:rFonts w:cs="Times New Roman"/>
          <w:color w:val="auto"/>
          <w:szCs w:val="22"/>
        </w:rPr>
        <w:t>,</w:t>
      </w:r>
      <w:r w:rsidRPr="00C07E8E">
        <w:rPr>
          <w:rFonts w:cs="Times New Roman"/>
          <w:color w:val="auto"/>
          <w:szCs w:val="22"/>
        </w:rPr>
        <w:t xml:space="preserve"> </w:t>
      </w:r>
      <w:r w:rsidRPr="00C07E8E">
        <w:rPr>
          <w:rFonts w:cs="Times New Roman"/>
          <w:color w:val="auto"/>
          <w:szCs w:val="22"/>
        </w:rPr>
        <w:lastRenderedPageBreak/>
        <w:t>respectively</w:t>
      </w:r>
      <w:r w:rsidR="00200EDA">
        <w:rPr>
          <w:rFonts w:cs="Times New Roman"/>
          <w:color w:val="auto"/>
          <w:szCs w:val="22"/>
        </w:rPr>
        <w:t>,</w:t>
      </w:r>
      <w:r w:rsidRPr="00C07E8E">
        <w:rPr>
          <w:rFonts w:cs="Times New Roman"/>
          <w:color w:val="auto"/>
          <w:szCs w:val="22"/>
        </w:rPr>
        <w:t xml:space="preserve"> indicating that doses of at least 100 mg are required to deliver maximum benefit of </w:t>
      </w:r>
      <w:r w:rsidR="007039D5" w:rsidRPr="00C07E8E">
        <w:rPr>
          <w:rFonts w:cs="Times New Roman"/>
          <w:color w:val="auto"/>
          <w:szCs w:val="22"/>
        </w:rPr>
        <w:t>Arterolane</w:t>
      </w:r>
      <w:r w:rsidRPr="00C07E8E">
        <w:rPr>
          <w:rFonts w:cs="Times New Roman"/>
          <w:color w:val="auto"/>
          <w:szCs w:val="22"/>
        </w:rPr>
        <w:t xml:space="preserve"> therapy while doses over 100 mg would be expected to have limited </w:t>
      </w:r>
      <w:r w:rsidR="00200EDA">
        <w:rPr>
          <w:rFonts w:cs="Times New Roman"/>
          <w:color w:val="auto"/>
          <w:szCs w:val="22"/>
        </w:rPr>
        <w:t>advantage</w:t>
      </w:r>
      <w:r w:rsidRPr="00C07E8E">
        <w:rPr>
          <w:rFonts w:cs="Times New Roman"/>
          <w:color w:val="auto"/>
          <w:szCs w:val="22"/>
        </w:rPr>
        <w:t>. At all doses tested</w:t>
      </w:r>
      <w:r w:rsidR="00200EDA">
        <w:rPr>
          <w:rFonts w:cs="Times New Roman"/>
          <w:color w:val="auto"/>
          <w:szCs w:val="22"/>
        </w:rPr>
        <w:t>,</w:t>
      </w:r>
      <w:r w:rsidRPr="00C07E8E">
        <w:rPr>
          <w:rFonts w:cs="Times New Roman"/>
          <w:color w:val="auto"/>
          <w:szCs w:val="22"/>
        </w:rPr>
        <w:t xml:space="preserve"> however, recrudescence was observed at a rate of 37, 30 and 27 %</w:t>
      </w:r>
      <w:r w:rsidR="00200EDA">
        <w:rPr>
          <w:rFonts w:cs="Times New Roman"/>
          <w:color w:val="auto"/>
          <w:szCs w:val="22"/>
        </w:rPr>
        <w:t>,</w:t>
      </w:r>
      <w:r w:rsidRPr="00C07E8E">
        <w:rPr>
          <w:rFonts w:cs="Times New Roman"/>
          <w:color w:val="auto"/>
          <w:szCs w:val="22"/>
        </w:rPr>
        <w:t xml:space="preserve"> for 50, 100 and 200 mg doses</w:t>
      </w:r>
      <w:r w:rsidR="00200EDA">
        <w:rPr>
          <w:rFonts w:cs="Times New Roman"/>
          <w:color w:val="auto"/>
          <w:szCs w:val="22"/>
        </w:rPr>
        <w:t>,</w:t>
      </w:r>
      <w:r w:rsidRPr="00C07E8E">
        <w:rPr>
          <w:rFonts w:cs="Times New Roman"/>
          <w:color w:val="auto"/>
          <w:szCs w:val="22"/>
        </w:rPr>
        <w:t xml:space="preserve"> respectively. Additionally, it was observed that the blood exposure and half-life in malaria patients were approximately 3-fold and 2-fold lower than in healthy volunteers</w:t>
      </w:r>
      <w:r w:rsidR="00200EDA">
        <w:rPr>
          <w:rFonts w:cs="Times New Roman"/>
          <w:color w:val="auto"/>
          <w:szCs w:val="22"/>
        </w:rPr>
        <w:t>,</w:t>
      </w:r>
      <w:r w:rsidRPr="00C07E8E">
        <w:rPr>
          <w:rFonts w:cs="Times New Roman"/>
          <w:color w:val="auto"/>
          <w:szCs w:val="22"/>
        </w:rPr>
        <w:t xml:space="preserve"> respectively</w:t>
      </w:r>
      <w:r w:rsidR="00BB7163" w:rsidRPr="00C07E8E">
        <w:rPr>
          <w:rFonts w:cs="Times New Roman"/>
          <w:color w:val="auto"/>
          <w:szCs w:val="22"/>
        </w:rPr>
        <w:t>.</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{"citationItems":[{"id":"ITEM-1","itemData":{"DOI":"10.1177/0091270010385578","ISSN":"00912700","PMID":"21148048","abstract":"Arterolane (RBx 11160) maleate is a novel, rapidly acting synthetic trioxolane antimalarial compound being developed by Ranbaxy Research Laboratories (Haryana, India). It is presently under phase III in combination with piperaquine phosphate. The present work reports the relationship between pharmacokinetic (PK) parameter (AUC0-8h on day 0/day 6) and indices of pharmacodynamic (PD) response (50% parasite clearance [PC50], 90% parasite clearance [PC90], parasite clearance time [PCT], recrudescence) from a phase II, double-blind, multicenter, randomized, parallel-group, dose-ranging trial. Patients with acute uncomplicated P. falciparum malaria were randomized to 1 of 3 arterolane maleate (50, 100, and 200 mg) doses for 7 consecutive days. Plasma concentration data were available from 78, 76, and 75 patients receiving a 50-, 100-, and 200-mg dose, respectively. Based on PD modeling, its limitations and assumptions, minimum 150-mg dose arterolane maleate was recommended to optimize the probability of maximum therapeutic benefits for an adult. Doses higher than 100 mg are unlikely to reduce the probability of recrudescence. This study re-stresses the need of combining short and long-acting drugs to prevent resistance development and minimize recrudescence. © 2011 American College of Clinical Pharmacology, Inc.","author":[{"dropping-particle":"","family":"Gautam","given":"Anirudh","non-dropping-particle":"","parse-names":false,"suffix":""},{"dropping-particle":"","family":"Ahmed","given":"Tausif","non-dropping-particle":"","parse-names":false,"suffix":""},{"dropping-particle":"","family":"Sharma","given":"Pradeep","non-dropping-particle":"","parse-names":false,"suffix":""},{"dropping-particle":"","family":"Varshney","given":"Brijesh","non-dropping-particle":"","parse-names":false,"suffix":""},{"dropping-particle":"","family":"Kothari","given":"Monika","non-dropping-particle":"","parse-names":false,"suffix":""},{"dropping-particle":"","family":"Saha","given":"Nilanjan","non-dropping-particle":"","parse-names":false,"suffix":""},{"dropping-particle":"","family":"Roy","given":"Arjun","non-dropping-particle":"","parse-names":false,"suffix":""},{"dropping-particle":"","family":"Moehrle","given":"Joerg J.","non-dropping-particle":"","parse-names":false,"suffix":""},{"dropping-particle":"","family":"Paliwal","given":"Jyoti","non-dropping-particle":"","parse-names":false,"suffix":""}],"container-title":"Journal of Clinical Pharmacology","id":"ITEM-1","issue":"11","issued":{"date-parts":[["2011"]]},"page":"1519-1528","title":"Pharmacokinetics and pharmacodynamics of arterolane maleate following multiple oral doses in adult patients with p. falciparum malaria","type":"article-journal","volume":"51"},"uris":["http://www.mendeley.com/documents/?uuid=ad3641ad-b28d-41f8-8a62-3d237424fd2b","http://www.mendeley.com/documents/?uuid=c30b935d-18e9-41a3-bb98-f2ab5874f224"]}],"mendeley":{"formattedCitation":"&lt;sup&gt;104&lt;/sup&gt;","plainTextFormattedCitation":"104","previouslyFormattedCitation":"&lt;sup&gt;104&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104</w:t>
      </w:r>
      <w:r w:rsidR="00BB7163" w:rsidRPr="00C07E8E">
        <w:rPr>
          <w:rFonts w:cs="Times New Roman"/>
          <w:color w:val="auto"/>
          <w:szCs w:val="22"/>
        </w:rPr>
        <w:fldChar w:fldCharType="end"/>
      </w:r>
    </w:p>
    <w:p w14:paraId="30D63B16" w14:textId="59B8D756" w:rsidR="009D4B85" w:rsidRPr="00C07E8E" w:rsidRDefault="00C07E8E" w:rsidP="00532D1D">
      <w:pPr>
        <w:ind w:firstLine="720"/>
        <w:rPr>
          <w:rFonts w:cs="Times New Roman"/>
          <w:color w:val="auto"/>
          <w:szCs w:val="22"/>
        </w:rPr>
      </w:pPr>
      <w:r w:rsidRPr="00C07E8E">
        <w:rPr>
          <w:rFonts w:cs="Times New Roman"/>
          <w:color w:val="auto"/>
          <w:szCs w:val="22"/>
        </w:rPr>
        <w:t>Initial theories as to why the blood exposure was reduced were cytochrome P450 (CYP450) metabolism to inactive metabolites and Fe(II) mediated inactivation. Metabolism studies identified two inactive CYP450 metabolites with hydroxylation of adamantane.</w:t>
      </w:r>
      <w:r w:rsidR="00BB7163" w:rsidRPr="00C07E8E">
        <w:rPr>
          <w:rFonts w:cs="Times New Roman"/>
          <w:color w:val="auto"/>
          <w:szCs w:val="22"/>
        </w:rPr>
        <w:fldChar w:fldCharType="begin" w:fldLock="1"/>
      </w:r>
      <w:r w:rsidR="00192B39">
        <w:rPr>
          <w:rFonts w:cs="Times New Roman"/>
          <w:color w:val="auto"/>
          <w:szCs w:val="22"/>
        </w:rPr>
        <w:instrText>ADDIN CSL_CITATION {"citationItems":[{"id":"ITEM-1","itemData":{"DOI":"10.1016/j.bmcl.2008.01.087","ISSN":"0960894X","PMID":"18262417","abstract":"The antimalarial synthetic ozonide OZ277 (RBx11160) was hydroxylated by human liver microsomes at the distal bridgehead carbon atoms of the spiroadamantane substructure to form two carbinol metabolites devoid of antimalarial activity. © 2008 Elsevier Ltd. All rights reserved.","author":[{"dropping-particle":"","family":"Zhou","given":"Lin","non-dropping-particle":"","parse-names":false,"suffix":""},{"dropping-particle":"","family":"Alker","given":"André","non-dropping-particle":"","parse-names":false,"suffix":""},{"dropping-particle":"","family":"Ruf","given":"Armin","non-dropping-particle":"","parse-names":false,"suffix":""},{"dropping-particle":"","family":"Wang","given":"Xiaofang","non-dropping-particle":"","parse-names":false,"suffix":""},{"dropping-particle":"","family":"Chiu","given":"Francis C.K.","non-dropping-particle":"","parse-names":false,"suffix":""},{"dropping-particle":"","family":"Morizzi","given":"Julia","non-dropping-particle":"","parse-names":false,"suffix":""},{"dropping-particle":"","family":"Charman","given":"Susan A.","non-dropping-particle":"","parse-names":false,"suffix":""},{"dropping-particle":"","family":"Charman","given":"William N.","non-dropping-particle":"","parse-names":false,"suffix":""},{"dropping-particle":"","family":"Scheurer","given":"Christian","non-dropping-particle":"","parse-names":false,"suffix":""},{"dropping-particle":"","family":"Wittlin","given":"Sergio","non-dropping-particle":"","parse-names":false,"suffix":""},{"dropping-particle":"","family":"Dong","given":"Yuxiang","non-dropping-particle":"","parse-names":false,"suffix":""},{"dropping-particle":"","family":"Hunziker","given":"Daniel","non-dropping-particle":"","parse-names":false,"suffix":""},{"dropping-particle":"","family":"Vennerstrom","given":"Jonathan L.","non-dropping-particle":"","parse-names":false,"suffix":""}],"container-title":"Bioorganic and Medicinal Chemistry Letters","id":"ITEM-1","issue":"5","issued":{"date-parts":[["2008"]]},"page":"1555-1558","title":"Characterization of the two major CYP450 metabolites of ozonide (1,2,4-trioxolane) OZ277","type":"article-journal","volume":"18"},"uris":["http://www.mendeley.com/documents/?uuid=c961023a-a295-46b4-b3b0-f53d4bdc92df","http://www.mendeley.com/documents/?uuid=7402be14-fcda-4004-a74d-343f1a1d798b"]}],"mendeley":{"formattedCitation":"&lt;sup&gt;105&lt;/sup&gt;","plainTextFormattedCitation":"105","previouslyFormattedCitation":"&lt;sup&gt;105&lt;/sup&gt;"},"properties":{"noteIndex":0},"schema":"https://github.com/citation-style-language/schema/raw/master/csl-citation.json"}</w:instrText>
      </w:r>
      <w:r w:rsidR="00BB7163" w:rsidRPr="00C07E8E">
        <w:rPr>
          <w:rFonts w:cs="Times New Roman"/>
          <w:color w:val="auto"/>
          <w:szCs w:val="22"/>
        </w:rPr>
        <w:fldChar w:fldCharType="separate"/>
      </w:r>
      <w:r w:rsidR="00CA5C6A" w:rsidRPr="00CA5C6A">
        <w:rPr>
          <w:rFonts w:cs="Times New Roman"/>
          <w:noProof/>
          <w:color w:val="auto"/>
          <w:szCs w:val="22"/>
          <w:vertAlign w:val="superscript"/>
        </w:rPr>
        <w:t>105</w:t>
      </w:r>
      <w:r w:rsidR="00BB7163" w:rsidRPr="00C07E8E">
        <w:rPr>
          <w:rFonts w:cs="Times New Roman"/>
          <w:color w:val="auto"/>
          <w:szCs w:val="22"/>
        </w:rPr>
        <w:fldChar w:fldCharType="end"/>
      </w:r>
      <w:r w:rsidRPr="00C07E8E">
        <w:rPr>
          <w:rFonts w:cs="Times New Roman"/>
          <w:color w:val="auto"/>
          <w:szCs w:val="22"/>
        </w:rPr>
        <w:t xml:space="preserve"> However, i</w:t>
      </w:r>
      <w:r w:rsidRPr="00C07E8E">
        <w:rPr>
          <w:rFonts w:cs="Times New Roman"/>
          <w:i/>
          <w:color w:val="auto"/>
          <w:szCs w:val="22"/>
        </w:rPr>
        <w:t xml:space="preserve">n vivo </w:t>
      </w:r>
      <w:r w:rsidRPr="00C07E8E">
        <w:rPr>
          <w:rFonts w:cs="Times New Roman"/>
          <w:color w:val="auto"/>
          <w:szCs w:val="22"/>
        </w:rPr>
        <w:t>studies in a rat model into the effects of pre-treatment with the CYP450 inhibitor 1-aminobenzotriazole (1-ABT) on the pharmacokinetics of OZ277</w:t>
      </w:r>
      <w:r w:rsidR="003D746F">
        <w:rPr>
          <w:rFonts w:cs="Times New Roman"/>
          <w:color w:val="auto"/>
          <w:szCs w:val="22"/>
        </w:rPr>
        <w:t xml:space="preserve"> found</w:t>
      </w:r>
      <w:r w:rsidRPr="00C07E8E">
        <w:rPr>
          <w:rFonts w:cs="Times New Roman"/>
          <w:color w:val="auto"/>
          <w:szCs w:val="22"/>
        </w:rPr>
        <w:t xml:space="preserve"> that</w:t>
      </w:r>
      <w:r w:rsidR="003D746F">
        <w:rPr>
          <w:rFonts w:cs="Times New Roman"/>
          <w:color w:val="auto"/>
          <w:szCs w:val="22"/>
        </w:rPr>
        <w:t xml:space="preserve"> the</w:t>
      </w:r>
      <w:r w:rsidRPr="00C07E8E">
        <w:rPr>
          <w:rFonts w:cs="Times New Roman"/>
          <w:color w:val="auto"/>
          <w:szCs w:val="22"/>
        </w:rPr>
        <w:t xml:space="preserve"> half-life and blood exposure were increased</w:t>
      </w:r>
      <w:r w:rsidR="00E7507C">
        <w:rPr>
          <w:rFonts w:cs="Times New Roman"/>
          <w:color w:val="auto"/>
          <w:szCs w:val="22"/>
        </w:rPr>
        <w:t>;</w:t>
      </w:r>
      <w:r w:rsidRPr="00C07E8E">
        <w:rPr>
          <w:rFonts w:cs="Times New Roman"/>
          <w:color w:val="auto"/>
          <w:szCs w:val="22"/>
        </w:rPr>
        <w:t xml:space="preserve"> however the improvement was not large enough to suggest a majority clearance by CYP450.</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r w:rsidRPr="00C07E8E">
        <w:rPr>
          <w:rFonts w:cs="Times New Roman"/>
          <w:color w:val="auto"/>
          <w:szCs w:val="22"/>
        </w:rPr>
        <w:t xml:space="preserve"> This implies that the main cause of OZ277 poor PK is due to cleavage of the peroxide bond by liberated Fe(II) in the </w:t>
      </w:r>
      <w:r w:rsidR="00E7507C">
        <w:rPr>
          <w:rFonts w:cs="Times New Roman"/>
          <w:color w:val="auto"/>
          <w:szCs w:val="22"/>
        </w:rPr>
        <w:t>malaria infection</w:t>
      </w:r>
      <w:r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r w:rsidRPr="00C07E8E">
        <w:rPr>
          <w:rFonts w:cs="Times New Roman"/>
          <w:color w:val="auto"/>
          <w:szCs w:val="22"/>
        </w:rPr>
        <w:t xml:space="preserve"> However, going some way to mitigate this, </w:t>
      </w:r>
      <w:r w:rsidR="007039D5" w:rsidRPr="00C07E8E">
        <w:rPr>
          <w:rFonts w:cs="Times New Roman"/>
          <w:color w:val="auto"/>
          <w:szCs w:val="22"/>
        </w:rPr>
        <w:t>Arterolane</w:t>
      </w:r>
      <w:r w:rsidRPr="00C07E8E">
        <w:rPr>
          <w:rFonts w:cs="Times New Roman"/>
          <w:color w:val="auto"/>
          <w:szCs w:val="22"/>
        </w:rPr>
        <w:t xml:space="preserve"> was developed as a formulation with piperaquine (</w:t>
      </w:r>
      <w:r w:rsidR="00904ACF" w:rsidRPr="00C07E8E">
        <w:rPr>
          <w:rFonts w:cs="Times New Roman"/>
          <w:b/>
          <w:bCs/>
          <w:color w:val="auto"/>
          <w:szCs w:val="22"/>
        </w:rPr>
        <w:t>6</w:t>
      </w:r>
      <w:r w:rsidR="00615CB0">
        <w:rPr>
          <w:rFonts w:cs="Times New Roman"/>
          <w:b/>
          <w:bCs/>
          <w:color w:val="auto"/>
          <w:szCs w:val="22"/>
        </w:rPr>
        <w:t>6</w:t>
      </w:r>
      <w:r w:rsidR="005765DA" w:rsidRPr="007370A6">
        <w:rPr>
          <w:rFonts w:cs="Times New Roman"/>
          <w:b/>
          <w:color w:val="auto"/>
          <w:szCs w:val="22"/>
        </w:rPr>
        <w:t>,</w:t>
      </w:r>
      <w:r w:rsidR="005765DA" w:rsidRPr="007125A3">
        <w:rPr>
          <w:rFonts w:cs="Times New Roman"/>
          <w:b/>
          <w:bCs/>
          <w:color w:val="auto"/>
          <w:szCs w:val="22"/>
        </w:rPr>
        <w:t xml:space="preserve"> </w:t>
      </w:r>
      <w:r w:rsidR="005765DA" w:rsidRPr="007370A6">
        <w:rPr>
          <w:rFonts w:cs="Times New Roman"/>
          <w:b/>
          <w:color w:val="auto"/>
          <w:szCs w:val="22"/>
        </w:rPr>
        <w:t>Figure 9</w:t>
      </w:r>
      <w:r w:rsidRPr="00C07E8E">
        <w:rPr>
          <w:rFonts w:cs="Times New Roman"/>
          <w:color w:val="auto"/>
          <w:szCs w:val="22"/>
        </w:rPr>
        <w:t>) as a long acting partner</w:t>
      </w:r>
      <w:r w:rsidR="00816AFE">
        <w:rPr>
          <w:rFonts w:cs="Times New Roman"/>
          <w:color w:val="auto"/>
          <w:szCs w:val="22"/>
        </w:rPr>
        <w:t>,</w:t>
      </w:r>
      <w:r w:rsidRPr="00C07E8E">
        <w:rPr>
          <w:rFonts w:cs="Times New Roman"/>
          <w:color w:val="auto"/>
          <w:szCs w:val="22"/>
        </w:rPr>
        <w:t xml:space="preserve"> which was found to increase the AUC of </w:t>
      </w:r>
      <w:r w:rsidR="007039D5" w:rsidRPr="00C07E8E">
        <w:rPr>
          <w:rFonts w:cs="Times New Roman"/>
          <w:color w:val="auto"/>
          <w:szCs w:val="22"/>
        </w:rPr>
        <w:t>Arterolane 1</w:t>
      </w:r>
      <w:r w:rsidRPr="00C07E8E">
        <w:rPr>
          <w:rFonts w:cs="Times New Roman"/>
          <w:color w:val="auto"/>
          <w:szCs w:val="22"/>
        </w:rPr>
        <w:t xml:space="preserve">.5- to 2-fold – </w:t>
      </w:r>
      <w:r w:rsidR="00E7507C">
        <w:rPr>
          <w:rFonts w:cs="Times New Roman"/>
          <w:color w:val="auto"/>
          <w:szCs w:val="22"/>
        </w:rPr>
        <w:t xml:space="preserve">largely due to the impact of piperaquine as a CYP3A4 inhibitor which retards the </w:t>
      </w:r>
      <w:r w:rsidR="00E7507C" w:rsidRPr="007370A6">
        <w:rPr>
          <w:rFonts w:cs="Times New Roman"/>
          <w:i/>
          <w:iCs/>
          <w:color w:val="auto"/>
          <w:szCs w:val="22"/>
        </w:rPr>
        <w:t>in vivo</w:t>
      </w:r>
      <w:r w:rsidR="00E7507C">
        <w:rPr>
          <w:rFonts w:cs="Times New Roman"/>
          <w:color w:val="auto"/>
          <w:szCs w:val="22"/>
        </w:rPr>
        <w:t xml:space="preserve"> metabolism of Arterolane</w:t>
      </w:r>
      <w:r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{"citationItems":[{"id":"ITEM-1","itemData":{"DOI":"10.4103/2141-9248.139270","ISSN":"2141-9248","abstract":"Malaria has been very prevalent vector-borne disease in India and until date bears enormous implications on health care services of the country. Over the period of time, the development of resistance to traditional antimalarials like chloroquine has been posed as major deterrent in efforts of malaria control. As the drug resistance is today universally prevalent, especially in Plasmodium falciparum species, major burden of malarial control resides with the new artemisinin drug class. However, arterolane is one of the first fully synthetic non-artemisinin antimalarial compound with rapid schizontocidal activity, hence offering an alternative to artemisinin drugs in malaria control. Piperaquine is a synthetic bisquinoline (4-amioquinoline Antimalarial) with slow and longer schizontocidal activity. Therefore their combination has been shown to provide rapid parasitemic clearance and quick relief of most malaria-related symptoms along with prevention of recrudescences. This combination was approved by Drugs Controller General of India in 2011 for treatment of uncomplicated P. falciparum malaria. The article is aimed at to review this newer prospect in antimalarial therapy for which comprehensive database search was done in Google, Google Scholar, PubMed using the terms \"Malaria,\" \"Arterolane,\" \"OZ277,\" \"Piperaquine,\" and \"Artemisinin combination therapy.\" A total of 323 articles were screened and 28 articles were considered for this review along with the World Health Organization and National malarial program guidelines.","author":[{"dropping-particle":"","family":"Patil","given":"CY","non-dropping-particle":"","parse-names":false,"suffix":""},{"dropping-particle":"","family":"Baig","given":"MS","non-dropping-particle":"","parse-names":false,"suffix":""},{"dropping-particle":"","family":"Doifode","given":"SM","non-dropping-particle":"","parse-names":false,"suffix":""},{"dropping-particle":"","family":"Katare","given":"SS","non-dropping-particle":"","parse-names":false,"suffix":""}],"container-title":"Annals of Medical and Health Sciences Research","id":"ITEM-1","issue":"4","issued":{"date-parts":[["2014"]]},"page":"466","title":"Fixed dose combination of arterolane and piperaquine: A newer prospect in antimalarial therapy","type":"article-journal","volume":"4"},"uris":["http://www.mendeley.com/documents/?uuid=7ca7e6d7-381c-48b5-a5b3-9c6ee0738808","http://www.mendeley.com/documents/?uuid=f45cf7e1-43ff-4329-9503-4854613880a7"]}],"mendeley":{"formattedCitation":"&lt;sup&gt;107&lt;/sup&gt;","plainTextFormattedCitation":"107","previouslyFormattedCitation":"&lt;sup&gt;107&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107</w:t>
      </w:r>
      <w:r w:rsidR="00B47DD2" w:rsidRPr="00C07E8E">
        <w:rPr>
          <w:rFonts w:cs="Times New Roman"/>
          <w:color w:val="auto"/>
          <w:szCs w:val="22"/>
        </w:rPr>
        <w:fldChar w:fldCharType="end"/>
      </w:r>
    </w:p>
    <w:p w14:paraId="2DFBA5AB" w14:textId="7B414E54" w:rsidR="0029680A" w:rsidRDefault="00C07E8E" w:rsidP="00532D1D">
      <w:pPr>
        <w:rPr>
          <w:rFonts w:cs="Times New Roman"/>
          <w:color w:val="auto"/>
          <w:szCs w:val="22"/>
        </w:rPr>
      </w:pPr>
      <w:r w:rsidRPr="00C07E8E">
        <w:rPr>
          <w:rFonts w:cs="Times New Roman"/>
          <w:color w:val="auto"/>
          <w:szCs w:val="22"/>
        </w:rPr>
        <w:tab/>
        <w:t>Arterolane was released for the treatment of malaria in a fixed dose combination with piperaquine</w:t>
      </w:r>
      <w:r w:rsidR="00E7507C">
        <w:rPr>
          <w:rFonts w:cs="Times New Roman"/>
          <w:color w:val="auto"/>
          <w:szCs w:val="22"/>
        </w:rPr>
        <w:t xml:space="preserve"> (known as Synriam)</w:t>
      </w:r>
      <w:r w:rsidRPr="00C07E8E">
        <w:rPr>
          <w:rFonts w:cs="Times New Roman"/>
          <w:color w:val="auto"/>
          <w:szCs w:val="22"/>
        </w:rPr>
        <w:t xml:space="preserve"> by Ranbaxy Laboratories (now merged with Sun Pharma) </w:t>
      </w:r>
      <w:r w:rsidR="00E7507C">
        <w:rPr>
          <w:rFonts w:cs="Times New Roman"/>
          <w:color w:val="auto"/>
          <w:szCs w:val="22"/>
        </w:rPr>
        <w:t xml:space="preserve">and was </w:t>
      </w:r>
      <w:r w:rsidRPr="00C07E8E">
        <w:rPr>
          <w:rFonts w:cs="Times New Roman"/>
          <w:color w:val="auto"/>
          <w:szCs w:val="22"/>
        </w:rPr>
        <w:t>approved for use in In</w:t>
      </w:r>
      <w:r w:rsidR="00B47DD2" w:rsidRPr="00C07E8E">
        <w:rPr>
          <w:rFonts w:cs="Times New Roman"/>
          <w:color w:val="auto"/>
          <w:szCs w:val="22"/>
        </w:rPr>
        <w:t>dia and some African countries.</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{"citationItems":[{"id":"ITEM-1","itemData":{"DOI":"10.1016/j.actatropica.2014.12.005","ISSN":"18736254","PMID":"25530543","abstract":"Control of schistosomiasis relies on a single drug, praziquantel (PZQ). Given the rising concerns about the potential emergence of PZQ-resistant strains, it has now become necessary to search for novel therapeutics. However, the current pace for anti-schistosomal drug discovery is slow; hence, repositioning of existing approved drugs can offer a safe, rapid and cost-effective solution. The anti-malarial synthetic artemisinin-derivatives trioxolanes demonstrated anti-schistosomal efficacies against the three major species infecting humans and, unlike PZQ, showed activities against both juvenile and adult worm stages. The 1,2,4-trioxolane/OZ277 (arterolane maleate) in combination with a partner drug: piperaquine phosphate was recently developed as an anti-malarial drug and manufactured by Ranbaxy (India) as Synriam™ (SYN). Herein, the in vivo activities of SYN were investigated in a mouse model of Schistosoma mansoni (S. mansoni), compared to PZQ. We show that a single fixed dose of 240. mg/kg SYN (40. mg/kg arterolane and 200. mg/kg piperaqine) induced significant protective effects in mice, in terms of reduction in worm and tissue egg burdens, which were evident against all schistosome developmental stages. Extensive alterations in the tegument and subtegumental tissues of SYN-exposed worms were revealed by both scanning and transmission electron microscopes. Progressive decrease in worm activity and occurrence of death were noticed in vitro upon exposure to the drug - more pronounced in the presence of haemin. This report provides the first evidence of the efficacy of a combination of 1,2,4-trioxolane and piperaquine against S. mansoni in mice. Being effective against young stages, SYN could be used to prevent early Schistosoma infection.","author":[{"dropping-particle":"","family":"Mossallam","given":"Shereen F.","non-dropping-particle":"","parse-names":false,"suffix":""},{"dropping-particle":"","family":"Amer","given":"Eglal I.","non-dropping-particle":"","parse-names":false,"suffix":""},{"dropping-particle":"","family":"El-Faham","given":"Marwa H.","non-dropping-particle":"","parse-names":false,"suffix":""}],"container-title":"Acta Tropica","id":"ITEM-1","issued":{"date-parts":[["2015"]]},"page":"36-46","publisher":"Elsevier B.V.","title":"Efficacy of Synriam™, a new antimalarial combination of OZ277 and piperaquine, against different developmental stages of Schistosoma mansoni","type":"article-journal","volume":"143"},"uris":["http://www.mendeley.com/documents/?uuid=1bdfb89b-e700-47c7-b0d7-dcddba052f5e","http://www.mendeley.com/documents/?uuid=68ce85b9-d3d2-442d-aa12-fdc45b7706f9"]},{"id":"ITEM-2","itemData":{"DOI":"10.4103/2141-9248.139270","ISSN":"2141-9248","abstract":"Malaria has been very prevalent vector-borne disease in India and until date bears enormous implications on health care services of the country. Over the period of time, the development of resistance to traditional antimalarials like chloroquine has been posed as major deterrent in efforts of malaria control. As the drug resistance is today universally prevalent, especially in Plasmodium falciparum species, major burden of malarial control resides with the new artemisinin drug class. However, arterolane is one of the first fully synthetic non-artemisinin antimalarial compound with rapid schizontocidal activity, hence offering an alternative to artemisinin drugs in malaria control. Piperaquine is a synthetic bisquinoline (4-amioquinoline Antimalarial) with slow and longer schizontocidal activity. Therefore their combination has been shown to provide rapid parasitemic clearance and quick relief of most malaria-related symptoms along with prevention of recrudescences. This combination was approved by Drugs Controller General of India in 2011 for treatment of uncomplicated P. falciparum malaria. The article is aimed at to review this newer prospect in antimalarial therapy for which comprehensive database search was done in Google, Google Scholar, PubMed using the terms \"Malaria,\" \"Arterolane,\" \"OZ277,\" \"Piperaquine,\" and \"Artemisinin combination therapy.\" A total of 323 articles were screened and 28 articles were considered for this review along with the World Health Organization and National malarial program guidelines.","author":[{"dropping-particle":"","family":"Patil","given":"CY","non-dropping-particle":"","parse-names":false,"suffix":""},{"dropping-particle":"","family":"Baig","given":"MS","non-dropping-particle":"","parse-names":false,"suffix":""},{"dropping-particle":"","family":"Doifode","given":"SM","non-dropping-particle":"","parse-names":false,"suffix":""},{"dropping-particle":"","family":"Katare","given":"SS","non-dropping-particle":"","parse-names":false,"suffix":""}],"container-title":"Annals of Medical and Health Sciences Research","id":"ITEM-2","issue":"4","issued":{"date-parts":[["2014"]]},"page":"466","title":"Fixed dose combination of arterolane and piperaquine: A newer prospect in antimalarial therapy","type":"article-journal","volume":"4"},"uris":["http://www.mendeley.com/documents/?uuid=f45cf7e1-43ff-4329-9503-4854613880a7","http://www.mendeley.com/documents/?uuid=7ca7e6d7-381c-48b5-a5b3-9c6ee0738808"]}],"mendeley":{"formattedCitation":"&lt;sup&gt;107,108&lt;/sup&gt;","plainTextFormattedCitation":"107,108","previouslyFormattedCitation":"&lt;sup&gt;107,108&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107,108</w:t>
      </w:r>
      <w:r w:rsidR="00B47DD2" w:rsidRPr="00C07E8E">
        <w:rPr>
          <w:rFonts w:cs="Times New Roman"/>
          <w:color w:val="auto"/>
          <w:szCs w:val="22"/>
        </w:rPr>
        <w:fldChar w:fldCharType="end"/>
      </w:r>
    </w:p>
    <w:p w14:paraId="0214228D" w14:textId="77777777" w:rsidR="00C41119" w:rsidRPr="00C07E8E" w:rsidRDefault="00C41119" w:rsidP="00532D1D">
      <w:pPr>
        <w:rPr>
          <w:rFonts w:cs="Times New Roman"/>
          <w:color w:val="auto"/>
          <w:szCs w:val="22"/>
        </w:rPr>
      </w:pPr>
    </w:p>
    <w:p w14:paraId="2A0F560F" w14:textId="77777777" w:rsidR="00251197" w:rsidRPr="00C07E8E" w:rsidRDefault="00C07E8E" w:rsidP="00532D1D">
      <w:pPr>
        <w:pStyle w:val="Ttulo1"/>
        <w:numPr>
          <w:ilvl w:val="1"/>
          <w:numId w:val="3"/>
        </w:numPr>
        <w:spacing w:before="0"/>
        <w:rPr>
          <w:rFonts w:cs="Times New Roman"/>
          <w:color w:val="auto"/>
          <w:sz w:val="22"/>
          <w:szCs w:val="22"/>
        </w:rPr>
      </w:pPr>
      <w:r w:rsidRPr="00C07E8E">
        <w:rPr>
          <w:rFonts w:cs="Times New Roman"/>
          <w:color w:val="auto"/>
          <w:sz w:val="22"/>
          <w:szCs w:val="22"/>
        </w:rPr>
        <w:t>Arte</w:t>
      </w:r>
      <w:r w:rsidR="005715BE" w:rsidRPr="00C07E8E">
        <w:rPr>
          <w:rFonts w:cs="Times New Roman"/>
          <w:color w:val="auto"/>
          <w:sz w:val="22"/>
          <w:szCs w:val="22"/>
        </w:rPr>
        <w:t>fenomel</w:t>
      </w:r>
      <w:r w:rsidRPr="00C07E8E">
        <w:rPr>
          <w:rFonts w:cs="Times New Roman"/>
          <w:color w:val="auto"/>
          <w:sz w:val="22"/>
          <w:szCs w:val="22"/>
        </w:rPr>
        <w:t xml:space="preserve"> (OZ439)</w:t>
      </w:r>
    </w:p>
    <w:p w14:paraId="2965351F" w14:textId="77777777" w:rsidR="008D34A3" w:rsidRPr="00C07E8E" w:rsidRDefault="008D34A3" w:rsidP="00532D1D">
      <w:pPr>
        <w:rPr>
          <w:szCs w:val="22"/>
        </w:rPr>
      </w:pPr>
    </w:p>
    <w:p w14:paraId="2AB3BE87" w14:textId="58F1AE12" w:rsidR="001B5E80" w:rsidRPr="00C07E8E" w:rsidRDefault="006D7105" w:rsidP="00532D1D">
      <w:pPr>
        <w:keepNext/>
        <w:jc w:val="center"/>
        <w:rPr>
          <w:rFonts w:cs="Times New Roman"/>
          <w:color w:val="auto"/>
          <w:szCs w:val="22"/>
        </w:rPr>
      </w:pPr>
      <w:r w:rsidRPr="006D7105">
        <w:rPr>
          <w:rFonts w:cs="Times New Roman"/>
          <w:noProof/>
          <w:color w:val="auto"/>
          <w:szCs w:val="22"/>
        </w:rPr>
        <w:object w:dxaOrig="7723" w:dyaOrig="2390" w14:anchorId="769F9116">
          <v:shape id="_x0000_i1042" type="#_x0000_t75" alt="" style="width:386.4pt;height:119.4pt;mso-width-percent:0;mso-height-percent:0;mso-width-percent:0;mso-height-percent:0" o:ole="">
            <v:imagedata r:id="rId40" o:title=""/>
          </v:shape>
          <o:OLEObject Type="Embed" ProgID="ChemDraw.Document.6.0" ShapeID="_x0000_i1042" DrawAspect="Content" ObjectID="_1669219476" r:id="rId41"/>
        </w:object>
      </w:r>
    </w:p>
    <w:p w14:paraId="4CA119D5" w14:textId="41568E56" w:rsidR="001B5E80"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Figure </w:t>
      </w:r>
      <w:r w:rsidR="003D37CB" w:rsidRPr="00C07E8E">
        <w:rPr>
          <w:rFonts w:cs="Times New Roman"/>
          <w:b/>
          <w:bCs/>
          <w:i w:val="0"/>
          <w:iCs w:val="0"/>
          <w:color w:val="auto"/>
          <w:sz w:val="22"/>
          <w:szCs w:val="22"/>
        </w:rPr>
        <w:t>10</w:t>
      </w:r>
      <w:r w:rsidRPr="00C07E8E">
        <w:rPr>
          <w:rFonts w:cs="Times New Roman"/>
          <w:i w:val="0"/>
          <w:iCs w:val="0"/>
          <w:color w:val="auto"/>
          <w:sz w:val="22"/>
          <w:szCs w:val="22"/>
        </w:rPr>
        <w:t xml:space="preserve"> Structure </w:t>
      </w:r>
      <w:r w:rsidR="00117160">
        <w:rPr>
          <w:rFonts w:cs="Times New Roman"/>
          <w:i w:val="0"/>
          <w:iCs w:val="0"/>
          <w:color w:val="auto"/>
          <w:sz w:val="22"/>
          <w:szCs w:val="22"/>
        </w:rPr>
        <w:t xml:space="preserve">representation </w:t>
      </w:r>
      <w:r w:rsidRPr="00C07E8E">
        <w:rPr>
          <w:rFonts w:cs="Times New Roman"/>
          <w:i w:val="0"/>
          <w:iCs w:val="0"/>
          <w:color w:val="auto"/>
          <w:sz w:val="22"/>
          <w:szCs w:val="22"/>
        </w:rPr>
        <w:t xml:space="preserve">of the second generation trioxolane antimalarial </w:t>
      </w:r>
      <w:r w:rsidR="007039D5" w:rsidRPr="00C07E8E">
        <w:rPr>
          <w:rFonts w:cs="Times New Roman"/>
          <w:i w:val="0"/>
          <w:iCs w:val="0"/>
          <w:color w:val="auto"/>
          <w:sz w:val="22"/>
          <w:szCs w:val="22"/>
        </w:rPr>
        <w:t xml:space="preserve">Artefenomel </w:t>
      </w:r>
      <w:r w:rsidRPr="00C07E8E">
        <w:rPr>
          <w:rFonts w:cs="Times New Roman"/>
          <w:i w:val="0"/>
          <w:iCs w:val="0"/>
          <w:color w:val="auto"/>
          <w:sz w:val="22"/>
          <w:szCs w:val="22"/>
        </w:rPr>
        <w:t>(OZ439)</w:t>
      </w:r>
      <w:r w:rsidR="00615CB0">
        <w:rPr>
          <w:rFonts w:cs="Times New Roman"/>
          <w:i w:val="0"/>
          <w:iCs w:val="0"/>
          <w:color w:val="auto"/>
          <w:sz w:val="22"/>
          <w:szCs w:val="22"/>
        </w:rPr>
        <w:t xml:space="preserve"> and ozonide</w:t>
      </w:r>
      <w:r w:rsidR="00615CB0" w:rsidRPr="007370A6">
        <w:rPr>
          <w:rFonts w:cs="Times New Roman"/>
          <w:b/>
          <w:bCs/>
          <w:i w:val="0"/>
          <w:iCs w:val="0"/>
          <w:color w:val="auto"/>
          <w:sz w:val="22"/>
          <w:szCs w:val="22"/>
        </w:rPr>
        <w:t xml:space="preserve"> 72</w:t>
      </w:r>
    </w:p>
    <w:p w14:paraId="5B68E395" w14:textId="77777777" w:rsidR="007039D5" w:rsidRPr="00C07E8E" w:rsidRDefault="007039D5" w:rsidP="00532D1D">
      <w:pPr>
        <w:rPr>
          <w:rFonts w:cs="Times New Roman"/>
          <w:color w:val="auto"/>
          <w:szCs w:val="22"/>
        </w:rPr>
      </w:pPr>
    </w:p>
    <w:p w14:paraId="61EFB7D9" w14:textId="2329EF63" w:rsidR="001B5E80" w:rsidRPr="00C07E8E" w:rsidRDefault="00C07E8E" w:rsidP="00532D1D">
      <w:pPr>
        <w:rPr>
          <w:rStyle w:val="Hiperligao"/>
          <w:rFonts w:cs="Times New Roman"/>
          <w:color w:val="auto"/>
          <w:szCs w:val="22"/>
        </w:rPr>
      </w:pPr>
      <w:r w:rsidRPr="00C07E8E">
        <w:rPr>
          <w:rFonts w:cs="Times New Roman"/>
          <w:color w:val="auto"/>
          <w:szCs w:val="22"/>
        </w:rPr>
        <w:tab/>
        <w:t xml:space="preserve">Having attributed the lower </w:t>
      </w:r>
      <w:r w:rsidRPr="00C07E8E">
        <w:rPr>
          <w:rFonts w:cs="Times New Roman"/>
          <w:i/>
          <w:color w:val="auto"/>
          <w:szCs w:val="22"/>
        </w:rPr>
        <w:t xml:space="preserve">in vivo </w:t>
      </w:r>
      <w:r w:rsidRPr="00C07E8E">
        <w:rPr>
          <w:rFonts w:cs="Times New Roman"/>
          <w:iCs/>
          <w:color w:val="auto"/>
          <w:szCs w:val="22"/>
        </w:rPr>
        <w:t xml:space="preserve">activity of </w:t>
      </w:r>
      <w:r w:rsidR="00BB2628" w:rsidRPr="00C07E8E">
        <w:rPr>
          <w:rFonts w:cs="Times New Roman"/>
          <w:iCs/>
          <w:color w:val="auto"/>
          <w:szCs w:val="22"/>
        </w:rPr>
        <w:t>Arterolane</w:t>
      </w:r>
      <w:r w:rsidRPr="00C07E8E">
        <w:rPr>
          <w:rFonts w:cs="Times New Roman"/>
          <w:iCs/>
          <w:color w:val="auto"/>
          <w:szCs w:val="22"/>
        </w:rPr>
        <w:t xml:space="preserve"> to degradation of the peroxide bond by Fe(II), Vennerstrom’s group carried out studies on 4” substituted dispiro-1,2,4-trioxolanes investigating the effect of 4” substitution on stability to Fe(II) mediated degradation.</w:t>
      </w:r>
      <w:r w:rsidR="00B47DD2" w:rsidRPr="00C07E8E">
        <w:rPr>
          <w:rFonts w:cs="Times New Roman"/>
          <w:iCs/>
          <w:color w:val="auto"/>
          <w:szCs w:val="22"/>
        </w:rPr>
        <w:fldChar w:fldCharType="begin" w:fldLock="1"/>
      </w:r>
      <w:r w:rsidR="00192B39">
        <w:rPr>
          <w:rFonts w:cs="Times New Roman"/>
          <w:iCs/>
          <w:color w:val="auto"/>
          <w:szCs w:val="22"/>
        </w:rPr>
        <w:instrText>ADDIN CSL_CITATION {"citationItems":[{"id":"ITEM-1","itemData":{"DOI":"10.1002/jps.20958","ISSN":"15206017","PMID":"17549767","abstract":"The iron-mediated reactivity of various dispiro-1,2,4-trioxolanes was determined by automated kinetic analysis under standard reaction conditions. The active antimalarial compounds underwent peroxide bond cleavage by Fe(II) resulting in products indicative of carbon-centered radical formation. The rate of reaction was heavily influenced by the presence of spiro-substituted adamantane and cyclohexane rings, and was also significantly affected by cyclohexane ring substitution. Steric hindrance around the peroxide oxygen atoms appeared to be the major determinant of reaction rate, however polar substituents also affected reactivity by an independent mechanism. A wide range of reaction rates was observed within this class of peroxide antimalarials, however iron-mediated reactivity did not directly correlate with in vitro antimalarial activity. © 2007 Wiley-Liss, Inc. and the American Pharmacists Association.","author":[{"dropping-particle":"","family":"Creek","given":"Darren J.","non-dropping-particle":"","parse-names":false,"suffix":""},{"dropping-particle":"","family":"Charman","given":"William N.","non-dropping-particle":"","parse-names":false,"suffix":""},{"dropping-particle":"","family":"Chiu","given":"Francis C.K.","non-dropping-particle":"","parse-names":false,"suffix":""},{"dropping-particle":"","family":"Prankerd","given":"Richard J.","non-dropping-particle":"","parse-names":false,"suffix":""},{"dropping-particle":"","family":"McCullough","given":"Kevin J.","non-dropping-particle":"","parse-names":false,"suffix":""},{"dropping-particle":"","family":"Dong","given":"Yuxiang","non-dropping-particle":"","parse-names":false,"suffix":""},{"dropping-particle":"","family":"Vennerstrom","given":"Jonathan L.","non-dropping-particle":"","parse-names":false,"suffix":""},{"dropping-particle":"","family":"Charman","given":"Susan A.","non-dropping-particle":"","parse-names":false,"suffix":""}],"container-title":"Journal of Pharmaceutical Sciences","id":"ITEM-1","issue":"11","issued":{"date-parts":[["2007"]]},"page":"2945-2956","title":"Iron-mediated degradation kinetics of substituted dispiro-1,2,4-trioxolane antimalarials","type":"article-journal","volume":"96"},"uris":["http://www.mendeley.com/documents/?uuid=b1982492-621a-4d9f-9663-bb8708fa604d"]}],"mendeley":{"formattedCitation":"&lt;sup&gt;109&lt;/sup&gt;","plainTextFormattedCitation":"109","previouslyFormattedCitation":"&lt;sup&gt;109&lt;/sup&gt;"},"properties":{"noteIndex":0},"schema":"https://github.com/citation-style-language/schema/raw/master/csl-citation.json"}</w:instrText>
      </w:r>
      <w:r w:rsidR="00B47DD2" w:rsidRPr="00C07E8E">
        <w:rPr>
          <w:rFonts w:cs="Times New Roman"/>
          <w:iCs/>
          <w:color w:val="auto"/>
          <w:szCs w:val="22"/>
        </w:rPr>
        <w:fldChar w:fldCharType="separate"/>
      </w:r>
      <w:r w:rsidR="00CA5C6A" w:rsidRPr="00CA5C6A">
        <w:rPr>
          <w:rFonts w:cs="Times New Roman"/>
          <w:iCs/>
          <w:noProof/>
          <w:color w:val="auto"/>
          <w:szCs w:val="22"/>
          <w:vertAlign w:val="superscript"/>
        </w:rPr>
        <w:t>109</w:t>
      </w:r>
      <w:r w:rsidR="00B47DD2" w:rsidRPr="00C07E8E">
        <w:rPr>
          <w:rFonts w:cs="Times New Roman"/>
          <w:iCs/>
          <w:color w:val="auto"/>
          <w:szCs w:val="22"/>
        </w:rPr>
        <w:fldChar w:fldCharType="end"/>
      </w:r>
      <w:r w:rsidRPr="00C07E8E">
        <w:rPr>
          <w:rFonts w:cs="Times New Roman"/>
          <w:iCs/>
          <w:color w:val="auto"/>
          <w:szCs w:val="22"/>
        </w:rPr>
        <w:t xml:space="preserve"> </w:t>
      </w:r>
      <w:r w:rsidR="00A66354" w:rsidRPr="00C07E8E">
        <w:rPr>
          <w:rFonts w:cs="Times New Roman"/>
          <w:iCs/>
          <w:color w:val="auto"/>
          <w:szCs w:val="22"/>
        </w:rPr>
        <w:t xml:space="preserve">First order degradation rate constants and </w:t>
      </w:r>
      <w:r w:rsidR="00A66354" w:rsidRPr="00C07E8E">
        <w:rPr>
          <w:rFonts w:cs="Times New Roman"/>
          <w:i/>
          <w:color w:val="auto"/>
          <w:szCs w:val="22"/>
        </w:rPr>
        <w:t xml:space="preserve">P. falciparum </w:t>
      </w:r>
      <w:r w:rsidR="00A66354" w:rsidRPr="00C07E8E">
        <w:rPr>
          <w:rFonts w:cs="Times New Roman"/>
          <w:iCs/>
          <w:color w:val="auto"/>
          <w:szCs w:val="22"/>
        </w:rPr>
        <w:t>IC</w:t>
      </w:r>
      <w:r w:rsidR="00A66354" w:rsidRPr="00C07E8E">
        <w:rPr>
          <w:rFonts w:cs="Times New Roman"/>
          <w:iCs/>
          <w:color w:val="auto"/>
          <w:szCs w:val="22"/>
          <w:vertAlign w:val="subscript"/>
        </w:rPr>
        <w:t>50</w:t>
      </w:r>
      <w:r w:rsidR="00A66354" w:rsidRPr="00C07E8E">
        <w:rPr>
          <w:rFonts w:cs="Times New Roman"/>
          <w:iCs/>
          <w:color w:val="auto"/>
          <w:szCs w:val="22"/>
        </w:rPr>
        <w:t xml:space="preserve"> values were determined for a</w:t>
      </w:r>
      <w:r w:rsidR="00233604" w:rsidRPr="00C07E8E">
        <w:rPr>
          <w:rFonts w:cs="Times New Roman"/>
          <w:iCs/>
          <w:color w:val="auto"/>
          <w:szCs w:val="22"/>
        </w:rPr>
        <w:t xml:space="preserve"> </w:t>
      </w:r>
      <w:r w:rsidR="00A66354" w:rsidRPr="00C07E8E">
        <w:rPr>
          <w:rFonts w:cs="Times New Roman"/>
          <w:iCs/>
          <w:color w:val="auto"/>
          <w:szCs w:val="22"/>
        </w:rPr>
        <w:t>variety of substituents comprising a range of functionalities. It was found that</w:t>
      </w:r>
      <w:r w:rsidR="007303D5">
        <w:rPr>
          <w:rFonts w:cs="Times New Roman"/>
          <w:iCs/>
          <w:color w:val="auto"/>
          <w:szCs w:val="22"/>
        </w:rPr>
        <w:t>,</w:t>
      </w:r>
      <w:r w:rsidR="00A66354" w:rsidRPr="00C07E8E">
        <w:rPr>
          <w:rFonts w:cs="Times New Roman"/>
          <w:iCs/>
          <w:color w:val="auto"/>
          <w:szCs w:val="22"/>
        </w:rPr>
        <w:t xml:space="preserve"> compared to </w:t>
      </w:r>
      <w:r w:rsidR="00DE2693" w:rsidRPr="00C07E8E">
        <w:rPr>
          <w:rFonts w:cs="Times New Roman"/>
          <w:iCs/>
          <w:color w:val="auto"/>
          <w:szCs w:val="22"/>
        </w:rPr>
        <w:t>the 2</w:t>
      </w:r>
      <w:r w:rsidR="00A66354" w:rsidRPr="00C07E8E">
        <w:rPr>
          <w:rFonts w:cs="Times New Roman"/>
          <w:iCs/>
          <w:color w:val="auto"/>
          <w:szCs w:val="22"/>
        </w:rPr>
        <w:t xml:space="preserve">-amino-2-methylpropyl </w:t>
      </w:r>
      <w:r w:rsidR="00A66354" w:rsidRPr="00C07E8E">
        <w:rPr>
          <w:rFonts w:cs="Times New Roman"/>
          <w:iCs/>
          <w:color w:val="auto"/>
          <w:szCs w:val="22"/>
        </w:rPr>
        <w:lastRenderedPageBreak/>
        <w:t xml:space="preserve">acetamide moiety of </w:t>
      </w:r>
      <w:r w:rsidR="00BB2628" w:rsidRPr="00C07E8E">
        <w:rPr>
          <w:rFonts w:cs="Times New Roman"/>
          <w:iCs/>
          <w:color w:val="auto"/>
          <w:szCs w:val="22"/>
        </w:rPr>
        <w:t>arterolane</w:t>
      </w:r>
      <w:r w:rsidR="007303D5">
        <w:rPr>
          <w:rFonts w:cs="Times New Roman"/>
          <w:iCs/>
          <w:color w:val="auto"/>
          <w:szCs w:val="22"/>
        </w:rPr>
        <w:t>,</w:t>
      </w:r>
      <w:r w:rsidR="00A66354" w:rsidRPr="00C07E8E">
        <w:rPr>
          <w:rFonts w:cs="Times New Roman"/>
          <w:iCs/>
          <w:color w:val="auto"/>
          <w:szCs w:val="22"/>
        </w:rPr>
        <w:t xml:space="preserve"> a 4” phenyl substituent</w:t>
      </w:r>
      <w:r w:rsidR="007125A3">
        <w:rPr>
          <w:rFonts w:cs="Times New Roman"/>
          <w:iCs/>
          <w:color w:val="auto"/>
          <w:szCs w:val="22"/>
        </w:rPr>
        <w:t xml:space="preserve"> (</w:t>
      </w:r>
      <w:r w:rsidR="007125A3">
        <w:rPr>
          <w:rFonts w:cs="Times New Roman"/>
          <w:b/>
          <w:iCs/>
          <w:color w:val="auto"/>
          <w:szCs w:val="22"/>
        </w:rPr>
        <w:t>72,</w:t>
      </w:r>
      <w:r w:rsidR="007125A3" w:rsidRPr="007125A3">
        <w:rPr>
          <w:rFonts w:cs="Times New Roman"/>
          <w:iCs/>
          <w:color w:val="auto"/>
          <w:szCs w:val="22"/>
        </w:rPr>
        <w:t xml:space="preserve"> </w:t>
      </w:r>
      <w:r w:rsidR="007125A3" w:rsidRPr="007370A6">
        <w:rPr>
          <w:rFonts w:cs="Times New Roman"/>
          <w:b/>
          <w:iCs/>
          <w:color w:val="auto"/>
          <w:szCs w:val="22"/>
        </w:rPr>
        <w:t>Figure 10</w:t>
      </w:r>
      <w:r w:rsidR="007125A3">
        <w:rPr>
          <w:rFonts w:cs="Times New Roman"/>
          <w:iCs/>
          <w:color w:val="auto"/>
          <w:szCs w:val="22"/>
        </w:rPr>
        <w:t>)</w:t>
      </w:r>
      <w:r w:rsidR="00A66354" w:rsidRPr="00C07E8E">
        <w:rPr>
          <w:rFonts w:cs="Times New Roman"/>
          <w:iCs/>
          <w:color w:val="auto"/>
          <w:szCs w:val="22"/>
        </w:rPr>
        <w:t xml:space="preserve"> increased stability to Fe(II) mediated degradation 150-fold. The rationale for this is the increased preference of the phenyl group for equatorial conformation </w:t>
      </w:r>
      <w:r w:rsidR="00DE2693" w:rsidRPr="00C07E8E">
        <w:rPr>
          <w:rFonts w:cs="Times New Roman"/>
          <w:iCs/>
          <w:color w:val="auto"/>
          <w:szCs w:val="22"/>
        </w:rPr>
        <w:t>which yields a greater energetic preference for the peroxide bond to take a less Fe(II) accessible axial conformation allowing greater stability. Additionally, the introduction of the phenyl substituent was not found to significantly decrease antimalarial potency.</w:t>
      </w:r>
      <w:r w:rsidR="00B47DD2" w:rsidRPr="00C07E8E">
        <w:rPr>
          <w:rFonts w:cs="Times New Roman"/>
          <w:iCs/>
          <w:color w:val="auto"/>
          <w:szCs w:val="22"/>
        </w:rPr>
        <w:fldChar w:fldCharType="begin" w:fldLock="1"/>
      </w:r>
      <w:r w:rsidR="00192B39">
        <w:rPr>
          <w:rFonts w:cs="Times New Roman"/>
          <w:iCs/>
          <w:color w:val="auto"/>
          <w:szCs w:val="22"/>
        </w:rPr>
        <w:instrText>ADDIN CSL_CITATION {"citationItems":[{"id":"ITEM-1","itemData":{"DOI":"10.1002/jps.20958","ISSN":"15206017","PMID":"17549767","abstract":"The iron-mediated reactivity of various dispiro-1,2,4-trioxolanes was determined by automated kinetic analysis under standard reaction conditions. The active antimalarial compounds underwent peroxide bond cleavage by Fe(II) resulting in products indicative of carbon-centered radical formation. The rate of reaction was heavily influenced by the presence of spiro-substituted adamantane and cyclohexane rings, and was also significantly affected by cyclohexane ring substitution. Steric hindrance around the peroxide oxygen atoms appeared to be the major determinant of reaction rate, however polar substituents also affected reactivity by an independent mechanism. A wide range of reaction rates was observed within this class of peroxide antimalarials, however iron-mediated reactivity did not directly correlate with in vitro antimalarial activity. © 2007 Wiley-Liss, Inc. and the American Pharmacists Association.","author":[{"dropping-particle":"","family":"Creek","given":"Darren J.","non-dropping-particle":"","parse-names":false,"suffix":""},{"dropping-particle":"","family":"Charman","given":"William N.","non-dropping-particle":"","parse-names":false,"suffix":""},{"dropping-particle":"","family":"Chiu","given":"Francis C.K.","non-dropping-particle":"","parse-names":false,"suffix":""},{"dropping-particle":"","family":"Prankerd","given":"Richard J.","non-dropping-particle":"","parse-names":false,"suffix":""},{"dropping-particle":"","family":"McCullough","given":"Kevin J.","non-dropping-particle":"","parse-names":false,"suffix":""},{"dropping-particle":"","family":"Dong","given":"Yuxiang","non-dropping-particle":"","parse-names":false,"suffix":""},{"dropping-particle":"","family":"Vennerstrom","given":"Jonathan L.","non-dropping-particle":"","parse-names":false,"suffix":""},{"dropping-particle":"","family":"Charman","given":"Susan A.","non-dropping-particle":"","parse-names":false,"suffix":""}],"container-title":"Journal of Pharmaceutical Sciences","id":"ITEM-1","issue":"11","issued":{"date-parts":[["2007"]]},"page":"2945-2956","title":"Iron-mediated degradation kinetics of substituted dispiro-1,2,4-trioxolane antimalarials","type":"article-journal","volume":"96"},"uris":["http://www.mendeley.com/documents/?uuid=b1982492-621a-4d9f-9663-bb8708fa604d"]}],"mendeley":{"formattedCitation":"&lt;sup&gt;109&lt;/sup&gt;","plainTextFormattedCitation":"109","previouslyFormattedCitation":"&lt;sup&gt;109&lt;/sup&gt;"},"properties":{"noteIndex":0},"schema":"https://github.com/citation-style-language/schema/raw/master/csl-citation.json"}</w:instrText>
      </w:r>
      <w:r w:rsidR="00B47DD2" w:rsidRPr="00C07E8E">
        <w:rPr>
          <w:rFonts w:cs="Times New Roman"/>
          <w:iCs/>
          <w:color w:val="auto"/>
          <w:szCs w:val="22"/>
        </w:rPr>
        <w:fldChar w:fldCharType="separate"/>
      </w:r>
      <w:r w:rsidR="00CA5C6A" w:rsidRPr="00CA5C6A">
        <w:rPr>
          <w:rFonts w:cs="Times New Roman"/>
          <w:iCs/>
          <w:noProof/>
          <w:color w:val="auto"/>
          <w:szCs w:val="22"/>
          <w:vertAlign w:val="superscript"/>
        </w:rPr>
        <w:t>109</w:t>
      </w:r>
      <w:r w:rsidR="00B47DD2" w:rsidRPr="00C07E8E">
        <w:rPr>
          <w:rFonts w:cs="Times New Roman"/>
          <w:iCs/>
          <w:color w:val="auto"/>
          <w:szCs w:val="22"/>
        </w:rPr>
        <w:fldChar w:fldCharType="end"/>
      </w:r>
      <w:r w:rsidR="00DE2693" w:rsidRPr="00C07E8E">
        <w:rPr>
          <w:rFonts w:cs="Times New Roman"/>
          <w:iCs/>
          <w:color w:val="auto"/>
          <w:szCs w:val="22"/>
        </w:rPr>
        <w:t xml:space="preserve"> </w:t>
      </w:r>
      <w:r w:rsidR="00DE2693" w:rsidRPr="00C07E8E">
        <w:rPr>
          <w:rFonts w:cs="Times New Roman"/>
          <w:color w:val="auto"/>
          <w:szCs w:val="22"/>
        </w:rPr>
        <w:t>Extension of the 4”-phenyl moiety with the addition of a morpholine containing solubilising group allowed enhanced drug-like properties yielding the compound A</w:t>
      </w:r>
      <w:r w:rsidR="007039D5" w:rsidRPr="00C07E8E">
        <w:rPr>
          <w:rFonts w:cs="Times New Roman"/>
          <w:color w:val="auto"/>
          <w:szCs w:val="22"/>
        </w:rPr>
        <w:t>rtefenomel</w:t>
      </w:r>
      <w:r w:rsidR="00DE2693" w:rsidRPr="00C07E8E">
        <w:rPr>
          <w:rFonts w:cs="Times New Roman"/>
          <w:color w:val="auto"/>
          <w:szCs w:val="22"/>
        </w:rPr>
        <w:t xml:space="preserve"> (OZ439, </w:t>
      </w:r>
      <w:r w:rsidR="00615CB0">
        <w:rPr>
          <w:rFonts w:cs="Times New Roman"/>
          <w:b/>
          <w:bCs/>
          <w:color w:val="auto"/>
          <w:szCs w:val="22"/>
        </w:rPr>
        <w:t>71</w:t>
      </w:r>
      <w:r w:rsidR="00BF4561">
        <w:rPr>
          <w:rFonts w:cs="Times New Roman"/>
          <w:b/>
          <w:bCs/>
          <w:color w:val="auto"/>
          <w:szCs w:val="22"/>
        </w:rPr>
        <w:t>,</w:t>
      </w:r>
      <w:r w:rsidR="00BF4561" w:rsidRPr="00BF4561">
        <w:rPr>
          <w:rFonts w:cs="Times New Roman"/>
          <w:color w:val="auto"/>
          <w:szCs w:val="22"/>
        </w:rPr>
        <w:t xml:space="preserve"> </w:t>
      </w:r>
      <w:r w:rsidR="00BF4561" w:rsidRPr="007370A6">
        <w:rPr>
          <w:rFonts w:cs="Times New Roman"/>
          <w:b/>
          <w:color w:val="auto"/>
          <w:szCs w:val="22"/>
        </w:rPr>
        <w:t>Figure 10</w:t>
      </w:r>
      <w:r w:rsidR="00B47DD2"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p>
    <w:p w14:paraId="446CEF2D" w14:textId="6AD6BB83" w:rsidR="00DE2693" w:rsidRPr="00C07E8E" w:rsidRDefault="00C07E8E" w:rsidP="00532D1D">
      <w:pPr>
        <w:rPr>
          <w:rFonts w:cs="Times New Roman"/>
          <w:color w:val="auto"/>
          <w:szCs w:val="22"/>
        </w:rPr>
      </w:pPr>
      <w:r w:rsidRPr="00C07E8E">
        <w:rPr>
          <w:rFonts w:cs="Times New Roman"/>
          <w:color w:val="auto"/>
          <w:szCs w:val="22"/>
        </w:rPr>
        <w:tab/>
        <w:t xml:space="preserve">As with </w:t>
      </w:r>
      <w:r w:rsidR="007303D5">
        <w:rPr>
          <w:rFonts w:cs="Times New Roman"/>
          <w:color w:val="auto"/>
          <w:szCs w:val="22"/>
        </w:rPr>
        <w:t>A</w:t>
      </w:r>
      <w:r w:rsidR="007303D5" w:rsidRPr="00C07E8E">
        <w:rPr>
          <w:rFonts w:cs="Times New Roman"/>
          <w:color w:val="auto"/>
          <w:szCs w:val="22"/>
        </w:rPr>
        <w:t>rterolane</w:t>
      </w:r>
      <w:r w:rsidRPr="00C07E8E">
        <w:rPr>
          <w:rFonts w:cs="Times New Roman"/>
          <w:color w:val="auto"/>
          <w:szCs w:val="22"/>
        </w:rPr>
        <w:t xml:space="preserve">, the key reaction in the synthesis of </w:t>
      </w:r>
      <w:r w:rsidR="007303D5" w:rsidRPr="00C07E8E">
        <w:rPr>
          <w:rFonts w:cs="Times New Roman"/>
          <w:color w:val="auto"/>
          <w:szCs w:val="22"/>
        </w:rPr>
        <w:t>Arte</w:t>
      </w:r>
      <w:r w:rsidR="007303D5">
        <w:rPr>
          <w:rFonts w:cs="Times New Roman"/>
          <w:color w:val="auto"/>
          <w:szCs w:val="22"/>
        </w:rPr>
        <w:t>fenomel</w:t>
      </w:r>
      <w:r w:rsidR="007303D5" w:rsidRPr="00C07E8E">
        <w:rPr>
          <w:rFonts w:cs="Times New Roman"/>
          <w:color w:val="auto"/>
          <w:szCs w:val="22"/>
        </w:rPr>
        <w:t xml:space="preserve"> </w:t>
      </w:r>
      <w:r w:rsidRPr="00C07E8E">
        <w:rPr>
          <w:rFonts w:cs="Times New Roman"/>
          <w:color w:val="auto"/>
          <w:szCs w:val="22"/>
        </w:rPr>
        <w:t xml:space="preserve">was the Griesbaum co-ozonolysis of a cyclohexanone with adamantan-2-one O-methyl oxime. The acetyl-protected </w:t>
      </w:r>
      <w:r w:rsidR="003436AF" w:rsidRPr="00C07E8E">
        <w:rPr>
          <w:rFonts w:cs="Times New Roman"/>
          <w:color w:val="auto"/>
          <w:szCs w:val="22"/>
        </w:rPr>
        <w:t xml:space="preserve">cyclohexanone derivative </w:t>
      </w:r>
      <w:r w:rsidR="00615CB0">
        <w:rPr>
          <w:rFonts w:cs="Times New Roman"/>
          <w:b/>
          <w:bCs/>
          <w:color w:val="auto"/>
          <w:szCs w:val="22"/>
        </w:rPr>
        <w:t>74</w:t>
      </w:r>
      <w:r w:rsidR="003436AF" w:rsidRPr="00C07E8E">
        <w:rPr>
          <w:rFonts w:cs="Times New Roman"/>
          <w:b/>
          <w:bCs/>
          <w:color w:val="auto"/>
          <w:szCs w:val="22"/>
        </w:rPr>
        <w:t xml:space="preserve"> </w:t>
      </w:r>
      <w:r w:rsidR="003436AF" w:rsidRPr="00C07E8E">
        <w:rPr>
          <w:rFonts w:cs="Times New Roman"/>
          <w:color w:val="auto"/>
          <w:szCs w:val="22"/>
        </w:rPr>
        <w:t>(</w:t>
      </w:r>
      <w:r w:rsidR="003436AF" w:rsidRPr="007370A6">
        <w:rPr>
          <w:rFonts w:cs="Times New Roman"/>
          <w:b/>
          <w:color w:val="auto"/>
          <w:szCs w:val="22"/>
        </w:rPr>
        <w:t xml:space="preserve">Scheme </w:t>
      </w:r>
      <w:r w:rsidR="00D96DFB" w:rsidRPr="007370A6">
        <w:rPr>
          <w:rFonts w:cs="Times New Roman"/>
          <w:b/>
          <w:color w:val="auto"/>
          <w:szCs w:val="22"/>
        </w:rPr>
        <w:t>9</w:t>
      </w:r>
      <w:r w:rsidR="003436AF" w:rsidRPr="00C07E8E">
        <w:rPr>
          <w:rFonts w:cs="Times New Roman"/>
          <w:color w:val="auto"/>
          <w:szCs w:val="22"/>
        </w:rPr>
        <w:t>) was synthesised from the parent phenol (</w:t>
      </w:r>
      <w:r w:rsidR="00615CB0">
        <w:rPr>
          <w:rFonts w:cs="Times New Roman"/>
          <w:b/>
          <w:bCs/>
          <w:color w:val="auto"/>
          <w:szCs w:val="22"/>
        </w:rPr>
        <w:t>73</w:t>
      </w:r>
      <w:r w:rsidR="003436AF" w:rsidRPr="00C07E8E">
        <w:rPr>
          <w:rFonts w:cs="Times New Roman"/>
          <w:color w:val="auto"/>
          <w:szCs w:val="22"/>
        </w:rPr>
        <w:t>) by treatment with acetic anhydride and triethylamine</w:t>
      </w:r>
      <w:r w:rsidR="00B47DD2"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r w:rsidR="00BF4561">
        <w:rPr>
          <w:rStyle w:val="Hiperligao"/>
          <w:rFonts w:cs="Times New Roman"/>
          <w:color w:val="auto"/>
          <w:szCs w:val="22"/>
          <w:u w:val="none"/>
        </w:rPr>
        <w:t xml:space="preserve"> </w:t>
      </w:r>
      <w:r w:rsidR="003436AF" w:rsidRPr="00C07E8E">
        <w:rPr>
          <w:rFonts w:cs="Times New Roman"/>
          <w:color w:val="auto"/>
          <w:szCs w:val="22"/>
        </w:rPr>
        <w:t xml:space="preserve">Griesbaum co-ozonolysis with </w:t>
      </w:r>
      <w:r w:rsidR="003D37CB" w:rsidRPr="00C07E8E">
        <w:rPr>
          <w:rFonts w:cs="Times New Roman"/>
          <w:b/>
          <w:bCs/>
          <w:color w:val="auto"/>
          <w:szCs w:val="22"/>
        </w:rPr>
        <w:t>6</w:t>
      </w:r>
      <w:r w:rsidR="00774A37">
        <w:rPr>
          <w:rFonts w:cs="Times New Roman"/>
          <w:b/>
          <w:bCs/>
          <w:color w:val="auto"/>
          <w:szCs w:val="22"/>
        </w:rPr>
        <w:t>7</w:t>
      </w:r>
      <w:r w:rsidR="003436AF" w:rsidRPr="00C07E8E">
        <w:rPr>
          <w:rFonts w:cs="Times New Roman"/>
          <w:color w:val="auto"/>
          <w:szCs w:val="22"/>
        </w:rPr>
        <w:t xml:space="preserve"> afforded the acetyl protected trioxolane </w:t>
      </w:r>
      <w:r w:rsidR="00615CB0">
        <w:rPr>
          <w:rFonts w:cs="Times New Roman"/>
          <w:b/>
          <w:bCs/>
          <w:color w:val="auto"/>
          <w:szCs w:val="22"/>
        </w:rPr>
        <w:t>75</w:t>
      </w:r>
      <w:r w:rsidR="003436AF" w:rsidRPr="00C07E8E">
        <w:rPr>
          <w:rFonts w:cs="Times New Roman"/>
          <w:color w:val="auto"/>
          <w:szCs w:val="22"/>
        </w:rPr>
        <w:t xml:space="preserve">. The diastereoselectivity of the synthesis of 4” phenyl 1,2,4-trioxolanes by Griesbaum co-ozonolysis was shown by Vennerstrom to possess a </w:t>
      </w:r>
      <w:r w:rsidR="003436AF" w:rsidRPr="00C07E8E">
        <w:rPr>
          <w:rFonts w:cs="Times New Roman"/>
          <w:i/>
          <w:iCs/>
          <w:color w:val="auto"/>
          <w:szCs w:val="22"/>
        </w:rPr>
        <w:t>cis:trans</w:t>
      </w:r>
      <w:r w:rsidR="003436AF" w:rsidRPr="00C07E8E">
        <w:rPr>
          <w:rFonts w:cs="Times New Roman"/>
          <w:color w:val="auto"/>
          <w:szCs w:val="22"/>
        </w:rPr>
        <w:t xml:space="preserve"> selectivity of  &gt;20:1 outperforming the equivalent step for synthesis of </w:t>
      </w:r>
      <w:r w:rsidR="00BB2628" w:rsidRPr="00C07E8E">
        <w:rPr>
          <w:rFonts w:cs="Times New Roman"/>
          <w:color w:val="auto"/>
          <w:szCs w:val="22"/>
        </w:rPr>
        <w:t>Arterolane</w:t>
      </w:r>
      <w:r w:rsidR="003436AF"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{"citationItems":[{"id":"ITEM-1","itemData":{"DOI":"10.1021/jo040171c","ISSN":"00223263","abstract":"The diastereoselectivity of the Griesbaum coozonolysis reaction with O-methyl 2-adamantanone oxime and 4-substituted cyclohexanones reveals that the major tetrasubstituted ozonide isomers possess cis configurations, suggesting a preferred axial attack of the carbonyl oxide on the cyclohexanone dipolarophiles. It is evident that these tetrasubstituted ozonides are quite stable to triphenylphosphine, borohydrides, hydrazine, alkyllithiums, Grignard reagents, mercaptides, and aqueous KOH as illustrated by the synthesis of amine, alcohol, acid, ester, ether, sulfide, sulfone, and heterocycle-functionalized ozonides by a wide range of post-ozonolysis transformations.","author":[{"dropping-particle":"","family":"Tang","given":"Yuanqing","non-dropping-particle":"","parse-names":false,"suffix":""},{"dropping-particle":"","family":"Dong","given":"Yuxiang","non-dropping-particle":"","parse-names":false,"suffix":""},{"dropping-particle":"","family":"Karle","given":"Jean M","non-dropping-particle":"","parse-names":false,"suffix":""},{"dropping-particle":"","family":"DiTusa","given":"Charles A","non-dropping-particle":"","parse-names":false,"suffix":""},{"dropping-particle":"","family":"Vennerstrom","given":"Jonathan L","non-dropping-particle":"","parse-names":false,"suffix":""}],"container-title":"The Journal of Organic Chemistry","id":"ITEM-1","issue":"19","issued":{"date-parts":[["2004","9","1"]]},"note":"From Duplicate 1 (Synthesis of Tetrasubstituted Ozonides by the Griesbaum Coozonolysis Reaction: Diastereoselectivity and Functional Group Transformations by Post-Ozonolysis Reactions - Tang, Yuanqing; Dong, Yuxiang; Karle, Jean M; DiTusa, Charles A; Vennerstrom, Jonathan L)\n\ndoi: 10.1021/jo040171c","page":"6470-6473","publisher":"American Chemical Society","title":"Synthesis of Tetrasubstituted Ozonides by the Griesbaum Coozonolysis Reaction: Diastereoselectivity and Functional Group Transformations by Post-Ozonolysis Reactions","type":"article-journal","volume":"69"},"uris":["http://www.mendeley.com/documents/?uuid=48a43ab7-f31c-4e2f-b2fc-52f2d9c6f6c9"]}],"mendeley":{"formattedCitation":"&lt;sup&gt;102&lt;/sup&gt;","plainTextFormattedCitation":"102","previouslyFormattedCitation":"&lt;sup&gt;102&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102</w:t>
      </w:r>
      <w:r w:rsidR="00B47DD2" w:rsidRPr="00C07E8E">
        <w:rPr>
          <w:rFonts w:cs="Times New Roman"/>
          <w:color w:val="auto"/>
          <w:szCs w:val="22"/>
        </w:rPr>
        <w:fldChar w:fldCharType="end"/>
      </w:r>
      <w:r w:rsidR="003436AF" w:rsidRPr="00C07E8E">
        <w:rPr>
          <w:rFonts w:cs="Times New Roman"/>
          <w:color w:val="auto"/>
          <w:szCs w:val="22"/>
        </w:rPr>
        <w:t xml:space="preserve"> The acetyl protecting group was removed by alkaline hydrolysis affording the free phenol </w:t>
      </w:r>
      <w:r w:rsidR="003D37CB" w:rsidRPr="00C07E8E">
        <w:rPr>
          <w:rFonts w:cs="Times New Roman"/>
          <w:b/>
          <w:bCs/>
          <w:color w:val="auto"/>
          <w:szCs w:val="22"/>
        </w:rPr>
        <w:t>7</w:t>
      </w:r>
      <w:r w:rsidR="00615CB0">
        <w:rPr>
          <w:rFonts w:cs="Times New Roman"/>
          <w:b/>
          <w:bCs/>
          <w:color w:val="auto"/>
          <w:szCs w:val="22"/>
        </w:rPr>
        <w:t>6</w:t>
      </w:r>
      <w:r w:rsidR="003436AF" w:rsidRPr="00C07E8E">
        <w:rPr>
          <w:rFonts w:cs="Times New Roman"/>
          <w:b/>
          <w:bCs/>
          <w:color w:val="auto"/>
          <w:szCs w:val="22"/>
        </w:rPr>
        <w:t xml:space="preserve"> </w:t>
      </w:r>
      <w:r w:rsidR="003436AF" w:rsidRPr="00C07E8E">
        <w:rPr>
          <w:rFonts w:cs="Times New Roman"/>
          <w:color w:val="auto"/>
          <w:szCs w:val="22"/>
        </w:rPr>
        <w:t xml:space="preserve">which was coupled with </w:t>
      </w:r>
      <w:r w:rsidR="003436AF" w:rsidRPr="00C07E8E">
        <w:rPr>
          <w:rFonts w:cs="Times New Roman"/>
          <w:i/>
          <w:iCs/>
          <w:color w:val="auto"/>
          <w:szCs w:val="22"/>
        </w:rPr>
        <w:t>N</w:t>
      </w:r>
      <w:r w:rsidR="003436AF" w:rsidRPr="00C07E8E">
        <w:rPr>
          <w:rFonts w:cs="Times New Roman"/>
          <w:color w:val="auto"/>
          <w:szCs w:val="22"/>
        </w:rPr>
        <w:t>-2-chloroethyl morpholine hydr</w:t>
      </w:r>
      <w:r w:rsidR="00B47DD2" w:rsidRPr="00C07E8E">
        <w:rPr>
          <w:rFonts w:cs="Times New Roman"/>
          <w:color w:val="auto"/>
          <w:szCs w:val="22"/>
        </w:rPr>
        <w:t xml:space="preserve">ochloride to afford </w:t>
      </w:r>
      <w:r w:rsidR="007039D5" w:rsidRPr="00C07E8E">
        <w:rPr>
          <w:rFonts w:cs="Times New Roman"/>
          <w:color w:val="auto"/>
          <w:szCs w:val="22"/>
        </w:rPr>
        <w:t>Artefenomel</w:t>
      </w:r>
      <w:r w:rsidR="00B47DD2"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p>
    <w:p w14:paraId="2220680B" w14:textId="31772CF3" w:rsidR="003436AF" w:rsidRPr="00C07E8E" w:rsidRDefault="006D7105" w:rsidP="00532D1D">
      <w:pPr>
        <w:keepNext/>
        <w:jc w:val="center"/>
        <w:rPr>
          <w:rFonts w:cs="Times New Roman"/>
          <w:color w:val="auto"/>
          <w:szCs w:val="22"/>
        </w:rPr>
      </w:pPr>
      <w:r w:rsidRPr="006D7105">
        <w:rPr>
          <w:rFonts w:cs="Times New Roman"/>
          <w:noProof/>
          <w:color w:val="auto"/>
          <w:szCs w:val="22"/>
        </w:rPr>
        <w:object w:dxaOrig="8673" w:dyaOrig="4836" w14:anchorId="191645BA">
          <v:shape id="_x0000_i1043" type="#_x0000_t75" alt="" style="width:6in;height:240pt;mso-width-percent:0;mso-height-percent:0;mso-width-percent:0;mso-height-percent:0" o:ole="">
            <v:imagedata r:id="rId42" o:title=""/>
          </v:shape>
          <o:OLEObject Type="Embed" ProgID="ChemDraw.Document.6.0" ShapeID="_x0000_i1043" DrawAspect="Content" ObjectID="_1669219477" r:id="rId43"/>
        </w:object>
      </w:r>
    </w:p>
    <w:p w14:paraId="5044278A" w14:textId="77777777" w:rsidR="00251197"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Scheme </w:t>
      </w:r>
      <w:r w:rsidR="00D96DFB" w:rsidRPr="00C07E8E">
        <w:rPr>
          <w:rFonts w:cs="Times New Roman"/>
          <w:b/>
          <w:bCs/>
          <w:i w:val="0"/>
          <w:iCs w:val="0"/>
          <w:color w:val="auto"/>
          <w:sz w:val="22"/>
          <w:szCs w:val="22"/>
        </w:rPr>
        <w:t>9</w:t>
      </w:r>
      <w:r w:rsidRPr="00C07E8E">
        <w:rPr>
          <w:rFonts w:cs="Times New Roman"/>
          <w:i w:val="0"/>
          <w:iCs w:val="0"/>
          <w:color w:val="auto"/>
          <w:sz w:val="22"/>
          <w:szCs w:val="22"/>
        </w:rPr>
        <w:t xml:space="preserve">: Synthesis of the second generation trioxolane antimalarial </w:t>
      </w:r>
      <w:r w:rsidR="007039D5" w:rsidRPr="00C07E8E">
        <w:rPr>
          <w:rFonts w:cs="Times New Roman"/>
          <w:i w:val="0"/>
          <w:iCs w:val="0"/>
          <w:color w:val="auto"/>
          <w:sz w:val="22"/>
          <w:szCs w:val="22"/>
        </w:rPr>
        <w:t>Artefenomel</w:t>
      </w:r>
    </w:p>
    <w:p w14:paraId="61ADC627" w14:textId="77777777" w:rsidR="007039D5" w:rsidRPr="00C07E8E" w:rsidRDefault="007039D5" w:rsidP="00532D1D">
      <w:pPr>
        <w:rPr>
          <w:rFonts w:cs="Times New Roman"/>
          <w:color w:val="auto"/>
          <w:szCs w:val="22"/>
        </w:rPr>
      </w:pPr>
    </w:p>
    <w:p w14:paraId="42F25D93" w14:textId="52A0976C" w:rsidR="00861651" w:rsidRDefault="00C07E8E" w:rsidP="00532D1D">
      <w:r w:rsidRPr="00C07E8E">
        <w:rPr>
          <w:rFonts w:cs="Times New Roman"/>
          <w:color w:val="auto"/>
          <w:szCs w:val="22"/>
        </w:rPr>
        <w:tab/>
      </w:r>
      <w:r w:rsidR="00442B22" w:rsidRPr="00C07E8E">
        <w:rPr>
          <w:rFonts w:cs="Times New Roman"/>
          <w:color w:val="auto"/>
          <w:szCs w:val="22"/>
        </w:rPr>
        <w:t xml:space="preserve">Incubation of </w:t>
      </w:r>
      <w:r w:rsidR="00774A37">
        <w:rPr>
          <w:rFonts w:cs="Times New Roman"/>
          <w:b/>
          <w:bCs/>
          <w:color w:val="auto"/>
          <w:szCs w:val="22"/>
        </w:rPr>
        <w:t>71</w:t>
      </w:r>
      <w:r w:rsidR="00442B22" w:rsidRPr="00C07E8E">
        <w:rPr>
          <w:rFonts w:cs="Times New Roman"/>
          <w:b/>
          <w:bCs/>
          <w:color w:val="auto"/>
          <w:szCs w:val="22"/>
        </w:rPr>
        <w:t xml:space="preserve"> </w:t>
      </w:r>
      <w:r w:rsidR="00442B22" w:rsidRPr="00C07E8E">
        <w:rPr>
          <w:rFonts w:cs="Times New Roman"/>
          <w:color w:val="auto"/>
          <w:szCs w:val="22"/>
        </w:rPr>
        <w:t>in healthy rat blood showed a first-order degradation rate constant 15 fold lower than that of OZ277</w:t>
      </w:r>
      <w:r w:rsidR="00A7677A">
        <w:rPr>
          <w:rFonts w:cs="Times New Roman"/>
          <w:color w:val="auto"/>
          <w:szCs w:val="22"/>
        </w:rPr>
        <w:t>,</w:t>
      </w:r>
      <w:r w:rsidR="00442B22" w:rsidRPr="00C07E8E">
        <w:rPr>
          <w:rFonts w:cs="Times New Roman"/>
          <w:color w:val="auto"/>
          <w:szCs w:val="22"/>
        </w:rPr>
        <w:t xml:space="preserve"> indicating that the desired reduction in Fe(II) reactivity had been achieved. </w:t>
      </w:r>
      <w:r w:rsidRPr="00C07E8E">
        <w:rPr>
          <w:rFonts w:cs="Times New Roman"/>
          <w:i/>
          <w:iCs/>
          <w:color w:val="auto"/>
          <w:szCs w:val="22"/>
        </w:rPr>
        <w:t>In vitro</w:t>
      </w:r>
      <w:r w:rsidRPr="00C07E8E">
        <w:rPr>
          <w:rFonts w:cs="Times New Roman"/>
          <w:color w:val="auto"/>
          <w:szCs w:val="22"/>
        </w:rPr>
        <w:t>, Arterolane was found to possess potent antimalarial activity against K1 CQ resistant and NF54 CQ sensitive strains of malaria with IC</w:t>
      </w:r>
      <w:r w:rsidRPr="00C07E8E">
        <w:rPr>
          <w:rFonts w:cs="Times New Roman"/>
          <w:color w:val="auto"/>
          <w:szCs w:val="22"/>
          <w:vertAlign w:val="subscript"/>
        </w:rPr>
        <w:t xml:space="preserve">50 </w:t>
      </w:r>
      <w:r w:rsidRPr="00C07E8E">
        <w:rPr>
          <w:rFonts w:cs="Times New Roman"/>
          <w:color w:val="auto"/>
          <w:szCs w:val="22"/>
        </w:rPr>
        <w:t>values of  1.6 and 1.9 ng/ml respectively</w:t>
      </w:r>
      <w:r w:rsidR="00A7677A">
        <w:rPr>
          <w:rFonts w:cs="Times New Roman"/>
          <w:color w:val="auto"/>
          <w:szCs w:val="22"/>
        </w:rPr>
        <w:t>,</w:t>
      </w:r>
      <w:r w:rsidRPr="00C07E8E">
        <w:rPr>
          <w:rFonts w:cs="Times New Roman"/>
          <w:color w:val="auto"/>
          <w:szCs w:val="22"/>
        </w:rPr>
        <w:t xml:space="preserve"> indicating that despite </w:t>
      </w:r>
      <w:r w:rsidR="00442B22" w:rsidRPr="00C07E8E">
        <w:rPr>
          <w:rFonts w:cs="Times New Roman"/>
          <w:color w:val="auto"/>
          <w:szCs w:val="22"/>
        </w:rPr>
        <w:t xml:space="preserve">reduced Fe(II) sensitivity, </w:t>
      </w:r>
      <w:r w:rsidR="00774A37">
        <w:rPr>
          <w:rFonts w:cs="Times New Roman"/>
          <w:b/>
          <w:bCs/>
          <w:color w:val="auto"/>
          <w:szCs w:val="22"/>
        </w:rPr>
        <w:t>71</w:t>
      </w:r>
      <w:r w:rsidR="00442B22" w:rsidRPr="00C07E8E">
        <w:rPr>
          <w:rFonts w:cs="Times New Roman"/>
          <w:b/>
          <w:bCs/>
          <w:color w:val="auto"/>
          <w:szCs w:val="22"/>
        </w:rPr>
        <w:t xml:space="preserve"> </w:t>
      </w:r>
      <w:r w:rsidR="00442B22" w:rsidRPr="00C07E8E">
        <w:rPr>
          <w:rFonts w:cs="Times New Roman"/>
          <w:color w:val="auto"/>
          <w:szCs w:val="22"/>
        </w:rPr>
        <w:t>retains Fe(II) reactivity sufficient for antimalarial effect</w:t>
      </w:r>
      <w:r w:rsidR="00B47DD2"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r w:rsidR="00442B22" w:rsidRPr="00C07E8E">
        <w:rPr>
          <w:rFonts w:cs="Times New Roman"/>
          <w:color w:val="auto"/>
          <w:szCs w:val="22"/>
        </w:rPr>
        <w:t xml:space="preserve"> More notably, OZ439 was screened in a 30 day </w:t>
      </w:r>
      <w:r w:rsidR="00442B22" w:rsidRPr="00C07E8E">
        <w:rPr>
          <w:rFonts w:cs="Times New Roman"/>
          <w:i/>
          <w:iCs/>
          <w:color w:val="auto"/>
          <w:szCs w:val="22"/>
        </w:rPr>
        <w:t xml:space="preserve">P. berghei </w:t>
      </w:r>
      <w:r w:rsidR="00442B22" w:rsidRPr="00C07E8E">
        <w:rPr>
          <w:rFonts w:cs="Times New Roman"/>
          <w:color w:val="auto"/>
          <w:szCs w:val="22"/>
        </w:rPr>
        <w:t xml:space="preserve">infected mouse survival model and was found to cure 3/3 </w:t>
      </w:r>
      <w:r w:rsidR="00442B22" w:rsidRPr="00C07E8E">
        <w:rPr>
          <w:rFonts w:cs="Times New Roman"/>
          <w:color w:val="auto"/>
          <w:szCs w:val="22"/>
        </w:rPr>
        <w:lastRenderedPageBreak/>
        <w:t xml:space="preserve">mice after treatment with a single dose of </w:t>
      </w:r>
      <w:r w:rsidR="00774A37">
        <w:rPr>
          <w:rFonts w:cs="Times New Roman"/>
          <w:b/>
          <w:bCs/>
          <w:color w:val="auto"/>
          <w:szCs w:val="22"/>
        </w:rPr>
        <w:t>71</w:t>
      </w:r>
      <w:r w:rsidR="00442B22" w:rsidRPr="00C07E8E">
        <w:rPr>
          <w:rFonts w:cs="Times New Roman"/>
          <w:b/>
          <w:bCs/>
          <w:color w:val="auto"/>
          <w:szCs w:val="22"/>
        </w:rPr>
        <w:t xml:space="preserve"> </w:t>
      </w:r>
      <w:r w:rsidR="00442B22" w:rsidRPr="00C07E8E">
        <w:rPr>
          <w:rFonts w:cs="Times New Roman"/>
          <w:color w:val="auto"/>
          <w:szCs w:val="22"/>
        </w:rPr>
        <w:t xml:space="preserve">at 30 mg/kg. Moreover, exposure of mice pre-treated with a single dose of 30 mg/kg </w:t>
      </w:r>
      <w:r w:rsidR="0034455A">
        <w:rPr>
          <w:rFonts w:cs="Times New Roman"/>
          <w:b/>
          <w:bCs/>
          <w:color w:val="auto"/>
          <w:szCs w:val="22"/>
        </w:rPr>
        <w:t>71</w:t>
      </w:r>
      <w:r w:rsidR="00442B22" w:rsidRPr="00C07E8E">
        <w:rPr>
          <w:rFonts w:cs="Times New Roman"/>
          <w:b/>
          <w:bCs/>
          <w:color w:val="auto"/>
          <w:szCs w:val="22"/>
        </w:rPr>
        <w:t xml:space="preserve"> </w:t>
      </w:r>
      <w:r w:rsidR="00442B22" w:rsidRPr="00C07E8E">
        <w:rPr>
          <w:rFonts w:cs="Times New Roman"/>
          <w:color w:val="auto"/>
          <w:szCs w:val="22"/>
        </w:rPr>
        <w:t xml:space="preserve">to </w:t>
      </w:r>
      <w:r w:rsidR="00442B22" w:rsidRPr="00C07E8E">
        <w:rPr>
          <w:rFonts w:cs="Times New Roman"/>
          <w:i/>
          <w:iCs/>
          <w:color w:val="auto"/>
          <w:szCs w:val="22"/>
        </w:rPr>
        <w:t xml:space="preserve">P. berghei </w:t>
      </w:r>
      <w:r w:rsidR="00442B22" w:rsidRPr="00C07E8E">
        <w:rPr>
          <w:rFonts w:cs="Times New Roman"/>
          <w:color w:val="auto"/>
          <w:szCs w:val="22"/>
        </w:rPr>
        <w:t xml:space="preserve">displayed a significant </w:t>
      </w:r>
      <w:r w:rsidR="0076041C" w:rsidRPr="00C07E8E">
        <w:rPr>
          <w:rFonts w:cs="Times New Roman"/>
          <w:color w:val="auto"/>
          <w:szCs w:val="22"/>
        </w:rPr>
        <w:t>protecti</w:t>
      </w:r>
      <w:r w:rsidR="0076041C">
        <w:rPr>
          <w:rFonts w:cs="Times New Roman"/>
          <w:color w:val="auto"/>
          <w:szCs w:val="22"/>
        </w:rPr>
        <w:t>on,</w:t>
      </w:r>
      <w:r w:rsidR="0076041C" w:rsidRPr="00C07E8E">
        <w:rPr>
          <w:rFonts w:cs="Times New Roman"/>
          <w:color w:val="auto"/>
          <w:szCs w:val="22"/>
        </w:rPr>
        <w:t xml:space="preserve"> </w:t>
      </w:r>
      <w:r w:rsidR="00442B22" w:rsidRPr="00C07E8E">
        <w:rPr>
          <w:rFonts w:cs="Times New Roman"/>
          <w:color w:val="auto"/>
          <w:szCs w:val="22"/>
        </w:rPr>
        <w:t xml:space="preserve">with 100 % of mice with no detectable parasites after 30 days – in the same assay </w:t>
      </w:r>
      <w:r w:rsidR="00BB2628" w:rsidRPr="00C07E8E">
        <w:rPr>
          <w:rFonts w:cs="Times New Roman"/>
          <w:color w:val="auto"/>
          <w:szCs w:val="22"/>
        </w:rPr>
        <w:t>Arterolane</w:t>
      </w:r>
      <w:r w:rsidR="00442B22" w:rsidRPr="00C07E8E">
        <w:rPr>
          <w:rFonts w:cs="Times New Roman"/>
          <w:color w:val="auto"/>
          <w:szCs w:val="22"/>
        </w:rPr>
        <w:t xml:space="preserve"> showed an average of 7 day survival with 0 % protection.</w:t>
      </w:r>
      <w:r w:rsidR="00B47DD2"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r w:rsidR="00532015" w:rsidRPr="00C07E8E">
        <w:rPr>
          <w:rStyle w:val="Hiperligao"/>
          <w:rFonts w:cs="Times New Roman"/>
          <w:color w:val="auto"/>
          <w:szCs w:val="22"/>
        </w:rPr>
        <w:t xml:space="preserve"> </w:t>
      </w:r>
      <w:r w:rsidR="00442B22" w:rsidRPr="00C07E8E">
        <w:rPr>
          <w:rFonts w:cs="Times New Roman"/>
          <w:color w:val="auto"/>
          <w:szCs w:val="22"/>
        </w:rPr>
        <w:t xml:space="preserve">These </w:t>
      </w:r>
      <w:r w:rsidR="00442B22" w:rsidRPr="00C07E8E">
        <w:rPr>
          <w:rFonts w:cs="Times New Roman"/>
          <w:i/>
          <w:iCs/>
          <w:color w:val="auto"/>
          <w:szCs w:val="22"/>
        </w:rPr>
        <w:t xml:space="preserve">in vivo </w:t>
      </w:r>
      <w:r w:rsidR="00442B22" w:rsidRPr="00C07E8E">
        <w:rPr>
          <w:rFonts w:cs="Times New Roman"/>
          <w:color w:val="auto"/>
          <w:szCs w:val="22"/>
        </w:rPr>
        <w:t xml:space="preserve">results </w:t>
      </w:r>
      <w:r w:rsidR="00D6472C">
        <w:rPr>
          <w:rFonts w:cs="Times New Roman"/>
          <w:color w:val="auto"/>
          <w:szCs w:val="22"/>
        </w:rPr>
        <w:t>were</w:t>
      </w:r>
      <w:r w:rsidR="00D6472C" w:rsidRPr="00C07E8E">
        <w:rPr>
          <w:rFonts w:cs="Times New Roman"/>
          <w:color w:val="auto"/>
          <w:szCs w:val="22"/>
        </w:rPr>
        <w:t xml:space="preserve"> </w:t>
      </w:r>
      <w:r w:rsidR="00442B22" w:rsidRPr="00C07E8E">
        <w:rPr>
          <w:rFonts w:cs="Times New Roman"/>
          <w:color w:val="auto"/>
          <w:szCs w:val="22"/>
        </w:rPr>
        <w:t xml:space="preserve">supportive of the idea that </w:t>
      </w:r>
      <w:r w:rsidR="00774A37">
        <w:rPr>
          <w:rFonts w:cs="Times New Roman"/>
          <w:b/>
          <w:bCs/>
          <w:color w:val="auto"/>
          <w:szCs w:val="22"/>
        </w:rPr>
        <w:t>71</w:t>
      </w:r>
      <w:r w:rsidR="00442B22" w:rsidRPr="00C07E8E">
        <w:rPr>
          <w:rFonts w:cs="Times New Roman"/>
          <w:b/>
          <w:bCs/>
          <w:color w:val="auto"/>
          <w:szCs w:val="22"/>
        </w:rPr>
        <w:t xml:space="preserve"> </w:t>
      </w:r>
      <w:r w:rsidR="00442B22" w:rsidRPr="00C07E8E">
        <w:rPr>
          <w:rFonts w:cs="Times New Roman"/>
          <w:color w:val="auto"/>
          <w:szCs w:val="22"/>
        </w:rPr>
        <w:t>could be a potential single-dose cure for malaria</w:t>
      </w:r>
      <w:r w:rsidR="0076041C">
        <w:rPr>
          <w:rFonts w:cs="Times New Roman"/>
          <w:color w:val="auto"/>
          <w:szCs w:val="22"/>
        </w:rPr>
        <w:t>,</w:t>
      </w:r>
      <w:r w:rsidR="00442B22" w:rsidRPr="00C07E8E">
        <w:rPr>
          <w:rFonts w:cs="Times New Roman"/>
          <w:color w:val="auto"/>
          <w:szCs w:val="22"/>
        </w:rPr>
        <w:t xml:space="preserve"> with rapid and persistent antimalarial activity. Furthermore, the improved </w:t>
      </w:r>
      <w:r w:rsidR="00442B22" w:rsidRPr="00C07E8E">
        <w:rPr>
          <w:rFonts w:cs="Times New Roman"/>
          <w:i/>
          <w:iCs/>
          <w:color w:val="auto"/>
          <w:szCs w:val="22"/>
        </w:rPr>
        <w:t xml:space="preserve">in vivo </w:t>
      </w:r>
      <w:r w:rsidR="00442B22" w:rsidRPr="00C07E8E">
        <w:rPr>
          <w:rFonts w:cs="Times New Roman"/>
          <w:color w:val="auto"/>
          <w:szCs w:val="22"/>
        </w:rPr>
        <w:t xml:space="preserve">activity correlates with improved PK properties with respect to </w:t>
      </w:r>
      <w:r w:rsidR="00BB2628" w:rsidRPr="00C07E8E">
        <w:rPr>
          <w:rFonts w:cs="Times New Roman"/>
          <w:color w:val="auto"/>
          <w:szCs w:val="22"/>
        </w:rPr>
        <w:t>Arterolane</w:t>
      </w:r>
      <w:r w:rsidR="00442B22" w:rsidRPr="00C07E8E">
        <w:rPr>
          <w:rFonts w:cs="Times New Roman"/>
          <w:color w:val="auto"/>
          <w:szCs w:val="22"/>
        </w:rPr>
        <w:t xml:space="preserve"> and dihydroartemisinin</w:t>
      </w:r>
      <w:r w:rsidR="0076041C">
        <w:rPr>
          <w:rFonts w:cs="Times New Roman"/>
          <w:color w:val="auto"/>
          <w:szCs w:val="22"/>
        </w:rPr>
        <w:t>,</w:t>
      </w:r>
      <w:r w:rsidR="00442B22" w:rsidRPr="00C07E8E">
        <w:rPr>
          <w:rFonts w:cs="Times New Roman"/>
          <w:color w:val="auto"/>
          <w:szCs w:val="22"/>
        </w:rPr>
        <w:t xml:space="preserve"> with rat blood clearance of 33 mg/ml/kg, a lengthened elimination half life of 23 hours and a vastly improved oral bioavailability of 76 %.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106</w:t>
      </w:r>
      <w:r w:rsidR="00B47DD2" w:rsidRPr="00C07E8E">
        <w:rPr>
          <w:rFonts w:cs="Times New Roman"/>
          <w:color w:val="auto"/>
          <w:szCs w:val="22"/>
        </w:rPr>
        <w:fldChar w:fldCharType="end"/>
      </w:r>
      <w:r w:rsidR="00442B22" w:rsidRPr="00C07E8E">
        <w:rPr>
          <w:rFonts w:cs="Times New Roman"/>
          <w:color w:val="auto"/>
          <w:szCs w:val="22"/>
        </w:rPr>
        <w:t xml:space="preserve"> Arte</w:t>
      </w:r>
      <w:r w:rsidR="00B47DD2" w:rsidRPr="00C07E8E">
        <w:rPr>
          <w:rFonts w:cs="Times New Roman"/>
          <w:color w:val="auto"/>
          <w:szCs w:val="22"/>
        </w:rPr>
        <w:t>fenomel</w:t>
      </w:r>
      <w:r w:rsidR="00442B22" w:rsidRPr="00C07E8E">
        <w:rPr>
          <w:rFonts w:cs="Times New Roman"/>
          <w:color w:val="auto"/>
          <w:szCs w:val="22"/>
        </w:rPr>
        <w:t xml:space="preserve"> </w:t>
      </w:r>
      <w:r w:rsidR="00D6472C">
        <w:rPr>
          <w:rFonts w:cs="Times New Roman"/>
          <w:color w:val="auto"/>
          <w:szCs w:val="22"/>
        </w:rPr>
        <w:t>has recently been</w:t>
      </w:r>
      <w:r w:rsidR="00D6472C" w:rsidRPr="00C07E8E">
        <w:rPr>
          <w:rFonts w:cs="Times New Roman"/>
          <w:color w:val="auto"/>
          <w:szCs w:val="22"/>
        </w:rPr>
        <w:t xml:space="preserve"> </w:t>
      </w:r>
      <w:r w:rsidR="00442B22" w:rsidRPr="00C07E8E">
        <w:rPr>
          <w:rFonts w:cs="Times New Roman"/>
          <w:color w:val="auto"/>
          <w:szCs w:val="22"/>
        </w:rPr>
        <w:t>carried forward to clinical trials in humans.</w:t>
      </w:r>
      <w:r w:rsidR="00861651" w:rsidRPr="00861651">
        <w:rPr>
          <w:rFonts w:cs="Times New Roman"/>
          <w:color w:val="auto"/>
          <w:szCs w:val="22"/>
        </w:rPr>
        <w:t xml:space="preserve"> </w:t>
      </w:r>
      <w:r w:rsidR="00861651">
        <w:rPr>
          <w:rFonts w:cs="Times New Roman"/>
          <w:color w:val="auto"/>
          <w:szCs w:val="22"/>
        </w:rPr>
        <w:fldChar w:fldCharType="begin" w:fldLock="1"/>
      </w:r>
      <w:r w:rsidR="00192B39">
        <w:rPr>
          <w:rFonts w:cs="Times New Roman"/>
          <w:color w:val="auto"/>
          <w:szCs w:val="22"/>
        </w:rPr>
        <w:instrText>ADDIN CSL_CITATION {"citationItems":[{"id":"ITEM-1","itemData":{"DOI":"10.1111/j.1365-2125.2012.04368.x","ISSN":"13652125","PMID":"22759078","abstract":"Aims: To assess the safety and pharmacokinetics of a new synthetic ozonide antimalarial, OZ439, in a first-in-man, double-blind study in healthy volunteers. Methods: OZ439 was administered as single oral daily doses of a capsule formulation (50-1200mg) or an oral dispersion (400-1600mg, fed and fasted states) and for up to 3 days as an oral dispersion (200-800mg day-1). Plasma concentrations of OZ439 and its metabolites were measured by LC-MS. Results: The pharmacokinetic (PK) profile of OZ439 was characterized by a tmax of around 3h, followed by a multiphasic profile with a terminal half-life of 25-30h. The PK parameters were approximately dose proportional for each group and profiles of the metabolites followed a similar pattern to that of the parent compound. Following dosing for 3 days, accumulation was less than two-fold but steady-state was not achieved. In the presence of food, no effect was observed on the t1/2 of OZ439 while the exposure was increased by 3 to 4.5-fold. Exposure was higher and inter-subject variability was reduced when OZ439 was administered as an oral dispersion compared with a capsule. The urinary clearance of OZ439 and its metabolites was found to be negligible and OZ439 did not induce CYP3A4. The antimalarial activity profiles of a subset of serum samples suggested that the major antimalarial activity originated from OZ439 rather than from any of the metabolites. Conclusion: The safety and pharmacokinetic profile of OZ439 merits progression to phase 2a proof of concept studies in the target population of acute uncomplicated malaria. © 2012 The British Pharmacological Society.","author":[{"dropping-particle":"","family":"Moehrle","given":"Joerg J.","non-dropping-particle":"","parse-names":false,"suffix":""},{"dropping-particle":"","family":"Duparc","given":"Stephan","non-dropping-particle":"","parse-names":false,"suffix":""},{"dropping-particle":"","family":"Siethoff","given":"Christoph","non-dropping-particle":"","parse-names":false,"suffix":""},{"dropping-particle":"","family":"Giersbergen","given":"Paul L.M.","non-dropping-particle":"van","parse-names":false,"suffix":""},{"dropping-particle":"","family":"Craft","given":"J. Carl","non-dropping-particle":"","parse-names":false,"suffix":""},{"dropping-particle":"","family":"Arbe-Barnes","given":"Sarah","non-dropping-particle":"","parse-names":false,"suffix":""},{"dropping-particle":"","family":"Charman","given":"Susan A.","non-dropping-particle":"","parse-names":false,"suffix":""},{"dropping-particle":"","family":"Gutierrez","given":"Maria","non-dropping-particle":"","parse-names":false,"suffix":""},{"dropping-particle":"","family":"Wittlin","given":"Sergio","non-dropping-particle":"","parse-names":false,"suffix":""},{"dropping-particle":"","family":"Vennerstrom","given":"Jonathan L.","non-dropping-particle":"","parse-names":false,"suffix":""}],"container-title":"British Journal of Clinical Pharmacology","id":"ITEM-1","issue":"2","issued":{"date-parts":[["2013"]]},"page":"535-548","title":"First-in-man safety and pharmacokinetics of synthetic ozonide OZ439 demonstrates an improved exposure profile relative to other peroxide antimalarials","type":"article-journal","volume":"75"},"uris":["http://www.mendeley.com/documents/?uuid=40379644-d320-4636-a821-225f53c581d4","http://www.mendeley.com/documents/?uuid=fe59797f-08f6-4859-82c3-819cd1465c91"]},{"id":"ITEM-2","itemData":{"DOI":"10.1016/S1473-3099(15)00320-5","ISSN":"14744457","PMID":"26448141","abstract":"Background Artefenomel (OZ439) is a novel synthetic trioxolane with improved pharmacokinetic properties compared with other antimalarial drugs with the artemisinin pharmacophore. Artefenomel has been generally well tolerated in volunteers at doses up to 1600 mg and is being developed as a partner drug in an antimalarial combination treatment. We investigated the efficacy, tolerability, and pharmacokinetics of artefenomel at different doses in patients with Plasmodium falciparum or Plasmodium vivax malaria. Methods This phase 2a exploratory, open-label trial was done at the Hospital for Tropical Diseases, Bangkok, and the Shoklo Malaria Research Unit in Thailand. Adult patients with acute, uncomplicated P falciparum or P vivax malaria received artefenomel in a single oral dose (200 mg, 400 mg, 800 mg, or 1200 mg). The first cohort received 800 mg. Testing of a new dose of artefenomel in a patient cohort was decided on after safety and efficacy assessment of the preceding cohort. The primary endpoint was the natural log parasite reduction per 24 h. Definitive oral treatment was given at 36 h. This trial is registered with ClinicalTrials.gov, number NCT01213966. Findings Between Oct 24, 2010, and May 25, 2012, 82 patients were enrolled (20 in each of the 200 mg, 400 mg, and 800 mg cohorts, and 21 in the 1200 mg cohort). One patient withdrew consent (before the administration of artefenomel) but there were no further dropouts. The parasite reduction rates per 24 h ranged from 0·90 to 1·88 for P falciparum, and 2·09 to 2·53 for P vivax. All doses were equally effective in both P falciparum and P vivax malaria, with median parasite clearance half-lives of 4·1 h (range 1·3–6·7) to 5·6 h (2·0–8·5) for P falciparum and 2·3 h (1·2–3·9) to 3·2 h (0·9–15·0) for P vivax. Maximum plasma concentrations, dose-proportional to 800 mg, occurred at 4 h (median). The estimated elimination half-life was 46–62 h. No serious drug-related adverse effects were reported; other adverse effects were generally mild and reversible, with the highest number in the 1200 mg cohort (17 [81%] patients with at least one adverse event). The most frequently reported adverse effect was an asymptomatic increase in plasma creatine phosphokinase concentration (200 mg, n=5; 400 mg, n=3; 800 mg, n=1; 1200 mg, n=3). Interpretation Artefenomel is a new synthetic antimalarial peroxide with a good safety profile that clears parasitaemia rapidly in both P falciparum and P vivax malaria. Its long half-li…","author":[{"dropping-particle":"","family":"Phyo","given":"Aung Pyae","non-dropping-particle":"","parse-names":false,"suffix":""},{"dropping-particle":"","family":"Jittamala","given":"Podjanee","non-dropping-particle":"","parse-names":false,"suffix":""},{"dropping-particle":"","family":"Nosten","given":"François H.","non-dropping-particle":"","parse-names":false,"suffix":""},{"dropping-particle":"","family":"Pukrittayakamee","given":"Sasithon","non-dropping-particle":"","parse-names":false,"suffix":""},{"dropping-particle":"","family":"Imwong","given":"Mallika","non-dropping-particle":"","parse-names":false,"suffix":""},{"dropping-particle":"","family":"White","given":"Nicholas J.","non-dropping-particle":"","parse-names":false,"suffix":""},{"dropping-particle":"","family":"Duparc","given":"Stephan","non-dropping-particle":"","parse-names":false,"suffix":""},{"dropping-particle":"","family":"Macintyre","given":"Fiona","non-dropping-particle":"","parse-names":false,"suffix":""},{"dropping-particle":"","family":"Baker","given":"Mark","non-dropping-particle":"","parse-names":false,"suffix":""},{"dropping-particle":"","family":"Möhrle","given":"Jörg J.","non-dropping-particle":"","parse-names":false,"suffix":""}],"container-title":"The Lancet Infectious Diseases","id":"ITEM-2","issue":"1","issued":{"date-parts":[["2016"]]},"page":"61-69","title":"Antimalarial activity of artefenomel (OZ439), a novel synthetic antimalarial endoperoxide, in patients with Plasmodium falciparum and Plasmodium vivax malaria: an open-label phase 2 trial","type":"article-journal","volume":"16"},"uris":["http://www.mendeley.com/documents/?uuid=d414224d-5771-4af8-9f32-42d1ff1b4dfc"]},{"id":"ITEM-3","itemData":{"DOI":"10.1128/AAC.01371-19","ISSN":"10986596","PMID":"31685476","abstract":"Artefenomel and DSM265 are two new compounds that have been shown to be well tolerated and effective when administered as monotherapy malaria treatment. This study aimed to determine the safety, pharmacokinetics, and pharmacodynamics of artefenomel and DSM265 administered in combination to healthy subjects in a volunteer infection study using the Plasmodium falciparuminduced blood-stage malaria model. Thirteen subjects were inoculated with parasite-infected erythrocytes on day 0 and received a single oral dose of artefenomel and DSM265 on day 7. Cohort 1 (n = 8) received 200 mg artefenomel plus 100 mg DSM265, and cohort 2 (n = 5) received 200 mg artefenomel plus 50 mg DSM265. Blood samples were collected to measure parasitemia, gametocytemia, and artefenomelDSM265 plasma concentrations. There were no treatment-related adverse events. The pharmacokinetic profiles of artefenomel and DSM265 were similar to those of the compounds when administered as monotherapy, suggesting no pharmacokinetic interactions. A reduction in parasitemia occurred in all subjects following treatment (log10 parasite reduction ratios over 48 h [PRR48] of 2.80 for cohort 1 and 2.71 for cohort 2; parasite clearance half-lives of 5.17 h for cohort 1 and 5.33 h for cohort 2). Recrudescence occurred in 5/8 subjects in cohort 1 between days 19 and 28 and in 5/5 subjects in cohort 2 between days 15 and 22. Low-level gametocytemia (1 to 330 female gametocytes/ml) was detected in all subjects from day 14. The results of this single-dosing combination study support the further clinical development of the use of artefenomel and DSM265 in combination as a treatment for falciparum malaria. (This study has been registered at ClinicalTrials.gov under identifier NCT02389348.).","author":[{"dropping-particle":"","family":"McCarthy","given":"James S.","non-dropping-particle":"","parse-names":false,"suffix":""},{"dropping-particle":"","family":"Rückle","given":"Thomas","non-dropping-particle":"","parse-names":false,"suffix":""},{"dropping-particle":"","family":"Elliott","given":"Suzanne L.","non-dropping-particle":"","parse-names":false,"suffix":""},{"dropping-particle":"","family":"Ballard","given":"Emma","non-dropping-particle":"","parse-names":false,"suffix":""},{"dropping-particle":"","family":"Collins","given":"Katharine A.","non-dropping-particle":"","parse-names":false,"suffix":""},{"dropping-particle":"","family":"Marquart","given":"Louise","non-dropping-particle":"","parse-names":false,"suffix":""},{"dropping-particle":"","family":"Griffin","given":"Paul","non-dropping-particle":"","parse-names":false,"suffix":""},{"dropping-particle":"","family":"Chalon","given":"Stephan","non-dropping-particle":"","parse-names":false,"suffix":""},{"dropping-particle":"","family":"Möhrle","given":"Jörg J.","non-dropping-particle":"","parse-names":false,"suffix":""}],"container-title":"Antimicrobial Agents and Chemotherapy","id":"ITEM-3","issue":"1","issued":{"date-parts":[["2020"]]},"page":"e01371-19","title":"A Single-Dose Combination Study with the Experimental Antimalarials Artefenomel and DSM265 to Determine Safety and Antimalarial Activity against Blood-Stage Plasmodium falciparum in Healthy Volunteers","type":"article-journal","volume":"64"},"uris":["http://www.mendeley.com/documents/?uuid=b78971be-788c-437b-b342-06ea6fb9f36f"]},{"id":"ITEM-4","itemData":{"DOI":"10.1186/s12916-017-0940-3","ISSN":"17417015","PMID":"28988541","abstract":"Background: The clinical development of a single encounter treatment for uncomplicated malaria has the potential to significantly improve the effectiveness of antimalarials. Exploratory data suggested that the combination of artefenomel and piperaquine phosphate (PQP) has the potential to achieve satisfactory cure rates as a single dose therapy. The primary objective of the study was to determine whether a single dose of artefenomel (800mg) plus PQP in ascending doses is an efficacious treatment for uncomplicated Plasmodium falciparum malaria in the 'target' population of children≤5years of age in Africa as well as Asian patients of all ages. Methods: Patients in six African countries and in Vietnam were randomised to treatment with follow-up for 42-63 days. Efficacy, tolerability, safety and pharmacokinetics were assessed. Additional key objectives were to characterise the exposure-response relationship for polymerase chain reaction (PCR)-adjusted adequate clinical and parasitological response at day 28 post-dose (ACPR28) and to further investigate Kelch13 mutations. Patients in Africa (n=355) and Vietnam (n=82) were included, with 85% of the total population being children&lt;5years of age. Results: ACPR28 in the per protocol population (95% confidence interval) was 70.8% (61.13-79.19), 68.4% (59.13-76.66) and 78.6% (70.09-85.67) for doses of 800mg artefenomel with 640mg, 960mg and 1440mg of PQP respectively. ACPR28 was lower in Vietnamese than in African patients (66.2%; 54.55-76.62 and 74.5%; 68.81-79.68) respectively. Within the African population, efficacy was lowest in the youngest age group of≥0.5 to≤2years, 52.7% (38.80-66.35). Initial parasite clearance was twice as long in Vietnam than in Africa. Within Vietnam, the frequency of the Kelch13 mutation was 70.1% and was clearly associated with parasite clearance half-life (PCt1/2). The most significant tolerability finding was vomiting (28.8%). Conclusions: In this first clinical trial evaluating a single encounter antimalarial therapy, none of the treatment arms reached the target efficacy of&gt;95% PCR-adjusted ACPR at day 28. Achieving very high efficacy following single dose treatment is challenging, since&gt;95% of the population must have sufficient concentrations to achieve cure across a range of parasite sensitivities and baseline parasitaemia levels. While challenging, the development of tools suitable for deployment as single encounter curative treatments for adults and children in Africa and t…","author":[{"dropping-particle":"","family":"Macintyre","given":"Fiona","non-dropping-particle":"","parse-names":false,"suffix":""},{"dropping-particle":"","family":"Adoke","given":"Yeka","non-dropping-particle":"","parse-names":false,"suffix":""},{"dropping-particle":"","family":"Tiono","given":"Alfred B.","non-dropping-particle":"","parse-names":false,"suffix":""},{"dropping-particle":"","family":"Duong","given":"Tran Thanh","non-dropping-particle":"","parse-names":false,"suffix":""},{"dropping-particle":"","family":"Mombo-Ngoma","given":"Ghyslain","non-dropping-particle":"","parse-names":false,"suffix":""},{"dropping-particle":"","family":"Bouyou-Akotet","given":"Marielle","non-dropping-particle":"","parse-names":false,"suffix":""},{"dropping-particle":"","family":"Tinto","given":"Halidou","non-dropping-particle":"","parse-names":false,"suffix":""},{"dropping-particle":"","family":"Bassat","given":"Quique","non-dropping-particle":"","parse-names":false,"suffix":""},{"dropping-particle":"","family":"Issifou","given":"Saadou","non-dropping-particle":"","parse-names":false,"suffix":""},{"dropping-particle":"","family":"Adamy","given":"Marc","non-dropping-particle":"","parse-names":false,"suffix":""},{"dropping-particle":"","family":"Demarest","given":"Helen","non-dropping-particle":"","parse-names":false,"suffix":""},{"dropping-particle":"","family":"Duparc","given":"Stephan","non-dropping-particle":"","parse-names":false,"suffix":""},{"dropping-particle":"","family":"Leroy","given":"Didier","non-dropping-particle":"","parse-names":false,"suffix":""},{"dropping-particle":"","family":"Laurijssens","given":"Bart E.","non-dropping-particle":"","parse-names":false,"suffix":""},{"dropping-particle":"","family":"Biguenet","given":"Sophie","non-dropping-particle":"","parse-names":false,"suffix":""},{"dropping-particle":"","family":"Kibuuka","given":"Afizi","non-dropping-particle":"","parse-names":false,"suffix":""},{"dropping-particle":"","family":"Tshefu","given":"Antoinette Kitoto","non-dropping-particle":"","parse-names":false,"suffix":""},{"dropping-particle":"","family":"Smith","given":"Melnick","non-dropping-particle":"","parse-names":false,"suffix":""},{"dropping-particle":"","family":"Foster","given":"Chanelle","non-dropping-particle":"","parse-names":false,"suffix":""},{"dropping-particle":"","family":"Leipoldt","given":"Illse","non-dropping-particle":"","parse-names":false,"suffix":""},{"dropping-particle":"","family":"Kremsner","given":"Peter G.","non-dropping-particle":"","parse-names":false,"suffix":""},{"dropping-particle":"","family":"Phuc","given":"Bui Quang","non-dropping-particle":"","parse-names":false,"suffix":""},{"dropping-particle":"","family":"Ouedraogo","given":"Alphonse","non-dropping-particle":"","parse-names":false,"suffix":""},{"dropping-particle":"","family":"Ramharter","given":"Michael","non-dropping-particle":"","parse-names":false,"suffix":""},{"dropping-particle":"Van","family":"Hong","given":"Nguyen","non-dropping-particle":"","parse-names":false,"suffix":""},{"dropping-particle":"","family":"Mbouoronde","given":"Christelle Offouga","non-dropping-particle":"","parse-names":false,"suffix":""},{"dropping-particle":"","family":"Kinko","given":"Joy Luzingu","non-dropping-particle":"","parse-names":false,"suffix":""},{"dropping-particle":"","family":"Losoma","given":"Joseph Atibu","non-dropping-particle":"","parse-names":false,"suffix":""},{"dropping-particle":"","family":"Manego","given":"Rella Zoleko","non-dropping-particle":"","parse-names":false,"suffix":""},{"dropping-particle":"","family":"Groger","given":"Mirjam","non-dropping-particle":"","parse-names":false,"suffix":""},{"dropping-particle":"","family":"Klicpera","given":"Anna","non-dropping-particle":"","parse-names":false,"suffix":""},{"dropping-particle":"","family":"Mischlinger","given":"Johannes","non-dropping-particle":"","parse-names":false,"suffix":""},{"dropping-particle":"","family":"Barry","given":"Aissata","non-dropping-particle":"","parse-names":false,"suffix":""},{"dropping-particle":"","family":"Ouattara","given":"San Maurice","non-dropping-particle":"","parse-names":false,"suffix":""},{"dropping-particle":"","family":"Coulibaly","given":"Sam","non-dropping-particle":"","parse-names":false,"suffix":""},{"dropping-particle":"","family":"Moïse","given":"Kabore","non-dropping-particle":"","parse-names":false,"suffix":""},{"dropping-particle":"","family":"Sombié","given":"Olivier","non-dropping-particle":"","parse-names":false,"suffix":""},{"dropping-particle":"","family":"Bognini","given":"Joel Dofinissery","non-dropping-particle":"","parse-names":false,"suffix":""},{"dropping-particle":"","family":"Sitoe","given":"Antonio","non-dropping-particle":"","parse-names":false,"suffix":""},{"dropping-particle":"","family":"Matambisso","given":"Gloria","non-dropping-particle":"","parse-names":false,"suffix":""},{"dropping-particle":"El","family":"Gaaloul","given":"Myriam","non-dropping-particle":"","parse-names":false,"suffix":""},{"dropping-particle":"","family":"Gobeau","given":"Nathalie","non-dropping-particle":"","parse-names":false,"suffix":""},{"dropping-particle":"","family":"Varo","given":"Rosauro","non-dropping-particle":"","parse-names":false,"suffix":""},{"dropping-particle":"","family":"Mayor","given":"Alfredo","non-dropping-particle":"","parse-names":false,"suffix":""},{"dropping-particle":"","family":"Cox","given":"Eugene H.","non-dropping-particle":"","parse-names":false,"suffix":""},{"dropping-particle":"","family":"Maringwa","given":"John T.","non-dropping-particle":"","parse-names":false,"suffix":""}],"container-title":"BMC Medicine","id":"ITEM-4","issue":"1","issued":{"date-parts":[["2017"]]},"page":"181","title":"A randomised, double-blind clinical phase II trial of the efficacy, safety, tolerability and pharmacokinetics of a single dose combination treatment with artefenomel and piperaquine in adults and children with uncomplicated Plasmodium falciparum malaria","type":"article-journal","volume":"15"},"uris":["http://www.mendeley.com/documents/?uuid=70140f35-fd23-487d-aeaa-11548257bc85"]},{"id":"ITEM-5","itemData":{"URL":"https://clinicaltrials.gov/ct2/show/NCT03660839","accessed":{"date-parts":[["2020","5","15"]]},"id":"ITEM-5","issued":{"date-parts":[["0"]]},"title":"Study to Investigate the Clinical and Parasiticidal Activity and Pharmacokinetics of Different Doses of Artefenomel and Ferroquine in Patients With Uncomplicated Plasmodium Falciparum Malaria","type":"webpage"},"uris":["http://www.mendeley.com/documents/?uuid=ad3f73f1-c768-4c1b-a7ad-0ef907e3c80c"]}],"mendeley":{"formattedCitation":"&lt;sup&gt;33,110–113&lt;/sup&gt;","plainTextFormattedCitation":"33,110–113","previouslyFormattedCitation":"&lt;sup&gt;33,110–113&lt;/sup&gt;"},"properties":{"noteIndex":0},"schema":"https://github.com/citation-style-language/schema/raw/master/csl-citation.json"}</w:instrText>
      </w:r>
      <w:r w:rsidR="00861651">
        <w:rPr>
          <w:rFonts w:cs="Times New Roman"/>
          <w:color w:val="auto"/>
          <w:szCs w:val="22"/>
        </w:rPr>
        <w:fldChar w:fldCharType="separate"/>
      </w:r>
      <w:r w:rsidR="00CA5C6A" w:rsidRPr="00CA5C6A">
        <w:rPr>
          <w:rFonts w:cs="Times New Roman"/>
          <w:noProof/>
          <w:color w:val="auto"/>
          <w:szCs w:val="22"/>
          <w:vertAlign w:val="superscript"/>
        </w:rPr>
        <w:t>33,110–113</w:t>
      </w:r>
      <w:r w:rsidR="00861651">
        <w:rPr>
          <w:rFonts w:cs="Times New Roman"/>
          <w:color w:val="auto"/>
          <w:szCs w:val="22"/>
        </w:rPr>
        <w:fldChar w:fldCharType="end"/>
      </w:r>
    </w:p>
    <w:p w14:paraId="6F88CB63" w14:textId="4E6F3979" w:rsidR="00423A6A" w:rsidRPr="00C07E8E" w:rsidRDefault="00C07E8E" w:rsidP="00532D1D">
      <w:pPr>
        <w:rPr>
          <w:rFonts w:cs="Times New Roman"/>
          <w:color w:val="auto"/>
          <w:szCs w:val="22"/>
        </w:rPr>
      </w:pPr>
      <w:r w:rsidRPr="00C07E8E">
        <w:rPr>
          <w:rFonts w:cs="Times New Roman"/>
          <w:color w:val="auto"/>
          <w:szCs w:val="22"/>
        </w:rPr>
        <w:tab/>
        <w:t>Results of first-in-man studies for initial PK, safety and food effect in healthy male and f</w:t>
      </w:r>
      <w:r w:rsidR="007039D5" w:rsidRPr="00C07E8E">
        <w:rPr>
          <w:rFonts w:cs="Times New Roman"/>
          <w:color w:val="auto"/>
          <w:szCs w:val="22"/>
        </w:rPr>
        <w:t>e</w:t>
      </w:r>
      <w:r w:rsidRPr="00C07E8E">
        <w:rPr>
          <w:rFonts w:cs="Times New Roman"/>
          <w:color w:val="auto"/>
          <w:szCs w:val="22"/>
        </w:rPr>
        <w:t>m</w:t>
      </w:r>
      <w:r w:rsidR="007039D5" w:rsidRPr="00C07E8E">
        <w:rPr>
          <w:rFonts w:cs="Times New Roman"/>
          <w:color w:val="auto"/>
          <w:szCs w:val="22"/>
        </w:rPr>
        <w:t>al</w:t>
      </w:r>
      <w:r w:rsidRPr="00C07E8E">
        <w:rPr>
          <w:rFonts w:cs="Times New Roman"/>
          <w:color w:val="auto"/>
          <w:szCs w:val="22"/>
        </w:rPr>
        <w:t xml:space="preserve">e adults were published in 2012. </w:t>
      </w:r>
      <w:r w:rsidR="00774A37">
        <w:rPr>
          <w:rFonts w:cs="Times New Roman"/>
          <w:b/>
          <w:bCs/>
          <w:color w:val="auto"/>
          <w:szCs w:val="22"/>
        </w:rPr>
        <w:t xml:space="preserve">71 </w:t>
      </w:r>
      <w:r w:rsidRPr="00C07E8E">
        <w:rPr>
          <w:rFonts w:cs="Times New Roman"/>
          <w:color w:val="auto"/>
          <w:szCs w:val="22"/>
        </w:rPr>
        <w:t xml:space="preserve">was investigated in single or multiple rising doses ranging </w:t>
      </w:r>
      <w:r w:rsidR="00C20F4C">
        <w:rPr>
          <w:rFonts w:cs="Times New Roman"/>
          <w:color w:val="auto"/>
          <w:szCs w:val="22"/>
        </w:rPr>
        <w:t xml:space="preserve">from </w:t>
      </w:r>
      <w:r w:rsidRPr="00C07E8E">
        <w:rPr>
          <w:rFonts w:cs="Times New Roman"/>
          <w:color w:val="auto"/>
          <w:szCs w:val="22"/>
        </w:rPr>
        <w:t>50 to 1600 mg and in oral capsule or oral dispersal formulations</w:t>
      </w:r>
      <w:r w:rsidR="00B47DD2"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{"citationItems":[{"id":"ITEM-1","itemData":{"DOI":"10.1111/j.1365-2125.2012.04368.x","ISSN":"13652125","PMID":"22759078","abstract":"Aims: To assess the safety and pharmacokinetics of a new synthetic ozonide antimalarial, OZ439, in a first-in-man, double-blind study in healthy volunteers. Methods: OZ439 was administered as single oral daily doses of a capsule formulation (50-1200mg) or an oral dispersion (400-1600mg, fed and fasted states) and for up to 3 days as an oral dispersion (200-800mg day-1). Plasma concentrations of OZ439 and its metabolites were measured by LC-MS. Results: The pharmacokinetic (PK) profile of OZ439 was characterized by a tmax of around 3h, followed by a multiphasic profile with a terminal half-life of 25-30h. The PK parameters were approximately dose proportional for each group and profiles of the metabolites followed a similar pattern to that of the parent compound. Following dosing for 3 days, accumulation was less than two-fold but steady-state was not achieved. In the presence of food, no effect was observed on the t1/2 of OZ439 while the exposure was increased by 3 to 4.5-fold. Exposure was higher and inter-subject variability was reduced when OZ439 was administered as an oral dispersion compared with a capsule. The urinary clearance of OZ439 and its metabolites was found to be negligible and OZ439 did not induce CYP3A4. The antimalarial activity profiles of a subset of serum samples suggested that the major antimalarial activity originated from OZ439 rather than from any of the metabolites. Conclusion: The safety and pharmacokinetic profile of OZ439 merits progression to phase 2a proof of concept studies in the target population of acute uncomplicated malaria. © 2012 The British Pharmacological Society.","author":[{"dropping-particle":"","family":"Moehrle","given":"Joerg J.","non-dropping-particle":"","parse-names":false,"suffix":""},{"dropping-particle":"","family":"Duparc","given":"Stephan","non-dropping-particle":"","parse-names":false,"suffix":""},{"dropping-particle":"","family":"Siethoff","given":"Christoph","non-dropping-particle":"","parse-names":false,"suffix":""},{"dropping-particle":"","family":"Giersbergen","given":"Paul L.M.","non-dropping-particle":"van","parse-names":false,"suffix":""},{"dropping-particle":"","family":"Craft","given":"J. Carl","non-dropping-particle":"","parse-names":false,"suffix":""},{"dropping-particle":"","family":"Arbe-Barnes","given":"Sarah","non-dropping-particle":"","parse-names":false,"suffix":""},{"dropping-particle":"","family":"Charman","given":"Susan A.","non-dropping-particle":"","parse-names":false,"suffix":""},{"dropping-particle":"","family":"Gutierrez","given":"Maria","non-dropping-particle":"","parse-names":false,"suffix":""},{"dropping-particle":"","family":"Wittlin","given":"Sergio","non-dropping-particle":"","parse-names":false,"suffix":""},{"dropping-particle":"","family":"Vennerstrom","given":"Jonathan L.","non-dropping-particle":"","parse-names":false,"suffix":""}],"container-title":"British Journal of Clinical Pharmacology","id":"ITEM-1","issue":"2","issued":{"date-parts":[["2013"]]},"page":"535-548","title":"First-in-man safety and pharmacokinetics of synthetic ozonide OZ439 demonstrates an improved exposure profile relative to other peroxide antimalarials","type":"article-journal","volume":"75"},"uris":["http://www.mendeley.com/documents/?uuid=40379644-d320-4636-a821-225f53c581d4","http://www.mendeley.com/documents/?uuid=fe59797f-08f6-4859-82c3-819cd1465c91"]}],"mendeley":{"formattedCitation":"&lt;sup&gt;110&lt;/sup&gt;","plainTextFormattedCitation":"110","previouslyFormattedCitation":"&lt;sup&gt;110&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110</w:t>
      </w:r>
      <w:r w:rsidR="00B47DD2" w:rsidRPr="00C07E8E">
        <w:rPr>
          <w:rFonts w:cs="Times New Roman"/>
          <w:color w:val="auto"/>
          <w:szCs w:val="22"/>
        </w:rPr>
        <w:fldChar w:fldCharType="end"/>
      </w:r>
      <w:r w:rsidRPr="00C07E8E">
        <w:rPr>
          <w:rFonts w:cs="Times New Roman"/>
          <w:color w:val="auto"/>
          <w:szCs w:val="22"/>
        </w:rPr>
        <w:t xml:space="preserve"> Maximum plasma concentration of both oral formulations was found to occur at around 3 hours with elimination half-lives of around 30 hours. The oral dispersal however was found to yield a greater plasma exposure of the drug. Unlike </w:t>
      </w:r>
      <w:r w:rsidR="00BB2628" w:rsidRPr="00C07E8E">
        <w:rPr>
          <w:rFonts w:cs="Times New Roman"/>
          <w:color w:val="auto"/>
          <w:szCs w:val="22"/>
        </w:rPr>
        <w:t>Arterolane</w:t>
      </w:r>
      <w:r w:rsidRPr="00C07E8E">
        <w:rPr>
          <w:rFonts w:cs="Times New Roman"/>
          <w:color w:val="auto"/>
          <w:szCs w:val="22"/>
        </w:rPr>
        <w:t xml:space="preserve">, no dose proportionality was observed. In the multiple rising dose studies, no accumulation of </w:t>
      </w:r>
      <w:r w:rsidR="009717F2">
        <w:rPr>
          <w:rFonts w:cs="Times New Roman"/>
          <w:b/>
          <w:bCs/>
          <w:color w:val="auto"/>
          <w:szCs w:val="22"/>
        </w:rPr>
        <w:t>71</w:t>
      </w:r>
      <w:r w:rsidR="009717F2" w:rsidRPr="00C07E8E">
        <w:rPr>
          <w:rFonts w:cs="Times New Roman"/>
          <w:b/>
          <w:bCs/>
          <w:color w:val="auto"/>
          <w:szCs w:val="22"/>
        </w:rPr>
        <w:t xml:space="preserve"> </w:t>
      </w:r>
      <w:r w:rsidRPr="00C07E8E">
        <w:rPr>
          <w:rFonts w:cs="Times New Roman"/>
          <w:color w:val="auto"/>
          <w:szCs w:val="22"/>
        </w:rPr>
        <w:t>was observed</w:t>
      </w:r>
      <w:r w:rsidR="00B47DD2"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{"citationItems":[{"id":"ITEM-1","itemData":{"DOI":"10.1111/j.1365-2125.2012.04368.x","ISSN":"13652125","PMID":"22759078","abstract":"Aims: To assess the safety and pharmacokinetics of a new synthetic ozonide antimalarial, OZ439, in a first-in-man, double-blind study in healthy volunteers. Methods: OZ439 was administered as single oral daily doses of a capsule formulation (50-1200mg) or an oral dispersion (400-1600mg, fed and fasted states) and for up to 3 days as an oral dispersion (200-800mg day-1). Plasma concentrations of OZ439 and its metabolites were measured by LC-MS. Results: The pharmacokinetic (PK) profile of OZ439 was characterized by a tmax of around 3h, followed by a multiphasic profile with a terminal half-life of 25-30h. The PK parameters were approximately dose proportional for each group and profiles of the metabolites followed a similar pattern to that of the parent compound. Following dosing for 3 days, accumulation was less than two-fold but steady-state was not achieved. In the presence of food, no effect was observed on the t1/2 of OZ439 while the exposure was increased by 3 to 4.5-fold. Exposure was higher and inter-subject variability was reduced when OZ439 was administered as an oral dispersion compared with a capsule. The urinary clearance of OZ439 and its metabolites was found to be negligible and OZ439 did not induce CYP3A4. The antimalarial activity profiles of a subset of serum samples suggested that the major antimalarial activity originated from OZ439 rather than from any of the metabolites. Conclusion: The safety and pharmacokinetic profile of OZ439 merits progression to phase 2a proof of concept studies in the target population of acute uncomplicated malaria. © 2012 The British Pharmacological Society.","author":[{"dropping-particle":"","family":"Moehrle","given":"Joerg J.","non-dropping-particle":"","parse-names":false,"suffix":""},{"dropping-particle":"","family":"Duparc","given":"Stephan","non-dropping-particle":"","parse-names":false,"suffix":""},{"dropping-particle":"","family":"Siethoff","given":"Christoph","non-dropping-particle":"","parse-names":false,"suffix":""},{"dropping-particle":"","family":"Giersbergen","given":"Paul L.M.","non-dropping-particle":"van","parse-names":false,"suffix":""},{"dropping-particle":"","family":"Craft","given":"J. Carl","non-dropping-particle":"","parse-names":false,"suffix":""},{"dropping-particle":"","family":"Arbe-Barnes","given":"Sarah","non-dropping-particle":"","parse-names":false,"suffix":""},{"dropping-particle":"","family":"Charman","given":"Susan A.","non-dropping-particle":"","parse-names":false,"suffix":""},{"dropping-particle":"","family":"Gutierrez","given":"Maria","non-dropping-particle":"","parse-names":false,"suffix":""},{"dropping-particle":"","family":"Wittlin","given":"Sergio","non-dropping-particle":"","parse-names":false,"suffix":""},{"dropping-particle":"","family":"Vennerstrom","given":"Jonathan L.","non-dropping-particle":"","parse-names":false,"suffix":""}],"container-title":"British Journal of Clinical Pharmacology","id":"ITEM-1","issue":"2","issued":{"date-parts":[["2013"]]},"page":"535-548","title":"First-in-man safety and pharmacokinetics of synthetic ozonide OZ439 demonstrates an improved exposure profile relative to other peroxide antimalarials","type":"article-journal","volume":"75"},"uris":["http://www.mendeley.com/documents/?uuid=fe59797f-08f6-4859-82c3-819cd1465c91","http://www.mendeley.com/documents/?uuid=40379644-d320-4636-a821-225f53c581d4"]}],"mendeley":{"formattedCitation":"&lt;sup&gt;110&lt;/sup&gt;","plainTextFormattedCitation":"110","previouslyFormattedCitation":"&lt;sup&gt;110&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110</w:t>
      </w:r>
      <w:r w:rsidR="00B47DD2" w:rsidRPr="00C07E8E">
        <w:rPr>
          <w:rFonts w:cs="Times New Roman"/>
          <w:color w:val="auto"/>
          <w:szCs w:val="22"/>
        </w:rPr>
        <w:fldChar w:fldCharType="end"/>
      </w:r>
      <w:r w:rsidRPr="00C07E8E">
        <w:rPr>
          <w:rFonts w:cs="Times New Roman"/>
          <w:color w:val="auto"/>
          <w:szCs w:val="22"/>
        </w:rPr>
        <w:t xml:space="preserve"> When investigating food effect, it was found that significant differences existed between fed and fasted states. It was found that in the fed state maximum plasma concentration was obtained later at 5 hours and a greater plasma exposure was achieved</w:t>
      </w:r>
      <w:r w:rsidR="00B47DD2"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{"citationItems":[{"id":"ITEM-1","itemData":{"DOI":"10.1111/j.1365-2125.2012.04368.x","ISSN":"13652125","PMID":"22759078","abstract":"Aims: To assess the safety and pharmacokinetics of a new synthetic ozonide antimalarial, OZ439, in a first-in-man, double-blind study in healthy volunteers. Methods: OZ439 was administered as single oral daily doses of a capsule formulation (50-1200mg) or an oral dispersion (400-1600mg, fed and fasted states) and for up to 3 days as an oral dispersion (200-800mg day-1). Plasma concentrations of OZ439 and its metabolites were measured by LC-MS. Results: The pharmacokinetic (PK) profile of OZ439 was characterized by a tmax of around 3h, followed by a multiphasic profile with a terminal half-life of 25-30h. The PK parameters were approximately dose proportional for each group and profiles of the metabolites followed a similar pattern to that of the parent compound. Following dosing for 3 days, accumulation was less than two-fold but steady-state was not achieved. In the presence of food, no effect was observed on the t1/2 of OZ439 while the exposure was increased by 3 to 4.5-fold. Exposure was higher and inter-subject variability was reduced when OZ439 was administered as an oral dispersion compared with a capsule. The urinary clearance of OZ439 and its metabolites was found to be negligible and OZ439 did not induce CYP3A4. The antimalarial activity profiles of a subset of serum samples suggested that the major antimalarial activity originated from OZ439 rather than from any of the metabolites. Conclusion: The safety and pharmacokinetic profile of OZ439 merits progression to phase 2a proof of concept studies in the target population of acute uncomplicated malaria. © 2012 The British Pharmacological Society.","author":[{"dropping-particle":"","family":"Moehrle","given":"Joerg J.","non-dropping-particle":"","parse-names":false,"suffix":""},{"dropping-particle":"","family":"Duparc","given":"Stephan","non-dropping-particle":"","parse-names":false,"suffix":""},{"dropping-particle":"","family":"Siethoff","given":"Christoph","non-dropping-particle":"","parse-names":false,"suffix":""},{"dropping-particle":"","family":"Giersbergen","given":"Paul L.M.","non-dropping-particle":"van","parse-names":false,"suffix":""},{"dropping-particle":"","family":"Craft","given":"J. Carl","non-dropping-particle":"","parse-names":false,"suffix":""},{"dropping-particle":"","family":"Arbe-Barnes","given":"Sarah","non-dropping-particle":"","parse-names":false,"suffix":""},{"dropping-particle":"","family":"Charman","given":"Susan A.","non-dropping-particle":"","parse-names":false,"suffix":""},{"dropping-particle":"","family":"Gutierrez","given":"Maria","non-dropping-particle":"","parse-names":false,"suffix":""},{"dropping-particle":"","family":"Wittlin","given":"Sergio","non-dropping-particle":"","parse-names":false,"suffix":""},{"dropping-particle":"","family":"Vennerstrom","given":"Jonathan L.","non-dropping-particle":"","parse-names":false,"suffix":""}],"container-title":"British Journal of Clinical Pharmacology","id":"ITEM-1","issue":"2","issued":{"date-parts":[["2013"]]},"page":"535-548","title":"First-in-man safety and pharmacokinetics of synthetic ozonide OZ439 demonstrates an improved exposure profile relative to other peroxide antimalarials","type":"article-journal","volume":"75"},"uris":["http://www.mendeley.com/documents/?uuid=fe59797f-08f6-4859-82c3-819cd1465c91","http://www.mendeley.com/documents/?uuid=40379644-d320-4636-a821-225f53c581d4"]}],"mendeley":{"formattedCitation":"&lt;sup&gt;110&lt;/sup&gt;","plainTextFormattedCitation":"110","previouslyFormattedCitation":"&lt;sup&gt;110&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110</w:t>
      </w:r>
      <w:r w:rsidR="00B47DD2" w:rsidRPr="00C07E8E">
        <w:rPr>
          <w:rFonts w:cs="Times New Roman"/>
          <w:color w:val="auto"/>
          <w:szCs w:val="22"/>
        </w:rPr>
        <w:fldChar w:fldCharType="end"/>
      </w:r>
      <w:r w:rsidR="00B47DD2" w:rsidRPr="00C07E8E">
        <w:rPr>
          <w:rFonts w:cs="Times New Roman"/>
          <w:color w:val="auto"/>
          <w:szCs w:val="22"/>
        </w:rPr>
        <w:t xml:space="preserve"> </w:t>
      </w:r>
      <w:r w:rsidRPr="00C07E8E">
        <w:rPr>
          <w:rFonts w:cs="Times New Roman"/>
          <w:color w:val="auto"/>
          <w:szCs w:val="22"/>
        </w:rPr>
        <w:t xml:space="preserve">Nevertheless, no serious adverse events were </w:t>
      </w:r>
      <w:r w:rsidR="00BB2628" w:rsidRPr="00C07E8E">
        <w:rPr>
          <w:rFonts w:cs="Times New Roman"/>
          <w:color w:val="auto"/>
          <w:szCs w:val="22"/>
        </w:rPr>
        <w:t xml:space="preserve">seen and </w:t>
      </w:r>
      <w:r w:rsidR="00396390" w:rsidRPr="00C07E8E">
        <w:rPr>
          <w:rFonts w:cs="Times New Roman"/>
          <w:color w:val="auto"/>
          <w:szCs w:val="22"/>
        </w:rPr>
        <w:t>Artefenomel</w:t>
      </w:r>
      <w:r w:rsidR="00BB2628" w:rsidRPr="00C07E8E">
        <w:rPr>
          <w:rFonts w:cs="Times New Roman"/>
          <w:color w:val="auto"/>
          <w:szCs w:val="22"/>
        </w:rPr>
        <w:t xml:space="preserve"> was carried forward for phase 2 clinical trials.</w:t>
      </w:r>
    </w:p>
    <w:p w14:paraId="69E091D8" w14:textId="7466A64B" w:rsidR="00774A37" w:rsidRPr="00C07E8E" w:rsidRDefault="00C07E8E" w:rsidP="00532D1D">
      <w:pPr>
        <w:rPr>
          <w:rFonts w:cs="Times New Roman"/>
          <w:color w:val="auto"/>
          <w:szCs w:val="22"/>
        </w:rPr>
      </w:pPr>
      <w:r w:rsidRPr="00C07E8E">
        <w:rPr>
          <w:rFonts w:cs="Times New Roman"/>
          <w:color w:val="auto"/>
          <w:szCs w:val="22"/>
        </w:rPr>
        <w:tab/>
      </w:r>
      <w:r w:rsidR="00DA6CB3" w:rsidRPr="00C07E8E">
        <w:rPr>
          <w:rFonts w:cs="Times New Roman"/>
          <w:color w:val="auto"/>
          <w:szCs w:val="22"/>
        </w:rPr>
        <w:t>Artefenomel</w:t>
      </w:r>
      <w:r w:rsidR="00DA6CB3">
        <w:rPr>
          <w:rFonts w:cs="Times New Roman"/>
          <w:color w:val="auto"/>
          <w:szCs w:val="22"/>
        </w:rPr>
        <w:t xml:space="preserve"> </w:t>
      </w:r>
      <w:r w:rsidR="00774A37">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 xml:space="preserve">was initially investigated as a monotherapy in an open-label phase 2 trial in patients with </w:t>
      </w:r>
      <w:r w:rsidRPr="00C07E8E">
        <w:rPr>
          <w:rFonts w:cs="Times New Roman"/>
          <w:i/>
          <w:iCs/>
          <w:color w:val="auto"/>
          <w:szCs w:val="22"/>
        </w:rPr>
        <w:t xml:space="preserve">P. falciparum </w:t>
      </w:r>
      <w:r w:rsidRPr="00C07E8E">
        <w:rPr>
          <w:rFonts w:cs="Times New Roman"/>
          <w:color w:val="auto"/>
          <w:szCs w:val="22"/>
        </w:rPr>
        <w:t xml:space="preserve">and </w:t>
      </w:r>
      <w:r w:rsidRPr="00C07E8E">
        <w:rPr>
          <w:rFonts w:cs="Times New Roman"/>
          <w:i/>
          <w:iCs/>
          <w:color w:val="auto"/>
          <w:szCs w:val="22"/>
        </w:rPr>
        <w:t xml:space="preserve">P. vivax </w:t>
      </w:r>
      <w:r w:rsidRPr="00C07E8E">
        <w:rPr>
          <w:rFonts w:cs="Times New Roman"/>
          <w:color w:val="auto"/>
          <w:szCs w:val="22"/>
        </w:rPr>
        <w:t>malaria.</w:t>
      </w:r>
      <w:r w:rsidRPr="00C07E8E">
        <w:rPr>
          <w:rFonts w:cs="Times New Roman"/>
          <w:b/>
          <w:bCs/>
          <w:color w:val="auto"/>
          <w:szCs w:val="22"/>
        </w:rPr>
        <w:t xml:space="preserve"> </w:t>
      </w:r>
      <w:r w:rsidRPr="00C07E8E">
        <w:rPr>
          <w:rFonts w:cs="Times New Roman"/>
          <w:color w:val="auto"/>
          <w:szCs w:val="22"/>
        </w:rPr>
        <w:t xml:space="preserve">Patients were treated with  </w:t>
      </w:r>
      <w:r w:rsidR="00774A37">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in</w:t>
      </w:r>
      <w:r w:rsidR="00F83FAF" w:rsidRPr="00F83FAF">
        <w:rPr>
          <w:rFonts w:cs="Times New Roman"/>
          <w:color w:val="auto"/>
          <w:szCs w:val="22"/>
        </w:rPr>
        <w:t xml:space="preserve"> </w:t>
      </w:r>
      <w:r w:rsidR="00F83FAF" w:rsidRPr="00C07E8E">
        <w:rPr>
          <w:rFonts w:cs="Times New Roman"/>
          <w:color w:val="auto"/>
          <w:szCs w:val="22"/>
        </w:rPr>
        <w:t>single</w:t>
      </w:r>
      <w:r w:rsidRPr="00C07E8E">
        <w:rPr>
          <w:rFonts w:cs="Times New Roman"/>
          <w:color w:val="auto"/>
          <w:szCs w:val="22"/>
        </w:rPr>
        <w:t xml:space="preserve"> doses of</w:t>
      </w:r>
      <w:r w:rsidRPr="00C07E8E">
        <w:rPr>
          <w:rFonts w:cs="Times New Roman"/>
          <w:b/>
          <w:bCs/>
          <w:color w:val="auto"/>
          <w:szCs w:val="22"/>
        </w:rPr>
        <w:t xml:space="preserve"> </w:t>
      </w:r>
      <w:r w:rsidRPr="00C07E8E">
        <w:rPr>
          <w:rFonts w:cs="Times New Roman"/>
          <w:color w:val="auto"/>
          <w:szCs w:val="22"/>
        </w:rPr>
        <w:t xml:space="preserve">200, 400, 800 or 1200 mg followed by definitive treatment after 36 hours or sooner if no reduction in parasitaemia was observed – </w:t>
      </w:r>
      <w:r w:rsidR="002D1360" w:rsidRPr="00C07E8E">
        <w:rPr>
          <w:rFonts w:cs="Times New Roman"/>
          <w:color w:val="auto"/>
          <w:szCs w:val="22"/>
        </w:rPr>
        <w:t xml:space="preserve">the definitive treatments were mefloquine or primaquine for </w:t>
      </w:r>
      <w:r w:rsidR="002D1360" w:rsidRPr="00C07E8E">
        <w:rPr>
          <w:rFonts w:cs="Times New Roman"/>
          <w:i/>
          <w:iCs/>
          <w:color w:val="auto"/>
          <w:szCs w:val="22"/>
        </w:rPr>
        <w:t xml:space="preserve">falciparum </w:t>
      </w:r>
      <w:r w:rsidR="002D1360" w:rsidRPr="00C07E8E">
        <w:rPr>
          <w:rFonts w:cs="Times New Roman"/>
          <w:color w:val="auto"/>
          <w:szCs w:val="22"/>
        </w:rPr>
        <w:t xml:space="preserve">and </w:t>
      </w:r>
      <w:r w:rsidR="002D1360" w:rsidRPr="00C07E8E">
        <w:rPr>
          <w:rFonts w:cs="Times New Roman"/>
          <w:i/>
          <w:iCs/>
          <w:color w:val="auto"/>
          <w:szCs w:val="22"/>
        </w:rPr>
        <w:t xml:space="preserve">vivax </w:t>
      </w:r>
      <w:r w:rsidR="002D1360" w:rsidRPr="00C07E8E">
        <w:rPr>
          <w:rFonts w:cs="Times New Roman"/>
          <w:color w:val="auto"/>
          <w:szCs w:val="22"/>
        </w:rPr>
        <w:t xml:space="preserve">malaria respectively. The key finding of this study was the median parasite clearance time which was measured at 4.1 – 5.6 hours and 2.3 – 3.2 hours for </w:t>
      </w:r>
      <w:r w:rsidR="002D1360" w:rsidRPr="00C07E8E">
        <w:rPr>
          <w:rFonts w:cs="Times New Roman"/>
          <w:i/>
          <w:iCs/>
          <w:color w:val="auto"/>
          <w:szCs w:val="22"/>
        </w:rPr>
        <w:t xml:space="preserve">falciparum </w:t>
      </w:r>
      <w:r w:rsidR="002D1360" w:rsidRPr="00C07E8E">
        <w:rPr>
          <w:rFonts w:cs="Times New Roman"/>
          <w:color w:val="auto"/>
          <w:szCs w:val="22"/>
        </w:rPr>
        <w:t xml:space="preserve">and </w:t>
      </w:r>
      <w:r w:rsidR="002D1360" w:rsidRPr="00C07E8E">
        <w:rPr>
          <w:rFonts w:cs="Times New Roman"/>
          <w:i/>
          <w:iCs/>
          <w:color w:val="auto"/>
          <w:szCs w:val="22"/>
        </w:rPr>
        <w:t xml:space="preserve">vivax </w:t>
      </w:r>
      <w:r w:rsidR="002D1360" w:rsidRPr="00C07E8E">
        <w:rPr>
          <w:rFonts w:cs="Times New Roman"/>
          <w:color w:val="auto"/>
          <w:szCs w:val="22"/>
        </w:rPr>
        <w:t xml:space="preserve">malaria respectively – these values corroborate the fast-acting mechanism of action of </w:t>
      </w:r>
      <w:r w:rsidR="00774A37">
        <w:rPr>
          <w:rFonts w:cs="Times New Roman"/>
          <w:b/>
          <w:bCs/>
          <w:color w:val="auto"/>
          <w:szCs w:val="22"/>
        </w:rPr>
        <w:t>71</w:t>
      </w:r>
      <w:r w:rsidR="002D1360"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{"citationItems":[{"id":"ITEM-1","itemData":{"DOI":"10.1016/S1473-3099(15)00320-5","ISSN":"14744457","PMID":"26448141","abstract":"Background Artefenomel (OZ439) is a novel synthetic trioxolane with improved pharmacokinetic properties compared with other antimalarial drugs with the artemisinin pharmacophore. Artefenomel has been generally well tolerated in volunteers at doses up to 1600 mg and is being developed as a partner drug in an antimalarial combination treatment. We investigated the efficacy, tolerability, and pharmacokinetics of artefenomel at different doses in patients with Plasmodium falciparum or Plasmodium vivax malaria. Methods This phase 2a exploratory, open-label trial was done at the Hospital for Tropical Diseases, Bangkok, and the Shoklo Malaria Research Unit in Thailand. Adult patients with acute, uncomplicated P falciparum or P vivax malaria received artefenomel in a single oral dose (200 mg, 400 mg, 800 mg, or 1200 mg). The first cohort received 800 mg. Testing of a new dose of artefenomel in a patient cohort was decided on after safety and efficacy assessment of the preceding cohort. The primary endpoint was the natural log parasite reduction per 24 h. Definitive oral treatment was given at 36 h. This trial is registered with ClinicalTrials.gov, number NCT01213966. Findings Between Oct 24, 2010, and May 25, 2012, 82 patients were enrolled (20 in each of the 200 mg, 400 mg, and 800 mg cohorts, and 21 in the 1200 mg cohort). One patient withdrew consent (before the administration of artefenomel) but there were no further dropouts. The parasite reduction rates per 24 h ranged from 0·90 to 1·88 for P falciparum, and 2·09 to 2·53 for P vivax. All doses were equally effective in both P falciparum and P vivax malaria, with median parasite clearance half-lives of 4·1 h (range 1·3–6·7) to 5·6 h (2·0–8·5) for P falciparum and 2·3 h (1·2–3·9) to 3·2 h (0·9–15·0) for P vivax. Maximum plasma concentrations, dose-proportional to 800 mg, occurred at 4 h (median). The estimated elimination half-life was 46–62 h. No serious drug-related adverse effects were reported; other adverse effects were generally mild and reversible, with the highest number in the 1200 mg cohort (17 [81%] patients with at least one adverse event). The most frequently reported adverse effect was an asymptomatic increase in plasma creatine phosphokinase concentration (200 mg, n=5; 400 mg, n=3; 800 mg, n=1; 1200 mg, n=3). Interpretation Artefenomel is a new synthetic antimalarial peroxide with a good safety profile that clears parasitaemia rapidly in both P falciparum and P vivax malaria. Its long half-li…","author":[{"dropping-particle":"","family":"Phyo","given":"Aung Pyae","non-dropping-particle":"","parse-names":false,"suffix":""},{"dropping-particle":"","family":"Jittamala","given":"Podjanee","non-dropping-particle":"","parse-names":false,"suffix":""},{"dropping-particle":"","family":"Nosten","given":"François H.","non-dropping-particle":"","parse-names":false,"suffix":""},{"dropping-particle":"","family":"Pukrittayakamee","given":"Sasithon","non-dropping-particle":"","parse-names":false,"suffix":""},{"dropping-particle":"","family":"Imwong","given":"Mallika","non-dropping-particle":"","parse-names":false,"suffix":""},{"dropping-particle":"","family":"White","given":"Nicholas J.","non-dropping-particle":"","parse-names":false,"suffix":""},{"dropping-particle":"","family":"Duparc","given":"Stephan","non-dropping-particle":"","parse-names":false,"suffix":""},{"dropping-particle":"","family":"Macintyre","given":"Fiona","non-dropping-particle":"","parse-names":false,"suffix":""},{"dropping-particle":"","family":"Baker","given":"Mark","non-dropping-particle":"","parse-names":false,"suffix":""},{"dropping-particle":"","family":"Möhrle","given":"Jörg J.","non-dropping-particle":"","parse-names":false,"suffix":""}],"container-title":"The Lancet Infectious Diseases","id":"ITEM-1","issue":"1","issued":{"date-parts":[["2016"]]},"page":"61-69","title":"Antimalarial activity of artefenomel (OZ439), a novel synthetic antimalarial endoperoxide, in patients with Plasmodium falciparum and Plasmodium vivax malaria: an open-label phase 2 trial","type":"article-journal","volume":"16"},"uris":["http://www.mendeley.com/documents/?uuid=d414224d-5771-4af8-9f32-42d1ff1b4dfc"]}],"mendeley":{"formattedCitation":"&lt;sup&gt;111&lt;/sup&gt;","plainTextFormattedCitation":"111","previouslyFormattedCitation":"&lt;sup&gt;111&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111</w:t>
      </w:r>
      <w:r w:rsidR="00B47DD2" w:rsidRPr="00C07E8E">
        <w:rPr>
          <w:rFonts w:cs="Times New Roman"/>
          <w:color w:val="auto"/>
          <w:szCs w:val="22"/>
        </w:rPr>
        <w:fldChar w:fldCharType="end"/>
      </w:r>
      <w:r w:rsidR="002D1360" w:rsidRPr="00C07E8E">
        <w:rPr>
          <w:rFonts w:cs="Times New Roman"/>
          <w:color w:val="auto"/>
          <w:szCs w:val="22"/>
        </w:rPr>
        <w:t xml:space="preserve"> Additionally, consistent with prior studies, an elimination half-life of 46 – 62 hours suggesting a lengthy duration of action.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{"citationItems":[{"id":"ITEM-1","itemData":{"DOI":"10.1016/S1473-3099(15)00320-5","ISSN":"14744457","PMID":"26448141","abstract":"Background Artefenomel (OZ439) is a novel synthetic trioxolane with improved pharmacokinetic properties compared with other antimalarial drugs with the artemisinin pharmacophore. Artefenomel has been generally well tolerated in volunteers at doses up to 1600 mg and is being developed as a partner drug in an antimalarial combination treatment. We investigated the efficacy, tolerability, and pharmacokinetics of artefenomel at different doses in patients with Plasmodium falciparum or Plasmodium vivax malaria. Methods This phase 2a exploratory, open-label trial was done at the Hospital for Tropical Diseases, Bangkok, and the Shoklo Malaria Research Unit in Thailand. Adult patients with acute, uncomplicated P falciparum or P vivax malaria received artefenomel in a single oral dose (200 mg, 400 mg, 800 mg, or 1200 mg). The first cohort received 800 mg. Testing of a new dose of artefenomel in a patient cohort was decided on after safety and efficacy assessment of the preceding cohort. The primary endpoint was the natural log parasite reduction per 24 h. Definitive oral treatment was given at 36 h. This trial is registered with ClinicalTrials.gov, number NCT01213966. Findings Between Oct 24, 2010, and May 25, 2012, 82 patients were enrolled (20 in each of the 200 mg, 400 mg, and 800 mg cohorts, and 21 in the 1200 mg cohort). One patient withdrew consent (before the administration of artefenomel) but there were no further dropouts. The parasite reduction rates per 24 h ranged from 0·90 to 1·88 for P falciparum, and 2·09 to 2·53 for P vivax. All doses were equally effective in both P falciparum and P vivax malaria, with median parasite clearance half-lives of 4·1 h (range 1·3–6·7) to 5·6 h (2·0–8·5) for P falciparum and 2·3 h (1·2–3·9) to 3·2 h (0·9–15·0) for P vivax. Maximum plasma concentrations, dose-proportional to 800 mg, occurred at 4 h (median). The estimated elimination half-life was 46–62 h. No serious drug-related adverse effects were reported; other adverse effects were generally mild and reversible, with the highest number in the 1200 mg cohort (17 [81%] patients with at least one adverse event). The most frequently reported adverse effect was an asymptomatic increase in plasma creatine phosphokinase concentration (200 mg, n=5; 400 mg, n=3; 800 mg, n=1; 1200 mg, n=3). Interpretation Artefenomel is a new synthetic antimalarial peroxide with a good safety profile that clears parasitaemia rapidly in both P falciparum and P vivax malaria. Its long half-li…","author":[{"dropping-particle":"","family":"Phyo","given":"Aung Pyae","non-dropping-particle":"","parse-names":false,"suffix":""},{"dropping-particle":"","family":"Jittamala","given":"Podjanee","non-dropping-particle":"","parse-names":false,"suffix":""},{"dropping-particle":"","family":"Nosten","given":"François H.","non-dropping-particle":"","parse-names":false,"suffix":""},{"dropping-particle":"","family":"Pukrittayakamee","given":"Sasithon","non-dropping-particle":"","parse-names":false,"suffix":""},{"dropping-particle":"","family":"Imwong","given":"Mallika","non-dropping-particle":"","parse-names":false,"suffix":""},{"dropping-particle":"","family":"White","given":"Nicholas J.","non-dropping-particle":"","parse-names":false,"suffix":""},{"dropping-particle":"","family":"Duparc","given":"Stephan","non-dropping-particle":"","parse-names":false,"suffix":""},{"dropping-particle":"","family":"Macintyre","given":"Fiona","non-dropping-particle":"","parse-names":false,"suffix":""},{"dropping-particle":"","family":"Baker","given":"Mark","non-dropping-particle":"","parse-names":false,"suffix":""},{"dropping-particle":"","family":"Möhrle","given":"Jörg J.","non-dropping-particle":"","parse-names":false,"suffix":""}],"container-title":"The Lancet Infectious Diseases","id":"ITEM-1","issue":"1","issued":{"date-parts":[["2016"]]},"page":"61-69","title":"Antimalarial activity of artefenomel (OZ439), a novel synthetic antimalarial endoperoxide, in patients with Plasmodium falciparum and Plasmodium vivax malaria: an open-label phase 2 trial","type":"article-journal","volume":"16"},"uris":["http://www.mendeley.com/documents/?uuid=d414224d-5771-4af8-9f32-42d1ff1b4dfc"]}],"mendeley":{"formattedCitation":"&lt;sup&gt;111&lt;/sup&gt;","plainTextFormattedCitation":"111","previouslyFormattedCitation":"&lt;sup&gt;111&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111</w:t>
      </w:r>
      <w:r w:rsidR="00B47DD2" w:rsidRPr="00C07E8E">
        <w:rPr>
          <w:rFonts w:cs="Times New Roman"/>
          <w:color w:val="auto"/>
          <w:szCs w:val="22"/>
        </w:rPr>
        <w:fldChar w:fldCharType="end"/>
      </w:r>
      <w:r w:rsidR="002D1360" w:rsidRPr="00C07E8E">
        <w:rPr>
          <w:rFonts w:cs="Times New Roman"/>
          <w:color w:val="auto"/>
          <w:szCs w:val="22"/>
        </w:rPr>
        <w:t xml:space="preserve"> While no severe adverse events were recorded during this trial, two patients presented with elongated QTcF intervals compared to baseline</w:t>
      </w:r>
      <w:r w:rsidR="00DA6CB3">
        <w:rPr>
          <w:rFonts w:cs="Times New Roman"/>
          <w:color w:val="auto"/>
          <w:szCs w:val="22"/>
        </w:rPr>
        <w:t>,</w:t>
      </w:r>
      <w:r w:rsidR="002D1360" w:rsidRPr="00C07E8E">
        <w:rPr>
          <w:rFonts w:cs="Times New Roman"/>
          <w:color w:val="auto"/>
          <w:szCs w:val="22"/>
        </w:rPr>
        <w:t xml:space="preserve"> however the authors suggest that this is due QTcF shortening due to malaria infection – this is supported by the absence of QTcF elongation in dog studies.</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{"citationItems":[{"id":"ITEM-1","itemData":{"DOI":"10.1016/S1473-3099(15)00320-5","ISSN":"14744457","PMID":"26448141","abstract":"Background Artefenomel (OZ439) is a novel synthetic trioxolane with improved pharmacokinetic properties compared with other antimalarial drugs with the artemisinin pharmacophore. Artefenomel has been generally well tolerated in volunteers at doses up to 1600 mg and is being developed as a partner drug in an antimalarial combination treatment. We investigated the efficacy, tolerability, and pharmacokinetics of artefenomel at different doses in patients with Plasmodium falciparum or Plasmodium vivax malaria. Methods This phase 2a exploratory, open-label trial was done at the Hospital for Tropical Diseases, Bangkok, and the Shoklo Malaria Research Unit in Thailand. Adult patients with acute, uncomplicated P falciparum or P vivax malaria received artefenomel in a single oral dose (200 mg, 400 mg, 800 mg, or 1200 mg). The first cohort received 800 mg. Testing of a new dose of artefenomel in a patient cohort was decided on after safety and efficacy assessment of the preceding cohort. The primary endpoint was the natural log parasite reduction per 24 h. Definitive oral treatment was given at 36 h. This trial is registered with ClinicalTrials.gov, number NCT01213966. Findings Between Oct 24, 2010, and May 25, 2012, 82 patients were enrolled (20 in each of the 200 mg, 400 mg, and 800 mg cohorts, and 21 in the 1200 mg cohort). One patient withdrew consent (before the administration of artefenomel) but there were no further dropouts. The parasite reduction rates per 24 h ranged from 0·90 to 1·88 for P falciparum, and 2·09 to 2·53 for P vivax. All doses were equally effective in both P falciparum and P vivax malaria, with median parasite clearance half-lives of 4·1 h (range 1·3–6·7) to 5·6 h (2·0–8·5) for P falciparum and 2·3 h (1·2–3·9) to 3·2 h (0·9–15·0) for P vivax. Maximum plasma concentrations, dose-proportional to 800 mg, occurred at 4 h (median). The estimated elimination half-life was 46–62 h. No serious drug-related adverse effects were reported; other adverse effects were generally mild and reversible, with the highest number in the 1200 mg cohort (17 [81%] patients with at least one adverse event). The most frequently reported adverse effect was an asymptomatic increase in plasma creatine phosphokinase concentration (200 mg, n=5; 400 mg, n=3; 800 mg, n=1; 1200 mg, n=3). Interpretation Artefenomel is a new synthetic antimalarial peroxide with a good safety profile that clears parasitaemia rapidly in both P falciparum and P vivax malaria. Its long half-li…","author":[{"dropping-particle":"","family":"Phyo","given":"Aung Pyae","non-dropping-particle":"","parse-names":false,"suffix":""},{"dropping-particle":"","family":"Jittamala","given":"Podjanee","non-dropping-particle":"","parse-names":false,"suffix":""},{"dropping-particle":"","family":"Nosten","given":"François H.","non-dropping-particle":"","parse-names":false,"suffix":""},{"dropping-particle":"","family":"Pukrittayakamee","given":"Sasithon","non-dropping-particle":"","parse-names":false,"suffix":""},{"dropping-particle":"","family":"Imwong","given":"Mallika","non-dropping-particle":"","parse-names":false,"suffix":""},{"dropping-particle":"","family":"White","given":"Nicholas J.","non-dropping-particle":"","parse-names":false,"suffix":""},{"dropping-particle":"","family":"Duparc","given":"Stephan","non-dropping-particle":"","parse-names":false,"suffix":""},{"dropping-particle":"","family":"Macintyre","given":"Fiona","non-dropping-particle":"","parse-names":false,"suffix":""},{"dropping-particle":"","family":"Baker","given":"Mark","non-dropping-particle":"","parse-names":false,"suffix":""},{"dropping-particle":"","family":"Möhrle","given":"Jörg J.","non-dropping-particle":"","parse-names":false,"suffix":""}],"container-title":"The Lancet Infectious Diseases","id":"ITEM-1","issue":"1","issued":{"date-parts":[["2016"]]},"page":"61-69","title":"Antimalarial activity of artefenomel (OZ439), a novel synthetic antimalarial endoperoxide, in patients with Plasmodium falciparum and Plasmodium vivax malaria: an open-label phase 2 trial","type":"article-journal","volume":"16"},"uris":["http://www.mendeley.com/documents/?uuid=d414224d-5771-4af8-9f32-42d1ff1b4dfc"]}],"mendeley":{"formattedCitation":"&lt;sup&gt;111&lt;/sup&gt;","plainTextFormattedCitation":"111","previouslyFormattedCitation":"&lt;sup&gt;111&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111</w:t>
      </w:r>
      <w:r w:rsidR="00B47DD2" w:rsidRPr="00C07E8E">
        <w:rPr>
          <w:rFonts w:cs="Times New Roman"/>
          <w:color w:val="auto"/>
          <w:szCs w:val="22"/>
        </w:rPr>
        <w:fldChar w:fldCharType="end"/>
      </w:r>
    </w:p>
    <w:p w14:paraId="169CF973" w14:textId="77777777" w:rsidR="005724FF" w:rsidRPr="00C07E8E" w:rsidRDefault="005724FF" w:rsidP="00532D1D">
      <w:pPr>
        <w:rPr>
          <w:rFonts w:cs="Times New Roman"/>
          <w:color w:val="auto"/>
          <w:szCs w:val="22"/>
        </w:rPr>
      </w:pPr>
    </w:p>
    <w:p w14:paraId="1F1A69A6" w14:textId="1C640A9B" w:rsidR="00521B01" w:rsidRPr="00C07E8E" w:rsidRDefault="006D7105" w:rsidP="00532D1D">
      <w:pPr>
        <w:jc w:val="center"/>
        <w:rPr>
          <w:rFonts w:cs="Times New Roman"/>
          <w:color w:val="auto"/>
          <w:szCs w:val="22"/>
        </w:rPr>
      </w:pPr>
      <w:r w:rsidRPr="006D7105">
        <w:rPr>
          <w:rFonts w:cs="Times New Roman"/>
          <w:noProof/>
          <w:color w:val="auto"/>
          <w:szCs w:val="22"/>
        </w:rPr>
        <w:object w:dxaOrig="9446" w:dyaOrig="2343" w14:anchorId="61B4BAA1">
          <v:shape id="_x0000_i1044" type="#_x0000_t75" alt="" style="width:474pt;height:120pt;mso-width-percent:0;mso-height-percent:0;mso-width-percent:0;mso-height-percent:0" o:ole="">
            <v:imagedata r:id="rId44" o:title=""/>
          </v:shape>
          <o:OLEObject Type="Embed" ProgID="ChemDraw.Document.6.0" ShapeID="_x0000_i1044" DrawAspect="Content" ObjectID="_1669219478" r:id="rId45"/>
        </w:object>
      </w:r>
    </w:p>
    <w:p w14:paraId="5353D9F9" w14:textId="21068827" w:rsidR="00521B01" w:rsidRPr="00C07E8E" w:rsidRDefault="00C07E8E" w:rsidP="00532D1D">
      <w:pPr>
        <w:pStyle w:val="Legenda"/>
        <w:spacing w:before="240" w:after="0" w:line="360" w:lineRule="auto"/>
        <w:rPr>
          <w:rFonts w:cs="Times New Roman"/>
          <w:i w:val="0"/>
          <w:iCs w:val="0"/>
          <w:color w:val="auto"/>
          <w:sz w:val="22"/>
          <w:szCs w:val="22"/>
        </w:rPr>
      </w:pPr>
      <w:r w:rsidRPr="00C07E8E">
        <w:rPr>
          <w:rFonts w:cs="Times New Roman"/>
          <w:b/>
          <w:bCs/>
          <w:i w:val="0"/>
          <w:iCs w:val="0"/>
          <w:color w:val="auto"/>
          <w:sz w:val="22"/>
          <w:szCs w:val="22"/>
        </w:rPr>
        <w:t xml:space="preserve">Figure </w:t>
      </w:r>
      <w:r w:rsidR="008D34A3" w:rsidRPr="00C07E8E">
        <w:rPr>
          <w:rFonts w:cs="Times New Roman"/>
          <w:b/>
          <w:bCs/>
          <w:i w:val="0"/>
          <w:iCs w:val="0"/>
          <w:color w:val="auto"/>
          <w:sz w:val="22"/>
          <w:szCs w:val="22"/>
        </w:rPr>
        <w:t>1</w:t>
      </w:r>
      <w:r w:rsidR="003D37CB" w:rsidRPr="00C07E8E">
        <w:rPr>
          <w:rFonts w:cs="Times New Roman"/>
          <w:b/>
          <w:bCs/>
          <w:i w:val="0"/>
          <w:iCs w:val="0"/>
          <w:color w:val="auto"/>
          <w:sz w:val="22"/>
          <w:szCs w:val="22"/>
        </w:rPr>
        <w:t>1</w:t>
      </w:r>
      <w:r w:rsidRPr="00C07E8E">
        <w:rPr>
          <w:rFonts w:cs="Times New Roman"/>
          <w:i w:val="0"/>
          <w:iCs w:val="0"/>
          <w:color w:val="auto"/>
          <w:sz w:val="22"/>
          <w:szCs w:val="22"/>
        </w:rPr>
        <w:t xml:space="preserve">: </w:t>
      </w:r>
      <w:r w:rsidR="00EE13A7" w:rsidRPr="00C07E8E">
        <w:rPr>
          <w:rFonts w:cs="Times New Roman"/>
          <w:i w:val="0"/>
          <w:iCs w:val="0"/>
          <w:color w:val="auto"/>
          <w:sz w:val="22"/>
          <w:szCs w:val="22"/>
        </w:rPr>
        <w:t>Structure</w:t>
      </w:r>
      <w:r w:rsidR="00EE13A7">
        <w:rPr>
          <w:rFonts w:cs="Times New Roman"/>
          <w:i w:val="0"/>
          <w:iCs w:val="0"/>
          <w:color w:val="auto"/>
          <w:sz w:val="22"/>
          <w:szCs w:val="22"/>
        </w:rPr>
        <w:t xml:space="preserve"> representation</w:t>
      </w:r>
      <w:r w:rsidR="00EE13A7" w:rsidRPr="00C07E8E">
        <w:rPr>
          <w:rFonts w:cs="Times New Roman"/>
          <w:i w:val="0"/>
          <w:iCs w:val="0"/>
          <w:color w:val="auto"/>
          <w:sz w:val="22"/>
          <w:szCs w:val="22"/>
        </w:rPr>
        <w:t xml:space="preserve"> of partner drugs DSM265, Piperaquine and Ferroquine</w:t>
      </w:r>
      <w:r w:rsidR="00F83FAF">
        <w:rPr>
          <w:rFonts w:cs="Times New Roman"/>
          <w:i w:val="0"/>
          <w:iCs w:val="0"/>
          <w:color w:val="auto"/>
          <w:sz w:val="22"/>
          <w:szCs w:val="22"/>
        </w:rPr>
        <w:t>,</w:t>
      </w:r>
      <w:r w:rsidR="00EE13A7" w:rsidRPr="00C07E8E">
        <w:rPr>
          <w:rFonts w:cs="Times New Roman"/>
          <w:i w:val="0"/>
          <w:iCs w:val="0"/>
          <w:color w:val="auto"/>
          <w:sz w:val="22"/>
          <w:szCs w:val="22"/>
        </w:rPr>
        <w:t xml:space="preserve"> investigated in combinations wtih Artefenomel</w:t>
      </w:r>
    </w:p>
    <w:p w14:paraId="52DE0909" w14:textId="77777777" w:rsidR="003D37CB" w:rsidRPr="00C07E8E" w:rsidRDefault="003D37CB" w:rsidP="00532D1D"/>
    <w:p w14:paraId="2B0D8778" w14:textId="1D335FF2" w:rsidR="0049218F" w:rsidRPr="00C07E8E" w:rsidRDefault="00C07E8E" w:rsidP="00532D1D">
      <w:pPr>
        <w:rPr>
          <w:rStyle w:val="Hiperligao"/>
          <w:rFonts w:cs="Times New Roman"/>
          <w:color w:val="auto"/>
          <w:szCs w:val="22"/>
        </w:rPr>
      </w:pPr>
      <w:r w:rsidRPr="00C07E8E">
        <w:rPr>
          <w:rFonts w:cs="Times New Roman"/>
          <w:color w:val="auto"/>
          <w:szCs w:val="22"/>
        </w:rPr>
        <w:tab/>
        <w:t xml:space="preserve">Combination therapies including Artefenomel alongside a longer acting partner drug </w:t>
      </w:r>
      <w:r w:rsidR="00F83FAF">
        <w:rPr>
          <w:rFonts w:cs="Times New Roman"/>
          <w:color w:val="auto"/>
          <w:szCs w:val="22"/>
        </w:rPr>
        <w:t>are</w:t>
      </w:r>
      <w:r w:rsidR="00F83FAF" w:rsidRPr="00C07E8E">
        <w:rPr>
          <w:rFonts w:cs="Times New Roman"/>
          <w:color w:val="auto"/>
          <w:szCs w:val="22"/>
        </w:rPr>
        <w:t xml:space="preserve"> </w:t>
      </w:r>
      <w:r w:rsidRPr="00C07E8E">
        <w:rPr>
          <w:rFonts w:cs="Times New Roman"/>
          <w:color w:val="auto"/>
          <w:szCs w:val="22"/>
        </w:rPr>
        <w:t xml:space="preserve">of particular interest and </w:t>
      </w:r>
      <w:r w:rsidR="00F83FAF" w:rsidRPr="00C07E8E">
        <w:rPr>
          <w:rFonts w:cs="Times New Roman"/>
          <w:color w:val="auto"/>
          <w:szCs w:val="22"/>
        </w:rPr>
        <w:t>ha</w:t>
      </w:r>
      <w:r w:rsidR="00F83FAF">
        <w:rPr>
          <w:rFonts w:cs="Times New Roman"/>
          <w:color w:val="auto"/>
          <w:szCs w:val="22"/>
        </w:rPr>
        <w:t>ve</w:t>
      </w:r>
      <w:r w:rsidR="00F83FAF" w:rsidRPr="00C07E8E">
        <w:rPr>
          <w:rFonts w:cs="Times New Roman"/>
          <w:color w:val="auto"/>
          <w:szCs w:val="22"/>
        </w:rPr>
        <w:t xml:space="preserve"> </w:t>
      </w:r>
      <w:r w:rsidRPr="00C07E8E">
        <w:rPr>
          <w:rFonts w:cs="Times New Roman"/>
          <w:color w:val="auto"/>
          <w:szCs w:val="22"/>
        </w:rPr>
        <w:t xml:space="preserve">been the subject of a number of clinical trials. The earliest such study published in 2015 investigated fixed dose combinations of </w:t>
      </w:r>
      <w:r w:rsidR="00774A37">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with the long acting antimal</w:t>
      </w:r>
      <w:r w:rsidR="007039D5" w:rsidRPr="00C07E8E">
        <w:rPr>
          <w:rFonts w:cs="Times New Roman"/>
          <w:color w:val="auto"/>
          <w:szCs w:val="22"/>
        </w:rPr>
        <w:t>a</w:t>
      </w:r>
      <w:r w:rsidRPr="00C07E8E">
        <w:rPr>
          <w:rFonts w:cs="Times New Roman"/>
          <w:color w:val="auto"/>
          <w:szCs w:val="22"/>
        </w:rPr>
        <w:t>rial DSM265</w:t>
      </w:r>
      <w:r w:rsidR="00064BEC" w:rsidRPr="00C07E8E">
        <w:rPr>
          <w:rFonts w:cs="Times New Roman"/>
          <w:color w:val="auto"/>
          <w:szCs w:val="22"/>
        </w:rPr>
        <w:t xml:space="preserve"> (</w:t>
      </w:r>
      <w:r w:rsidR="003D37CB" w:rsidRPr="00C07E8E">
        <w:rPr>
          <w:rFonts w:cs="Times New Roman"/>
          <w:b/>
          <w:bCs/>
          <w:color w:val="auto"/>
          <w:szCs w:val="22"/>
        </w:rPr>
        <w:t>7</w:t>
      </w:r>
      <w:r w:rsidR="0008795F">
        <w:rPr>
          <w:rFonts w:cs="Times New Roman"/>
          <w:b/>
          <w:bCs/>
          <w:color w:val="auto"/>
          <w:szCs w:val="22"/>
        </w:rPr>
        <w:t>7</w:t>
      </w:r>
      <w:r w:rsidR="00754F76" w:rsidRPr="007370A6">
        <w:rPr>
          <w:rFonts w:cs="Times New Roman"/>
          <w:b/>
          <w:color w:val="auto"/>
          <w:szCs w:val="22"/>
        </w:rPr>
        <w:t>,  Figure 11</w:t>
      </w:r>
      <w:r w:rsidR="00064BEC" w:rsidRPr="00C07E8E">
        <w:rPr>
          <w:rFonts w:cs="Times New Roman"/>
          <w:color w:val="auto"/>
          <w:szCs w:val="22"/>
        </w:rPr>
        <w:t>)</w:t>
      </w:r>
      <w:r w:rsidRPr="00C07E8E">
        <w:rPr>
          <w:rFonts w:cs="Times New Roman"/>
          <w:color w:val="auto"/>
          <w:szCs w:val="22"/>
        </w:rPr>
        <w:t>.</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{"citationItems":[{"id":"ITEM-1","itemData":{"DOI":"10.1128/AAC.01371-19","ISSN":"10986596","PMID":"31685476","abstract":"Artefenomel and DSM265 are two new compounds that have been shown to be well tolerated and effective when administered as monotherapy malaria treatment. This study aimed to determine the safety, pharmacokinetics, and pharmacodynamics of artefenomel and DSM265 administered in combination to healthy subjects in a volunteer infection study using the Plasmodium falciparuminduced blood-stage malaria model. Thirteen subjects were inoculated with parasite-infected erythrocytes on day 0 and received a single oral dose of artefenomel and DSM265 on day 7. Cohort 1 (n = 8) received 200 mg artefenomel plus 100 mg DSM265, and cohort 2 (n = 5) received 200 mg artefenomel plus 50 mg DSM265. Blood samples were collected to measure parasitemia, gametocytemia, and artefenomelDSM265 plasma concentrations. There were no treatment-related adverse events. The pharmacokinetic profiles of artefenomel and DSM265 were similar to those of the compounds when administered as monotherapy, suggesting no pharmacokinetic interactions. A reduction in parasitemia occurred in all subjects following treatment (log10 parasite reduction ratios over 48 h [PRR48] of 2.80 for cohort 1 and 2.71 for cohort 2; parasite clearance half-lives of 5.17 h for cohort 1 and 5.33 h for cohort 2). Recrudescence occurred in 5/8 subjects in cohort 1 between days 19 and 28 and in 5/5 subjects in cohort 2 between days 15 and 22. Low-level gametocytemia (1 to 330 female gametocytes/ml) was detected in all subjects from day 14. The results of this single-dosing combination study support the further clinical development of the use of artefenomel and DSM265 in combination as a treatment for falciparum malaria. (This study has been registered at ClinicalTrials.gov under identifier NCT02389348.).","author":[{"dropping-particle":"","family":"McCarthy","given":"James S.","non-dropping-particle":"","parse-names":false,"suffix":""},{"dropping-particle":"","family":"Rückle","given":"Thomas","non-dropping-particle":"","parse-names":false,"suffix":""},{"dropping-particle":"","family":"Elliott","given":"Suzanne L.","non-dropping-particle":"","parse-names":false,"suffix":""},{"dropping-particle":"","family":"Ballard","given":"Emma","non-dropping-particle":"","parse-names":false,"suffix":""},{"dropping-particle":"","family":"Collins","given":"Katharine A.","non-dropping-particle":"","parse-names":false,"suffix":""},{"dropping-particle":"","family":"Marquart","given":"Louise","non-dropping-particle":"","parse-names":false,"suffix":""},{"dropping-particle":"","family":"Griffin","given":"Paul","non-dropping-particle":"","parse-names":false,"suffix":""},{"dropping-particle":"","family":"Chalon","given":"Stephan","non-dropping-particle":"","parse-names":false,"suffix":""},{"dropping-particle":"","family":"Möhrle","given":"Jörg J.","non-dropping-particle":"","parse-names":false,"suffix":""}],"container-title":"Antimicrobial Agents and Chemotherapy","id":"ITEM-1","issue":"1","issued":{"date-parts":[["2020"]]},"page":"e01371-19","title":"A Single-Dose Combination Study with the Experimental Antimalarials Artefenomel and DSM265 to Determine Safety and Antimalarial Activity against Blood-Stage Plasmodium falciparum in Healthy Volunteers","type":"article-journal","volume":"64"},"uris":["http://www.mendeley.com/documents/?uuid=b78971be-788c-437b-b342-06ea6fb9f36f"]}],"mendeley":{"formattedCitation":"&lt;sup&gt;112&lt;/sup&gt;","plainTextFormattedCitation":"112","previouslyFormattedCitation":"&lt;sup&gt;112&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112</w:t>
      </w:r>
      <w:r w:rsidR="00B47DD2" w:rsidRPr="00C07E8E">
        <w:rPr>
          <w:rFonts w:cs="Times New Roman"/>
          <w:color w:val="auto"/>
          <w:szCs w:val="22"/>
        </w:rPr>
        <w:fldChar w:fldCharType="end"/>
      </w:r>
      <w:r w:rsidRPr="00C07E8E">
        <w:rPr>
          <w:rFonts w:cs="Times New Roman"/>
          <w:color w:val="auto"/>
          <w:szCs w:val="22"/>
        </w:rPr>
        <w:t xml:space="preserve"> </w:t>
      </w:r>
      <w:r w:rsidR="00B47DD2" w:rsidRPr="00C07E8E">
        <w:rPr>
          <w:rFonts w:cs="Times New Roman"/>
          <w:color w:val="auto"/>
          <w:szCs w:val="22"/>
        </w:rPr>
        <w:t>D</w:t>
      </w:r>
      <w:r w:rsidRPr="00C07E8E">
        <w:rPr>
          <w:rFonts w:cs="Times New Roman"/>
          <w:color w:val="auto"/>
          <w:szCs w:val="22"/>
        </w:rPr>
        <w:t xml:space="preserve">SM265 is a </w:t>
      </w:r>
      <w:r w:rsidRPr="00C07E8E">
        <w:rPr>
          <w:rFonts w:cs="Times New Roman"/>
          <w:i/>
          <w:iCs/>
          <w:color w:val="auto"/>
          <w:szCs w:val="22"/>
        </w:rPr>
        <w:t>plasmodium</w:t>
      </w:r>
      <w:r w:rsidRPr="00C07E8E">
        <w:rPr>
          <w:rFonts w:cs="Times New Roman"/>
          <w:color w:val="auto"/>
          <w:szCs w:val="22"/>
        </w:rPr>
        <w:t xml:space="preserve"> dihydro</w:t>
      </w:r>
      <w:r w:rsidR="00E7507C">
        <w:rPr>
          <w:rFonts w:cs="Times New Roman"/>
          <w:color w:val="auto"/>
          <w:szCs w:val="22"/>
        </w:rPr>
        <w:t>oratate</w:t>
      </w:r>
      <w:r w:rsidRPr="00C07E8E">
        <w:rPr>
          <w:rFonts w:cs="Times New Roman"/>
          <w:color w:val="auto"/>
          <w:szCs w:val="22"/>
        </w:rPr>
        <w:t xml:space="preserve"> dehydrogenase inhibitor which displays both blood and liver</w:t>
      </w:r>
      <w:r w:rsidR="00E7507C">
        <w:rPr>
          <w:rFonts w:cs="Times New Roman"/>
          <w:color w:val="auto"/>
          <w:szCs w:val="22"/>
        </w:rPr>
        <w:t xml:space="preserve"> stage</w:t>
      </w:r>
      <w:r w:rsidRPr="00C07E8E">
        <w:rPr>
          <w:rFonts w:cs="Times New Roman"/>
          <w:color w:val="auto"/>
          <w:szCs w:val="22"/>
        </w:rPr>
        <w:t xml:space="preserve"> activity.</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{"citationItems":[{"id":"ITEM-1","itemData":{"DOI":"10.1126/scitranslmed.aaa6645","ISSN":"19466242","PMID":"26180101","abstract":"Malaria is one of the most significant causes of childhood mortality, but disease control efforts are threatened by resistance of the Plasmodium parasite to current therapies. Continued progress in combating malaria requires development of new, easy to administer drug combinations with broad-ranging activity against all manifestations of the disease. DSM265, a triazolopyrimidine-based inhibitor of the pyrimidine biosynthetic enzyme dihydroorotate dehydrogenase (DHODH), is the first DHODH inhibitor to reach clinical development for treatment of malaria. We describe studies profiling the biological activity, pharmacological and pharmacokinetic properties, and safety of DSM265, which supported its advancement to human trials. DSM265 is highly selective toward DHODH of the malaria parasite Plasmodium, efficacious against both blood and liver stages of P. falciparum, and active against drugresistant parasite isolates. Favorable pharmacokinetic properties of DSM265 are predicted to provide therapeutic concentrations for more than 8 days after a single oral dose in the range of 200 to 400 mg. DSM265 was well tolerated in repeat-dose and cardiovascular safety studies in mice and dogs, was not mutagenic, and was inactive against panels of human enzymes/receptors. The excellent safety profile, blood- and liver-stage activity, and predicted long half-life in humans position DSM265 as a new potential drug combination partner for either single-dose treatment or once-weekly chemoprevention. DSM265 has advantages over current treatment options that are dosed daily or are inactive against the parasite liver stage.","author":[{"dropping-particle":"","family":"Phillips","given":"Margaret A.","non-dropping-particle":"","parse-names":false,"suffix":""},{"dropping-particle":"","family":"Lotharius","given":"Julie","non-dropping-particle":"","parse-names":false,"suffix":""},{"dropping-particle":"","family":"Marsh","given":"Kennan","non-dropping-particle":"","parse-names":false,"suffix":""},{"dropping-particle":"","family":"White","given":"John","non-dropping-particle":"","parse-names":false,"suffix":""},{"dropping-particle":"","family":"Dayan","given":"Anthony","non-dropping-particle":"","parse-names":false,"suffix":""},{"dropping-particle":"","family":"White","given":"Karen L.","non-dropping-particle":"","parse-names":false,"suffix":""},{"dropping-particle":"","family":"Njoroge","given":"Jacqueline W.","non-dropping-particle":"","parse-names":false,"suffix":""},{"dropping-particle":"","family":"Mazouni","given":"Farah","non-dropping-particle":"El","parse-names":false,"suffix":""},{"dropping-particle":"","family":"Lao","given":"Yanbin","non-dropping-particle":"","parse-names":false,"suffix":""},{"dropping-particle":"","family":"Kokkonda","given":"Sreekanth","non-dropping-particle":"","parse-names":false,"suffix":""},{"dropping-particle":"","family":"Tomchick","given":"Diana R.","non-dropping-particle":"","parse-names":false,"suffix":""},{"dropping-particle":"","family":"Deng","given":"Xiaoyi","non-dropping-particle":"","parse-names":false,"suffix":""},{"dropping-particle":"","family":"Laird","given":"Trevor","non-dropping-particle":"","parse-names":false,"suffix":""},{"dropping-particle":"","family":"Bhatia","given":"Sangeeta N.","non-dropping-particle":"","parse-names":false,"suffix":""},{"dropping-particle":"","family":"March","given":"Sandra","non-dropping-particle":"","parse-names":false,"suffix":""},{"dropping-particle":"","family":"Ng","given":"Caroline L.","non-dropping-particle":"","parse-names":false,"suffix":""},{"dropping-particle":"","family":"Fidock","given":"David A.","non-dropping-particle":"","parse-names":false,"suffix":""},{"dropping-particle":"","family":"Wittlin","given":"Sergio","non-dropping-particle":"","parse-names":false,"suffix":""},{"dropping-particle":"","family":"Lafuente-Monasterio","given":"Maria","non-dropping-particle":"","parse-names":false,"suffix":""},{"dropping-particle":"","family":"Benito","given":"Francisco Javier Gamo","non-dropping-particle":"","parse-names":false,"suffix":""},{"dropping-particle":"","family":"Alonso","given":"Laura Maria Sanz","non-dropping-particle":"","parse-names":false,"suffix":""},{"dropping-particle":"","family":"Martinez","given":"Maria Santos","non-dropping-particle":"","parse-names":false,"suffix":""},{"dropping-particle":"","family":"Jimenez-Diaz","given":"Maria Belen","non-dropping-particle":"","parse-names":false,"suffix":""},{"dropping-particle":"","family":"Bazaga","given":"Santiago Ferrer","non-dropping-particle":"","parse-names":false,"suffix":""},{"dropping-particle":"","family":"Angulo-Barturen","given":"Iñigo","non-dropping-particle":"","parse-names":false,"suffix":""},{"dropping-particle":"","family":"Haselden","given":"John N.","non-dropping-particle":"","parse-names":false,"suffix":""},{"dropping-particle":"","family":"Louttit","given":"James","non-dropping-particle":"","parse-names":false,"suffix":""},{"dropping-particle":"","family":"Cui","given":"Yi","non-dropping-particle":"","parse-names":false,"suffix":""},{"dropping-particle":"","family":"Sridhar","given":"Arun","non-dropping-particle":"","parse-names":false,"suffix":""},{"dropping-particle":"","family":"Zeeman","given":"Anna Marie","non-dropping-particle":"","parse-names":false,"suffix":""},{"dropping-particle":"","family":"Kocken","given":"Clemens","non-dropping-particle":"","parse-names":false,"suffix":""},{"dropping-particle":"","family":"Sauerwein","given":"Robert","non-dropping-particle":"","parse-names":false,"suffix":""},{"dropping-particle":"","family":"Dechering","given":"Koen","non-dropping-particle":"","parse-names":false,"suffix":""},{"dropping-particle":"","family":"Avery","given":"Vicky M.","non-dropping-particle":"","parse-names":false,"suffix":""},{"dropping-particle":"","family":"Duffy","given":"Sandra","non-dropping-particle":"","parse-names":false,"suffix":""},{"dropping-particle":"","family":"Delves","given":"Michael","non-dropping-particle":"","parse-names":false,"suffix":""},{"dropping-particle":"","family":"Sinden","given":"Robert","non-dropping-particle":"","parse-names":false,"suffix":""},{"dropping-particle":"","family":"Ruecker","given":"Andrea","non-dropping-particle":"","parse-names":false,"suffix":""},{"dropping-particle":"","family":"Wickham","given":"Kristina S.","non-dropping-particle":"","parse-names":false,"suffix":""},{"dropping-particle":"","family":"Rochford","given":"Rosemary","non-dropping-particle":"","parse-names":false,"suffix":""},{"dropping-particle":"","family":"Gahagen","given":"Janet","non-dropping-particle":"","parse-names":false,"suffix":""},{"dropping-particle":"","family":"Iyer","given":"Lalitha","non-dropping-particle":"","parse-names":false,"suffix":""},{"dropping-particle":"","family":"Riccio","given":"Ed","non-dropping-particle":"","parse-names":false,"suffix":""},{"dropping-particle":"","family":"Mirsalis","given":"Jon","non-dropping-particle":"","parse-names":false,"suffix":""},{"dropping-particle":"","family":"Bathhurst","given":"Ian","non-dropping-particle":"","parse-names":false,"suffix":""},{"dropping-particle":"","family":"Rueckle","given":"Thomas","non-dropping-particle":"","parse-names":false,"suffix":""},{"dropping-particle":"","family":"Ding","given":"Xavier","non-dropping-particle":"","parse-names":false,"suffix":""},{"dropping-particle":"","family":"Campo","given":"Brice","non-dropping-particle":"","parse-names":false,"suffix":""},{"dropping-particle":"","family":"Leroy","given":"Didier","non-dropping-particle":"","parse-names":false,"suffix":""},{"dropping-particle":"","family":"Rogers","given":"M. John","non-dropping-particle":"","parse-names":false,"suffix":""},{"dropping-particle":"","family":"Rathod","given":"Pradipsinh K.","non-dropping-particle":"","parse-names":false,"suffix":""},{"dropping-particle":"","family":"Burrows","given":"Jeremy N.","non-dropping-particle":"","parse-names":false,"suffix":""},{"dropping-particle":"","family":"Charman","given":"Susan A.","non-dropping-particle":"","parse-names":false,"suffix":""}],"container-title":"Science Translational Medicine","id":"ITEM-1","issue":"296","issued":{"date-parts":[["2015"]]},"page":"296ra111","title":"A long-duration dihydroorotate dehydrogenase inhibitor (DSM265) for prevention and treatment of malaria","type":"article-journal","volume":"7"},"uris":["http://www.mendeley.com/documents/?uuid=34d1db38-fd2e-4c6f-bd8d-835a97d4c365"]}],"mendeley":{"formattedCitation":"&lt;sup&gt;114&lt;/sup&gt;","plainTextFormattedCitation":"114","previouslyFormattedCitation":"&lt;sup&gt;114&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114</w:t>
      </w:r>
      <w:r w:rsidR="00B47DD2" w:rsidRPr="00C07E8E">
        <w:rPr>
          <w:rFonts w:cs="Times New Roman"/>
          <w:color w:val="auto"/>
          <w:szCs w:val="22"/>
        </w:rPr>
        <w:fldChar w:fldCharType="end"/>
      </w:r>
      <w:r w:rsidRPr="00C07E8E">
        <w:rPr>
          <w:rFonts w:cs="Times New Roman"/>
          <w:color w:val="auto"/>
          <w:szCs w:val="22"/>
        </w:rPr>
        <w:t xml:space="preserve"> Combinations of 200 mg </w:t>
      </w:r>
      <w:r w:rsidR="00774A37">
        <w:rPr>
          <w:rFonts w:cs="Times New Roman"/>
          <w:b/>
          <w:bCs/>
          <w:color w:val="auto"/>
          <w:szCs w:val="22"/>
        </w:rPr>
        <w:t xml:space="preserve">71 </w:t>
      </w:r>
      <w:r w:rsidRPr="00C07E8E">
        <w:rPr>
          <w:rFonts w:cs="Times New Roman"/>
          <w:color w:val="auto"/>
          <w:szCs w:val="22"/>
        </w:rPr>
        <w:t>with 50 or 100 mg DSM265 were investiga</w:t>
      </w:r>
      <w:r w:rsidR="007039D5" w:rsidRPr="00C07E8E">
        <w:rPr>
          <w:rFonts w:cs="Times New Roman"/>
          <w:color w:val="auto"/>
          <w:szCs w:val="22"/>
        </w:rPr>
        <w:t>t</w:t>
      </w:r>
      <w:r w:rsidRPr="00C07E8E">
        <w:rPr>
          <w:rFonts w:cs="Times New Roman"/>
          <w:color w:val="auto"/>
          <w:szCs w:val="22"/>
        </w:rPr>
        <w:t>ed. Both doses displayed a rapid parasite clearance with half lives consistent with prior studies. Recrudescence was observed in both cohorts</w:t>
      </w:r>
      <w:r w:rsidR="0008795F">
        <w:rPr>
          <w:rFonts w:cs="Times New Roman"/>
          <w:color w:val="auto"/>
          <w:szCs w:val="22"/>
        </w:rPr>
        <w:t>,</w:t>
      </w:r>
      <w:r w:rsidRPr="00C07E8E">
        <w:rPr>
          <w:rFonts w:cs="Times New Roman"/>
          <w:color w:val="auto"/>
          <w:szCs w:val="22"/>
        </w:rPr>
        <w:t xml:space="preserve"> occurring in 5/8 patients who received 100 mg DSM265 and</w:t>
      </w:r>
      <w:r w:rsidR="0008795F">
        <w:rPr>
          <w:rFonts w:cs="Times New Roman"/>
          <w:color w:val="auto"/>
          <w:szCs w:val="22"/>
        </w:rPr>
        <w:t xml:space="preserve"> in</w:t>
      </w:r>
      <w:r w:rsidRPr="00C07E8E">
        <w:rPr>
          <w:rFonts w:cs="Times New Roman"/>
          <w:color w:val="auto"/>
          <w:szCs w:val="22"/>
        </w:rPr>
        <w:t xml:space="preserve"> 5/5 patients who received 50 mg DSM265</w:t>
      </w:r>
      <w:r w:rsidR="0008795F">
        <w:rPr>
          <w:rFonts w:cs="Times New Roman"/>
          <w:color w:val="auto"/>
          <w:szCs w:val="22"/>
        </w:rPr>
        <w:t>,</w:t>
      </w:r>
      <w:r w:rsidRPr="00C07E8E">
        <w:rPr>
          <w:rFonts w:cs="Times New Roman"/>
          <w:color w:val="auto"/>
          <w:szCs w:val="22"/>
        </w:rPr>
        <w:t xml:space="preserve"> in addition to </w:t>
      </w:r>
      <w:r w:rsidR="00774A37">
        <w:rPr>
          <w:rFonts w:cs="Times New Roman"/>
          <w:b/>
          <w:bCs/>
          <w:color w:val="auto"/>
          <w:szCs w:val="22"/>
        </w:rPr>
        <w:t>71</w:t>
      </w:r>
      <w:r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{"citationItems":[{"id":"ITEM-1","itemData":{"DOI":"10.1128/AAC.01371-19","ISSN":"10986596","PMID":"31685476","abstract":"Artefenomel and DSM265 are two new compounds that have been shown to be well tolerated and effective when administered as monotherapy malaria treatment. This study aimed to determine the safety, pharmacokinetics, and pharmacodynamics of artefenomel and DSM265 administered in combination to healthy subjects in a volunteer infection study using the Plasmodium falciparuminduced blood-stage malaria model. Thirteen subjects were inoculated with parasite-infected erythrocytes on day 0 and received a single oral dose of artefenomel and DSM265 on day 7. Cohort 1 (n = 8) received 200 mg artefenomel plus 100 mg DSM265, and cohort 2 (n = 5) received 200 mg artefenomel plus 50 mg DSM265. Blood samples were collected to measure parasitemia, gametocytemia, and artefenomelDSM265 plasma concentrations. There were no treatment-related adverse events. The pharmacokinetic profiles of artefenomel and DSM265 were similar to those of the compounds when administered as monotherapy, suggesting no pharmacokinetic interactions. A reduction in parasitemia occurred in all subjects following treatment (log10 parasite reduction ratios over 48 h [PRR48] of 2.80 for cohort 1 and 2.71 for cohort 2; parasite clearance half-lives of 5.17 h for cohort 1 and 5.33 h for cohort 2). Recrudescence occurred in 5/8 subjects in cohort 1 between days 19 and 28 and in 5/5 subjects in cohort 2 between days 15 and 22. Low-level gametocytemia (1 to 330 female gametocytes/ml) was detected in all subjects from day 14. The results of this single-dosing combination study support the further clinical development of the use of artefenomel and DSM265 in combination as a treatment for falciparum malaria. (This study has been registered at ClinicalTrials.gov under identifier NCT02389348.).","author":[{"dropping-particle":"","family":"McCarthy","given":"James S.","non-dropping-particle":"","parse-names":false,"suffix":""},{"dropping-particle":"","family":"Rückle","given":"Thomas","non-dropping-particle":"","parse-names":false,"suffix":""},{"dropping-particle":"","family":"Elliott","given":"Suzanne L.","non-dropping-particle":"","parse-names":false,"suffix":""},{"dropping-particle":"","family":"Ballard","given":"Emma","non-dropping-particle":"","parse-names":false,"suffix":""},{"dropping-particle":"","family":"Collins","given":"Katharine A.","non-dropping-particle":"","parse-names":false,"suffix":""},{"dropping-particle":"","family":"Marquart","given":"Louise","non-dropping-particle":"","parse-names":false,"suffix":""},{"dropping-particle":"","family":"Griffin","given":"Paul","non-dropping-particle":"","parse-names":false,"suffix":""},{"dropping-particle":"","family":"Chalon","given":"Stephan","non-dropping-particle":"","parse-names":false,"suffix":""},{"dropping-particle":"","family":"Möhrle","given":"Jörg J.","non-dropping-particle":"","parse-names":false,"suffix":""}],"container-title":"Antimicrobial Agents and Chemotherapy","id":"ITEM-1","issue":"1","issued":{"date-parts":[["2020"]]},"page":"e01371-19","title":"A Single-Dose Combination Study with the Experimental Antimalarials Artefenomel and DSM265 to Determine Safety and Antimalarial Activity against Blood-Stage Plasmodium falciparum in Healthy Volunteers","type":"article-journal","volume":"64"},"uris":["http://www.mendeley.com/documents/?uuid=b78971be-788c-437b-b342-06ea6fb9f36f"]}],"mendeley":{"formattedCitation":"&lt;sup&gt;112&lt;/sup&gt;","plainTextFormattedCitation":"112","previouslyFormattedCitation":"&lt;sup&gt;112&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112</w:t>
      </w:r>
      <w:r w:rsidR="00B47DD2" w:rsidRPr="00C07E8E">
        <w:rPr>
          <w:rFonts w:cs="Times New Roman"/>
          <w:color w:val="auto"/>
          <w:szCs w:val="22"/>
        </w:rPr>
        <w:fldChar w:fldCharType="end"/>
      </w:r>
    </w:p>
    <w:p w14:paraId="4112E155" w14:textId="21DE84BD" w:rsidR="002D1360" w:rsidRPr="00C07E8E" w:rsidRDefault="00C07E8E" w:rsidP="00532D1D">
      <w:pPr>
        <w:ind w:firstLine="720"/>
        <w:rPr>
          <w:rFonts w:cs="Times New Roman"/>
          <w:color w:val="auto"/>
          <w:szCs w:val="22"/>
        </w:rPr>
      </w:pPr>
      <w:r w:rsidRPr="00C07E8E">
        <w:rPr>
          <w:rFonts w:cs="Times New Roman"/>
          <w:color w:val="auto"/>
          <w:szCs w:val="22"/>
        </w:rPr>
        <w:t xml:space="preserve">A later double-blind phase 2b trial of 800 mg </w:t>
      </w:r>
      <w:r w:rsidR="003A6F40">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 xml:space="preserve">with either 640, 960 or 1440 mg piperaquine </w:t>
      </w:r>
      <w:r w:rsidR="00064BEC" w:rsidRPr="00C07E8E">
        <w:rPr>
          <w:rFonts w:cs="Times New Roman"/>
          <w:color w:val="auto"/>
          <w:szCs w:val="22"/>
        </w:rPr>
        <w:t>(</w:t>
      </w:r>
      <w:r w:rsidR="003D37CB" w:rsidRPr="00C07E8E">
        <w:rPr>
          <w:rFonts w:cs="Times New Roman"/>
          <w:b/>
          <w:bCs/>
          <w:color w:val="auto"/>
          <w:szCs w:val="22"/>
        </w:rPr>
        <w:t>6</w:t>
      </w:r>
      <w:r w:rsidR="00774A37">
        <w:rPr>
          <w:rFonts w:cs="Times New Roman"/>
          <w:b/>
          <w:bCs/>
          <w:color w:val="auto"/>
          <w:szCs w:val="22"/>
        </w:rPr>
        <w:t>6</w:t>
      </w:r>
      <w:r w:rsidR="00E415BF" w:rsidRPr="007370A6">
        <w:rPr>
          <w:rFonts w:cs="Times New Roman"/>
          <w:b/>
          <w:color w:val="auto"/>
          <w:szCs w:val="22"/>
        </w:rPr>
        <w:t>,</w:t>
      </w:r>
      <w:r w:rsidR="00E415BF" w:rsidRPr="007125A3">
        <w:rPr>
          <w:rFonts w:cs="Times New Roman"/>
          <w:b/>
          <w:bCs/>
          <w:color w:val="auto"/>
          <w:szCs w:val="22"/>
        </w:rPr>
        <w:t xml:space="preserve"> </w:t>
      </w:r>
      <w:r w:rsidR="00E415BF" w:rsidRPr="007370A6">
        <w:rPr>
          <w:rFonts w:cs="Times New Roman"/>
          <w:b/>
          <w:color w:val="auto"/>
          <w:szCs w:val="22"/>
        </w:rPr>
        <w:t>Figure 11</w:t>
      </w:r>
      <w:r w:rsidR="00064BEC" w:rsidRPr="00C07E8E">
        <w:rPr>
          <w:rFonts w:cs="Times New Roman"/>
          <w:color w:val="auto"/>
          <w:szCs w:val="22"/>
        </w:rPr>
        <w:t xml:space="preserve">) </w:t>
      </w:r>
      <w:r w:rsidRPr="00C07E8E">
        <w:rPr>
          <w:rFonts w:cs="Times New Roman"/>
          <w:color w:val="auto"/>
          <w:szCs w:val="22"/>
        </w:rPr>
        <w:t>was carried out on patients from Africa and Vietnam</w:t>
      </w:r>
      <w:r w:rsidR="0008795F">
        <w:rPr>
          <w:rFonts w:cs="Times New Roman"/>
          <w:color w:val="auto"/>
          <w:szCs w:val="22"/>
        </w:rPr>
        <w:t>,</w:t>
      </w:r>
      <w:r w:rsidRPr="00C07E8E">
        <w:rPr>
          <w:rFonts w:cs="Times New Roman"/>
          <w:color w:val="auto"/>
          <w:szCs w:val="22"/>
        </w:rPr>
        <w:t xml:space="preserve"> with 85 % of the cohort being children.</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{"citationItems":[{"id":"ITEM-1","itemData":{"DOI":"10.1186/s12916-017-0940-3","ISSN":"17417015","PMID":"28988541","abstract":"Background: The clinical development of a single encounter treatment for uncomplicated malaria has the potential to significantly improve the effectiveness of antimalarials. Exploratory data suggested that the combination of artefenomel and piperaquine phosphate (PQP) has the potential to achieve satisfactory cure rates as a single dose therapy. The primary objective of the study was to determine whether a single dose of artefenomel (800mg) plus PQP in ascending doses is an efficacious treatment for uncomplicated Plasmodium falciparum malaria in the 'target' population of children≤5years of age in Africa as well as Asian patients of all ages. Methods: Patients in six African countries and in Vietnam were randomised to treatment with follow-up for 42-63 days. Efficacy, tolerability, safety and pharmacokinetics were assessed. Additional key objectives were to characterise the exposure-response relationship for polymerase chain reaction (PCR)-adjusted adequate clinical and parasitological response at day 28 post-dose (ACPR28) and to further investigate Kelch13 mutations. Patients in Africa (n=355) and Vietnam (n=82) were included, with 85% of the total population being children&lt;5years of age. Results: ACPR28 in the per protocol population (95% confidence interval) was 70.8% (61.13-79.19), 68.4% (59.13-76.66) and 78.6% (70.09-85.67) for doses of 800mg artefenomel with 640mg, 960mg and 1440mg of PQP respectively. ACPR28 was lower in Vietnamese than in African patients (66.2%; 54.55-76.62 and 74.5%; 68.81-79.68) respectively. Within the African population, efficacy was lowest in the youngest age group of≥0.5 to≤2years, 52.7% (38.80-66.35). Initial parasite clearance was twice as long in Vietnam than in Africa. Within Vietnam, the frequency of the Kelch13 mutation was 70.1% and was clearly associated with parasite clearance half-life (PCt1/2). The most significant tolerability finding was vomiting (28.8%). Conclusions: In this first clinical trial evaluating a single encounter antimalarial therapy, none of the treatment arms reached the target efficacy of&gt;95% PCR-adjusted ACPR at day 28. Achieving very high efficacy following single dose treatment is challenging, since&gt;95% of the population must have sufficient concentrations to achieve cure across a range of parasite sensitivities and baseline parasitaemia levels. While challenging, the development of tools suitable for deployment as single encounter curative treatments for adults and children in Africa and t…","author":[{"dropping-particle":"","family":"Macintyre","given":"Fiona","non-dropping-particle":"","parse-names":false,"suffix":""},{"dropping-particle":"","family":"Adoke","given":"Yeka","non-dropping-particle":"","parse-names":false,"suffix":""},{"dropping-particle":"","family":"Tiono","given":"Alfred B.","non-dropping-particle":"","parse-names":false,"suffix":""},{"dropping-particle":"","family":"Duong","given":"Tran Thanh","non-dropping-particle":"","parse-names":false,"suffix":""},{"dropping-particle":"","family":"Mombo-Ngoma","given":"Ghyslain","non-dropping-particle":"","parse-names":false,"suffix":""},{"dropping-particle":"","family":"Bouyou-Akotet","given":"Marielle","non-dropping-particle":"","parse-names":false,"suffix":""},{"dropping-particle":"","family":"Tinto","given":"Halidou","non-dropping-particle":"","parse-names":false,"suffix":""},{"dropping-particle":"","family":"Bassat","given":"Quique","non-dropping-particle":"","parse-names":false,"suffix":""},{"dropping-particle":"","family":"Issifou","given":"Saadou","non-dropping-particle":"","parse-names":false,"suffix":""},{"dropping-particle":"","family":"Adamy","given":"Marc","non-dropping-particle":"","parse-names":false,"suffix":""},{"dropping-particle":"","family":"Demarest","given":"Helen","non-dropping-particle":"","parse-names":false,"suffix":""},{"dropping-particle":"","family":"Duparc","given":"Stephan","non-dropping-particle":"","parse-names":false,"suffix":""},{"dropping-particle":"","family":"Leroy","given":"Didier","non-dropping-particle":"","parse-names":false,"suffix":""},{"dropping-particle":"","family":"Laurijssens","given":"Bart E.","non-dropping-particle":"","parse-names":false,"suffix":""},{"dropping-particle":"","family":"Biguenet","given":"Sophie","non-dropping-particle":"","parse-names":false,"suffix":""},{"dropping-particle":"","family":"Kibuuka","given":"Afizi","non-dropping-particle":"","parse-names":false,"suffix":""},{"dropping-particle":"","family":"Tshefu","given":"Antoinette Kitoto","non-dropping-particle":"","parse-names":false,"suffix":""},{"dropping-particle":"","family":"Smith","given":"Melnick","non-dropping-particle":"","parse-names":false,"suffix":""},{"dropping-particle":"","family":"Foster","given":"Chanelle","non-dropping-particle":"","parse-names":false,"suffix":""},{"dropping-particle":"","family":"Leipoldt","given":"Illse","non-dropping-particle":"","parse-names":false,"suffix":""},{"dropping-particle":"","family":"Kremsner","given":"Peter G.","non-dropping-particle":"","parse-names":false,"suffix":""},{"dropping-particle":"","family":"Phuc","given":"Bui Quang","non-dropping-particle":"","parse-names":false,"suffix":""},{"dropping-particle":"","family":"Ouedraogo","given":"Alphonse","non-dropping-particle":"","parse-names":false,"suffix":""},{"dropping-particle":"","family":"Ramharter","given":"Michael","non-dropping-particle":"","parse-names":false,"suffix":""},{"dropping-particle":"Van","family":"Hong","given":"Nguyen","non-dropping-particle":"","parse-names":false,"suffix":""},{"dropping-particle":"","family":"Mbouoronde","given":"Christelle Offouga","non-dropping-particle":"","parse-names":false,"suffix":""},{"dropping-particle":"","family":"Kinko","given":"Joy Luzingu","non-dropping-particle":"","parse-names":false,"suffix":""},{"dropping-particle":"","family":"Losoma","given":"Joseph Atibu","non-dropping-particle":"","parse-names":false,"suffix":""},{"dropping-particle":"","family":"Manego","given":"Rella Zoleko","non-dropping-particle":"","parse-names":false,"suffix":""},{"dropping-particle":"","family":"Groger","given":"Mirjam","non-dropping-particle":"","parse-names":false,"suffix":""},{"dropping-particle":"","family":"Klicpera","given":"Anna","non-dropping-particle":"","parse-names":false,"suffix":""},{"dropping-particle":"","family":"Mischlinger","given":"Johannes","non-dropping-particle":"","parse-names":false,"suffix":""},{"dropping-particle":"","family":"Barry","given":"Aissata","non-dropping-particle":"","parse-names":false,"suffix":""},{"dropping-particle":"","family":"Ouattara","given":"San Maurice","non-dropping-particle":"","parse-names":false,"suffix":""},{"dropping-particle":"","family":"Coulibaly","given":"Sam","non-dropping-particle":"","parse-names":false,"suffix":""},{"dropping-particle":"","family":"Moïse","given":"Kabore","non-dropping-particle":"","parse-names":false,"suffix":""},{"dropping-particle":"","family":"Sombié","given":"Olivier","non-dropping-particle":"","parse-names":false,"suffix":""},{"dropping-particle":"","family":"Bognini","given":"Joel Dofinissery","non-dropping-particle":"","parse-names":false,"suffix":""},{"dropping-particle":"","family":"Sitoe","given":"Antonio","non-dropping-particle":"","parse-names":false,"suffix":""},{"dropping-particle":"","family":"Matambisso","given":"Gloria","non-dropping-particle":"","parse-names":false,"suffix":""},{"dropping-particle":"El","family":"Gaaloul","given":"Myriam","non-dropping-particle":"","parse-names":false,"suffix":""},{"dropping-particle":"","family":"Gobeau","given":"Nathalie","non-dropping-particle":"","parse-names":false,"suffix":""},{"dropping-particle":"","family":"Varo","given":"Rosauro","non-dropping-particle":"","parse-names":false,"suffix":""},{"dropping-particle":"","family":"Mayor","given":"Alfredo","non-dropping-particle":"","parse-names":false,"suffix":""},{"dropping-particle":"","family":"Cox","given":"Eugene H.","non-dropping-particle":"","parse-names":false,"suffix":""},{"dropping-particle":"","family":"Maringwa","given":"John T.","non-dropping-particle":"","parse-names":false,"suffix":""}],"container-title":"BMC Medicine","id":"ITEM-1","issue":"1","issued":{"date-parts":[["2017"]]},"page":"181","title":"A randomised, double-blind clinical phase II trial of the efficacy, safety, tolerability and pharmacokinetics of a single dose combination treatment with artefenomel and piperaquine in adults and children with uncomplicated Plasmodium falciparum malaria","type":"article-journal","volume":"15"},"uris":["http://www.mendeley.com/documents/?uuid=70140f35-fd23-487d-aeaa-11548257bc85"]}],"mendeley":{"formattedCitation":"&lt;sup&gt;113&lt;/sup&gt;","plainTextFormattedCitation":"113","previouslyFormattedCitation":"&lt;sup&gt;113&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113</w:t>
      </w:r>
      <w:r w:rsidR="00B47DD2" w:rsidRPr="00C07E8E">
        <w:rPr>
          <w:rFonts w:cs="Times New Roman"/>
          <w:color w:val="auto"/>
          <w:szCs w:val="22"/>
        </w:rPr>
        <w:fldChar w:fldCharType="end"/>
      </w:r>
      <w:r w:rsidR="00B47DD2" w:rsidRPr="00C07E8E">
        <w:rPr>
          <w:rFonts w:cs="Times New Roman"/>
          <w:color w:val="auto"/>
          <w:szCs w:val="22"/>
        </w:rPr>
        <w:t xml:space="preserve"> </w:t>
      </w:r>
      <w:r w:rsidRPr="00C07E8E">
        <w:rPr>
          <w:rFonts w:cs="Times New Roman"/>
          <w:color w:val="auto"/>
          <w:szCs w:val="22"/>
        </w:rPr>
        <w:t>The primary end point of the trial was adequate clinical and parasitological response (ACPR) which was found to be 68.4 – 78.6 % with no significant differences between dosage of piperaquine. Notably, the parasite clearance in the patient cohort from Vietnam was found to be slower than the African cohort – this was attributed to a higher prevalence of K13 mutation conferring resistance to artemisinin.</w:t>
      </w:r>
      <w:r w:rsidR="00B47DD2" w:rsidRPr="00C07E8E">
        <w:rPr>
          <w:rFonts w:cs="Times New Roman"/>
          <w:color w:val="auto"/>
          <w:szCs w:val="22"/>
        </w:rPr>
        <w:t xml:space="preserve"> </w:t>
      </w:r>
      <w:r w:rsidR="00B47DD2" w:rsidRPr="00C07E8E">
        <w:rPr>
          <w:rFonts w:cs="Times New Roman"/>
          <w:color w:val="auto"/>
          <w:szCs w:val="22"/>
        </w:rPr>
        <w:fldChar w:fldCharType="begin" w:fldLock="1"/>
      </w:r>
      <w:r w:rsidR="00192B39">
        <w:rPr>
          <w:rFonts w:cs="Times New Roman"/>
          <w:color w:val="auto"/>
          <w:szCs w:val="22"/>
        </w:rPr>
        <w:instrText>ADDIN CSL_CITATION {"citationItems":[{"id":"ITEM-1","itemData":{"DOI":"10.1186/s12916-017-0940-3","ISSN":"17417015","PMID":"28988541","abstract":"Background: The clinical development of a single encounter treatment for uncomplicated malaria has the potential to significantly improve the effectiveness of antimalarials. Exploratory data suggested that the combination of artefenomel and piperaquine phosphate (PQP) has the potential to achieve satisfactory cure rates as a single dose therapy. The primary objective of the study was to determine whether a single dose of artefenomel (800mg) plus PQP in ascending doses is an efficacious treatment for uncomplicated Plasmodium falciparum malaria in the 'target' population of children≤5years of age in Africa as well as Asian patients of all ages. Methods: Patients in six African countries and in Vietnam were randomised to treatment with follow-up for 42-63 days. Efficacy, tolerability, safety and pharmacokinetics were assessed. Additional key objectives were to characterise the exposure-response relationship for polymerase chain reaction (PCR)-adjusted adequate clinical and parasitological response at day 28 post-dose (ACPR28) and to further investigate Kelch13 mutations. Patients in Africa (n=355) and Vietnam (n=82) were included, with 85% of the total population being children&lt;5years of age. Results: ACPR28 in the per protocol population (95% confidence interval) was 70.8% (61.13-79.19), 68.4% (59.13-76.66) and 78.6% (70.09-85.67) for doses of 800mg artefenomel with 640mg, 960mg and 1440mg of PQP respectively. ACPR28 was lower in Vietnamese than in African patients (66.2%; 54.55-76.62 and 74.5%; 68.81-79.68) respectively. Within the African population, efficacy was lowest in the youngest age group of≥0.5 to≤2years, 52.7% (38.80-66.35). Initial parasite clearance was twice as long in Vietnam than in Africa. Within Vietnam, the frequency of the Kelch13 mutation was 70.1% and was clearly associated with parasite clearance half-life (PCt1/2). The most significant tolerability finding was vomiting (28.8%). Conclusions: In this first clinical trial evaluating a single encounter antimalarial therapy, none of the treatment arms reached the target efficacy of&gt;95% PCR-adjusted ACPR at day 28. Achieving very high efficacy following single dose treatment is challenging, since&gt;95% of the population must have sufficient concentrations to achieve cure across a range of parasite sensitivities and baseline parasitaemia levels. While challenging, the development of tools suitable for deployment as single encounter curative treatments for adults and children in Africa and t…","author":[{"dropping-particle":"","family":"Macintyre","given":"Fiona","non-dropping-particle":"","parse-names":false,"suffix":""},{"dropping-particle":"","family":"Adoke","given":"Yeka","non-dropping-particle":"","parse-names":false,"suffix":""},{"dropping-particle":"","family":"Tiono","given":"Alfred B.","non-dropping-particle":"","parse-names":false,"suffix":""},{"dropping-particle":"","family":"Duong","given":"Tran Thanh","non-dropping-particle":"","parse-names":false,"suffix":""},{"dropping-particle":"","family":"Mombo-Ngoma","given":"Ghyslain","non-dropping-particle":"","parse-names":false,"suffix":""},{"dropping-particle":"","family":"Bouyou-Akotet","given":"Marielle","non-dropping-particle":"","parse-names":false,"suffix":""},{"dropping-particle":"","family":"Tinto","given":"Halidou","non-dropping-particle":"","parse-names":false,"suffix":""},{"dropping-particle":"","family":"Bassat","given":"Quique","non-dropping-particle":"","parse-names":false,"suffix":""},{"dropping-particle":"","family":"Issifou","given":"Saadou","non-dropping-particle":"","parse-names":false,"suffix":""},{"dropping-particle":"","family":"Adamy","given":"Marc","non-dropping-particle":"","parse-names":false,"suffix":""},{"dropping-particle":"","family":"Demarest","given":"Helen","non-dropping-particle":"","parse-names":false,"suffix":""},{"dropping-particle":"","family":"Duparc","given":"Stephan","non-dropping-particle":"","parse-names":false,"suffix":""},{"dropping-particle":"","family":"Leroy","given":"Didier","non-dropping-particle":"","parse-names":false,"suffix":""},{"dropping-particle":"","family":"Laurijssens","given":"Bart E.","non-dropping-particle":"","parse-names":false,"suffix":""},{"dropping-particle":"","family":"Biguenet","given":"Sophie","non-dropping-particle":"","parse-names":false,"suffix":""},{"dropping-particle":"","family":"Kibuuka","given":"Afizi","non-dropping-particle":"","parse-names":false,"suffix":""},{"dropping-particle":"","family":"Tshefu","given":"Antoinette Kitoto","non-dropping-particle":"","parse-names":false,"suffix":""},{"dropping-particle":"","family":"Smith","given":"Melnick","non-dropping-particle":"","parse-names":false,"suffix":""},{"dropping-particle":"","family":"Foster","given":"Chanelle","non-dropping-particle":"","parse-names":false,"suffix":""},{"dropping-particle":"","family":"Leipoldt","given":"Illse","non-dropping-particle":"","parse-names":false,"suffix":""},{"dropping-particle":"","family":"Kremsner","given":"Peter G.","non-dropping-particle":"","parse-names":false,"suffix":""},{"dropping-particle":"","family":"Phuc","given":"Bui Quang","non-dropping-particle":"","parse-names":false,"suffix":""},{"dropping-particle":"","family":"Ouedraogo","given":"Alphonse","non-dropping-particle":"","parse-names":false,"suffix":""},{"dropping-particle":"","family":"Ramharter","given":"Michael","non-dropping-particle":"","parse-names":false,"suffix":""},{"dropping-particle":"Van","family":"Hong","given":"Nguyen","non-dropping-particle":"","parse-names":false,"suffix":""},{"dropping-particle":"","family":"Mbouoronde","given":"Christelle Offouga","non-dropping-particle":"","parse-names":false,"suffix":""},{"dropping-particle":"","family":"Kinko","given":"Joy Luzingu","non-dropping-particle":"","parse-names":false,"suffix":""},{"dropping-particle":"","family":"Losoma","given":"Joseph Atibu","non-dropping-particle":"","parse-names":false,"suffix":""},{"dropping-particle":"","family":"Manego","given":"Rella Zoleko","non-dropping-particle":"","parse-names":false,"suffix":""},{"dropping-particle":"","family":"Groger","given":"Mirjam","non-dropping-particle":"","parse-names":false,"suffix":""},{"dropping-particle":"","family":"Klicpera","given":"Anna","non-dropping-particle":"","parse-names":false,"suffix":""},{"dropping-particle":"","family":"Mischlinger","given":"Johannes","non-dropping-particle":"","parse-names":false,"suffix":""},{"dropping-particle":"","family":"Barry","given":"Aissata","non-dropping-particle":"","parse-names":false,"suffix":""},{"dropping-particle":"","family":"Ouattara","given":"San Maurice","non-dropping-particle":"","parse-names":false,"suffix":""},{"dropping-particle":"","family":"Coulibaly","given":"Sam","non-dropping-particle":"","parse-names":false,"suffix":""},{"dropping-particle":"","family":"Moïse","given":"Kabore","non-dropping-particle":"","parse-names":false,"suffix":""},{"dropping-particle":"","family":"Sombié","given":"Olivier","non-dropping-particle":"","parse-names":false,"suffix":""},{"dropping-particle":"","family":"Bognini","given":"Joel Dofinissery","non-dropping-particle":"","parse-names":false,"suffix":""},{"dropping-particle":"","family":"Sitoe","given":"Antonio","non-dropping-particle":"","parse-names":false,"suffix":""},{"dropping-particle":"","family":"Matambisso","given":"Gloria","non-dropping-particle":"","parse-names":false,"suffix":""},{"dropping-particle":"El","family":"Gaaloul","given":"Myriam","non-dropping-particle":"","parse-names":false,"suffix":""},{"dropping-particle":"","family":"Gobeau","given":"Nathalie","non-dropping-particle":"","parse-names":false,"suffix":""},{"dropping-particle":"","family":"Varo","given":"Rosauro","non-dropping-particle":"","parse-names":false,"suffix":""},{"dropping-particle":"","family":"Mayor","given":"Alfredo","non-dropping-particle":"","parse-names":false,"suffix":""},{"dropping-particle":"","family":"Cox","given":"Eugene H.","non-dropping-particle":"","parse-names":false,"suffix":""},{"dropping-particle":"","family":"Maringwa","given":"John T.","non-dropping-particle":"","parse-names":false,"suffix":""}],"container-title":"BMC Medicine","id":"ITEM-1","issue":"1","issued":{"date-parts":[["2017"]]},"page":"181","title":"A randomised, double-blind clinical phase II trial of the efficacy, safety, tolerability and pharmacokinetics of a single dose combination treatment with artefenomel and piperaquine in adults and children with uncomplicated Plasmodium falciparum malaria","type":"article-journal","volume":"15"},"uris":["http://www.mendeley.com/documents/?uuid=70140f35-fd23-487d-aeaa-11548257bc85"]}],"mendeley":{"formattedCitation":"&lt;sup&gt;113&lt;/sup&gt;","plainTextFormattedCitation":"113","previouslyFormattedCitation":"&lt;sup&gt;113&lt;/sup&gt;"},"properties":{"noteIndex":0},"schema":"https://github.com/citation-style-language/schema/raw/master/csl-citation.json"}</w:instrText>
      </w:r>
      <w:r w:rsidR="00B47DD2" w:rsidRPr="00C07E8E">
        <w:rPr>
          <w:rFonts w:cs="Times New Roman"/>
          <w:color w:val="auto"/>
          <w:szCs w:val="22"/>
        </w:rPr>
        <w:fldChar w:fldCharType="separate"/>
      </w:r>
      <w:r w:rsidR="00CA5C6A" w:rsidRPr="00CA5C6A">
        <w:rPr>
          <w:rFonts w:cs="Times New Roman"/>
          <w:noProof/>
          <w:color w:val="auto"/>
          <w:szCs w:val="22"/>
          <w:vertAlign w:val="superscript"/>
        </w:rPr>
        <w:t>113</w:t>
      </w:r>
      <w:r w:rsidR="00B47DD2" w:rsidRPr="00C07E8E">
        <w:rPr>
          <w:rFonts w:cs="Times New Roman"/>
          <w:color w:val="auto"/>
          <w:szCs w:val="22"/>
        </w:rPr>
        <w:fldChar w:fldCharType="end"/>
      </w:r>
      <w:r w:rsidRPr="00C07E8E">
        <w:rPr>
          <w:rFonts w:cs="Times New Roman"/>
          <w:color w:val="auto"/>
          <w:szCs w:val="22"/>
        </w:rPr>
        <w:t xml:space="preserve"> This observation may imply a level of cross resistance of </w:t>
      </w:r>
      <w:r w:rsidR="007B46DC">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with artemisinin derivatives.</w:t>
      </w:r>
    </w:p>
    <w:p w14:paraId="0C5B5273" w14:textId="2EC21A23" w:rsidR="00521B01" w:rsidRPr="00C07E8E" w:rsidRDefault="00C07E8E" w:rsidP="00532D1D">
      <w:pPr>
        <w:ind w:firstLine="720"/>
        <w:rPr>
          <w:rStyle w:val="Hiperligao"/>
          <w:rFonts w:cs="Times New Roman"/>
          <w:color w:val="auto"/>
          <w:szCs w:val="22"/>
        </w:rPr>
      </w:pPr>
      <w:r w:rsidRPr="00C07E8E">
        <w:rPr>
          <w:rFonts w:cs="Times New Roman"/>
          <w:color w:val="auto"/>
          <w:szCs w:val="22"/>
        </w:rPr>
        <w:t xml:space="preserve">A third study investigating the combination of </w:t>
      </w:r>
      <w:r w:rsidR="00774A37">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with ferroquine</w:t>
      </w:r>
      <w:r w:rsidR="00064BEC" w:rsidRPr="00C07E8E">
        <w:rPr>
          <w:rFonts w:cs="Times New Roman"/>
          <w:color w:val="auto"/>
          <w:szCs w:val="22"/>
        </w:rPr>
        <w:t xml:space="preserve"> (</w:t>
      </w:r>
      <w:r w:rsidR="003D37CB" w:rsidRPr="00C07E8E">
        <w:rPr>
          <w:rFonts w:cs="Times New Roman"/>
          <w:b/>
          <w:bCs/>
          <w:color w:val="auto"/>
          <w:szCs w:val="22"/>
        </w:rPr>
        <w:t>7</w:t>
      </w:r>
      <w:r w:rsidR="00774A37">
        <w:rPr>
          <w:rFonts w:cs="Times New Roman"/>
          <w:b/>
          <w:bCs/>
          <w:color w:val="auto"/>
          <w:szCs w:val="22"/>
        </w:rPr>
        <w:t>8</w:t>
      </w:r>
      <w:r w:rsidR="00E415BF" w:rsidRPr="007370A6">
        <w:rPr>
          <w:rFonts w:cs="Times New Roman"/>
          <w:b/>
          <w:color w:val="auto"/>
          <w:szCs w:val="22"/>
        </w:rPr>
        <w:t>,</w:t>
      </w:r>
      <w:r w:rsidR="00E415BF" w:rsidRPr="007125A3">
        <w:rPr>
          <w:rFonts w:cs="Times New Roman"/>
          <w:b/>
          <w:bCs/>
          <w:color w:val="auto"/>
          <w:szCs w:val="22"/>
        </w:rPr>
        <w:t xml:space="preserve"> </w:t>
      </w:r>
      <w:r w:rsidR="00E415BF" w:rsidRPr="007370A6">
        <w:rPr>
          <w:rFonts w:cs="Times New Roman"/>
          <w:b/>
          <w:color w:val="auto"/>
          <w:szCs w:val="22"/>
        </w:rPr>
        <w:t>Figure 11</w:t>
      </w:r>
      <w:r w:rsidR="00064BEC" w:rsidRPr="00C07E8E">
        <w:rPr>
          <w:rFonts w:cs="Times New Roman"/>
          <w:color w:val="auto"/>
          <w:szCs w:val="22"/>
        </w:rPr>
        <w:t xml:space="preserve">) </w:t>
      </w:r>
      <w:r w:rsidRPr="00C07E8E">
        <w:rPr>
          <w:rFonts w:cs="Times New Roman"/>
          <w:color w:val="auto"/>
          <w:szCs w:val="22"/>
        </w:rPr>
        <w:t xml:space="preserve"> is currently undergoing and results have not yet been published.</w:t>
      </w:r>
      <w:r w:rsidR="00B47DD2" w:rsidRPr="00C07E8E">
        <w:rPr>
          <w:rFonts w:cs="Times New Roman"/>
          <w:color w:val="auto"/>
          <w:szCs w:val="22"/>
        </w:rPr>
        <w:fldChar w:fldCharType="begin" w:fldLock="1"/>
      </w:r>
      <w:r w:rsidR="00CA5C6A">
        <w:rPr>
          <w:rFonts w:cs="Times New Roman"/>
          <w:color w:val="auto"/>
          <w:szCs w:val="22"/>
        </w:rPr>
        <w:instrText>ADDIN CSL_CITATION {"citationItems":[{"id":"ITEM-1","itemData":{"URL":"https://clinicaltrials.gov/ct2/show/NCT03660839","accessed":{"date-parts":[["2020","5","15"]]},"id":"ITEM-1","issued":{"date-parts":[["0"]]},"title":"Study to Investigate the Clinical and Parasiticidal Activity and Pharmacokinetics of Different Doses of Artefenomel and Ferroquine in Patients With Uncomplicated Plasmodium Falciparum Malaria","type":"webpage"},"uris":["http://www.mendeley.com/documents/?uuid=ad3f73f1-c768-4c1b-a7ad-0ef907e3c80c"]}],"mendeley":{"formattedCitation":"&lt;sup&gt;33&lt;/sup&gt;","plainTextFormattedCitation":"33","previouslyFormattedCitation":"&lt;sup&gt;33&lt;/sup&gt;"},"properties":{"noteIndex":0},"schema":"https://github.com/citation-style-language/schema/raw/master/csl-citation.json"}</w:instrText>
      </w:r>
      <w:r w:rsidR="00B47DD2" w:rsidRPr="00C07E8E">
        <w:rPr>
          <w:rFonts w:cs="Times New Roman"/>
          <w:color w:val="auto"/>
          <w:szCs w:val="22"/>
        </w:rPr>
        <w:fldChar w:fldCharType="separate"/>
      </w:r>
      <w:r w:rsidR="007125A3" w:rsidRPr="007125A3">
        <w:rPr>
          <w:rFonts w:cs="Times New Roman"/>
          <w:noProof/>
          <w:color w:val="auto"/>
          <w:szCs w:val="22"/>
          <w:vertAlign w:val="superscript"/>
        </w:rPr>
        <w:t>33</w:t>
      </w:r>
      <w:r w:rsidR="00B47DD2" w:rsidRPr="00C07E8E">
        <w:rPr>
          <w:rFonts w:cs="Times New Roman"/>
          <w:color w:val="auto"/>
          <w:szCs w:val="22"/>
        </w:rPr>
        <w:fldChar w:fldCharType="end"/>
      </w:r>
      <w:r w:rsidRPr="00C07E8E">
        <w:rPr>
          <w:rFonts w:cs="Times New Roman"/>
          <w:color w:val="auto"/>
          <w:szCs w:val="22"/>
        </w:rPr>
        <w:t xml:space="preserve"> </w:t>
      </w:r>
    </w:p>
    <w:p w14:paraId="2676ADB7" w14:textId="3CD45A88" w:rsidR="00521B01" w:rsidRPr="00C07E8E" w:rsidRDefault="00C07E8E" w:rsidP="00532D1D">
      <w:pPr>
        <w:rPr>
          <w:rStyle w:val="Hiperligao"/>
          <w:rFonts w:cs="Times New Roman"/>
          <w:color w:val="auto"/>
          <w:szCs w:val="22"/>
          <w:u w:val="none"/>
        </w:rPr>
      </w:pPr>
      <w:r w:rsidRPr="00C07E8E">
        <w:rPr>
          <w:rStyle w:val="Hiperligao"/>
          <w:rFonts w:cs="Times New Roman"/>
          <w:color w:val="auto"/>
          <w:szCs w:val="22"/>
          <w:u w:val="none"/>
        </w:rPr>
        <w:tab/>
        <w:t xml:space="preserve">As highlighted in early clinical trials of </w:t>
      </w:r>
      <w:r w:rsidR="00774A37">
        <w:rPr>
          <w:rStyle w:val="Hiperligao"/>
          <w:rFonts w:cs="Times New Roman"/>
          <w:b/>
          <w:bCs/>
          <w:color w:val="auto"/>
          <w:szCs w:val="22"/>
          <w:u w:val="none"/>
        </w:rPr>
        <w:t>71</w:t>
      </w:r>
      <w:r w:rsidRPr="00C07E8E">
        <w:rPr>
          <w:rStyle w:val="Hiperligao"/>
          <w:rFonts w:cs="Times New Roman"/>
          <w:color w:val="auto"/>
          <w:szCs w:val="22"/>
          <w:u w:val="none"/>
        </w:rPr>
        <w:t>, a significant food effect exists</w:t>
      </w:r>
      <w:r w:rsidR="00B32E78">
        <w:rPr>
          <w:rStyle w:val="Hiperligao"/>
          <w:rFonts w:cs="Times New Roman"/>
          <w:color w:val="auto"/>
          <w:szCs w:val="22"/>
          <w:u w:val="none"/>
        </w:rPr>
        <w:t xml:space="preserve"> for OZ439</w:t>
      </w:r>
      <w:r w:rsidRPr="00C07E8E">
        <w:rPr>
          <w:rStyle w:val="Hiperligao"/>
          <w:rFonts w:cs="Times New Roman"/>
          <w:color w:val="auto"/>
          <w:szCs w:val="22"/>
          <w:u w:val="none"/>
        </w:rPr>
        <w:t xml:space="preserve"> where enhanced bioavailability is observed in the fed state. As such, several investigations have been carried out on the relationship between physicochemical properties of </w:t>
      </w:r>
      <w:r w:rsidR="00774A37">
        <w:rPr>
          <w:rStyle w:val="Hiperligao"/>
          <w:rFonts w:cs="Times New Roman"/>
          <w:b/>
          <w:bCs/>
          <w:color w:val="auto"/>
          <w:szCs w:val="22"/>
          <w:u w:val="none"/>
        </w:rPr>
        <w:t>71</w:t>
      </w:r>
      <w:r w:rsidRPr="00C07E8E">
        <w:rPr>
          <w:rStyle w:val="Hiperligao"/>
          <w:rFonts w:cs="Times New Roman"/>
          <w:b/>
          <w:bCs/>
          <w:color w:val="auto"/>
          <w:szCs w:val="22"/>
          <w:u w:val="none"/>
        </w:rPr>
        <w:t xml:space="preserve"> </w:t>
      </w:r>
      <w:r w:rsidRPr="00C07E8E">
        <w:rPr>
          <w:rStyle w:val="Hiperligao"/>
          <w:rFonts w:cs="Times New Roman"/>
          <w:color w:val="auto"/>
          <w:szCs w:val="22"/>
          <w:u w:val="none"/>
        </w:rPr>
        <w:t>and solubility when formulated as the mesylate salt.</w:t>
      </w:r>
      <w:r w:rsidR="00B47DD2"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{"citationItems":[{"id":"ITEM-1","itemData":{"DOI":"10.1021/acs.molpharmaceut.8b00173","ISSN":"15438392","PMID":"29558146","abstract":"Efforts to develop orally administered drugs tend to place an exceptional focus on aqueous solubility as this is an essential criterion for their absorption in the gastrointestinal tract. In this work we examine the solid state behavior and solubility of OZ439, a promising single-dose cure for malaria being developed as the highly water-soluble mesylate salt. The aqueous phase behavior of the OZ439 mesylate salt was determined using a combination of small angle neutron and X-ray scattering (SANS and SAXS, respectively). It was found that this salt has low solubility at low concentrations with the drug largely precipitated in free base aggregates. However, with increasing concentration these crystalline aggregates were observed to dissociate into cationic micelles and lamellar phases, effectively increasing the dissolved drug concentration. It was also found that the dissolved OZ439 spontaneously precipitated in the presence of biologically relevant anions, which we attribute to the high lattice energies of most of the salt forms of the drug. These findings show that aqueous solubility is not always what it seems in the context of amphiphilic drug molecules and highlights that its use as the principal metric in selecting drug candidates for development can be perilous.","author":[{"dropping-particle":"","family":"Clulow","given":"Andrew J.","non-dropping-particle":"","parse-names":false,"suffix":""},{"dropping-particle":"","family":"Salim","given":"Malinda","non-dropping-particle":"","parse-names":false,"suffix":""},{"dropping-particle":"","family":"Hawley","given":"Adrian","non-dropping-particle":"","parse-names":false,"suffix":""},{"dropping-particle":"","family":"Gilbert","given":"Elliot P.","non-dropping-particle":"","parse-names":false,"suffix":""},{"dropping-particle":"","family":"Boyd","given":"Ben J.","non-dropping-particle":"","parse-names":false,"suffix":""}],"container-title":"Molecular Pharmaceutics","id":"ITEM-1","issue":"5","issued":{"date-parts":[["2018"]]},"page":"2027-2035","title":"The Curious Case of the OZ439 Mesylate Salt: An Amphiphilic Antimalarial Drug with Diverse Solution and Solid State Structures","type":"article-journal","volume":"15"},"uris":["http://www.mendeley.com/documents/?uuid=1878e197-8490-4e21-883c-54a28d24bff6"]}],"mendeley":{"formattedCitation":"&lt;sup&gt;115&lt;/sup&gt;","plainTextFormattedCitation":"115","previouslyFormattedCitation":"&lt;sup&gt;115&lt;/sup&gt;"},"properties":{"noteIndex":0},"schema":"https://github.com/citation-style-language/schema/raw/master/csl-citation.json"}</w:instrText>
      </w:r>
      <w:r w:rsidR="00B47DD2"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115</w:t>
      </w:r>
      <w:r w:rsidR="00B47DD2" w:rsidRPr="00C07E8E">
        <w:rPr>
          <w:rStyle w:val="Hiperligao"/>
          <w:rFonts w:cs="Times New Roman"/>
          <w:color w:val="auto"/>
          <w:szCs w:val="22"/>
          <w:u w:val="none"/>
        </w:rPr>
        <w:fldChar w:fldCharType="end"/>
      </w:r>
      <w:r w:rsidR="005715BE" w:rsidRPr="00C07E8E">
        <w:rPr>
          <w:rFonts w:cs="Times New Roman"/>
          <w:color w:val="auto"/>
          <w:szCs w:val="22"/>
        </w:rPr>
        <w:t xml:space="preserve"> </w:t>
      </w:r>
      <w:r w:rsidRPr="00C07E8E">
        <w:rPr>
          <w:rStyle w:val="Hiperligao"/>
          <w:rFonts w:cs="Times New Roman"/>
          <w:color w:val="auto"/>
          <w:szCs w:val="22"/>
          <w:u w:val="none"/>
        </w:rPr>
        <w:t xml:space="preserve">In studies, both the mesylate salt and the free-base form of </w:t>
      </w:r>
      <w:r w:rsidR="00774A37">
        <w:rPr>
          <w:rStyle w:val="Hiperligao"/>
          <w:rFonts w:cs="Times New Roman"/>
          <w:b/>
          <w:bCs/>
          <w:color w:val="auto"/>
          <w:szCs w:val="22"/>
          <w:u w:val="none"/>
        </w:rPr>
        <w:t>71</w:t>
      </w:r>
      <w:r w:rsidRPr="00C07E8E">
        <w:rPr>
          <w:rStyle w:val="Hiperligao"/>
          <w:rFonts w:cs="Times New Roman"/>
          <w:b/>
          <w:bCs/>
          <w:color w:val="auto"/>
          <w:szCs w:val="22"/>
          <w:u w:val="none"/>
        </w:rPr>
        <w:t xml:space="preserve"> </w:t>
      </w:r>
      <w:r w:rsidRPr="00C07E8E">
        <w:rPr>
          <w:rStyle w:val="Hiperligao"/>
          <w:rFonts w:cs="Times New Roman"/>
          <w:color w:val="auto"/>
          <w:szCs w:val="22"/>
          <w:u w:val="none"/>
        </w:rPr>
        <w:t xml:space="preserve">have been observed to form insoluble aggregates and other solid-state structures. Interestingly, the mesylate salt displays a counterintuitive decreasing solubility at lower concentrations where, through dilution, the pH is effectively increased. At concentrations above the critical micellar concentration, the mesylate artefenomel-mesylate exists as soluble micelles whereas at lower concentrations </w:t>
      </w:r>
      <w:r w:rsidR="00A903D0">
        <w:rPr>
          <w:rStyle w:val="Hiperligao"/>
          <w:rFonts w:cs="Times New Roman"/>
          <w:color w:val="auto"/>
          <w:szCs w:val="22"/>
          <w:u w:val="none"/>
        </w:rPr>
        <w:t>i</w:t>
      </w:r>
      <w:r w:rsidR="00A903D0" w:rsidRPr="00C07E8E">
        <w:rPr>
          <w:rStyle w:val="Hiperligao"/>
          <w:rFonts w:cs="Times New Roman"/>
          <w:color w:val="auto"/>
          <w:szCs w:val="22"/>
          <w:u w:val="none"/>
        </w:rPr>
        <w:t xml:space="preserve">t </w:t>
      </w:r>
      <w:r w:rsidRPr="00C07E8E">
        <w:rPr>
          <w:rStyle w:val="Hiperligao"/>
          <w:rFonts w:cs="Times New Roman"/>
          <w:color w:val="auto"/>
          <w:szCs w:val="22"/>
          <w:u w:val="none"/>
        </w:rPr>
        <w:t xml:space="preserve">exists as a mixture </w:t>
      </w:r>
      <w:r w:rsidRPr="00C07E8E">
        <w:rPr>
          <w:rStyle w:val="Hiperligao"/>
          <w:rFonts w:cs="Times New Roman"/>
          <w:color w:val="auto"/>
          <w:szCs w:val="22"/>
          <w:u w:val="none"/>
        </w:rPr>
        <w:lastRenderedPageBreak/>
        <w:t>of micelles as well as free-base aggregates</w:t>
      </w:r>
      <w:r w:rsidR="00B47DD2" w:rsidRPr="00C07E8E">
        <w:rPr>
          <w:rStyle w:val="Hiperligao"/>
          <w:rFonts w:cs="Times New Roman"/>
          <w:color w:val="auto"/>
          <w:szCs w:val="22"/>
          <w:u w:val="none"/>
        </w:rPr>
        <w:t xml:space="preserve">. </w:t>
      </w:r>
      <w:r w:rsidR="00B47DD2"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{"citationItems":[{"id":"ITEM-1","itemData":{"DOI":"10.1021/acs.molpharmaceut.8b00173","ISSN":"15438392","PMID":"29558146","abstract":"Efforts to develop orally administered drugs tend to place an exceptional focus on aqueous solubility as this is an essential criterion for their absorption in the gastrointestinal tract. In this work we examine the solid state behavior and solubility of OZ439, a promising single-dose cure for malaria being developed as the highly water-soluble mesylate salt. The aqueous phase behavior of the OZ439 mesylate salt was determined using a combination of small angle neutron and X-ray scattering (SANS and SAXS, respectively). It was found that this salt has low solubility at low concentrations with the drug largely precipitated in free base aggregates. However, with increasing concentration these crystalline aggregates were observed to dissociate into cationic micelles and lamellar phases, effectively increasing the dissolved drug concentration. It was also found that the dissolved OZ439 spontaneously precipitated in the presence of biologically relevant anions, which we attribute to the high lattice energies of most of the salt forms of the drug. These findings show that aqueous solubility is not always what it seems in the context of amphiphilic drug molecules and highlights that its use as the principal metric in selecting drug candidates for development can be perilous.","author":[{"dropping-particle":"","family":"Clulow","given":"Andrew J.","non-dropping-particle":"","parse-names":false,"suffix":""},{"dropping-particle":"","family":"Salim","given":"Malinda","non-dropping-particle":"","parse-names":false,"suffix":""},{"dropping-particle":"","family":"Hawley","given":"Adrian","non-dropping-particle":"","parse-names":false,"suffix":""},{"dropping-particle":"","family":"Gilbert","given":"Elliot P.","non-dropping-particle":"","parse-names":false,"suffix":""},{"dropping-particle":"","family":"Boyd","given":"Ben J.","non-dropping-particle":"","parse-names":false,"suffix":""}],"container-title":"Molecular Pharmaceutics","id":"ITEM-1","issue":"5","issued":{"date-parts":[["2018"]]},"page":"2027-2035","title":"The Curious Case of the OZ439 Mesylate Salt: An Amphiphilic Antimalarial Drug with Diverse Solution and Solid State Structures","type":"article-journal","volume":"15"},"uris":["http://www.mendeley.com/documents/?uuid=1878e197-8490-4e21-883c-54a28d24bff6"]}],"mendeley":{"formattedCitation":"&lt;sup&gt;115&lt;/sup&gt;","plainTextFormattedCitation":"115","previouslyFormattedCitation":"&lt;sup&gt;115&lt;/sup&gt;"},"properties":{"noteIndex":0},"schema":"https://github.com/citation-style-language/schema/raw/master/csl-citation.json"}</w:instrText>
      </w:r>
      <w:r w:rsidR="00B47DD2"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115</w:t>
      </w:r>
      <w:r w:rsidR="00B47DD2" w:rsidRPr="00C07E8E">
        <w:rPr>
          <w:rStyle w:val="Hiperligao"/>
          <w:rFonts w:cs="Times New Roman"/>
          <w:color w:val="auto"/>
          <w:szCs w:val="22"/>
          <w:u w:val="none"/>
        </w:rPr>
        <w:fldChar w:fldCharType="end"/>
      </w:r>
      <w:r w:rsidRPr="00C07E8E">
        <w:rPr>
          <w:rStyle w:val="Hiperligao"/>
          <w:rFonts w:cs="Times New Roman"/>
          <w:color w:val="auto"/>
          <w:szCs w:val="22"/>
          <w:u w:val="none"/>
        </w:rPr>
        <w:t xml:space="preserve"> As well as this, </w:t>
      </w:r>
      <w:r w:rsidR="00505EB2" w:rsidRPr="00C07E8E">
        <w:rPr>
          <w:rStyle w:val="Hiperligao"/>
          <w:rFonts w:cs="Times New Roman"/>
          <w:color w:val="auto"/>
          <w:szCs w:val="22"/>
          <w:u w:val="none"/>
        </w:rPr>
        <w:t>upon treatment with HCl, artefenomel mesylate can undergo anion transfer to produce the insoluble hydrochloride salt. Further neutralisation of the hydrochloride salt yields initially an unstable free</w:t>
      </w:r>
      <w:r w:rsidR="00396390">
        <w:rPr>
          <w:rStyle w:val="Hiperligao"/>
          <w:rFonts w:cs="Times New Roman"/>
          <w:color w:val="auto"/>
          <w:szCs w:val="22"/>
          <w:u w:val="none"/>
        </w:rPr>
        <w:t xml:space="preserve"> </w:t>
      </w:r>
      <w:r w:rsidR="00505EB2" w:rsidRPr="00C07E8E">
        <w:rPr>
          <w:rStyle w:val="Hiperligao"/>
          <w:rFonts w:cs="Times New Roman"/>
          <w:color w:val="auto"/>
          <w:szCs w:val="22"/>
          <w:u w:val="none"/>
        </w:rPr>
        <w:t xml:space="preserve">base which rapidly converts to a more stable crystalline structure. These conditions are comparable to </w:t>
      </w:r>
      <w:r w:rsidR="00A16C89" w:rsidRPr="00C07E8E">
        <w:rPr>
          <w:rStyle w:val="Hiperligao"/>
          <w:rFonts w:cs="Times New Roman"/>
          <w:color w:val="auto"/>
          <w:szCs w:val="22"/>
          <w:u w:val="none"/>
        </w:rPr>
        <w:t>th</w:t>
      </w:r>
      <w:r w:rsidR="00A16C89">
        <w:rPr>
          <w:rStyle w:val="Hiperligao"/>
          <w:rFonts w:cs="Times New Roman"/>
          <w:color w:val="auto"/>
          <w:szCs w:val="22"/>
          <w:u w:val="none"/>
        </w:rPr>
        <w:t>ose</w:t>
      </w:r>
      <w:r w:rsidR="00A16C89" w:rsidRPr="00C07E8E">
        <w:rPr>
          <w:rStyle w:val="Hiperligao"/>
          <w:rFonts w:cs="Times New Roman"/>
          <w:color w:val="auto"/>
          <w:szCs w:val="22"/>
          <w:u w:val="none"/>
        </w:rPr>
        <w:t xml:space="preserve"> </w:t>
      </w:r>
      <w:r w:rsidR="00505EB2" w:rsidRPr="00C07E8E">
        <w:rPr>
          <w:rStyle w:val="Hiperligao"/>
          <w:rFonts w:cs="Times New Roman"/>
          <w:color w:val="auto"/>
          <w:szCs w:val="22"/>
          <w:u w:val="none"/>
        </w:rPr>
        <w:t xml:space="preserve">of gastric fluid and the upper small intestine and as such similar conversions </w:t>
      </w:r>
      <w:r w:rsidR="00A16C89" w:rsidRPr="00C07E8E">
        <w:rPr>
          <w:rStyle w:val="Hiperligao"/>
          <w:rFonts w:cs="Times New Roman"/>
          <w:color w:val="auto"/>
          <w:szCs w:val="22"/>
          <w:u w:val="none"/>
        </w:rPr>
        <w:t xml:space="preserve">of </w:t>
      </w:r>
      <w:r w:rsidR="00A16C89">
        <w:rPr>
          <w:rStyle w:val="Hiperligao"/>
          <w:rFonts w:cs="Times New Roman"/>
          <w:b/>
          <w:bCs/>
          <w:color w:val="auto"/>
          <w:szCs w:val="22"/>
          <w:u w:val="none"/>
        </w:rPr>
        <w:t xml:space="preserve">71 </w:t>
      </w:r>
      <w:r w:rsidR="00505EB2" w:rsidRPr="00C07E8E">
        <w:rPr>
          <w:rStyle w:val="Hiperligao"/>
          <w:rFonts w:cs="Times New Roman"/>
          <w:color w:val="auto"/>
          <w:szCs w:val="22"/>
          <w:u w:val="none"/>
        </w:rPr>
        <w:t xml:space="preserve">would be expected </w:t>
      </w:r>
      <w:r w:rsidR="00A16C89">
        <w:rPr>
          <w:rStyle w:val="Hiperligao"/>
          <w:rFonts w:cs="Times New Roman"/>
          <w:color w:val="auto"/>
          <w:szCs w:val="22"/>
          <w:u w:val="none"/>
        </w:rPr>
        <w:t>a</w:t>
      </w:r>
      <w:r w:rsidR="00505EB2" w:rsidRPr="00C07E8E">
        <w:rPr>
          <w:rStyle w:val="Hiperligao"/>
          <w:rFonts w:cs="Times New Roman"/>
          <w:color w:val="auto"/>
          <w:szCs w:val="22"/>
          <w:u w:val="none"/>
        </w:rPr>
        <w:t>s gastric and upper small intestinal pH varies between fed and fasted state</w:t>
      </w:r>
      <w:r w:rsidR="00A16C89">
        <w:rPr>
          <w:rStyle w:val="Hiperligao"/>
          <w:rFonts w:cs="Times New Roman"/>
          <w:color w:val="auto"/>
          <w:szCs w:val="22"/>
          <w:u w:val="none"/>
        </w:rPr>
        <w:t>,</w:t>
      </w:r>
      <w:r w:rsidR="00505EB2" w:rsidRPr="00C07E8E">
        <w:rPr>
          <w:rStyle w:val="Hiperligao"/>
          <w:rFonts w:cs="Times New Roman"/>
          <w:color w:val="auto"/>
          <w:szCs w:val="22"/>
          <w:u w:val="none"/>
        </w:rPr>
        <w:t xml:space="preserve"> </w:t>
      </w:r>
      <w:r w:rsidR="00A16C89" w:rsidRPr="00C07E8E">
        <w:rPr>
          <w:rStyle w:val="Hiperligao"/>
          <w:rFonts w:cs="Times New Roman"/>
          <w:color w:val="auto"/>
          <w:szCs w:val="22"/>
          <w:u w:val="none"/>
        </w:rPr>
        <w:t>provid</w:t>
      </w:r>
      <w:r w:rsidR="00A16C89">
        <w:rPr>
          <w:rStyle w:val="Hiperligao"/>
          <w:rFonts w:cs="Times New Roman"/>
          <w:color w:val="auto"/>
          <w:szCs w:val="22"/>
          <w:u w:val="none"/>
        </w:rPr>
        <w:t>ing</w:t>
      </w:r>
      <w:r w:rsidR="00A16C89" w:rsidRPr="00C07E8E">
        <w:rPr>
          <w:rStyle w:val="Hiperligao"/>
          <w:rFonts w:cs="Times New Roman"/>
          <w:color w:val="auto"/>
          <w:szCs w:val="22"/>
          <w:u w:val="none"/>
        </w:rPr>
        <w:t xml:space="preserve"> </w:t>
      </w:r>
      <w:r w:rsidR="00505EB2" w:rsidRPr="00C07E8E">
        <w:rPr>
          <w:rStyle w:val="Hiperligao"/>
          <w:rFonts w:cs="Times New Roman"/>
          <w:color w:val="auto"/>
          <w:szCs w:val="22"/>
          <w:u w:val="none"/>
        </w:rPr>
        <w:t xml:space="preserve">insight into the food effect on </w:t>
      </w:r>
      <w:r w:rsidR="00774A37">
        <w:rPr>
          <w:rStyle w:val="Hiperligao"/>
          <w:rFonts w:cs="Times New Roman"/>
          <w:b/>
          <w:bCs/>
          <w:color w:val="auto"/>
          <w:szCs w:val="22"/>
          <w:u w:val="none"/>
        </w:rPr>
        <w:t>71</w:t>
      </w:r>
      <w:r w:rsidR="00505EB2" w:rsidRPr="00C07E8E">
        <w:rPr>
          <w:rStyle w:val="Hiperligao"/>
          <w:rFonts w:cs="Times New Roman"/>
          <w:color w:val="auto"/>
          <w:szCs w:val="22"/>
          <w:u w:val="none"/>
        </w:rPr>
        <w:t xml:space="preserve"> bioavailability.</w:t>
      </w:r>
      <w:r w:rsidR="00B47DD2" w:rsidRPr="00C07E8E">
        <w:rPr>
          <w:rStyle w:val="Hiperligao"/>
          <w:rFonts w:cs="Times New Roman"/>
          <w:color w:val="auto"/>
          <w:szCs w:val="22"/>
          <w:u w:val="none"/>
        </w:rPr>
        <w:t xml:space="preserve"> </w:t>
      </w:r>
      <w:r w:rsidR="00B47DD2"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{"citationItems":[{"id":"ITEM-1","itemData":{"DOI":"10.1021/acs.molpharmaceut.8b00173","ISSN":"15438392","PMID":"29558146","abstract":"Efforts to develop orally administered drugs tend to place an exceptional focus on aqueous solubility as this is an essential criterion for their absorption in the gastrointestinal tract. In this work we examine the solid state behavior and solubility of OZ439, a promising single-dose cure for malaria being developed as the highly water-soluble mesylate salt. The aqueous phase behavior of the OZ439 mesylate salt was determined using a combination of small angle neutron and X-ray scattering (SANS and SAXS, respectively). It was found that this salt has low solubility at low concentrations with the drug largely precipitated in free base aggregates. However, with increasing concentration these crystalline aggregates were observed to dissociate into cationic micelles and lamellar phases, effectively increasing the dissolved drug concentration. It was also found that the dissolved OZ439 spontaneously precipitated in the presence of biologically relevant anions, which we attribute to the high lattice energies of most of the salt forms of the drug. These findings show that aqueous solubility is not always what it seems in the context of amphiphilic drug molecules and highlights that its use as the principal metric in selecting drug candidates for development can be perilous.","author":[{"dropping-particle":"","family":"Clulow","given":"Andrew J.","non-dropping-particle":"","parse-names":false,"suffix":""},{"dropping-particle":"","family":"Salim","given":"Malinda","non-dropping-particle":"","parse-names":false,"suffix":""},{"dropping-particle":"","family":"Hawley","given":"Adrian","non-dropping-particle":"","parse-names":false,"suffix":""},{"dropping-particle":"","family":"Gilbert","given":"Elliot P.","non-dropping-particle":"","parse-names":false,"suffix":""},{"dropping-particle":"","family":"Boyd","given":"Ben J.","non-dropping-particle":"","parse-names":false,"suffix":""}],"container-title":"Molecular Pharmaceutics","id":"ITEM-1","issue":"5","issued":{"date-parts":[["2018"]]},"page":"2027-2035","title":"The Curious Case of the OZ439 Mesylate Salt: An Amphiphilic Antimalarial Drug with Diverse Solution and Solid State Structures","type":"article-journal","volume":"15"},"uris":["http://www.mendeley.com/documents/?uuid=1878e197-8490-4e21-883c-54a28d24bff6"]}],"mendeley":{"formattedCitation":"&lt;sup&gt;115&lt;/sup&gt;","plainTextFormattedCitation":"115","previouslyFormattedCitation":"&lt;sup&gt;115&lt;/sup&gt;"},"properties":{"noteIndex":0},"schema":"https://github.com/citation-style-language/schema/raw/master/csl-citation.json"}</w:instrText>
      </w:r>
      <w:r w:rsidR="00B47DD2"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115</w:t>
      </w:r>
      <w:r w:rsidR="00B47DD2" w:rsidRPr="00C07E8E">
        <w:rPr>
          <w:rStyle w:val="Hiperligao"/>
          <w:rFonts w:cs="Times New Roman"/>
          <w:color w:val="auto"/>
          <w:szCs w:val="22"/>
          <w:u w:val="none"/>
        </w:rPr>
        <w:fldChar w:fldCharType="end"/>
      </w:r>
      <w:r w:rsidR="005715BE" w:rsidRPr="00C07E8E">
        <w:rPr>
          <w:rFonts w:cs="Times New Roman"/>
          <w:color w:val="auto"/>
          <w:szCs w:val="22"/>
        </w:rPr>
        <w:t xml:space="preserve"> </w:t>
      </w:r>
    </w:p>
    <w:p w14:paraId="31F31834" w14:textId="182C4ADA" w:rsidR="00505EB2" w:rsidRPr="00C07E8E" w:rsidRDefault="00C07E8E" w:rsidP="00532D1D">
      <w:pPr>
        <w:rPr>
          <w:rStyle w:val="Hiperligao"/>
          <w:rFonts w:cs="Times New Roman"/>
          <w:color w:val="auto"/>
          <w:szCs w:val="22"/>
        </w:rPr>
      </w:pPr>
      <w:r w:rsidRPr="00C07E8E">
        <w:rPr>
          <w:rStyle w:val="Hiperligao"/>
          <w:rFonts w:cs="Times New Roman"/>
          <w:color w:val="auto"/>
          <w:szCs w:val="22"/>
          <w:u w:val="none"/>
        </w:rPr>
        <w:tab/>
        <w:t xml:space="preserve">Additional studies have been carried out on the effects of co-administration of </w:t>
      </w:r>
      <w:r w:rsidR="00774A37">
        <w:rPr>
          <w:rStyle w:val="Hiperligao"/>
          <w:rFonts w:cs="Times New Roman"/>
          <w:b/>
          <w:bCs/>
          <w:color w:val="auto"/>
          <w:szCs w:val="22"/>
          <w:u w:val="none"/>
        </w:rPr>
        <w:t>71</w:t>
      </w:r>
      <w:r w:rsidRPr="00C07E8E">
        <w:rPr>
          <w:rStyle w:val="Hiperligao"/>
          <w:rFonts w:cs="Times New Roman"/>
          <w:b/>
          <w:bCs/>
          <w:color w:val="auto"/>
          <w:szCs w:val="22"/>
          <w:u w:val="none"/>
        </w:rPr>
        <w:t xml:space="preserve"> </w:t>
      </w:r>
      <w:r w:rsidRPr="00C07E8E">
        <w:rPr>
          <w:rStyle w:val="Hiperligao"/>
          <w:rFonts w:cs="Times New Roman"/>
          <w:color w:val="auto"/>
          <w:szCs w:val="22"/>
          <w:u w:val="none"/>
        </w:rPr>
        <w:t xml:space="preserve">with milk with the hypothesis that co-administration would increase bioavailability of </w:t>
      </w:r>
      <w:r w:rsidR="00774A37">
        <w:rPr>
          <w:rStyle w:val="Hiperligao"/>
          <w:rFonts w:cs="Times New Roman"/>
          <w:b/>
          <w:bCs/>
          <w:color w:val="auto"/>
          <w:szCs w:val="22"/>
          <w:u w:val="none"/>
        </w:rPr>
        <w:t>71</w:t>
      </w:r>
      <w:r w:rsidR="003910EE" w:rsidRPr="00C07E8E">
        <w:rPr>
          <w:rStyle w:val="Hiperligao"/>
          <w:rFonts w:cs="Times New Roman"/>
          <w:b/>
          <w:bCs/>
          <w:color w:val="auto"/>
          <w:szCs w:val="22"/>
          <w:u w:val="none"/>
        </w:rPr>
        <w:t xml:space="preserve"> </w:t>
      </w:r>
      <w:r w:rsidR="003910EE" w:rsidRPr="00C07E8E">
        <w:rPr>
          <w:rStyle w:val="Hiperligao"/>
          <w:rFonts w:cs="Times New Roman"/>
          <w:color w:val="auto"/>
          <w:szCs w:val="22"/>
          <w:u w:val="none"/>
        </w:rPr>
        <w:t>similar to food effects seen in clinical trials</w:t>
      </w:r>
      <w:r w:rsidRPr="00C07E8E">
        <w:rPr>
          <w:rStyle w:val="Hiperligao"/>
          <w:rFonts w:cs="Times New Roman"/>
          <w:color w:val="auto"/>
          <w:szCs w:val="22"/>
          <w:u w:val="none"/>
        </w:rPr>
        <w:t>.</w:t>
      </w:r>
      <w:r w:rsidR="00B47DD2"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{"citationItems":[{"id":"ITEM-1","itemData":{"DOI":"10.1021/acs.molpharmaceut.8b00541","ISSN":"15438392","PMID":"29932660","abstract":"Milk has been used as a vehicle for the delivery of antimalarial drugs during clinical trials to test for a food effect and artefenomel (OZ439) showed enhanced oral bioavailability with milk. However, the nature of the interaction between milk and OZ439 in the gastrointestinal tract remains poorly understood. To understand the role of milk digestion on the solubilization of OZ439 and polymorphism, we conducted real-time monitoring of crystalline drug in suspension during in vitro intestinal lipolysis of milk containing OZ439 using synchrotron X-ray scattering. OZ439 formed an unstable solid-state intermediate free base form (OZ439-FB form 1) at intestinal pH and was partially solubilized by milk fat globules prior to lipolysis. Dissolution of the free base form 1 and recrystallization of OZ439 in a more stable polymorphic form (OZ439-FB form 2) occurred during in vitro lipolysis in milk. Simply stirring the milk/drug suspension in the absence of lipase or addition of lipase to OZ439 in a lipid-free buffer did not induce this polymorphic transformation. The formation of OZ439-FB form 2 was therefore accelerated by the solubilization of OZ439-FB form 1 during the digestion of milk. Our findings confirmed that although crystalline precipitates of OZ439-FB form 2 could still be detected after in vitro digestion, milk-based lipid formulations provided a significant reduction in crystalline OZ439 compared to lipid-free formulations, which we attribute to the formation of colloidal structures by the digested milk lipids. Milk may therefore be particularly suited as a form of lipid-based formulation (LBF) for coadministration with OZ439, from which both an enhancement in OZ439 oral bioavailability and the delivery of essential nutrients should result.","author":[{"dropping-particle":"","family":"Salim","given":"Malinda","non-dropping-particle":"","parse-names":false,"suffix":""},{"dropping-particle":"","family":"Khan","given":"Jamal","non-dropping-particle":"","parse-names":false,"suffix":""},{"dropping-particle":"","family":"Ramirez","given":"Gisela","non-dropping-particle":"","parse-names":false,"suffix":""},{"dropping-particle":"","family":"Clulow","given":"Andrew J.","non-dropping-particle":"","parse-names":false,"suffix":""},{"dropping-particle":"","family":"Hawley","given":"Adrian","non-dropping-particle":"","parse-names":false,"suffix":""},{"dropping-particle":"","family":"Ramachandruni","given":"Hanu","non-dropping-particle":"","parse-names":false,"suffix":""},{"dropping-particle":"","family":"Boyd","given":"Ben J.","non-dropping-particle":"","parse-names":false,"suffix":""}],"container-title":"Molecular Pharmaceutics","id":"ITEM-1","issue":"8","issued":{"date-parts":[["2018"]]},"page":"3535-3544","title":"Interactions of Artefenomel (OZ439) with Milk during Digestion: Insights into Digestion-Driven Solubilization and Polymorphic Transformations","type":"article-journal","volume":"15"},"uris":["http://www.mendeley.com/documents/?uuid=77f39444-81fb-4c80-985f-0b7ae705eb10"]},{"id":"ITEM-2","itemData":{"DOI":"10.1111/j.1365-2125.2012.04368.x","ISSN":"13652125","PMID":"22759078","abstract":"Aims: To assess the safety and pharmacokinetics of a new synthetic ozonide antimalarial, OZ439, in a first-in-man, double-blind study in healthy volunteers. Methods: OZ439 was administered as single oral daily doses of a capsule formulation (50-1200mg) or an oral dispersion (400-1600mg, fed and fasted states) and for up to 3 days as an oral dispersion (200-800mg day-1). Plasma concentrations of OZ439 and its metabolites were measured by LC-MS. Results: The pharmacokinetic (PK) profile of OZ439 was characterized by a tmax of around 3h, followed by a multiphasic profile with a terminal half-life of 25-30h. The PK parameters were approximately dose proportional for each group and profiles of the metabolites followed a similar pattern to that of the parent compound. Following dosing for 3 days, accumulation was less than two-fold but steady-state was not achieved. In the presence of food, no effect was observed on the t1/2 of OZ439 while the exposure was increased by 3 to 4.5-fold. Exposure was higher and inter-subject variability was reduced when OZ439 was administered as an oral dispersion compared with a capsule. The urinary clearance of OZ439 and its metabolites was found to be negligible and OZ439 did not induce CYP3A4. The antimalarial activity profiles of a subset of serum samples suggested that the major antimalarial activity originated from OZ439 rather than from any of the metabolites. Conclusion: The safety and pharmacokinetic profile of OZ439 merits progression to phase 2a proof of concept studies in the target population of acute uncomplicated malaria. © 2012 The British Pharmacological Society.","author":[{"dropping-particle":"","family":"Moehrle","given":"Joerg J.","non-dropping-particle":"","parse-names":false,"suffix":""},{"dropping-particle":"","family":"Duparc","given":"Stephan","non-dropping-particle":"","parse-names":false,"suffix":""},{"dropping-particle":"","family":"Siethoff","given":"Christoph","non-dropping-particle":"","parse-names":false,"suffix":""},{"dropping-particle":"","family":"Giersbergen","given":"Paul L.M.","non-dropping-particle":"van","parse-names":false,"suffix":""},{"dropping-particle":"","family":"Craft","given":"J. Carl","non-dropping-particle":"","parse-names":false,"suffix":""},{"dropping-particle":"","family":"Arbe-Barnes","given":"Sarah","non-dropping-particle":"","parse-names":false,"suffix":""},{"dropping-particle":"","family":"Charman","given":"Susan A.","non-dropping-particle":"","parse-names":false,"suffix":""},{"dropping-particle":"","family":"Gutierrez","given":"Maria","non-dropping-particle":"","parse-names":false,"suffix":""},{"dropping-particle":"","family":"Wittlin","given":"Sergio","non-dropping-particle":"","parse-names":false,"suffix":""},{"dropping-particle":"","family":"Vennerstrom","given":"Jonathan L.","non-dropping-particle":"","parse-names":false,"suffix":""}],"container-title":"British Journal of Clinical Pharmacology","id":"ITEM-2","issue":"2","issued":{"date-parts":[["2013"]]},"page":"535-548","title":"First-in-man safety and pharmacokinetics of synthetic ozonide OZ439 demonstrates an improved exposure profile relative to other peroxide antimalarials","type":"article-journal","volume":"75"},"uris":["http://www.mendeley.com/documents/?uuid=fe59797f-08f6-4859-82c3-819cd1465c91","http://www.mendeley.com/documents/?uuid=40379644-d320-4636-a821-225f53c581d4"]}],"mendeley":{"formattedCitation":"&lt;sup&gt;110,116&lt;/sup&gt;","plainTextFormattedCitation":"110,116","previouslyFormattedCitation":"&lt;sup&gt;110,116&lt;/sup&gt;"},"properties":{"noteIndex":0},"schema":"https://github.com/citation-style-language/schema/raw/master/csl-citation.json"}</w:instrText>
      </w:r>
      <w:r w:rsidR="00B47DD2"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110,116</w:t>
      </w:r>
      <w:r w:rsidR="00B47DD2" w:rsidRPr="00C07E8E">
        <w:rPr>
          <w:rStyle w:val="Hiperligao"/>
          <w:rFonts w:cs="Times New Roman"/>
          <w:color w:val="auto"/>
          <w:szCs w:val="22"/>
          <w:u w:val="none"/>
        </w:rPr>
        <w:fldChar w:fldCharType="end"/>
      </w:r>
      <w:r w:rsidR="003910EE" w:rsidRPr="00C07E8E">
        <w:rPr>
          <w:rFonts w:cs="Times New Roman"/>
          <w:color w:val="auto"/>
          <w:szCs w:val="22"/>
        </w:rPr>
        <w:t xml:space="preserve"> </w:t>
      </w:r>
      <w:r w:rsidRPr="00C07E8E">
        <w:rPr>
          <w:rStyle w:val="Hiperligao"/>
          <w:rFonts w:cs="Times New Roman"/>
          <w:i/>
          <w:iCs/>
          <w:color w:val="auto"/>
          <w:szCs w:val="22"/>
          <w:u w:val="none"/>
        </w:rPr>
        <w:t xml:space="preserve">In vitro </w:t>
      </w:r>
      <w:r w:rsidRPr="00C07E8E">
        <w:rPr>
          <w:rStyle w:val="Hiperligao"/>
          <w:rFonts w:cs="Times New Roman"/>
          <w:color w:val="auto"/>
          <w:szCs w:val="22"/>
          <w:u w:val="none"/>
        </w:rPr>
        <w:t xml:space="preserve">studies simulating the administration of </w:t>
      </w:r>
      <w:r w:rsidR="00774A37">
        <w:rPr>
          <w:rStyle w:val="Hiperligao"/>
          <w:rFonts w:cs="Times New Roman"/>
          <w:b/>
          <w:bCs/>
          <w:color w:val="auto"/>
          <w:szCs w:val="22"/>
          <w:u w:val="none"/>
        </w:rPr>
        <w:t>71</w:t>
      </w:r>
      <w:r w:rsidRPr="00C07E8E">
        <w:rPr>
          <w:rStyle w:val="Hiperligao"/>
          <w:rFonts w:cs="Times New Roman"/>
          <w:b/>
          <w:bCs/>
          <w:color w:val="auto"/>
          <w:szCs w:val="22"/>
          <w:u w:val="none"/>
        </w:rPr>
        <w:t xml:space="preserve"> </w:t>
      </w:r>
      <w:r w:rsidRPr="00C07E8E">
        <w:rPr>
          <w:rStyle w:val="Hiperligao"/>
          <w:rFonts w:cs="Times New Roman"/>
          <w:color w:val="auto"/>
          <w:szCs w:val="22"/>
          <w:u w:val="none"/>
        </w:rPr>
        <w:t>and simultaneous digestion of milk showed that the first unstable free-base form was partially solubilised by milk lipids liberated during digestion thus accelerating the conversion to the more stable free-base form 2.</w:t>
      </w:r>
      <w:r w:rsidR="00B47DD2"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{"citationItems":[{"id":"ITEM-1","itemData":{"DOI":"10.1021/acs.molpharmaceut.8b00541","ISSN":"15438392","PMID":"29932660","abstract":"Milk has been used as a vehicle for the delivery of antimalarial drugs during clinical trials to test for a food effect and artefenomel (OZ439) showed enhanced oral bioavailability with milk. However, the nature of the interaction between milk and OZ439 in the gastrointestinal tract remains poorly understood. To understand the role of milk digestion on the solubilization of OZ439 and polymorphism, we conducted real-time monitoring of crystalline drug in suspension during in vitro intestinal lipolysis of milk containing OZ439 using synchrotron X-ray scattering. OZ439 formed an unstable solid-state intermediate free base form (OZ439-FB form 1) at intestinal pH and was partially solubilized by milk fat globules prior to lipolysis. Dissolution of the free base form 1 and recrystallization of OZ439 in a more stable polymorphic form (OZ439-FB form 2) occurred during in vitro lipolysis in milk. Simply stirring the milk/drug suspension in the absence of lipase or addition of lipase to OZ439 in a lipid-free buffer did not induce this polymorphic transformation. The formation of OZ439-FB form 2 was therefore accelerated by the solubilization of OZ439-FB form 1 during the digestion of milk. Our findings confirmed that although crystalline precipitates of OZ439-FB form 2 could still be detected after in vitro digestion, milk-based lipid formulations provided a significant reduction in crystalline OZ439 compared to lipid-free formulations, which we attribute to the formation of colloidal structures by the digested milk lipids. Milk may therefore be particularly suited as a form of lipid-based formulation (LBF) for coadministration with OZ439, from which both an enhancement in OZ439 oral bioavailability and the delivery of essential nutrients should result.","author":[{"dropping-particle":"","family":"Salim","given":"Malinda","non-dropping-particle":"","parse-names":false,"suffix":""},{"dropping-particle":"","family":"Khan","given":"Jamal","non-dropping-particle":"","parse-names":false,"suffix":""},{"dropping-particle":"","family":"Ramirez","given":"Gisela","non-dropping-particle":"","parse-names":false,"suffix":""},{"dropping-particle":"","family":"Clulow","given":"Andrew J.","non-dropping-particle":"","parse-names":false,"suffix":""},{"dropping-particle":"","family":"Hawley","given":"Adrian","non-dropping-particle":"","parse-names":false,"suffix":""},{"dropping-particle":"","family":"Ramachandruni","given":"Hanu","non-dropping-particle":"","parse-names":false,"suffix":""},{"dropping-particle":"","family":"Boyd","given":"Ben J.","non-dropping-particle":"","parse-names":false,"suffix":""}],"container-title":"Molecular Pharmaceutics","id":"ITEM-1","issue":"8","issued":{"date-parts":[["2018"]]},"page":"3535-3544","title":"Interactions of Artefenomel (OZ439) with Milk during Digestion: Insights into Digestion-Driven Solubilization and Polymorphic Transformations","type":"article-journal","volume":"15"},"uris":["http://www.mendeley.com/documents/?uuid=77f39444-81fb-4c80-985f-0b7ae705eb10"]}],"mendeley":{"formattedCitation":"&lt;sup&gt;116&lt;/sup&gt;","plainTextFormattedCitation":"116","previouslyFormattedCitation":"&lt;sup&gt;116&lt;/sup&gt;"},"properties":{"noteIndex":0},"schema":"https://github.com/citation-style-language/schema/raw/master/csl-citation.json"}</w:instrText>
      </w:r>
      <w:r w:rsidR="00B47DD2"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116</w:t>
      </w:r>
      <w:r w:rsidR="00B47DD2" w:rsidRPr="00C07E8E">
        <w:rPr>
          <w:rStyle w:val="Hiperligao"/>
          <w:rFonts w:cs="Times New Roman"/>
          <w:color w:val="auto"/>
          <w:szCs w:val="22"/>
          <w:u w:val="none"/>
        </w:rPr>
        <w:fldChar w:fldCharType="end"/>
      </w:r>
      <w:r w:rsidRPr="00C07E8E">
        <w:rPr>
          <w:rStyle w:val="Hiperligao"/>
          <w:rFonts w:cs="Times New Roman"/>
          <w:color w:val="auto"/>
          <w:szCs w:val="22"/>
          <w:u w:val="none"/>
        </w:rPr>
        <w:t xml:space="preserve"> Additionally, compared to lipid free administration, a lower amount of overall crystalline free-base form was observed</w:t>
      </w:r>
      <w:r w:rsidR="00A16C89">
        <w:rPr>
          <w:rStyle w:val="Hiperligao"/>
          <w:rFonts w:cs="Times New Roman"/>
          <w:color w:val="auto"/>
          <w:szCs w:val="22"/>
          <w:u w:val="none"/>
        </w:rPr>
        <w:t>,</w:t>
      </w:r>
      <w:r w:rsidRPr="00C07E8E">
        <w:rPr>
          <w:rStyle w:val="Hiperligao"/>
          <w:rFonts w:cs="Times New Roman"/>
          <w:color w:val="auto"/>
          <w:szCs w:val="22"/>
          <w:u w:val="none"/>
        </w:rPr>
        <w:t xml:space="preserve"> potentially due to formation of colloidal structures with digested l</w:t>
      </w:r>
      <w:r w:rsidR="003910EE" w:rsidRPr="00C07E8E">
        <w:rPr>
          <w:rStyle w:val="Hiperligao"/>
          <w:rFonts w:cs="Times New Roman"/>
          <w:color w:val="auto"/>
          <w:szCs w:val="22"/>
          <w:u w:val="none"/>
        </w:rPr>
        <w:t>ipids. Notably, these effects were not observed in the absence of lipid digestion</w:t>
      </w:r>
      <w:r w:rsidR="00B47DD2" w:rsidRPr="00C07E8E">
        <w:rPr>
          <w:rStyle w:val="Hiperligao"/>
          <w:rFonts w:cs="Times New Roman"/>
          <w:color w:val="auto"/>
          <w:szCs w:val="22"/>
          <w:u w:val="none"/>
        </w:rPr>
        <w:t>.</w:t>
      </w:r>
      <w:r w:rsidR="00B47DD2"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{"citationItems":[{"id":"ITEM-1","itemData":{"DOI":"10.1021/acs.molpharmaceut.8b00541","ISSN":"15438392","PMID":"29932660","abstract":"Milk has been used as a vehicle for the delivery of antimalarial drugs during clinical trials to test for a food effect and artefenomel (OZ439) showed enhanced oral bioavailability with milk. However, the nature of the interaction between milk and OZ439 in the gastrointestinal tract remains poorly understood. To understand the role of milk digestion on the solubilization of OZ439 and polymorphism, we conducted real-time monitoring of crystalline drug in suspension during in vitro intestinal lipolysis of milk containing OZ439 using synchrotron X-ray scattering. OZ439 formed an unstable solid-state intermediate free base form (OZ439-FB form 1) at intestinal pH and was partially solubilized by milk fat globules prior to lipolysis. Dissolution of the free base form 1 and recrystallization of OZ439 in a more stable polymorphic form (OZ439-FB form 2) occurred during in vitro lipolysis in milk. Simply stirring the milk/drug suspension in the absence of lipase or addition of lipase to OZ439 in a lipid-free buffer did not induce this polymorphic transformation. The formation of OZ439-FB form 2 was therefore accelerated by the solubilization of OZ439-FB form 1 during the digestion of milk. Our findings confirmed that although crystalline precipitates of OZ439-FB form 2 could still be detected after in vitro digestion, milk-based lipid formulations provided a significant reduction in crystalline OZ439 compared to lipid-free formulations, which we attribute to the formation of colloidal structures by the digested milk lipids. Milk may therefore be particularly suited as a form of lipid-based formulation (LBF) for coadministration with OZ439, from which both an enhancement in OZ439 oral bioavailability and the delivery of essential nutrients should result.","author":[{"dropping-particle":"","family":"Salim","given":"Malinda","non-dropping-particle":"","parse-names":false,"suffix":""},{"dropping-particle":"","family":"Khan","given":"Jamal","non-dropping-particle":"","parse-names":false,"suffix":""},{"dropping-particle":"","family":"Ramirez","given":"Gisela","non-dropping-particle":"","parse-names":false,"suffix":""},{"dropping-particle":"","family":"Clulow","given":"Andrew J.","non-dropping-particle":"","parse-names":false,"suffix":""},{"dropping-particle":"","family":"Hawley","given":"Adrian","non-dropping-particle":"","parse-names":false,"suffix":""},{"dropping-particle":"","family":"Ramachandruni","given":"Hanu","non-dropping-particle":"","parse-names":false,"suffix":""},{"dropping-particle":"","family":"Boyd","given":"Ben J.","non-dropping-particle":"","parse-names":false,"suffix":""}],"container-title":"Molecular Pharmaceutics","id":"ITEM-1","issue":"8","issued":{"date-parts":[["2018"]]},"page":"3535-3544","title":"Interactions of Artefenomel (OZ439) with Milk during Digestion: Insights into Digestion-Driven Solubilization and Polymorphic Transformations","type":"article-journal","volume":"15"},"uris":["http://www.mendeley.com/documents/?uuid=77f39444-81fb-4c80-985f-0b7ae705eb10"]}],"mendeley":{"formattedCitation":"&lt;sup&gt;116&lt;/sup&gt;","plainTextFormattedCitation":"116","previouslyFormattedCitation":"&lt;sup&gt;116&lt;/sup&gt;"},"properties":{"noteIndex":0},"schema":"https://github.com/citation-style-language/schema/raw/master/csl-citation.json"}</w:instrText>
      </w:r>
      <w:r w:rsidR="00B47DD2"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116</w:t>
      </w:r>
      <w:r w:rsidR="00B47DD2" w:rsidRPr="00C07E8E">
        <w:rPr>
          <w:rStyle w:val="Hiperligao"/>
          <w:rFonts w:cs="Times New Roman"/>
          <w:color w:val="auto"/>
          <w:szCs w:val="22"/>
          <w:u w:val="none"/>
        </w:rPr>
        <w:fldChar w:fldCharType="end"/>
      </w:r>
      <w:r w:rsidR="00B47DD2" w:rsidRPr="00C07E8E">
        <w:rPr>
          <w:rStyle w:val="Hiperligao"/>
          <w:rFonts w:cs="Times New Roman"/>
          <w:color w:val="auto"/>
          <w:szCs w:val="22"/>
          <w:u w:val="none"/>
        </w:rPr>
        <w:t xml:space="preserve"> </w:t>
      </w:r>
      <w:r w:rsidR="003910EE" w:rsidRPr="00C07E8E">
        <w:rPr>
          <w:rStyle w:val="Hiperligao"/>
          <w:rFonts w:cs="Times New Roman"/>
          <w:color w:val="auto"/>
          <w:szCs w:val="22"/>
          <w:u w:val="none"/>
        </w:rPr>
        <w:t xml:space="preserve">While co-administration with milk is promising for increased bioavailability during monotherapy, investigations into co-administration with Ferroquine and milk showed a reduced bioavailabily of </w:t>
      </w:r>
      <w:r w:rsidR="00774A37">
        <w:rPr>
          <w:rStyle w:val="Hiperligao"/>
          <w:rFonts w:cs="Times New Roman"/>
          <w:b/>
          <w:bCs/>
          <w:color w:val="auto"/>
          <w:szCs w:val="22"/>
          <w:u w:val="none"/>
        </w:rPr>
        <w:t>71</w:t>
      </w:r>
      <w:r w:rsidR="003910EE" w:rsidRPr="00C07E8E">
        <w:rPr>
          <w:rStyle w:val="Hiperligao"/>
          <w:rFonts w:cs="Times New Roman"/>
          <w:b/>
          <w:bCs/>
          <w:color w:val="auto"/>
          <w:szCs w:val="22"/>
          <w:u w:val="none"/>
        </w:rPr>
        <w:t xml:space="preserve"> </w:t>
      </w:r>
      <w:r w:rsidR="003910EE" w:rsidRPr="00C07E8E">
        <w:rPr>
          <w:rStyle w:val="Hiperligao"/>
          <w:rFonts w:cs="Times New Roman"/>
          <w:color w:val="auto"/>
          <w:szCs w:val="22"/>
          <w:u w:val="none"/>
        </w:rPr>
        <w:t xml:space="preserve">when Ferroquine is included in the assay. This was attributed to competitive binding of Ferroquine to digested milk products which decreases the barrier to dissolution of ferroquine while preventing dissolution of </w:t>
      </w:r>
      <w:r w:rsidR="00774A37">
        <w:rPr>
          <w:rStyle w:val="Hiperligao"/>
          <w:rFonts w:cs="Times New Roman"/>
          <w:b/>
          <w:bCs/>
          <w:color w:val="auto"/>
          <w:szCs w:val="22"/>
          <w:u w:val="none"/>
        </w:rPr>
        <w:t>71</w:t>
      </w:r>
      <w:r w:rsidR="00C70847" w:rsidRPr="00C07E8E">
        <w:rPr>
          <w:rStyle w:val="Hiperligao"/>
          <w:rFonts w:cs="Times New Roman"/>
          <w:color w:val="auto"/>
          <w:szCs w:val="22"/>
          <w:u w:val="none"/>
        </w:rPr>
        <w:t>.</w:t>
      </w:r>
      <w:r w:rsidR="00C70847" w:rsidRPr="00C07E8E">
        <w:rPr>
          <w:rStyle w:val="Hiperligao"/>
          <w:rFonts w:cs="Times New Roman"/>
          <w:color w:val="auto"/>
          <w:szCs w:val="22"/>
          <w:u w:val="none"/>
        </w:rPr>
        <w:fldChar w:fldCharType="begin" w:fldLock="1"/>
      </w:r>
      <w:r w:rsidR="00192B39">
        <w:rPr>
          <w:rStyle w:val="Hiperligao"/>
          <w:rFonts w:cs="Times New Roman"/>
          <w:color w:val="auto"/>
          <w:szCs w:val="22"/>
          <w:u w:val="none"/>
        </w:rPr>
        <w:instrText>ADDIN CSL_CITATION {"citationItems":[{"id":"ITEM-1","itemData":{"DOI":"10.1021/acs.molpharmaceut.8b01333","ISSN":"15438392","PMID":"30830789","abstract":"Milk is an attractive lipid-based formulation for the delivery of poorly water-soluble drugs to pediatric populations. We recently observed that solubilization of artefenomel (OZ439) during in vitro intestinal lipolysis was driven by digestion of triglycerides in full-cream bovine milk, reflecting the ability of milk to act as an enabling formulation in the clinic. However, when OZ439 was co-administered with a second antimalarial drug, ferroquine (FQ) the exposure of OZ439 was reduced. The current study therefore aimed to understand the impact of the presence of FQ on the solubilization of OZ439 in milk during in vitro intestinal digestion. Synchrotron small-angle X-ray scattering was used for in situ monitoring of drug solubilization (inferred via decreases in the intensity of drug diffraction peaks) and polymorphic transformations that occurred during the course of digestion. Quantification of the amount of each drug solubilized over time and analysis of their distributions across the separated phases of digested milk were determined using high-performance liquid chromatography. The results show that FQ reduced the solubilization of OZ439 during milk digestion, which may be due to competitive binding of FQ to the digested milk products. Interactions between the protonated FQ-H + and ionized liberated free fatty acids resulted in the formation of amorphous salts, which removes the low-energy crystalline state as a barrier to dissolution of FQ, while inhibiting the solubilization of OZ439. We conclude that although milk could enhance the solubilization of poorly water-soluble OZ439 during in vitro digestion principally due to the formation of fatty acids, the solubilization efficiency was reduced by the presence of FQ by competition for the available fatty acids. Assessment of the solubilization of both drugs during digestion of fixed-dose combination lipid formulations (such as milk) is important and may rationalize changes in bioavailability when compared to that of the individual drugs in the same formulation.","author":[{"dropping-particle":"","family":"Salim","given":"Malinda","non-dropping-particle":"","parse-names":false,"suffix":""},{"dropping-particle":"","family":"Khan","given":"Jamal","non-dropping-particle":"","parse-names":false,"suffix":""},{"dropping-particle":"","family":"Ramirez","given":"Gisela","non-dropping-particle":"","parse-names":false,"suffix":""},{"dropping-particle":"","family":"Murshed","given":"Mubtasim","non-dropping-particle":"","parse-names":false,"suffix":""},{"dropping-particle":"","family":"Clulow","given":"Andrew J.","non-dropping-particle":"","parse-names":false,"suffix":""},{"dropping-particle":"","family":"Hawley","given":"Adrian","non-dropping-particle":"","parse-names":false,"suffix":""},{"dropping-particle":"","family":"Ramachandruni","given":"Hanu","non-dropping-particle":"","parse-names":false,"suffix":""},{"dropping-particle":"","family":"Beilles","given":"Stephane","non-dropping-particle":"","parse-names":false,"suffix":""},{"dropping-particle":"","family":"Boyd","given":"Ben J.","non-dropping-particle":"","parse-names":false,"suffix":""}],"container-title":"Molecular Pharmaceutics","id":"ITEM-1","issue":"4","issued":{"date-parts":[["2019"]]},"page":"1658-1668","title":"Impact of Ferroquine on the Solubilization of Artefenomel (OZ439) during in Vitro Lipolysis in Milk and Implications for Oral Combination Therapy for Malaria","type":"article-journal","volume":"16"},"uris":["http://www.mendeley.com/documents/?uuid=81dd1318-c212-417d-9f3c-799e5914fa30"]}],"mendeley":{"formattedCitation":"&lt;sup&gt;117&lt;/sup&gt;","plainTextFormattedCitation":"117","previouslyFormattedCitation":"&lt;sup&gt;117&lt;/sup&gt;"},"properties":{"noteIndex":0},"schema":"https://github.com/citation-style-language/schema/raw/master/csl-citation.json"}</w:instrText>
      </w:r>
      <w:r w:rsidR="00C70847" w:rsidRPr="00C07E8E">
        <w:rPr>
          <w:rStyle w:val="Hiperligao"/>
          <w:rFonts w:cs="Times New Roman"/>
          <w:color w:val="auto"/>
          <w:szCs w:val="22"/>
          <w:u w:val="none"/>
        </w:rPr>
        <w:fldChar w:fldCharType="separate"/>
      </w:r>
      <w:r w:rsidR="00CA5C6A" w:rsidRPr="00CA5C6A">
        <w:rPr>
          <w:rStyle w:val="Hiperligao"/>
          <w:rFonts w:cs="Times New Roman"/>
          <w:noProof/>
          <w:color w:val="auto"/>
          <w:szCs w:val="22"/>
          <w:u w:val="none"/>
          <w:vertAlign w:val="superscript"/>
        </w:rPr>
        <w:t>117</w:t>
      </w:r>
      <w:r w:rsidR="00C70847" w:rsidRPr="00C07E8E">
        <w:rPr>
          <w:rStyle w:val="Hiperligao"/>
          <w:rFonts w:cs="Times New Roman"/>
          <w:color w:val="auto"/>
          <w:szCs w:val="22"/>
          <w:u w:val="none"/>
        </w:rPr>
        <w:fldChar w:fldCharType="end"/>
      </w:r>
    </w:p>
    <w:p w14:paraId="55F44ABF" w14:textId="764048AF" w:rsidR="00251197" w:rsidRDefault="00C07E8E" w:rsidP="00532D1D">
      <w:pPr>
        <w:rPr>
          <w:rFonts w:cs="Times New Roman"/>
          <w:color w:val="auto"/>
          <w:szCs w:val="22"/>
        </w:rPr>
      </w:pPr>
      <w:r w:rsidRPr="00C07E8E">
        <w:rPr>
          <w:rFonts w:cs="Times New Roman"/>
          <w:color w:val="auto"/>
          <w:szCs w:val="22"/>
        </w:rPr>
        <w:tab/>
        <w:t xml:space="preserve">As an amphiphilic molecule, </w:t>
      </w:r>
      <w:r w:rsidR="00774A37">
        <w:rPr>
          <w:rFonts w:cs="Times New Roman"/>
          <w:b/>
          <w:bCs/>
          <w:color w:val="auto"/>
          <w:szCs w:val="22"/>
        </w:rPr>
        <w:t>71</w:t>
      </w:r>
      <w:r w:rsidRPr="00C07E8E">
        <w:rPr>
          <w:rFonts w:cs="Times New Roman"/>
          <w:b/>
          <w:bCs/>
          <w:color w:val="auto"/>
          <w:szCs w:val="22"/>
        </w:rPr>
        <w:t xml:space="preserve"> </w:t>
      </w:r>
      <w:r w:rsidRPr="00C07E8E">
        <w:rPr>
          <w:rFonts w:cs="Times New Roman"/>
          <w:color w:val="auto"/>
          <w:szCs w:val="22"/>
        </w:rPr>
        <w:t>is a suitable candidate for nano-formulation and has been investigated as lyophilised and spray dried nanoparticles.</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{"citationItems":[{"id":"ITEM-1","itemData":{"DOI":"10.1021/acsinfecdis.7b00278","ISSN":"23738227","PMID":"29575888","abstract":"Malaria poses a major burden on human health and is becoming increasingly difficult to treat due to the development of antimalarial drug resistance. The resistance issue is further exacerbated by a lack of patient adherence to multi-day dosing regimens. This situation motivates the development of new antimalarial treatments that are less susceptible to the development of resistance. We have applied Flash NanoPrecipitation (FNP), a polymer-directed self-assembly process, to form stable, water-dispersible nanoparticles (NPs) of 50-400 nm in size containing OZ439, a poorly orally bioavailable but promising candidate for single-dose malaria treatment developed by Medicines for Malaria Venture (MMV). During the FNP process, a hydrophobic OZ439 oleate ion paired complex was formed and was encapsulated into NPs. Lyophilization conditions for the NP suspension were optimized to produce a dry powder. The in vitro release rates of OZ439 encapsulated in this powder were determined in biorelevant media and compared with the release rates of the unencapsulated drug. The OZ439 NPs exhibit a sustained release profile and several-fold higher release concentrations compared to that of the unencapsulated drug. In addition, XRD suggests the drug was stabilized into an amorphous form within the NPs, which may explain the improvement in dissolution kinetics. Formulating OZ439 into NPs in this way may be an important step toward developing a single-dose oral malaria therapeutic, and offers the possibility of reducing the amount of drug required per patient, lowering delivery costs, and improving dosing compliance.","author":[{"dropping-particle":"","family":"Lu","given":"Hoang D.","non-dropping-particle":"","parse-names":false,"suffix":""},{"dropping-particle":"","family":"Ristroph","given":"Kurt D.","non-dropping-particle":"","parse-names":false,"suffix":""},{"dropping-particle":"","family":"Dobrijevic","given":"Ellen L.K.","non-dropping-particle":"","parse-names":false,"suffix":""},{"dropping-particle":"","family":"Feng","given":"Jie","non-dropping-particle":"","parse-names":false,"suffix":""},{"dropping-particle":"","family":"McManus","given":"Simon A.","non-dropping-particle":"","parse-names":false,"suffix":""},{"dropping-particle":"","family":"Zhang","given":"Yingyue","non-dropping-particle":"","parse-names":false,"suffix":""},{"dropping-particle":"","family":"Mulhearn","given":"William D.","non-dropping-particle":"","parse-names":false,"suffix":""},{"dropping-particle":"","family":"Ramachandruni","given":"Hanu","non-dropping-particle":"","parse-names":false,"suffix":""},{"dropping-particle":"","family":"Patel","given":"Anil","non-dropping-particle":"","parse-names":false,"suffix":""},{"dropping-particle":"","family":"Prud'Homme","given":"Robert K.","non-dropping-particle":"","parse-names":false,"suffix":""}],"container-title":"ACS Infectious Diseases","id":"ITEM-1","issue":"6","issued":{"date-parts":[["2018"]]},"page":"970-979","title":"Encapsulation of OZ439 into Nanoparticles for Supersaturated Drug Release in Oral Malaria Therapy","type":"article-journal","volume":"4"},"uris":["http://www.mendeley.com/documents/?uuid=a6331335-07bf-4558-8a8d-1ae8cb0944aa","http://www.mendeley.com/documents/?uuid=8a34001b-39fd-46c3-b050-a7b699220df6"]},{"id":"ITEM-2","itemData":{"DOI":"10.1186/s12967-019-1849-8","ISSN":"14795876","PMID":"30902103","abstract":"Background: OZ439 is a new chemical entity which is active against drug-resistant malaria and shows potential as a single-dose cure. However, development of an oral formulation with desired exposure has proved problematic, as OZ439 is poorly soluble (BCS Class II drug). In order to be feasible for low and middle income countries (LMICs), any process to create or formulate such a therapeutic must be inexpensive at scale, and the resulting formulation must survive without refrigeration even in hot, humid climates. We here demonstrate the scalability and stability of a nanoparticle (NP) formulation of OZ439. Previously, we applied a combination of hydrophobic ion pairing and Flash NanoPrecipitation (FNP) to formulate OZ439 NPs 150 nm in diameter using the inexpensive stabilizer hydroxypropyl methylcellulose acetate succinate (HPMCAS). Lyophilization was used to process the NPs into a dry form, and the powder's in vitro solubilization was over tenfold higher than unprocessed OZ439. Methods: In this study, we optimize our previous formulation using a large-scale multi-inlet vortex mixer (MIVM). Spray drying is a more scalable and less expensive operation than lyophilization and is, therefore, optimized to produce dry powders. The spray dried powders are then subjected to a series of accelerated aging stability trials at high temperature and humidity conditions. Results: The spray dried OZ439 powder's dissolution kinetics are superior to those of lyophilized NPs. The powder's OZ439 solubilization profile remains constant after 1 month in uncapped vials in an oven at 50 °C and 75% RH, and for 6 months in capped vials at 40 °C and 75% RH. In fasted-state intestinal fluid, spray dried NPs achieved 80-85% OZ439 dissolution, to a concentration of 430 μg/mL, within 3 h. In fed-state intestinal fluid, 95-100% OZ439 dissolution is achieved within 1 h, to a concentration of 535 μg/mL. X-ray powder diffraction and differential scanning calorimetry profiles similarly remain constant over these periods. Conclusions: The combined nanofabrication and drying process described herein, which utilizes two continuous unit operations that can be operated at scale, is an important step toward an industrially-relevant method of formulating the antimalarial OZ439 into a single-dose oral form with good stability against humidity and temperature.","author":[{"dropping-particle":"","family":"Ristroph","given":"Kurt D.","non-dropping-particle":"","parse-names":false,"suffix":""},{"dropping-particle":"","family":"Feng","given":"Jie","non-dropping-particle":"","parse-names":false,"suffix":""},{"dropping-particle":"","family":"McManus","given":"Simon A.","non-dropping-particle":"","parse-names":false,"suffix":""},{"dropping-particle":"","family":"Zhang","given":"Yingyue","non-dropping-particle":"","parse-names":false,"suffix":""},{"dropping-particle":"","family":"Gong","given":"Kai","non-dropping-particle":"","parse-names":false,"suffix":""},{"dropping-particle":"","family":"Ramachandruni","given":"Hanu","non-dropping-particle":"","parse-names":false,"suffix":""},{"dropping-particle":"","family":"White","given":"Claire E.","non-dropping-particle":"","parse-names":false,"suffix":""},{"dropping-particle":"","family":"Prud'Homme","given":"Robert K.","non-dropping-particle":"","parse-names":false,"suffix":""}],"container-title":"Journal of Translational Medicine","id":"ITEM-2","issue":"1","issued":{"date-parts":[["2019"]]},"page":"97","title":"Spray drying OZ439 nanoparticles to form stable, water-dispersible powders for oral malaria therapy","type":"article-journal","volume":"17"},"uris":["http://www.mendeley.com/documents/?uuid=f30042c6-032d-4183-ab65-c42f1a70d525","http://www.mendeley.com/documents/?uuid=3fefa485-1a70-410c-89bd-824ffe1ffeec"]}],"mendeley":{"formattedCitation":"&lt;sup&gt;118,119&lt;/sup&gt;","plainTextFormattedCitation":"118,119","previouslyFormattedCitation":"&lt;sup&gt;118,119&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118,119</w:t>
      </w:r>
      <w:r w:rsidR="00283BD7" w:rsidRPr="00C07E8E">
        <w:rPr>
          <w:rFonts w:cs="Times New Roman"/>
          <w:color w:val="auto"/>
          <w:szCs w:val="22"/>
        </w:rPr>
        <w:fldChar w:fldCharType="end"/>
      </w:r>
      <w:r w:rsidRPr="00C07E8E">
        <w:rPr>
          <w:rFonts w:cs="Times New Roman"/>
          <w:color w:val="auto"/>
          <w:szCs w:val="22"/>
        </w:rPr>
        <w:t xml:space="preserve"> The parent drug and prepared nanoparticles have been assessed for solubility and release characteristics in fasted and fed state simulated intestinal fluid (FaSSIF and FeSSIF respectively). The parent drug was found to possess poor solubility in FaSSIF conditions while both prepared nanoparticles showing similar solubilisation trends in both FeSSIF and FaSSIF conditions</w:t>
      </w:r>
      <w:r w:rsidR="008D07B1" w:rsidRPr="00C07E8E">
        <w:rPr>
          <w:rFonts w:cs="Times New Roman"/>
          <w:color w:val="auto"/>
          <w:szCs w:val="22"/>
        </w:rPr>
        <w:t>.</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{"citationItems":[{"id":"ITEM-1","itemData":{"DOI":"10.1021/acsinfecdis.7b00278","ISSN":"23738227","PMID":"29575888","abstract":"Malaria poses a major burden on human health and is becoming increasingly difficult to treat due to the development of antimalarial drug resistance. The resistance issue is further exacerbated by a lack of patient adherence to multi-day dosing regimens. This situation motivates the development of new antimalarial treatments that are less susceptible to the development of resistance. We have applied Flash NanoPrecipitation (FNP), a polymer-directed self-assembly process, to form stable, water-dispersible nanoparticles (NPs) of 50-400 nm in size containing OZ439, a poorly orally bioavailable but promising candidate for single-dose malaria treatment developed by Medicines for Malaria Venture (MMV). During the FNP process, a hydrophobic OZ439 oleate ion paired complex was formed and was encapsulated into NPs. Lyophilization conditions for the NP suspension were optimized to produce a dry powder. The in vitro release rates of OZ439 encapsulated in this powder were determined in biorelevant media and compared with the release rates of the unencapsulated drug. The OZ439 NPs exhibit a sustained release profile and several-fold higher release concentrations compared to that of the unencapsulated drug. In addition, XRD suggests the drug was stabilized into an amorphous form within the NPs, which may explain the improvement in dissolution kinetics. Formulating OZ439 into NPs in this way may be an important step toward developing a single-dose oral malaria therapeutic, and offers the possibility of reducing the amount of drug required per patient, lowering delivery costs, and improving dosing compliance.","author":[{"dropping-particle":"","family":"Lu","given":"Hoang D.","non-dropping-particle":"","parse-names":false,"suffix":""},{"dropping-particle":"","family":"Ristroph","given":"Kurt D.","non-dropping-particle":"","parse-names":false,"suffix":""},{"dropping-particle":"","family":"Dobrijevic","given":"Ellen L.K.","non-dropping-particle":"","parse-names":false,"suffix":""},{"dropping-particle":"","family":"Feng","given":"Jie","non-dropping-particle":"","parse-names":false,"suffix":""},{"dropping-particle":"","family":"McManus","given":"Simon A.","non-dropping-particle":"","parse-names":false,"suffix":""},{"dropping-particle":"","family":"Zhang","given":"Yingyue","non-dropping-particle":"","parse-names":false,"suffix":""},{"dropping-particle":"","family":"Mulhearn","given":"William D.","non-dropping-particle":"","parse-names":false,"suffix":""},{"dropping-particle":"","family":"Ramachandruni","given":"Hanu","non-dropping-particle":"","parse-names":false,"suffix":""},{"dropping-particle":"","family":"Patel","given":"Anil","non-dropping-particle":"","parse-names":false,"suffix":""},{"dropping-particle":"","family":"Prud'Homme","given":"Robert K.","non-dropping-particle":"","parse-names":false,"suffix":""}],"container-title":"ACS Infectious Diseases","id":"ITEM-1","issue":"6","issued":{"date-parts":[["2018"]]},"page":"970-979","title":"Encapsulation of OZ439 into Nanoparticles for Supersaturated Drug Release in Oral Malaria Therapy","type":"article-journal","volume":"4"},"uris":["http://www.mendeley.com/documents/?uuid=8a34001b-39fd-46c3-b050-a7b699220df6","http://www.mendeley.com/documents/?uuid=a6331335-07bf-4558-8a8d-1ae8cb0944aa"]},{"id":"ITEM-2","itemData":{"DOI":"10.1186/s12967-019-1849-8","ISSN":"14795876","PMID":"30902103","abstract":"Background: OZ439 is a new chemical entity which is active against drug-resistant malaria and shows potential as a single-dose cure. However, development of an oral formulation with desired exposure has proved problematic, as OZ439 is poorly soluble (BCS Class II drug). In order to be feasible for low and middle income countries (LMICs), any process to create or formulate such a therapeutic must be inexpensive at scale, and the resulting formulation must survive without refrigeration even in hot, humid climates. We here demonstrate the scalability and stability of a nanoparticle (NP) formulation of OZ439. Previously, we applied a combination of hydrophobic ion pairing and Flash NanoPrecipitation (FNP) to formulate OZ439 NPs 150 nm in diameter using the inexpensive stabilizer hydroxypropyl methylcellulose acetate succinate (HPMCAS). Lyophilization was used to process the NPs into a dry form, and the powder's in vitro solubilization was over tenfold higher than unprocessed OZ439. Methods: In this study, we optimize our previous formulation using a large-scale multi-inlet vortex mixer (MIVM). Spray drying is a more scalable and less expensive operation than lyophilization and is, therefore, optimized to produce dry powders. The spray dried powders are then subjected to a series of accelerated aging stability trials at high temperature and humidity conditions. Results: The spray dried OZ439 powder's dissolution kinetics are superior to those of lyophilized NPs. The powder's OZ439 solubilization profile remains constant after 1 month in uncapped vials in an oven at 50 °C and 75% RH, and for 6 months in capped vials at 40 °C and 75% RH. In fasted-state intestinal fluid, spray dried NPs achieved 80-85% OZ439 dissolution, to a concentration of 430 μg/mL, within 3 h. In fed-state intestinal fluid, 95-100% OZ439 dissolution is achieved within 1 h, to a concentration of 535 μg/mL. X-ray powder diffraction and differential scanning calorimetry profiles similarly remain constant over these periods. Conclusions: The combined nanofabrication and drying process described herein, which utilizes two continuous unit operations that can be operated at scale, is an important step toward an industrially-relevant method of formulating the antimalarial OZ439 into a single-dose oral form with good stability against humidity and temperature.","author":[{"dropping-particle":"","family":"Ristroph","given":"Kurt D.","non-dropping-particle":"","parse-names":false,"suffix":""},{"dropping-particle":"","family":"Feng","given":"Jie","non-dropping-particle":"","parse-names":false,"suffix":""},{"dropping-particle":"","family":"McManus","given":"Simon A.","non-dropping-particle":"","parse-names":false,"suffix":""},{"dropping-particle":"","family":"Zhang","given":"Yingyue","non-dropping-particle":"","parse-names":false,"suffix":""},{"dropping-particle":"","family":"Gong","given":"Kai","non-dropping-particle":"","parse-names":false,"suffix":""},{"dropping-particle":"","family":"Ramachandruni","given":"Hanu","non-dropping-particle":"","parse-names":false,"suffix":""},{"dropping-particle":"","family":"White","given":"Claire E.","non-dropping-particle":"","parse-names":false,"suffix":""},{"dropping-particle":"","family":"Prud'Homme","given":"Robert K.","non-dropping-particle":"","parse-names":false,"suffix":""}],"container-title":"Journal of Translational Medicine","id":"ITEM-2","issue":"1","issued":{"date-parts":[["2019"]]},"page":"97","title":"Spray drying OZ439 nanoparticles to form stable, water-dispersible powders for oral malaria therapy","type":"article-journal","volume":"17"},"uris":["http://www.mendeley.com/documents/?uuid=3fefa485-1a70-410c-89bd-824ffe1ffeec","http://www.mendeley.com/documents/?uuid=f30042c6-032d-4183-ab65-c42f1a70d525","http://www.mendeley.com/documents/?uuid=34206831-07f5-4fc5-9a8b-b29ba6f07a1a"]}],"mendeley":{"formattedCitation":"&lt;sup&gt;118,119&lt;/sup&gt;","plainTextFormattedCitation":"118,119","previouslyFormattedCitation":"&lt;sup&gt;118,119&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118,119</w:t>
      </w:r>
      <w:r w:rsidR="00283BD7" w:rsidRPr="00C07E8E">
        <w:rPr>
          <w:rFonts w:cs="Times New Roman"/>
          <w:color w:val="auto"/>
          <w:szCs w:val="22"/>
        </w:rPr>
        <w:fldChar w:fldCharType="end"/>
      </w:r>
      <w:r w:rsidR="008D07B1" w:rsidRPr="00C07E8E">
        <w:rPr>
          <w:rFonts w:cs="Times New Roman"/>
          <w:color w:val="auto"/>
          <w:szCs w:val="22"/>
        </w:rPr>
        <w:t xml:space="preserve"> Between the two formulations, the spray dried formulation displayed greater solubilisation and has the advantage of being more feasible for scalable production.</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{"citationItems":[{"id":"ITEM-1","itemData":{"DOI":"10.1186/s12967-019-1849-8","ISSN":"14795876","PMID":"30902103","abstract":"Background: OZ439 is a new chemical entity which is active against drug-resistant malaria and shows potential as a single-dose cure. However, development of an oral formulation with desired exposure has proved problematic, as OZ439 is poorly soluble (BCS Class II drug). In order to be feasible for low and middle income countries (LMICs), any process to create or formulate such a therapeutic must be inexpensive at scale, and the resulting formulation must survive without refrigeration even in hot, humid climates. We here demonstrate the scalability and stability of a nanoparticle (NP) formulation of OZ439. Previously, we applied a combination of hydrophobic ion pairing and Flash NanoPrecipitation (FNP) to formulate OZ439 NPs 150 nm in diameter using the inexpensive stabilizer hydroxypropyl methylcellulose acetate succinate (HPMCAS). Lyophilization was used to process the NPs into a dry form, and the powder's in vitro solubilization was over tenfold higher than unprocessed OZ439. Methods: In this study, we optimize our previous formulation using a large-scale multi-inlet vortex mixer (MIVM). Spray drying is a more scalable and less expensive operation than lyophilization and is, therefore, optimized to produce dry powders. The spray dried powders are then subjected to a series of accelerated aging stability trials at high temperature and humidity conditions. Results: The spray dried OZ439 powder's dissolution kinetics are superior to those of lyophilized NPs. The powder's OZ439 solubilization profile remains constant after 1 month in uncapped vials in an oven at 50 °C and 75% RH, and for 6 months in capped vials at 40 °C and 75% RH. In fasted-state intestinal fluid, spray dried NPs achieved 80-85% OZ439 dissolution, to a concentration of 430 μg/mL, within 3 h. In fed-state intestinal fluid, 95-100% OZ439 dissolution is achieved within 1 h, to a concentration of 535 μg/mL. X-ray powder diffraction and differential scanning calorimetry profiles similarly remain constant over these periods. Conclusions: The combined nanofabrication and drying process described herein, which utilizes two continuous unit operations that can be operated at scale, is an important step toward an industrially-relevant method of formulating the antimalarial OZ439 into a single-dose oral form with good stability against humidity and temperature.","author":[{"dropping-particle":"","family":"Ristroph","given":"Kurt D.","non-dropping-particle":"","parse-names":false,"suffix":""},{"dropping-particle":"","family":"Feng","given":"Jie","non-dropping-particle":"","parse-names":false,"suffix":""},{"dropping-particle":"","family":"McManus","given":"Simon A.","non-dropping-particle":"","parse-names":false,"suffix":""},{"dropping-particle":"","family":"Zhang","given":"Yingyue","non-dropping-particle":"","parse-names":false,"suffix":""},{"dropping-particle":"","family":"Gong","given":"Kai","non-dropping-particle":"","parse-names":false,"suffix":""},{"dropping-particle":"","family":"Ramachandruni","given":"Hanu","non-dropping-particle":"","parse-names":false,"suffix":""},{"dropping-particle":"","family":"White","given":"Claire E.","non-dropping-particle":"","parse-names":false,"suffix":""},{"dropping-particle":"","family":"Prud'Homme","given":"Robert K.","non-dropping-particle":"","parse-names":false,"suffix":""}],"container-title":"Journal of Translational Medicine","id":"ITEM-1","issue":"1","issued":{"date-parts":[["2019"]]},"page":"97","title":"Spray drying OZ439 nanoparticles to form stable, water-dispersible powders for oral malaria therapy","type":"article-journal","volume":"17"},"uris":["http://www.mendeley.com/documents/?uuid=3fefa485-1a70-410c-89bd-824ffe1ffeec","http://www.mendeley.com/documents/?uuid=f30042c6-032d-4183-ab65-c42f1a70d525"]}],"mendeley":{"formattedCitation":"&lt;sup&gt;119&lt;/sup&gt;","plainTextFormattedCitation":"119","previouslyFormattedCitation":"&lt;sup&gt;119&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119</w:t>
      </w:r>
      <w:r w:rsidR="00283BD7" w:rsidRPr="00C07E8E">
        <w:rPr>
          <w:rFonts w:cs="Times New Roman"/>
          <w:color w:val="auto"/>
          <w:szCs w:val="22"/>
        </w:rPr>
        <w:fldChar w:fldCharType="end"/>
      </w:r>
    </w:p>
    <w:p w14:paraId="340D9B2C" w14:textId="77777777" w:rsidR="000A17AF" w:rsidRPr="00C07E8E" w:rsidRDefault="000A17AF" w:rsidP="00532D1D">
      <w:pPr>
        <w:rPr>
          <w:rFonts w:cs="Times New Roman"/>
          <w:color w:val="auto"/>
          <w:szCs w:val="22"/>
        </w:rPr>
      </w:pPr>
    </w:p>
    <w:p w14:paraId="17E462A5" w14:textId="1B316A52" w:rsidR="00251197" w:rsidRPr="00C07E8E" w:rsidRDefault="00C07E8E" w:rsidP="00532D1D">
      <w:pPr>
        <w:pStyle w:val="Ttulo1"/>
        <w:numPr>
          <w:ilvl w:val="1"/>
          <w:numId w:val="3"/>
        </w:numPr>
        <w:rPr>
          <w:sz w:val="22"/>
          <w:szCs w:val="22"/>
        </w:rPr>
      </w:pPr>
      <w:r w:rsidRPr="00C07E8E">
        <w:rPr>
          <w:sz w:val="22"/>
          <w:szCs w:val="22"/>
        </w:rPr>
        <w:t xml:space="preserve"> Mechanism of </w:t>
      </w:r>
      <w:r w:rsidR="009361F8">
        <w:rPr>
          <w:sz w:val="22"/>
          <w:szCs w:val="22"/>
        </w:rPr>
        <w:t>a</w:t>
      </w:r>
      <w:r w:rsidR="009361F8" w:rsidRPr="00C07E8E">
        <w:rPr>
          <w:sz w:val="22"/>
          <w:szCs w:val="22"/>
        </w:rPr>
        <w:t xml:space="preserve">ction </w:t>
      </w:r>
      <w:r w:rsidRPr="00C07E8E">
        <w:rPr>
          <w:sz w:val="22"/>
          <w:szCs w:val="22"/>
        </w:rPr>
        <w:t>of dispiro</w:t>
      </w:r>
      <w:r w:rsidR="00D5222D" w:rsidRPr="00C07E8E">
        <w:rPr>
          <w:sz w:val="22"/>
          <w:szCs w:val="22"/>
        </w:rPr>
        <w:t>-</w:t>
      </w:r>
      <w:r w:rsidRPr="00C07E8E">
        <w:rPr>
          <w:sz w:val="22"/>
          <w:szCs w:val="22"/>
        </w:rPr>
        <w:t>1,2,4-trioxolanes</w:t>
      </w:r>
    </w:p>
    <w:p w14:paraId="2FA924F1" w14:textId="77777777" w:rsidR="0048714C" w:rsidRPr="00C07E8E" w:rsidRDefault="0048714C" w:rsidP="00532D1D">
      <w:pPr>
        <w:rPr>
          <w:szCs w:val="22"/>
        </w:rPr>
      </w:pPr>
    </w:p>
    <w:p w14:paraId="06FAF298" w14:textId="0E4E40F1" w:rsidR="00251197" w:rsidRPr="00C07E8E" w:rsidRDefault="00C07E8E" w:rsidP="00532D1D">
      <w:pPr>
        <w:rPr>
          <w:rFonts w:cs="Times New Roman"/>
          <w:b/>
          <w:bCs/>
          <w:color w:val="auto"/>
          <w:szCs w:val="22"/>
        </w:rPr>
      </w:pPr>
      <w:r w:rsidRPr="00C07E8E">
        <w:rPr>
          <w:rFonts w:cs="Times New Roman"/>
          <w:b/>
          <w:bCs/>
          <w:i/>
          <w:iCs/>
          <w:color w:val="auto"/>
          <w:szCs w:val="22"/>
        </w:rPr>
        <w:tab/>
      </w:r>
      <w:r w:rsidR="008A45FF" w:rsidRPr="00C07E8E">
        <w:rPr>
          <w:rFonts w:cs="Times New Roman"/>
          <w:color w:val="auto"/>
          <w:szCs w:val="22"/>
        </w:rPr>
        <w:t>I</w:t>
      </w:r>
      <w:r w:rsidRPr="00C07E8E">
        <w:rPr>
          <w:rFonts w:cs="Times New Roman"/>
          <w:color w:val="auto"/>
          <w:szCs w:val="22"/>
        </w:rPr>
        <w:t xml:space="preserve">n the ozonide class of antimalarials, inorganic </w:t>
      </w:r>
      <w:r w:rsidR="0048714C" w:rsidRPr="00C07E8E">
        <w:rPr>
          <w:rFonts w:cs="Times New Roman"/>
          <w:color w:val="auto"/>
          <w:szCs w:val="22"/>
        </w:rPr>
        <w:t>Fe(II)</w:t>
      </w:r>
      <w:r w:rsidRPr="00C07E8E">
        <w:rPr>
          <w:rFonts w:cs="Times New Roman"/>
          <w:color w:val="auto"/>
          <w:szCs w:val="22"/>
        </w:rPr>
        <w:t xml:space="preserve"> has been demonstrated to cleave the peroxide bond by preferential attack of the </w:t>
      </w:r>
      <w:r w:rsidRPr="00C07E8E">
        <w:rPr>
          <w:rFonts w:cs="Times New Roman"/>
          <w:b/>
          <w:bCs/>
          <w:color w:val="auto"/>
          <w:szCs w:val="22"/>
        </w:rPr>
        <w:t>O2</w:t>
      </w:r>
      <w:r w:rsidRPr="00C07E8E">
        <w:rPr>
          <w:rFonts w:cs="Times New Roman"/>
          <w:color w:val="auto"/>
          <w:szCs w:val="22"/>
        </w:rPr>
        <w:t xml:space="preserve"> oxygen atom, close to the spirocyclohexane substructure, which is less sterically hindered than the </w:t>
      </w:r>
      <w:r w:rsidRPr="00C07E8E">
        <w:rPr>
          <w:rFonts w:cs="Times New Roman"/>
          <w:b/>
          <w:bCs/>
          <w:color w:val="auto"/>
          <w:szCs w:val="22"/>
        </w:rPr>
        <w:t>O1</w:t>
      </w:r>
      <w:r w:rsidRPr="00C07E8E">
        <w:rPr>
          <w:rFonts w:cs="Times New Roman"/>
          <w:color w:val="auto"/>
          <w:szCs w:val="22"/>
        </w:rPr>
        <w:t xml:space="preserve"> oxygen atom, adjacent to the spiro-adamantane group.</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candidate","type":"article-journal","volume":"430"},"uris":["http://www.mendeley.com/documents/?uuid=4ebfa213-904f-43f9-a144-14645b59ad3c"]},{"id":"ITEM-2","itemData":{"DOI":"10.1021/jo050385+","ISSN":"00223263","PMID":"15960511","abstract":"Single electron reduction of the 1,2,4-trioxane heterocycle of artemisinin (1) forms primary and secondary carbon-centered radicals. The complex structure of 1 does not lend itself to a satisfactory dissection of the electronic and steric effects that influence the formation and subsequent reaction of these carbon-centered free radicals. To help demarcate these effects, we characterized the reactions of achiral dispiro-1,2,4-trioxolane 4 and dispiro-1,2,4-trioxanes 5-7 with ferrous bromide and 4-oxo-TEMPO. Our results suggest a small preference for attack of Fe(II) on the nonketal peroxide oxygen atom of 1. For 4, but not for 5 and 6, there was a strong preference for attack of Fe(II) on the less hindered peroxide bond oxygen atom. The steric hindrance afforded by a spiroadamantane in a five-membered trioxolane is evidently much greater than that for a corresponding six-membered trioxane. Unlike 1, 5-7 fragment by entropically favored β-scission pathways forming relatively stable α-oxa carbon-centered radicals. These data suggest that formation of either primary or secondary carbon-centered radicals is a necessary but insufficient criterion for antimalarial activity of 1 and synthetic peroxides. © 2005 American Chemical Society.","author":[{"dropping-particle":"","family":"Tang","given":"Yuanqing","non-dropping-particle":"","parse-names":false,"suffix":""},{"dropping-particle":"","family":"Dong","given":"Yuxiang","non-dropping-particle":"","parse-names":false,"suffix":""},{"dropping-particle":"","family":"Wang","given":"Xiaofang","non-dropping-particle":"","parse-names":false,"suffix":""},{"dropping-particle":"","family":"Sriraghavan","given":"Kamaraj","non-dropping-particle":"","parse-names":false,"suffix":""},{"dropping-particle":"","family":"Wood","given":"James K.","non-dropping-particle":"","parse-names":false,"suffix":""},{"dropping-particle":"","family":"Vennerstrom","given":"Jonathan L.","non-dropping-particle":"","parse-names":false,"suffix":""}],"container-title":"Journal of Organic Chemistry","id":"ITEM-2","issue":"13","issued":{"date-parts":[["2005"]]},"page":"5103-5110","title":"Dispiro-1,2,4-trioxane analogues of a prototype dispiro-1,2,4-trioxolane: Mechanistic comparators for artemisinin in the context of reaction pathways with iron(II)","type":"article-journal","volume":"70"},"uris":["http://www.mendeley.com/documents/?uuid=6472c006-7d3a-4ce1-9828-d093ef8bb43f","http://www.mendeley.com/documents/?uuid=73cc65aa-d2db-4169-be48-c1673738a7a6"]}],"mendeley":{"formattedCitation":"&lt;sup&gt;101,120&lt;/sup&gt;","plainTextFormattedCitation":"101,120","previouslyFormattedCitation":"&lt;sup&gt;101,120&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101,120</w:t>
      </w:r>
      <w:r w:rsidRPr="00C07E8E">
        <w:rPr>
          <w:rFonts w:cs="Times New Roman"/>
          <w:color w:val="auto"/>
          <w:szCs w:val="22"/>
        </w:rPr>
        <w:fldChar w:fldCharType="end"/>
      </w:r>
      <w:r w:rsidRPr="00C07E8E">
        <w:rPr>
          <w:rFonts w:cs="Times New Roman"/>
          <w:color w:val="auto"/>
          <w:szCs w:val="22"/>
        </w:rPr>
        <w:t xml:space="preserve"> Byproducts expected from the </w:t>
      </w:r>
      <w:r w:rsidRPr="00C07E8E">
        <w:rPr>
          <w:rFonts w:cs="Times New Roman"/>
          <w:b/>
          <w:bCs/>
          <w:color w:val="auto"/>
          <w:szCs w:val="22"/>
        </w:rPr>
        <w:t>O1</w:t>
      </w:r>
      <w:r w:rsidRPr="00C07E8E">
        <w:rPr>
          <w:rFonts w:cs="Times New Roman"/>
          <w:color w:val="auto"/>
          <w:szCs w:val="22"/>
        </w:rPr>
        <w:t xml:space="preserve"> oxygen attack in the ozonides are residual.</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{"citationItems":[{"id":"ITEM-1","itemData":{"DOI":"10.1021/jo050385+","ISSN":"00223263","PMID":"15960511","abstract":"Single electron reduction of the 1,2,4-trioxane heterocycle of artemisinin (1) forms primary and secondary carbon-centered radicals. The complex structure of 1 does not lend itself to a satisfactory dissection of the electronic and steric effects that influence the formation and subsequent reaction of these carbon-centered free radicals. To help demarcate these effects, we characterized the reactions of achiral dispiro-1,2,4-trioxolane 4 and dispiro-1,2,4-trioxanes 5-7 with ferrous bromide and 4-oxo-TEMPO. Our results suggest a small preference for attack of Fe(II) on the nonketal peroxide oxygen atom of 1. For 4, but not for 5 and 6, there was a strong preference for attack of Fe(II) on the less hindered peroxide bond oxygen atom. The steric hindrance afforded by a spiroadamantane in a five-membered trioxolane is evidently much greater than that for a corresponding six-membered trioxane. Unlike 1, 5-7 fragment by entropically favored β-scission pathways forming relatively stable α-oxa carbon-centered radicals. These data suggest that formation of either primary or secondary carbon-centered radicals is a necessary but insufficient criterion for antimalarial activity of 1 and synthetic peroxides. © 2005 American Chemical Society.","author":[{"dropping-particle":"","family":"Tang","given":"Yuanqing","non-dropping-particle":"","parse-names":false,"suffix":""},{"dropping-particle":"","family":"Dong","given":"Yuxiang","non-dropping-particle":"","parse-names":false,"suffix":""},{"dropping-particle":"","family":"Wang","given":"Xiaofang","non-dropping-particle":"","parse-names":false,"suffix":""},{"dropping-particle":"","family":"Sriraghavan","given":"Kamaraj","non-dropping-particle":"","parse-names":false,"suffix":""},{"dropping-particle":"","family":"Wood","given":"James K.","non-dropping-particle":"","parse-names":false,"suffix":""},{"dropping-particle":"","family":"Vennerstrom","given":"Jonathan L.","non-dropping-particle":"","parse-names":false,"suffix":""}],"container-title":"Journal of Organic Chemistry","id":"ITEM-1","issue":"13","issued":{"date-parts":[["2005"]]},"page":"5103-5110","title":"Dispiro-1,2,4-trioxane analogues of a prototype dispiro-1,2,4-trioxolane: Mechanistic comparators for artemisinin in the context of reaction pathways with iron(II)","type":"article-journal","volume":"70"},"uris":["http://www.mendeley.com/documents/?uuid=73cc65aa-d2db-4169-be48-c1673738a7a6","http://www.mendeley.com/documents/?uuid=6472c006-7d3a-4ce1-9828-d093ef8bb43f"]}],"mendeley":{"formattedCitation":"&lt;sup&gt;120&lt;/sup&gt;","plainTextFormattedCitation":"120","previouslyFormattedCitation":"&lt;sup&gt;120&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120</w:t>
      </w:r>
      <w:r w:rsidRPr="00C07E8E">
        <w:rPr>
          <w:rFonts w:cs="Times New Roman"/>
          <w:color w:val="auto"/>
          <w:szCs w:val="22"/>
        </w:rPr>
        <w:fldChar w:fldCharType="end"/>
      </w:r>
      <w:r w:rsidRPr="00C07E8E">
        <w:rPr>
          <w:rFonts w:cs="Times New Roman"/>
          <w:color w:val="auto"/>
          <w:szCs w:val="22"/>
        </w:rPr>
        <w:t xml:space="preserve"> Mechanistic studies using Fe(OAc)</w:t>
      </w:r>
      <w:r w:rsidRPr="00C07E8E">
        <w:rPr>
          <w:rFonts w:cs="Times New Roman"/>
          <w:color w:val="auto"/>
          <w:szCs w:val="22"/>
          <w:vertAlign w:val="subscript"/>
        </w:rPr>
        <w:t>2</w:t>
      </w:r>
      <w:r w:rsidRPr="00C07E8E">
        <w:rPr>
          <w:rFonts w:cs="Times New Roman"/>
          <w:color w:val="auto"/>
          <w:szCs w:val="22"/>
        </w:rPr>
        <w:t xml:space="preserve"> were performed on the active spiro-adamantanyl-1,2,4-trioxolane </w:t>
      </w:r>
      <w:r w:rsidR="00076EFC" w:rsidRPr="00C07E8E">
        <w:rPr>
          <w:rFonts w:cs="Times New Roman"/>
          <w:b/>
          <w:bCs/>
          <w:color w:val="auto"/>
          <w:szCs w:val="22"/>
        </w:rPr>
        <w:t>7</w:t>
      </w:r>
      <w:r w:rsidR="00774A37">
        <w:rPr>
          <w:rFonts w:cs="Times New Roman"/>
          <w:b/>
          <w:bCs/>
          <w:color w:val="auto"/>
          <w:szCs w:val="22"/>
        </w:rPr>
        <w:t>9</w:t>
      </w:r>
      <w:r w:rsidRPr="00C07E8E">
        <w:rPr>
          <w:rFonts w:cs="Times New Roman"/>
          <w:color w:val="auto"/>
          <w:szCs w:val="22"/>
        </w:rPr>
        <w:t xml:space="preserve"> (with the core substructure of OZ277</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101</w:t>
      </w:r>
      <w:r w:rsidRPr="00C07E8E">
        <w:rPr>
          <w:rFonts w:cs="Times New Roman"/>
          <w:color w:val="auto"/>
          <w:szCs w:val="22"/>
        </w:rPr>
        <w:fldChar w:fldCharType="end"/>
      </w:r>
      <w:r w:rsidRPr="00C07E8E">
        <w:rPr>
          <w:rFonts w:cs="Times New Roman"/>
          <w:color w:val="auto"/>
          <w:szCs w:val="22"/>
        </w:rPr>
        <w:t xml:space="preserve"> and OZ439</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{"citationItems":[{"id":"ITEM-1","itemData":{"DOI":"10.1073/pnas.1015762108","ISSN":"00278424","PMID":"21300861","abstract":"Ozonide OZ439 is a synthetic peroxide antimalarial drug candidate designed to provide a single-dose oral cure in humans. OZ439 has successfully completed Phase I clinical trials, where it was shown to be safe at doses up to 1,600 mg and is currently undergoing Phase IIa trials in malaria patients. Herein, we describe the discovery of OZ439 and the exceptional antimalarial and pharmacokinetic properties that led to its selection as a clinical drug development candidate. In vitro, OZ439 is fast-acting against all asexual erythrocytic Plasmodium falciparum stages with IC50 values comparable to those for the clinically used artemisinin derivatives. Unlike all other synthetic peroxides and semisynthetic artemisinin derivatives, OZ439 completely cures Plasmodium berghei-infected mice with a single oral dose of 20 mg/kg and exhibits prophylactic activity superior to that of the benchmark chemoprophylactic agent, mefloquine. Compared with other peroxide-containing antimalarial agents, such as the artemisinin derivatives and the first-generation ozonide OZ277, OZ439 exhibits a substantial increase in the pharmacokinetic half-life and blood concentration versus time profile in three preclinical species. The outstanding efficacy and prolonged blood concentrations of OZ439 are the result of a design strategy that stabilizes the intrinsically unstable pharmacophoric peroxide bond, thereby reducing clearance yet maintaining the necessary Fe (II)-reactivity to elicit parasite death.","author":[{"dropping-particle":"","family":"Charman","given":"Susan A.","non-dropping-particle":"","parse-names":false,"suffix":""},{"dropping-particle":"","family":"Arbe-Barnes","given":"Sarah","non-dropping-particle":"","parse-names":false,"suffix":""},{"dropping-particle":"","family":"Bathurst","given":"Ian C.","non-dropping-particle":"","parse-names":false,"suffix":""},{"dropping-particle":"","family":"Brund","given":"Reto","non-dropping-particle":"","parse-names":false,"suffix":""},{"dropping-particle":"","family":"Campbell","given":"Michael","non-dropping-particle":"","parse-names":false,"suffix":""},{"dropping-particle":"","family":"Charman","given":"William N.","non-dropping-particle":"","parse-names":false,"suffix":""},{"dropping-particle":"","family":"Chiu","given":"Francis C.K.","non-dropping-particle":"","parse-names":false,"suffix":""},{"dropping-particle":"","family":"Chollet","given":"Jacques","non-dropping-particle":"","parse-names":false,"suffix":""},{"dropping-particle":"","family":"Craft","given":"J. Carl","non-dropping-particle":"","parse-names":false,"suffix":""},{"dropping-particle":"","family":"Creek","given":"Darren J.","non-dropping-particle":"","parse-names":false,"suffix":""},{"dropping-particle":"","family":"Don","given":"Yuxiang","non-dropping-particle":"","parse-names":false,"suffix":""},{"dropping-particle":"","family":"Matile","given":"Hugues","non-dropping-particle":"","parse-names":false,"suffix":""},{"dropping-particle":"","family":"Maurer","given":"Melanie","non-dropping-particle":"","parse-names":false,"suffix":""},{"dropping-particle":"","family":"Morizzi","given":"Julia","non-dropping-particle":"","parse-names":false,"suffix":""},{"dropping-particle":"","family":"Nguyen","given":"Tien","non-dropping-particle":"","parse-names":false,"suffix":""},{"dropping-particle":"","family":"Papastogiannidis","given":"Petros","non-dropping-particle":"","parse-names":false,"suffix":""},{"dropping-particle":"","family":"Scheurer","given":"Christian","non-dropping-particle":"","parse-names":false,"suffix":""},{"dropping-particle":"","family":"Shackleford","given":"David M.","non-dropping-particle":"","parse-names":false,"suffix":""},{"dropping-particle":"","family":"Sriraghavan","given":"Kamaraj","non-dropping-particle":"","parse-names":false,"suffix":""},{"dropping-particle":"","family":"Stingelin","given":"Lukas","non-dropping-particle":"","parse-names":false,"suffix":""},{"dropping-particle":"","family":"Tang","given":"Yuanqing","non-dropping-particle":"","parse-names":false,"suffix":""},{"dropping-particle":"","family":"Urwyler","given":"Heinrich","non-dropping-particle":"","parse-names":false,"suffix":""},{"dropping-particle":"","family":"Wang","given":"Xiaofang","non-dropping-particle":"","parse-names":false,"suffix":""},{"dropping-particle":"","family":"White","given":"Karen L.","non-dropping-particle":"","parse-names":false,"suffix":""},{"dropping-particle":"","family":"Wittlin","given":"Sergio","non-dropping-particle":"","parse-names":false,"suffix":""},{"dropping-particle":"","family":"Zhou","given":"Lin","non-dropping-particle":"","parse-names":false,"suffix":""},{"dropping-particle":"","family":"Vennerstrom","given":"Jonathan L.","non-dropping-particle":"","parse-names":false,"suffix":""}],"container-title":"Proceedings of the National Academy of Sciences of the United States of America","id":"ITEM-1","issue":"11","issued":{"date-parts":[["2011"]]},"page":"4400-4405","title":"Synthetic ozonide drug candidate OZ439 offers new hope for a single-dose cure of uncomplicated malaria","type":"article-journal","volume":"108"},"uris":["http://www.mendeley.com/documents/?uuid=12698d20-d140-4699-a9aa-563242d3edb0"]}],"mendeley":{"formattedCitation":"&lt;sup&gt;106&lt;/sup&gt;","plainTextFormattedCitation":"106","previouslyFormattedCitation":"&lt;sup&gt;106&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106</w:t>
      </w:r>
      <w:r w:rsidRPr="00C07E8E">
        <w:rPr>
          <w:rFonts w:cs="Times New Roman"/>
          <w:color w:val="auto"/>
          <w:szCs w:val="22"/>
        </w:rPr>
        <w:fldChar w:fldCharType="end"/>
      </w:r>
      <w:r w:rsidRPr="00C07E8E">
        <w:rPr>
          <w:rFonts w:cs="Times New Roman"/>
          <w:color w:val="auto"/>
          <w:szCs w:val="22"/>
        </w:rPr>
        <w:t>), in the presence of the spin-trapping agent TEMPO.</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H.","non-dropping-particle":"","parse-names":false,"suffix":""}],"container-title":"Nature","id":"ITEM-1","issue":"7002","issued":{"date-parts":[["2004"]]},"page":"900-904","title":"Identification of an antimalarial synthetic trioxolane drug development candidate","type":"article-journal","volume":"430"},"uris":["http://www.mendeley.com/documents/?uuid=4ebfa213-904f-43f9-a144-14645b59ad3c"]}],"mendeley":{"formattedCitation":"&lt;sup&gt;101&lt;/sup&gt;","plainTextFormattedCitation":"101","previouslyFormattedCitation":"&lt;sup&gt;101&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101</w:t>
      </w:r>
      <w:r w:rsidRPr="00C07E8E">
        <w:rPr>
          <w:rFonts w:cs="Times New Roman"/>
          <w:color w:val="auto"/>
          <w:szCs w:val="22"/>
        </w:rPr>
        <w:fldChar w:fldCharType="end"/>
      </w:r>
      <w:r w:rsidRPr="00C07E8E">
        <w:rPr>
          <w:rFonts w:cs="Times New Roman"/>
          <w:color w:val="auto"/>
          <w:szCs w:val="22"/>
        </w:rPr>
        <w:t xml:space="preserve"> From the results, the authors postulated the formation of an </w:t>
      </w:r>
      <w:r w:rsidRPr="00C07E8E">
        <w:rPr>
          <w:rFonts w:cs="Times New Roman"/>
          <w:i/>
          <w:iCs/>
          <w:color w:val="auto"/>
          <w:szCs w:val="22"/>
        </w:rPr>
        <w:t>O</w:t>
      </w:r>
      <w:r w:rsidRPr="00C07E8E">
        <w:rPr>
          <w:rFonts w:cs="Times New Roman"/>
          <w:color w:val="auto"/>
          <w:szCs w:val="22"/>
        </w:rPr>
        <w:t xml:space="preserve">-centred radical </w:t>
      </w:r>
      <w:r w:rsidR="00774A37">
        <w:rPr>
          <w:rFonts w:cs="Times New Roman"/>
          <w:b/>
          <w:bCs/>
          <w:color w:val="auto"/>
          <w:szCs w:val="22"/>
        </w:rPr>
        <w:t>80</w:t>
      </w:r>
      <w:r w:rsidRPr="00C07E8E">
        <w:rPr>
          <w:rFonts w:cs="Times New Roman"/>
          <w:color w:val="auto"/>
          <w:szCs w:val="22"/>
        </w:rPr>
        <w:t>, which, through β-scission, generates the secondary</w:t>
      </w:r>
      <w:r w:rsidRPr="00C07E8E">
        <w:rPr>
          <w:rFonts w:cs="Times New Roman"/>
          <w:i/>
          <w:iCs/>
          <w:color w:val="auto"/>
          <w:szCs w:val="22"/>
        </w:rPr>
        <w:t xml:space="preserve"> </w:t>
      </w:r>
      <w:r w:rsidRPr="00C07E8E">
        <w:rPr>
          <w:rFonts w:cs="Times New Roman"/>
          <w:color w:val="auto"/>
          <w:szCs w:val="22"/>
        </w:rPr>
        <w:t xml:space="preserve">carbon-centred radical </w:t>
      </w:r>
      <w:r w:rsidR="00774A37">
        <w:rPr>
          <w:rFonts w:cs="Times New Roman"/>
          <w:b/>
          <w:bCs/>
          <w:color w:val="auto"/>
          <w:szCs w:val="22"/>
        </w:rPr>
        <w:t>81</w:t>
      </w:r>
      <w:r w:rsidRPr="00C07E8E">
        <w:rPr>
          <w:rFonts w:cs="Times New Roman"/>
          <w:color w:val="auto"/>
          <w:szCs w:val="22"/>
        </w:rPr>
        <w:t xml:space="preserve">. </w:t>
      </w:r>
      <w:r w:rsidR="0048714C" w:rsidRPr="00C07E8E">
        <w:rPr>
          <w:rFonts w:cs="Times New Roman"/>
          <w:color w:val="auto"/>
          <w:szCs w:val="22"/>
        </w:rPr>
        <w:t>C</w:t>
      </w:r>
      <w:r w:rsidRPr="00C07E8E">
        <w:rPr>
          <w:rFonts w:cs="Times New Roman"/>
          <w:color w:val="auto"/>
          <w:szCs w:val="22"/>
        </w:rPr>
        <w:t>arbon radical</w:t>
      </w:r>
      <w:r w:rsidRPr="00C07E8E">
        <w:rPr>
          <w:rFonts w:cs="Times New Roman"/>
          <w:b/>
          <w:bCs/>
          <w:color w:val="auto"/>
          <w:szCs w:val="22"/>
        </w:rPr>
        <w:t xml:space="preserve"> </w:t>
      </w:r>
      <w:r w:rsidR="00774A37">
        <w:rPr>
          <w:rFonts w:cs="Times New Roman"/>
          <w:b/>
          <w:bCs/>
          <w:color w:val="auto"/>
          <w:szCs w:val="22"/>
        </w:rPr>
        <w:t>81</w:t>
      </w:r>
      <w:r w:rsidR="0048714C" w:rsidRPr="00C07E8E">
        <w:rPr>
          <w:rFonts w:cs="Times New Roman"/>
          <w:color w:val="auto"/>
          <w:szCs w:val="22"/>
        </w:rPr>
        <w:t xml:space="preserve"> </w:t>
      </w:r>
      <w:r w:rsidRPr="00C07E8E">
        <w:rPr>
          <w:rFonts w:cs="Times New Roman"/>
          <w:color w:val="auto"/>
          <w:szCs w:val="22"/>
        </w:rPr>
        <w:t>was</w:t>
      </w:r>
      <w:r w:rsidR="0048714C" w:rsidRPr="00C07E8E">
        <w:rPr>
          <w:rFonts w:cs="Times New Roman"/>
          <w:color w:val="auto"/>
          <w:szCs w:val="22"/>
        </w:rPr>
        <w:t xml:space="preserve"> then</w:t>
      </w:r>
      <w:r w:rsidRPr="00C07E8E">
        <w:rPr>
          <w:rFonts w:cs="Times New Roman"/>
          <w:color w:val="auto"/>
          <w:szCs w:val="22"/>
        </w:rPr>
        <w:t xml:space="preserve"> trapped by TEMPO, </w:t>
      </w:r>
      <w:r w:rsidRPr="00C07E8E">
        <w:rPr>
          <w:rFonts w:cs="Times New Roman"/>
          <w:color w:val="auto"/>
          <w:szCs w:val="22"/>
        </w:rPr>
        <w:lastRenderedPageBreak/>
        <w:t xml:space="preserve">affording the aminoxy adduct </w:t>
      </w:r>
      <w:r w:rsidR="00774A37">
        <w:rPr>
          <w:rFonts w:cs="Times New Roman"/>
          <w:b/>
          <w:bCs/>
          <w:color w:val="auto"/>
          <w:szCs w:val="22"/>
        </w:rPr>
        <w:t>82</w:t>
      </w:r>
      <w:r w:rsidRPr="00C07E8E">
        <w:rPr>
          <w:rFonts w:cs="Times New Roman"/>
          <w:color w:val="auto"/>
          <w:szCs w:val="22"/>
        </w:rPr>
        <w:t xml:space="preserve">. Lack of evidence </w:t>
      </w:r>
      <w:r w:rsidR="0048714C" w:rsidRPr="00C07E8E">
        <w:rPr>
          <w:rFonts w:cs="Times New Roman"/>
          <w:color w:val="auto"/>
          <w:szCs w:val="22"/>
        </w:rPr>
        <w:t xml:space="preserve">in the detection </w:t>
      </w:r>
      <w:r w:rsidRPr="00C07E8E">
        <w:rPr>
          <w:rFonts w:cs="Times New Roman"/>
          <w:color w:val="auto"/>
          <w:szCs w:val="22"/>
        </w:rPr>
        <w:t xml:space="preserve">of </w:t>
      </w:r>
      <w:r w:rsidR="0048714C" w:rsidRPr="00C07E8E">
        <w:rPr>
          <w:rFonts w:cs="Times New Roman"/>
          <w:color w:val="auto"/>
          <w:szCs w:val="22"/>
        </w:rPr>
        <w:t xml:space="preserve">the </w:t>
      </w:r>
      <w:r w:rsidRPr="00C07E8E">
        <w:rPr>
          <w:rFonts w:cs="Times New Roman"/>
          <w:color w:val="auto"/>
          <w:szCs w:val="22"/>
        </w:rPr>
        <w:t xml:space="preserve">products that would result from the β-scission of the spirocyclohexyl group </w:t>
      </w:r>
      <w:r w:rsidR="0048714C" w:rsidRPr="00C07E8E">
        <w:rPr>
          <w:rFonts w:cs="Times New Roman"/>
          <w:color w:val="auto"/>
          <w:szCs w:val="22"/>
        </w:rPr>
        <w:t>shows</w:t>
      </w:r>
      <w:r w:rsidRPr="00C07E8E">
        <w:rPr>
          <w:rFonts w:cs="Times New Roman"/>
          <w:color w:val="auto"/>
          <w:szCs w:val="22"/>
        </w:rPr>
        <w:t xml:space="preserve"> that the ferrous ion preferentially associates with the less hindered peroxide oxygen, in this class of endoperoxides (</w:t>
      </w:r>
      <w:r w:rsidRPr="00C07E8E">
        <w:rPr>
          <w:rFonts w:cs="Times New Roman"/>
          <w:b/>
          <w:bCs/>
          <w:color w:val="auto"/>
          <w:szCs w:val="22"/>
        </w:rPr>
        <w:t xml:space="preserve">Figure </w:t>
      </w:r>
      <w:r w:rsidR="008D34A3" w:rsidRPr="00C07E8E">
        <w:rPr>
          <w:rFonts w:cs="Times New Roman"/>
          <w:b/>
          <w:bCs/>
          <w:color w:val="auto"/>
          <w:szCs w:val="22"/>
        </w:rPr>
        <w:t>1</w:t>
      </w:r>
      <w:r w:rsidR="00076EFC" w:rsidRPr="00C07E8E">
        <w:rPr>
          <w:rFonts w:cs="Times New Roman"/>
          <w:b/>
          <w:bCs/>
          <w:color w:val="auto"/>
          <w:szCs w:val="22"/>
        </w:rPr>
        <w:t>2</w:t>
      </w:r>
      <w:r w:rsidRPr="00C07E8E">
        <w:rPr>
          <w:rFonts w:cs="Times New Roman"/>
          <w:b/>
          <w:bCs/>
          <w:color w:val="auto"/>
          <w:szCs w:val="22"/>
        </w:rPr>
        <w:t xml:space="preserve">, </w:t>
      </w:r>
      <w:r w:rsidR="007674E7" w:rsidRPr="00C07E8E">
        <w:rPr>
          <w:rFonts w:cs="Times New Roman"/>
          <w:b/>
          <w:bCs/>
          <w:color w:val="auto"/>
          <w:szCs w:val="22"/>
        </w:rPr>
        <w:t>a</w:t>
      </w:r>
      <w:r w:rsidRPr="00C07E8E">
        <w:rPr>
          <w:rFonts w:cs="Times New Roman"/>
          <w:b/>
          <w:bCs/>
          <w:color w:val="auto"/>
          <w:szCs w:val="22"/>
        </w:rPr>
        <w:t xml:space="preserve"> </w:t>
      </w:r>
      <w:r w:rsidRPr="007370A6">
        <w:rPr>
          <w:rFonts w:cs="Times New Roman"/>
          <w:bCs/>
          <w:color w:val="auto"/>
          <w:szCs w:val="22"/>
        </w:rPr>
        <w:t>and</w:t>
      </w:r>
      <w:r w:rsidRPr="00C07E8E">
        <w:rPr>
          <w:rFonts w:cs="Times New Roman"/>
          <w:b/>
          <w:bCs/>
          <w:color w:val="auto"/>
          <w:szCs w:val="22"/>
        </w:rPr>
        <w:t xml:space="preserve"> </w:t>
      </w:r>
      <w:r w:rsidR="007674E7" w:rsidRPr="00C07E8E">
        <w:rPr>
          <w:rFonts w:cs="Times New Roman"/>
          <w:b/>
          <w:bCs/>
          <w:color w:val="auto"/>
          <w:szCs w:val="22"/>
        </w:rPr>
        <w:t>b</w:t>
      </w:r>
      <w:r w:rsidRPr="00C07E8E">
        <w:rPr>
          <w:rFonts w:cs="Times New Roman"/>
          <w:color w:val="auto"/>
          <w:szCs w:val="22"/>
        </w:rPr>
        <w:t>).</w:t>
      </w:r>
      <w:r w:rsidRPr="00C07E8E">
        <w:rPr>
          <w:rFonts w:cs="Times New Roman"/>
          <w:color w:val="auto"/>
          <w:szCs w:val="22"/>
        </w:rPr>
        <w:fldChar w:fldCharType="begin" w:fldLock="1"/>
      </w:r>
      <w:r w:rsidR="00192B39">
        <w:rPr>
          <w:rFonts w:cs="Times New Roman"/>
          <w:color w:val="auto"/>
          <w:szCs w:val="22"/>
        </w:rPr>
        <w:instrText>ADDIN CSL_CITATION {"citationItems":[{"id":"ITEM-1","itemData":{"DOI":"10.1128/AAC.01033-07","author":[{"dropping-particle":"","family":"Creek","given":"Darren J","non-dropping-particle":"","parse-names":false,"suffix":""},{"dropping-particle":"","family":"Charman","given":"William N","non-dropping-particle":"","parse-names":false,"suffix":""},{"dropping-particle":"","family":"Chiu","given":"Francis C K","non-dropping-particle":"","parse-names":false,"suffix":""},{"dropping-particle":"","family":"Prankerd","given":"Richard J","non-dropping-particle":"","parse-names":false,"suffix":""},{"dropping-particle":"","family":"Dong","given":"Yuxiang","non-dropping-particle":"","parse-names":false,"suffix":""},{"dropping-particle":"","family":"Vennerstrom","given":"Jonathan L","non-dropping-particle":"","parse-names":false,"suffix":""},{"dropping-particle":"","family":"Charman","given":"Susan A","non-dropping-particle":"","parse-names":false,"suffix":""}],"container-title":"Antimicrobial agents and chemotherapy","id":"ITEM-1","issue":"4","issued":{"date-parts":[["2008"]]},"page":"1291-1296","title":"Relationship between Antimalarial Activity and Heme Alkylation for Spiro- and Dispiro-1,2,4-Trioxolane Antimalarials","type":"article-journal","volume":"52"},"uris":["http://www.mendeley.com/documents/?uuid=3de118b9-f97a-4f92-9894-4037aa119250"]},{"id":"ITEM-2","itemData":{"DOI":"10.1128/AAC.01305-09","ISSN":"00664804","PMID":"20028825","abstract":"Peroxidic antimalarials such as the semisynthetic artemisinins are critically important in the treatment of drug-resistant malaria. Nevertheless, their peroxide bond-dependent mode of action is still not well understood. Using combination experiments with cultured Plasmodium falciparum cells, we investigated the interactions of the nitroxide radical spin trap, 2,2,6,6-tetramethyl-1-piperidinyloxy (TEMPO), and four of its analogs with artemisinin and the ozonide drug development candidate OZ277. The antagonism observed for combinations of artemisinin or OZ277 with the TEMPO analogs supports the hypothesis that the formation of carbon-centered radicals is critical for the activity of these two antimalarial peroxides. The TEMPO analogs showed a trend toward greater antagonism with artemisinin than they did with OZ277, an observation that can be explained by the greater tendency of artemisinin-derived carbon-centered radicals to undergo internal self-quenching reactions, resulting in a lower proportion of radicals available for subsequent chemical reactions such as the alkylation of heme and parasite proteins. In a further mechanistic experiment, we tested both artemisinin and OZ277 in combination with their nonperoxidic analogs. The latter had no effect on the antimalarial activities of the former. These data indicate that the antimalarial properties of peroxides do not derive from reversible interactions with parasite targets. Copyright © 2010, American Society for Microbiology. All Rights Reserved.","author":[{"dropping-particle":"","family":"Fügi","given":"Matthias A.","non-dropping-particle":"","parse-names":false,"suffix":""},{"dropping-particle":"","family":"Wittlin","given":"Sergio","non-dropping-particle":"","parse-names":false,"suffix":""},{"dropping-particle":"","family":"Dong","given":"Yuxiang","non-dropping-particle":"","parse-names":false,"suffix":""},{"dropping-particle":"","family":"Vennerstrom","given":"Jonathan L.","non-dropping-particle":"","parse-names":false,"suffix":""}],"container-title":"Antimicrobial Agents and Chemotherapy","id":"ITEM-2","issue":"3","issued":{"date-parts":[["2010"]]},"page":"1042-1046","title":"Probing the antimalarial mechanism of artemisinin and OZ277 (arterolane) with nonperoxidic isosteres and nitroxyl radicals","type":"article-journal","volume":"54"},"uris":["http://www.mendeley.com/documents/?uuid=e5c9d416-ad22-448e-8b8c-d76606529cfa"]},{"id":"ITEM-3","itemData":{"DOI":"10.1002/anie.201001026","ISSN":"14337851","PMID":"20629058","abstract":"(Figure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Edition","id":"ITEM-3","issue":"33","issued":{"date-parts":[["2010","8","2"]]},"page":"5693-5697","title":"Identification of a 1,2,4,5-tetraoxane antimalarial drug-development candidate (RKA 182) with superior properties to the semisynthetic artemisinins","type":"article-journal","volume":"49"},"uris":["http://www.mendeley.com/documents/?uuid=4d15dff1-1eac-4ebf-9f24-b922dafce3eb"]},{"id":"ITEM-4","itemData":{"DOI":"10.1021/acs.jpca.0c01974","ISSN":"15205215","PMID":"32375479","abstract":"Dispiro-1,2,4-trioxolane, 1, an ozonide with efficient and broad antiparasitic activity, was synthesized and investigated using matrix isolation FTIR and EPR spectroscopies together with both B3LYP/6-311++G(3df,3dp) and M06-2X/6-311++G(3df,3dp) theoretical methods. Irradiations (λ ≥ 290 nm) of the matrix isolated 1 (Ar or N2) afforded exclusively 4-oxahomoadamantan-5-one, 4, and 1,4-cyclohexanedione, 5. These results suggested that the reaction proceeded via a dioxygen-centered diradical intermediate, formed upon homolytic cleavage of the labile peroxide bond, which regioselectively isomerized to form the more stable (secondary carbon-centered)/oxygen-centered diradical. In situ EPR measurements during the photolysis of 1 deposited in a MeTHF-matrix led to the detection of signals corresponding to two triplet species, one of which was short-lived while the other proved to be persistent at 10 K. These observations strongly support the proposed mechanism for the photogeneration of 4 and 5, which involves intramolecular rearrangement of the intermediate diradical species 2 to afford the triplet diradical 3.","author":[{"dropping-particle":"","family":"Brás","given":"Elisa M.","non-dropping-particle":"","parse-names":false,"suffix":""},{"dropping-particle":"","family":"Brás","given":"Elisa M.","non-dropping-particle":"","parse-names":false,"suffix":""},{"dropping-particle":"","family":"Cabral","given":"Lília I.L.","non-dropping-particle":"","parse-names":false,"suffix":""},{"dropping-particle":"","family":"Cabral","given":"Lília I.L.","non-dropping-particle":"","parse-names":false,"suffix":""},{"dropping-particle":"","family":"Amado","given":"Patrícia S.M.","non-dropping-particle":"","parse-names":false,"suffix":""},{"dropping-particle":"","family":"Amado","given":"Patrícia S.M.","non-dropping-particle":"","parse-names":false,"suffix":""},{"dropping-particle":"","family":"Abe","given":"Manabu","non-dropping-particle":"","parse-names":false,"suffix":""},{"dropping-particle":"","family":"Fausto","given":"Rui","non-dropping-particle":"","parse-names":false,"suffix":""},{"dropping-particle":"","family":"Cristiano","given":"Maria L.S.","non-dropping-particle":"","parse-names":false,"suffix":""},{"dropping-particle":"","family":"Cristiano","given":"Maria L.S.","non-dropping-particle":"","parse-names":false,"suffix":""},{"dropping-particle":"","family":"Fausto","given":"Rui","non-dropping-particle":"","parse-names":false,"suffix":""}],"container-title":"Journal of Physical Chemistry A","id":"ITEM-4","issue":"21","issued":{"date-parts":[["2020"]]},"page":"4202-4210","title":"Photoinduced Reactivity in a Dispiro-1,2,4-trioxolane: Adamantane Ring Expansion and First Direct Observation of the Long-Lived Triplet Diradical Intermediates","type":"article-journal","volume":"124"},"uris":["http://www.mendeley.com/documents/?uuid=6b25379f-5b9e-425d-a8ff-47682a3e93cc","http://www.mendeley.com/documents/?uuid=036a6738-7f37-49f3-b585-e9db0d3e2968"]},{"id":"ITEM-5","itemData":{"DOI":"10.1038/nature02779","ISBN":"1476-4687 (Electronic)\\r0028-0836 (Linking)","ISSN":"00280836","PMID":"15318224","abstract":"The discovery of artemisinin more than 30 years ago provided a completely new antimalarial structural prototype; that is, a molecule with a pharmacophoric peroxide bond in a unique 1,2,4-trioxane heterocycle. Available evidence suggests that artemisinin and related peroxidic antimalarial drugs exert their parasiticidal activity subsequent to reductive activation by haem, released as a result of haemoglobin digestion by the malaria-causing parasite. This irreversible redox reaction produces carbon-centred free radicals, leading to alkylation of haem and proteins (enzymes), one of which-the sarcoplasmic- endoplasmic reticulum ATPase PfATP6 (ref. 7)-may be critical to parasite survival. Notably, there is no evidence of drug resistance to any member of the artemisinin family of drugs. The chemotherapy of malaria has benefited greatly from the semi-synthetic artemisinins artemether and artesunate as they rapidly reduce parasite burden, have good therapeutic indices and provide for successful treatment outcomes. However, as a drug class, the artemisinins suffer from chemical (semi-synthetic availability, purity and cost), biopharmaceutical (poor bioavailability and limiting pharmacokinetics) and treatment (non-compliance with long treatment regimens and recrudescence) issues that limit their therapeutic potential. Here we describe how a synthetic peroxide antimalarial drug development candidate was identified in a collaborative drug discovery project.","author":[{"dropping-particle":"","family":"Vennerstrom","given":"Jonathan L.","non-dropping-particle":"","parse-names":false,"suffix":""},{"dropping-particle":"","family":"Arbe-Barnes","given":"Sarah","non-dropping-particle":"","parse-names":false,"suffix":""},{"dropping-particle":"","family":"Brun","given":"Reto","non-dropping-particle":"","parse-names":false,"suffix":""},{"dropping-particle":"","family":"Charman","given":"Susan A.","non-dropping-particle":"","parse-names":false,"suffix":""},{"dropping-particle":"","family":"Chiu","given":"Francis C.K.","non-dropping-particle":"","parse-names":false,"suffix":""},{"dropping-particle":"","family":"Chollet","given":"Jacques","non-dropping-particle":"","parse-names":false,"suffix":""},{"dropping-particle":"","family":"Dong","given":"Yuxiang","non-dropping-particle":"","parse-names":false,"suffix":""},{"dropping-particle":"","family":"Dorn","given":"Arnulf","non-dropping-particle":"","parse-names":false,"suffix":""},{"dropping-particle":"","family":"Hunziker","given":"Daniel","non-dropping-particle":"","parse-names":false,"suffix":""},{"dropping-particle":"","family":"Matile","given":"Hugues","non-dropping-particle":"","parse-names":false,"suffix":""},{"dropping-particle":"","family":"McIntosh","given":"Kylie","non-dropping-particle":"","parse-names":false,"suffix":""},{"dropping-particle":"","family":"Padmanilayam","given":"Maniyan","non-dropping-particle":"","parse-names":false,"suffix":""},{"dropping-particle":"","family":"Santo Tomas","given":"Josefina","non-dropping-particle":"","parse-names":false,"suffix":""},{"dropping-particle":"","family":"Scheurer","given":"Christian","non-dropping-particle":"","parse-names":false,"suffix":""},{"dropping-particle":"","family":"Scorneaux","given":"Bernard","non-dropping-particle":"","parse-names":false,"suffix":""},{"dropping-particle":"","family":"Tang","given":"Yuanqing","non-dropping-particle":"","parse-names":false,"suffix":""},{"dropping-particle":"","family":"Urwyler","given":"Heinrich","non-dropping-particle":"","parse-names":false,"suffix":""},{"dropping-particle":"","family":"Wittlin","given":"Sergio","non-dropping-particle":"","parse-names":false,"suffix":""},{"dropping-particle":"","family":"Charman","given":"William H.","non-dropping-particle":"","parse-names":false,"suffix":""}],"container-title":"Nature","id":"ITEM-5","issue":"7002","issued":{"date-parts":[["2004"]]},"page":"900-904","title":"Identification of an antimalarial synthetic trioxolane drug development candidate","type":"article-journal","volume":"430"},"uris":["http://www.mendeley.com/documents/?uuid=4ebfa213-904f-43f9-a144-14645b59ad3c"]},{"id":"ITEM-6","itemData":{"DOI":"10.1128/AAC.00165-08","ISSN":"00664804","PMID":"18559651","abstract":"The in vivo alkylation of heme by the antimalarial trioxaquine DU1301 afforded covalent heme-drug adducts that were detected in the spleens of Plasmodium sp.-infected mice. This result indicates that the alkylation capacities of trioxaquines in mammals infected with Plasmodium strains are similar to that of artemisinin, a natural antimalarial trioxane-containing drug. Copyright © 2008, American Society for Microbiology. All Rights Reserved.","author":[{"dropping-particle":"","family":"Garah","given":"Fatima Bousejra-El","non-dropping-particle":"","parse-names":false,"suffix":""},{"dropping-particle":"","family":"Claparols","given":"Catherine","non-dropping-particle":"","parse-names":false,"suffix":""},{"dropping-particle":"","family":"Benoit-Vical","given":"Françoise","non-dropping-particle":"","parse-names":false,"suffix":""},{"dropping-particle":"","family":"Meunier","given":"Bernard","non-dropping-particle":"","parse-names":false,"suffix":""},{"dropping-particle":"","family":"Robert","given":"Anne","non-dropping-particle":"","parse-names":false,"suffix":""}],"container-title":"Antimicrobial Agents and Chemotherapy","id":"ITEM-6","issue":"8","issued":{"date-parts":[["2008"]]},"page":"2966-2969","title":"The antimalarial trioxaquine DU1301 alkylates heme in malaria-infected mice","type":"article-journal","volume":"52"},"uris":["http://www.mendeley.com/documents/?uuid=bd7f09f5-0669-49d8-93ef-321ab1f84974","http://www.mendeley.com/documents/?uuid=92093cab-c03f-4692-92f2-70c498991124","http://www.mendeley.com/documents/?uuid=e0ff4ec5-baed-40ae-b185-6c92abffc34e"]},{"id":"ITEM-7","itemData":{"DOI":"10.1021/jo050385+","ISSN":"00223263","PMID":"15960511","abstract":"Single electron reduction of the 1,2,4-trioxane heterocycle of artemisinin (1) forms primary and secondary carbon-centered radicals. The complex structure of 1 does not lend itself to a satisfactory dissection of the electronic and steric effects that influence the formation and subsequent reaction of these carbon-centered free radicals. To help demarcate these effects, we characterized the reactions of achiral dispiro-1,2,4-trioxolane 4 and dispiro-1,2,4-trioxanes 5-7 with ferrous bromide and 4-oxo-TEMPO. Our results suggest a small preference for attack of Fe(II) on the nonketal peroxide oxygen atom of 1. For 4, but not for 5 and 6, there was a strong preference for attack of Fe(II) on the less hindered peroxide bond oxygen atom. The steric hindrance afforded by a spiroadamantane in a five-membered trioxolane is evidently much greater than that for a corresponding six-membered trioxane. Unlike 1, 5-7 fragment by entropically favored β-scission pathways forming relatively stable α-oxa carbon-centered radicals. These data suggest that formation of either primary or secondary carbon-centered radicals is a necessary but insufficient criterion for antimalarial activity of 1 and synthetic peroxides. © 2005 American Chemical Society.","author":[{"dropping-particle":"","family":"Tang","given":"Yuanqing","non-dropping-particle":"","parse-names":false,"suffix":""},{"dropping-particle":"","family":"Dong","given":"Yuxiang","non-dropping-particle":"","parse-names":false,"suffix":""},{"dropping-particle":"","family":"Wang","given":"Xiaofang","non-dropping-particle":"","parse-names":false,"suffix":""},{"dropping-particle":"","family":"Sriraghavan","given":"Kamaraj","non-dropping-particle":"","parse-names":false,"suffix":""},{"dropping-particle":"","family":"Wood","given":"James K.","non-dropping-particle":"","parse-names":false,"suffix":""},{"dropping-particle":"","family":"Vennerstrom","given":"Jonathan L.","non-dropping-particle":"","parse-names":false,"suffix":""}],"container-title":"Journal of Organic Chemistry","id":"ITEM-7","issue":"13","issued":{"date-parts":[["2005"]]},"page":"5103-5110","title":"Dispiro-1,2,4-trioxane analogues of a prototype dispiro-1,2,4-trioxolane: Mechanistic comparators for artemisinin in the context of reaction pathways with iron(II)","type":"article-journal","volume":"70"},"uris":["http://www.mendeley.com/documents/?uuid=73cc65aa-d2db-4169-be48-c1673738a7a6","http://www.mendeley.com/documents/?uuid=6472c006-7d3a-4ce1-9828-d093ef8bb43f","http://www.mendeley.com/documents/?uuid=3242d277-859e-4895-a437-1447a70e6f5e"]},{"id":"ITEM-8","itemData":{"DOI":"10.1002/jps.20958","ISSN":"15206017","PMID":"17549767","abstract":"The iron-mediated reactivity of various dispiro-1,2,4-trioxolanes was determined by automated kinetic analysis under standard reaction conditions. The active antimalarial compounds underwent peroxide bond cleavage by Fe(II) resulting in products indicative of carbon-centered radical formation. The rate of reaction was heavily influenced by the presence of spiro-substituted adamantane and cyclohexane rings, and was also significantly affected by cyclohexane ring substitution. Steric hindrance around the peroxide oxygen atoms appeared to be the major determinant of reaction rate, however polar substituents also affected reactivity by an independent mechanism. A wide range of reaction rates was observed within this class of peroxide antimalarials, however iron-mediated reactivity did not directly correlate with in vitro antimalarial activity. © 2007 Wiley-Liss, Inc. and the American Pharmacists Association.","author":[{"dropping-particle":"","family":"Creek","given":"Darren J.","non-dropping-particle":"","parse-names":false,"suffix":""},{"dropping-particle":"","family":"Charman","given":"William N.","non-dropping-particle":"","parse-names":false,"suffix":""},{"dropping-particle":"","family":"Chiu","given":"Francis C.K.","non-dropping-particle":"","parse-names":false,"suffix":""},{"dropping-particle":"","family":"Prankerd","given":"Richard J.","non-dropping-particle":"","parse-names":false,"suffix":""},{"dropping-particle":"","family":"McCullough","given":"Kevin J.","non-dropping-particle":"","parse-names":false,"suffix":""},{"dropping-particle":"","family":"Dong","given":"Yuxiang","non-dropping-particle":"","parse-names":false,"suffix":""},{"dropping-particle":"","family":"Vennerstrom","given":"Jonathan L.","non-dropping-particle":"","parse-names":false,"suffix":""},{"dropping-particle":"","family":"Charman","given":"Susan A.","non-dropping-particle":"","parse-names":false,"suffix":""}],"container-title":"Journal of Pharmaceutical Sciences","id":"ITEM-8","issue":"11","issued":{"date-parts":[["2007"]]},"page":"2945-2956","title":"Iron-mediated degradation kinetics of substituted dispiro-1,2,4-trioxolane antimalarials","type":"article-journal","volume":"96"},"uris":["http://www.mendeley.com/documents/?uuid=b1982492-621a-4d9f-9663-bb8708fa604d"]}],"mendeley":{"formattedCitation":"&lt;sup&gt;95,101,109,120–124&lt;/sup&gt;","plainTextFormattedCitation":"95,101,109,120–124","previouslyFormattedCitation":"&lt;sup&gt;95,101,109,120–124&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95,101,109,120–124</w:t>
      </w:r>
      <w:r w:rsidRPr="00C07E8E">
        <w:rPr>
          <w:rFonts w:cs="Times New Roman"/>
          <w:color w:val="auto"/>
          <w:szCs w:val="22"/>
        </w:rPr>
        <w:fldChar w:fldCharType="end"/>
      </w:r>
      <w:r w:rsidRPr="00C07E8E">
        <w:rPr>
          <w:rFonts w:cs="Times New Roman"/>
          <w:color w:val="auto"/>
          <w:szCs w:val="22"/>
        </w:rPr>
        <w:t xml:space="preserve">  </w:t>
      </w:r>
    </w:p>
    <w:p w14:paraId="643957CE" w14:textId="7CBC3CFC" w:rsidR="00251197"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In 1,2,4-trioxolanes, the stereochemistry at the 4’’position also plays a part in the rate of bioactivation of the peroxide bond. Dong </w:t>
      </w:r>
      <w:r w:rsidRPr="00C07E8E">
        <w:rPr>
          <w:rFonts w:cs="Times New Roman"/>
          <w:i/>
          <w:iCs/>
          <w:color w:val="auto"/>
          <w:szCs w:val="22"/>
        </w:rPr>
        <w:t>et al.</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{"citationItems":[{"id":"ITEM-1","itemData":{"DOI":"10.1021/jm901473s","ISBN":"4025595362","ISSN":"00222623","PMID":"19924861","abstract":"The structure and stereochemistry of the cyclohexane substituents of analogues of arterolane (OZ277) had little effect on potency against Plasmodium falciparum in vitro.Weak base functional groups were not required for high antimalarial potency, but they were essential for high antimalarial efficacy in P. berghei-infected mice. Five new ozonides with antimalarial efficacy and ADME profiles superior or equal to that of arterolane were identified. © 2009 American Chemical Society.","author":[{"dropping-particle":"","family":"Dong","given":"Yuxiang","non-dropping-particle":"","parse-names":false,"suffix":""},{"dropping-particle":"","family":"Wittlin","given":"Sergio","non-dropping-particle":"","parse-names":false,"suffix":""},{"dropping-particle":"","family":"Sriraghavan","given":"Kamaraj","non-dropping-particle":"","parse-names":false,"suffix":""},{"dropping-particle":"","family":"Chollet","given":"Jacques","non-dropping-particle":"","parse-names":false,"suffix":""},{"dropping-particle":"","family":"Charman","given":"Susan A.","non-dropping-particle":"","parse-names":false,"suffix":""},{"dropping-particle":"","family":"Charman","given":"William N.","non-dropping-particle":"","parse-names":false,"suffix":""},{"dropping-particle":"","family":"Scheurer","given":"Christian","non-dropping-particle":"","parse-names":false,"suffix":""},{"dropping-particle":"","family":"Urwyler","given":"Heinrich","non-dropping-particle":"","parse-names":false,"suffix":""},{"dropping-particle":"","family":"Tomas","given":"Josefina Santo","non-dropping-particle":"","parse-names":false,"suffix":""},{"dropping-particle":"","family":"Snyder","given":"Christopher","non-dropping-particle":"","parse-names":false,"suffix":""},{"dropping-particle":"","family":"Creek","given":"Darren J.","non-dropping-particle":"","parse-names":false,"suffix":""},{"dropping-particle":"","family":"Morizzi","given":"Julia","non-dropping-particle":"","parse-names":false,"suffix":""},{"dropping-particle":"","family":"Koltun","given":"Maria","non-dropping-particle":"","parse-names":false,"suffix":""},{"dropping-particle":"","family":"Matile","given":"Hugues","non-dropping-particle":"","parse-names":false,"suffix":""},{"dropping-particle":"","family":"Wang","given":"Xiaofang","non-dropping-particle":"","parse-names":false,"suffix":""},{"dropping-particle":"","family":"Padmanilayam","given":"Maniyan","non-dropping-particle":"","parse-names":false,"suffix":""},{"dropping-particle":"","family":"Tang","given":"Yuanqing","non-dropping-particle":"","parse-names":false,"suffix":""},{"dropping-particle":"","family":"Dorn","given":"Arnulf","non-dropping-particle":"","parse-names":false,"suffix":""},{"dropping-particle":"","family":"Brun","given":"Reto","non-dropping-particle":"","parse-names":false,"suffix":""},{"dropping-particle":"","family":"Vennerstrom","given":"Jonathan L.","non-dropping-particle":"","parse-names":false,"suffix":""}],"container-title":"Journal of Medicinal Chemistry","id":"ITEM-1","issue":"1","issued":{"date-parts":[["2010"]]},"page":"481-491","title":"The structure - Activity relationship of the antimalarial ozonide arterolane (OZ277)","type":"article-journal","volume":"53"},"uris":["http://www.mendeley.com/documents/?uuid=52057bfe-cadb-4993-aa7e-85bd3cedd7d2"]}],"mendeley":{"formattedCitation":"&lt;sup&gt;125&lt;/sup&gt;","plainTextFormattedCitation":"125","previouslyFormattedCitation":"&lt;sup&gt;125&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125</w:t>
      </w:r>
      <w:r w:rsidRPr="00C07E8E">
        <w:rPr>
          <w:rFonts w:cs="Times New Roman"/>
          <w:color w:val="auto"/>
          <w:szCs w:val="22"/>
        </w:rPr>
        <w:fldChar w:fldCharType="end"/>
      </w:r>
      <w:r w:rsidRPr="00C07E8E">
        <w:rPr>
          <w:rFonts w:cs="Times New Roman"/>
          <w:color w:val="auto"/>
          <w:szCs w:val="22"/>
        </w:rPr>
        <w:t xml:space="preserve"> showed that the 4’’-</w:t>
      </w:r>
      <w:r w:rsidRPr="00C07E8E">
        <w:rPr>
          <w:rFonts w:cs="Times New Roman"/>
          <w:i/>
          <w:iCs/>
          <w:color w:val="auto"/>
          <w:szCs w:val="22"/>
        </w:rPr>
        <w:t>cis</w:t>
      </w:r>
      <w:r w:rsidRPr="00C07E8E">
        <w:rPr>
          <w:rFonts w:cs="Times New Roman"/>
          <w:color w:val="auto"/>
          <w:szCs w:val="22"/>
        </w:rPr>
        <w:t xml:space="preserve"> </w:t>
      </w:r>
      <w:r w:rsidR="00110A9D" w:rsidRPr="00C07E8E">
        <w:rPr>
          <w:rFonts w:cs="Times New Roman"/>
          <w:color w:val="auto"/>
          <w:szCs w:val="22"/>
        </w:rPr>
        <w:t>diastereomer</w:t>
      </w:r>
      <w:r w:rsidRPr="00C07E8E">
        <w:rPr>
          <w:rFonts w:cs="Times New Roman"/>
          <w:color w:val="auto"/>
          <w:szCs w:val="22"/>
        </w:rPr>
        <w:t xml:space="preserve"> of</w:t>
      </w:r>
      <w:r w:rsidR="0048714C" w:rsidRPr="00C07E8E">
        <w:rPr>
          <w:rFonts w:cs="Times New Roman"/>
          <w:color w:val="auto"/>
          <w:szCs w:val="22"/>
        </w:rPr>
        <w:t xml:space="preserve"> </w:t>
      </w:r>
      <w:r w:rsidR="00774A37">
        <w:rPr>
          <w:rFonts w:cs="Times New Roman"/>
          <w:b/>
          <w:bCs/>
          <w:color w:val="auto"/>
          <w:szCs w:val="22"/>
        </w:rPr>
        <w:t>83</w:t>
      </w:r>
      <w:r w:rsidRPr="00C07E8E">
        <w:rPr>
          <w:rFonts w:cs="Times New Roman"/>
          <w:color w:val="auto"/>
          <w:szCs w:val="22"/>
        </w:rPr>
        <w:t xml:space="preserve"> was 40-fold more effective than its 4’’-</w:t>
      </w:r>
      <w:r w:rsidRPr="00C07E8E">
        <w:rPr>
          <w:rFonts w:cs="Times New Roman"/>
          <w:i/>
          <w:iCs/>
          <w:color w:val="auto"/>
          <w:szCs w:val="22"/>
        </w:rPr>
        <w:t>trans</w:t>
      </w:r>
      <w:r w:rsidRPr="00C07E8E">
        <w:rPr>
          <w:rFonts w:cs="Times New Roman"/>
          <w:color w:val="auto"/>
          <w:szCs w:val="22"/>
        </w:rPr>
        <w:t xml:space="preserve"> </w:t>
      </w:r>
      <w:r w:rsidR="00BD15B9" w:rsidRPr="00C07E8E">
        <w:rPr>
          <w:rFonts w:cs="Times New Roman"/>
          <w:color w:val="auto"/>
          <w:szCs w:val="22"/>
        </w:rPr>
        <w:t>diastereomer</w:t>
      </w:r>
      <w:r w:rsidR="00110A9D" w:rsidRPr="00C07E8E">
        <w:rPr>
          <w:rFonts w:cs="Times New Roman"/>
          <w:color w:val="auto"/>
          <w:szCs w:val="22"/>
        </w:rPr>
        <w:t xml:space="preserve"> </w:t>
      </w:r>
      <w:r w:rsidR="00774A37">
        <w:rPr>
          <w:rFonts w:cs="Times New Roman"/>
          <w:b/>
          <w:bCs/>
          <w:color w:val="auto"/>
          <w:szCs w:val="22"/>
        </w:rPr>
        <w:t>84</w:t>
      </w:r>
      <w:r w:rsidR="0048714C" w:rsidRPr="007370A6">
        <w:rPr>
          <w:rFonts w:cs="Times New Roman"/>
          <w:color w:val="auto"/>
          <w:szCs w:val="22"/>
        </w:rPr>
        <w:t>,</w:t>
      </w:r>
      <w:r w:rsidR="0048714C" w:rsidRPr="00C07E8E">
        <w:rPr>
          <w:rFonts w:cs="Times New Roman"/>
          <w:b/>
          <w:bCs/>
          <w:color w:val="auto"/>
          <w:szCs w:val="22"/>
        </w:rPr>
        <w:t xml:space="preserve"> </w:t>
      </w:r>
      <w:r w:rsidR="0048714C" w:rsidRPr="00C07E8E">
        <w:rPr>
          <w:rFonts w:cs="Times New Roman"/>
          <w:i/>
          <w:iCs/>
          <w:color w:val="auto"/>
          <w:szCs w:val="22"/>
        </w:rPr>
        <w:t>in vivo</w:t>
      </w:r>
      <w:r w:rsidRPr="00C07E8E">
        <w:rPr>
          <w:rFonts w:cs="Times New Roman"/>
          <w:color w:val="auto"/>
          <w:szCs w:val="22"/>
        </w:rPr>
        <w:t>. The</w:t>
      </w:r>
      <w:r w:rsidRPr="00C07E8E">
        <w:rPr>
          <w:rFonts w:cs="Times New Roman"/>
          <w:i/>
          <w:iCs/>
          <w:color w:val="auto"/>
          <w:szCs w:val="22"/>
        </w:rPr>
        <w:t xml:space="preserve"> trans</w:t>
      </w:r>
      <w:r w:rsidRPr="00C07E8E">
        <w:rPr>
          <w:rFonts w:cs="Times New Roman"/>
          <w:color w:val="auto"/>
          <w:szCs w:val="22"/>
        </w:rPr>
        <w:t xml:space="preserve"> diastereomer was found to have a higher plasma clearance and a lower oral bioavailability than its </w:t>
      </w:r>
      <w:r w:rsidRPr="00C07E8E">
        <w:rPr>
          <w:rFonts w:cs="Times New Roman"/>
          <w:i/>
          <w:iCs/>
          <w:color w:val="auto"/>
          <w:szCs w:val="22"/>
        </w:rPr>
        <w:t>cis</w:t>
      </w:r>
      <w:r w:rsidRPr="00C07E8E">
        <w:rPr>
          <w:rFonts w:cs="Times New Roman"/>
          <w:color w:val="auto"/>
          <w:szCs w:val="22"/>
        </w:rPr>
        <w:t xml:space="preserve"> counterpart, suggesting a higher reactivity.</w:t>
      </w:r>
      <w:r w:rsidRPr="00C07E8E">
        <w:rPr>
          <w:rFonts w:cs="Times New Roman"/>
          <w:b/>
          <w:bCs/>
          <w:color w:val="auto"/>
          <w:szCs w:val="22"/>
        </w:rPr>
        <w:t xml:space="preserve"> </w:t>
      </w:r>
      <w:r w:rsidRPr="00C07E8E">
        <w:rPr>
          <w:rFonts w:cs="Times New Roman"/>
          <w:color w:val="auto"/>
          <w:szCs w:val="22"/>
        </w:rPr>
        <w:t xml:space="preserve">This difference in reactivity </w:t>
      </w:r>
      <w:r w:rsidR="00BD15B9" w:rsidRPr="00C07E8E">
        <w:rPr>
          <w:rFonts w:cs="Times New Roman"/>
          <w:color w:val="auto"/>
          <w:szCs w:val="22"/>
        </w:rPr>
        <w:t xml:space="preserve">can be clarified in terms of the </w:t>
      </w:r>
      <w:r w:rsidRPr="00C07E8E">
        <w:rPr>
          <w:rFonts w:cs="Times New Roman"/>
          <w:color w:val="auto"/>
          <w:szCs w:val="22"/>
        </w:rPr>
        <w:t>cyclohexane ring's conformational dynamics in these compounds, in which the 4''-</w:t>
      </w:r>
      <w:r w:rsidRPr="00C07E8E">
        <w:rPr>
          <w:rFonts w:cs="Times New Roman"/>
          <w:i/>
          <w:iCs/>
          <w:color w:val="auto"/>
          <w:szCs w:val="22"/>
        </w:rPr>
        <w:t xml:space="preserve">trans </w:t>
      </w:r>
      <w:r w:rsidRPr="00C07E8E">
        <w:rPr>
          <w:rFonts w:cs="Times New Roman"/>
          <w:color w:val="auto"/>
          <w:szCs w:val="22"/>
        </w:rPr>
        <w:t>substituent favours the equatorial conformer. Therefore the peroxide bond is more exposed and consequently more susceptible to premature activation (</w:t>
      </w:r>
      <w:r w:rsidRPr="00C07E8E">
        <w:rPr>
          <w:rFonts w:cs="Times New Roman"/>
          <w:b/>
          <w:bCs/>
          <w:color w:val="auto"/>
          <w:szCs w:val="22"/>
        </w:rPr>
        <w:t xml:space="preserve">Figure </w:t>
      </w:r>
      <w:r w:rsidR="008D34A3" w:rsidRPr="00C07E8E">
        <w:rPr>
          <w:rFonts w:cs="Times New Roman"/>
          <w:b/>
          <w:bCs/>
          <w:color w:val="auto"/>
          <w:szCs w:val="22"/>
        </w:rPr>
        <w:t>1</w:t>
      </w:r>
      <w:r w:rsidR="00076EFC" w:rsidRPr="00C07E8E">
        <w:rPr>
          <w:rFonts w:cs="Times New Roman"/>
          <w:b/>
          <w:bCs/>
          <w:color w:val="auto"/>
          <w:szCs w:val="22"/>
        </w:rPr>
        <w:t>2</w:t>
      </w:r>
      <w:r w:rsidRPr="00C07E8E">
        <w:rPr>
          <w:rFonts w:cs="Times New Roman"/>
          <w:b/>
          <w:bCs/>
          <w:color w:val="auto"/>
          <w:szCs w:val="22"/>
        </w:rPr>
        <w:t xml:space="preserve">, </w:t>
      </w:r>
      <w:r w:rsidR="007674E7" w:rsidRPr="00C07E8E">
        <w:rPr>
          <w:rFonts w:cs="Times New Roman"/>
          <w:b/>
          <w:bCs/>
          <w:color w:val="auto"/>
          <w:szCs w:val="22"/>
        </w:rPr>
        <w:t>c</w:t>
      </w:r>
      <w:r w:rsidRPr="00C07E8E">
        <w:rPr>
          <w:rFonts w:cs="Times New Roman"/>
          <w:color w:val="auto"/>
          <w:szCs w:val="22"/>
        </w:rPr>
        <w:t>).</w:t>
      </w:r>
      <w:r w:rsidRPr="00C07E8E">
        <w:rPr>
          <w:rFonts w:cs="Times New Roman"/>
          <w:b/>
          <w:bCs/>
          <w:color w:val="auto"/>
          <w:szCs w:val="22"/>
        </w:rPr>
        <w:fldChar w:fldCharType="begin" w:fldLock="1"/>
      </w:r>
      <w:r w:rsidR="00192B39">
        <w:rPr>
          <w:rFonts w:cs="Times New Roman"/>
          <w:b/>
          <w:bCs/>
          <w:color w:val="auto"/>
          <w:szCs w:val="22"/>
        </w:rPr>
        <w:instrText>ADDIN CSL_CITATION {"citationItems":[{"id":"ITEM-1","itemData":{"DOI":"10.1021/acs.jmedchem.7b00699","ISSN":"15204804","PMID":"28692297","abstract":"We describe the first systematic study of antimalarial 1,2,4-trioxolanes bearing a substitution pattern regioisomeric to that of arterolane. Conformational analysis suggested that trans-3″-substituted trioxolanes would exhibit Fe(II) reactivity and antiparasitic activity similar to that achieved with canonical cis-4″ substitution. The chiral 3″ analogues were prepared as single stereoisomers and evaluated alongside their 4″ congeners against cultured malaria parasites and in a murine malaria model. As predicted, the trans-3″ analogues exhibited in vitro antiplasmodial activity remarkably similar to that of their cis-4″ comparators. In contrast, efficacy in the Plasmodium berghei mouse model differed dramatically for some of the congeneric pairs. The best of the novel 3″ analogues (e.g., 12i) outperformed arterolane itself, producing cures in mice after a single oral exposure. Overall, this study suggests new avenues for modulating Fe(II) reactivity and the pharmacokinetic and pharmacodynamic properties of 1,2,4-trioxolane antimalarials.","author":[{"dropping-particle":"","family":"Blank","given":"Brian R.","non-dropping-particle":"","parse-names":false,"suffix":""},{"dropping-particle":"","family":"Gut","given":"Jiri","non-dropping-particle":"","parse-names":false,"suffix":""},{"dropping-particle":"","family":"Rosenthal","given":"Philip J.","non-dropping-particle":"","parse-names":false,"suffix":""},{"dropping-particle":"","family":"Renslo","given":"Adam R.","non-dropping-particle":"","parse-names":false,"suffix":""}],"container-title":"Journal of Medicinal Chemistry","id":"ITEM-1","issue":"14","issued":{"date-parts":[["2017"]]},"page":"6400-6407","title":"Enantioselective Synthesis and in Vivo Evaluation of Regioisomeric Analogues of the Antimalarial Arterolane","type":"article-journal","volume":"60"},"uris":["http://www.mendeley.com/documents/?uuid=72a71c79-86c9-4fc5-983e-ce4a9f6fa8c9"]}],"mendeley":{"formattedCitation":"&lt;sup&gt;126&lt;/sup&gt;","plainTextFormattedCitation":"126","previouslyFormattedCitation":"&lt;sup&gt;126&lt;/sup&gt;"},"properties":{"noteIndex":0},"schema":"https://github.com/citation-style-language/schema/raw/master/csl-citation.json"}</w:instrText>
      </w:r>
      <w:r w:rsidRPr="00C07E8E">
        <w:rPr>
          <w:rFonts w:cs="Times New Roman"/>
          <w:b/>
          <w:bCs/>
          <w:color w:val="auto"/>
          <w:szCs w:val="22"/>
        </w:rPr>
        <w:fldChar w:fldCharType="separate"/>
      </w:r>
      <w:r w:rsidR="00CA5C6A" w:rsidRPr="00CA5C6A">
        <w:rPr>
          <w:rFonts w:cs="Times New Roman"/>
          <w:bCs/>
          <w:noProof/>
          <w:color w:val="auto"/>
          <w:szCs w:val="22"/>
          <w:vertAlign w:val="superscript"/>
        </w:rPr>
        <w:t>126</w:t>
      </w:r>
      <w:r w:rsidRPr="00C07E8E">
        <w:rPr>
          <w:rFonts w:cs="Times New Roman"/>
          <w:b/>
          <w:bCs/>
          <w:color w:val="auto"/>
          <w:szCs w:val="22"/>
        </w:rPr>
        <w:fldChar w:fldCharType="end"/>
      </w:r>
      <w:r w:rsidR="0048714C" w:rsidRPr="00C07E8E">
        <w:rPr>
          <w:rFonts w:cs="Times New Roman"/>
          <w:b/>
          <w:bCs/>
          <w:color w:val="auto"/>
          <w:szCs w:val="22"/>
        </w:rPr>
        <w:t xml:space="preserve"> </w:t>
      </w:r>
      <w:r w:rsidR="00BD15B9" w:rsidRPr="00C07E8E">
        <w:rPr>
          <w:rFonts w:cs="Times New Roman"/>
          <w:b/>
          <w:bCs/>
          <w:color w:val="auto"/>
          <w:szCs w:val="22"/>
        </w:rPr>
        <w:t xml:space="preserve"> </w:t>
      </w:r>
    </w:p>
    <w:p w14:paraId="06EA6895" w14:textId="5C7C9657" w:rsidR="00251197" w:rsidRPr="007370A6" w:rsidRDefault="00C07E8E" w:rsidP="00532D1D">
      <w:pPr>
        <w:autoSpaceDE w:val="0"/>
        <w:autoSpaceDN w:val="0"/>
        <w:adjustRightInd w:val="0"/>
        <w:rPr>
          <w:rFonts w:cs="Times New Roman"/>
          <w:b/>
          <w:bCs/>
          <w:color w:val="auto"/>
          <w:szCs w:val="22"/>
        </w:rPr>
      </w:pPr>
      <w:r w:rsidRPr="00C07E8E">
        <w:rPr>
          <w:rFonts w:cs="Times New Roman"/>
          <w:color w:val="auto"/>
          <w:szCs w:val="22"/>
        </w:rPr>
        <w:tab/>
        <w:t xml:space="preserve">Heme has been reported as an alkylation target of the antimalarial 1,2,4-trioxolanes, as observed in artemisinins. The reaction of OZ277 with heme gave the covalent heme adduct </w:t>
      </w:r>
      <w:r w:rsidR="00774A37">
        <w:rPr>
          <w:rFonts w:cs="Times New Roman"/>
          <w:b/>
          <w:bCs/>
          <w:color w:val="auto"/>
          <w:szCs w:val="22"/>
        </w:rPr>
        <w:t>85</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{"citationItems":[{"id":"ITEM-1","itemData":{"DOI":"10.1021/acsinfecdis.9b00257","ISSN":"23738227","PMID":"31622078","abstract":"The mechanism of action of ozonide antimalarials involves activation by intraparasitic iron and the formation of highly reactive carbon-centered radicals that alkylate malaria parasite proteins. Given free intraparasitic heme is generally thought to be the iron source responsible for ozonide activation and its likely close proximity to the activated drug, we investigated heme as a possible molecular target of the ozonides. Using an extraction method optimized for solubilization of free heme, untargeted LC-MS analysis of ozonide-treated parasites identified several regioisomers of ozonide-alkylated heme, which resulted from covalent modification of the heme porphyrin ring by an ozonide-derived carbon-centered radical. In addition to the intact alkylated heme adduct, putative ozonide-alkylated heme degradation products were also detected. This study directly demonstrates ozonide modification of heme within the malaria parasite Plasmodium falciparum, revealing that this process may be important for the biological activity of ozonide antimalarials.","author":[{"dropping-particle":"","family":"Giannangelo","given":"Carlo","non-dropping-particle":"","parse-names":false,"suffix":""},{"dropping-particle":"","family":"Anderson","given":"Dovile","non-dropping-particle":"","parse-names":false,"suffix":""},{"dropping-particle":"","family":"Wang","given":"Xiaofang","non-dropping-particle":"","parse-names":false,"suffix":""},{"dropping-particle":"","family":"Vennerstrom","given":"Jonathan L.","non-dropping-particle":"","parse-names":false,"suffix":""},{"dropping-particle":"","family":"Charman","given":"Susan A.","non-dropping-particle":"","parse-names":false,"suffix":""},{"dropping-particle":"","family":"Creek","given":"Darren J.","non-dropping-particle":"","parse-names":false,"suffix":""}],"container-title":"ACS Infectious Diseases","id":"ITEM-1","issue":"12","issued":{"date-parts":[["2019"]]},"page":"2076-2086","title":"Ozonide Antimalarials Alkylate Heme in the Malaria Parasite Plasmodium falciparum","type":"article-journal","volume":"5"},"uris":["http://www.mendeley.com/documents/?uuid=773cdb32-dcf0-4db5-98af-f6e5297dc909"]},{"id":"ITEM-2","itemData":{"DOI":"10.1128/AAC.01305-09","ISSN":"00664804","PMID":"20028825","abstract":"Peroxidic antimalarials such as the semisynthetic artemisinins are critically important in the treatment of drug-resistant malaria. Nevertheless, their peroxide bond-dependent mode of action is still not well understood. Using combination experiments with cultured Plasmodium falciparum cells, we investigated the interactions of the nitroxide radical spin trap, 2,2,6,6-tetramethyl-1-piperidinyloxy (TEMPO), and four of its analogs with artemisinin and the ozonide drug development candidate OZ277. The antagonism observed for combinations of artemisinin or OZ277 with the TEMPO analogs supports the hypothesis that the formation of carbon-centered radicals is critical for the activity of these two antimalarial peroxides. The TEMPO analogs showed a trend toward greater antagonism with artemisinin than they did with OZ277, an observation that can be explained by the greater tendency of artemisinin-derived carbon-centered radicals to undergo internal self-quenching reactions, resulting in a lower proportion of radicals available for subsequent chemical reactions such as the alkylation of heme and parasite proteins. In a further mechanistic experiment, we tested both artemisinin and OZ277 in combination with their nonperoxidic analogs. The latter had no effect on the antimalarial activities of the former. These data indicate that the antimalarial properties of peroxides do not derive from reversible interactions with parasite targets. Copyright © 2010, American Society for Microbiology. All Rights Reserved.","author":[{"dropping-particle":"","family":"Fügi","given":"Matthias A.","non-dropping-particle":"","parse-names":false,"suffix":""},{"dropping-particle":"","family":"Wittlin","given":"Sergio","non-dropping-particle":"","parse-names":false,"suffix":""},{"dropping-particle":"","family":"Dong","given":"Yuxiang","non-dropping-particle":"","parse-names":false,"suffix":""},{"dropping-particle":"","family":"Vennerstrom","given":"Jonathan L.","non-dropping-particle":"","parse-names":false,"suffix":""}],"container-title":"Antimicrobial Agents and Chemotherapy","id":"ITEM-2","issue":"3","issued":{"date-parts":[["2010"]]},"page":"1042-1046","title":"Probing the antimalarial mechanism of artemisinin and OZ277 (arterolane) with nonperoxidic isosteres and nitroxyl radicals","type":"article-journal","volume":"54"},"uris":["http://www.mendeley.com/documents/?uuid=e5c9d416-ad22-448e-8b8c-d76606529cfa"]},{"id":"ITEM-3","itemData":{"DOI":"10.1128/AAC.01033-07","author":[{"dropping-particle":"","family":"Creek","given":"Darren J","non-dropping-particle":"","parse-names":false,"suffix":""},{"dropping-particle":"","family":"Charman","given":"William N","non-dropping-particle":"","parse-names":false,"suffix":""},{"dropping-particle":"","family":"Chiu","given":"Francis C K","non-dropping-particle":"","parse-names":false,"suffix":""},{"dropping-particle":"","family":"Prankerd","given":"Richard J","non-dropping-particle":"","parse-names":false,"suffix":""},{"dropping-particle":"","family":"Dong","given":"Yuxiang","non-dropping-particle":"","parse-names":false,"suffix":""},{"dropping-particle":"","family":"Vennerstrom","given":"Jonathan L","non-dropping-particle":"","parse-names":false,"suffix":""},{"dropping-particle":"","family":"Charman","given":"Susan A","non-dropping-particle":"","parse-names":false,"suffix":""}],"container-title":"Antimicrobial agents and chemotherapy","id":"ITEM-3","issue":"4","issued":{"date-parts":[["2008"]]},"page":"1291-1296","title":"Relationship between Antimalarial Activity and Heme Alkylation for Spiro- and Dispiro-1,2,4-Trioxolane Antimalarials","type":"article-journal","volume":"52"},"uris":["http://www.mendeley.com/documents/?uuid=3de118b9-f97a-4f92-9894-4037aa119250"]}],"mendeley":{"formattedCitation":"&lt;sup&gt;121,122,127&lt;/sup&gt;","plainTextFormattedCitation":"121,122,127","previouslyFormattedCitation":"&lt;sup&gt;121,122,127&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121,122,127</w:t>
      </w:r>
      <w:r w:rsidRPr="00C07E8E">
        <w:rPr>
          <w:rFonts w:cs="Times New Roman"/>
          <w:color w:val="auto"/>
          <w:szCs w:val="22"/>
        </w:rPr>
        <w:fldChar w:fldCharType="end"/>
      </w:r>
      <w:r w:rsidRPr="00C07E8E">
        <w:rPr>
          <w:rFonts w:cs="Times New Roman"/>
          <w:color w:val="auto"/>
          <w:szCs w:val="22"/>
        </w:rPr>
        <w:t xml:space="preserve"> (</w:t>
      </w:r>
      <w:r w:rsidRPr="00C07E8E">
        <w:rPr>
          <w:rFonts w:cs="Times New Roman"/>
          <w:b/>
          <w:bCs/>
          <w:color w:val="auto"/>
          <w:szCs w:val="22"/>
        </w:rPr>
        <w:t xml:space="preserve">Figure 5, </w:t>
      </w:r>
      <w:r w:rsidR="007674E7" w:rsidRPr="00C07E8E">
        <w:rPr>
          <w:rFonts w:cs="Times New Roman"/>
          <w:b/>
          <w:bCs/>
          <w:color w:val="auto"/>
          <w:szCs w:val="22"/>
        </w:rPr>
        <w:t>d</w:t>
      </w:r>
      <w:r w:rsidRPr="00C07E8E">
        <w:rPr>
          <w:rFonts w:cs="Times New Roman"/>
          <w:color w:val="auto"/>
          <w:szCs w:val="22"/>
        </w:rPr>
        <w:t>).</w:t>
      </w:r>
    </w:p>
    <w:p w14:paraId="69BAE16F" w14:textId="77777777" w:rsidR="00251197" w:rsidRPr="00C07E8E" w:rsidRDefault="00251197" w:rsidP="00532D1D">
      <w:pPr>
        <w:autoSpaceDE w:val="0"/>
        <w:autoSpaceDN w:val="0"/>
        <w:adjustRightInd w:val="0"/>
        <w:rPr>
          <w:rFonts w:cs="Times New Roman"/>
          <w:color w:val="auto"/>
          <w:szCs w:val="22"/>
        </w:rPr>
      </w:pPr>
    </w:p>
    <w:p w14:paraId="41676033" w14:textId="32A07F1E" w:rsidR="00251197" w:rsidRPr="00C07E8E" w:rsidRDefault="006D7105" w:rsidP="00532D1D">
      <w:pPr>
        <w:autoSpaceDE w:val="0"/>
        <w:autoSpaceDN w:val="0"/>
        <w:adjustRightInd w:val="0"/>
        <w:rPr>
          <w:rFonts w:cs="Times New Roman"/>
          <w:color w:val="auto"/>
          <w:szCs w:val="22"/>
        </w:rPr>
      </w:pPr>
      <w:r>
        <w:rPr>
          <w:noProof/>
        </w:rPr>
        <w:object w:dxaOrig="13162" w:dyaOrig="6567" w14:anchorId="169E49F3">
          <v:shape id="_x0000_i1045" type="#_x0000_t75" alt="" style="width:450pt;height:222pt;mso-width-percent:0;mso-height-percent:0;mso-width-percent:0;mso-height-percent:0" o:ole="">
            <v:imagedata r:id="rId46" o:title=""/>
          </v:shape>
          <o:OLEObject Type="Embed" ProgID="ChemDraw.Document.6.0" ShapeID="_x0000_i1045" DrawAspect="Content" ObjectID="_1669219479" r:id="rId47"/>
        </w:object>
      </w:r>
      <w:r w:rsidR="00774A37" w:rsidRPr="003A4075" w:rsidDel="00774A37">
        <w:rPr>
          <w:rFonts w:cs="Times New Roman"/>
          <w:noProof/>
          <w:color w:val="auto"/>
          <w:szCs w:val="22"/>
        </w:rPr>
        <w:t xml:space="preserve"> </w:t>
      </w:r>
    </w:p>
    <w:p w14:paraId="35E26E8D" w14:textId="523970DF" w:rsidR="00251197"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 xml:space="preserve">Figure </w:t>
      </w:r>
      <w:r w:rsidR="008D34A3" w:rsidRPr="00C07E8E">
        <w:rPr>
          <w:rFonts w:cs="Times New Roman"/>
          <w:b/>
          <w:bCs/>
          <w:color w:val="auto"/>
          <w:szCs w:val="22"/>
        </w:rPr>
        <w:t>1</w:t>
      </w:r>
      <w:r w:rsidR="00076EFC" w:rsidRPr="00C07E8E">
        <w:rPr>
          <w:rFonts w:cs="Times New Roman"/>
          <w:b/>
          <w:bCs/>
          <w:color w:val="auto"/>
          <w:szCs w:val="22"/>
        </w:rPr>
        <w:t>2</w:t>
      </w:r>
      <w:r w:rsidRPr="00C07E8E">
        <w:rPr>
          <w:rFonts w:cs="Times New Roman"/>
          <w:color w:val="auto"/>
          <w:szCs w:val="22"/>
        </w:rPr>
        <w:t xml:space="preserve">: (a) </w:t>
      </w:r>
      <w:r w:rsidR="00544C19">
        <w:rPr>
          <w:rFonts w:cs="Times New Roman"/>
          <w:color w:val="auto"/>
          <w:szCs w:val="22"/>
        </w:rPr>
        <w:t>Proposed mechanism for i</w:t>
      </w:r>
      <w:r w:rsidR="008075BE" w:rsidRPr="00C07E8E">
        <w:rPr>
          <w:rFonts w:cs="Times New Roman"/>
          <w:color w:val="auto"/>
          <w:szCs w:val="22"/>
        </w:rPr>
        <w:t xml:space="preserve">ron-mediated degradation of </w:t>
      </w:r>
      <w:r w:rsidRPr="00C07E8E">
        <w:rPr>
          <w:rFonts w:cs="Times New Roman"/>
          <w:color w:val="auto"/>
          <w:szCs w:val="22"/>
        </w:rPr>
        <w:t>1,2,4-trioxolane</w:t>
      </w:r>
      <w:r w:rsidR="008075BE" w:rsidRPr="00C07E8E">
        <w:rPr>
          <w:rFonts w:cs="Times New Roman"/>
          <w:color w:val="auto"/>
          <w:szCs w:val="22"/>
        </w:rPr>
        <w:t xml:space="preserve"> with core substructure of OZ277 and OZ439</w:t>
      </w:r>
      <w:r w:rsidRPr="00C07E8E">
        <w:rPr>
          <w:rFonts w:cs="Times New Roman"/>
          <w:color w:val="auto"/>
          <w:szCs w:val="22"/>
        </w:rPr>
        <w:t xml:space="preserve">; (b) TEMPO adduct; (c) OZ277 </w:t>
      </w:r>
      <w:r w:rsidRPr="00C07E8E">
        <w:rPr>
          <w:rFonts w:cs="Times New Roman"/>
          <w:i/>
          <w:iCs/>
          <w:color w:val="auto"/>
          <w:szCs w:val="22"/>
        </w:rPr>
        <w:t>cis-trans</w:t>
      </w:r>
      <w:r w:rsidRPr="00C07E8E">
        <w:rPr>
          <w:rFonts w:cs="Times New Roman"/>
          <w:color w:val="auto"/>
          <w:szCs w:val="22"/>
        </w:rPr>
        <w:t xml:space="preserve"> diastereomers; (d) Proof of concept for heme alkylation by OZ277. </w:t>
      </w:r>
    </w:p>
    <w:p w14:paraId="4AB7F1E3" w14:textId="77777777" w:rsidR="006B71A6" w:rsidRPr="00C07E8E" w:rsidRDefault="006B71A6" w:rsidP="00532D1D">
      <w:pPr>
        <w:autoSpaceDE w:val="0"/>
        <w:autoSpaceDN w:val="0"/>
        <w:adjustRightInd w:val="0"/>
        <w:rPr>
          <w:rFonts w:cs="Times New Roman"/>
          <w:color w:val="auto"/>
          <w:szCs w:val="22"/>
        </w:rPr>
      </w:pPr>
    </w:p>
    <w:p w14:paraId="0DC76311" w14:textId="730E814E" w:rsidR="006B71A6" w:rsidRPr="00C07E8E" w:rsidRDefault="00C07E8E" w:rsidP="00532D1D">
      <w:pPr>
        <w:autoSpaceDE w:val="0"/>
        <w:autoSpaceDN w:val="0"/>
        <w:adjustRightInd w:val="0"/>
        <w:rPr>
          <w:rFonts w:cs="Times New Roman"/>
          <w:color w:val="auto"/>
          <w:szCs w:val="22"/>
        </w:rPr>
      </w:pPr>
      <w:r w:rsidRPr="00C07E8E">
        <w:rPr>
          <w:rFonts w:cs="Times New Roman"/>
          <w:b/>
          <w:bCs/>
          <w:i/>
          <w:iCs/>
          <w:color w:val="auto"/>
          <w:szCs w:val="22"/>
        </w:rPr>
        <w:t>Nonspecific alkylation of proteins in ozonides:</w:t>
      </w:r>
      <w:r w:rsidRPr="00C07E8E">
        <w:rPr>
          <w:rFonts w:cs="Times New Roman"/>
          <w:color w:val="auto"/>
          <w:szCs w:val="22"/>
        </w:rPr>
        <w:t xml:space="preserve"> A recent study with monoclonal antibodies and ozonides reported by Jourdan </w:t>
      </w:r>
      <w:r w:rsidRPr="00C07E8E">
        <w:rPr>
          <w:rFonts w:cs="Times New Roman"/>
          <w:i/>
          <w:iCs/>
          <w:color w:val="auto"/>
          <w:szCs w:val="22"/>
        </w:rPr>
        <w:t>et al.,</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{"citationItems":[{"id":"ITEM-1","itemData":{"DOI":"10.1021/acsinfecdis.5b00090","ISSN":"23738227","abstract":"The singular structure of artemisinin, with its embedded 1,2,4-trioxane heterocycle, has inspired the discovery of numerous semisynthetic artemisinin and structurally diverse synthetic peroxide antimalarials, including ozonides OZ277 (arterolane) and OZ439 (artefenomel). Despite the critical importance of artemisinin combination therapies (ACTs), the precise mode of action of peroxidic antimalarials is not fully understood. However, it has long been proposed that the peroxide bond in artemisinin and other antimalarial peroxides undergoes reductive activation by ferrous heme released during hemoglobin digestion to produce carbon-centered radicals that alkylate heme and parasite proteins. To probe the mode of action of OZ277 and OZ439, this paper now describes initial studies with monoclonal antibodies that recognize the alkylation signature (sum of heme and protein alkylation) of these synthetic peroxides. Immunofluorescence experiments conducted with ozonide-treated parasite cultures showed that ozonide alkylation is restricted to the parasite, as no signal was found in the erythrocyte or its membrane. In Western blot experiments with ozonide-treated Plasmodium falciparum malaria parasites, distinct protein bands were observed. Significantly, no protein bands were detected in parallel Western blot experiments performed with lysates from ozonide-treated Babesia divergens, parasites that also proliferate inside erythrocytes but, in contrast to P. falciparum, do not catabolize hemoglobin. However, subsequent immunoprecipitation experiments with these antibodies failed to identify the P. falciparum proteins alkylated by OZ277 and OZ439. To the best of the authors' knowledge, this shows for the first time that antimalarial ozonides, such as the artemisinins, alkylate proteins in P. falciparum.","author":[{"dropping-particle":"","family":"Jourdan","given":"Joëlle","non-dropping-particle":"","parse-names":false,"suffix":""},{"dropping-particle":"","family":"Matile","given":"Hugues","non-dropping-particle":"","parse-names":false,"suffix":""},{"dropping-particle":"","family":"Reift","given":"Ellen","non-dropping-particle":"","parse-names":false,"suffix":""},{"dropping-particle":"","family":"Biehlmaier","given":"Oliver","non-dropping-particle":"","parse-names":false,"suffix":""},{"dropping-particle":"","family":"Dong","given":"Yuxiang","non-dropping-particle":"","parse-names":false,"suffix":""},{"dropping-particle":"","family":"Wang","given":"Xiaofang","non-dropping-particle":"","parse-names":false,"suffix":""},{"dropping-particle":"","family":"Mäser","given":"Pascal","non-dropping-particle":"","parse-names":false,"suffix":""},{"dropping-particle":"","family":"Vennerstrom","given":"Jonathan L.","non-dropping-particle":"","parse-names":false,"suffix":""},{"dropping-particle":"","family":"Wittlin","given":"Sergio","non-dropping-particle":"","parse-names":false,"suffix":""}],"container-title":"ACS Infectious Diseases","id":"ITEM-1","issue":"1","issued":{"date-parts":[["2016"]]},"page":"54-61","title":"Monoclonal Antibodies That Recognize the Alkylation Signature of Antimalarial Ozonides OZ277 (Arterolane) and OZ439 (Artefenomel)","type":"article-journal","volume":"2"},"uris":["http://www.mendeley.com/documents/?uuid=d701fa9c-2656-46a8-9198-d1c86154f4f7"]}],"mendeley":{"formattedCitation":"&lt;sup&gt;128&lt;/sup&gt;","plainTextFormattedCitation":"128","previouslyFormattedCitation":"&lt;sup&gt;128&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128</w:t>
      </w:r>
      <w:r w:rsidRPr="00C07E8E">
        <w:rPr>
          <w:rFonts w:cs="Times New Roman"/>
          <w:color w:val="auto"/>
          <w:szCs w:val="22"/>
        </w:rPr>
        <w:fldChar w:fldCharType="end"/>
      </w:r>
      <w:r w:rsidRPr="00C07E8E">
        <w:rPr>
          <w:rFonts w:cs="Times New Roman"/>
          <w:color w:val="auto"/>
          <w:szCs w:val="22"/>
        </w:rPr>
        <w:t xml:space="preserve"> has shown that the antimalarial ozonides OZ277 and OZ439 also alkylate proteins in </w:t>
      </w:r>
      <w:r w:rsidRPr="00C07E8E">
        <w:rPr>
          <w:rFonts w:cs="Times New Roman"/>
          <w:i/>
          <w:iCs/>
          <w:color w:val="auto"/>
          <w:szCs w:val="22"/>
        </w:rPr>
        <w:t>P. falciparum</w:t>
      </w:r>
      <w:r w:rsidRPr="00C07E8E">
        <w:rPr>
          <w:rFonts w:cs="Times New Roman"/>
          <w:color w:val="auto"/>
          <w:szCs w:val="22"/>
        </w:rPr>
        <w:t xml:space="preserve">. However, unlike for artemisinins, following immunoprecipitation experiments with these antibodies, the authors </w:t>
      </w:r>
      <w:r w:rsidR="006710BA" w:rsidRPr="00C07E8E">
        <w:rPr>
          <w:rFonts w:cs="Times New Roman"/>
          <w:color w:val="auto"/>
          <w:szCs w:val="22"/>
        </w:rPr>
        <w:t>could not</w:t>
      </w:r>
      <w:r w:rsidRPr="00C07E8E">
        <w:rPr>
          <w:rFonts w:cs="Times New Roman"/>
          <w:color w:val="auto"/>
          <w:szCs w:val="22"/>
        </w:rPr>
        <w:t xml:space="preserve"> </w:t>
      </w:r>
      <w:r w:rsidR="00F73389" w:rsidRPr="00C07E8E">
        <w:rPr>
          <w:rFonts w:cs="Times New Roman"/>
          <w:color w:val="auto"/>
          <w:szCs w:val="22"/>
        </w:rPr>
        <w:t>detect</w:t>
      </w:r>
      <w:r w:rsidRPr="00C07E8E">
        <w:rPr>
          <w:rFonts w:cs="Times New Roman"/>
          <w:color w:val="auto"/>
          <w:szCs w:val="22"/>
        </w:rPr>
        <w:t xml:space="preserve"> the specific alkylated parasite proteins.  </w:t>
      </w:r>
    </w:p>
    <w:p w14:paraId="35302F3C" w14:textId="2F116DF6" w:rsidR="000A727D" w:rsidRPr="00C07E8E" w:rsidRDefault="00C07E8E" w:rsidP="00532D1D">
      <w:pPr>
        <w:autoSpaceDE w:val="0"/>
        <w:autoSpaceDN w:val="0"/>
        <w:adjustRightInd w:val="0"/>
        <w:rPr>
          <w:rFonts w:cs="Times New Roman"/>
          <w:color w:val="auto"/>
          <w:szCs w:val="22"/>
        </w:rPr>
      </w:pPr>
      <w:r w:rsidRPr="00C07E8E">
        <w:rPr>
          <w:rFonts w:cs="Times New Roman"/>
          <w:color w:val="auto"/>
          <w:szCs w:val="22"/>
        </w:rPr>
        <w:lastRenderedPageBreak/>
        <w:tab/>
        <w:t>Chemical proteomics with activity-based probes of ozonides (</w:t>
      </w:r>
      <w:r w:rsidR="003B5020" w:rsidRPr="00C07E8E">
        <w:rPr>
          <w:rFonts w:cs="Times New Roman"/>
          <w:b/>
          <w:bCs/>
          <w:color w:val="auto"/>
          <w:szCs w:val="22"/>
        </w:rPr>
        <w:t>8</w:t>
      </w:r>
      <w:r w:rsidR="00774A37">
        <w:rPr>
          <w:rFonts w:cs="Times New Roman"/>
          <w:b/>
          <w:bCs/>
          <w:color w:val="auto"/>
          <w:szCs w:val="22"/>
        </w:rPr>
        <w:t>6</w:t>
      </w:r>
      <w:r w:rsidRPr="00C07E8E">
        <w:rPr>
          <w:rFonts w:cs="Times New Roman"/>
          <w:b/>
          <w:bCs/>
          <w:color w:val="auto"/>
          <w:szCs w:val="22"/>
        </w:rPr>
        <w:t>-</w:t>
      </w:r>
      <w:r w:rsidR="00774A37">
        <w:rPr>
          <w:rFonts w:cs="Times New Roman"/>
          <w:b/>
          <w:bCs/>
          <w:color w:val="auto"/>
          <w:szCs w:val="22"/>
        </w:rPr>
        <w:t>94</w:t>
      </w:r>
      <w:r w:rsidRPr="00E415BF">
        <w:rPr>
          <w:rFonts w:cs="Times New Roman"/>
          <w:color w:val="auto"/>
          <w:szCs w:val="22"/>
        </w:rPr>
        <w:t xml:space="preserve">, Figure </w:t>
      </w:r>
      <w:r w:rsidR="003B5020" w:rsidRPr="00E415BF">
        <w:rPr>
          <w:rFonts w:cs="Times New Roman"/>
          <w:color w:val="auto"/>
          <w:szCs w:val="22"/>
        </w:rPr>
        <w:t>13</w:t>
      </w:r>
      <w:r w:rsidRPr="00C07E8E">
        <w:rPr>
          <w:rFonts w:cs="Times New Roman"/>
          <w:b/>
          <w:bCs/>
          <w:color w:val="auto"/>
          <w:szCs w:val="22"/>
        </w:rPr>
        <w:t>)</w:t>
      </w:r>
      <w:r w:rsidRPr="00C07E8E">
        <w:rPr>
          <w:rFonts w:cs="Times New Roman"/>
          <w:color w:val="auto"/>
          <w:szCs w:val="22"/>
        </w:rPr>
        <w:t xml:space="preserve"> were</w:t>
      </w:r>
      <w:r w:rsidR="00F061C2" w:rsidRPr="00C07E8E">
        <w:rPr>
          <w:rFonts w:cs="Times New Roman"/>
          <w:color w:val="auto"/>
          <w:szCs w:val="22"/>
        </w:rPr>
        <w:t xml:space="preserve"> first</w:t>
      </w:r>
      <w:r w:rsidRPr="00C07E8E">
        <w:rPr>
          <w:rFonts w:cs="Times New Roman"/>
          <w:color w:val="auto"/>
          <w:szCs w:val="22"/>
        </w:rPr>
        <w:t xml:space="preserve"> performed by Ismail et al.</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{"citationItems":[{"id":"ITEM-1","itemData":{"DOI":"10.1002/anie.201512062","ISSN":"15213773","PMID":"27089538","abstract":"In spite of the recent increase in endoperoxide antimalarials under development, it remains unclear if all these chemotypes share a common mechanism of action. This is important since it will influence cross-resistance risks between the different classes. Here we investigate this proposition using novel clickable 1,2,4-trioxolane activity based protein-profiling probes (ABPPs). ABPPs with potent antimalarial activity were able to alkylate protein target(s) within the asexual erythrocytic stage of Plasmodium falciparum (3D7). Importantly, comparison of the alkylation fingerprint with that generated from an artemisinin ABPP equivalent confirms a highly conserved alkylation profile, with both endoperoxide classes targeting proteins in the glycolytic, hemoglobin degradation, antioxidant defence, protein synthesis and protein stress pathways, essential biological processes for plasmodial survival. The alkylation signatures of the two chemotypes show significant overlap (ca. 90 %) both qualitatively and semi-quantitatively, suggesting a common mechanism of action that raises concerns about potential cross-resistance liabilities. Clickable 1,2,4-trioxolane activity-based protein-profiling probes (ABPPs) were designed to retain antimalarial activity and alkylate the molecular targets of the blood stage of Plasmodium falciparum in situ. Comparison of the 1,2,4-trioxolane protein alkylation signature with the corresponding artemisinin ABPPs indicates that both drug classes target key proteins in the glycolytic, hemoglobin degradation, antioxidant defence and protein synthesis pathways.","author":[{"dropping-particle":"","family":"Ismail","given":"Hanafy M.","non-dropping-particle":"","parse-names":false,"suffix":""},{"dropping-particle":"","family":"Barton","given":"Victoria E.","non-dropping-particle":"","parse-names":false,"suffix":""},{"dropping-particle":"","family":"Panchana","given":"Matthew","non-dropping-particle":"","parse-names":false,"suffix":""},{"dropping-particle":"","family":"Charoensutthivarakul","given":"Sitthivut","non-dropping-particle":"","parse-names":false,"suffix":""},{"dropping-particle":"","family":"Biagini","given":"Giancarlo A.","non-dropping-particle":"","parse-names":false,"suffix":""},{"dropping-particle":"","family":"Ward","given":"Stephen A.","non-dropping-particle":"","parse-names":false,"suffix":""},{"dropping-particle":"","family":"O'Neill","given":"Paul M.","non-dropping-particle":"","parse-names":false,"suffix":""}],"container-title":"Angewandte Chemie - International Edition","id":"ITEM-1","issue":"22","issued":{"date-parts":[["2016"]]},"page":"6401-6405","title":"A click chemistry-based proteomic approach reveals that 1,2,4-trioxolane and artemisinin antimalarials share a common protein alkylation profile","type":"article-journal","volume":"55"},"uris":["http://www.mendeley.com/documents/?uuid=a5981ea1-58dc-42c2-9d6e-eca13a70676b","http://www.mendeley.com/documents/?uuid=e7242e5d-f928-4209-9d61-2e5f3fbfa5eb"]}],"mendeley":{"formattedCitation":"&lt;sup&gt;69&lt;/sup&gt;","plainTextFormattedCitation":"69","previouslyFormattedCitation":"&lt;sup&gt;69&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69</w:t>
      </w:r>
      <w:r w:rsidRPr="00C07E8E">
        <w:rPr>
          <w:rFonts w:cs="Times New Roman"/>
          <w:color w:val="auto"/>
          <w:szCs w:val="22"/>
        </w:rPr>
        <w:fldChar w:fldCharType="end"/>
      </w:r>
      <w:r w:rsidRPr="00C07E8E">
        <w:rPr>
          <w:rFonts w:cs="Times New Roman"/>
          <w:color w:val="auto"/>
          <w:szCs w:val="22"/>
        </w:rPr>
        <w:t xml:space="preserve"> </w:t>
      </w:r>
      <w:r w:rsidR="000A66F1">
        <w:rPr>
          <w:rFonts w:cs="Times New Roman"/>
          <w:color w:val="auto"/>
          <w:szCs w:val="22"/>
        </w:rPr>
        <w:t>The research group was</w:t>
      </w:r>
      <w:r w:rsidRPr="00C07E8E">
        <w:rPr>
          <w:rFonts w:cs="Times New Roman"/>
          <w:color w:val="auto"/>
          <w:szCs w:val="22"/>
        </w:rPr>
        <w:t xml:space="preserve"> able to determine that the clickable 1,2,4-trioxolane </w:t>
      </w:r>
      <w:r w:rsidRPr="00C07E8E">
        <w:rPr>
          <w:rFonts w:cs="Times New Roman"/>
          <w:b/>
          <w:bCs/>
          <w:color w:val="auto"/>
          <w:szCs w:val="22"/>
        </w:rPr>
        <w:t>(</w:t>
      </w:r>
      <w:r w:rsidR="003B5020" w:rsidRPr="00C07E8E">
        <w:rPr>
          <w:rFonts w:cs="Times New Roman"/>
          <w:b/>
          <w:bCs/>
          <w:color w:val="auto"/>
          <w:szCs w:val="22"/>
        </w:rPr>
        <w:t>8</w:t>
      </w:r>
      <w:r w:rsidR="00774A37">
        <w:rPr>
          <w:rFonts w:cs="Times New Roman"/>
          <w:b/>
          <w:bCs/>
          <w:color w:val="auto"/>
          <w:szCs w:val="22"/>
        </w:rPr>
        <w:t>6</w:t>
      </w:r>
      <w:r w:rsidRPr="00C07E8E">
        <w:rPr>
          <w:rFonts w:cs="Times New Roman"/>
          <w:b/>
          <w:bCs/>
          <w:color w:val="auto"/>
          <w:szCs w:val="22"/>
        </w:rPr>
        <w:t>-</w:t>
      </w:r>
      <w:r w:rsidR="003B5020" w:rsidRPr="00C07E8E">
        <w:rPr>
          <w:rFonts w:cs="Times New Roman"/>
          <w:b/>
          <w:bCs/>
          <w:color w:val="auto"/>
          <w:szCs w:val="22"/>
        </w:rPr>
        <w:t>8</w:t>
      </w:r>
      <w:r w:rsidR="00774A37">
        <w:rPr>
          <w:rFonts w:cs="Times New Roman"/>
          <w:b/>
          <w:bCs/>
          <w:color w:val="auto"/>
          <w:szCs w:val="22"/>
        </w:rPr>
        <w:t>9</w:t>
      </w:r>
      <w:r w:rsidR="00E415BF" w:rsidRPr="00E415BF">
        <w:rPr>
          <w:rFonts w:cs="Times New Roman"/>
          <w:color w:val="auto"/>
          <w:szCs w:val="22"/>
        </w:rPr>
        <w:t>, Figure 13</w:t>
      </w:r>
      <w:r w:rsidRPr="00C07E8E">
        <w:rPr>
          <w:rFonts w:cs="Times New Roman"/>
          <w:b/>
          <w:bCs/>
          <w:color w:val="auto"/>
          <w:szCs w:val="22"/>
        </w:rPr>
        <w:t>)</w:t>
      </w:r>
      <w:r w:rsidRPr="00C07E8E">
        <w:rPr>
          <w:rFonts w:cs="Times New Roman"/>
          <w:color w:val="auto"/>
          <w:szCs w:val="22"/>
        </w:rPr>
        <w:t xml:space="preserve"> and </w:t>
      </w:r>
      <w:r w:rsidR="00743C21" w:rsidRPr="00C07E8E">
        <w:rPr>
          <w:rFonts w:cs="Times New Roman"/>
          <w:color w:val="auto"/>
          <w:szCs w:val="22"/>
        </w:rPr>
        <w:t>ART-</w:t>
      </w:r>
      <w:r w:rsidRPr="00C07E8E">
        <w:rPr>
          <w:rFonts w:cs="Times New Roman"/>
          <w:color w:val="auto"/>
          <w:szCs w:val="22"/>
        </w:rPr>
        <w:t xml:space="preserve">probes revealed </w:t>
      </w:r>
      <w:r w:rsidR="00D76697" w:rsidRPr="00C07E8E">
        <w:rPr>
          <w:rFonts w:cs="Times New Roman"/>
          <w:color w:val="auto"/>
          <w:szCs w:val="22"/>
        </w:rPr>
        <w:t>consistent</w:t>
      </w:r>
      <w:r w:rsidR="00743C21" w:rsidRPr="00C07E8E">
        <w:rPr>
          <w:rFonts w:cs="Times New Roman"/>
          <w:color w:val="auto"/>
          <w:szCs w:val="22"/>
        </w:rPr>
        <w:t xml:space="preserve"> </w:t>
      </w:r>
      <w:r w:rsidRPr="00C07E8E">
        <w:rPr>
          <w:rFonts w:cs="Times New Roman"/>
          <w:color w:val="auto"/>
          <w:szCs w:val="22"/>
        </w:rPr>
        <w:t>overlapping profiles,</w:t>
      </w:r>
      <w:r w:rsidR="00D76697" w:rsidRPr="00C07E8E">
        <w:rPr>
          <w:rFonts w:cs="Times New Roman"/>
          <w:color w:val="auto"/>
          <w:szCs w:val="22"/>
        </w:rPr>
        <w:t xml:space="preserve"> with a total of</w:t>
      </w:r>
      <w:r w:rsidRPr="007370A6">
        <w:rPr>
          <w:rFonts w:cs="Times New Roman"/>
          <w:color w:val="auto"/>
          <w:szCs w:val="22"/>
        </w:rPr>
        <w:t xml:space="preserve"> 53 of the same </w:t>
      </w:r>
      <w:r w:rsidR="00D76697" w:rsidRPr="007370A6">
        <w:rPr>
          <w:rFonts w:cs="Times New Roman"/>
          <w:color w:val="auto"/>
          <w:szCs w:val="22"/>
        </w:rPr>
        <w:t xml:space="preserve">parasite </w:t>
      </w:r>
      <w:r w:rsidRPr="007370A6">
        <w:rPr>
          <w:rFonts w:cs="Times New Roman"/>
          <w:color w:val="auto"/>
          <w:szCs w:val="22"/>
        </w:rPr>
        <w:t>proteins</w:t>
      </w:r>
      <w:r w:rsidRPr="00C07E8E">
        <w:rPr>
          <w:rFonts w:cs="Times New Roman"/>
          <w:color w:val="auto"/>
          <w:szCs w:val="22"/>
        </w:rPr>
        <w:t xml:space="preserve">, with a significant overlap (ca. 90%), both qualitatively and semi-quantitatively. </w:t>
      </w:r>
    </w:p>
    <w:p w14:paraId="1490E325" w14:textId="6E11A415" w:rsidR="006B71A6"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Alkylation of protein targets did not occur when experimenting with deoxo</w:t>
      </w:r>
      <w:r w:rsidR="002871A2" w:rsidRPr="00C07E8E">
        <w:rPr>
          <w:rFonts w:cs="Times New Roman"/>
          <w:color w:val="auto"/>
          <w:szCs w:val="22"/>
        </w:rPr>
        <w:t xml:space="preserve"> </w:t>
      </w:r>
      <w:r w:rsidRPr="00C07E8E">
        <w:rPr>
          <w:rFonts w:cs="Times New Roman"/>
          <w:color w:val="auto"/>
          <w:szCs w:val="22"/>
        </w:rPr>
        <w:t xml:space="preserve">analogues, </w:t>
      </w:r>
      <w:r w:rsidR="002871A2" w:rsidRPr="00C07E8E">
        <w:rPr>
          <w:rFonts w:cs="Times New Roman"/>
          <w:color w:val="auto"/>
          <w:szCs w:val="22"/>
        </w:rPr>
        <w:t xml:space="preserve">showing that the </w:t>
      </w:r>
      <w:r w:rsidRPr="00C07E8E">
        <w:rPr>
          <w:rFonts w:cs="Times New Roman"/>
          <w:color w:val="auto"/>
          <w:szCs w:val="22"/>
        </w:rPr>
        <w:t xml:space="preserve">peroxide bond for activity </w:t>
      </w:r>
      <w:r w:rsidR="002871A2" w:rsidRPr="00C07E8E">
        <w:rPr>
          <w:rFonts w:cs="Times New Roman"/>
          <w:color w:val="auto"/>
          <w:szCs w:val="22"/>
        </w:rPr>
        <w:t xml:space="preserve">is </w:t>
      </w:r>
      <w:r w:rsidR="00544C19">
        <w:rPr>
          <w:rFonts w:cs="Times New Roman"/>
          <w:color w:val="auto"/>
          <w:szCs w:val="22"/>
        </w:rPr>
        <w:t xml:space="preserve">also </w:t>
      </w:r>
      <w:r w:rsidR="002871A2" w:rsidRPr="00C07E8E">
        <w:rPr>
          <w:rFonts w:cs="Times New Roman"/>
          <w:color w:val="auto"/>
          <w:szCs w:val="22"/>
        </w:rPr>
        <w:t xml:space="preserve">crucial to promote </w:t>
      </w:r>
      <w:r w:rsidR="00DA3B71">
        <w:rPr>
          <w:rFonts w:cs="Times New Roman"/>
          <w:color w:val="auto"/>
          <w:szCs w:val="22"/>
        </w:rPr>
        <w:t xml:space="preserve">protein </w:t>
      </w:r>
      <w:r w:rsidR="002871A2" w:rsidRPr="00C07E8E">
        <w:rPr>
          <w:rFonts w:cs="Times New Roman"/>
          <w:color w:val="auto"/>
          <w:szCs w:val="22"/>
        </w:rPr>
        <w:t xml:space="preserve">alkylation. </w:t>
      </w:r>
      <w:r w:rsidRPr="00C07E8E">
        <w:rPr>
          <w:rFonts w:cs="Times New Roman"/>
          <w:color w:val="auto"/>
          <w:szCs w:val="22"/>
        </w:rPr>
        <w:t xml:space="preserve">These results </w:t>
      </w:r>
      <w:r w:rsidR="002871A2" w:rsidRPr="00C07E8E">
        <w:rPr>
          <w:rFonts w:cs="Times New Roman"/>
          <w:color w:val="auto"/>
          <w:szCs w:val="22"/>
        </w:rPr>
        <w:t>gave</w:t>
      </w:r>
      <w:r w:rsidRPr="00C07E8E">
        <w:rPr>
          <w:rFonts w:cs="Times New Roman"/>
          <w:color w:val="auto"/>
          <w:szCs w:val="22"/>
        </w:rPr>
        <w:t xml:space="preserve"> sound </w:t>
      </w:r>
      <w:r w:rsidR="000B1E1D" w:rsidRPr="00C07E8E">
        <w:rPr>
          <w:rFonts w:cs="Times New Roman"/>
          <w:color w:val="auto"/>
          <w:szCs w:val="22"/>
        </w:rPr>
        <w:t>proof</w:t>
      </w:r>
      <w:r w:rsidRPr="00C07E8E">
        <w:rPr>
          <w:rFonts w:cs="Times New Roman"/>
          <w:color w:val="auto"/>
          <w:szCs w:val="22"/>
        </w:rPr>
        <w:t xml:space="preserve"> for a common mechanism of action</w:t>
      </w:r>
      <w:r w:rsidR="002871A2" w:rsidRPr="00C07E8E">
        <w:rPr>
          <w:rFonts w:cs="Times New Roman"/>
          <w:color w:val="auto"/>
          <w:szCs w:val="22"/>
        </w:rPr>
        <w:t xml:space="preserve"> between</w:t>
      </w:r>
      <w:r w:rsidRPr="00C07E8E">
        <w:rPr>
          <w:rFonts w:cs="Times New Roman"/>
          <w:color w:val="auto"/>
          <w:szCs w:val="22"/>
        </w:rPr>
        <w:t xml:space="preserve"> </w:t>
      </w:r>
      <w:r w:rsidR="002871A2" w:rsidRPr="00C07E8E">
        <w:rPr>
          <w:rFonts w:cs="Times New Roman"/>
          <w:color w:val="auto"/>
          <w:szCs w:val="22"/>
        </w:rPr>
        <w:t>artemisinin and ozonides</w:t>
      </w:r>
      <w:r w:rsidR="00544C19">
        <w:rPr>
          <w:rFonts w:cs="Times New Roman"/>
          <w:color w:val="auto"/>
          <w:szCs w:val="22"/>
        </w:rPr>
        <w:t xml:space="preserve">,  </w:t>
      </w:r>
      <w:r w:rsidRPr="00C07E8E">
        <w:rPr>
          <w:rFonts w:cs="Times New Roman"/>
          <w:color w:val="auto"/>
          <w:szCs w:val="22"/>
        </w:rPr>
        <w:t xml:space="preserve">also </w:t>
      </w:r>
      <w:r w:rsidR="00544C19">
        <w:rPr>
          <w:rFonts w:cs="Times New Roman"/>
          <w:color w:val="auto"/>
          <w:szCs w:val="22"/>
        </w:rPr>
        <w:t xml:space="preserve">with prospects of </w:t>
      </w:r>
      <w:r w:rsidRPr="00C07E8E">
        <w:rPr>
          <w:rFonts w:cs="Times New Roman"/>
          <w:color w:val="auto"/>
          <w:szCs w:val="22"/>
        </w:rPr>
        <w:t xml:space="preserve">a potential cross-resistance </w:t>
      </w:r>
      <w:r w:rsidR="00B32E78">
        <w:rPr>
          <w:rFonts w:cs="Times New Roman"/>
          <w:color w:val="auto"/>
          <w:szCs w:val="22"/>
        </w:rPr>
        <w:t>issue</w:t>
      </w:r>
      <w:r w:rsidR="00B32E78" w:rsidRPr="00C07E8E">
        <w:rPr>
          <w:rFonts w:cs="Times New Roman"/>
          <w:color w:val="auto"/>
          <w:szCs w:val="22"/>
        </w:rPr>
        <w:t xml:space="preserve"> </w:t>
      </w:r>
      <w:r w:rsidRPr="00C07E8E">
        <w:rPr>
          <w:rFonts w:cs="Times New Roman"/>
          <w:color w:val="auto"/>
          <w:szCs w:val="22"/>
        </w:rPr>
        <w:t xml:space="preserve">for the endoperoxides.  </w:t>
      </w:r>
    </w:p>
    <w:p w14:paraId="1566CDD2" w14:textId="1537BFF9" w:rsidR="006B71A6"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Jourdan </w:t>
      </w:r>
      <w:r w:rsidRPr="00C07E8E">
        <w:rPr>
          <w:rFonts w:cs="Times New Roman"/>
          <w:i/>
          <w:iCs/>
          <w:color w:val="auto"/>
          <w:szCs w:val="22"/>
        </w:rPr>
        <w:t>et al.</w:t>
      </w:r>
      <w:r w:rsidRPr="00C07E8E">
        <w:rPr>
          <w:rFonts w:cs="Times New Roman"/>
          <w:color w:val="auto"/>
          <w:szCs w:val="22"/>
        </w:rPr>
        <w:fldChar w:fldCharType="begin" w:fldLock="1"/>
      </w:r>
      <w:r w:rsidR="007125A3">
        <w:rPr>
          <w:rFonts w:cs="Times New Roman"/>
          <w:color w:val="auto"/>
          <w:szCs w:val="22"/>
        </w:rPr>
        <w:instrText>ADDIN CSL_CITATION {"citationItems":[{"id":"ITEM-1","itemData":{"DOI":"10.1021/acsinfecdis.9b00264","ISSN":"23738227","PMID":"31626733","abstract":"Antimalarial peroxides such as the phytochemical artemisinin or the synthetic ozonides arterolane and artefenomel undergo reductive cleavage of the pharmacophoric peroxide bond by ferrous heme, released by parasite hemoglobin digestion. The generated carbon-centered radicals alkylate heme in an intramolecular reaction and proteins in an intermolecular reaction. Here, we determine the proteinaceous alkylation signatures of artemisinin and synthetic ozonides in Plasmodium falciparum using alkyne click chemistry probes to identify target proteins by affinity purification and mass spectrometry-based proteomics. Using stringent controls and purification procedures, we identified 25 P. falciparum proteins that were alkylated by the antimalarial peroxides in a peroxide-dependent manner, but the alkylation patterns were more random than we had anticipated. Moreover, there was little overlap in the alkylation signatures identified in this work and those disclosed in previous studies. Our findings suggest that alkylation of parasite proteins by antimalarial peroxides is likely to be a nonspecific, stochastic process.","author":[{"dropping-particle":"","family":"Jourdan","given":"Joëlle","non-dropping-particle":"","parse-names":false,"suffix":""},{"dropping-particle":"","family":"Walz","given":"Annabelle","non-dropping-particle":"","parse-names":false,"suffix":""},{"dropping-particle":"","family":"Matile","given":"Hugues","non-dropping-particle":"","parse-names":false,"suffix":""},{"dropping-particle":"","family":"Schmidt","given":"Alexander","non-dropping-particle":"","parse-names":false,"suffix":""},{"dropping-particle":"","family":"Wu","given":"Jianbo","non-dropping-particle":"","parse-names":false,"suffix":""},{"dropping-particle":"","family":"Wang","given":"Xiaofang","non-dropping-particle":"","parse-names":false,"suffix":""},{"dropping-particle":"","family":"Dong","given":"Yuxiang","non-dropping-particle":"","parse-names":false,"suffix":""},{"dropping-particle":"","family":"Vennerstrom","given":"Jonathan L.","non-dropping-particle":"","parse-names":false,"suffix":""},{"dropping-particle":"","family":"Schmidt","given":"Remo S.","non-dropping-particle":"","parse-names":false,"suffix":""},{"dropping-particle":"","family":"Wittlin","given":"Sergio","non-dropping-particle":"","parse-names":false,"suffix":""},{"dropping-particle":"","family":"Mäser","given":"Pascal","non-dropping-particle":"","parse-names":false,"suffix":""}],"container-title":"ACS Infectious Diseases","id":"ITEM-1","issue":"12","issued":{"date-parts":[["2019"]]},"page":"2067-2075","title":"Stochastic Protein Alkylation by Antimalarial Peroxides","type":"article-journal","volume":"5"},"uris":["http://www.mendeley.com/documents/?uuid=edbd6067-6b71-400c-a71e-dc0c307aa6e9","http://www.mendeley.com/documents/?uuid=e9f78385-0491-4eaa-a33a-9238a469d0b5"]}],"mendeley":{"formattedCitation":"&lt;sup&gt;70&lt;/sup&gt;","plainTextFormattedCitation":"70","previouslyFormattedCitation":"&lt;sup&gt;70&lt;/sup&gt;"},"properties":{"noteIndex":0},"schema":"https://github.com/citation-style-language/schema/raw/master/csl-citation.json"}</w:instrText>
      </w:r>
      <w:r w:rsidRPr="00C07E8E">
        <w:rPr>
          <w:rFonts w:cs="Times New Roman"/>
          <w:color w:val="auto"/>
          <w:szCs w:val="22"/>
        </w:rPr>
        <w:fldChar w:fldCharType="separate"/>
      </w:r>
      <w:r w:rsidR="007125A3" w:rsidRPr="007125A3">
        <w:rPr>
          <w:rFonts w:cs="Times New Roman"/>
          <w:noProof/>
          <w:color w:val="auto"/>
          <w:szCs w:val="22"/>
          <w:vertAlign w:val="superscript"/>
        </w:rPr>
        <w:t>70</w:t>
      </w:r>
      <w:r w:rsidRPr="00C07E8E">
        <w:rPr>
          <w:rFonts w:cs="Times New Roman"/>
          <w:color w:val="auto"/>
          <w:szCs w:val="22"/>
        </w:rPr>
        <w:fldChar w:fldCharType="end"/>
      </w:r>
      <w:r w:rsidRPr="00C07E8E">
        <w:rPr>
          <w:rFonts w:cs="Times New Roman"/>
          <w:color w:val="auto"/>
          <w:szCs w:val="22"/>
        </w:rPr>
        <w:t xml:space="preserve"> also reported a study involving</w:t>
      </w:r>
      <w:r w:rsidR="00DA0EA4" w:rsidRPr="00C07E8E">
        <w:rPr>
          <w:rFonts w:cs="Times New Roman"/>
          <w:color w:val="auto"/>
          <w:szCs w:val="22"/>
        </w:rPr>
        <w:t xml:space="preserve"> </w:t>
      </w:r>
      <w:r w:rsidR="00B32E78">
        <w:rPr>
          <w:rFonts w:cs="Times New Roman"/>
          <w:color w:val="auto"/>
          <w:szCs w:val="22"/>
        </w:rPr>
        <w:t xml:space="preserve">similar </w:t>
      </w:r>
      <w:r w:rsidR="00DA0EA4" w:rsidRPr="00C07E8E">
        <w:rPr>
          <w:rFonts w:cs="Times New Roman"/>
          <w:color w:val="auto"/>
          <w:szCs w:val="22"/>
        </w:rPr>
        <w:t>dispiro</w:t>
      </w:r>
      <w:r w:rsidRPr="00C07E8E">
        <w:rPr>
          <w:rFonts w:cs="Times New Roman"/>
          <w:color w:val="auto"/>
          <w:szCs w:val="22"/>
        </w:rPr>
        <w:t xml:space="preserve"> </w:t>
      </w:r>
      <w:r w:rsidR="00DA0EA4" w:rsidRPr="00F85FF4">
        <w:rPr>
          <w:rFonts w:cs="Times New Roman"/>
          <w:color w:val="auto"/>
          <w:szCs w:val="22"/>
        </w:rPr>
        <w:t>ozonide</w:t>
      </w:r>
      <w:r w:rsidRPr="00F85FF4">
        <w:rPr>
          <w:rFonts w:cs="Times New Roman"/>
          <w:color w:val="auto"/>
          <w:szCs w:val="22"/>
        </w:rPr>
        <w:t xml:space="preserve"> based probes (</w:t>
      </w:r>
      <w:r w:rsidR="00774A37">
        <w:rPr>
          <w:rFonts w:cs="Times New Roman"/>
          <w:b/>
          <w:bCs/>
          <w:color w:val="auto"/>
          <w:szCs w:val="22"/>
        </w:rPr>
        <w:t>90</w:t>
      </w:r>
      <w:r w:rsidRPr="00F85FF4">
        <w:rPr>
          <w:rFonts w:cs="Times New Roman"/>
          <w:color w:val="auto"/>
          <w:szCs w:val="22"/>
        </w:rPr>
        <w:t>-</w:t>
      </w:r>
      <w:r w:rsidR="00774A37">
        <w:rPr>
          <w:rFonts w:cs="Times New Roman"/>
          <w:b/>
          <w:bCs/>
          <w:color w:val="auto"/>
          <w:szCs w:val="22"/>
        </w:rPr>
        <w:t>93</w:t>
      </w:r>
      <w:r w:rsidR="00E415BF" w:rsidRPr="00E415BF">
        <w:rPr>
          <w:rFonts w:cs="Times New Roman"/>
          <w:color w:val="auto"/>
          <w:szCs w:val="22"/>
        </w:rPr>
        <w:t xml:space="preserve">, </w:t>
      </w:r>
      <w:r w:rsidR="00E415BF" w:rsidRPr="007370A6">
        <w:rPr>
          <w:rFonts w:cs="Times New Roman"/>
          <w:b/>
          <w:color w:val="auto"/>
          <w:szCs w:val="22"/>
        </w:rPr>
        <w:t>Figure 13</w:t>
      </w:r>
      <w:r w:rsidRPr="00E415BF">
        <w:rPr>
          <w:rFonts w:cs="Times New Roman"/>
          <w:color w:val="auto"/>
          <w:szCs w:val="22"/>
        </w:rPr>
        <w:t>)</w:t>
      </w:r>
      <w:r w:rsidRPr="00F85FF4">
        <w:rPr>
          <w:rFonts w:cs="Times New Roman"/>
          <w:b/>
          <w:bCs/>
          <w:color w:val="auto"/>
          <w:szCs w:val="22"/>
        </w:rPr>
        <w:t xml:space="preserve"> </w:t>
      </w:r>
      <w:r w:rsidRPr="00F85FF4">
        <w:rPr>
          <w:rFonts w:cs="Times New Roman"/>
          <w:color w:val="auto"/>
          <w:szCs w:val="22"/>
        </w:rPr>
        <w:t>that lead to the identification of 25</w:t>
      </w:r>
      <w:r w:rsidR="003B5020" w:rsidRPr="00F85FF4">
        <w:rPr>
          <w:rFonts w:cs="Times New Roman"/>
          <w:color w:val="auto"/>
          <w:szCs w:val="22"/>
        </w:rPr>
        <w:t xml:space="preserve"> </w:t>
      </w:r>
      <w:r w:rsidR="00F85FF4" w:rsidRPr="00F85FF4">
        <w:rPr>
          <w:rFonts w:cs="Times New Roman"/>
          <w:color w:val="auto"/>
          <w:szCs w:val="22"/>
        </w:rPr>
        <w:t xml:space="preserve">parasite </w:t>
      </w:r>
      <w:r w:rsidRPr="00F85FF4">
        <w:rPr>
          <w:rFonts w:cs="Times New Roman"/>
          <w:color w:val="auto"/>
          <w:szCs w:val="22"/>
        </w:rPr>
        <w:t xml:space="preserve">proteins, </w:t>
      </w:r>
      <w:r w:rsidR="00DA0EA4" w:rsidRPr="00F85FF4">
        <w:rPr>
          <w:rFonts w:cs="Times New Roman"/>
          <w:color w:val="auto"/>
          <w:szCs w:val="22"/>
        </w:rPr>
        <w:t>from alkylation of</w:t>
      </w:r>
      <w:r w:rsidRPr="00F85FF4">
        <w:rPr>
          <w:rFonts w:cs="Times New Roman"/>
          <w:color w:val="auto"/>
          <w:szCs w:val="22"/>
        </w:rPr>
        <w:t xml:space="preserve"> the endoperoxides, in a peroxide-dependent behaviour. However</w:t>
      </w:r>
      <w:r w:rsidRPr="00C07E8E">
        <w:rPr>
          <w:rFonts w:cs="Times New Roman"/>
          <w:color w:val="auto"/>
          <w:szCs w:val="22"/>
        </w:rPr>
        <w:t xml:space="preserve">, this study revealed a low degree of overlap in the alkylation signatures between the ozonides used, which were different from </w:t>
      </w:r>
      <w:r w:rsidR="005C07DA">
        <w:rPr>
          <w:rFonts w:cs="Times New Roman"/>
          <w:color w:val="auto"/>
          <w:szCs w:val="22"/>
        </w:rPr>
        <w:t xml:space="preserve">those of </w:t>
      </w:r>
      <w:r w:rsidRPr="00C07E8E">
        <w:rPr>
          <w:rFonts w:cs="Times New Roman"/>
          <w:color w:val="auto"/>
          <w:szCs w:val="22"/>
        </w:rPr>
        <w:t xml:space="preserve">the previously reported studies. Explanations from the authors to rationalise these results included the nature of the chemical linker or the adamantane attachment site, which could have influenced the target protein binding by the chemical probes, </w:t>
      </w:r>
      <w:r w:rsidR="00F85FF4">
        <w:rPr>
          <w:rFonts w:cs="Times New Roman"/>
          <w:color w:val="auto"/>
          <w:szCs w:val="22"/>
        </w:rPr>
        <w:t xml:space="preserve">and also </w:t>
      </w:r>
      <w:r w:rsidRPr="00C07E8E">
        <w:rPr>
          <w:rFonts w:cs="Times New Roman"/>
          <w:color w:val="auto"/>
          <w:szCs w:val="22"/>
        </w:rPr>
        <w:t xml:space="preserve">differences in approach and controls </w:t>
      </w:r>
      <w:r w:rsidR="00F85FF4">
        <w:rPr>
          <w:rFonts w:cs="Times New Roman"/>
          <w:color w:val="auto"/>
          <w:szCs w:val="22"/>
        </w:rPr>
        <w:t xml:space="preserve">used </w:t>
      </w:r>
      <w:r w:rsidRPr="00C07E8E">
        <w:rPr>
          <w:rFonts w:cs="Times New Roman"/>
          <w:color w:val="auto"/>
          <w:szCs w:val="22"/>
        </w:rPr>
        <w:t xml:space="preserve">during the experiment. </w:t>
      </w:r>
    </w:p>
    <w:p w14:paraId="4DAADDB1" w14:textId="752145A3" w:rsidR="00B57549" w:rsidRDefault="00774A37" w:rsidP="00532D1D">
      <w:pPr>
        <w:autoSpaceDE w:val="0"/>
        <w:autoSpaceDN w:val="0"/>
        <w:adjustRightInd w:val="0"/>
        <w:rPr>
          <w:rFonts w:cs="Times New Roman"/>
          <w:color w:val="auto"/>
          <w:szCs w:val="22"/>
        </w:rPr>
      </w:pPr>
      <w:r>
        <w:rPr>
          <w:rFonts w:cs="Times New Roman"/>
          <w:color w:val="auto"/>
          <w:szCs w:val="22"/>
        </w:rPr>
        <w:tab/>
      </w:r>
      <w:r w:rsidR="00EE13A7" w:rsidRPr="00F25A19">
        <w:rPr>
          <w:rFonts w:cs="Times New Roman"/>
          <w:color w:val="auto"/>
          <w:szCs w:val="22"/>
        </w:rPr>
        <w:t xml:space="preserve">Wei </w:t>
      </w:r>
      <w:r w:rsidR="00EE13A7" w:rsidRPr="00F25A19">
        <w:rPr>
          <w:rFonts w:cs="Times New Roman"/>
          <w:i/>
          <w:iCs/>
          <w:color w:val="auto"/>
          <w:szCs w:val="22"/>
        </w:rPr>
        <w:t>et al.</w:t>
      </w:r>
      <w:r w:rsidR="00EE13A7" w:rsidRPr="00F25A19">
        <w:rPr>
          <w:rFonts w:cs="Times New Roman"/>
          <w:color w:val="auto"/>
          <w:szCs w:val="22"/>
        </w:rPr>
        <w:fldChar w:fldCharType="begin" w:fldLock="1"/>
      </w:r>
      <w:r w:rsidR="00192B39">
        <w:rPr>
          <w:rFonts w:cs="Times New Roman"/>
          <w:color w:val="auto"/>
          <w:szCs w:val="22"/>
        </w:rPr>
        <w:instrText>ADDIN CSL_CITATION {"citationItems":[{"id":"ITEM-1","itemData":{"DOI":"10.1039/c9cc03719e","ISSN":"1364548X","PMID":"31334508","abstract":"Endoperoxide-containing antimalarials, such as artemisinin and the synthetic trioxolane OZ439, are prodrugs activated by heme to generate primary and secondary carbon-centered radicals. We employed activity-based protein profiling (ABPP) to show that the secondary-carbon-centered radical of 1,2,4-trioxolanes is primarily responsible for protein labeling in malaria parasites.","author":[{"dropping-particle":"","family":"Wei","given":"Chunyan","non-dropping-particle":"","parse-names":false,"suffix":""},{"dropping-particle":"","family":"Zhao","given":"Cheng Xiao","non-dropping-particle":"","parse-names":false,"suffix":""},{"dropping-particle":"","family":"Liu","given":"Sheng","non-dropping-particle":"","parse-names":false,"suffix":""},{"dropping-particle":"","family":"Zhao","given":"Jin Hui","non-dropping-particle":"","parse-names":false,"suffix":""},{"dropping-particle":"","family":"Ye","given":"Zi","non-dropping-particle":"","parse-names":false,"suffix":""},{"dropping-particle":"","family":"Wang","given":"Heng","non-dropping-particle":"","parse-names":false,"suffix":""},{"dropping-particle":"","family":"Yu","given":"Shi Shan","non-dropping-particle":"","parse-names":false,"suffix":""},{"dropping-particle":"","family":"Zhang","given":"Chong Jing","non-dropping-particle":"","parse-names":false,"suffix":""}],"container-title":"Chemical Communications","id":"ITEM-1","issue":"64","issued":{"date-parts":[["2019"]]},"page":"9535-9538","title":"Activity-based protein profiling reveals that secondary-carbon-centered radicals of synthetic 1,2,4-trioxolanes are predominately responsible for modification of protein targets in malaria parasites","type":"article-journal","volume":"55"},"uris":["http://www.mendeley.com/documents/?uuid=7a73262b-fced-41dc-b28b-f0355be85723"]}],"mendeley":{"formattedCitation":"&lt;sup&gt;129&lt;/sup&gt;","plainTextFormattedCitation":"129","previouslyFormattedCitation":"&lt;sup&gt;129&lt;/sup&gt;"},"properties":{"noteIndex":0},"schema":"https://github.com/citation-style-language/schema/raw/master/csl-citation.json"}</w:instrText>
      </w:r>
      <w:r w:rsidR="00EE13A7" w:rsidRPr="00F25A19">
        <w:rPr>
          <w:rFonts w:cs="Times New Roman"/>
          <w:color w:val="auto"/>
          <w:szCs w:val="22"/>
        </w:rPr>
        <w:fldChar w:fldCharType="separate"/>
      </w:r>
      <w:r w:rsidR="00CA5C6A" w:rsidRPr="00CA5C6A">
        <w:rPr>
          <w:rFonts w:cs="Times New Roman"/>
          <w:noProof/>
          <w:color w:val="auto"/>
          <w:szCs w:val="22"/>
          <w:vertAlign w:val="superscript"/>
        </w:rPr>
        <w:t>129</w:t>
      </w:r>
      <w:r w:rsidR="00EE13A7" w:rsidRPr="00F25A19">
        <w:rPr>
          <w:rFonts w:cs="Times New Roman"/>
          <w:color w:val="auto"/>
          <w:szCs w:val="22"/>
        </w:rPr>
        <w:fldChar w:fldCharType="end"/>
      </w:r>
      <w:r w:rsidR="00EE13A7" w:rsidRPr="00F25A19">
        <w:rPr>
          <w:rFonts w:cs="Times New Roman"/>
          <w:color w:val="auto"/>
          <w:szCs w:val="22"/>
        </w:rPr>
        <w:t xml:space="preserve"> synthesized dispiro ozonide</w:t>
      </w:r>
      <w:r w:rsidR="00EE13A7">
        <w:rPr>
          <w:rFonts w:cs="Times New Roman"/>
          <w:color w:val="auto"/>
          <w:szCs w:val="22"/>
        </w:rPr>
        <w:t xml:space="preserve"> probes</w:t>
      </w:r>
      <w:r w:rsidR="00EE13A7" w:rsidRPr="00F25A19">
        <w:rPr>
          <w:rFonts w:cs="Times New Roman"/>
          <w:b/>
          <w:bCs/>
          <w:color w:val="auto"/>
          <w:szCs w:val="22"/>
        </w:rPr>
        <w:t xml:space="preserve"> 8</w:t>
      </w:r>
      <w:r>
        <w:rPr>
          <w:rFonts w:cs="Times New Roman"/>
          <w:b/>
          <w:bCs/>
          <w:color w:val="auto"/>
          <w:szCs w:val="22"/>
        </w:rPr>
        <w:t>8</w:t>
      </w:r>
      <w:r w:rsidR="00EE13A7" w:rsidRPr="00F25A19">
        <w:rPr>
          <w:rFonts w:cs="Times New Roman"/>
          <w:color w:val="auto"/>
          <w:szCs w:val="22"/>
        </w:rPr>
        <w:t xml:space="preserve"> and </w:t>
      </w:r>
      <w:r w:rsidR="00EE13A7" w:rsidRPr="00F25A19">
        <w:rPr>
          <w:rFonts w:cs="Times New Roman"/>
          <w:b/>
          <w:bCs/>
          <w:color w:val="auto"/>
          <w:szCs w:val="22"/>
        </w:rPr>
        <w:t>9</w:t>
      </w:r>
      <w:r>
        <w:rPr>
          <w:rFonts w:cs="Times New Roman"/>
          <w:b/>
          <w:bCs/>
          <w:color w:val="auto"/>
          <w:szCs w:val="22"/>
        </w:rPr>
        <w:t>4</w:t>
      </w:r>
      <w:r w:rsidR="00EE13A7" w:rsidRPr="00F25A19">
        <w:rPr>
          <w:rFonts w:cs="Times New Roman"/>
          <w:color w:val="auto"/>
          <w:szCs w:val="22"/>
        </w:rPr>
        <w:t xml:space="preserve"> (</w:t>
      </w:r>
      <w:r w:rsidR="00EE13A7" w:rsidRPr="007370A6">
        <w:rPr>
          <w:rFonts w:cs="Times New Roman"/>
          <w:b/>
          <w:color w:val="auto"/>
          <w:szCs w:val="22"/>
        </w:rPr>
        <w:t>Figure 13</w:t>
      </w:r>
      <w:r w:rsidR="00EE13A7" w:rsidRPr="00F25A19">
        <w:rPr>
          <w:rFonts w:cs="Times New Roman"/>
          <w:color w:val="auto"/>
          <w:szCs w:val="22"/>
        </w:rPr>
        <w:t xml:space="preserve">) </w:t>
      </w:r>
      <w:r w:rsidR="00EE13A7">
        <w:rPr>
          <w:rFonts w:cs="Times New Roman"/>
          <w:color w:val="auto"/>
          <w:szCs w:val="22"/>
        </w:rPr>
        <w:t>to</w:t>
      </w:r>
      <w:r w:rsidR="00EE13A7" w:rsidRPr="00F25A19">
        <w:rPr>
          <w:rFonts w:cs="Times New Roman"/>
          <w:color w:val="auto"/>
          <w:szCs w:val="22"/>
        </w:rPr>
        <w:t xml:space="preserve"> explore the protein </w:t>
      </w:r>
      <w:r w:rsidR="00EE13A7">
        <w:rPr>
          <w:rFonts w:cs="Times New Roman"/>
          <w:color w:val="auto"/>
          <w:szCs w:val="22"/>
        </w:rPr>
        <w:t>alkylation</w:t>
      </w:r>
      <w:r w:rsidR="00EE13A7" w:rsidRPr="00F25A19">
        <w:rPr>
          <w:rFonts w:cs="Times New Roman"/>
          <w:color w:val="auto"/>
          <w:szCs w:val="22"/>
        </w:rPr>
        <w:t xml:space="preserve"> capacity of primary and secondary </w:t>
      </w:r>
      <w:r w:rsidR="00EE13A7" w:rsidRPr="00BC4E9A">
        <w:rPr>
          <w:rFonts w:cs="Times New Roman"/>
          <w:i/>
          <w:iCs/>
          <w:color w:val="auto"/>
          <w:szCs w:val="22"/>
        </w:rPr>
        <w:t>C</w:t>
      </w:r>
      <w:r w:rsidR="00EE13A7" w:rsidRPr="00F25A19">
        <w:rPr>
          <w:rFonts w:cs="Times New Roman"/>
          <w:color w:val="auto"/>
          <w:szCs w:val="22"/>
        </w:rPr>
        <w:t xml:space="preserve">-centred radicals produced by </w:t>
      </w:r>
      <w:r w:rsidR="00EE13A7">
        <w:rPr>
          <w:rFonts w:cs="Times New Roman"/>
          <w:color w:val="auto"/>
          <w:szCs w:val="22"/>
        </w:rPr>
        <w:t xml:space="preserve">the </w:t>
      </w:r>
      <w:r w:rsidR="00EE13A7" w:rsidRPr="00F25A19">
        <w:rPr>
          <w:rFonts w:cs="Times New Roman"/>
          <w:color w:val="auto"/>
          <w:szCs w:val="22"/>
        </w:rPr>
        <w:t>synthetic ozonides</w:t>
      </w:r>
      <w:r w:rsidR="00EE13A7">
        <w:rPr>
          <w:rFonts w:cs="Times New Roman"/>
          <w:color w:val="auto"/>
          <w:szCs w:val="22"/>
        </w:rPr>
        <w:t>. The results have shown that most of the</w:t>
      </w:r>
      <w:r w:rsidR="00EE13A7" w:rsidRPr="00F25A19">
        <w:rPr>
          <w:rFonts w:cs="Times New Roman"/>
          <w:color w:val="auto"/>
          <w:szCs w:val="22"/>
        </w:rPr>
        <w:t xml:space="preserve"> protein labeling </w:t>
      </w:r>
      <w:r w:rsidR="00EE13A7" w:rsidRPr="00F25A19">
        <w:rPr>
          <w:rFonts w:cs="Times New Roman"/>
          <w:i/>
          <w:iCs/>
          <w:color w:val="auto"/>
          <w:szCs w:val="22"/>
        </w:rPr>
        <w:t>in situ</w:t>
      </w:r>
      <w:r w:rsidR="00EE13A7">
        <w:rPr>
          <w:rFonts w:cs="Times New Roman"/>
          <w:color w:val="auto"/>
          <w:szCs w:val="22"/>
        </w:rPr>
        <w:t xml:space="preserve"> found in the study was due to the </w:t>
      </w:r>
      <w:r w:rsidR="00EE13A7" w:rsidRPr="00F25A19">
        <w:rPr>
          <w:rFonts w:cs="Times New Roman"/>
          <w:color w:val="auto"/>
          <w:szCs w:val="22"/>
        </w:rPr>
        <w:t>secondary-</w:t>
      </w:r>
      <w:r w:rsidR="00EE13A7" w:rsidRPr="00BC4E9A">
        <w:rPr>
          <w:rFonts w:cs="Times New Roman"/>
          <w:i/>
          <w:iCs/>
          <w:color w:val="auto"/>
          <w:szCs w:val="22"/>
        </w:rPr>
        <w:t>C</w:t>
      </w:r>
      <w:r w:rsidR="00EE13A7" w:rsidRPr="00F25A19">
        <w:rPr>
          <w:rFonts w:cs="Times New Roman"/>
          <w:color w:val="auto"/>
          <w:szCs w:val="22"/>
        </w:rPr>
        <w:t>-centred radical</w:t>
      </w:r>
      <w:r w:rsidR="00EE13A7">
        <w:rPr>
          <w:rFonts w:cs="Times New Roman"/>
          <w:color w:val="auto"/>
          <w:szCs w:val="22"/>
        </w:rPr>
        <w:t xml:space="preserve"> form of the ozonides, observed</w:t>
      </w:r>
      <w:r w:rsidR="00EE13A7" w:rsidRPr="00F25A19">
        <w:rPr>
          <w:rFonts w:cs="Times New Roman"/>
          <w:color w:val="auto"/>
          <w:szCs w:val="22"/>
        </w:rPr>
        <w:t xml:space="preserve"> </w:t>
      </w:r>
      <w:r w:rsidR="00EE13A7">
        <w:rPr>
          <w:rFonts w:cs="Times New Roman"/>
          <w:color w:val="auto"/>
          <w:szCs w:val="22"/>
        </w:rPr>
        <w:t xml:space="preserve">in both </w:t>
      </w:r>
      <w:r w:rsidR="00EE13A7" w:rsidRPr="00F25A19">
        <w:rPr>
          <w:rFonts w:cs="Times New Roman"/>
          <w:color w:val="auto"/>
          <w:szCs w:val="22"/>
        </w:rPr>
        <w:t xml:space="preserve">gel-free </w:t>
      </w:r>
      <w:r w:rsidR="00EE13A7">
        <w:rPr>
          <w:rFonts w:cs="Times New Roman"/>
          <w:color w:val="auto"/>
          <w:szCs w:val="22"/>
        </w:rPr>
        <w:t xml:space="preserve">and </w:t>
      </w:r>
      <w:r w:rsidR="00EE13A7" w:rsidRPr="00F25A19">
        <w:rPr>
          <w:rFonts w:cs="Times New Roman"/>
          <w:color w:val="auto"/>
          <w:szCs w:val="22"/>
        </w:rPr>
        <w:t>gel-base</w:t>
      </w:r>
      <w:r w:rsidR="00EE13A7">
        <w:rPr>
          <w:rFonts w:cs="Times New Roman"/>
          <w:color w:val="auto"/>
          <w:szCs w:val="22"/>
        </w:rPr>
        <w:t xml:space="preserve">d </w:t>
      </w:r>
      <w:r w:rsidR="00EE13A7" w:rsidRPr="00F25A19">
        <w:rPr>
          <w:rFonts w:cs="Times New Roman"/>
          <w:color w:val="auto"/>
          <w:szCs w:val="22"/>
        </w:rPr>
        <w:t>proteomics methods</w:t>
      </w:r>
      <w:r w:rsidR="00EE13A7">
        <w:rPr>
          <w:rFonts w:cs="Times New Roman"/>
          <w:color w:val="auto"/>
          <w:szCs w:val="22"/>
        </w:rPr>
        <w:t xml:space="preserve">. These findings </w:t>
      </w:r>
      <w:r w:rsidR="00A13A85">
        <w:rPr>
          <w:rFonts w:cs="Times New Roman"/>
          <w:color w:val="auto"/>
          <w:szCs w:val="22"/>
        </w:rPr>
        <w:t xml:space="preserve">corroborate </w:t>
      </w:r>
      <w:r w:rsidR="00EE13A7">
        <w:rPr>
          <w:rFonts w:cs="Times New Roman"/>
          <w:color w:val="auto"/>
          <w:szCs w:val="22"/>
        </w:rPr>
        <w:t xml:space="preserve">the previous evidence of the preferred association </w:t>
      </w:r>
      <w:r w:rsidR="00EE13A7" w:rsidRPr="00C07E8E">
        <w:rPr>
          <w:rFonts w:cs="Times New Roman"/>
          <w:color w:val="auto"/>
          <w:szCs w:val="22"/>
        </w:rPr>
        <w:t>with the less hindered peroxide oxygen, in this class of endoperoxides</w:t>
      </w:r>
      <w:r w:rsidR="00EE13A7">
        <w:rPr>
          <w:rFonts w:cs="Times New Roman"/>
          <w:color w:val="auto"/>
          <w:szCs w:val="22"/>
        </w:rPr>
        <w:t xml:space="preserve">. </w:t>
      </w:r>
    </w:p>
    <w:p w14:paraId="6E1433F3" w14:textId="77777777" w:rsidR="00B57549" w:rsidRPr="000A22B7" w:rsidRDefault="00B57549" w:rsidP="00532D1D">
      <w:pPr>
        <w:autoSpaceDE w:val="0"/>
        <w:autoSpaceDN w:val="0"/>
        <w:adjustRightInd w:val="0"/>
        <w:rPr>
          <w:rFonts w:cs="Times New Roman"/>
          <w:color w:val="auto"/>
          <w:szCs w:val="22"/>
        </w:rPr>
      </w:pPr>
    </w:p>
    <w:p w14:paraId="0671AE87" w14:textId="18798490" w:rsidR="00EE13A7" w:rsidRPr="00C07E8E" w:rsidRDefault="006D7105" w:rsidP="00532D1D">
      <w:pPr>
        <w:autoSpaceDE w:val="0"/>
        <w:autoSpaceDN w:val="0"/>
        <w:adjustRightInd w:val="0"/>
        <w:rPr>
          <w:rFonts w:cs="Times New Roman"/>
          <w:color w:val="auto"/>
          <w:szCs w:val="22"/>
        </w:rPr>
      </w:pPr>
      <w:r>
        <w:rPr>
          <w:noProof/>
        </w:rPr>
        <w:object w:dxaOrig="10091" w:dyaOrig="5590" w14:anchorId="21501056">
          <v:shape id="_x0000_i1046" type="#_x0000_t75" alt="" style="width:450pt;height:252pt;mso-width-percent:0;mso-height-percent:0;mso-width-percent:0;mso-height-percent:0" o:ole="">
            <v:imagedata r:id="rId48" o:title=""/>
          </v:shape>
          <o:OLEObject Type="Embed" ProgID="ChemDraw.Document.6.0" ShapeID="_x0000_i1046" DrawAspect="Content" ObjectID="_1669219480" r:id="rId49"/>
        </w:object>
      </w:r>
      <w:r w:rsidR="00B57549" w:rsidDel="00B57549">
        <w:t xml:space="preserve"> </w:t>
      </w:r>
    </w:p>
    <w:p w14:paraId="524131EE" w14:textId="600EFDA2" w:rsidR="00EE13A7" w:rsidRPr="00EF6375" w:rsidRDefault="00EE13A7" w:rsidP="00532D1D">
      <w:pPr>
        <w:autoSpaceDE w:val="0"/>
        <w:autoSpaceDN w:val="0"/>
        <w:adjustRightInd w:val="0"/>
        <w:rPr>
          <w:rFonts w:cs="Times New Roman"/>
          <w:color w:val="auto"/>
          <w:szCs w:val="22"/>
        </w:rPr>
      </w:pPr>
      <w:r w:rsidRPr="00C07E8E">
        <w:rPr>
          <w:rFonts w:cs="Times New Roman"/>
          <w:b/>
          <w:bCs/>
          <w:color w:val="auto"/>
          <w:szCs w:val="22"/>
        </w:rPr>
        <w:lastRenderedPageBreak/>
        <w:t>Figure 13</w:t>
      </w:r>
      <w:r w:rsidRPr="00C07E8E">
        <w:rPr>
          <w:rFonts w:cs="Times New Roman"/>
          <w:color w:val="auto"/>
          <w:szCs w:val="22"/>
        </w:rPr>
        <w:t xml:space="preserve">: </w:t>
      </w:r>
      <w:r w:rsidR="00A13A85">
        <w:rPr>
          <w:rFonts w:cs="Times New Roman"/>
          <w:color w:val="auto"/>
          <w:szCs w:val="22"/>
        </w:rPr>
        <w:t>Structure representation of o</w:t>
      </w:r>
      <w:r w:rsidR="00A13A85" w:rsidRPr="00EF6375">
        <w:rPr>
          <w:rFonts w:cs="Times New Roman"/>
          <w:color w:val="auto"/>
          <w:szCs w:val="22"/>
        </w:rPr>
        <w:t>zonide</w:t>
      </w:r>
      <w:r w:rsidR="00A13A85">
        <w:rPr>
          <w:rFonts w:cs="Times New Roman"/>
          <w:color w:val="auto"/>
          <w:szCs w:val="22"/>
        </w:rPr>
        <w:t>-based</w:t>
      </w:r>
      <w:r w:rsidR="00A13A85" w:rsidRPr="00EF6375">
        <w:rPr>
          <w:rFonts w:cs="Times New Roman"/>
          <w:color w:val="auto"/>
          <w:szCs w:val="22"/>
        </w:rPr>
        <w:t xml:space="preserve"> probes </w:t>
      </w:r>
      <w:r w:rsidRPr="00EF6375">
        <w:rPr>
          <w:rFonts w:cs="Times New Roman"/>
          <w:color w:val="auto"/>
          <w:szCs w:val="22"/>
        </w:rPr>
        <w:t>and their control</w:t>
      </w:r>
      <w:r w:rsidR="00A13A85">
        <w:rPr>
          <w:rFonts w:cs="Times New Roman"/>
          <w:color w:val="auto"/>
          <w:szCs w:val="22"/>
        </w:rPr>
        <w:t>s</w:t>
      </w:r>
      <w:r w:rsidRPr="00EF6375">
        <w:rPr>
          <w:rFonts w:cs="Times New Roman"/>
          <w:color w:val="auto"/>
          <w:szCs w:val="22"/>
        </w:rPr>
        <w:t xml:space="preserve"> (</w:t>
      </w:r>
      <w:r w:rsidRPr="00EF6375">
        <w:rPr>
          <w:rFonts w:cs="Times New Roman"/>
          <w:b/>
          <w:bCs/>
          <w:color w:val="auto"/>
          <w:szCs w:val="22"/>
        </w:rPr>
        <w:t>8</w:t>
      </w:r>
      <w:r w:rsidR="00774A37">
        <w:rPr>
          <w:rFonts w:cs="Times New Roman"/>
          <w:b/>
          <w:bCs/>
          <w:color w:val="auto"/>
          <w:szCs w:val="22"/>
        </w:rPr>
        <w:t>6</w:t>
      </w:r>
      <w:r w:rsidRPr="00EF6375">
        <w:rPr>
          <w:rFonts w:cs="Times New Roman"/>
          <w:b/>
          <w:bCs/>
          <w:color w:val="auto"/>
          <w:szCs w:val="22"/>
        </w:rPr>
        <w:t>-8</w:t>
      </w:r>
      <w:r w:rsidR="00774A37">
        <w:rPr>
          <w:rFonts w:cs="Times New Roman"/>
          <w:b/>
          <w:bCs/>
          <w:color w:val="auto"/>
          <w:szCs w:val="22"/>
        </w:rPr>
        <w:t>9</w:t>
      </w:r>
      <w:r w:rsidRPr="00EF6375">
        <w:rPr>
          <w:rFonts w:cs="Times New Roman"/>
          <w:color w:val="auto"/>
          <w:szCs w:val="22"/>
        </w:rPr>
        <w:t xml:space="preserve"> from Ismail </w:t>
      </w:r>
      <w:r w:rsidRPr="00EF6375">
        <w:rPr>
          <w:rFonts w:cs="Times New Roman"/>
          <w:i/>
          <w:iCs/>
          <w:color w:val="auto"/>
          <w:szCs w:val="22"/>
        </w:rPr>
        <w:t>et al.</w:t>
      </w:r>
      <w:r w:rsidRPr="00EF6375">
        <w:rPr>
          <w:rFonts w:cs="Times New Roman"/>
          <w:color w:val="auto"/>
          <w:szCs w:val="22"/>
        </w:rPr>
        <w:fldChar w:fldCharType="begin" w:fldLock="1"/>
      </w:r>
      <w:r w:rsidR="007125A3">
        <w:rPr>
          <w:rFonts w:cs="Times New Roman"/>
          <w:color w:val="auto"/>
          <w:szCs w:val="22"/>
        </w:rPr>
        <w:instrText>ADDIN CSL_CITATION {"citationItems":[{"id":"ITEM-1","itemData":{"DOI":"10.1002/anie.201512062","ISSN":"15213773","PMID":"27089538","abstract":"In spite of the recent increase in endoperoxide antimalarials under development, it remains unclear if all these chemotypes share a common mechanism of action. This is important since it will influence cross-resistance risks between the different classes. Here we investigate this proposition using novel clickable 1,2,4-trioxolane activity based protein-profiling probes (ABPPs). ABPPs with potent antimalarial activity were able to alkylate protein target(s) within the asexual erythrocytic stage of Plasmodium falciparum (3D7). Importantly, comparison of the alkylation fingerprint with that generated from an artemisinin ABPP equivalent confirms a highly conserved alkylation profile, with both endoperoxide classes targeting proteins in the glycolytic, hemoglobin degradation, antioxidant defence, protein synthesis and protein stress pathways, essential biological processes for plasmodial survival. The alkylation signatures of the two chemotypes show significant overlap (ca. 90 %) both qualitatively and semi-quantitatively, suggesting a common mechanism of action that raises concerns about potential cross-resistance liabilities. Clickable 1,2,4-trioxolane activity-based protein-profiling probes (ABPPs) were designed to retain antimalarial activity and alkylate the molecular targets of the blood stage of Plasmodium falciparum in situ. Comparison of the 1,2,4-trioxolane protein alkylation signature with the corresponding artemisinin ABPPs indicates that both drug classes target key proteins in the glycolytic, hemoglobin degradation, antioxidant defence and protein synthesis pathways.","author":[{"dropping-particle":"","family":"Ismail","given":"Hanafy M.","non-dropping-particle":"","parse-names":false,"suffix":""},{"dropping-particle":"","family":"Barton","given":"Victoria E.","non-dropping-particle":"","parse-names":false,"suffix":""},{"dropping-particle":"","family":"Panchana","given":"Matthew","non-dropping-particle":"","parse-names":false,"suffix":""},{"dropping-particle":"","family":"Charoensutthivarakul","given":"Sitthivut","non-dropping-particle":"","parse-names":false,"suffix":""},{"dropping-particle":"","family":"Biagini","given":"Giancarlo A.","non-dropping-particle":"","parse-names":false,"suffix":""},{"dropping-particle":"","family":"Ward","given":"Stephen A.","non-dropping-particle":"","parse-names":false,"suffix":""},{"dropping-particle":"","family":"O'Neill","given":"Paul M.","non-dropping-particle":"","parse-names":false,"suffix":""}],"container-title":"Angewandte Chemie - International Edition","id":"ITEM-1","issue":"22","issued":{"date-parts":[["2016"]]},"page":"6401-6405","title":"A click chemistry-based proteomic approach reveals that 1,2,4-trioxolane and artemisinin antimalarials share a common protein alkylation profile","type":"article-journal","volume":"55"},"uris":["http://www.mendeley.com/documents/?uuid=a5981ea1-58dc-42c2-9d6e-eca13a70676b","http://www.mendeley.com/documents/?uuid=e7242e5d-f928-4209-9d61-2e5f3fbfa5eb"]}],"mendeley":{"formattedCitation":"&lt;sup&gt;69&lt;/sup&gt;","plainTextFormattedCitation":"69","previouslyFormattedCitation":"&lt;sup&gt;69&lt;/sup&gt;"},"properties":{"noteIndex":0},"schema":"https://github.com/citation-style-language/schema/raw/master/csl-citation.json"}</w:instrText>
      </w:r>
      <w:r w:rsidRPr="00EF6375">
        <w:rPr>
          <w:rFonts w:cs="Times New Roman"/>
          <w:color w:val="auto"/>
          <w:szCs w:val="22"/>
        </w:rPr>
        <w:fldChar w:fldCharType="separate"/>
      </w:r>
      <w:r w:rsidR="007125A3" w:rsidRPr="007125A3">
        <w:rPr>
          <w:rFonts w:cs="Times New Roman"/>
          <w:noProof/>
          <w:color w:val="auto"/>
          <w:szCs w:val="22"/>
          <w:vertAlign w:val="superscript"/>
        </w:rPr>
        <w:t>69</w:t>
      </w:r>
      <w:r w:rsidRPr="00EF6375">
        <w:rPr>
          <w:rFonts w:cs="Times New Roman"/>
          <w:color w:val="auto"/>
          <w:szCs w:val="22"/>
        </w:rPr>
        <w:fldChar w:fldCharType="end"/>
      </w:r>
      <w:r w:rsidRPr="00EF6375">
        <w:rPr>
          <w:rFonts w:cs="Times New Roman"/>
          <w:color w:val="auto"/>
          <w:szCs w:val="22"/>
        </w:rPr>
        <w:t xml:space="preserve">, </w:t>
      </w:r>
      <w:r w:rsidR="00774A37">
        <w:rPr>
          <w:rFonts w:cs="Times New Roman"/>
          <w:b/>
          <w:bCs/>
          <w:color w:val="auto"/>
          <w:szCs w:val="22"/>
        </w:rPr>
        <w:t>90</w:t>
      </w:r>
      <w:r w:rsidRPr="00EF6375">
        <w:rPr>
          <w:rFonts w:cs="Times New Roman"/>
          <w:b/>
          <w:bCs/>
          <w:color w:val="auto"/>
          <w:szCs w:val="22"/>
        </w:rPr>
        <w:t>-9</w:t>
      </w:r>
      <w:r w:rsidR="00774A37">
        <w:rPr>
          <w:rFonts w:cs="Times New Roman"/>
          <w:b/>
          <w:bCs/>
          <w:color w:val="auto"/>
          <w:szCs w:val="22"/>
        </w:rPr>
        <w:t>3</w:t>
      </w:r>
      <w:r w:rsidRPr="00EF6375">
        <w:rPr>
          <w:rFonts w:cs="Times New Roman"/>
          <w:color w:val="auto"/>
          <w:szCs w:val="22"/>
        </w:rPr>
        <w:t xml:space="preserve"> Jourdan </w:t>
      </w:r>
      <w:r w:rsidRPr="00EF6375">
        <w:rPr>
          <w:rFonts w:cs="Times New Roman"/>
          <w:i/>
          <w:iCs/>
          <w:color w:val="auto"/>
          <w:szCs w:val="22"/>
        </w:rPr>
        <w:t>et al.</w:t>
      </w:r>
      <w:r w:rsidRPr="00EF6375">
        <w:rPr>
          <w:rFonts w:cs="Times New Roman"/>
          <w:color w:val="auto"/>
          <w:szCs w:val="22"/>
        </w:rPr>
        <w:fldChar w:fldCharType="begin" w:fldLock="1"/>
      </w:r>
      <w:r w:rsidR="007125A3">
        <w:rPr>
          <w:rFonts w:cs="Times New Roman"/>
          <w:color w:val="auto"/>
          <w:szCs w:val="22"/>
        </w:rPr>
        <w:instrText>ADDIN CSL_CITATION {"citationItems":[{"id":"ITEM-1","itemData":{"DOI":"10.1021/acsinfecdis.9b00264","ISSN":"23738227","PMID":"31626733","abstract":"Antimalarial peroxides such as the phytochemical artemisinin or the synthetic ozonides arterolane and artefenomel undergo reductive cleavage of the pharmacophoric peroxide bond by ferrous heme, released by parasite hemoglobin digestion. The generated carbon-centered radicals alkylate heme in an intramolecular reaction and proteins in an intermolecular reaction. Here, we determine the proteinaceous alkylation signatures of artemisinin and synthetic ozonides in Plasmodium falciparum using alkyne click chemistry probes to identify target proteins by affinity purification and mass spectrometry-based proteomics. Using stringent controls and purification procedures, we identified 25 P. falciparum proteins that were alkylated by the antimalarial peroxides in a peroxide-dependent manner, but the alkylation patterns were more random than we had anticipated. Moreover, there was little overlap in the alkylation signatures identified in this work and those disclosed in previous studies. Our findings suggest that alkylation of parasite proteins by antimalarial peroxides is likely to be a nonspecific, stochastic process.","author":[{"dropping-particle":"","family":"Jourdan","given":"Joëlle","non-dropping-particle":"","parse-names":false,"suffix":""},{"dropping-particle":"","family":"Walz","given":"Annabelle","non-dropping-particle":"","parse-names":false,"suffix":""},{"dropping-particle":"","family":"Matile","given":"Hugues","non-dropping-particle":"","parse-names":false,"suffix":""},{"dropping-particle":"","family":"Schmidt","given":"Alexander","non-dropping-particle":"","parse-names":false,"suffix":""},{"dropping-particle":"","family":"Wu","given":"Jianbo","non-dropping-particle":"","parse-names":false,"suffix":""},{"dropping-particle":"","family":"Wang","given":"Xiaofang","non-dropping-particle":"","parse-names":false,"suffix":""},{"dropping-particle":"","family":"Dong","given":"Yuxiang","non-dropping-particle":"","parse-names":false,"suffix":""},{"dropping-particle":"","family":"Vennerstrom","given":"Jonathan L.","non-dropping-particle":"","parse-names":false,"suffix":""},{"dropping-particle":"","family":"Schmidt","given":"Remo S.","non-dropping-particle":"","parse-names":false,"suffix":""},{"dropping-particle":"","family":"Wittlin","given":"Sergio","non-dropping-particle":"","parse-names":false,"suffix":""},{"dropping-particle":"","family":"Mäser","given":"Pascal","non-dropping-particle":"","parse-names":false,"suffix":""}],"container-title":"ACS Infectious Diseases","id":"ITEM-1","issue":"12","issued":{"date-parts":[["2019"]]},"page":"2067-2075","title":"Stochastic Protein Alkylation by Antimalarial Peroxides","type":"article-journal","volume":"5"},"uris":["http://www.mendeley.com/documents/?uuid=edbd6067-6b71-400c-a71e-dc0c307aa6e9","http://www.mendeley.com/documents/?uuid=e9f78385-0491-4eaa-a33a-9238a469d0b5"]}],"mendeley":{"formattedCitation":"&lt;sup&gt;70&lt;/sup&gt;","plainTextFormattedCitation":"70","previouslyFormattedCitation":"&lt;sup&gt;70&lt;/sup&gt;"},"properties":{"noteIndex":0},"schema":"https://github.com/citation-style-language/schema/raw/master/csl-citation.json"}</w:instrText>
      </w:r>
      <w:r w:rsidRPr="00EF6375">
        <w:rPr>
          <w:rFonts w:cs="Times New Roman"/>
          <w:color w:val="auto"/>
          <w:szCs w:val="22"/>
        </w:rPr>
        <w:fldChar w:fldCharType="separate"/>
      </w:r>
      <w:r w:rsidR="007125A3" w:rsidRPr="007125A3">
        <w:rPr>
          <w:rFonts w:cs="Times New Roman"/>
          <w:noProof/>
          <w:color w:val="auto"/>
          <w:szCs w:val="22"/>
          <w:vertAlign w:val="superscript"/>
        </w:rPr>
        <w:t>70</w:t>
      </w:r>
      <w:r w:rsidRPr="00EF6375">
        <w:rPr>
          <w:rFonts w:cs="Times New Roman"/>
          <w:color w:val="auto"/>
          <w:szCs w:val="22"/>
        </w:rPr>
        <w:fldChar w:fldCharType="end"/>
      </w:r>
      <w:r w:rsidRPr="00EF6375">
        <w:rPr>
          <w:rFonts w:cs="Times New Roman"/>
          <w:color w:val="auto"/>
          <w:szCs w:val="22"/>
        </w:rPr>
        <w:t xml:space="preserve"> and </w:t>
      </w:r>
      <w:r w:rsidRPr="00EF6375">
        <w:rPr>
          <w:rFonts w:cs="Times New Roman"/>
          <w:b/>
          <w:bCs/>
          <w:color w:val="auto"/>
          <w:szCs w:val="22"/>
        </w:rPr>
        <w:t>9</w:t>
      </w:r>
      <w:r w:rsidR="00774A37">
        <w:rPr>
          <w:rFonts w:cs="Times New Roman"/>
          <w:b/>
          <w:bCs/>
          <w:color w:val="auto"/>
          <w:szCs w:val="22"/>
        </w:rPr>
        <w:t xml:space="preserve">4 </w:t>
      </w:r>
      <w:r w:rsidRPr="00EF6375">
        <w:rPr>
          <w:rFonts w:cs="Times New Roman"/>
          <w:color w:val="auto"/>
          <w:szCs w:val="22"/>
        </w:rPr>
        <w:t xml:space="preserve">Wei </w:t>
      </w:r>
      <w:r w:rsidRPr="00E54C0D">
        <w:rPr>
          <w:rFonts w:cs="Times New Roman"/>
          <w:i/>
          <w:iCs/>
          <w:color w:val="auto"/>
          <w:szCs w:val="22"/>
        </w:rPr>
        <w:t>et al.</w:t>
      </w:r>
      <w:r w:rsidRPr="00EF6375">
        <w:rPr>
          <w:rFonts w:cs="Times New Roman"/>
          <w:color w:val="auto"/>
          <w:szCs w:val="22"/>
        </w:rPr>
        <w:fldChar w:fldCharType="begin" w:fldLock="1"/>
      </w:r>
      <w:r w:rsidR="00192B39">
        <w:rPr>
          <w:rFonts w:cs="Times New Roman"/>
          <w:color w:val="auto"/>
          <w:szCs w:val="22"/>
        </w:rPr>
        <w:instrText>ADDIN CSL_CITATION {"citationItems":[{"id":"ITEM-1","itemData":{"DOI":"10.1039/c9cc03719e","ISSN":"1364548X","PMID":"31334508","abstract":"Endoperoxide-containing antimalarials, such as artemisinin and the synthetic trioxolane OZ439, are prodrugs activated by heme to generate primary and secondary carbon-centered radicals. We employed activity-based protein profiling (ABPP) to show that the secondary-carbon-centered radical of 1,2,4-trioxolanes is primarily responsible for protein labeling in malaria parasites.","author":[{"dropping-particle":"","family":"Wei","given":"Chunyan","non-dropping-particle":"","parse-names":false,"suffix":""},{"dropping-particle":"","family":"Zhao","given":"Cheng Xiao","non-dropping-particle":"","parse-names":false,"suffix":""},{"dropping-particle":"","family":"Liu","given":"Sheng","non-dropping-particle":"","parse-names":false,"suffix":""},{"dropping-particle":"","family":"Zhao","given":"Jin Hui","non-dropping-particle":"","parse-names":false,"suffix":""},{"dropping-particle":"","family":"Ye","given":"Zi","non-dropping-particle":"","parse-names":false,"suffix":""},{"dropping-particle":"","family":"Wang","given":"Heng","non-dropping-particle":"","parse-names":false,"suffix":""},{"dropping-particle":"","family":"Yu","given":"Shi Shan","non-dropping-particle":"","parse-names":false,"suffix":""},{"dropping-particle":"","family":"Zhang","given":"Chong Jing","non-dropping-particle":"","parse-names":false,"suffix":""}],"container-title":"Chemical Communications","id":"ITEM-1","issue":"64","issued":{"date-parts":[["2019"]]},"page":"9535-9538","title":"Activity-based protein profiling reveals that secondary-carbon-centered radicals of synthetic 1,2,4-trioxolanes are predominately responsible for modification of protein targets in malaria parasites","type":"article-journal","volume":"55"},"uris":["http://www.mendeley.com/documents/?uuid=7a73262b-fced-41dc-b28b-f0355be85723"]}],"mendeley":{"formattedCitation":"&lt;sup&gt;129&lt;/sup&gt;","plainTextFormattedCitation":"129","previouslyFormattedCitation":"&lt;sup&gt;129&lt;/sup&gt;"},"properties":{"noteIndex":0},"schema":"https://github.com/citation-style-language/schema/raw/master/csl-citation.json"}</w:instrText>
      </w:r>
      <w:r w:rsidRPr="00EF6375">
        <w:rPr>
          <w:rFonts w:cs="Times New Roman"/>
          <w:color w:val="auto"/>
          <w:szCs w:val="22"/>
        </w:rPr>
        <w:fldChar w:fldCharType="separate"/>
      </w:r>
      <w:r w:rsidR="00CA5C6A" w:rsidRPr="00CA5C6A">
        <w:rPr>
          <w:rFonts w:cs="Times New Roman"/>
          <w:noProof/>
          <w:color w:val="auto"/>
          <w:szCs w:val="22"/>
          <w:vertAlign w:val="superscript"/>
        </w:rPr>
        <w:t>129</w:t>
      </w:r>
      <w:r w:rsidRPr="00EF6375">
        <w:rPr>
          <w:rFonts w:cs="Times New Roman"/>
          <w:color w:val="auto"/>
          <w:szCs w:val="22"/>
        </w:rPr>
        <w:fldChar w:fldCharType="end"/>
      </w:r>
      <w:r w:rsidRPr="00EF6375">
        <w:rPr>
          <w:rFonts w:cs="Times New Roman"/>
          <w:color w:val="auto"/>
          <w:szCs w:val="22"/>
        </w:rPr>
        <w:t>)</w:t>
      </w:r>
    </w:p>
    <w:p w14:paraId="055DFE43" w14:textId="77777777" w:rsidR="00EE13A7" w:rsidRPr="00C07E8E" w:rsidRDefault="00EE13A7" w:rsidP="00532D1D">
      <w:pPr>
        <w:autoSpaceDE w:val="0"/>
        <w:autoSpaceDN w:val="0"/>
        <w:adjustRightInd w:val="0"/>
        <w:rPr>
          <w:rFonts w:cs="Times New Roman"/>
          <w:color w:val="auto"/>
          <w:szCs w:val="22"/>
        </w:rPr>
      </w:pPr>
    </w:p>
    <w:p w14:paraId="233252B8" w14:textId="77777777" w:rsidR="00251197" w:rsidRPr="00C07E8E" w:rsidRDefault="00C07E8E" w:rsidP="00532D1D">
      <w:pPr>
        <w:pStyle w:val="Ttulo1"/>
        <w:numPr>
          <w:ilvl w:val="0"/>
          <w:numId w:val="3"/>
        </w:numPr>
        <w:rPr>
          <w:sz w:val="22"/>
          <w:szCs w:val="22"/>
        </w:rPr>
      </w:pPr>
      <w:r w:rsidRPr="00C07E8E">
        <w:rPr>
          <w:sz w:val="22"/>
          <w:szCs w:val="22"/>
        </w:rPr>
        <w:t>1,2,4,5-Tetraoxane Antimalarials</w:t>
      </w:r>
    </w:p>
    <w:p w14:paraId="5C9C2D77" w14:textId="77777777" w:rsidR="006B71A6" w:rsidRPr="00C07E8E" w:rsidRDefault="006B71A6" w:rsidP="00532D1D"/>
    <w:p w14:paraId="6E891927" w14:textId="77777777" w:rsidR="00064BEC" w:rsidRPr="00C07E8E" w:rsidRDefault="00C07E8E" w:rsidP="00532D1D">
      <w:pPr>
        <w:pStyle w:val="Ttulo1"/>
        <w:numPr>
          <w:ilvl w:val="1"/>
          <w:numId w:val="3"/>
        </w:numPr>
        <w:spacing w:before="0" w:after="240"/>
        <w:rPr>
          <w:rFonts w:cs="Times New Roman"/>
          <w:color w:val="auto"/>
          <w:sz w:val="22"/>
          <w:szCs w:val="22"/>
        </w:rPr>
      </w:pPr>
      <w:r w:rsidRPr="00C07E8E">
        <w:rPr>
          <w:rFonts w:cs="Times New Roman"/>
          <w:color w:val="auto"/>
          <w:sz w:val="22"/>
          <w:szCs w:val="22"/>
        </w:rPr>
        <w:t>RKA182</w:t>
      </w:r>
    </w:p>
    <w:p w14:paraId="1C96CEBA" w14:textId="32A1A587" w:rsidR="00183070" w:rsidRPr="00C07E8E" w:rsidRDefault="006D7105" w:rsidP="00532D1D">
      <w:pPr>
        <w:keepNext/>
        <w:jc w:val="center"/>
        <w:rPr>
          <w:rFonts w:cs="Times New Roman"/>
          <w:color w:val="auto"/>
          <w:szCs w:val="22"/>
        </w:rPr>
      </w:pPr>
      <w:r w:rsidRPr="006D7105">
        <w:rPr>
          <w:rFonts w:cs="Times New Roman"/>
          <w:noProof/>
          <w:color w:val="auto"/>
          <w:szCs w:val="22"/>
        </w:rPr>
        <w:object w:dxaOrig="4829" w:dyaOrig="3927" w14:anchorId="51E4212A">
          <v:shape id="_x0000_i1047" type="#_x0000_t75" alt="" style="width:240pt;height:198pt;mso-width-percent:0;mso-height-percent:0;mso-width-percent:0;mso-height-percent:0" o:ole="">
            <v:imagedata r:id="rId50" o:title=""/>
          </v:shape>
          <o:OLEObject Type="Embed" ProgID="ChemDraw.Document.6.0" ShapeID="_x0000_i1047" DrawAspect="Content" ObjectID="_1669219481" r:id="rId51"/>
        </w:object>
      </w:r>
    </w:p>
    <w:p w14:paraId="60857C3A" w14:textId="3A2515FB" w:rsidR="00746BDB" w:rsidRPr="00C07E8E" w:rsidRDefault="00C07E8E" w:rsidP="00532D1D">
      <w:pPr>
        <w:pStyle w:val="Legenda"/>
        <w:spacing w:after="0" w:line="360" w:lineRule="auto"/>
        <w:rPr>
          <w:rFonts w:cs="Times New Roman"/>
          <w:b/>
          <w:bCs/>
          <w:i w:val="0"/>
          <w:iCs w:val="0"/>
          <w:color w:val="auto"/>
          <w:sz w:val="22"/>
          <w:szCs w:val="22"/>
        </w:rPr>
      </w:pPr>
      <w:r w:rsidRPr="00C07E8E">
        <w:rPr>
          <w:rFonts w:cs="Times New Roman"/>
          <w:b/>
          <w:bCs/>
          <w:i w:val="0"/>
          <w:iCs w:val="0"/>
          <w:color w:val="auto"/>
          <w:sz w:val="22"/>
          <w:szCs w:val="22"/>
        </w:rPr>
        <w:t xml:space="preserve">Figure </w:t>
      </w:r>
      <w:r w:rsidR="008D34A3" w:rsidRPr="00C07E8E">
        <w:rPr>
          <w:rFonts w:cs="Times New Roman"/>
          <w:b/>
          <w:bCs/>
          <w:i w:val="0"/>
          <w:iCs w:val="0"/>
          <w:color w:val="auto"/>
          <w:sz w:val="22"/>
          <w:szCs w:val="22"/>
        </w:rPr>
        <w:t>1</w:t>
      </w:r>
      <w:r w:rsidR="003B5020" w:rsidRPr="00C07E8E">
        <w:rPr>
          <w:rFonts w:cs="Times New Roman"/>
          <w:b/>
          <w:bCs/>
          <w:i w:val="0"/>
          <w:iCs w:val="0"/>
          <w:color w:val="auto"/>
          <w:sz w:val="22"/>
          <w:szCs w:val="22"/>
        </w:rPr>
        <w:t>4</w:t>
      </w:r>
      <w:r w:rsidRPr="00C07E8E">
        <w:rPr>
          <w:rFonts w:cs="Times New Roman"/>
          <w:i w:val="0"/>
          <w:iCs w:val="0"/>
          <w:color w:val="auto"/>
          <w:sz w:val="22"/>
          <w:szCs w:val="22"/>
        </w:rPr>
        <w:t xml:space="preserve">: </w:t>
      </w:r>
      <w:r w:rsidR="00511D1D" w:rsidRPr="00C07E8E">
        <w:rPr>
          <w:rFonts w:cs="Times New Roman"/>
          <w:i w:val="0"/>
          <w:iCs w:val="0"/>
          <w:color w:val="auto"/>
          <w:sz w:val="22"/>
          <w:szCs w:val="22"/>
        </w:rPr>
        <w:t>Structure</w:t>
      </w:r>
      <w:r w:rsidR="00511D1D">
        <w:rPr>
          <w:rFonts w:cs="Times New Roman"/>
          <w:i w:val="0"/>
          <w:iCs w:val="0"/>
          <w:color w:val="auto"/>
          <w:sz w:val="22"/>
          <w:szCs w:val="22"/>
        </w:rPr>
        <w:t xml:space="preserve"> representation</w:t>
      </w:r>
      <w:r w:rsidR="00511D1D" w:rsidRPr="00C07E8E">
        <w:rPr>
          <w:rFonts w:cs="Times New Roman"/>
          <w:i w:val="0"/>
          <w:iCs w:val="0"/>
          <w:color w:val="auto"/>
          <w:sz w:val="22"/>
          <w:szCs w:val="22"/>
        </w:rPr>
        <w:t xml:space="preserve"> of prototype 1,2,4,5-tetraoxane antimalarial</w:t>
      </w:r>
      <w:r w:rsidR="0013617A">
        <w:rPr>
          <w:rFonts w:cs="Times New Roman"/>
          <w:i w:val="0"/>
          <w:iCs w:val="0"/>
          <w:color w:val="auto"/>
          <w:sz w:val="22"/>
          <w:szCs w:val="22"/>
        </w:rPr>
        <w:t>s</w:t>
      </w:r>
      <w:r w:rsidR="00511D1D" w:rsidRPr="00C07E8E">
        <w:rPr>
          <w:rFonts w:cs="Times New Roman"/>
          <w:i w:val="0"/>
          <w:iCs w:val="0"/>
          <w:noProof/>
          <w:color w:val="auto"/>
          <w:sz w:val="22"/>
          <w:szCs w:val="22"/>
        </w:rPr>
        <w:t xml:space="preserve"> and </w:t>
      </w:r>
      <w:r w:rsidR="00511D1D">
        <w:rPr>
          <w:rFonts w:cs="Times New Roman"/>
          <w:i w:val="0"/>
          <w:iCs w:val="0"/>
          <w:noProof/>
          <w:color w:val="auto"/>
          <w:sz w:val="22"/>
          <w:szCs w:val="22"/>
        </w:rPr>
        <w:t xml:space="preserve">of </w:t>
      </w:r>
      <w:r w:rsidR="00511D1D" w:rsidRPr="00C07E8E">
        <w:rPr>
          <w:rFonts w:cs="Times New Roman"/>
          <w:i w:val="0"/>
          <w:iCs w:val="0"/>
          <w:noProof/>
          <w:color w:val="auto"/>
          <w:sz w:val="22"/>
          <w:szCs w:val="22"/>
        </w:rPr>
        <w:t xml:space="preserve">the first generation tetraoxane antimalarial RKA182. </w:t>
      </w:r>
      <w:r w:rsidR="00511D1D" w:rsidRPr="00511D1D">
        <w:rPr>
          <w:rFonts w:cs="Times New Roman"/>
          <w:i w:val="0"/>
          <w:iCs w:val="0"/>
          <w:noProof/>
          <w:color w:val="auto"/>
          <w:sz w:val="22"/>
          <w:szCs w:val="22"/>
          <w:vertAlign w:val="superscript"/>
        </w:rPr>
        <w:t>a</w:t>
      </w:r>
      <w:r w:rsidR="00511D1D" w:rsidRPr="00C07E8E">
        <w:rPr>
          <w:rFonts w:cs="Times New Roman"/>
          <w:i w:val="0"/>
          <w:iCs w:val="0"/>
          <w:noProof/>
          <w:color w:val="auto"/>
          <w:sz w:val="22"/>
          <w:szCs w:val="22"/>
        </w:rPr>
        <w:t>Values recorded for the di-tosylate salt</w:t>
      </w:r>
      <w:r w:rsidR="00511D1D">
        <w:rPr>
          <w:rFonts w:cs="Times New Roman"/>
          <w:i w:val="0"/>
          <w:iCs w:val="0"/>
          <w:noProof/>
          <w:color w:val="auto"/>
          <w:sz w:val="22"/>
          <w:szCs w:val="22"/>
        </w:rPr>
        <w:t xml:space="preserve">. </w:t>
      </w:r>
    </w:p>
    <w:p w14:paraId="7BFBA1EC" w14:textId="77777777" w:rsidR="007674E7" w:rsidRPr="00C07E8E" w:rsidRDefault="007674E7" w:rsidP="00532D1D">
      <w:pPr>
        <w:rPr>
          <w:szCs w:val="22"/>
        </w:rPr>
      </w:pPr>
    </w:p>
    <w:p w14:paraId="64C9DA7C" w14:textId="3BC907C4" w:rsidR="00C81B89" w:rsidRDefault="00C07E8E" w:rsidP="00532D1D">
      <w:pPr>
        <w:rPr>
          <w:rFonts w:cs="Times New Roman"/>
          <w:color w:val="auto"/>
          <w:szCs w:val="22"/>
        </w:rPr>
      </w:pPr>
      <w:r w:rsidRPr="00C07E8E">
        <w:rPr>
          <w:rFonts w:cs="Times New Roman"/>
          <w:color w:val="auto"/>
          <w:szCs w:val="22"/>
        </w:rPr>
        <w:tab/>
        <w:t>Another synthetically attainable endoperoxide warhead is 1,2,4,5-tetraoxane</w:t>
      </w:r>
      <w:r w:rsidR="002C485E">
        <w:rPr>
          <w:rFonts w:cs="Times New Roman"/>
          <w:color w:val="auto"/>
          <w:szCs w:val="22"/>
        </w:rPr>
        <w:t>,</w:t>
      </w:r>
      <w:r w:rsidR="00861651">
        <w:rPr>
          <w:rFonts w:cs="Times New Roman"/>
          <w:color w:val="auto"/>
          <w:szCs w:val="22"/>
        </w:rPr>
        <w:t xml:space="preserve"> which was</w:t>
      </w:r>
      <w:r w:rsidR="00861651" w:rsidRPr="00C07E8E">
        <w:rPr>
          <w:rFonts w:cs="Times New Roman"/>
          <w:color w:val="auto"/>
          <w:szCs w:val="22"/>
        </w:rPr>
        <w:t xml:space="preserve"> </w:t>
      </w:r>
      <w:r w:rsidR="00861651">
        <w:rPr>
          <w:rFonts w:cs="Times New Roman"/>
          <w:color w:val="auto"/>
          <w:szCs w:val="22"/>
        </w:rPr>
        <w:t xml:space="preserve">first reported by Vennerstrom </w:t>
      </w:r>
      <w:r w:rsidR="00861651">
        <w:rPr>
          <w:rFonts w:cs="Times New Roman"/>
          <w:i/>
          <w:color w:val="auto"/>
          <w:szCs w:val="22"/>
        </w:rPr>
        <w:t>et al</w:t>
      </w:r>
      <w:r w:rsidR="00861651">
        <w:rPr>
          <w:rFonts w:cs="Times New Roman"/>
          <w:color w:val="auto"/>
          <w:szCs w:val="22"/>
        </w:rPr>
        <w:t xml:space="preserve"> in 1992</w:t>
      </w:r>
      <w:r w:rsidR="002C485E">
        <w:rPr>
          <w:rFonts w:cs="Times New Roman"/>
          <w:color w:val="auto"/>
          <w:szCs w:val="22"/>
        </w:rPr>
        <w:t>,</w:t>
      </w:r>
      <w:r w:rsidR="00861651">
        <w:rPr>
          <w:rFonts w:cs="Times New Roman"/>
          <w:color w:val="auto"/>
          <w:szCs w:val="22"/>
        </w:rPr>
        <w:t xml:space="preserve"> where a series of symmetrical bis-cyclohexyl tetraoxanes were found to possess antimalarial activity comparable to ART derivatives</w:t>
      </w:r>
      <w:r w:rsidR="00C81B89">
        <w:rPr>
          <w:rFonts w:cs="Times New Roman"/>
          <w:color w:val="auto"/>
          <w:szCs w:val="22"/>
        </w:rPr>
        <w:t>.</w:t>
      </w:r>
      <w:r w:rsidR="00AB13DF">
        <w:rPr>
          <w:rFonts w:cs="Times New Roman"/>
          <w:color w:val="auto"/>
          <w:szCs w:val="22"/>
        </w:rPr>
        <w:fldChar w:fldCharType="begin" w:fldLock="1"/>
      </w:r>
      <w:r w:rsidR="00192B39">
        <w:rPr>
          <w:rFonts w:cs="Times New Roman"/>
          <w:color w:val="auto"/>
          <w:szCs w:val="22"/>
        </w:rPr>
        <w:instrText>ADDIN CSL_CITATION {"citationItems":[{"id":"ITEM-1","itemData":{"DOI":"10.1021/jm00094a015","ISSN":"15204804","PMID":"1501229","abstract":"Dispiro-1,2,4,5-tetraoxanes 2-4 were synthesized as potential peroxide antimalarial drugs. They had curative activity against Plasmodium berghei in vivo at single doses of 320 and 640 mg/kg which confirms earlier unpublished data. Moreover, artemisinin (1) and 4 had equivalent ED50′s against P. berghei in vivo in the multiple-dose Thompson test; neither showed any evidence of acute toxicity at total doses of more than 12 g/kg. Dispiro-1,2,4,5-tetraoxane 4 had IC50′s comparable to those of 1 against Plasmodium falciparum clones in vitro. These results confirm the potential of dispiro-1,2,4,5-tetraoxanes as a new class of inexpensive peroxide antimalarial drugs. © 1992, American Chemical Society. All rights reserved.","author":[{"dropping-particle":"","family":"Vennerstrom","given":"Jonathan L.","non-dropping-particle":"","parse-names":false,"suffix":""},{"dropping-particle":"","family":"Fu","given":"Hong Ling","non-dropping-particle":"","parse-names":false,"suffix":""},{"dropping-particle":"","family":"Ellis","given":"William Y.","non-dropping-particle":"","parse-names":false,"suffix":""},{"dropping-particle":"","family":"Andersen","given":"Steven L.","non-dropping-particle":"","parse-names":false,"suffix":""},{"dropping-particle":"","family":"Gerena","given":"Lucia","non-dropping-particle":"","parse-names":false,"suffix":""},{"dropping-particle":"","family":"Ager","given":"Arba L.","non-dropping-particle":"","parse-names":false,"suffix":""},{"dropping-particle":"","family":"Wood","given":"James K.","non-dropping-particle":"","parse-names":false,"suffix":""}],"container-title":"Journal of Medicinal Chemistry","id":"ITEM-1","issue":"16","issued":{"date-parts":[["1992","8","1"]]},"note":"From Duplicate 1 (Dispiro-1,2,4,5-tetraoxanes: a new class of antimalarial peroxides - Vennerstrom, Jonathan L; Fu, Hong Ning; Ellis, William Y; Ager, Arba L; Wood, James K; Andersen, Steven L; Gerena, Lucia; Milhous, Wilbur K)\n\ndoi: 10.1021/jm00094a015","page":"3023-3027","publisher":"American Chemical Society","title":"Dispiro-1,2,4,5-tetraoxanes: A New Class of Antimalarial Peroxides","type":"article-journal","volume":"35"},"uris":["http://www.mendeley.com/documents/?uuid=a21504cf-fa7c-478f-9a50-8d4062b9eea9"]}],"mendeley":{"formattedCitation":"&lt;sup&gt;130&lt;/sup&gt;","plainTextFormattedCitation":"130","previouslyFormattedCitation":"&lt;sup&gt;130&lt;/sup&gt;"},"properties":{"noteIndex":0},"schema":"https://github.com/citation-style-language/schema/raw/master/csl-citation.json"}</w:instrText>
      </w:r>
      <w:r w:rsidR="00AB13DF">
        <w:rPr>
          <w:rFonts w:cs="Times New Roman"/>
          <w:color w:val="auto"/>
          <w:szCs w:val="22"/>
        </w:rPr>
        <w:fldChar w:fldCharType="separate"/>
      </w:r>
      <w:r w:rsidR="00CA5C6A" w:rsidRPr="00CA5C6A">
        <w:rPr>
          <w:rFonts w:cs="Times New Roman"/>
          <w:noProof/>
          <w:color w:val="auto"/>
          <w:szCs w:val="22"/>
          <w:vertAlign w:val="superscript"/>
        </w:rPr>
        <w:t>130</w:t>
      </w:r>
      <w:r w:rsidR="00AB13DF">
        <w:rPr>
          <w:rFonts w:cs="Times New Roman"/>
          <w:color w:val="auto"/>
          <w:szCs w:val="22"/>
        </w:rPr>
        <w:fldChar w:fldCharType="end"/>
      </w:r>
      <w:r w:rsidR="00C81B89">
        <w:rPr>
          <w:rFonts w:cs="Times New Roman"/>
          <w:color w:val="auto"/>
          <w:szCs w:val="22"/>
        </w:rPr>
        <w:t xml:space="preserve"> This included WR148999 </w:t>
      </w:r>
      <w:r w:rsidR="00AB13DF">
        <w:rPr>
          <w:rFonts w:cs="Times New Roman"/>
          <w:color w:val="auto"/>
          <w:szCs w:val="22"/>
        </w:rPr>
        <w:t>(</w:t>
      </w:r>
      <w:r w:rsidR="007125A3" w:rsidRPr="007370A6">
        <w:rPr>
          <w:rFonts w:cs="Times New Roman"/>
          <w:b/>
          <w:color w:val="auto"/>
          <w:szCs w:val="22"/>
        </w:rPr>
        <w:t>95</w:t>
      </w:r>
      <w:r w:rsidR="00AB13DF">
        <w:rPr>
          <w:rFonts w:cs="Times New Roman"/>
          <w:color w:val="auto"/>
          <w:szCs w:val="22"/>
        </w:rPr>
        <w:t xml:space="preserve">, </w:t>
      </w:r>
      <w:r w:rsidR="00AB13DF" w:rsidRPr="007370A6">
        <w:rPr>
          <w:rFonts w:cs="Times New Roman"/>
          <w:b/>
          <w:color w:val="auto"/>
          <w:szCs w:val="22"/>
        </w:rPr>
        <w:t>Figure 14</w:t>
      </w:r>
      <w:r w:rsidR="00AB13DF">
        <w:rPr>
          <w:rFonts w:cs="Times New Roman"/>
          <w:color w:val="auto"/>
          <w:szCs w:val="22"/>
        </w:rPr>
        <w:t xml:space="preserve">) </w:t>
      </w:r>
      <w:r w:rsidR="00C81B89" w:rsidRPr="00AB13DF">
        <w:rPr>
          <w:rFonts w:cs="Times New Roman"/>
          <w:color w:val="auto"/>
          <w:szCs w:val="22"/>
        </w:rPr>
        <w:t>which</w:t>
      </w:r>
      <w:r w:rsidR="00C81B89">
        <w:rPr>
          <w:rFonts w:cs="Times New Roman"/>
          <w:color w:val="auto"/>
          <w:szCs w:val="22"/>
        </w:rPr>
        <w:t xml:space="preserve"> was found to possess an IC</w:t>
      </w:r>
      <w:r w:rsidR="00C81B89" w:rsidRPr="007370A6">
        <w:rPr>
          <w:rFonts w:cs="Times New Roman"/>
          <w:color w:val="auto"/>
          <w:szCs w:val="22"/>
          <w:vertAlign w:val="subscript"/>
        </w:rPr>
        <w:t>50</w:t>
      </w:r>
      <w:r w:rsidR="00C81B89">
        <w:rPr>
          <w:rFonts w:cs="Times New Roman"/>
          <w:color w:val="auto"/>
          <w:szCs w:val="22"/>
        </w:rPr>
        <w:t xml:space="preserve"> of 28nM against K1 </w:t>
      </w:r>
      <w:r w:rsidR="00C81B89">
        <w:rPr>
          <w:rFonts w:cs="Times New Roman"/>
          <w:i/>
          <w:color w:val="auto"/>
          <w:szCs w:val="22"/>
        </w:rPr>
        <w:t>P. falciparum</w:t>
      </w:r>
      <w:r w:rsidR="00C81B89">
        <w:rPr>
          <w:rFonts w:cs="Times New Roman"/>
          <w:color w:val="auto"/>
          <w:szCs w:val="22"/>
        </w:rPr>
        <w:t xml:space="preserve"> as well as 27.7 day average survival after a single 100 mg/kg subcutaneous dose – however survival after a single oral 100 mg/kg dose was found to be just 7.7 days</w:t>
      </w:r>
      <w:r w:rsidR="002C485E">
        <w:rPr>
          <w:rFonts w:cs="Times New Roman"/>
          <w:color w:val="auto"/>
          <w:szCs w:val="22"/>
        </w:rPr>
        <w:t>,</w:t>
      </w:r>
      <w:r w:rsidR="00C81B89">
        <w:rPr>
          <w:rFonts w:cs="Times New Roman"/>
          <w:color w:val="auto"/>
          <w:szCs w:val="22"/>
        </w:rPr>
        <w:t xml:space="preserve"> indicating poor oral bioavailability</w:t>
      </w:r>
      <w:r w:rsidR="00861651">
        <w:rPr>
          <w:rFonts w:cs="Times New Roman"/>
          <w:color w:val="auto"/>
          <w:szCs w:val="22"/>
        </w:rPr>
        <w:t>.</w:t>
      </w:r>
      <w:r w:rsidR="00AB13DF">
        <w:rPr>
          <w:rFonts w:cs="Times New Roman"/>
          <w:color w:val="auto"/>
          <w:szCs w:val="22"/>
        </w:rPr>
        <w:fldChar w:fldCharType="begin" w:fldLock="1"/>
      </w:r>
      <w:r w:rsidR="00192B39">
        <w:rPr>
          <w:rFonts w:cs="Times New Roman"/>
          <w:color w:val="auto"/>
          <w:szCs w:val="22"/>
        </w:rPr>
        <w:instrText>ADDIN CSL_CITATION {"citationItems":[{"id":"ITEM-1","itemData":{"DOI":"10.4269/ajtmh.2000.62.573","ISSN":"00029637","PMID":"11289666","abstract":"The antimalarial peroxide, dispiro-1,2,4,5-tetraoxane WR 148999, was synergistic with chloroquine, quinine, mefloquine, and artemisinin against both D6 and W2 clones of Plasmodium falciparum. In consideration of the contrasting antagonism between artemisinin and chloroquine, these drug combination data imply that WR 148999 and artemisinin may not share a common mechanism of action. For Plasmodium berghei-infected mice given oral, subcutaneous, and intraperitoneal doses of WR 148999 ranging from 2 to 1024 mg/kg in the Thompson test, median survival times were 8.8, 11.8, and 27.5 days, respectively, compared to 8 days for control animals. Using subcutaneous administration, WR 148999 had a considerably longer duration of action than did artemisinin against P. berghei. WR 148999 did not significantly inhibit cytochrome P450 isozymes CYP 2C9, 2C19, 2D6, 2E1, or 3A4 (IC50 &gt;500 μM) but did inhibit CYP 1A2 with an IC50 value of 36 μM, suggesting that WR 148999 may be metabolized by the latter CYP isozyme. These results combined with previous observations that formulation strategies and incorporation of polar functional groups in a series of WR 148999 analogs both failed to enhance tetraoxane oral antimalarial activity suggest that oral bioavailability of tetraoxane WR 148999 is more likely a function of extensive first-pass metabolism rather than solubility-limited dissolution.","author":[{"dropping-particle":"","family":"Vennerstrom","given":"J. L.","non-dropping-particle":"","parse-names":false,"suffix":""},{"dropping-particle":"","family":"Ager","given":"Jr","non-dropping-particle":"","parse-names":false,"suffix":""},{"dropping-particle":"","family":"Andersen","given":"S. L.","non-dropping-particle":"","parse-names":false,"suffix":""},{"dropping-particle":"","family":"Grace","given":"J. M.","non-dropping-particle":"","parse-names":false,"suffix":""},{"dropping-particle":"","family":"Wongpanich","given":"V.","non-dropping-particle":"","parse-names":false,"suffix":""},{"dropping-particle":"","family":"Angerhofer","given":"C. K.","non-dropping-particle":"","parse-names":false,"suffix":""},{"dropping-particle":"","family":"Hu","given":"J. K.","non-dropping-particle":"","parse-names":false,"suffix":""},{"dropping-particle":"","family":"Wesche","given":"D. L.","non-dropping-particle":"","parse-names":false,"suffix":""}],"container-title":"American Journal of Tropical Medicine and Hygiene","id":"ITEM-1","issue":"5","issued":{"date-parts":[["2000","5","1"]]},"page":"573-578","publisher":"The American Society of Tropical Medicine and Hygiene","title":"Assessment of the antimalarial potential of tetraoxane WR 148999","type":"article-journal","volume":"62"},"uris":["http://www.mendeley.com/documents/?uuid=b504cdab-26d9-3fe7-a636-c83deaa051a1"]},{"id":"ITEM-2","itemData":{"DOI":"10.1021/jm00094a015","ISSN":"15204804","PMID":"1501229","abstract":"Dispiro-1,2,4,5-tetraoxanes 2-4 were synthesized as potential peroxide antimalarial drugs. They had curative activity against Plasmodium berghei in vivo at single doses of 320 and 640 mg/kg which confirms earlier unpublished data. Moreover, artemisinin (1) and 4 had equivalent ED50′s against P. berghei in vivo in the multiple-dose Thompson test; neither showed any evidence of acute toxicity at total doses of more than 12 g/kg. Dispiro-1,2,4,5-tetraoxane 4 had IC50′s comparable to those of 1 against Plasmodium falciparum clones in vitro. These results confirm the potential of dispiro-1,2,4,5-tetraoxanes as a new class of inexpensive peroxide antimalarial drugs. © 1992, American Chemical Society. All rights reserved.","author":[{"dropping-particle":"","family":"Vennerstrom","given":"Jonathan L.","non-dropping-particle":"","parse-names":false,"suffix":""},{"dropping-particle":"","family":"Fu","given":"Hong Ling","non-dropping-particle":"","parse-names":false,"suffix":""},{"dropping-particle":"","family":"Ellis","given":"William Y.","non-dropping-particle":"","parse-names":false,"suffix":""},{"dropping-particle":"","family":"Andersen","given":"Steven L.","non-dropping-particle":"","parse-names":false,"suffix":""},{"dropping-particle":"","family":"Gerena","given":"Lucia","non-dropping-particle":"","parse-names":false,"suffix":""},{"dropping-particle":"","family":"Ager","given":"Arba L.","non-dropping-particle":"","parse-names":false,"suffix":""},{"dropping-particle":"","family":"Wood","given":"James K.","non-dropping-particle":"","parse-names":false,"suffix":""}],"container-title":"Journal of Medicinal Chemistry","id":"ITEM-2","issue":"16","issued":{"date-parts":[["1992","8","1"]]},"note":"From Duplicate 1 (Dispiro-1,2,4,5-tetraoxanes: a new class of antimalarial peroxides - Vennerstrom, Jonathan L; Fu, Hong Ning; Ellis, William Y; Ager, Arba L; Wood, James K; Andersen, Steven L; Gerena, Lucia; Milhous, Wilbur K)\n\ndoi: 10.1021/jm00094a015","page":"3023-3027","publisher":"American Chemical Society","title":"Dispiro-1,2,4,5-tetraoxanes: A New Class of Antimalarial Peroxides","type":"article-journal","volume":"35"},"uris":["http://www.mendeley.com/documents/?uuid=a21504cf-fa7c-478f-9a50-8d4062b9eea9"]}],"mendeley":{"formattedCitation":"&lt;sup&gt;130,131&lt;/sup&gt;","plainTextFormattedCitation":"130,131","previouslyFormattedCitation":"&lt;sup&gt;130,131&lt;/sup&gt;"},"properties":{"noteIndex":0},"schema":"https://github.com/citation-style-language/schema/raw/master/csl-citation.json"}</w:instrText>
      </w:r>
      <w:r w:rsidR="00AB13DF">
        <w:rPr>
          <w:rFonts w:cs="Times New Roman"/>
          <w:color w:val="auto"/>
          <w:szCs w:val="22"/>
        </w:rPr>
        <w:fldChar w:fldCharType="separate"/>
      </w:r>
      <w:r w:rsidR="00CA5C6A" w:rsidRPr="00CA5C6A">
        <w:rPr>
          <w:rFonts w:cs="Times New Roman"/>
          <w:noProof/>
          <w:color w:val="auto"/>
          <w:szCs w:val="22"/>
          <w:vertAlign w:val="superscript"/>
        </w:rPr>
        <w:t>130,131</w:t>
      </w:r>
      <w:r w:rsidR="00AB13DF">
        <w:rPr>
          <w:rFonts w:cs="Times New Roman"/>
          <w:color w:val="auto"/>
          <w:szCs w:val="22"/>
        </w:rPr>
        <w:fldChar w:fldCharType="end"/>
      </w:r>
      <w:r w:rsidR="00C81B89" w:rsidRPr="00C81B89">
        <w:t xml:space="preserve"> </w:t>
      </w:r>
      <w:r w:rsidR="00742C7D">
        <w:t>Further a</w:t>
      </w:r>
      <w:r w:rsidR="00C81B89">
        <w:rPr>
          <w:rFonts w:cs="Times New Roman"/>
          <w:color w:val="auto"/>
          <w:szCs w:val="22"/>
        </w:rPr>
        <w:t>nalogues of WR148999</w:t>
      </w:r>
      <w:r w:rsidR="00AB13DF">
        <w:rPr>
          <w:rFonts w:cs="Times New Roman"/>
          <w:color w:val="auto"/>
          <w:szCs w:val="22"/>
        </w:rPr>
        <w:t xml:space="preserve"> have been reported</w:t>
      </w:r>
      <w:r w:rsidR="002C485E">
        <w:rPr>
          <w:rFonts w:cs="Times New Roman"/>
          <w:color w:val="auto"/>
          <w:szCs w:val="22"/>
        </w:rPr>
        <w:t>,</w:t>
      </w:r>
      <w:r w:rsidR="00C81B89">
        <w:rPr>
          <w:rFonts w:cs="Times New Roman"/>
          <w:color w:val="auto"/>
          <w:szCs w:val="22"/>
        </w:rPr>
        <w:t xml:space="preserve"> however none displayed greatly improved </w:t>
      </w:r>
      <w:r w:rsidR="00C81B89" w:rsidRPr="00C81B89">
        <w:rPr>
          <w:rFonts w:cs="Times New Roman"/>
          <w:i/>
          <w:color w:val="auto"/>
          <w:szCs w:val="28"/>
        </w:rPr>
        <w:t>in vivo</w:t>
      </w:r>
      <w:r w:rsidR="00C81B89">
        <w:rPr>
          <w:rFonts w:cs="Times New Roman"/>
          <w:i/>
          <w:color w:val="auto"/>
          <w:szCs w:val="22"/>
        </w:rPr>
        <w:t xml:space="preserve"> </w:t>
      </w:r>
      <w:r w:rsidR="00C81B89">
        <w:rPr>
          <w:rFonts w:cs="Times New Roman"/>
          <w:color w:val="auto"/>
          <w:szCs w:val="22"/>
        </w:rPr>
        <w:t>activity following oral dosing.</w:t>
      </w:r>
      <w:r w:rsidR="00AB13DF">
        <w:rPr>
          <w:rFonts w:cs="Times New Roman"/>
          <w:color w:val="auto"/>
          <w:szCs w:val="22"/>
        </w:rPr>
        <w:fldChar w:fldCharType="begin" w:fldLock="1"/>
      </w:r>
      <w:r w:rsidR="00192B39">
        <w:rPr>
          <w:rFonts w:cs="Times New Roman"/>
          <w:color w:val="auto"/>
          <w:szCs w:val="22"/>
        </w:rPr>
        <w:instrText>ADDIN CSL_CITATION {"citationItems":[{"id":"ITEM-1","itemData":{"DOI":"10.1021/jm980698f","ISSN":"00222623","PMID":"10212135","abstract":"Eleven novel dispiro-1,2,4,5-tetraoxanes 3 bearing unsaturated and polar functional groups were designed to enhance the oral antimalarial activity of the prototype tetraoxane 2 (WR 148999). With the exception of 3g and 3h, tetraoxanes 3 were available via the peroxidation of corresponding cyclohexanone derivatives in H2SO4CH3CN. Tetraoxanes 3g and 3h were prepared by hydrolysis of ester tetraoxanes 3e and 3i, respectively. Five of the 11 tetraoxanes were inactive, but six tetraoxanes had IC50 values of 6- 26 nM against the K1 and NF54 strains of Plasmodium falciparum compared to corresponding IC50 values of 28 and 39 nM for 2, and 10 and 12 nM for artemisinin (1). Ester tetraoxane 3e was the most active in vitro, some 2- fold more potent than 1. However, none of the six tetraoxanes active in vitro were as effective as either 1 or 2 in vivo; at single doses of 100 mg/kg most possessed little to no vivo activity in mice infected with Plasmodium berghei. Unsaturated tetraoxane 3a was uniquely more active when administered per os (po) than subcutan (sc). For this series of tetraoxanes, the discrepancy between vitro and vivo activities underscores the limitations of conclusions drawn solely from in vitro antimalarial data and illustrates a practical benefit of complementary single-dose in vivo antimalarial screens.","author":[{"dropping-particle":"","family":"Dong","given":"Yuxiang","non-dropping-particle":"","parse-names":false,"suffix":""},{"dropping-particle":"","family":"Matile","given":"Hugues","non-dropping-particle":"","parse-names":false,"suffix":""},{"dropping-particle":"","family":"Chollet","given":"Jacques","non-dropping-particle":"","parse-names":false,"suffix":""},{"dropping-particle":"","family":"Kaminsky","given":"Ronald","non-dropping-particle":"","parse-names":false,"suffix":""},{"dropping-particle":"","family":"Wood","given":"James K.","non-dropping-particle":"","parse-names":false,"suffix":""},{"dropping-particle":"","family":"Vennerstrom","given":"Jonathan L.","non-dropping-particle":"","parse-names":false,"suffix":""}],"container-title":"Journal of Medicinal Chemistry","id":"ITEM-1","issue":"8","issued":{"date-parts":[["1999","4","22"]]},"note":"doi: 10.1021/jm980698f","page":"1477-1480","publisher":"American Chemical Society","title":"Synthesis and antimalarial activity of 11 dispiro-1,2,4,5-tetraoxane analogues of WR 148999. 7,8,15,16-tetraoxadispiro[5.2.5.2]hexadecanes substituted at the 1 and 10 positions with unsaturated and polar functional groups","type":"article-journal","volume":"42"},"uris":["http://www.mendeley.com/documents/?uuid=ace850f1-cbe4-4d33-96f2-a6c9ddbf96c4"]}],"mendeley":{"formattedCitation":"&lt;sup&gt;132&lt;/sup&gt;","plainTextFormattedCitation":"132","previouslyFormattedCitation":"&lt;sup&gt;132&lt;/sup&gt;"},"properties":{"noteIndex":0},"schema":"https://github.com/citation-style-language/schema/raw/master/csl-citation.json"}</w:instrText>
      </w:r>
      <w:r w:rsidR="00AB13DF">
        <w:rPr>
          <w:rFonts w:cs="Times New Roman"/>
          <w:color w:val="auto"/>
          <w:szCs w:val="22"/>
        </w:rPr>
        <w:fldChar w:fldCharType="separate"/>
      </w:r>
      <w:r w:rsidR="00CA5C6A" w:rsidRPr="00CA5C6A">
        <w:rPr>
          <w:rFonts w:cs="Times New Roman"/>
          <w:noProof/>
          <w:color w:val="auto"/>
          <w:szCs w:val="22"/>
          <w:vertAlign w:val="superscript"/>
        </w:rPr>
        <w:t>132</w:t>
      </w:r>
      <w:r w:rsidR="00AB13DF">
        <w:rPr>
          <w:rFonts w:cs="Times New Roman"/>
          <w:color w:val="auto"/>
          <w:szCs w:val="22"/>
        </w:rPr>
        <w:fldChar w:fldCharType="end"/>
      </w:r>
      <w:r w:rsidR="00AB13DF">
        <w:rPr>
          <w:rFonts w:cs="Times New Roman"/>
          <w:color w:val="auto"/>
          <w:szCs w:val="22"/>
        </w:rPr>
        <w:fldChar w:fldCharType="begin" w:fldLock="1"/>
      </w:r>
      <w:r w:rsidR="00192B39">
        <w:rPr>
          <w:rFonts w:cs="Times New Roman"/>
          <w:color w:val="auto"/>
          <w:szCs w:val="22"/>
        </w:rPr>
        <w:instrText>ADDIN CSL_CITATION {"citationItems":[{"id":"ITEM-1","itemData":{"DOI":"10.1021/jm0000766","ISSN":"00222623","PMID":"10893313","abstract":"Sixteen alkyl-substituted dispiro-1,2,4,5-tetraoxanes (7,8,15,16-tetraoxadispiro[5.2.5.2]hexadecanes) were synthesized to explore dispiro-1,2,4,5-tetraoxane SAR and to identify tetraoxanes with better oral antimalarial activity than prototype tetraoxane 1 (WR 148999). The tetraoxanes were prepared either by peroxidation of the corresponding cyclohexanone derivatives in H2SO4/CH3CN or by ozonolysis of the corresponding cyclohexanone methyl oximes. Those tetraoxanes with alkyl substituents at the 1 and 10 positions were formed as single stereoisomers, whereas the five tetraoxanes formed without the stereochemical control provided by alkyl groups at the 1 and 10 positions were isolated as mixtures of diastereomers. Three of the sixteen tetraoxanes were inactive (IC50's &gt; 1000 nM), but five (2, 6, 10, 11, 12) had IC50's between 10 and 30 nM against the chloroquine-sensitive D6 and chloroquine-resistant W2 clones of Plasmodium falciparum compared to corresponding IC50's of 55 and 32 nM for 1 and 8.4 and 7.3 nM for artemisinin. We suggest that tetraoxanes 13, 16, and 17 were inactive and tetraoxanes 4 and 7 were weakly active due to steric effects preventing or hindering peroxide bond access to parasite heme. Tetraoxanes 1, 10, 11, and 14, along with artemisinin and arteether as controls, were administered po b.i.d. (128 mg/kg/day) to P. berghei- infected mice on days 3, 4, and 5 post-infection. At this dose, tetraoxanes 10, 11, and 14 cured between 40% and 60% of the infected animals. In comparison, artemisinin and tetraoxane 1 produced no cures, whereas arteether cured 100% of the infected animals. There was no apparent relationship between tetraoxane structure and in vitro neurotoxicity, nor was there any correlation between antimalarial activity and neurotoxicity for these seventeen tetraoxanes.","author":[{"dropping-particle":"","family":"Vennerstrom","given":"Jonathan L.","non-dropping-particle":"","parse-names":false,"suffix":""},{"dropping-particle":"","family":"Dong","given":"Yuxiang","non-dropping-particle":"","parse-names":false,"suffix":""},{"dropping-particle":"","family":"Andersen","given":"Steven L.","non-dropping-particle":"","parse-names":false,"suffix":""},{"dropping-particle":"","family":"Ager","given":"Arba L.","non-dropping-particle":"","parse-names":false,"suffix":""},{"dropping-particle":"","family":"Fu","given":"Hong Ning","non-dropping-particle":"","parse-names":false,"suffix":""},{"dropping-particle":"","family":"Miller","given":"Robert E.","non-dropping-particle":"","parse-names":false,"suffix":""},{"dropping-particle":"","family":"Wesche","given":"David L.","non-dropping-particle":"","parse-names":false,"suffix":""},{"dropping-particle":"","family":"Kyle","given":"Dennis E.","non-dropping-particle":"","parse-names":false,"suffix":""},{"dropping-particle":"","family":"Gerena","given":"Lucia","non-dropping-particle":"","parse-names":false,"suffix":""},{"dropping-particle":"","family":"Walters","given":"Sheri M.","non-dropping-particle":"","parse-names":false,"suffix":""},{"dropping-particle":"","family":"Wood","given":"James K.","non-dropping-particle":"","parse-names":false,"suffix":""},{"dropping-particle":"","family":"Edwards","given":"Geoffrey","non-dropping-particle":"","parse-names":false,"suffix":""},{"dropping-particle":"","family":"Holme","given":"Alexandra D.","non-dropping-particle":"","parse-names":false,"suffix":""},{"dropping-particle":"","family":"McLean","given":"W. Graham","non-dropping-particle":"","parse-names":false,"suffix":""},{"dropping-particle":"","family":"Milhous","given":"Wilbur K.","non-dropping-particle":"","parse-names":false,"suffix":""}],"container-title":"Journal of Medicinal Chemistry","id":"ITEM-1","issue":"14","issued":{"date-parts":[["2000","7","1"]]},"note":"doi: 10.1021/jm0000766","page":"2753-2758","publisher":"American Chemical Society","title":"Synthesis and antimalarial activity of sixteen dispiro- 1,2,4,5-tetraoxanes: Alkyl-substituted 7,8,15,16- tetraoxadispiro[5.2.5.2]hexadecanes","type":"article-journal","volume":"43"},"uris":["http://www.mendeley.com/documents/?uuid=8be5eea2-8cf6-46bd-a5c9-0c9f1326b6c8"]}],"mendeley":{"formattedCitation":"&lt;sup&gt;133&lt;/sup&gt;","plainTextFormattedCitation":"133","previouslyFormattedCitation":"&lt;sup&gt;133&lt;/sup&gt;"},"properties":{"noteIndex":0},"schema":"https://github.com/citation-style-language/schema/raw/master/csl-citation.json"}</w:instrText>
      </w:r>
      <w:r w:rsidR="00AB13DF">
        <w:rPr>
          <w:rFonts w:cs="Times New Roman"/>
          <w:color w:val="auto"/>
          <w:szCs w:val="22"/>
        </w:rPr>
        <w:fldChar w:fldCharType="separate"/>
      </w:r>
      <w:r w:rsidR="00CA5C6A" w:rsidRPr="00CA5C6A">
        <w:rPr>
          <w:rFonts w:cs="Times New Roman"/>
          <w:noProof/>
          <w:color w:val="auto"/>
          <w:szCs w:val="22"/>
          <w:vertAlign w:val="superscript"/>
        </w:rPr>
        <w:t>133</w:t>
      </w:r>
      <w:r w:rsidR="00AB13DF">
        <w:rPr>
          <w:rFonts w:cs="Times New Roman"/>
          <w:color w:val="auto"/>
          <w:szCs w:val="22"/>
        </w:rPr>
        <w:fldChar w:fldCharType="end"/>
      </w:r>
      <w:r w:rsidR="00C81B89" w:rsidRPr="00C81B89">
        <w:t xml:space="preserve"> </w:t>
      </w:r>
      <w:r w:rsidR="00C81B89">
        <w:rPr>
          <w:rFonts w:cs="Times New Roman"/>
          <w:color w:val="auto"/>
          <w:szCs w:val="22"/>
        </w:rPr>
        <w:t>Since</w:t>
      </w:r>
      <w:r w:rsidR="002C485E">
        <w:rPr>
          <w:rFonts w:cs="Times New Roman"/>
          <w:color w:val="auto"/>
          <w:szCs w:val="22"/>
        </w:rPr>
        <w:t>,</w:t>
      </w:r>
      <w:r w:rsidR="00C81B89">
        <w:rPr>
          <w:rFonts w:cs="Times New Roman"/>
          <w:color w:val="auto"/>
          <w:szCs w:val="22"/>
        </w:rPr>
        <w:t xml:space="preserve"> Vennerstrom’s group has focussed mainly on the 1,2,4-trioxolane class of antimalarials</w:t>
      </w:r>
      <w:r w:rsidR="00FE20CB">
        <w:rPr>
          <w:rFonts w:cs="Times New Roman"/>
          <w:color w:val="auto"/>
          <w:szCs w:val="22"/>
        </w:rPr>
        <w:t>,</w:t>
      </w:r>
      <w:r w:rsidR="00C81B89">
        <w:rPr>
          <w:rFonts w:cs="Times New Roman"/>
          <w:color w:val="auto"/>
          <w:szCs w:val="22"/>
        </w:rPr>
        <w:t xml:space="preserve"> with development of the 1,2,4,5-tetraoxanes being continued by O’Neill.</w:t>
      </w:r>
      <w:r w:rsidR="00AB13DF">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AB13DF">
        <w:rPr>
          <w:rFonts w:cs="Times New Roman"/>
          <w:color w:val="auto"/>
          <w:szCs w:val="22"/>
        </w:rPr>
        <w:fldChar w:fldCharType="separate"/>
      </w:r>
      <w:r w:rsidR="00CA5C6A" w:rsidRPr="00CA5C6A">
        <w:rPr>
          <w:rFonts w:cs="Times New Roman"/>
          <w:noProof/>
          <w:color w:val="auto"/>
          <w:szCs w:val="22"/>
          <w:vertAlign w:val="superscript"/>
        </w:rPr>
        <w:t>123</w:t>
      </w:r>
      <w:r w:rsidR="00AB13DF">
        <w:rPr>
          <w:rFonts w:cs="Times New Roman"/>
          <w:color w:val="auto"/>
          <w:szCs w:val="22"/>
        </w:rPr>
        <w:fldChar w:fldCharType="end"/>
      </w:r>
      <w:r w:rsidR="00861651">
        <w:rPr>
          <w:rFonts w:cs="Times New Roman"/>
          <w:color w:val="auto"/>
          <w:szCs w:val="22"/>
        </w:rPr>
        <w:t xml:space="preserve"> </w:t>
      </w:r>
    </w:p>
    <w:p w14:paraId="7F7FC74D" w14:textId="5B02A441" w:rsidR="00746BDB" w:rsidRPr="00C07E8E" w:rsidRDefault="00C81B89" w:rsidP="00532D1D">
      <w:pPr>
        <w:ind w:firstLine="720"/>
        <w:rPr>
          <w:rFonts w:cs="Times New Roman"/>
          <w:color w:val="auto"/>
          <w:szCs w:val="22"/>
        </w:rPr>
      </w:pPr>
      <w:r>
        <w:rPr>
          <w:rFonts w:cs="Times New Roman"/>
          <w:color w:val="auto"/>
          <w:szCs w:val="22"/>
        </w:rPr>
        <w:t xml:space="preserve">The </w:t>
      </w:r>
      <w:r w:rsidR="00183070" w:rsidRPr="00C07E8E">
        <w:rPr>
          <w:rFonts w:cs="Times New Roman"/>
          <w:color w:val="auto"/>
          <w:szCs w:val="22"/>
        </w:rPr>
        <w:t xml:space="preserve">antimalarial potency and stability of </w:t>
      </w:r>
      <w:r>
        <w:rPr>
          <w:rFonts w:cs="Times New Roman"/>
          <w:color w:val="auto"/>
          <w:szCs w:val="22"/>
        </w:rPr>
        <w:t>the tetraoxane as an endoperoxide warhead</w:t>
      </w:r>
      <w:r w:rsidRPr="00C07E8E">
        <w:rPr>
          <w:rFonts w:cs="Times New Roman"/>
          <w:color w:val="auto"/>
          <w:szCs w:val="22"/>
        </w:rPr>
        <w:t xml:space="preserve"> </w:t>
      </w:r>
      <w:r w:rsidR="00183070" w:rsidRPr="00C07E8E">
        <w:rPr>
          <w:rFonts w:cs="Times New Roman"/>
          <w:color w:val="auto"/>
          <w:szCs w:val="22"/>
        </w:rPr>
        <w:t>is exemplified in the prototype</w:t>
      </w:r>
      <w:r w:rsidR="00C07E8E" w:rsidRPr="00C07E8E">
        <w:rPr>
          <w:rFonts w:cs="Times New Roman"/>
          <w:color w:val="auto"/>
          <w:szCs w:val="22"/>
        </w:rPr>
        <w:t xml:space="preserve"> </w:t>
      </w:r>
      <w:r w:rsidR="00183070" w:rsidRPr="00C07E8E">
        <w:rPr>
          <w:rFonts w:cs="Times New Roman"/>
          <w:color w:val="auto"/>
          <w:szCs w:val="22"/>
        </w:rPr>
        <w:t xml:space="preserve">molecule </w:t>
      </w:r>
      <w:r w:rsidR="00C07E8E" w:rsidRPr="00C07E8E">
        <w:rPr>
          <w:rFonts w:cs="Times New Roman"/>
          <w:color w:val="auto"/>
          <w:szCs w:val="22"/>
        </w:rPr>
        <w:t>dispirocyclohexyl-1,2,4,5-tetraoxane (</w:t>
      </w:r>
      <w:r w:rsidR="005245FC">
        <w:rPr>
          <w:rFonts w:cs="Times New Roman"/>
          <w:b/>
          <w:bCs/>
          <w:color w:val="auto"/>
          <w:szCs w:val="22"/>
        </w:rPr>
        <w:t>96</w:t>
      </w:r>
      <w:r w:rsidR="00336C55" w:rsidRPr="007370A6">
        <w:rPr>
          <w:rFonts w:cs="Times New Roman"/>
          <w:b/>
          <w:color w:val="auto"/>
          <w:szCs w:val="22"/>
        </w:rPr>
        <w:t>, Figure 14</w:t>
      </w:r>
      <w:r w:rsidR="005245FC">
        <w:rPr>
          <w:rFonts w:cs="Times New Roman"/>
          <w:color w:val="auto"/>
          <w:szCs w:val="22"/>
        </w:rPr>
        <w:t>)</w:t>
      </w:r>
      <w:r>
        <w:rPr>
          <w:rFonts w:cs="Times New Roman"/>
          <w:color w:val="auto"/>
          <w:szCs w:val="22"/>
        </w:rPr>
        <w:t>.</w:t>
      </w:r>
      <w:r w:rsidR="00C07E8E" w:rsidRPr="00C07E8E">
        <w:rPr>
          <w:rFonts w:cs="Times New Roman"/>
          <w:color w:val="auto"/>
          <w:szCs w:val="22"/>
        </w:rPr>
        <w:t xml:space="preserve"> While the analogous dispiro-1,2,4-trioxolane is unstable and shows no antimalarial activity, the tetraoxane</w:t>
      </w:r>
      <w:r w:rsidR="00183070" w:rsidRPr="00C07E8E">
        <w:rPr>
          <w:rFonts w:cs="Times New Roman"/>
          <w:color w:val="auto"/>
          <w:szCs w:val="22"/>
        </w:rPr>
        <w:t xml:space="preserve"> equivalent</w:t>
      </w:r>
      <w:r w:rsidR="00C07E8E" w:rsidRPr="00C07E8E">
        <w:rPr>
          <w:rFonts w:cs="Times New Roman"/>
          <w:color w:val="auto"/>
          <w:szCs w:val="22"/>
        </w:rPr>
        <w:t xml:space="preserve"> is stable and displayed high antimalarial activity at an IC</w:t>
      </w:r>
      <w:r w:rsidR="00C07E8E" w:rsidRPr="00C07E8E">
        <w:rPr>
          <w:rFonts w:cs="Times New Roman"/>
          <w:color w:val="auto"/>
          <w:szCs w:val="22"/>
          <w:vertAlign w:val="subscript"/>
        </w:rPr>
        <w:t>50</w:t>
      </w:r>
      <w:r w:rsidR="00C07E8E" w:rsidRPr="00C07E8E">
        <w:rPr>
          <w:rFonts w:cs="Times New Roman"/>
          <w:color w:val="auto"/>
          <w:szCs w:val="22"/>
        </w:rPr>
        <w:t xml:space="preserve"> of 25nM. As with the development of OZ277</w:t>
      </w:r>
      <w:r>
        <w:rPr>
          <w:rFonts w:cs="Times New Roman"/>
          <w:color w:val="auto"/>
          <w:szCs w:val="22"/>
        </w:rPr>
        <w:t>, work by O’Neill saw</w:t>
      </w:r>
      <w:r w:rsidR="00C07E8E" w:rsidRPr="00C07E8E">
        <w:rPr>
          <w:rFonts w:cs="Times New Roman"/>
          <w:color w:val="auto"/>
          <w:szCs w:val="22"/>
        </w:rPr>
        <w:t xml:space="preserve"> one cyclohexane ring replaced with an adamantyl group to </w:t>
      </w:r>
      <w:r>
        <w:rPr>
          <w:rFonts w:cs="Times New Roman"/>
          <w:color w:val="auto"/>
          <w:szCs w:val="22"/>
        </w:rPr>
        <w:t>improve the stability of the tetraoxane core</w:t>
      </w:r>
      <w:r w:rsidR="002C485E">
        <w:rPr>
          <w:rFonts w:cs="Times New Roman"/>
          <w:color w:val="auto"/>
          <w:szCs w:val="22"/>
        </w:rPr>
        <w:t>,</w:t>
      </w:r>
      <w:r w:rsidR="00C07E8E" w:rsidRPr="00C07E8E">
        <w:rPr>
          <w:rFonts w:cs="Times New Roman"/>
          <w:color w:val="auto"/>
          <w:szCs w:val="22"/>
        </w:rPr>
        <w:t xml:space="preserve"> while the </w:t>
      </w:r>
      <w:r>
        <w:rPr>
          <w:rFonts w:cs="Times New Roman"/>
          <w:color w:val="auto"/>
          <w:szCs w:val="22"/>
        </w:rPr>
        <w:t xml:space="preserve">remaining </w:t>
      </w:r>
      <w:r w:rsidR="00C07E8E" w:rsidRPr="00C07E8E">
        <w:rPr>
          <w:rFonts w:cs="Times New Roman"/>
          <w:color w:val="auto"/>
          <w:szCs w:val="22"/>
        </w:rPr>
        <w:t xml:space="preserve">cyclohexyl ring was extended to </w:t>
      </w:r>
      <w:r w:rsidR="00183070" w:rsidRPr="00C07E8E">
        <w:rPr>
          <w:rFonts w:cs="Times New Roman"/>
          <w:color w:val="auto"/>
          <w:szCs w:val="22"/>
        </w:rPr>
        <w:t>include a solubilising group</w:t>
      </w:r>
      <w:r w:rsidR="00C07E8E" w:rsidRPr="00C07E8E">
        <w:rPr>
          <w:rFonts w:cs="Times New Roman"/>
          <w:color w:val="auto"/>
          <w:szCs w:val="22"/>
        </w:rPr>
        <w:t>.</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p>
    <w:p w14:paraId="640DDCD1" w14:textId="14000EFE" w:rsidR="00746BDB" w:rsidRPr="00C07E8E" w:rsidRDefault="00C07E8E" w:rsidP="00532D1D">
      <w:pPr>
        <w:rPr>
          <w:rFonts w:cs="Times New Roman"/>
          <w:color w:val="auto"/>
          <w:szCs w:val="22"/>
        </w:rPr>
      </w:pPr>
      <w:r w:rsidRPr="00C07E8E">
        <w:rPr>
          <w:rFonts w:cs="Times New Roman"/>
          <w:color w:val="auto"/>
          <w:szCs w:val="22"/>
        </w:rPr>
        <w:lastRenderedPageBreak/>
        <w:tab/>
        <w:t>In medicinal chemistry optimisation of the tetraoxane scaffold</w:t>
      </w:r>
      <w:r w:rsidR="002C485E">
        <w:rPr>
          <w:rFonts w:cs="Times New Roman"/>
          <w:color w:val="auto"/>
          <w:szCs w:val="22"/>
        </w:rPr>
        <w:t>,</w:t>
      </w:r>
      <w:r w:rsidRPr="00C07E8E">
        <w:rPr>
          <w:rFonts w:cs="Times New Roman"/>
          <w:color w:val="auto"/>
          <w:szCs w:val="22"/>
        </w:rPr>
        <w:t xml:space="preserve"> over 150 molecules were screened for </w:t>
      </w:r>
      <w:r w:rsidR="00183070" w:rsidRPr="00C07E8E">
        <w:rPr>
          <w:rFonts w:cs="Times New Roman"/>
          <w:color w:val="auto"/>
          <w:szCs w:val="22"/>
        </w:rPr>
        <w:t xml:space="preserve">antimalarial activity and DMPK to yield </w:t>
      </w:r>
      <w:r w:rsidR="00AA6325" w:rsidRPr="00C07E8E">
        <w:rPr>
          <w:rFonts w:cs="Times New Roman"/>
          <w:color w:val="auto"/>
          <w:szCs w:val="22"/>
        </w:rPr>
        <w:t>target molecules. RKA</w:t>
      </w:r>
      <w:r w:rsidRPr="00C07E8E">
        <w:rPr>
          <w:rFonts w:cs="Times New Roman"/>
          <w:color w:val="auto"/>
          <w:szCs w:val="22"/>
        </w:rPr>
        <w:t>182 (</w:t>
      </w:r>
      <w:r w:rsidR="00742C7D">
        <w:rPr>
          <w:rFonts w:cs="Times New Roman"/>
          <w:b/>
          <w:bCs/>
          <w:color w:val="auto"/>
          <w:szCs w:val="22"/>
        </w:rPr>
        <w:t>9</w:t>
      </w:r>
      <w:r w:rsidR="005245FC">
        <w:rPr>
          <w:rFonts w:cs="Times New Roman"/>
          <w:b/>
          <w:bCs/>
          <w:color w:val="auto"/>
          <w:szCs w:val="22"/>
        </w:rPr>
        <w:t>7</w:t>
      </w:r>
      <w:r w:rsidR="00336C55" w:rsidRPr="007370A6">
        <w:rPr>
          <w:rFonts w:cs="Times New Roman"/>
          <w:b/>
          <w:color w:val="auto"/>
          <w:szCs w:val="22"/>
        </w:rPr>
        <w:t>, Figure 14</w:t>
      </w:r>
      <w:r w:rsidRPr="00C07E8E">
        <w:rPr>
          <w:rFonts w:cs="Times New Roman"/>
          <w:color w:val="auto"/>
          <w:szCs w:val="22"/>
        </w:rPr>
        <w:t xml:space="preserve">) </w:t>
      </w:r>
      <w:r w:rsidR="00AA6325" w:rsidRPr="00C07E8E">
        <w:rPr>
          <w:rFonts w:cs="Times New Roman"/>
          <w:color w:val="auto"/>
          <w:szCs w:val="22"/>
        </w:rPr>
        <w:t xml:space="preserve">was selected for preclinical development owing to its balance of </w:t>
      </w:r>
      <w:r w:rsidR="00AA6325" w:rsidRPr="00C07E8E">
        <w:rPr>
          <w:rFonts w:cs="Times New Roman"/>
          <w:i/>
          <w:iCs/>
          <w:color w:val="auto"/>
          <w:szCs w:val="22"/>
        </w:rPr>
        <w:t>in vitro</w:t>
      </w:r>
      <w:r w:rsidR="00AA6325" w:rsidRPr="00C07E8E">
        <w:rPr>
          <w:rFonts w:cs="Times New Roman"/>
          <w:color w:val="auto"/>
          <w:szCs w:val="22"/>
        </w:rPr>
        <w:t xml:space="preserve"> and </w:t>
      </w:r>
      <w:r w:rsidR="00AA6325" w:rsidRPr="00C07E8E">
        <w:rPr>
          <w:rFonts w:cs="Times New Roman"/>
          <w:i/>
          <w:iCs/>
          <w:color w:val="auto"/>
          <w:szCs w:val="22"/>
        </w:rPr>
        <w:t xml:space="preserve">in vivo </w:t>
      </w:r>
      <w:r w:rsidR="00AA6325" w:rsidRPr="00C07E8E">
        <w:rPr>
          <w:rFonts w:cs="Times New Roman"/>
          <w:color w:val="auto"/>
          <w:szCs w:val="22"/>
        </w:rPr>
        <w:t>activity, as possessing the most favourable PK properties of the synthesised first generation tetraoxane antimalarials.</w:t>
      </w:r>
      <w:r w:rsidR="00283BD7" w:rsidRPr="00C07E8E">
        <w:rPr>
          <w:rFonts w:cs="Times New Roman"/>
          <w:color w:val="auto"/>
          <w:szCs w:val="22"/>
        </w:rPr>
        <w:t xml:space="preserve"> </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p>
    <w:p w14:paraId="02DD23E8" w14:textId="185200EB" w:rsidR="00183070" w:rsidRPr="00C07E8E" w:rsidRDefault="00C07E8E" w:rsidP="00532D1D">
      <w:pPr>
        <w:ind w:firstLine="720"/>
        <w:rPr>
          <w:rFonts w:cs="Times New Roman"/>
          <w:color w:val="auto"/>
          <w:szCs w:val="22"/>
        </w:rPr>
      </w:pPr>
      <w:r w:rsidRPr="00C07E8E">
        <w:rPr>
          <w:rFonts w:cs="Times New Roman"/>
          <w:color w:val="auto"/>
          <w:szCs w:val="22"/>
        </w:rPr>
        <w:t xml:space="preserve">RKA182 and other amide analogues were </w:t>
      </w:r>
      <w:r w:rsidR="00FE20CB">
        <w:rPr>
          <w:rFonts w:cs="Times New Roman"/>
          <w:color w:val="auto"/>
          <w:szCs w:val="22"/>
        </w:rPr>
        <w:t>obtained</w:t>
      </w:r>
      <w:r w:rsidR="00FE20CB" w:rsidRPr="00C07E8E">
        <w:rPr>
          <w:rFonts w:cs="Times New Roman"/>
          <w:color w:val="auto"/>
          <w:szCs w:val="22"/>
        </w:rPr>
        <w:t xml:space="preserve"> </w:t>
      </w:r>
      <w:r w:rsidRPr="00C07E8E">
        <w:rPr>
          <w:rFonts w:cs="Times New Roman"/>
          <w:color w:val="auto"/>
          <w:szCs w:val="22"/>
        </w:rPr>
        <w:t>in a 5-step synthesis (</w:t>
      </w:r>
      <w:r w:rsidRPr="007370A6">
        <w:rPr>
          <w:rFonts w:cs="Times New Roman"/>
          <w:b/>
          <w:color w:val="auto"/>
          <w:szCs w:val="22"/>
        </w:rPr>
        <w:t xml:space="preserve">Scheme </w:t>
      </w:r>
      <w:r w:rsidR="00D96DFB" w:rsidRPr="007370A6">
        <w:rPr>
          <w:rFonts w:cs="Times New Roman"/>
          <w:b/>
          <w:color w:val="auto"/>
          <w:szCs w:val="22"/>
        </w:rPr>
        <w:t>10</w:t>
      </w:r>
      <w:r w:rsidRPr="00C07E8E">
        <w:rPr>
          <w:rFonts w:cs="Times New Roman"/>
          <w:color w:val="auto"/>
          <w:szCs w:val="22"/>
        </w:rPr>
        <w:t>)</w:t>
      </w:r>
      <w:r w:rsidR="003B56A7">
        <w:rPr>
          <w:rFonts w:cs="Times New Roman"/>
          <w:color w:val="auto"/>
          <w:szCs w:val="22"/>
        </w:rPr>
        <w:t>,</w:t>
      </w:r>
      <w:r w:rsidRPr="00C07E8E">
        <w:rPr>
          <w:rFonts w:cs="Times New Roman"/>
          <w:color w:val="auto"/>
          <w:szCs w:val="22"/>
        </w:rPr>
        <w:t xml:space="preserve"> beginning with the initial generation of the dihydroperoxide intermediate </w:t>
      </w:r>
      <w:r w:rsidR="00742C7D" w:rsidRPr="00C07E8E">
        <w:rPr>
          <w:rFonts w:cs="Times New Roman"/>
          <w:b/>
          <w:bCs/>
          <w:color w:val="auto"/>
          <w:szCs w:val="22"/>
        </w:rPr>
        <w:t>9</w:t>
      </w:r>
      <w:r w:rsidR="005245FC">
        <w:rPr>
          <w:rFonts w:cs="Times New Roman"/>
          <w:b/>
          <w:bCs/>
          <w:color w:val="auto"/>
          <w:szCs w:val="22"/>
        </w:rPr>
        <w:t>9</w:t>
      </w:r>
      <w:r w:rsidR="00742C7D" w:rsidRPr="00C07E8E">
        <w:rPr>
          <w:rFonts w:cs="Times New Roman"/>
          <w:color w:val="auto"/>
          <w:szCs w:val="22"/>
        </w:rPr>
        <w:t xml:space="preserve"> </w:t>
      </w:r>
      <w:r w:rsidRPr="00C07E8E">
        <w:rPr>
          <w:rFonts w:cs="Times New Roman"/>
          <w:color w:val="auto"/>
          <w:szCs w:val="22"/>
        </w:rPr>
        <w:t xml:space="preserve">by treatment of the cyclohexanone derivative </w:t>
      </w:r>
      <w:r w:rsidR="00742C7D" w:rsidRPr="00C07E8E">
        <w:rPr>
          <w:rFonts w:cs="Times New Roman"/>
          <w:b/>
          <w:bCs/>
          <w:color w:val="auto"/>
          <w:szCs w:val="22"/>
        </w:rPr>
        <w:t>9</w:t>
      </w:r>
      <w:r w:rsidR="005245FC">
        <w:rPr>
          <w:rFonts w:cs="Times New Roman"/>
          <w:b/>
          <w:bCs/>
          <w:color w:val="auto"/>
          <w:szCs w:val="22"/>
        </w:rPr>
        <w:t>8</w:t>
      </w:r>
      <w:r w:rsidR="00742C7D" w:rsidRPr="00C07E8E">
        <w:rPr>
          <w:rFonts w:cs="Times New Roman"/>
          <w:b/>
          <w:bCs/>
          <w:color w:val="auto"/>
          <w:szCs w:val="22"/>
        </w:rPr>
        <w:t xml:space="preserve"> </w:t>
      </w:r>
      <w:r w:rsidRPr="00C07E8E">
        <w:rPr>
          <w:rFonts w:cs="Times New Roman"/>
          <w:color w:val="auto"/>
          <w:szCs w:val="22"/>
        </w:rPr>
        <w:t xml:space="preserve">with 30 % hydrogen peroxide and formic acid. This was followed by </w:t>
      </w:r>
      <w:r w:rsidR="00F63D93" w:rsidRPr="00C07E8E">
        <w:rPr>
          <w:rFonts w:cs="Times New Roman"/>
          <w:color w:val="auto"/>
          <w:szCs w:val="22"/>
        </w:rPr>
        <w:t>Re</w:t>
      </w:r>
      <w:r w:rsidR="00F63D93" w:rsidRPr="00C07E8E">
        <w:rPr>
          <w:rFonts w:cs="Times New Roman"/>
          <w:color w:val="auto"/>
          <w:szCs w:val="22"/>
          <w:vertAlign w:val="subscript"/>
        </w:rPr>
        <w:t>2</w:t>
      </w:r>
      <w:r w:rsidR="00F63D93" w:rsidRPr="00C07E8E">
        <w:rPr>
          <w:rFonts w:cs="Times New Roman"/>
          <w:color w:val="auto"/>
          <w:szCs w:val="22"/>
        </w:rPr>
        <w:t>O</w:t>
      </w:r>
      <w:r w:rsidR="00F63D93" w:rsidRPr="00C07E8E">
        <w:rPr>
          <w:rFonts w:cs="Times New Roman"/>
          <w:color w:val="auto"/>
          <w:szCs w:val="22"/>
          <w:vertAlign w:val="subscript"/>
        </w:rPr>
        <w:t>7</w:t>
      </w:r>
      <w:r w:rsidR="00F63D93" w:rsidRPr="00C07E8E">
        <w:rPr>
          <w:rFonts w:cs="Times New Roman"/>
          <w:color w:val="auto"/>
          <w:szCs w:val="22"/>
        </w:rPr>
        <w:t xml:space="preserve"> catalysed </w:t>
      </w:r>
      <w:r w:rsidRPr="00C07E8E">
        <w:rPr>
          <w:rFonts w:cs="Times New Roman"/>
          <w:color w:val="auto"/>
          <w:szCs w:val="22"/>
        </w:rPr>
        <w:t>condensation with 2-adamantanone</w:t>
      </w:r>
      <w:r w:rsidR="00336C55">
        <w:rPr>
          <w:rFonts w:cs="Times New Roman"/>
          <w:color w:val="auto"/>
          <w:szCs w:val="22"/>
        </w:rPr>
        <w:t xml:space="preserve"> </w:t>
      </w:r>
      <w:r w:rsidR="005245FC">
        <w:rPr>
          <w:rFonts w:cs="Times New Roman"/>
          <w:b/>
          <w:bCs/>
          <w:color w:val="auto"/>
          <w:szCs w:val="22"/>
        </w:rPr>
        <w:t>100</w:t>
      </w:r>
      <w:r w:rsidR="00742C7D" w:rsidRPr="00336C55">
        <w:rPr>
          <w:rFonts w:cs="Times New Roman"/>
          <w:b/>
          <w:bCs/>
          <w:color w:val="auto"/>
          <w:szCs w:val="22"/>
        </w:rPr>
        <w:t xml:space="preserve"> </w:t>
      </w:r>
      <w:r w:rsidRPr="00C07E8E">
        <w:rPr>
          <w:rFonts w:cs="Times New Roman"/>
          <w:color w:val="auto"/>
          <w:szCs w:val="22"/>
        </w:rPr>
        <w:t xml:space="preserve">to afford the intermediate </w:t>
      </w:r>
      <w:r w:rsidR="00336C55">
        <w:rPr>
          <w:rFonts w:cs="Times New Roman"/>
          <w:color w:val="auto"/>
          <w:szCs w:val="22"/>
        </w:rPr>
        <w:t>1,2,4,5-</w:t>
      </w:r>
      <w:r w:rsidRPr="00C07E8E">
        <w:rPr>
          <w:rFonts w:cs="Times New Roman"/>
          <w:color w:val="auto"/>
          <w:szCs w:val="22"/>
        </w:rPr>
        <w:t xml:space="preserve">tetraoxane </w:t>
      </w:r>
      <w:r w:rsidR="005245FC">
        <w:rPr>
          <w:rFonts w:cs="Times New Roman"/>
          <w:b/>
          <w:bCs/>
          <w:color w:val="auto"/>
          <w:szCs w:val="22"/>
        </w:rPr>
        <w:t>101</w:t>
      </w:r>
      <w:r w:rsidRPr="00C07E8E">
        <w:rPr>
          <w:rFonts w:cs="Times New Roman"/>
          <w:color w:val="auto"/>
          <w:szCs w:val="22"/>
        </w:rPr>
        <w:t xml:space="preserve">. Subsequent ester deprotection by treatment with KOH afforded the free acid </w:t>
      </w:r>
      <w:r w:rsidR="005245FC">
        <w:rPr>
          <w:rFonts w:cs="Times New Roman"/>
          <w:b/>
          <w:bCs/>
          <w:color w:val="auto"/>
          <w:szCs w:val="22"/>
        </w:rPr>
        <w:t>102</w:t>
      </w:r>
      <w:r w:rsidR="00742C7D" w:rsidRPr="00C07E8E">
        <w:rPr>
          <w:rFonts w:cs="Times New Roman"/>
          <w:color w:val="auto"/>
          <w:szCs w:val="22"/>
        </w:rPr>
        <w:t xml:space="preserve"> </w:t>
      </w:r>
      <w:r w:rsidRPr="00C07E8E">
        <w:rPr>
          <w:rFonts w:cs="Times New Roman"/>
          <w:color w:val="auto"/>
          <w:szCs w:val="22"/>
        </w:rPr>
        <w:t xml:space="preserve">as a divergent point for the synthesis of a range of analogues. Target amides were synthesised in a one-pot amide coupling by initial formation of a mixed anhydride </w:t>
      </w:r>
      <w:r w:rsidR="00E65DDC">
        <w:rPr>
          <w:rFonts w:cs="Times New Roman"/>
          <w:color w:val="auto"/>
          <w:szCs w:val="22"/>
        </w:rPr>
        <w:t>through</w:t>
      </w:r>
      <w:r w:rsidR="00E65DDC" w:rsidRPr="00C07E8E">
        <w:rPr>
          <w:rFonts w:cs="Times New Roman"/>
          <w:color w:val="auto"/>
          <w:szCs w:val="22"/>
        </w:rPr>
        <w:t xml:space="preserve"> </w:t>
      </w:r>
      <w:r w:rsidRPr="00C07E8E">
        <w:rPr>
          <w:rFonts w:cs="Times New Roman"/>
          <w:color w:val="auto"/>
          <w:szCs w:val="22"/>
        </w:rPr>
        <w:t>treatment with ethyl chloroformate and</w:t>
      </w:r>
      <w:r w:rsidR="00E65DDC">
        <w:rPr>
          <w:rFonts w:cs="Times New Roman"/>
          <w:color w:val="auto"/>
          <w:szCs w:val="22"/>
        </w:rPr>
        <w:t>,</w:t>
      </w:r>
      <w:r w:rsidRPr="00C07E8E">
        <w:rPr>
          <w:rFonts w:cs="Times New Roman"/>
          <w:color w:val="auto"/>
          <w:szCs w:val="22"/>
        </w:rPr>
        <w:t xml:space="preserve"> subsequent</w:t>
      </w:r>
      <w:r w:rsidR="00E65DDC">
        <w:rPr>
          <w:rFonts w:cs="Times New Roman"/>
          <w:color w:val="auto"/>
          <w:szCs w:val="22"/>
        </w:rPr>
        <w:t>ly,</w:t>
      </w:r>
      <w:r w:rsidRPr="00C07E8E">
        <w:rPr>
          <w:rFonts w:cs="Times New Roman"/>
          <w:color w:val="auto"/>
          <w:szCs w:val="22"/>
        </w:rPr>
        <w:t xml:space="preserve"> </w:t>
      </w:r>
      <w:r w:rsidR="00560A3F" w:rsidRPr="00C07E8E">
        <w:rPr>
          <w:rFonts w:cs="Times New Roman"/>
          <w:color w:val="auto"/>
          <w:szCs w:val="22"/>
        </w:rPr>
        <w:t>with the amine of interest; for RKA182</w:t>
      </w:r>
      <w:r w:rsidR="00336C55">
        <w:rPr>
          <w:rFonts w:cs="Times New Roman"/>
          <w:color w:val="auto"/>
          <w:szCs w:val="22"/>
        </w:rPr>
        <w:t xml:space="preserve">, </w:t>
      </w:r>
      <w:r w:rsidR="00560A3F" w:rsidRPr="00C07E8E">
        <w:rPr>
          <w:rFonts w:cs="Times New Roman"/>
          <w:color w:val="auto"/>
          <w:szCs w:val="22"/>
        </w:rPr>
        <w:t>1-(1-methylpiperidin-4-yl)piperazine was used</w:t>
      </w:r>
      <w:r w:rsidRPr="00C07E8E">
        <w:rPr>
          <w:rFonts w:cs="Times New Roman"/>
          <w:color w:val="auto"/>
          <w:szCs w:val="22"/>
        </w:rPr>
        <w:t>.</w:t>
      </w:r>
      <w:r w:rsidR="00283BD7" w:rsidRPr="00C07E8E">
        <w:rPr>
          <w:rFonts w:cs="Times New Roman"/>
          <w:color w:val="auto"/>
          <w:szCs w:val="22"/>
        </w:rPr>
        <w:t xml:space="preserve"> </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p>
    <w:p w14:paraId="78B736EC" w14:textId="77777777" w:rsidR="00183070" w:rsidRPr="00C07E8E" w:rsidRDefault="00183070" w:rsidP="00532D1D">
      <w:pPr>
        <w:rPr>
          <w:rFonts w:cs="Times New Roman"/>
          <w:color w:val="auto"/>
          <w:szCs w:val="22"/>
        </w:rPr>
      </w:pPr>
    </w:p>
    <w:p w14:paraId="27C2EC0E" w14:textId="77777777" w:rsidR="00746BDB" w:rsidRPr="00C07E8E" w:rsidRDefault="00746BDB" w:rsidP="00532D1D">
      <w:pPr>
        <w:rPr>
          <w:rFonts w:cs="Times New Roman"/>
          <w:color w:val="auto"/>
          <w:szCs w:val="22"/>
        </w:rPr>
      </w:pPr>
    </w:p>
    <w:p w14:paraId="7BE6AA47" w14:textId="4991AAD2" w:rsidR="00560A3F" w:rsidRPr="00C07E8E" w:rsidRDefault="006D7105" w:rsidP="00532D1D">
      <w:pPr>
        <w:keepNext/>
        <w:spacing w:after="240"/>
        <w:jc w:val="center"/>
        <w:rPr>
          <w:rFonts w:cs="Times New Roman"/>
          <w:color w:val="auto"/>
          <w:szCs w:val="22"/>
        </w:rPr>
      </w:pPr>
      <w:r w:rsidRPr="006D7105">
        <w:rPr>
          <w:rFonts w:cs="Times New Roman"/>
          <w:noProof/>
          <w:color w:val="auto"/>
          <w:szCs w:val="22"/>
        </w:rPr>
        <w:object w:dxaOrig="7836" w:dyaOrig="4740" w14:anchorId="3F4F3F9B">
          <v:shape id="_x0000_i1048" type="#_x0000_t75" alt="" style="width:390pt;height:240pt;mso-width-percent:0;mso-height-percent:0;mso-width-percent:0;mso-height-percent:0" o:ole="">
            <v:imagedata r:id="rId52" o:title=""/>
          </v:shape>
          <o:OLEObject Type="Embed" ProgID="ChemDraw.Document.6.0" ShapeID="_x0000_i1048" DrawAspect="Content" ObjectID="_1669219482" r:id="rId53"/>
        </w:object>
      </w:r>
    </w:p>
    <w:p w14:paraId="5B1F53C9" w14:textId="77777777" w:rsidR="00746BDB"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Scheme </w:t>
      </w:r>
      <w:r w:rsidR="00D96DFB" w:rsidRPr="00C07E8E">
        <w:rPr>
          <w:rFonts w:cs="Times New Roman"/>
          <w:b/>
          <w:bCs/>
          <w:i w:val="0"/>
          <w:iCs w:val="0"/>
          <w:color w:val="auto"/>
          <w:sz w:val="22"/>
          <w:szCs w:val="22"/>
        </w:rPr>
        <w:t>10</w:t>
      </w:r>
      <w:r w:rsidRPr="00C07E8E">
        <w:rPr>
          <w:rFonts w:cs="Times New Roman"/>
          <w:i w:val="0"/>
          <w:iCs w:val="0"/>
          <w:color w:val="auto"/>
          <w:sz w:val="22"/>
          <w:szCs w:val="22"/>
        </w:rPr>
        <w:t>: Synthesis of the first generation tetraoxane antimalarial RKA182</w:t>
      </w:r>
    </w:p>
    <w:p w14:paraId="5BDE38BC" w14:textId="77777777" w:rsidR="008A45FF" w:rsidRPr="00C07E8E" w:rsidRDefault="008A45FF" w:rsidP="00532D1D">
      <w:pPr>
        <w:rPr>
          <w:rFonts w:cs="Times New Roman"/>
          <w:color w:val="auto"/>
          <w:szCs w:val="22"/>
        </w:rPr>
      </w:pPr>
    </w:p>
    <w:p w14:paraId="773361A8" w14:textId="2A3D767D" w:rsidR="00560A3F" w:rsidRPr="00C07E8E" w:rsidRDefault="00C07E8E" w:rsidP="00532D1D">
      <w:pPr>
        <w:ind w:firstLine="720"/>
        <w:rPr>
          <w:rFonts w:cs="Times New Roman"/>
          <w:color w:val="auto"/>
          <w:szCs w:val="22"/>
        </w:rPr>
      </w:pPr>
      <w:r w:rsidRPr="00C07E8E">
        <w:rPr>
          <w:rFonts w:cs="Times New Roman"/>
          <w:color w:val="auto"/>
          <w:szCs w:val="22"/>
        </w:rPr>
        <w:t xml:space="preserve">The tosylate salt of </w:t>
      </w:r>
      <w:r w:rsidR="001A6438">
        <w:rPr>
          <w:rFonts w:cs="Times New Roman"/>
          <w:b/>
          <w:bCs/>
          <w:color w:val="auto"/>
          <w:szCs w:val="22"/>
        </w:rPr>
        <w:t>97</w:t>
      </w:r>
      <w:r w:rsidRPr="00C07E8E">
        <w:rPr>
          <w:rFonts w:cs="Times New Roman"/>
          <w:b/>
          <w:bCs/>
          <w:color w:val="auto"/>
          <w:szCs w:val="22"/>
        </w:rPr>
        <w:t xml:space="preserve"> </w:t>
      </w:r>
      <w:r w:rsidRPr="00C07E8E">
        <w:rPr>
          <w:rFonts w:cs="Times New Roman"/>
          <w:color w:val="auto"/>
          <w:szCs w:val="22"/>
        </w:rPr>
        <w:t xml:space="preserve">was found to be a potent antimalarial </w:t>
      </w:r>
      <w:r w:rsidRPr="00C07E8E">
        <w:rPr>
          <w:rFonts w:cs="Times New Roman"/>
          <w:i/>
          <w:iCs/>
          <w:color w:val="auto"/>
          <w:szCs w:val="22"/>
        </w:rPr>
        <w:t>in vitro</w:t>
      </w:r>
      <w:r w:rsidR="00C632E6">
        <w:rPr>
          <w:rFonts w:cs="Times New Roman"/>
          <w:color w:val="auto"/>
          <w:szCs w:val="22"/>
        </w:rPr>
        <w:t>,</w:t>
      </w:r>
      <w:r w:rsidRPr="00C07E8E">
        <w:rPr>
          <w:rFonts w:cs="Times New Roman"/>
          <w:i/>
          <w:iCs/>
          <w:color w:val="auto"/>
          <w:szCs w:val="22"/>
        </w:rPr>
        <w:t xml:space="preserve"> </w:t>
      </w:r>
      <w:r w:rsidRPr="00C07E8E">
        <w:rPr>
          <w:rFonts w:cs="Times New Roman"/>
          <w:color w:val="auto"/>
          <w:szCs w:val="22"/>
        </w:rPr>
        <w:t>with IC</w:t>
      </w:r>
      <w:r w:rsidRPr="00C07E8E">
        <w:rPr>
          <w:rFonts w:cs="Times New Roman"/>
          <w:color w:val="auto"/>
          <w:szCs w:val="22"/>
          <w:vertAlign w:val="subscript"/>
        </w:rPr>
        <w:t>50</w:t>
      </w:r>
      <w:r w:rsidRPr="00C07E8E">
        <w:rPr>
          <w:rFonts w:cs="Times New Roman"/>
          <w:color w:val="auto"/>
          <w:szCs w:val="22"/>
        </w:rPr>
        <w:t xml:space="preserve"> values of 0.8 and 1.1</w:t>
      </w:r>
      <w:r w:rsidR="00C632E6">
        <w:rPr>
          <w:rFonts w:cs="Times New Roman"/>
          <w:color w:val="auto"/>
          <w:szCs w:val="22"/>
        </w:rPr>
        <w:t>,</w:t>
      </w:r>
      <w:r w:rsidRPr="00C07E8E">
        <w:rPr>
          <w:rFonts w:cs="Times New Roman"/>
          <w:color w:val="auto"/>
          <w:szCs w:val="22"/>
        </w:rPr>
        <w:t xml:space="preserve"> against 3D7 CQ sensitive and K1 CQ resistant strains of </w:t>
      </w:r>
      <w:r w:rsidRPr="00C07E8E">
        <w:rPr>
          <w:rFonts w:cs="Times New Roman"/>
          <w:i/>
          <w:iCs/>
          <w:color w:val="auto"/>
          <w:szCs w:val="22"/>
        </w:rPr>
        <w:t>P. falciparum</w:t>
      </w:r>
      <w:r w:rsidRPr="00C07E8E">
        <w:rPr>
          <w:rFonts w:cs="Times New Roman"/>
          <w:color w:val="auto"/>
          <w:szCs w:val="22"/>
        </w:rPr>
        <w:t xml:space="preserve">. </w:t>
      </w:r>
      <w:r w:rsidR="00B2239D" w:rsidRPr="00C07E8E">
        <w:rPr>
          <w:rFonts w:cs="Times New Roman"/>
          <w:color w:val="auto"/>
          <w:szCs w:val="22"/>
        </w:rPr>
        <w:t xml:space="preserve">Moreover, </w:t>
      </w:r>
      <w:r w:rsidR="001A6438">
        <w:rPr>
          <w:rFonts w:cs="Times New Roman"/>
          <w:b/>
          <w:bCs/>
          <w:color w:val="auto"/>
          <w:szCs w:val="22"/>
        </w:rPr>
        <w:t>97</w:t>
      </w:r>
      <w:r w:rsidR="00B2239D" w:rsidRPr="00C07E8E">
        <w:rPr>
          <w:rFonts w:cs="Times New Roman"/>
          <w:b/>
          <w:bCs/>
          <w:color w:val="auto"/>
          <w:szCs w:val="22"/>
        </w:rPr>
        <w:t xml:space="preserve"> </w:t>
      </w:r>
      <w:r w:rsidR="00B2239D" w:rsidRPr="00C07E8E">
        <w:rPr>
          <w:rFonts w:cs="Times New Roman"/>
          <w:color w:val="auto"/>
          <w:szCs w:val="22"/>
        </w:rPr>
        <w:t xml:space="preserve">has been screened </w:t>
      </w:r>
      <w:r w:rsidR="00B2239D" w:rsidRPr="00C07E8E">
        <w:rPr>
          <w:rFonts w:cs="Times New Roman"/>
          <w:i/>
          <w:iCs/>
          <w:color w:val="auto"/>
          <w:szCs w:val="22"/>
        </w:rPr>
        <w:t xml:space="preserve">in vitro </w:t>
      </w:r>
      <w:r w:rsidR="00B2239D" w:rsidRPr="00C07E8E">
        <w:rPr>
          <w:rFonts w:cs="Times New Roman"/>
          <w:color w:val="auto"/>
          <w:szCs w:val="22"/>
        </w:rPr>
        <w:t>against clinical isolates for which ACT had failed</w:t>
      </w:r>
      <w:r w:rsidR="00E65DDC">
        <w:rPr>
          <w:rFonts w:cs="Times New Roman"/>
          <w:color w:val="auto"/>
          <w:szCs w:val="22"/>
        </w:rPr>
        <w:t>,</w:t>
      </w:r>
      <w:r w:rsidR="00B2239D" w:rsidRPr="00C07E8E">
        <w:rPr>
          <w:rFonts w:cs="Times New Roman"/>
          <w:color w:val="auto"/>
          <w:szCs w:val="22"/>
        </w:rPr>
        <w:t xml:space="preserve"> display</w:t>
      </w:r>
      <w:r w:rsidR="00E65DDC">
        <w:rPr>
          <w:rFonts w:cs="Times New Roman"/>
          <w:color w:val="auto"/>
          <w:szCs w:val="22"/>
        </w:rPr>
        <w:t>ing</w:t>
      </w:r>
      <w:r w:rsidR="00B2239D" w:rsidRPr="00C07E8E">
        <w:rPr>
          <w:rFonts w:cs="Times New Roman"/>
          <w:color w:val="auto"/>
          <w:szCs w:val="22"/>
        </w:rPr>
        <w:t xml:space="preserve"> in all 11 isolates improved activity compared to </w:t>
      </w:r>
      <w:r w:rsidR="007125A3">
        <w:rPr>
          <w:rFonts w:cs="Times New Roman"/>
          <w:color w:val="auto"/>
          <w:szCs w:val="22"/>
        </w:rPr>
        <w:t>ART</w:t>
      </w:r>
      <w:r w:rsidR="007125A3" w:rsidRPr="00C07E8E">
        <w:rPr>
          <w:rFonts w:cs="Times New Roman"/>
          <w:color w:val="auto"/>
          <w:szCs w:val="22"/>
        </w:rPr>
        <w:t xml:space="preserve">s </w:t>
      </w:r>
      <w:r w:rsidR="00B2239D" w:rsidRPr="00C07E8E">
        <w:rPr>
          <w:rFonts w:cs="Times New Roman"/>
          <w:color w:val="auto"/>
          <w:szCs w:val="22"/>
        </w:rPr>
        <w:t>and IC</w:t>
      </w:r>
      <w:r w:rsidR="00B2239D" w:rsidRPr="00C07E8E">
        <w:rPr>
          <w:rFonts w:cs="Times New Roman"/>
          <w:color w:val="auto"/>
          <w:szCs w:val="22"/>
          <w:vertAlign w:val="subscript"/>
        </w:rPr>
        <w:t>50</w:t>
      </w:r>
      <w:r w:rsidR="00B2239D" w:rsidRPr="00C07E8E">
        <w:rPr>
          <w:rFonts w:cs="Times New Roman"/>
          <w:color w:val="auto"/>
          <w:szCs w:val="22"/>
        </w:rPr>
        <w:t xml:space="preserve"> values </w:t>
      </w:r>
      <w:r w:rsidR="003B56A7">
        <w:rPr>
          <w:rFonts w:cs="Times New Roman"/>
          <w:color w:val="auto"/>
          <w:szCs w:val="22"/>
        </w:rPr>
        <w:t>lower</w:t>
      </w:r>
      <w:r w:rsidR="003B56A7" w:rsidRPr="00C07E8E">
        <w:rPr>
          <w:rFonts w:cs="Times New Roman"/>
          <w:color w:val="auto"/>
          <w:szCs w:val="22"/>
        </w:rPr>
        <w:t xml:space="preserve"> </w:t>
      </w:r>
      <w:r w:rsidR="00B2239D" w:rsidRPr="00C07E8E">
        <w:rPr>
          <w:rFonts w:cs="Times New Roman"/>
          <w:color w:val="auto"/>
          <w:szCs w:val="22"/>
        </w:rPr>
        <w:t>than 5 nM.</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r w:rsidR="00E65DDC">
        <w:rPr>
          <w:rFonts w:cs="Times New Roman"/>
          <w:color w:val="auto"/>
          <w:szCs w:val="22"/>
        </w:rPr>
        <w:t xml:space="preserve"> </w:t>
      </w:r>
      <w:r w:rsidRPr="00C07E8E">
        <w:rPr>
          <w:rFonts w:cs="Times New Roman"/>
          <w:color w:val="auto"/>
          <w:szCs w:val="22"/>
        </w:rPr>
        <w:t xml:space="preserve">Initial </w:t>
      </w:r>
      <w:r w:rsidRPr="00C07E8E">
        <w:rPr>
          <w:rFonts w:cs="Times New Roman"/>
          <w:i/>
          <w:iCs/>
          <w:color w:val="auto"/>
          <w:szCs w:val="22"/>
        </w:rPr>
        <w:t xml:space="preserve">in vivo </w:t>
      </w:r>
      <w:r w:rsidRPr="00C07E8E">
        <w:rPr>
          <w:rFonts w:cs="Times New Roman"/>
          <w:color w:val="auto"/>
          <w:szCs w:val="22"/>
        </w:rPr>
        <w:t>results were equally promising</w:t>
      </w:r>
      <w:r w:rsidR="00E65DDC">
        <w:rPr>
          <w:rFonts w:cs="Times New Roman"/>
          <w:color w:val="auto"/>
          <w:szCs w:val="22"/>
        </w:rPr>
        <w:t>,</w:t>
      </w:r>
      <w:r w:rsidRPr="00C07E8E">
        <w:rPr>
          <w:rFonts w:cs="Times New Roman"/>
          <w:color w:val="auto"/>
          <w:szCs w:val="22"/>
        </w:rPr>
        <w:t xml:space="preserve"> with ED</w:t>
      </w:r>
      <w:r w:rsidRPr="00C07E8E">
        <w:rPr>
          <w:rFonts w:cs="Times New Roman"/>
          <w:color w:val="auto"/>
          <w:szCs w:val="22"/>
          <w:vertAlign w:val="subscript"/>
        </w:rPr>
        <w:t>50</w:t>
      </w:r>
      <w:r w:rsidRPr="00C07E8E">
        <w:rPr>
          <w:rFonts w:cs="Times New Roman"/>
          <w:color w:val="auto"/>
          <w:szCs w:val="22"/>
        </w:rPr>
        <w:t xml:space="preserve"> and ED</w:t>
      </w:r>
      <w:r w:rsidRPr="00C07E8E">
        <w:rPr>
          <w:rFonts w:cs="Times New Roman"/>
          <w:color w:val="auto"/>
          <w:szCs w:val="22"/>
          <w:vertAlign w:val="subscript"/>
        </w:rPr>
        <w:t xml:space="preserve">90 </w:t>
      </w:r>
      <w:r w:rsidRPr="00C07E8E">
        <w:rPr>
          <w:rFonts w:cs="Times New Roman"/>
          <w:color w:val="auto"/>
          <w:szCs w:val="22"/>
        </w:rPr>
        <w:t xml:space="preserve">values of 1.33 and 4.18 mg/kg in the </w:t>
      </w:r>
      <w:r w:rsidRPr="00C07E8E">
        <w:rPr>
          <w:rFonts w:cs="Times New Roman"/>
          <w:i/>
          <w:iCs/>
          <w:color w:val="auto"/>
          <w:szCs w:val="22"/>
        </w:rPr>
        <w:t xml:space="preserve">P. berghei </w:t>
      </w:r>
      <w:r w:rsidRPr="00C07E8E">
        <w:rPr>
          <w:rFonts w:cs="Times New Roman"/>
          <w:color w:val="auto"/>
          <w:szCs w:val="22"/>
        </w:rPr>
        <w:t>infected mouse model</w:t>
      </w:r>
      <w:r w:rsidR="00E65DDC">
        <w:rPr>
          <w:rFonts w:cs="Times New Roman"/>
          <w:color w:val="auto"/>
          <w:szCs w:val="22"/>
        </w:rPr>
        <w:t>,</w:t>
      </w:r>
      <w:r w:rsidRPr="00C07E8E">
        <w:rPr>
          <w:rFonts w:cs="Times New Roman"/>
          <w:color w:val="auto"/>
          <w:szCs w:val="22"/>
        </w:rPr>
        <w:t xml:space="preserve"> after 4 daily doses; these values outperform artemether and artesunate. </w:t>
      </w:r>
      <w:r w:rsidR="002A71E1" w:rsidRPr="00C07E8E">
        <w:rPr>
          <w:rFonts w:cs="Times New Roman"/>
          <w:color w:val="auto"/>
          <w:szCs w:val="22"/>
        </w:rPr>
        <w:t xml:space="preserve">Survival assays in </w:t>
      </w:r>
      <w:r w:rsidR="002A71E1" w:rsidRPr="00C07E8E">
        <w:rPr>
          <w:rFonts w:cs="Times New Roman"/>
          <w:i/>
          <w:iCs/>
          <w:color w:val="auto"/>
          <w:szCs w:val="22"/>
        </w:rPr>
        <w:t xml:space="preserve">P. </w:t>
      </w:r>
      <w:r w:rsidR="002A71E1" w:rsidRPr="00C07E8E">
        <w:rPr>
          <w:rFonts w:cs="Times New Roman"/>
          <w:i/>
          <w:iCs/>
          <w:color w:val="auto"/>
          <w:szCs w:val="22"/>
        </w:rPr>
        <w:lastRenderedPageBreak/>
        <w:t xml:space="preserve">berghei </w:t>
      </w:r>
      <w:r w:rsidR="002A71E1" w:rsidRPr="00C07E8E">
        <w:rPr>
          <w:rFonts w:cs="Times New Roman"/>
          <w:color w:val="auto"/>
          <w:szCs w:val="22"/>
        </w:rPr>
        <w:t>infected mice yielded an average of 22 days following 3 x 10 mg/kg doses which, while outperforming artesunate, fell short of the desired single dose cure.</w:t>
      </w:r>
      <w:r w:rsidR="00283BD7" w:rsidRPr="00C07E8E">
        <w:rPr>
          <w:rFonts w:cs="Times New Roman"/>
          <w:color w:val="auto"/>
          <w:szCs w:val="22"/>
        </w:rPr>
        <w:t xml:space="preserve"> </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p>
    <w:p w14:paraId="09365050" w14:textId="65683AF7" w:rsidR="008A45FF" w:rsidRPr="00C07E8E" w:rsidRDefault="00C07E8E" w:rsidP="00532D1D">
      <w:pPr>
        <w:ind w:firstLine="720"/>
        <w:rPr>
          <w:rFonts w:cs="Times New Roman"/>
          <w:color w:val="auto"/>
          <w:szCs w:val="22"/>
        </w:rPr>
      </w:pPr>
      <w:r w:rsidRPr="00C07E8E">
        <w:rPr>
          <w:rFonts w:cs="Times New Roman"/>
          <w:color w:val="auto"/>
          <w:szCs w:val="22"/>
        </w:rPr>
        <w:t xml:space="preserve">The blood stability of </w:t>
      </w:r>
      <w:r w:rsidR="001A6438">
        <w:rPr>
          <w:rFonts w:cs="Times New Roman"/>
          <w:b/>
          <w:bCs/>
          <w:color w:val="auto"/>
          <w:szCs w:val="22"/>
        </w:rPr>
        <w:t>97</w:t>
      </w:r>
      <w:r w:rsidRPr="00C07E8E">
        <w:rPr>
          <w:rFonts w:cs="Times New Roman"/>
          <w:color w:val="auto"/>
          <w:szCs w:val="22"/>
        </w:rPr>
        <w:t xml:space="preserve"> was also characterised </w:t>
      </w:r>
      <w:r w:rsidRPr="00C07E8E">
        <w:rPr>
          <w:rFonts w:cs="Times New Roman"/>
          <w:i/>
          <w:iCs/>
          <w:color w:val="auto"/>
          <w:szCs w:val="22"/>
        </w:rPr>
        <w:t>in vitro</w:t>
      </w:r>
      <w:r w:rsidRPr="00C07E8E">
        <w:rPr>
          <w:rFonts w:cs="Times New Roman"/>
          <w:color w:val="auto"/>
          <w:szCs w:val="22"/>
        </w:rPr>
        <w:t xml:space="preserve"> by incubation with both healthy and infected red blood cells. </w:t>
      </w:r>
      <w:r w:rsidR="002A71E1" w:rsidRPr="00C07E8E">
        <w:rPr>
          <w:rFonts w:cs="Times New Roman"/>
          <w:color w:val="auto"/>
          <w:szCs w:val="22"/>
        </w:rPr>
        <w:t>Percentage recovery of the parent compound after 4 hours was found to be 79 %</w:t>
      </w:r>
      <w:r w:rsidR="005A7AE3">
        <w:rPr>
          <w:rFonts w:cs="Times New Roman"/>
          <w:color w:val="auto"/>
          <w:szCs w:val="22"/>
        </w:rPr>
        <w:t>,</w:t>
      </w:r>
      <w:r w:rsidR="002A71E1" w:rsidRPr="00C07E8E">
        <w:rPr>
          <w:rFonts w:cs="Times New Roman"/>
          <w:color w:val="auto"/>
          <w:szCs w:val="22"/>
        </w:rPr>
        <w:t xml:space="preserve"> with no significant difference between healthy and infected blood cells. Furthermore, comparison of </w:t>
      </w:r>
      <w:r w:rsidR="002A71E1" w:rsidRPr="00C07E8E">
        <w:rPr>
          <w:rFonts w:cs="Times New Roman"/>
          <w:i/>
          <w:iCs/>
          <w:color w:val="auto"/>
          <w:szCs w:val="22"/>
        </w:rPr>
        <w:t xml:space="preserve">in vivo </w:t>
      </w:r>
      <w:r w:rsidR="002A71E1" w:rsidRPr="00C07E8E">
        <w:rPr>
          <w:rFonts w:cs="Times New Roman"/>
          <w:color w:val="auto"/>
          <w:szCs w:val="22"/>
        </w:rPr>
        <w:t>exposure profiles between healthy and infected mice showed no significant difference.</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r w:rsidR="005A7AE3">
        <w:rPr>
          <w:rFonts w:cs="Times New Roman"/>
          <w:color w:val="auto"/>
          <w:szCs w:val="22"/>
        </w:rPr>
        <w:t xml:space="preserve"> </w:t>
      </w:r>
      <w:r w:rsidR="002A71E1" w:rsidRPr="00C07E8E">
        <w:rPr>
          <w:rFonts w:cs="Times New Roman"/>
          <w:color w:val="auto"/>
          <w:szCs w:val="22"/>
        </w:rPr>
        <w:t>This contrasts with Arterolane</w:t>
      </w:r>
      <w:r w:rsidR="006A1EC6">
        <w:rPr>
          <w:rFonts w:cs="Times New Roman"/>
          <w:color w:val="auto"/>
          <w:szCs w:val="22"/>
        </w:rPr>
        <w:t>,</w:t>
      </w:r>
      <w:r w:rsidR="002A71E1" w:rsidRPr="00C07E8E">
        <w:rPr>
          <w:rFonts w:cs="Times New Roman"/>
          <w:color w:val="auto"/>
          <w:szCs w:val="22"/>
        </w:rPr>
        <w:t xml:space="preserve"> where in phase </w:t>
      </w:r>
      <w:r w:rsidR="005715BE" w:rsidRPr="00C07E8E">
        <w:rPr>
          <w:rFonts w:cs="Times New Roman"/>
          <w:color w:val="auto"/>
          <w:szCs w:val="22"/>
        </w:rPr>
        <w:t>2</w:t>
      </w:r>
      <w:r w:rsidR="002A71E1" w:rsidRPr="00C07E8E">
        <w:rPr>
          <w:rFonts w:cs="Times New Roman"/>
          <w:color w:val="auto"/>
          <w:szCs w:val="22"/>
        </w:rPr>
        <w:t xml:space="preserve"> clinical trials a significant difference was observed between healthy volunteers and malaria infected patients.</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{"citationItems":[{"id":"ITEM-1","itemData":{"DOI":"10.1177/0091270010385578","ISSN":"00912700","PMID":"21148048","abstract":"Arterolane (RBx 11160) maleate is a novel, rapidly acting synthetic trioxolane antimalarial compound being developed by Ranbaxy Research Laboratories (Haryana, India). It is presently under phase III in combination with piperaquine phosphate. The present work reports the relationship between pharmacokinetic (PK) parameter (AUC0-8h on day 0/day 6) and indices of pharmacodynamic (PD) response (50% parasite clearance [PC50], 90% parasite clearance [PC90], parasite clearance time [PCT], recrudescence) from a phase II, double-blind, multicenter, randomized, parallel-group, dose-ranging trial. Patients with acute uncomplicated P. falciparum malaria were randomized to 1 of 3 arterolane maleate (50, 100, and 200 mg) doses for 7 consecutive days. Plasma concentration data were available from 78, 76, and 75 patients receiving a 50-, 100-, and 200-mg dose, respectively. Based on PD modeling, its limitations and assumptions, minimum 150-mg dose arterolane maleate was recommended to optimize the probability of maximum therapeutic benefits for an adult. Doses higher than 100 mg are unlikely to reduce the probability of recrudescence. This study re-stresses the need of combining short and long-acting drugs to prevent resistance development and minimize recrudescence. © 2011 American College of Clinical Pharmacology, Inc.","author":[{"dropping-particle":"","family":"Gautam","given":"Anirudh","non-dropping-particle":"","parse-names":false,"suffix":""},{"dropping-particle":"","family":"Ahmed","given":"Tausif","non-dropping-particle":"","parse-names":false,"suffix":""},{"dropping-particle":"","family":"Sharma","given":"Pradeep","non-dropping-particle":"","parse-names":false,"suffix":""},{"dropping-particle":"","family":"Varshney","given":"Brijesh","non-dropping-particle":"","parse-names":false,"suffix":""},{"dropping-particle":"","family":"Kothari","given":"Monika","non-dropping-particle":"","parse-names":false,"suffix":""},{"dropping-particle":"","family":"Saha","given":"Nilanjan","non-dropping-particle":"","parse-names":false,"suffix":""},{"dropping-particle":"","family":"Roy","given":"Arjun","non-dropping-particle":"","parse-names":false,"suffix":""},{"dropping-particle":"","family":"Moehrle","given":"Joerg J.","non-dropping-particle":"","parse-names":false,"suffix":""},{"dropping-particle":"","family":"Paliwal","given":"Jyoti","non-dropping-particle":"","parse-names":false,"suffix":""}],"container-title":"Journal of Clinical Pharmacology","id":"ITEM-1","issue":"11","issued":{"date-parts":[["2011"]]},"page":"1519-1528","title":"Pharmacokinetics and pharmacodynamics of arterolane maleate following multiple oral doses in adult patients with p. falciparum malaria","type":"article-journal","volume":"51"},"uris":["http://www.mendeley.com/documents/?uuid=ad3641ad-b28d-41f8-8a62-3d237424fd2b","http://www.mendeley.com/documents/?uuid=c30b935d-18e9-41a3-bb98-f2ab5874f224"]}],"mendeley":{"formattedCitation":"&lt;sup&gt;104&lt;/sup&gt;","plainTextFormattedCitation":"104","previouslyFormattedCitation":"&lt;sup&gt;104&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104</w:t>
      </w:r>
      <w:r w:rsidR="00283BD7" w:rsidRPr="00C07E8E">
        <w:rPr>
          <w:rFonts w:cs="Times New Roman"/>
          <w:color w:val="auto"/>
          <w:szCs w:val="22"/>
        </w:rPr>
        <w:fldChar w:fldCharType="end"/>
      </w:r>
      <w:r w:rsidR="002A71E1" w:rsidRPr="00C07E8E">
        <w:rPr>
          <w:rFonts w:cs="Times New Roman"/>
          <w:color w:val="auto"/>
          <w:szCs w:val="22"/>
        </w:rPr>
        <w:t xml:space="preserve"> Further</w:t>
      </w:r>
      <w:r w:rsidR="005715BE" w:rsidRPr="00C07E8E">
        <w:rPr>
          <w:rFonts w:cs="Times New Roman"/>
          <w:color w:val="auto"/>
          <w:szCs w:val="22"/>
        </w:rPr>
        <w:t xml:space="preserve"> </w:t>
      </w:r>
      <w:r w:rsidR="002A71E1" w:rsidRPr="00C07E8E">
        <w:rPr>
          <w:rFonts w:cs="Times New Roman"/>
          <w:color w:val="auto"/>
          <w:szCs w:val="22"/>
        </w:rPr>
        <w:t>rat PK parameters were obtained</w:t>
      </w:r>
      <w:r w:rsidR="006A1EC6">
        <w:rPr>
          <w:rFonts w:cs="Times New Roman"/>
          <w:color w:val="auto"/>
          <w:szCs w:val="22"/>
        </w:rPr>
        <w:t>,</w:t>
      </w:r>
      <w:r w:rsidR="002A71E1" w:rsidRPr="00C07E8E">
        <w:rPr>
          <w:rFonts w:cs="Times New Roman"/>
          <w:color w:val="auto"/>
          <w:szCs w:val="22"/>
        </w:rPr>
        <w:t xml:space="preserve"> and though </w:t>
      </w:r>
      <w:r w:rsidR="001A6438">
        <w:rPr>
          <w:rFonts w:cs="Times New Roman"/>
          <w:b/>
          <w:bCs/>
          <w:color w:val="auto"/>
          <w:szCs w:val="22"/>
        </w:rPr>
        <w:t>97</w:t>
      </w:r>
      <w:r w:rsidR="002A71E1" w:rsidRPr="00C07E8E">
        <w:rPr>
          <w:rFonts w:cs="Times New Roman"/>
          <w:b/>
          <w:bCs/>
          <w:color w:val="auto"/>
          <w:szCs w:val="22"/>
        </w:rPr>
        <w:t xml:space="preserve"> </w:t>
      </w:r>
      <w:r w:rsidR="002A71E1" w:rsidRPr="00C07E8E">
        <w:rPr>
          <w:rFonts w:cs="Times New Roman"/>
          <w:color w:val="auto"/>
          <w:szCs w:val="22"/>
        </w:rPr>
        <w:t>possessed good stability to Fe(II) mediated degradation the elimination half-life was found to be just 2.38 hours for the tosylate salt. Bioavailability was similarly poor</w:t>
      </w:r>
      <w:r w:rsidR="006A1EC6">
        <w:rPr>
          <w:rFonts w:cs="Times New Roman"/>
          <w:color w:val="auto"/>
          <w:szCs w:val="22"/>
        </w:rPr>
        <w:t>,</w:t>
      </w:r>
      <w:r w:rsidR="002A71E1" w:rsidRPr="00C07E8E">
        <w:rPr>
          <w:rFonts w:cs="Times New Roman"/>
          <w:color w:val="auto"/>
          <w:szCs w:val="22"/>
        </w:rPr>
        <w:t xml:space="preserve"> at 38 % and 42 % in the rat and mouse models</w:t>
      </w:r>
      <w:r w:rsidR="006A1EC6">
        <w:rPr>
          <w:rFonts w:cs="Times New Roman"/>
          <w:color w:val="auto"/>
          <w:szCs w:val="22"/>
        </w:rPr>
        <w:t>,</w:t>
      </w:r>
      <w:r w:rsidR="002A71E1" w:rsidRPr="00C07E8E">
        <w:rPr>
          <w:rFonts w:cs="Times New Roman"/>
          <w:color w:val="auto"/>
          <w:szCs w:val="22"/>
        </w:rPr>
        <w:t xml:space="preserve"> respectively</w:t>
      </w:r>
      <w:r w:rsidR="005715BE" w:rsidRPr="00C07E8E">
        <w:rPr>
          <w:rFonts w:cs="Times New Roman"/>
          <w:color w:val="auto"/>
          <w:szCs w:val="22"/>
        </w:rPr>
        <w:t>.</w:t>
      </w:r>
      <w:r w:rsidR="00283BD7" w:rsidRPr="00C07E8E">
        <w:rPr>
          <w:rFonts w:cs="Times New Roman"/>
          <w:color w:val="auto"/>
          <w:szCs w:val="22"/>
        </w:rPr>
        <w:t xml:space="preserve"> </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123</w:t>
      </w:r>
      <w:r w:rsidR="00283BD7" w:rsidRPr="00C07E8E">
        <w:rPr>
          <w:rFonts w:cs="Times New Roman"/>
          <w:color w:val="auto"/>
          <w:szCs w:val="22"/>
        </w:rPr>
        <w:fldChar w:fldCharType="end"/>
      </w:r>
    </w:p>
    <w:p w14:paraId="03B3BE4B" w14:textId="77777777" w:rsidR="008A45FF" w:rsidRPr="00C07E8E" w:rsidRDefault="008A45FF" w:rsidP="00532D1D">
      <w:pPr>
        <w:ind w:firstLine="720"/>
        <w:rPr>
          <w:rFonts w:cs="Times New Roman"/>
          <w:color w:val="auto"/>
          <w:szCs w:val="22"/>
        </w:rPr>
      </w:pPr>
    </w:p>
    <w:p w14:paraId="219803B0" w14:textId="77777777" w:rsidR="002A71E1" w:rsidRPr="00C07E8E" w:rsidRDefault="00C07E8E" w:rsidP="00532D1D">
      <w:pPr>
        <w:pStyle w:val="Ttulo1"/>
        <w:numPr>
          <w:ilvl w:val="1"/>
          <w:numId w:val="3"/>
        </w:numPr>
        <w:spacing w:before="0"/>
        <w:rPr>
          <w:rFonts w:cs="Times New Roman"/>
          <w:color w:val="auto"/>
          <w:sz w:val="22"/>
          <w:szCs w:val="22"/>
        </w:rPr>
      </w:pPr>
      <w:r w:rsidRPr="00C07E8E">
        <w:rPr>
          <w:rFonts w:cs="Times New Roman"/>
          <w:color w:val="auto"/>
          <w:sz w:val="22"/>
          <w:szCs w:val="22"/>
        </w:rPr>
        <w:t>E209</w:t>
      </w:r>
    </w:p>
    <w:p w14:paraId="5FD23281" w14:textId="4D92BFA9" w:rsidR="00E41C23" w:rsidRPr="00C07E8E" w:rsidRDefault="006D7105" w:rsidP="00532D1D">
      <w:pPr>
        <w:keepNext/>
        <w:jc w:val="center"/>
        <w:rPr>
          <w:rFonts w:cs="Times New Roman"/>
          <w:color w:val="auto"/>
          <w:szCs w:val="22"/>
        </w:rPr>
      </w:pPr>
      <w:r w:rsidRPr="006D7105">
        <w:rPr>
          <w:rFonts w:cs="Times New Roman"/>
          <w:noProof/>
          <w:color w:val="auto"/>
          <w:szCs w:val="22"/>
        </w:rPr>
        <w:object w:dxaOrig="4286" w:dyaOrig="2354" w14:anchorId="467463EF">
          <v:shape id="_x0000_i1049" type="#_x0000_t75" alt="" style="width:3in;height:114pt;mso-width-percent:0;mso-height-percent:0;mso-width-percent:0;mso-height-percent:0" o:ole="">
            <v:imagedata r:id="rId54" o:title=""/>
          </v:shape>
          <o:OLEObject Type="Embed" ProgID="ChemDraw.Document.6.0" ShapeID="_x0000_i1049" DrawAspect="Content" ObjectID="_1669219483" r:id="rId55"/>
        </w:object>
      </w:r>
    </w:p>
    <w:p w14:paraId="1DE86837" w14:textId="3B312524" w:rsidR="0065313F"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Figure </w:t>
      </w:r>
      <w:r w:rsidR="007674E7" w:rsidRPr="00C07E8E">
        <w:rPr>
          <w:rFonts w:cs="Times New Roman"/>
          <w:b/>
          <w:bCs/>
          <w:i w:val="0"/>
          <w:iCs w:val="0"/>
          <w:color w:val="auto"/>
          <w:sz w:val="22"/>
          <w:szCs w:val="22"/>
        </w:rPr>
        <w:t>1</w:t>
      </w:r>
      <w:r w:rsidR="003B5020" w:rsidRPr="00C07E8E">
        <w:rPr>
          <w:rFonts w:cs="Times New Roman"/>
          <w:b/>
          <w:bCs/>
          <w:i w:val="0"/>
          <w:iCs w:val="0"/>
          <w:color w:val="auto"/>
          <w:sz w:val="22"/>
          <w:szCs w:val="22"/>
        </w:rPr>
        <w:t>5</w:t>
      </w:r>
      <w:r w:rsidRPr="00C07E8E">
        <w:rPr>
          <w:rFonts w:cs="Times New Roman"/>
          <w:b/>
          <w:bCs/>
          <w:i w:val="0"/>
          <w:iCs w:val="0"/>
          <w:color w:val="auto"/>
          <w:sz w:val="22"/>
          <w:szCs w:val="22"/>
        </w:rPr>
        <w:t>:</w:t>
      </w:r>
      <w:r w:rsidRPr="00C07E8E">
        <w:rPr>
          <w:rFonts w:cs="Times New Roman"/>
          <w:i w:val="0"/>
          <w:iCs w:val="0"/>
          <w:color w:val="auto"/>
          <w:sz w:val="22"/>
          <w:szCs w:val="22"/>
        </w:rPr>
        <w:t xml:space="preserve"> </w:t>
      </w:r>
      <w:r w:rsidR="00511D1D" w:rsidRPr="00C07E8E">
        <w:rPr>
          <w:rFonts w:cs="Times New Roman"/>
          <w:i w:val="0"/>
          <w:iCs w:val="0"/>
          <w:color w:val="auto"/>
          <w:sz w:val="22"/>
          <w:szCs w:val="22"/>
        </w:rPr>
        <w:t>Structure</w:t>
      </w:r>
      <w:r w:rsidR="00511D1D">
        <w:rPr>
          <w:rFonts w:cs="Times New Roman"/>
          <w:i w:val="0"/>
          <w:iCs w:val="0"/>
          <w:color w:val="auto"/>
          <w:sz w:val="22"/>
          <w:szCs w:val="22"/>
        </w:rPr>
        <w:t xml:space="preserve"> representation</w:t>
      </w:r>
      <w:r w:rsidR="00511D1D" w:rsidRPr="00C07E8E">
        <w:rPr>
          <w:rFonts w:cs="Times New Roman"/>
          <w:i w:val="0"/>
          <w:iCs w:val="0"/>
          <w:color w:val="auto"/>
          <w:sz w:val="22"/>
          <w:szCs w:val="22"/>
        </w:rPr>
        <w:t xml:space="preserve"> of the second generation tetraoxane antimalarial E209</w:t>
      </w:r>
    </w:p>
    <w:p w14:paraId="77F2C84A" w14:textId="77777777" w:rsidR="007674E7" w:rsidRPr="00C07E8E" w:rsidRDefault="007674E7" w:rsidP="00532D1D">
      <w:pPr>
        <w:rPr>
          <w:szCs w:val="22"/>
        </w:rPr>
      </w:pPr>
    </w:p>
    <w:p w14:paraId="37FAB592" w14:textId="2E6002CC" w:rsidR="00E41C23" w:rsidRPr="00C07E8E" w:rsidRDefault="00C07E8E" w:rsidP="00532D1D">
      <w:pPr>
        <w:ind w:firstLine="720"/>
        <w:rPr>
          <w:rFonts w:cs="Times New Roman"/>
          <w:color w:val="auto"/>
          <w:szCs w:val="22"/>
        </w:rPr>
      </w:pPr>
      <w:r w:rsidRPr="00C07E8E">
        <w:rPr>
          <w:rFonts w:cs="Times New Roman"/>
          <w:color w:val="auto"/>
          <w:szCs w:val="22"/>
        </w:rPr>
        <w:t>Owing to the incompatibility of the PK profile of RKA182 with a single dose cure</w:t>
      </w:r>
      <w:r w:rsidR="00AA6325" w:rsidRPr="00C07E8E">
        <w:rPr>
          <w:rFonts w:cs="Times New Roman"/>
          <w:color w:val="auto"/>
          <w:szCs w:val="22"/>
        </w:rPr>
        <w:t xml:space="preserve">, further improvements to stability were investigated on the tetraoxane scaffold. Following similar logic to the development to OZ439, the introduction of a 4” phenyl substituent on the cyclohexyl ring was investigated by O’Neill </w:t>
      </w:r>
      <w:r w:rsidR="00AA6325" w:rsidRPr="00C07E8E">
        <w:rPr>
          <w:rFonts w:cs="Times New Roman"/>
          <w:i/>
          <w:iCs/>
          <w:color w:val="auto"/>
          <w:szCs w:val="22"/>
        </w:rPr>
        <w:t>et al</w:t>
      </w:r>
      <w:r w:rsidR="00AA6325" w:rsidRPr="00C07E8E">
        <w:rPr>
          <w:rFonts w:cs="Times New Roman"/>
          <w:color w:val="auto"/>
          <w:szCs w:val="22"/>
        </w:rPr>
        <w:t>. The synthesis of several 4” phenyl analogues afforded the molecule E209 (</w:t>
      </w:r>
      <w:r w:rsidR="001A6438">
        <w:rPr>
          <w:rFonts w:cs="Times New Roman"/>
          <w:b/>
          <w:bCs/>
          <w:color w:val="auto"/>
          <w:szCs w:val="22"/>
        </w:rPr>
        <w:t>103</w:t>
      </w:r>
      <w:r w:rsidR="007125A3">
        <w:rPr>
          <w:rFonts w:cs="Times New Roman"/>
          <w:b/>
          <w:bCs/>
          <w:color w:val="auto"/>
          <w:szCs w:val="22"/>
        </w:rPr>
        <w:t>,</w:t>
      </w:r>
      <w:r w:rsidR="007125A3" w:rsidRPr="007125A3">
        <w:rPr>
          <w:rFonts w:cs="Times New Roman"/>
          <w:color w:val="auto"/>
          <w:szCs w:val="22"/>
        </w:rPr>
        <w:t xml:space="preserve"> </w:t>
      </w:r>
      <w:r w:rsidR="007125A3" w:rsidRPr="007370A6">
        <w:rPr>
          <w:rFonts w:cs="Times New Roman"/>
          <w:b/>
          <w:color w:val="auto"/>
          <w:szCs w:val="22"/>
        </w:rPr>
        <w:t>Figure 15</w:t>
      </w:r>
      <w:r w:rsidR="00AA6325" w:rsidRPr="00C07E8E">
        <w:rPr>
          <w:rFonts w:cs="Times New Roman"/>
          <w:color w:val="auto"/>
          <w:szCs w:val="22"/>
        </w:rPr>
        <w:t xml:space="preserve">) which was selected for preclinical development owing to its activity </w:t>
      </w:r>
      <w:r w:rsidR="00AA6325" w:rsidRPr="00C07E8E">
        <w:rPr>
          <w:rFonts w:cs="Times New Roman"/>
          <w:i/>
          <w:iCs/>
          <w:color w:val="auto"/>
          <w:szCs w:val="22"/>
        </w:rPr>
        <w:t>in vivo</w:t>
      </w:r>
      <w:r w:rsidR="00AA6325" w:rsidRPr="00C07E8E">
        <w:rPr>
          <w:rFonts w:cs="Times New Roman"/>
          <w:color w:val="auto"/>
          <w:szCs w:val="22"/>
        </w:rPr>
        <w:t>.</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Communications","id":"ITEM-1","issued":{"date-parts":[["2017"]]},"page":"15159","title":"A tetraoxane-based antimalarial drug candidate that overcomes PfK13-C580Y dependent artemisinin resistance","type":"article-journal","volume":"8"},"uris":["http://www.mendeley.com/documents/?uuid=a8359039-f330-4b02-89f8-01ba6ccd592d"]}],"mendeley":{"formattedCitation":"&lt;sup&gt;134&lt;/sup&gt;","plainTextFormattedCitation":"134","previouslyFormattedCitation":"&lt;sup&gt;134&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134</w:t>
      </w:r>
      <w:r w:rsidR="00283BD7" w:rsidRPr="00C07E8E">
        <w:rPr>
          <w:rFonts w:cs="Times New Roman"/>
          <w:color w:val="auto"/>
          <w:szCs w:val="22"/>
        </w:rPr>
        <w:fldChar w:fldCharType="end"/>
      </w:r>
    </w:p>
    <w:p w14:paraId="28147117" w14:textId="72C1B914" w:rsidR="00AA6325" w:rsidRPr="00C07E8E" w:rsidRDefault="00C07E8E" w:rsidP="00532D1D">
      <w:pPr>
        <w:rPr>
          <w:rFonts w:cs="Times New Roman"/>
          <w:color w:val="auto"/>
          <w:szCs w:val="22"/>
        </w:rPr>
      </w:pPr>
      <w:r w:rsidRPr="00C07E8E">
        <w:rPr>
          <w:rFonts w:cs="Times New Roman"/>
          <w:color w:val="auto"/>
          <w:szCs w:val="22"/>
        </w:rPr>
        <w:tab/>
        <w:t xml:space="preserve">Two syntheses of E209 have been published to date, the earliest of which was the synthetic route used for the </w:t>
      </w:r>
      <w:r w:rsidR="0070440C">
        <w:rPr>
          <w:rFonts w:cs="Times New Roman"/>
          <w:color w:val="auto"/>
          <w:szCs w:val="22"/>
        </w:rPr>
        <w:t>preparation</w:t>
      </w:r>
      <w:r w:rsidR="0070440C" w:rsidRPr="00C07E8E">
        <w:rPr>
          <w:rFonts w:cs="Times New Roman"/>
          <w:color w:val="auto"/>
          <w:szCs w:val="22"/>
        </w:rPr>
        <w:t xml:space="preserve"> </w:t>
      </w:r>
      <w:r w:rsidRPr="00C07E8E">
        <w:rPr>
          <w:rFonts w:cs="Times New Roman"/>
          <w:color w:val="auto"/>
          <w:szCs w:val="22"/>
        </w:rPr>
        <w:t>of the initial series of second generation tetraoxanes.</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{"citationItems":[{"id":"ITEM-1","itemData":{"DOI":"10.1016/j.tet.2016.08.043","ISSN":"14645416","abstract":"An efficient route to the synthesis of potent antimalarial aryloxy 1,2,4,5-tetraoxanes is described that permits parallel synthesis for Structure–Activity Relationship (SAR) investigations. Brief details of the in vitro and in vivo antimalarial evaluation are included which enables identification of antimalarial leads for further development. Also described is an improved approach to the synthesis of a selected late-lead compound in just four or five synthetic steps from commercially available starting materials.","author":[{"dropping-particle":"","family":"O' Neill","given":"Paul M.","non-dropping-particle":"","parse-names":false,"suffix":""},{"dropping-particle":"","family":"Sabbani","given":"Sunil","non-dropping-particle":"","parse-names":false,"suffix":""},{"dropping-particle":"","family":"Nixon","given":"Gemma L.","non-dropping-particle":"","parse-names":false,"suffix":""},{"dropping-particle":"","family":"Schnaderbeck","given":"Matthew","non-dropping-particle":"","parse-names":false,"suffix":""},{"dropping-particle":"","family":"Roberts","given":"Natalie L.","non-dropping-particle":"","parse-names":false,"suffix":""},{"dropping-particle":"","family":"Shore","given":"Emma R.","non-dropping-particle":"","parse-names":false,"suffix":""},{"dropping-particle":"","family":"Riley","given":"Christopher","non-dropping-particle":"","parse-names":false,"suffix":""},{"dropping-particle":"","family":"Murphy","given":"Ben","non-dropping-particle":"","parse-names":false,"suffix":""},{"dropping-particle":"","family":"McGillan","given":"Paul","non-dropping-particle":"","parse-names":false,"suffix":""},{"dropping-particle":"","family":"Ward","given":"Stephen A.","non-dropping-particle":"","parse-names":false,"suffix":""},{"dropping-particle":"","family":"Davies","given":"Jill","non-dropping-particle":"","parse-names":false,"suffix":""},{"dropping-particle":"","family":"Amewu","given":"Richard K.","non-dropping-particle":"","parse-names":false,"suffix":""}],"container-title":"Tetrahedron","id":"ITEM-1","issue":"40","issued":{"date-parts":[["2016","10","6"]]},"page":"6118-6126","publisher":"Pergamon","title":"Optimisation of the synthesis of second generation 1,2,4,5 tetraoxane antimalarials","type":"article-journal","volume":"72"},"uris":["http://www.mendeley.com/documents/?uuid=213fdcb8-56bb-4ffa-a2b3-43fe20b77377"]},{"id":"ITEM-2","itemData":{"DOI":"10.1038/ncomms15159","ISSN":"20411723","PMID":"28537265","abstract":"K13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Communications","id":"ITEM-2","issued":{"date-parts":[["2017"]]},"page":"15159","title":"A tetraoxane-based antimalarial drug candidate that overcomes PfK13-C580Y dependent artemisinin resistance","type":"article-journal","volume":"8"},"uris":["http://www.mendeley.com/documents/?uuid=a8359039-f330-4b02-89f8-01ba6ccd592d"]}],"mendeley":{"formattedCitation":"&lt;sup&gt;134,135&lt;/sup&gt;","plainTextFormattedCitation":"134,135","previouslyFormattedCitation":"&lt;sup&gt;134,135&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134,135</w:t>
      </w:r>
      <w:r w:rsidR="00283BD7" w:rsidRPr="00C07E8E">
        <w:rPr>
          <w:rFonts w:cs="Times New Roman"/>
          <w:color w:val="auto"/>
          <w:szCs w:val="22"/>
        </w:rPr>
        <w:fldChar w:fldCharType="end"/>
      </w:r>
      <w:r w:rsidR="00283BD7" w:rsidRPr="00C07E8E">
        <w:rPr>
          <w:rFonts w:cs="Times New Roman"/>
          <w:color w:val="auto"/>
          <w:szCs w:val="22"/>
        </w:rPr>
        <w:t xml:space="preserve"> </w:t>
      </w:r>
      <w:r w:rsidRPr="00C07E8E">
        <w:rPr>
          <w:rFonts w:cs="Times New Roman"/>
          <w:color w:val="auto"/>
          <w:szCs w:val="22"/>
        </w:rPr>
        <w:t xml:space="preserve">An optimised synthesis (Scheme </w:t>
      </w:r>
      <w:r w:rsidR="00D96DFB" w:rsidRPr="00C07E8E">
        <w:rPr>
          <w:rFonts w:cs="Times New Roman"/>
          <w:color w:val="auto"/>
          <w:szCs w:val="22"/>
        </w:rPr>
        <w:t xml:space="preserve"> 11</w:t>
      </w:r>
      <w:r w:rsidRPr="00C07E8E">
        <w:rPr>
          <w:rFonts w:cs="Times New Roman"/>
          <w:color w:val="auto"/>
          <w:szCs w:val="22"/>
        </w:rPr>
        <w:t>) was published after optimising for yield of the tetraoxane forming step as well as cost of synthesis.</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{"citationItems":[{"id":"ITEM-1","itemData":{"DOI":"10.1016/j.tet.2016.08.043","ISSN":"14645416","abstract":"An efficient route to the synthesis of potent antimalarial aryloxy 1,2,4,5-tetraoxanes is described that permits parallel synthesis for Structure–Activity Relationship (SAR) investigations. Brief details of the in vitro and in vivo antimalarial evaluation are included which enables identification of antimalarial leads for further development. Also described is an improved approach to the synthesis of a selected late-lead compound in just four or five synthetic steps from commercially available starting materials.","author":[{"dropping-particle":"","family":"O' Neill","given":"Paul M.","non-dropping-particle":"","parse-names":false,"suffix":""},{"dropping-particle":"","family":"Sabbani","given":"Sunil","non-dropping-particle":"","parse-names":false,"suffix":""},{"dropping-particle":"","family":"Nixon","given":"Gemma L.","non-dropping-particle":"","parse-names":false,"suffix":""},{"dropping-particle":"","family":"Schnaderbeck","given":"Matthew","non-dropping-particle":"","parse-names":false,"suffix":""},{"dropping-particle":"","family":"Roberts","given":"Natalie L.","non-dropping-particle":"","parse-names":false,"suffix":""},{"dropping-particle":"","family":"Shore","given":"Emma R.","non-dropping-particle":"","parse-names":false,"suffix":""},{"dropping-particle":"","family":"Riley","given":"Christopher","non-dropping-particle":"","parse-names":false,"suffix":""},{"dropping-particle":"","family":"Murphy","given":"Ben","non-dropping-particle":"","parse-names":false,"suffix":""},{"dropping-particle":"","family":"McGillan","given":"Paul","non-dropping-particle":"","parse-names":false,"suffix":""},{"dropping-particle":"","family":"Ward","given":"Stephen A.","non-dropping-particle":"","parse-names":false,"suffix":""},{"dropping-particle":"","family":"Davies","given":"Jill","non-dropping-particle":"","parse-names":false,"suffix":""},{"dropping-particle":"","family":"Amewu","given":"Richard K.","non-dropping-particle":"","parse-names":false,"suffix":""}],"container-title":"Tetrahedron","id":"ITEM-1","issue":"40","issued":{"date-parts":[["2016","10","6"]]},"page":"6118-6126","publisher":"Pergamon","title":"Optimisation of the synthesis of second generation 1,2,4,5 tetraoxane antimalarials","type":"article-journal","volume":"72"},"uris":["http://www.mendeley.com/documents/?uuid=213fdcb8-56bb-4ffa-a2b3-43fe20b77377"]}],"mendeley":{"formattedCitation":"&lt;sup&gt;135&lt;/sup&gt;","plainTextFormattedCitation":"135","previouslyFormattedCitation":"&lt;sup&gt;135&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135</w:t>
      </w:r>
      <w:r w:rsidR="00283BD7" w:rsidRPr="00C07E8E">
        <w:rPr>
          <w:rFonts w:cs="Times New Roman"/>
          <w:color w:val="auto"/>
          <w:szCs w:val="22"/>
        </w:rPr>
        <w:fldChar w:fldCharType="end"/>
      </w:r>
      <w:r w:rsidRPr="00C07E8E">
        <w:rPr>
          <w:rFonts w:cs="Times New Roman"/>
          <w:color w:val="auto"/>
          <w:szCs w:val="22"/>
        </w:rPr>
        <w:t xml:space="preserve"> Initial acetyl protection of 4-(4-hydroxyphenyl)cyclohexan-1-one </w:t>
      </w:r>
      <w:r w:rsidR="00F63D93" w:rsidRPr="00C07E8E">
        <w:rPr>
          <w:rFonts w:cs="Times New Roman"/>
          <w:color w:val="auto"/>
          <w:szCs w:val="22"/>
        </w:rPr>
        <w:t>(</w:t>
      </w:r>
      <w:r w:rsidR="001A6438">
        <w:rPr>
          <w:rFonts w:cs="Times New Roman"/>
          <w:b/>
          <w:bCs/>
          <w:color w:val="auto"/>
          <w:szCs w:val="22"/>
        </w:rPr>
        <w:t>104</w:t>
      </w:r>
      <w:r w:rsidR="00325A1B" w:rsidRPr="00C07E8E">
        <w:rPr>
          <w:rFonts w:cs="Times New Roman"/>
          <w:color w:val="auto"/>
          <w:szCs w:val="22"/>
        </w:rPr>
        <w:t>)</w:t>
      </w:r>
      <w:r w:rsidR="00F63D93" w:rsidRPr="00C07E8E">
        <w:rPr>
          <w:rFonts w:cs="Times New Roman"/>
          <w:color w:val="auto"/>
          <w:szCs w:val="22"/>
        </w:rPr>
        <w:t xml:space="preserve"> afforded </w:t>
      </w:r>
      <w:r w:rsidR="001A6438">
        <w:rPr>
          <w:rFonts w:cs="Times New Roman"/>
          <w:b/>
          <w:bCs/>
          <w:color w:val="auto"/>
          <w:szCs w:val="22"/>
        </w:rPr>
        <w:t>105</w:t>
      </w:r>
      <w:r w:rsidR="00F63D93" w:rsidRPr="00C07E8E">
        <w:rPr>
          <w:rFonts w:cs="Times New Roman"/>
          <w:b/>
          <w:bCs/>
          <w:color w:val="auto"/>
          <w:szCs w:val="22"/>
        </w:rPr>
        <w:t xml:space="preserve"> </w:t>
      </w:r>
      <w:r w:rsidR="00F63D93" w:rsidRPr="00C07E8E">
        <w:rPr>
          <w:rFonts w:cs="Times New Roman"/>
          <w:color w:val="auto"/>
          <w:szCs w:val="22"/>
        </w:rPr>
        <w:t xml:space="preserve">as the substrate for tetraoxane formation. The intermediate dihydroperoxide </w:t>
      </w:r>
      <w:r w:rsidR="001A6438">
        <w:rPr>
          <w:rFonts w:cs="Times New Roman"/>
          <w:b/>
          <w:bCs/>
          <w:color w:val="auto"/>
          <w:szCs w:val="22"/>
        </w:rPr>
        <w:t>106</w:t>
      </w:r>
      <w:r w:rsidR="00F63D93" w:rsidRPr="00C07E8E">
        <w:rPr>
          <w:rFonts w:cs="Times New Roman"/>
          <w:color w:val="auto"/>
          <w:szCs w:val="22"/>
        </w:rPr>
        <w:t xml:space="preserve"> was formed by treatment of </w:t>
      </w:r>
      <w:r w:rsidR="001A6438">
        <w:rPr>
          <w:rFonts w:cs="Times New Roman"/>
          <w:b/>
          <w:bCs/>
          <w:color w:val="auto"/>
          <w:szCs w:val="22"/>
        </w:rPr>
        <w:t>105</w:t>
      </w:r>
      <w:r w:rsidR="00F63D93" w:rsidRPr="00C07E8E">
        <w:rPr>
          <w:rFonts w:cs="Times New Roman"/>
          <w:b/>
          <w:bCs/>
          <w:color w:val="auto"/>
          <w:szCs w:val="22"/>
        </w:rPr>
        <w:t xml:space="preserve"> </w:t>
      </w:r>
      <w:r w:rsidR="00F63D93" w:rsidRPr="00C07E8E">
        <w:rPr>
          <w:rFonts w:cs="Times New Roman"/>
          <w:color w:val="auto"/>
          <w:szCs w:val="22"/>
        </w:rPr>
        <w:t>with 50 % hydrogen peroxide and formic acid, and was used in the subsequent Bi(OTf)</w:t>
      </w:r>
      <w:r w:rsidR="00F63D93" w:rsidRPr="00C07E8E">
        <w:rPr>
          <w:rFonts w:cs="Times New Roman"/>
          <w:color w:val="auto"/>
          <w:szCs w:val="22"/>
          <w:vertAlign w:val="subscript"/>
        </w:rPr>
        <w:t>3</w:t>
      </w:r>
      <w:r w:rsidR="00F63D93" w:rsidRPr="00C07E8E">
        <w:rPr>
          <w:rFonts w:cs="Times New Roman"/>
          <w:color w:val="auto"/>
          <w:szCs w:val="22"/>
        </w:rPr>
        <w:t xml:space="preserve"> catalysed condensation with </w:t>
      </w:r>
      <w:r w:rsidR="001A6438">
        <w:rPr>
          <w:rFonts w:cs="Times New Roman"/>
          <w:b/>
          <w:bCs/>
          <w:color w:val="auto"/>
          <w:szCs w:val="22"/>
        </w:rPr>
        <w:t>100</w:t>
      </w:r>
      <w:r w:rsidR="00F63D93" w:rsidRPr="00C07E8E">
        <w:rPr>
          <w:rFonts w:cs="Times New Roman"/>
          <w:b/>
          <w:bCs/>
          <w:color w:val="auto"/>
          <w:szCs w:val="22"/>
        </w:rPr>
        <w:t xml:space="preserve"> </w:t>
      </w:r>
      <w:r w:rsidR="00F63D93" w:rsidRPr="00C07E8E">
        <w:rPr>
          <w:rFonts w:cs="Times New Roman"/>
          <w:color w:val="auto"/>
          <w:szCs w:val="22"/>
        </w:rPr>
        <w:t>without further purification. The intermediate acetyl protect</w:t>
      </w:r>
      <w:r w:rsidR="00F156CE">
        <w:rPr>
          <w:rFonts w:cs="Times New Roman"/>
          <w:color w:val="auto"/>
          <w:szCs w:val="22"/>
        </w:rPr>
        <w:t>ed</w:t>
      </w:r>
      <w:r w:rsidR="00F63D93" w:rsidRPr="00C07E8E">
        <w:rPr>
          <w:rFonts w:cs="Times New Roman"/>
          <w:color w:val="auto"/>
          <w:szCs w:val="22"/>
        </w:rPr>
        <w:t xml:space="preserve"> tetraoxane </w:t>
      </w:r>
      <w:r w:rsidR="001A6438">
        <w:rPr>
          <w:rFonts w:cs="Times New Roman"/>
          <w:b/>
          <w:bCs/>
          <w:color w:val="auto"/>
          <w:szCs w:val="22"/>
        </w:rPr>
        <w:t>107</w:t>
      </w:r>
      <w:r w:rsidR="00F63D93" w:rsidRPr="00C07E8E">
        <w:rPr>
          <w:rFonts w:cs="Times New Roman"/>
          <w:color w:val="auto"/>
          <w:szCs w:val="22"/>
        </w:rPr>
        <w:t xml:space="preserve"> was isolated in around 60 % yield – this represents an improvement on the 46 % yield reported for Re</w:t>
      </w:r>
      <w:r w:rsidR="00F63D93" w:rsidRPr="00C07E8E">
        <w:rPr>
          <w:rFonts w:cs="Times New Roman"/>
          <w:color w:val="auto"/>
          <w:szCs w:val="22"/>
          <w:vertAlign w:val="subscript"/>
        </w:rPr>
        <w:t>2</w:t>
      </w:r>
      <w:r w:rsidR="00F63D93" w:rsidRPr="00C07E8E">
        <w:rPr>
          <w:rFonts w:cs="Times New Roman"/>
          <w:color w:val="auto"/>
          <w:szCs w:val="22"/>
        </w:rPr>
        <w:t>O</w:t>
      </w:r>
      <w:r w:rsidR="00F63D93" w:rsidRPr="00C07E8E">
        <w:rPr>
          <w:rFonts w:cs="Times New Roman"/>
          <w:color w:val="auto"/>
          <w:szCs w:val="22"/>
          <w:vertAlign w:val="subscript"/>
        </w:rPr>
        <w:t xml:space="preserve">7 </w:t>
      </w:r>
      <w:r w:rsidR="00F63D93" w:rsidRPr="00C07E8E">
        <w:rPr>
          <w:rFonts w:cs="Times New Roman"/>
          <w:color w:val="auto"/>
          <w:szCs w:val="22"/>
        </w:rPr>
        <w:t>catalysed methods</w:t>
      </w:r>
      <w:r w:rsidR="00283BD7" w:rsidRPr="00C07E8E">
        <w:rPr>
          <w:rFonts w:cs="Times New Roman"/>
          <w:color w:val="auto"/>
          <w:szCs w:val="22"/>
        </w:rPr>
        <w:t>.</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{"citationItems":[{"id":"ITEM-1","itemData":{"DOI":"10.1016/j.tet.2016.08.043","ISSN":"14645416","abstract":"An efficient route to the synthesis of potent antimalarial aryloxy 1,2,4,5-tetraoxanes is described that permits parallel synthesis for Structure–Activity Relationship (SAR) investigations. Brief details of the in vitro and in vivo antimalarial evaluation are included which enables identification of antimalarial leads for further development. Also described is an improved approach to the synthesis of a selected late-lead compound in just four or five synthetic steps from commercially available starting materials.","author":[{"dropping-particle":"","family":"O' Neill","given":"Paul M.","non-dropping-particle":"","parse-names":false,"suffix":""},{"dropping-particle":"","family":"Sabbani","given":"Sunil","non-dropping-particle":"","parse-names":false,"suffix":""},{"dropping-particle":"","family":"Nixon","given":"Gemma L.","non-dropping-particle":"","parse-names":false,"suffix":""},{"dropping-particle":"","family":"Schnaderbeck","given":"Matthew","non-dropping-particle":"","parse-names":false,"suffix":""},{"dropping-particle":"","family":"Roberts","given":"Natalie L.","non-dropping-particle":"","parse-names":false,"suffix":""},{"dropping-particle":"","family":"Shore","given":"Emma R.","non-dropping-particle":"","parse-names":false,"suffix":""},{"dropping-particle":"","family":"Riley","given":"Christopher","non-dropping-particle":"","parse-names":false,"suffix":""},{"dropping-particle":"","family":"Murphy","given":"Ben","non-dropping-particle":"","parse-names":false,"suffix":""},{"dropping-particle":"","family":"McGillan","given":"Paul","non-dropping-particle":"","parse-names":false,"suffix":""},{"dropping-particle":"","family":"Ward","given":"Stephen A.","non-dropping-particle":"","parse-names":false,"suffix":""},{"dropping-particle":"","family":"Davies","given":"Jill","non-dropping-particle":"","parse-names":false,"suffix":""},{"dropping-particle":"","family":"Amewu","given":"Richard K.","non-dropping-particle":"","parse-names":false,"suffix":""}],"container-title":"Tetrahedron","id":"ITEM-1","issue":"40","issued":{"date-parts":[["2016","10","6"]]},"page":"6118-6126","publisher":"Pergamon","title":"Optimisation of the synthesis of second generation 1,2,4,5 tetraoxane antimalarials","type":"article-journal","volume":"72"},"uris":["http://www.mendeley.com/documents/?uuid=213fdcb8-56bb-4ffa-a2b3-43fe20b77377"]},{"id":"ITEM-2","itemData":{"DOI":"10.1038/ncomms15159","ISSN":"20411723","PMID":"28537265","abstract":"K13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Communications","id":"ITEM-2","issued":{"date-parts":[["2017"]]},"page":"15159","title":"A tetraoxane-based antimalarial drug candidate that overcomes PfK13-C580Y dependent artemisinin resistance","type":"article-journal","volume":"8"},"uris":["http://www.mendeley.com/documents/?uuid=a8359039-f330-4b02-89f8-01ba6ccd592d"]}],"mendeley":{"formattedCitation":"&lt;sup&gt;134,135&lt;/sup&gt;","plainTextFormattedCitation":"134,135","previouslyFormattedCitation":"&lt;sup&gt;134,135&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134,135</w:t>
      </w:r>
      <w:r w:rsidR="00283BD7" w:rsidRPr="00C07E8E">
        <w:rPr>
          <w:rFonts w:cs="Times New Roman"/>
          <w:color w:val="auto"/>
          <w:szCs w:val="22"/>
        </w:rPr>
        <w:fldChar w:fldCharType="end"/>
      </w:r>
      <w:r w:rsidR="00F63D93" w:rsidRPr="00C07E8E">
        <w:rPr>
          <w:rFonts w:cs="Times New Roman"/>
          <w:color w:val="auto"/>
          <w:szCs w:val="22"/>
        </w:rPr>
        <w:t xml:space="preserve"> The acetyl protecting group was removed by </w:t>
      </w:r>
      <w:r w:rsidR="00F63D93" w:rsidRPr="00C07E8E">
        <w:rPr>
          <w:rFonts w:cs="Times New Roman"/>
          <w:color w:val="auto"/>
          <w:szCs w:val="22"/>
        </w:rPr>
        <w:lastRenderedPageBreak/>
        <w:t xml:space="preserve">treatment with LiOH to afford the free phenol </w:t>
      </w:r>
      <w:r w:rsidR="00325A1B" w:rsidRPr="00C07E8E">
        <w:rPr>
          <w:rFonts w:cs="Times New Roman"/>
          <w:b/>
          <w:bCs/>
          <w:color w:val="auto"/>
          <w:szCs w:val="22"/>
        </w:rPr>
        <w:t>10</w:t>
      </w:r>
      <w:r w:rsidR="001A6438">
        <w:rPr>
          <w:rFonts w:cs="Times New Roman"/>
          <w:b/>
          <w:bCs/>
          <w:color w:val="auto"/>
          <w:szCs w:val="22"/>
        </w:rPr>
        <w:t>8</w:t>
      </w:r>
      <w:r w:rsidR="00F63D93" w:rsidRPr="00C07E8E">
        <w:rPr>
          <w:rFonts w:cs="Times New Roman"/>
          <w:b/>
          <w:bCs/>
          <w:color w:val="auto"/>
          <w:szCs w:val="22"/>
        </w:rPr>
        <w:t xml:space="preserve"> </w:t>
      </w:r>
      <w:r w:rsidR="00F63D93" w:rsidRPr="00C07E8E">
        <w:rPr>
          <w:rFonts w:cs="Times New Roman"/>
          <w:color w:val="auto"/>
          <w:szCs w:val="22"/>
        </w:rPr>
        <w:t xml:space="preserve">which was subsequently coupled with 1-(2-chloroethyl)-4-fluoropiperidine hydrochloride to afford </w:t>
      </w:r>
      <w:r w:rsidR="001A6438">
        <w:rPr>
          <w:rFonts w:cs="Times New Roman"/>
          <w:b/>
          <w:bCs/>
          <w:color w:val="auto"/>
          <w:szCs w:val="22"/>
        </w:rPr>
        <w:t>103</w:t>
      </w:r>
      <w:r w:rsidR="00283BD7" w:rsidRPr="00C07E8E">
        <w:rPr>
          <w:rFonts w:cs="Times New Roman"/>
          <w:color w:val="auto"/>
          <w:szCs w:val="22"/>
        </w:rPr>
        <w:t>.</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{"citationItems":[{"id":"ITEM-1","itemData":{"DOI":"10.1016/j.tet.2016.08.043","ISSN":"14645416","abstract":"An efficient route to the synthesis of potent antimalarial aryloxy 1,2,4,5-tetraoxanes is described that permits parallel synthesis for Structure–Activity Relationship (SAR) investigations. Brief details of the in vitro and in vivo antimalarial evaluation are included which enables identification of antimalarial leads for further development. Also described is an improved approach to the synthesis of a selected late-lead compound in just four or five synthetic steps from commercially available starting materials.","author":[{"dropping-particle":"","family":"O' Neill","given":"Paul M.","non-dropping-particle":"","parse-names":false,"suffix":""},{"dropping-particle":"","family":"Sabbani","given":"Sunil","non-dropping-particle":"","parse-names":false,"suffix":""},{"dropping-particle":"","family":"Nixon","given":"Gemma L.","non-dropping-particle":"","parse-names":false,"suffix":""},{"dropping-particle":"","family":"Schnaderbeck","given":"Matthew","non-dropping-particle":"","parse-names":false,"suffix":""},{"dropping-particle":"","family":"Roberts","given":"Natalie L.","non-dropping-particle":"","parse-names":false,"suffix":""},{"dropping-particle":"","family":"Shore","given":"Emma R.","non-dropping-particle":"","parse-names":false,"suffix":""},{"dropping-particle":"","family":"Riley","given":"Christopher","non-dropping-particle":"","parse-names":false,"suffix":""},{"dropping-particle":"","family":"Murphy","given":"Ben","non-dropping-particle":"","parse-names":false,"suffix":""},{"dropping-particle":"","family":"McGillan","given":"Paul","non-dropping-particle":"","parse-names":false,"suffix":""},{"dropping-particle":"","family":"Ward","given":"Stephen A.","non-dropping-particle":"","parse-names":false,"suffix":""},{"dropping-particle":"","family":"Davies","given":"Jill","non-dropping-particle":"","parse-names":false,"suffix":""},{"dropping-particle":"","family":"Amewu","given":"Richard K.","non-dropping-particle":"","parse-names":false,"suffix":""}],"container-title":"Tetrahedron","id":"ITEM-1","issue":"40","issued":{"date-parts":[["2016","10","6"]]},"page":"6118-6126","publisher":"Pergamon","title":"Optimisation of the synthesis of second generation 1,2,4,5 tetraoxane antimalarials","type":"article-journal","volume":"72"},"uris":["http://www.mendeley.com/documents/?uuid=213fdcb8-56bb-4ffa-a2b3-43fe20b77377"]}],"mendeley":{"formattedCitation":"&lt;sup&gt;135&lt;/sup&gt;","plainTextFormattedCitation":"135","previouslyFormattedCitation":"&lt;sup&gt;135&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135</w:t>
      </w:r>
      <w:r w:rsidR="00283BD7" w:rsidRPr="00C07E8E">
        <w:rPr>
          <w:rFonts w:cs="Times New Roman"/>
          <w:color w:val="auto"/>
          <w:szCs w:val="22"/>
        </w:rPr>
        <w:fldChar w:fldCharType="end"/>
      </w:r>
    </w:p>
    <w:p w14:paraId="33434B09" w14:textId="4F4A3F2E" w:rsidR="00AA6325" w:rsidRPr="00C07E8E" w:rsidRDefault="006D7105" w:rsidP="00532D1D">
      <w:pPr>
        <w:keepNext/>
        <w:jc w:val="center"/>
        <w:rPr>
          <w:rFonts w:cs="Times New Roman"/>
          <w:color w:val="auto"/>
          <w:szCs w:val="22"/>
        </w:rPr>
      </w:pPr>
      <w:r w:rsidRPr="006D7105">
        <w:rPr>
          <w:rFonts w:cs="Times New Roman"/>
          <w:noProof/>
          <w:color w:val="auto"/>
          <w:szCs w:val="22"/>
        </w:rPr>
        <w:object w:dxaOrig="8187" w:dyaOrig="6367" w14:anchorId="01F6BBD4">
          <v:shape id="_x0000_i1050" type="#_x0000_t75" alt="" style="width:408pt;height:318pt;mso-width-percent:0;mso-height-percent:0;mso-width-percent:0;mso-height-percent:0" o:ole="">
            <v:imagedata r:id="rId56" o:title=""/>
          </v:shape>
          <o:OLEObject Type="Embed" ProgID="ChemDraw.Document.6.0" ShapeID="_x0000_i1050" DrawAspect="Content" ObjectID="_1669219484" r:id="rId57"/>
        </w:object>
      </w:r>
    </w:p>
    <w:p w14:paraId="37A25D48" w14:textId="49740352" w:rsidR="0065313F" w:rsidRPr="00C07E8E" w:rsidRDefault="00C07E8E" w:rsidP="00532D1D">
      <w:pPr>
        <w:pStyle w:val="Legenda"/>
        <w:spacing w:after="0" w:line="360" w:lineRule="auto"/>
        <w:jc w:val="center"/>
        <w:rPr>
          <w:rFonts w:cs="Times New Roman"/>
          <w:i w:val="0"/>
          <w:iCs w:val="0"/>
          <w:color w:val="auto"/>
          <w:sz w:val="22"/>
          <w:szCs w:val="22"/>
        </w:rPr>
      </w:pPr>
      <w:r w:rsidRPr="00C07E8E">
        <w:rPr>
          <w:rFonts w:cs="Times New Roman"/>
          <w:b/>
          <w:bCs/>
          <w:i w:val="0"/>
          <w:iCs w:val="0"/>
          <w:color w:val="auto"/>
          <w:sz w:val="22"/>
          <w:szCs w:val="22"/>
        </w:rPr>
        <w:t xml:space="preserve">Scheme </w:t>
      </w:r>
      <w:r w:rsidR="00D96DFB" w:rsidRPr="00C07E8E">
        <w:rPr>
          <w:rFonts w:cs="Times New Roman"/>
          <w:b/>
          <w:bCs/>
          <w:i w:val="0"/>
          <w:iCs w:val="0"/>
          <w:color w:val="auto"/>
          <w:sz w:val="22"/>
          <w:szCs w:val="22"/>
        </w:rPr>
        <w:t>11</w:t>
      </w:r>
      <w:r w:rsidRPr="00C07E8E">
        <w:rPr>
          <w:rFonts w:cs="Times New Roman"/>
          <w:i w:val="0"/>
          <w:iCs w:val="0"/>
          <w:color w:val="auto"/>
          <w:sz w:val="22"/>
          <w:szCs w:val="22"/>
        </w:rPr>
        <w:t>: Optimised synthesis of E209</w:t>
      </w:r>
      <w:r w:rsidR="00C2391C">
        <w:rPr>
          <w:rFonts w:cs="Times New Roman"/>
          <w:i w:val="0"/>
          <w:iCs w:val="0"/>
          <w:color w:val="auto"/>
          <w:sz w:val="22"/>
          <w:szCs w:val="22"/>
        </w:rPr>
        <w:t xml:space="preserve">, </w:t>
      </w:r>
      <w:r w:rsidR="00C2391C" w:rsidRPr="007370A6">
        <w:rPr>
          <w:rFonts w:cs="Times New Roman"/>
          <w:b/>
          <w:bCs/>
          <w:i w:val="0"/>
          <w:iCs w:val="0"/>
          <w:color w:val="auto"/>
          <w:sz w:val="22"/>
          <w:szCs w:val="22"/>
        </w:rPr>
        <w:t>103</w:t>
      </w:r>
    </w:p>
    <w:p w14:paraId="6AE151CB" w14:textId="77777777" w:rsidR="001F6E17" w:rsidRPr="00C07E8E" w:rsidRDefault="001F6E17" w:rsidP="00532D1D">
      <w:pPr>
        <w:rPr>
          <w:rFonts w:cs="Times New Roman"/>
          <w:color w:val="auto"/>
          <w:szCs w:val="22"/>
        </w:rPr>
      </w:pPr>
    </w:p>
    <w:p w14:paraId="610BD341" w14:textId="50B73876" w:rsidR="002C5D8F" w:rsidRPr="00C07E8E" w:rsidRDefault="00C07E8E" w:rsidP="00532D1D">
      <w:pPr>
        <w:ind w:firstLine="720"/>
        <w:rPr>
          <w:rFonts w:cs="Times New Roman"/>
          <w:noProof/>
          <w:color w:val="auto"/>
          <w:szCs w:val="22"/>
        </w:rPr>
      </w:pPr>
      <w:r w:rsidRPr="00C07E8E">
        <w:rPr>
          <w:rFonts w:cs="Times New Roman"/>
          <w:noProof/>
          <w:color w:val="auto"/>
          <w:szCs w:val="22"/>
        </w:rPr>
        <w:t>E209 was shown to have an IC</w:t>
      </w:r>
      <w:r w:rsidRPr="00C07E8E">
        <w:rPr>
          <w:rFonts w:cs="Times New Roman"/>
          <w:noProof/>
          <w:color w:val="auto"/>
          <w:szCs w:val="22"/>
          <w:vertAlign w:val="subscript"/>
        </w:rPr>
        <w:t xml:space="preserve">50 </w:t>
      </w:r>
      <w:r w:rsidRPr="00C07E8E">
        <w:rPr>
          <w:rFonts w:cs="Times New Roman"/>
          <w:noProof/>
          <w:color w:val="auto"/>
          <w:szCs w:val="22"/>
        </w:rPr>
        <w:t xml:space="preserve">of 5.1nM against 3D7 </w:t>
      </w:r>
      <w:r w:rsidRPr="00C07E8E">
        <w:rPr>
          <w:rFonts w:cs="Times New Roman"/>
          <w:i/>
          <w:noProof/>
          <w:color w:val="auto"/>
          <w:szCs w:val="22"/>
        </w:rPr>
        <w:t>P. falciparum</w:t>
      </w:r>
      <w:r w:rsidR="00F156CE">
        <w:rPr>
          <w:rFonts w:cs="Times New Roman"/>
          <w:b/>
          <w:bCs/>
          <w:i/>
          <w:noProof/>
          <w:color w:val="auto"/>
          <w:szCs w:val="22"/>
        </w:rPr>
        <w:t>,</w:t>
      </w:r>
      <w:r w:rsidRPr="00C07E8E">
        <w:rPr>
          <w:rFonts w:cs="Times New Roman"/>
          <w:i/>
          <w:noProof/>
          <w:color w:val="auto"/>
          <w:szCs w:val="22"/>
        </w:rPr>
        <w:t xml:space="preserve"> </w:t>
      </w:r>
      <w:r w:rsidRPr="00C07E8E">
        <w:rPr>
          <w:rFonts w:cs="Times New Roman"/>
          <w:noProof/>
          <w:color w:val="auto"/>
          <w:szCs w:val="22"/>
        </w:rPr>
        <w:t xml:space="preserve">showing equal activity to OZ439 in the same assay. E209 was also screened in ring stage survival assays against K13 mutant strains of </w:t>
      </w:r>
      <w:r w:rsidRPr="00C07E8E">
        <w:rPr>
          <w:rFonts w:cs="Times New Roman"/>
          <w:i/>
          <w:noProof/>
          <w:color w:val="auto"/>
          <w:szCs w:val="22"/>
        </w:rPr>
        <w:t xml:space="preserve">P. falciparum </w:t>
      </w:r>
      <w:r w:rsidRPr="00C07E8E">
        <w:rPr>
          <w:rFonts w:cs="Times New Roman"/>
          <w:noProof/>
          <w:color w:val="auto"/>
          <w:szCs w:val="22"/>
        </w:rPr>
        <w:t>posessing C580Y and R539T mutations shown to reduce sensitivity to ART.</w:t>
      </w:r>
      <w:r w:rsidRPr="00C07E8E">
        <w:rPr>
          <w:rFonts w:cs="Times New Roman"/>
          <w:color w:val="auto"/>
          <w:szCs w:val="22"/>
        </w:rPr>
        <w:t xml:space="preserve"> </w:t>
      </w:r>
      <w:r w:rsidRPr="00C07E8E">
        <w:rPr>
          <w:rFonts w:cs="Times New Roman"/>
          <w:noProof/>
          <w:color w:val="auto"/>
          <w:szCs w:val="22"/>
        </w:rPr>
        <w:t>The C580Y mutation did not appear to confer cross resistance to E209 while the R549T mutant strains did show a modest but significant increase in parasite survival.</w:t>
      </w:r>
      <w:r w:rsidR="00283BD7" w:rsidRPr="00C07E8E">
        <w:rPr>
          <w:rFonts w:cs="Times New Roman"/>
          <w:color w:val="auto"/>
          <w:szCs w:val="22"/>
        </w:rPr>
        <w:t xml:space="preserve"> </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Communications","id":"ITEM-1","issued":{"date-parts":[["2017"]]},"page":"15159","title":"A tetraoxane-based antimalarial drug candidate that overcomes PfK13-C580Y dependent artemisinin resistance","type":"article-journal","volume":"8"},"uris":["http://www.mendeley.com/documents/?uuid=a8359039-f330-4b02-89f8-01ba6ccd592d"]}],"mendeley":{"formattedCitation":"&lt;sup&gt;134&lt;/sup&gt;","plainTextFormattedCitation":"134","previouslyFormattedCitation":"&lt;sup&gt;134&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134</w:t>
      </w:r>
      <w:r w:rsidR="00283BD7" w:rsidRPr="00C07E8E">
        <w:rPr>
          <w:rFonts w:cs="Times New Roman"/>
          <w:color w:val="auto"/>
          <w:szCs w:val="22"/>
        </w:rPr>
        <w:fldChar w:fldCharType="end"/>
      </w:r>
      <w:r w:rsidRPr="00C07E8E">
        <w:rPr>
          <w:rFonts w:cs="Times New Roman"/>
          <w:noProof/>
          <w:color w:val="auto"/>
          <w:szCs w:val="22"/>
        </w:rPr>
        <w:t xml:space="preserve"> </w:t>
      </w:r>
    </w:p>
    <w:p w14:paraId="1DB43DDB" w14:textId="791098AF" w:rsidR="002C5D8F" w:rsidRPr="00C07E8E" w:rsidRDefault="00C2391C" w:rsidP="00532D1D">
      <w:pPr>
        <w:ind w:firstLine="720"/>
        <w:rPr>
          <w:rFonts w:cs="Times New Roman"/>
          <w:noProof/>
          <w:color w:val="auto"/>
          <w:szCs w:val="22"/>
        </w:rPr>
      </w:pPr>
      <w:r w:rsidRPr="00C07E8E">
        <w:rPr>
          <w:rFonts w:cs="Times New Roman"/>
          <w:noProof/>
          <w:color w:val="auto"/>
          <w:szCs w:val="22"/>
        </w:rPr>
        <w:t>E209</w:t>
      </w:r>
      <w:r>
        <w:rPr>
          <w:rFonts w:cs="Times New Roman"/>
          <w:noProof/>
          <w:color w:val="auto"/>
          <w:szCs w:val="22"/>
        </w:rPr>
        <w:t> </w:t>
      </w:r>
      <w:r>
        <w:rPr>
          <w:rFonts w:cs="Times New Roman"/>
          <w:b/>
          <w:bCs/>
          <w:noProof/>
          <w:color w:val="auto"/>
          <w:szCs w:val="22"/>
        </w:rPr>
        <w:t xml:space="preserve"> </w:t>
      </w:r>
      <w:r w:rsidR="00C07E8E" w:rsidRPr="00C07E8E">
        <w:rPr>
          <w:rFonts w:cs="Times New Roman"/>
          <w:noProof/>
          <w:color w:val="auto"/>
          <w:szCs w:val="22"/>
        </w:rPr>
        <w:t xml:space="preserve">also displayed potent antimalarial activity in the </w:t>
      </w:r>
      <w:r w:rsidR="00C07E8E" w:rsidRPr="00C07E8E">
        <w:rPr>
          <w:rFonts w:cs="Times New Roman"/>
          <w:i/>
          <w:iCs/>
          <w:noProof/>
          <w:color w:val="auto"/>
          <w:szCs w:val="22"/>
        </w:rPr>
        <w:t xml:space="preserve">P. berghei </w:t>
      </w:r>
      <w:r w:rsidR="00C07E8E" w:rsidRPr="00C07E8E">
        <w:rPr>
          <w:rFonts w:cs="Times New Roman"/>
          <w:noProof/>
          <w:color w:val="auto"/>
          <w:szCs w:val="22"/>
        </w:rPr>
        <w:t>infected mouse model</w:t>
      </w:r>
      <w:r w:rsidR="00F156CE">
        <w:rPr>
          <w:rFonts w:cs="Times New Roman"/>
          <w:noProof/>
          <w:color w:val="auto"/>
          <w:szCs w:val="22"/>
        </w:rPr>
        <w:t>,</w:t>
      </w:r>
      <w:r w:rsidR="00C07E8E" w:rsidRPr="00C07E8E">
        <w:rPr>
          <w:rFonts w:cs="Times New Roman"/>
          <w:noProof/>
          <w:color w:val="auto"/>
          <w:szCs w:val="22"/>
        </w:rPr>
        <w:t xml:space="preserve"> with an ED</w:t>
      </w:r>
      <w:r w:rsidR="00C07E8E" w:rsidRPr="00C07E8E">
        <w:rPr>
          <w:rFonts w:cs="Times New Roman"/>
          <w:noProof/>
          <w:color w:val="auto"/>
          <w:szCs w:val="22"/>
          <w:vertAlign w:val="subscript"/>
        </w:rPr>
        <w:t>50</w:t>
      </w:r>
      <w:r w:rsidR="00C07E8E" w:rsidRPr="00C07E8E">
        <w:rPr>
          <w:rFonts w:cs="Times New Roman"/>
          <w:noProof/>
          <w:color w:val="auto"/>
          <w:szCs w:val="22"/>
        </w:rPr>
        <w:t xml:space="preserve"> determined to be 4 mg/kg in a 4-day suppressive test after 3 doses. More importantly,</w:t>
      </w:r>
      <w:r>
        <w:rPr>
          <w:rFonts w:cs="Times New Roman"/>
          <w:noProof/>
          <w:color w:val="auto"/>
          <w:szCs w:val="22"/>
        </w:rPr>
        <w:t xml:space="preserve"> </w:t>
      </w:r>
      <w:r w:rsidRPr="00C07E8E">
        <w:rPr>
          <w:rFonts w:cs="Times New Roman"/>
          <w:noProof/>
          <w:color w:val="auto"/>
          <w:szCs w:val="22"/>
        </w:rPr>
        <w:t>E209</w:t>
      </w:r>
      <w:r w:rsidR="00C01204">
        <w:rPr>
          <w:rFonts w:cs="Times New Roman"/>
          <w:noProof/>
          <w:color w:val="auto"/>
          <w:szCs w:val="22"/>
        </w:rPr>
        <w:t> </w:t>
      </w:r>
      <w:r w:rsidR="00AD7ADD" w:rsidRPr="00C07E8E">
        <w:rPr>
          <w:rFonts w:cs="Times New Roman"/>
          <w:noProof/>
          <w:color w:val="auto"/>
          <w:szCs w:val="22"/>
        </w:rPr>
        <w:t xml:space="preserve">displayed a 66 % cure rate in the </w:t>
      </w:r>
      <w:r w:rsidR="00AD7ADD" w:rsidRPr="00C07E8E">
        <w:rPr>
          <w:rFonts w:cs="Times New Roman"/>
          <w:i/>
          <w:iCs/>
          <w:noProof/>
          <w:color w:val="auto"/>
          <w:szCs w:val="22"/>
        </w:rPr>
        <w:t xml:space="preserve">P. berghei </w:t>
      </w:r>
      <w:r w:rsidR="00AD7ADD" w:rsidRPr="00C07E8E">
        <w:rPr>
          <w:rFonts w:cs="Times New Roman"/>
          <w:noProof/>
          <w:color w:val="auto"/>
          <w:szCs w:val="22"/>
        </w:rPr>
        <w:t>infected mice 30 day survival assay</w:t>
      </w:r>
      <w:r w:rsidR="00DA30C9">
        <w:rPr>
          <w:rFonts w:cs="Times New Roman"/>
          <w:noProof/>
          <w:color w:val="auto"/>
          <w:szCs w:val="22"/>
        </w:rPr>
        <w:t>,</w:t>
      </w:r>
      <w:r w:rsidR="00AD7ADD" w:rsidRPr="00C07E8E">
        <w:rPr>
          <w:rFonts w:cs="Times New Roman"/>
          <w:noProof/>
          <w:color w:val="auto"/>
          <w:szCs w:val="22"/>
        </w:rPr>
        <w:t xml:space="preserve"> following</w:t>
      </w:r>
      <w:r w:rsidR="00CC5E39">
        <w:rPr>
          <w:rFonts w:cs="Times New Roman"/>
          <w:noProof/>
          <w:color w:val="auto"/>
          <w:szCs w:val="22"/>
        </w:rPr>
        <w:t xml:space="preserve"> </w:t>
      </w:r>
      <w:r w:rsidR="00AD7ADD" w:rsidRPr="00C07E8E">
        <w:rPr>
          <w:rFonts w:cs="Times New Roman"/>
          <w:noProof/>
          <w:color w:val="auto"/>
          <w:szCs w:val="22"/>
        </w:rPr>
        <w:t xml:space="preserve">a single oral dose of 30 mg/kg suggesting that, like Artefenomel, </w:t>
      </w:r>
      <w:r w:rsidRPr="00C07E8E">
        <w:rPr>
          <w:rFonts w:cs="Times New Roman"/>
          <w:noProof/>
          <w:color w:val="auto"/>
          <w:szCs w:val="22"/>
        </w:rPr>
        <w:t>E209</w:t>
      </w:r>
      <w:r w:rsidR="00AD7ADD" w:rsidRPr="00C07E8E">
        <w:rPr>
          <w:rFonts w:cs="Times New Roman"/>
          <w:b/>
          <w:bCs/>
          <w:noProof/>
          <w:color w:val="auto"/>
          <w:szCs w:val="22"/>
        </w:rPr>
        <w:t xml:space="preserve"> </w:t>
      </w:r>
      <w:r w:rsidR="00AD7ADD" w:rsidRPr="00C07E8E">
        <w:rPr>
          <w:rFonts w:cs="Times New Roman"/>
          <w:noProof/>
          <w:color w:val="auto"/>
          <w:szCs w:val="22"/>
        </w:rPr>
        <w:t>might be suitable for a single dose cure – although Artefenomel attained a 100 % cure rate in the same assay.</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Communications","id":"ITEM-1","issued":{"date-parts":[["2017"]]},"page":"15159","title":"A tetraoxane-based antimalarial drug candidate that overcomes PfK13-C580Y dependent artemisinin resistance","type":"article-journal","volume":"8"},"uris":["http://www.mendeley.com/documents/?uuid=a8359039-f330-4b02-89f8-01ba6ccd592d"]}],"mendeley":{"formattedCitation":"&lt;sup&gt;134&lt;/sup&gt;","plainTextFormattedCitation":"134","previouslyFormattedCitation":"&lt;sup&gt;134&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134</w:t>
      </w:r>
      <w:r w:rsidR="00283BD7" w:rsidRPr="00C07E8E">
        <w:rPr>
          <w:rFonts w:cs="Times New Roman"/>
          <w:color w:val="auto"/>
          <w:szCs w:val="22"/>
        </w:rPr>
        <w:fldChar w:fldCharType="end"/>
      </w:r>
      <w:r w:rsidR="00AD7ADD" w:rsidRPr="00C07E8E">
        <w:rPr>
          <w:rFonts w:cs="Times New Roman"/>
          <w:noProof/>
          <w:color w:val="auto"/>
          <w:szCs w:val="22"/>
        </w:rPr>
        <w:t xml:space="preserve"> </w:t>
      </w:r>
      <w:r w:rsidRPr="00C07E8E">
        <w:rPr>
          <w:rFonts w:cs="Times New Roman"/>
          <w:noProof/>
          <w:color w:val="auto"/>
          <w:szCs w:val="22"/>
        </w:rPr>
        <w:t>E209</w:t>
      </w:r>
      <w:r w:rsidR="00AD7ADD" w:rsidRPr="00C07E8E">
        <w:rPr>
          <w:rFonts w:cs="Times New Roman"/>
          <w:b/>
          <w:bCs/>
          <w:noProof/>
          <w:color w:val="auto"/>
          <w:szCs w:val="22"/>
        </w:rPr>
        <w:t xml:space="preserve"> </w:t>
      </w:r>
      <w:r w:rsidR="00AD7ADD" w:rsidRPr="00C07E8E">
        <w:rPr>
          <w:rFonts w:cs="Times New Roman"/>
          <w:noProof/>
          <w:color w:val="auto"/>
          <w:szCs w:val="22"/>
        </w:rPr>
        <w:t xml:space="preserve">was also evaluated against 3D7 </w:t>
      </w:r>
      <w:r w:rsidR="00AD7ADD" w:rsidRPr="00C07E8E">
        <w:rPr>
          <w:rFonts w:cs="Times New Roman"/>
          <w:i/>
          <w:iCs/>
          <w:noProof/>
          <w:color w:val="auto"/>
          <w:szCs w:val="22"/>
        </w:rPr>
        <w:t xml:space="preserve">P. falciparum </w:t>
      </w:r>
      <w:r w:rsidR="00AD7ADD" w:rsidRPr="00C07E8E">
        <w:rPr>
          <w:rFonts w:cs="Times New Roman"/>
          <w:noProof/>
          <w:color w:val="auto"/>
          <w:szCs w:val="22"/>
        </w:rPr>
        <w:t>in the humanised mouse model revealing that complete parasite clearance could be achieved with a single dose of 30 mg/kg. Additionally, this assay was used to determine that the optimal rate of parasite killing was achieved with blood exposure between 5 – 10 μg h/ml.</w:t>
      </w:r>
      <w:r w:rsidR="00283BD7" w:rsidRPr="00C07E8E">
        <w:rPr>
          <w:rFonts w:cs="Times New Roman"/>
          <w:color w:val="auto"/>
          <w:szCs w:val="22"/>
        </w:rPr>
        <w:fldChar w:fldCharType="begin" w:fldLock="1"/>
      </w:r>
      <w:r w:rsidR="00192B39">
        <w:rPr>
          <w:rFonts w:cs="Times New Roman"/>
          <w:color w:val="auto"/>
          <w:szCs w:val="22"/>
        </w:rPr>
        <w:instrText>ADDIN CSL_CITATION {"citationItems":[{"id":"ITEM-1","itemData":{"DOI":"10.1038/ncomms15159","ISSN":"20411723","PMID":"28537265","abstract":"K13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Communications","id":"ITEM-1","issued":{"date-parts":[["2017"]]},"page":"15159","title":"A tetraoxane-based antimalarial drug candidate that overcomes PfK13-C580Y dependent artemisinin resistance","type":"article-journal","volume":"8"},"uris":["http://www.mendeley.com/documents/?uuid=a8359039-f330-4b02-89f8-01ba6ccd592d"]}],"mendeley":{"formattedCitation":"&lt;sup&gt;134&lt;/sup&gt;","plainTextFormattedCitation":"134","previouslyFormattedCitation":"&lt;sup&gt;134&lt;/sup&gt;"},"properties":{"noteIndex":0},"schema":"https://github.com/citation-style-language/schema/raw/master/csl-citation.json"}</w:instrText>
      </w:r>
      <w:r w:rsidR="00283BD7" w:rsidRPr="00C07E8E">
        <w:rPr>
          <w:rFonts w:cs="Times New Roman"/>
          <w:color w:val="auto"/>
          <w:szCs w:val="22"/>
        </w:rPr>
        <w:fldChar w:fldCharType="separate"/>
      </w:r>
      <w:r w:rsidR="00CA5C6A" w:rsidRPr="00CA5C6A">
        <w:rPr>
          <w:rFonts w:cs="Times New Roman"/>
          <w:noProof/>
          <w:color w:val="auto"/>
          <w:szCs w:val="22"/>
          <w:vertAlign w:val="superscript"/>
        </w:rPr>
        <w:t>134</w:t>
      </w:r>
      <w:r w:rsidR="00283BD7" w:rsidRPr="00C07E8E">
        <w:rPr>
          <w:rFonts w:cs="Times New Roman"/>
          <w:color w:val="auto"/>
          <w:szCs w:val="22"/>
        </w:rPr>
        <w:fldChar w:fldCharType="end"/>
      </w:r>
    </w:p>
    <w:p w14:paraId="26B5BAD9" w14:textId="7570CFD9" w:rsidR="00F63D93" w:rsidRPr="00C07E8E" w:rsidRDefault="00C2391C" w:rsidP="00532D1D">
      <w:pPr>
        <w:ind w:firstLine="720"/>
        <w:rPr>
          <w:rFonts w:cs="Times New Roman"/>
          <w:noProof/>
          <w:color w:val="auto"/>
          <w:szCs w:val="22"/>
        </w:rPr>
      </w:pPr>
      <w:r w:rsidRPr="00C07E8E">
        <w:rPr>
          <w:rFonts w:cs="Times New Roman"/>
          <w:noProof/>
          <w:color w:val="auto"/>
          <w:szCs w:val="22"/>
        </w:rPr>
        <w:t>E209</w:t>
      </w:r>
      <w:r w:rsidR="00AD7ADD" w:rsidRPr="00C07E8E">
        <w:rPr>
          <w:rFonts w:cs="Times New Roman"/>
          <w:b/>
          <w:bCs/>
          <w:noProof/>
          <w:color w:val="auto"/>
          <w:szCs w:val="22"/>
        </w:rPr>
        <w:t xml:space="preserve"> </w:t>
      </w:r>
      <w:r w:rsidR="00AD7ADD" w:rsidRPr="00C07E8E">
        <w:rPr>
          <w:rFonts w:cs="Times New Roman"/>
          <w:noProof/>
          <w:color w:val="auto"/>
          <w:szCs w:val="22"/>
        </w:rPr>
        <w:t>was also assessed for PK and preliminary safety data</w:t>
      </w:r>
      <w:r w:rsidR="00DA30C9">
        <w:rPr>
          <w:rFonts w:cs="Times New Roman"/>
          <w:noProof/>
          <w:color w:val="auto"/>
          <w:szCs w:val="22"/>
        </w:rPr>
        <w:t>,</w:t>
      </w:r>
      <w:r w:rsidR="00AD7ADD" w:rsidRPr="00C07E8E">
        <w:rPr>
          <w:rFonts w:cs="Times New Roman"/>
          <w:noProof/>
          <w:color w:val="auto"/>
          <w:szCs w:val="22"/>
        </w:rPr>
        <w:t xml:space="preserve"> both </w:t>
      </w:r>
      <w:r w:rsidR="00AD7ADD" w:rsidRPr="00C07E8E">
        <w:rPr>
          <w:rFonts w:cs="Times New Roman"/>
          <w:i/>
          <w:iCs/>
          <w:noProof/>
          <w:color w:val="auto"/>
          <w:szCs w:val="22"/>
        </w:rPr>
        <w:t xml:space="preserve">in vivo </w:t>
      </w:r>
      <w:r w:rsidR="00AD7ADD" w:rsidRPr="00C07E8E">
        <w:rPr>
          <w:rFonts w:cs="Times New Roman"/>
          <w:noProof/>
          <w:color w:val="auto"/>
          <w:szCs w:val="22"/>
        </w:rPr>
        <w:t xml:space="preserve">and </w:t>
      </w:r>
      <w:r w:rsidR="00AD7ADD" w:rsidRPr="00C07E8E">
        <w:rPr>
          <w:rFonts w:cs="Times New Roman"/>
          <w:i/>
          <w:iCs/>
          <w:noProof/>
          <w:color w:val="auto"/>
          <w:szCs w:val="22"/>
        </w:rPr>
        <w:t>in vitro</w:t>
      </w:r>
      <w:r w:rsidR="00AD7ADD" w:rsidRPr="00C07E8E">
        <w:rPr>
          <w:rFonts w:cs="Times New Roman"/>
          <w:noProof/>
          <w:color w:val="auto"/>
          <w:szCs w:val="22"/>
        </w:rPr>
        <w:t xml:space="preserve">. </w:t>
      </w:r>
      <w:r w:rsidR="00AD7ADD" w:rsidRPr="00C07E8E">
        <w:rPr>
          <w:rFonts w:cs="Times New Roman"/>
          <w:i/>
          <w:iCs/>
          <w:noProof/>
          <w:color w:val="auto"/>
          <w:szCs w:val="22"/>
        </w:rPr>
        <w:t xml:space="preserve">In vitro </w:t>
      </w:r>
      <w:r w:rsidR="00AD7ADD" w:rsidRPr="00C07E8E">
        <w:rPr>
          <w:rFonts w:cs="Times New Roman"/>
          <w:noProof/>
          <w:color w:val="auto"/>
          <w:szCs w:val="22"/>
        </w:rPr>
        <w:t>microsomal clearance data showed low to moderate clearance values (36, 13</w:t>
      </w:r>
      <w:r w:rsidR="006D6A1F" w:rsidRPr="00C07E8E">
        <w:rPr>
          <w:rFonts w:cs="Times New Roman"/>
          <w:noProof/>
          <w:color w:val="auto"/>
          <w:szCs w:val="22"/>
        </w:rPr>
        <w:t xml:space="preserve">, </w:t>
      </w:r>
      <w:r w:rsidR="00AD7ADD" w:rsidRPr="00C07E8E">
        <w:rPr>
          <w:rFonts w:cs="Times New Roman"/>
          <w:noProof/>
          <w:color w:val="auto"/>
          <w:szCs w:val="22"/>
        </w:rPr>
        <w:t>10</w:t>
      </w:r>
      <w:r w:rsidR="006D6A1F" w:rsidRPr="00C07E8E">
        <w:rPr>
          <w:rFonts w:cs="Times New Roman"/>
          <w:noProof/>
          <w:color w:val="auto"/>
          <w:szCs w:val="22"/>
        </w:rPr>
        <w:t xml:space="preserve"> and 25</w:t>
      </w:r>
      <w:r w:rsidR="00AD7ADD" w:rsidRPr="00C07E8E">
        <w:rPr>
          <w:rFonts w:cs="Times New Roman"/>
          <w:noProof/>
          <w:color w:val="auto"/>
          <w:szCs w:val="22"/>
        </w:rPr>
        <w:t xml:space="preserve"> μl/min/mg protein in rat, mouse</w:t>
      </w:r>
      <w:r w:rsidR="006D6A1F" w:rsidRPr="00C07E8E">
        <w:rPr>
          <w:rFonts w:cs="Times New Roman"/>
          <w:noProof/>
          <w:color w:val="auto"/>
          <w:szCs w:val="22"/>
        </w:rPr>
        <w:t>,</w:t>
      </w:r>
      <w:r w:rsidR="00AD7ADD" w:rsidRPr="00C07E8E">
        <w:rPr>
          <w:rFonts w:cs="Times New Roman"/>
          <w:noProof/>
          <w:color w:val="auto"/>
          <w:szCs w:val="22"/>
        </w:rPr>
        <w:t xml:space="preserve"> dog</w:t>
      </w:r>
      <w:r w:rsidR="006D6A1F" w:rsidRPr="00C07E8E">
        <w:rPr>
          <w:rFonts w:cs="Times New Roman"/>
          <w:noProof/>
          <w:color w:val="auto"/>
          <w:szCs w:val="22"/>
        </w:rPr>
        <w:t xml:space="preserve"> and human</w:t>
      </w:r>
      <w:r w:rsidR="00AD7ADD" w:rsidRPr="00C07E8E">
        <w:rPr>
          <w:rFonts w:cs="Times New Roman"/>
          <w:noProof/>
          <w:color w:val="auto"/>
          <w:szCs w:val="22"/>
        </w:rPr>
        <w:t xml:space="preserve"> models repsectively</w:t>
      </w:r>
      <w:r w:rsidR="006D6A1F" w:rsidRPr="00C07E8E">
        <w:rPr>
          <w:rFonts w:cs="Times New Roman"/>
          <w:noProof/>
          <w:color w:val="auto"/>
          <w:szCs w:val="22"/>
        </w:rPr>
        <w:t>.</w:t>
      </w:r>
      <w:r w:rsidR="00AD7ADD" w:rsidRPr="00C07E8E">
        <w:rPr>
          <w:rFonts w:cs="Times New Roman"/>
          <w:noProof/>
          <w:color w:val="auto"/>
          <w:szCs w:val="22"/>
        </w:rPr>
        <w:t>)</w:t>
      </w:r>
      <w:r w:rsidR="006D6A1F" w:rsidRPr="00C07E8E">
        <w:rPr>
          <w:rFonts w:cs="Times New Roman"/>
          <w:noProof/>
          <w:color w:val="auto"/>
          <w:szCs w:val="22"/>
        </w:rPr>
        <w:t xml:space="preserve"> </w:t>
      </w:r>
      <w:r w:rsidR="006D6A1F" w:rsidRPr="00C07E8E">
        <w:rPr>
          <w:rFonts w:cs="Times New Roman"/>
          <w:i/>
          <w:iCs/>
          <w:noProof/>
          <w:color w:val="auto"/>
          <w:szCs w:val="22"/>
        </w:rPr>
        <w:t xml:space="preserve">In vivo </w:t>
      </w:r>
      <w:r w:rsidR="006D6A1F" w:rsidRPr="00C07E8E">
        <w:rPr>
          <w:rFonts w:cs="Times New Roman"/>
          <w:noProof/>
          <w:color w:val="auto"/>
          <w:szCs w:val="22"/>
        </w:rPr>
        <w:t xml:space="preserve">PK showed that the bioavailability </w:t>
      </w:r>
      <w:r w:rsidR="006D6A1F" w:rsidRPr="00C07E8E">
        <w:rPr>
          <w:rFonts w:cs="Times New Roman"/>
          <w:noProof/>
          <w:color w:val="auto"/>
          <w:szCs w:val="22"/>
        </w:rPr>
        <w:lastRenderedPageBreak/>
        <w:t xml:space="preserve">of </w:t>
      </w:r>
      <w:r w:rsidRPr="00C07E8E">
        <w:rPr>
          <w:rFonts w:cs="Times New Roman"/>
          <w:noProof/>
          <w:color w:val="auto"/>
          <w:szCs w:val="22"/>
        </w:rPr>
        <w:t>E209</w:t>
      </w:r>
      <w:r w:rsidR="006D6A1F" w:rsidRPr="00C07E8E">
        <w:rPr>
          <w:rFonts w:cs="Times New Roman"/>
          <w:b/>
          <w:bCs/>
          <w:noProof/>
          <w:color w:val="auto"/>
          <w:szCs w:val="22"/>
        </w:rPr>
        <w:t xml:space="preserve"> </w:t>
      </w:r>
      <w:r w:rsidR="006D6A1F" w:rsidRPr="00C07E8E">
        <w:rPr>
          <w:rFonts w:cs="Times New Roman"/>
          <w:noProof/>
          <w:color w:val="auto"/>
          <w:szCs w:val="22"/>
        </w:rPr>
        <w:t>was improved compared to RKA182</w:t>
      </w:r>
      <w:r w:rsidR="00A91AF6">
        <w:rPr>
          <w:rFonts w:cs="Times New Roman"/>
          <w:noProof/>
          <w:color w:val="auto"/>
          <w:szCs w:val="22"/>
        </w:rPr>
        <w:t>,</w:t>
      </w:r>
      <w:r w:rsidR="006D6A1F" w:rsidRPr="00C07E8E">
        <w:rPr>
          <w:rFonts w:cs="Times New Roman"/>
          <w:noProof/>
          <w:color w:val="auto"/>
          <w:szCs w:val="22"/>
        </w:rPr>
        <w:t xml:space="preserve"> with measured values of 60, 82 and 40 % in rat, mouse and dog models</w:t>
      </w:r>
      <w:r w:rsidR="00A91AF6">
        <w:rPr>
          <w:rFonts w:cs="Times New Roman"/>
          <w:noProof/>
          <w:color w:val="auto"/>
          <w:szCs w:val="22"/>
        </w:rPr>
        <w:t>,</w:t>
      </w:r>
      <w:r w:rsidR="006D6A1F" w:rsidRPr="00C07E8E">
        <w:rPr>
          <w:rFonts w:cs="Times New Roman"/>
          <w:noProof/>
          <w:color w:val="auto"/>
          <w:szCs w:val="22"/>
        </w:rPr>
        <w:t xml:space="preserve"> re</w:t>
      </w:r>
      <w:r w:rsidR="00A91AF6">
        <w:rPr>
          <w:rFonts w:cs="Times New Roman"/>
          <w:noProof/>
          <w:color w:val="auto"/>
          <w:szCs w:val="22"/>
        </w:rPr>
        <w:t>s</w:t>
      </w:r>
      <w:r w:rsidR="006D6A1F" w:rsidRPr="00C07E8E">
        <w:rPr>
          <w:rFonts w:cs="Times New Roman"/>
          <w:noProof/>
          <w:color w:val="auto"/>
          <w:szCs w:val="22"/>
        </w:rPr>
        <w:t>pectively.</w:t>
      </w:r>
      <w:r w:rsidR="00283BD7" w:rsidRPr="00C07E8E">
        <w:rPr>
          <w:rFonts w:cs="Times New Roman"/>
          <w:noProof/>
          <w:color w:val="auto"/>
          <w:szCs w:val="22"/>
        </w:rPr>
        <w:fldChar w:fldCharType="begin" w:fldLock="1"/>
      </w:r>
      <w:r w:rsidR="00192B39">
        <w:rPr>
          <w:rFonts w:cs="Times New Roman"/>
          <w:noProof/>
          <w:color w:val="auto"/>
          <w:szCs w:val="22"/>
        </w:rPr>
        <w:instrText>ADDIN CSL_CITATION {"citationItems":[{"id":"ITEM-1","itemData":{"DOI":"10.1038/ncomms15159","ISSN":"20411723","PMID":"28537265","abstract":"K13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Communications","id":"ITEM-1","issued":{"date-parts":[["2017"]]},"page":"15159","title":"A tetraoxane-based antimalarial drug candidate that overcomes PfK13-C580Y dependent artemisinin resistance","type":"article-journal","volume":"8"},"uris":["http://www.mendeley.com/documents/?uuid=a8359039-f330-4b02-89f8-01ba6ccd592d"]},{"id":"ITEM-2","itemData":{"DOI":"10.1002/anie.201001026","ISSN":"14337851","PMID":"20629058","abstract":"(Figure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Edition","id":"ITEM-2","issue":"33","issued":{"date-parts":[["2010","8","2"]]},"page":"5693-5697","title":"Identification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123,134&lt;/sup&gt;","plainTextFormattedCitation":"123,134","previouslyFormattedCitation":"&lt;sup&gt;123,134&lt;/sup&gt;"},"properties":{"noteIndex":0},"schema":"https://github.com/citation-style-language/schema/raw/master/csl-citation.json"}</w:instrText>
      </w:r>
      <w:r w:rsidR="00283BD7" w:rsidRPr="00C07E8E">
        <w:rPr>
          <w:rFonts w:cs="Times New Roman"/>
          <w:noProof/>
          <w:color w:val="auto"/>
          <w:szCs w:val="22"/>
        </w:rPr>
        <w:fldChar w:fldCharType="separate"/>
      </w:r>
      <w:r w:rsidR="00CA5C6A" w:rsidRPr="00CA5C6A">
        <w:rPr>
          <w:rFonts w:cs="Times New Roman"/>
          <w:noProof/>
          <w:color w:val="auto"/>
          <w:szCs w:val="22"/>
          <w:vertAlign w:val="superscript"/>
        </w:rPr>
        <w:t>123,134</w:t>
      </w:r>
      <w:r w:rsidR="00283BD7" w:rsidRPr="00C07E8E">
        <w:rPr>
          <w:rFonts w:cs="Times New Roman"/>
          <w:noProof/>
          <w:color w:val="auto"/>
          <w:szCs w:val="22"/>
        </w:rPr>
        <w:fldChar w:fldCharType="end"/>
      </w:r>
    </w:p>
    <w:p w14:paraId="24CDEAD4" w14:textId="2C369D88" w:rsidR="006D6A1F" w:rsidRPr="00C07E8E" w:rsidRDefault="00C07E8E" w:rsidP="00532D1D">
      <w:pPr>
        <w:ind w:firstLine="720"/>
        <w:rPr>
          <w:rFonts w:cs="Times New Roman"/>
          <w:noProof/>
          <w:color w:val="auto"/>
          <w:szCs w:val="22"/>
        </w:rPr>
      </w:pPr>
      <w:r w:rsidRPr="00C07E8E">
        <w:rPr>
          <w:rFonts w:cs="Times New Roman"/>
          <w:noProof/>
          <w:color w:val="auto"/>
          <w:szCs w:val="22"/>
        </w:rPr>
        <w:t>Like Artefenomel, the mesylate salt of E209 was found to possess varied solubility in different media. At pH 7.4 and under FaSSIF conditions E209 mesylate was found to possess poor solubility of &lt; 0.1 and 121 µg/mL after 6 hours incubation respectively, whilst under FeSSIF conditions the solubility after 6 hours was 3870 µg/mL.</w:t>
      </w:r>
      <w:r w:rsidR="00283BD7" w:rsidRPr="00C07E8E">
        <w:rPr>
          <w:rFonts w:cs="Times New Roman"/>
          <w:noProof/>
          <w:color w:val="auto"/>
          <w:szCs w:val="22"/>
        </w:rPr>
        <w:fldChar w:fldCharType="begin" w:fldLock="1"/>
      </w:r>
      <w:r w:rsidR="00192B39">
        <w:rPr>
          <w:rFonts w:cs="Times New Roman"/>
          <w:noProof/>
          <w:color w:val="auto"/>
          <w:szCs w:val="22"/>
        </w:rPr>
        <w:instrText>ADDIN CSL_CITATION {"citationItems":[{"id":"ITEM-1","itemData":{"DOI":"10.1038/ncomms15159","ISSN":"20411723","PMID":"28537265","abstract":"K13 gene mutations are a primary marker of artemisinin resistance in Plasmodium falciparum malaria that threatens the long-term clinical utility of artemisinin-based combination therapies, the cornerstone of modern day malaria treatment. Here we describe a multinational drug discovery programme that has delivered a synthetic tetraoxane-based molecule, E209, which meets key requirements of the Medicines for Malaria Venture drug candidate profiles. E209 has potent nanomolar inhibitory activity against multiple strains of P. falciparum and P. vivax in vitro, is efficacious against P. falciparum in in vivo rodent models, produces parasite reduction ratios equivalent to dihydroartemisinin and has pharmacokinetic and pharmacodynamic characteristics compatible with a single-dose cure. In vitro studies with transgenic parasites expressing variant forms of K13 show no cross-resistance with the C580Y mutation, the primary variant observed in Southeast Asia. E209 is a superior next generation endoperoxide with combined pharmacokinetic and pharmacodynamic features that overcome the liabilities of artemisinin derivatives.","author":[{"dropping-particle":"","family":"O'Neill","given":"Paul M.","non-dropping-particle":"","parse-names":false,"suffix":""},{"dropping-particle":"","family":"Amewu","given":"Richard K.","non-dropping-particle":"","parse-names":false,"suffix":""},{"dropping-particle":"","family":"Charman","given":"Susan A.","non-dropping-particle":"","parse-names":false,"suffix":""},{"dropping-particle":"","family":"Sabbani","given":"Sunil","non-dropping-particle":"","parse-names":false,"suffix":""},{"dropping-particle":"","family":"Gnädig","given":"Nina F.","non-dropping-particle":"","parse-names":false,"suffix":""},{"dropping-particle":"","family":"Straimer","given":"Judith","non-dropping-particle":"","parse-names":false,"suffix":""},{"dropping-particle":"","family":"Fidock","given":"David A.","non-dropping-particle":"","parse-names":false,"suffix":""},{"dropping-particle":"","family":"Shore","given":"Emma R.","non-dropping-particle":"","parse-names":false,"suffix":""},{"dropping-particle":"","family":"Roberts","given":"Natalie L.","non-dropping-particle":"","parse-names":false,"suffix":""},{"dropping-particle":"","family":"Wong","given":"Michael H.L.","non-dropping-particle":"","parse-names":false,"suffix":""},{"dropping-particle":"","family":"Hong","given":"W. David","non-dropping-particle":"","parse-names":false,"suffix":""},{"dropping-particle":"","family":"Pidathala","given":"Chandrakala","non-dropping-particle":"","parse-names":false,"suffix":""},{"dropping-particle":"","family":"Riley","given":"Chris","non-dropping-particle":"","parse-names":false,"suffix":""},{"dropping-particle":"","family":"Murphy","given":"Ben","non-dropping-particle":"","parse-names":false,"suffix":""},{"dropping-particle":"","family":"Aljayyoussi","given":"Ghaith","non-dropping-particle":"","parse-names":false,"suffix":""},{"dropping-particle":"","family":"Gamo","given":"Francisco Javier","non-dropping-particle":"","parse-names":false,"suffix":""},{"dropping-particle":"","family":"Sanz","given":"Laura","non-dropping-particle":"","parse-names":false,"suffix":""},{"dropping-particle":"","family":"Rodrigues","given":"Janneth","non-dropping-particle":"","parse-names":false,"suffix":""},{"dropping-particle":"","family":"Cortes","given":"Carolina Gonzalez","non-dropping-particle":"","parse-names":false,"suffix":""},{"dropping-particle":"","family":"Herreros","given":"Esperanza","non-dropping-particle":"","parse-names":false,"suffix":""},{"dropping-particle":"","family":"Angulo-Barturén","given":"Iñigo","non-dropping-particle":"","parse-names":false,"suffix":""},{"dropping-particle":"","family":"Jiménez-Díaz","given":"María Belén","non-dropping-particle":"","parse-names":false,"suffix":""},{"dropping-particle":"","family":"Bazaga","given":"Santiago Ferrer","non-dropping-particle":"","parse-names":false,"suffix":""},{"dropping-particle":"","family":"Martínez-Martínez","given":"María Santos","non-dropping-particle":"","parse-names":false,"suffix":""},{"dropping-particle":"","family":"Campo","given":"Brice","non-dropping-particle":"","parse-names":false,"suffix":""},{"dropping-particle":"","family":"Sharma","given":"Raman","non-dropping-particle":"","parse-names":false,"suffix":""},{"dropping-particle":"","family":"Ryan","given":"Eileen","non-dropping-particle":"","parse-names":false,"suffix":""},{"dropping-particle":"","family":"Shackleford","given":"David M.","non-dropping-particle":"","parse-names":false,"suffix":""},{"dropping-particle":"","family":"Campbell","given":"Simon","non-dropping-particle":"","parse-names":false,"suffix":""},{"dropping-particle":"","family":"Smith","given":"Dennis A.","non-dropping-particle":"","parse-names":false,"suffix":""},{"dropping-particle":"","family":"Wirjanata","given":"Grennady","non-dropping-particle":"","parse-names":false,"suffix":""},{"dropping-particle":"","family":"Noviyanti","given":"Rintis","non-dropping-particle":"","parse-names":false,"suffix":""},{"dropping-particle":"","family":"Price","given":"Ric N.","non-dropping-particle":"","parse-names":false,"suffix":""},{"dropping-particle":"","family":"Marfurt","given":"Jutta","non-dropping-particle":"","parse-names":false,"suffix":""},{"dropping-particle":"","family":"Palmer","given":"Michael J.","non-dropping-particle":"","parse-names":false,"suffix":""},{"dropping-particle":"","family":"Copple","given":"Ian M.","non-dropping-particle":"","parse-names":false,"suffix":""},{"dropping-particle":"","family":"Mercer","given":"Amy E.","non-dropping-particle":"","parse-names":false,"suffix":""},{"dropping-particle":"","family":"Ruecker","given":"Andrea","non-dropping-particle":"","parse-names":false,"suffix":""},{"dropping-particle":"","family":"Delves","given":"Michael J.","non-dropping-particle":"","parse-names":false,"suffix":""},{"dropping-particle":"","family":"Sinden","given":"Robert E.","non-dropping-particle":"","parse-names":false,"suffix":""},{"dropping-particle":"","family":"Siegl","given":"Peter","non-dropping-particle":"","parse-names":false,"suffix":""},{"dropping-particle":"","family":"Davies","given":"Jill","non-dropping-particle":"","parse-names":false,"suffix":""},{"dropping-particle":"","family":"Rochford","given":"Rosemary","non-dropping-particle":"","parse-names":false,"suffix":""},{"dropping-particle":"","family":"Kocken","given":"Clemens H.M.","non-dropping-particle":"","parse-names":false,"suffix":""},{"dropping-particle":"","family":"Zeeman","given":"Anne Marie","non-dropping-particle":"","parse-names":false,"suffix":""},{"dropping-particle":"","family":"Nixon","given":"Gemma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A.","non-dropping-particle":"","parse-names":false,"suffix":""}],"container-title":"Nature Communications","id":"ITEM-1","issued":{"date-parts":[["2017"]]},"page":"15159","title":"A tetraoxane-based antimalarial drug candidate that overcomes PfK13-C580Y dependent artemisinin resistance","type":"article-journal","volume":"8"},"uris":["http://www.mendeley.com/documents/?uuid=a8359039-f330-4b02-89f8-01ba6ccd592d"]}],"mendeley":{"formattedCitation":"&lt;sup&gt;134&lt;/sup&gt;","plainTextFormattedCitation":"134","previouslyFormattedCitation":"&lt;sup&gt;134&lt;/sup&gt;"},"properties":{"noteIndex":0},"schema":"https://github.com/citation-style-language/schema/raw/master/csl-citation.json"}</w:instrText>
      </w:r>
      <w:r w:rsidR="00283BD7" w:rsidRPr="00C07E8E">
        <w:rPr>
          <w:rFonts w:cs="Times New Roman"/>
          <w:noProof/>
          <w:color w:val="auto"/>
          <w:szCs w:val="22"/>
        </w:rPr>
        <w:fldChar w:fldCharType="separate"/>
      </w:r>
      <w:r w:rsidR="00CA5C6A" w:rsidRPr="00CA5C6A">
        <w:rPr>
          <w:rFonts w:cs="Times New Roman"/>
          <w:noProof/>
          <w:color w:val="auto"/>
          <w:szCs w:val="22"/>
          <w:vertAlign w:val="superscript"/>
        </w:rPr>
        <w:t>134</w:t>
      </w:r>
      <w:r w:rsidR="00283BD7" w:rsidRPr="00C07E8E">
        <w:rPr>
          <w:rFonts w:cs="Times New Roman"/>
          <w:noProof/>
          <w:color w:val="auto"/>
          <w:szCs w:val="22"/>
        </w:rPr>
        <w:fldChar w:fldCharType="end"/>
      </w:r>
      <w:r w:rsidR="00283BD7" w:rsidRPr="00C07E8E">
        <w:rPr>
          <w:rFonts w:cs="Times New Roman"/>
          <w:noProof/>
          <w:color w:val="auto"/>
          <w:szCs w:val="22"/>
        </w:rPr>
        <w:t xml:space="preserve"> </w:t>
      </w:r>
      <w:r w:rsidRPr="00C07E8E">
        <w:rPr>
          <w:rFonts w:cs="Times New Roman"/>
          <w:noProof/>
          <w:color w:val="auto"/>
          <w:szCs w:val="22"/>
        </w:rPr>
        <w:t xml:space="preserve">This might suggest that there would likely be a food effect on administration of </w:t>
      </w:r>
      <w:r w:rsidR="00F516F7" w:rsidRPr="00C07E8E">
        <w:rPr>
          <w:rFonts w:cs="Times New Roman"/>
          <w:noProof/>
          <w:color w:val="auto"/>
          <w:szCs w:val="22"/>
        </w:rPr>
        <w:t>E209</w:t>
      </w:r>
      <w:r w:rsidRPr="00C07E8E">
        <w:rPr>
          <w:rFonts w:cs="Times New Roman"/>
          <w:noProof/>
          <w:color w:val="auto"/>
          <w:szCs w:val="22"/>
        </w:rPr>
        <w:t xml:space="preserve">. </w:t>
      </w:r>
    </w:p>
    <w:p w14:paraId="0AB6923F" w14:textId="464639FB" w:rsidR="001F6E17" w:rsidRPr="00C07E8E" w:rsidRDefault="00C07E8E" w:rsidP="00532D1D">
      <w:pPr>
        <w:pStyle w:val="Ttulo1"/>
        <w:numPr>
          <w:ilvl w:val="1"/>
          <w:numId w:val="3"/>
        </w:numPr>
        <w:rPr>
          <w:noProof/>
          <w:sz w:val="22"/>
          <w:szCs w:val="22"/>
        </w:rPr>
      </w:pPr>
      <w:r w:rsidRPr="00C07E8E">
        <w:rPr>
          <w:noProof/>
          <w:sz w:val="22"/>
          <w:szCs w:val="22"/>
        </w:rPr>
        <w:t>Mec</w:t>
      </w:r>
      <w:r w:rsidR="00D73DE7">
        <w:rPr>
          <w:noProof/>
          <w:sz w:val="22"/>
          <w:szCs w:val="22"/>
        </w:rPr>
        <w:t>h</w:t>
      </w:r>
      <w:r w:rsidRPr="00C07E8E">
        <w:rPr>
          <w:noProof/>
          <w:sz w:val="22"/>
          <w:szCs w:val="22"/>
        </w:rPr>
        <w:t xml:space="preserve">anism of </w:t>
      </w:r>
      <w:r w:rsidR="00D73DE7">
        <w:rPr>
          <w:noProof/>
          <w:sz w:val="22"/>
          <w:szCs w:val="22"/>
        </w:rPr>
        <w:t>a</w:t>
      </w:r>
      <w:r w:rsidRPr="00C07E8E">
        <w:rPr>
          <w:noProof/>
          <w:sz w:val="22"/>
          <w:szCs w:val="22"/>
        </w:rPr>
        <w:t xml:space="preserve">ction </w:t>
      </w:r>
      <w:r w:rsidR="00D73DE7">
        <w:rPr>
          <w:noProof/>
          <w:sz w:val="22"/>
          <w:szCs w:val="22"/>
        </w:rPr>
        <w:t xml:space="preserve">of </w:t>
      </w:r>
      <w:r w:rsidRPr="00C07E8E">
        <w:rPr>
          <w:noProof/>
          <w:sz w:val="22"/>
          <w:szCs w:val="22"/>
        </w:rPr>
        <w:t>dispiro 1,2,4,5-tetraoxanes</w:t>
      </w:r>
    </w:p>
    <w:p w14:paraId="19153C74" w14:textId="77777777" w:rsidR="00CB29EF" w:rsidRPr="00C07E8E" w:rsidRDefault="00CB29EF" w:rsidP="00532D1D">
      <w:pPr>
        <w:rPr>
          <w:szCs w:val="22"/>
        </w:rPr>
      </w:pPr>
    </w:p>
    <w:p w14:paraId="5EBCDF24" w14:textId="21ABB2BB" w:rsidR="001F6E17" w:rsidRPr="00C07E8E" w:rsidRDefault="00C07E8E" w:rsidP="00532D1D">
      <w:pPr>
        <w:autoSpaceDE w:val="0"/>
        <w:autoSpaceDN w:val="0"/>
        <w:adjustRightInd w:val="0"/>
        <w:ind w:firstLine="360"/>
        <w:rPr>
          <w:rFonts w:cs="Times New Roman"/>
          <w:color w:val="auto"/>
          <w:szCs w:val="22"/>
        </w:rPr>
      </w:pPr>
      <w:r w:rsidRPr="00C07E8E">
        <w:rPr>
          <w:rFonts w:cs="Times New Roman"/>
          <w:color w:val="auto"/>
          <w:szCs w:val="22"/>
        </w:rPr>
        <w:t>O’Neill and coworkers</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{"citationItems":[{"id":"ITEM-1","itemData":{"DOI":"10.1002/anie.201001026","ISSN":"14337851","PMID":"20629058","abstract":"(Figure Presented) Fighting drug resistence: From a library of over 150 1,2,4,5-tetraoxanes, the candidate RKA182 was selected for preclinical development as an antimalarial agent. RKA182 has outstanding in vitro activity against resistant strains of P. falciparum and retains this level of activity against southeast asian isolates that failed artemisinin-based combination therapy. © 2010 Wiley-VCH Verlag GmbH &amp; Co. KGaA, Weinheim.","author":[{"dropping-particle":"","family":"O'Neill","given":"Paul M.","non-dropping-particle":"","parse-names":false,"suffix":""},{"dropping-particle":"","family":"Amewu","given":"Richard K.","non-dropping-particle":"","parse-names":false,"suffix":""},{"dropping-particle":"","family":"Nixon","given":"Gemma L.","non-dropping-particle":"","parse-names":false,"suffix":""},{"dropping-particle":"","family":"ElGarah","given":"Fatima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A.","non-dropping-particle":"","parse-names":false,"suffix":""},{"dropping-particle":"","family":"Bousejra ElGarah","given":"Fatim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A.","non-dropping-particle":"","parse-names":false,"suffix":""},{"dropping-particle":"","family":"ElGarah","given":"Fatima Bousejra","non-dropping-particle":"","parse-names":false,"suffix":""},{"dropping-particle":"","family":"Mungthin","given":"Mathirut","non-dropping-particle":"","parse-names":false,"suffix":""},{"dropping-particle":"","family":"Chadwick","given":"James","non-dropping-particle":"","parse-names":false,"suffix":""},{"dropping-particle":"","family":"Shone","given":"Alison E.","non-dropping-particle":"","parse-names":false,"suffix":""},{"dropping-particle":"","family":"Vivas","given":"Livia","non-dropping-particle":"","parse-names":false,"suffix":""},{"dropping-particle":"","family":"Lander","given":"Hollie","non-dropping-particle":"","parse-names":false,"suffix":""},{"dropping-particle":"","family":"Barton","given":"Victoria","non-dropping-particle":"","parse-names":false,"suffix":""},{"dropping-particle":"","family":"Muangnoicharoen","given":"Sant","non-dropping-particle":"","parse-names":false,"suffix":""},{"dropping-particle":"","family":"Bray","given":"Patrick G.","non-dropping-particle":"","parse-names":false,"suffix":""},{"dropping-particle":"","family":"Davies","given":"Jill","non-dropping-particle":"","parse-names":false,"suffix":""},{"dropping-particle":"","family":"Park","given":"B. Kevin","non-dropping-particle":"","parse-names":false,"suffix":""},{"dropping-particle":"","family":"Wittlin","given":"Sergio","non-dropping-particle":"","parse-names":false,"suffix":""},{"dropping-particle":"","family":"Brun","given":"Reto","non-dropping-particle":"","parse-names":false,"suffix":""},{"dropping-particle":"","family":"Preschel","given":"Michael","non-dropping-particle":"","parse-names":false,"suffix":""},{"dropping-particle":"","family":"Zhang","given":"Kesheng","non-dropping-particle":"","parse-names":false,"suffix":""},{"dropping-particle":"","family":"Ward","given":"Stephen A.","non-dropping-particle":"","parse-names":false,"suffix":""}],"container-title":"Angewandte Chemie - International Edition","id":"ITEM-1","issue":"33","issued":{"date-parts":[["2010","8","2"]]},"page":"5693-5697","title":"Identification of a 1,2,4,5-tetraoxane antimalarial drug-development candidate (RKA 182) with superior properties to the semisynthetic artemisinins","type":"article-journal","volume":"49"},"uris":["http://www.mendeley.com/documents/?uuid=4d15dff1-1eac-4ebf-9f24-b922dafce3eb"]}],"mendeley":{"formattedCitation":"&lt;sup&gt;123&lt;/sup&gt;","plainTextFormattedCitation":"123","previouslyFormattedCitation":"&lt;sup&gt;123&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123</w:t>
      </w:r>
      <w:r w:rsidRPr="00C07E8E">
        <w:rPr>
          <w:rFonts w:cs="Times New Roman"/>
          <w:color w:val="auto"/>
          <w:szCs w:val="22"/>
        </w:rPr>
        <w:fldChar w:fldCharType="end"/>
      </w:r>
      <w:r w:rsidRPr="00C07E8E">
        <w:rPr>
          <w:rFonts w:cs="Times New Roman"/>
          <w:color w:val="auto"/>
          <w:szCs w:val="22"/>
        </w:rPr>
        <w:t xml:space="preserve"> have characterised the potential mediators of the antimalarial 1,2,4,5-tetraoxane activity of RKA182 </w:t>
      </w:r>
      <w:r w:rsidR="001A6438">
        <w:rPr>
          <w:rFonts w:cs="Times New Roman"/>
          <w:b/>
          <w:bCs/>
          <w:color w:val="auto"/>
          <w:szCs w:val="22"/>
        </w:rPr>
        <w:t>97</w:t>
      </w:r>
      <w:r w:rsidRPr="00C07E8E">
        <w:rPr>
          <w:rFonts w:cs="Times New Roman"/>
          <w:color w:val="auto"/>
          <w:szCs w:val="22"/>
        </w:rPr>
        <w:t>. From mechanistic studies, using</w:t>
      </w:r>
      <w:r w:rsidR="00336C55">
        <w:rPr>
          <w:rFonts w:cs="Times New Roman"/>
          <w:color w:val="auto"/>
          <w:szCs w:val="22"/>
        </w:rPr>
        <w:t xml:space="preserve"> dispiro</w:t>
      </w:r>
      <w:r w:rsidRPr="00C07E8E">
        <w:rPr>
          <w:rFonts w:cs="Times New Roman"/>
          <w:color w:val="auto"/>
          <w:szCs w:val="22"/>
        </w:rPr>
        <w:t xml:space="preserve"> 1,2,4,5-tetraoxane </w:t>
      </w:r>
      <w:r w:rsidR="00325A1B" w:rsidRPr="00C07E8E">
        <w:rPr>
          <w:rFonts w:cs="Times New Roman"/>
          <w:b/>
          <w:bCs/>
          <w:color w:val="auto"/>
          <w:szCs w:val="22"/>
        </w:rPr>
        <w:t>10</w:t>
      </w:r>
      <w:r w:rsidR="001A6438">
        <w:rPr>
          <w:rFonts w:cs="Times New Roman"/>
          <w:b/>
          <w:bCs/>
          <w:color w:val="auto"/>
          <w:szCs w:val="22"/>
        </w:rPr>
        <w:t>9</w:t>
      </w:r>
      <w:r w:rsidRPr="00C07E8E">
        <w:rPr>
          <w:rFonts w:cs="Times New Roman"/>
          <w:color w:val="auto"/>
          <w:szCs w:val="22"/>
        </w:rPr>
        <w:t xml:space="preserve"> and ferrous bromide, the authors postulated the formation of regioisomeric alkoxy radicals </w:t>
      </w:r>
      <w:r w:rsidR="00C26231" w:rsidRPr="00C07E8E">
        <w:rPr>
          <w:rFonts w:cs="Times New Roman"/>
          <w:b/>
          <w:bCs/>
          <w:color w:val="auto"/>
          <w:szCs w:val="22"/>
        </w:rPr>
        <w:t>1</w:t>
      </w:r>
      <w:r w:rsidR="001A6438">
        <w:rPr>
          <w:rFonts w:cs="Times New Roman"/>
          <w:b/>
          <w:bCs/>
          <w:color w:val="auto"/>
          <w:szCs w:val="22"/>
        </w:rPr>
        <w:t>10</w:t>
      </w:r>
      <w:r w:rsidRPr="00C07E8E">
        <w:rPr>
          <w:rFonts w:cs="Times New Roman"/>
          <w:b/>
          <w:bCs/>
          <w:color w:val="auto"/>
          <w:szCs w:val="22"/>
        </w:rPr>
        <w:t xml:space="preserve"> </w:t>
      </w:r>
      <w:r w:rsidRPr="00C07E8E">
        <w:rPr>
          <w:rFonts w:cs="Times New Roman"/>
          <w:color w:val="auto"/>
          <w:szCs w:val="22"/>
        </w:rPr>
        <w:t xml:space="preserve">and </w:t>
      </w:r>
      <w:r w:rsidR="00C26231" w:rsidRPr="00C07E8E">
        <w:rPr>
          <w:rFonts w:cs="Times New Roman"/>
          <w:b/>
          <w:bCs/>
          <w:color w:val="auto"/>
          <w:szCs w:val="22"/>
        </w:rPr>
        <w:t>1</w:t>
      </w:r>
      <w:r w:rsidR="001A6438">
        <w:rPr>
          <w:rFonts w:cs="Times New Roman"/>
          <w:b/>
          <w:bCs/>
          <w:color w:val="auto"/>
          <w:szCs w:val="22"/>
        </w:rPr>
        <w:t>11</w:t>
      </w:r>
      <w:r w:rsidRPr="00C07E8E">
        <w:rPr>
          <w:rFonts w:cs="Times New Roman"/>
          <w:color w:val="auto"/>
          <w:szCs w:val="22"/>
        </w:rPr>
        <w:t>, which, through β-scission, isomerised to the primary</w:t>
      </w:r>
      <w:r w:rsidRPr="00C07E8E">
        <w:rPr>
          <w:rFonts w:cs="Times New Roman"/>
          <w:b/>
          <w:bCs/>
          <w:color w:val="auto"/>
          <w:szCs w:val="22"/>
        </w:rPr>
        <w:t xml:space="preserve"> </w:t>
      </w:r>
      <w:r w:rsidRPr="00C07E8E">
        <w:rPr>
          <w:rFonts w:cs="Times New Roman"/>
          <w:color w:val="auto"/>
          <w:szCs w:val="22"/>
        </w:rPr>
        <w:t xml:space="preserve">and secondary carbon-centred radicals  </w:t>
      </w:r>
      <w:r w:rsidR="00C26231" w:rsidRPr="00C07E8E">
        <w:rPr>
          <w:rFonts w:cs="Times New Roman"/>
          <w:b/>
          <w:bCs/>
          <w:color w:val="auto"/>
          <w:szCs w:val="22"/>
        </w:rPr>
        <w:t>1</w:t>
      </w:r>
      <w:r w:rsidR="001A6438">
        <w:rPr>
          <w:rFonts w:cs="Times New Roman"/>
          <w:b/>
          <w:bCs/>
          <w:color w:val="auto"/>
          <w:szCs w:val="22"/>
        </w:rPr>
        <w:t>12</w:t>
      </w:r>
      <w:r w:rsidRPr="00C07E8E">
        <w:rPr>
          <w:rFonts w:cs="Times New Roman"/>
          <w:b/>
          <w:bCs/>
          <w:color w:val="auto"/>
          <w:szCs w:val="22"/>
        </w:rPr>
        <w:t xml:space="preserve"> </w:t>
      </w:r>
      <w:r w:rsidRPr="00C07E8E">
        <w:rPr>
          <w:rFonts w:cs="Times New Roman"/>
          <w:color w:val="auto"/>
          <w:szCs w:val="22"/>
        </w:rPr>
        <w:t>and</w:t>
      </w:r>
      <w:r w:rsidRPr="00C07E8E">
        <w:rPr>
          <w:rFonts w:cs="Times New Roman"/>
          <w:b/>
          <w:bCs/>
          <w:color w:val="auto"/>
          <w:szCs w:val="22"/>
        </w:rPr>
        <w:t xml:space="preserve"> </w:t>
      </w:r>
      <w:r w:rsidR="00C26231" w:rsidRPr="00C07E8E">
        <w:rPr>
          <w:rFonts w:cs="Times New Roman"/>
          <w:b/>
          <w:bCs/>
          <w:color w:val="auto"/>
          <w:szCs w:val="22"/>
        </w:rPr>
        <w:t>1</w:t>
      </w:r>
      <w:r w:rsidR="001A6438">
        <w:rPr>
          <w:rFonts w:cs="Times New Roman"/>
          <w:b/>
          <w:bCs/>
          <w:color w:val="auto"/>
          <w:szCs w:val="22"/>
        </w:rPr>
        <w:t>13</w:t>
      </w:r>
      <w:r w:rsidRPr="00C07E8E">
        <w:rPr>
          <w:rFonts w:cs="Times New Roman"/>
          <w:color w:val="auto"/>
          <w:szCs w:val="22"/>
        </w:rPr>
        <w:t xml:space="preserve">, respectively. These species were intercepted by TEMPO, generating the corresponding aminoxy adducts </w:t>
      </w:r>
      <w:r w:rsidR="00C26231" w:rsidRPr="00C07E8E">
        <w:rPr>
          <w:rFonts w:cs="Times New Roman"/>
          <w:b/>
          <w:bCs/>
          <w:color w:val="auto"/>
          <w:szCs w:val="22"/>
        </w:rPr>
        <w:t>1</w:t>
      </w:r>
      <w:r w:rsidR="001A6438">
        <w:rPr>
          <w:rFonts w:cs="Times New Roman"/>
          <w:b/>
          <w:bCs/>
          <w:color w:val="auto"/>
          <w:szCs w:val="22"/>
        </w:rPr>
        <w:t>14</w:t>
      </w:r>
      <w:r w:rsidRPr="00C07E8E">
        <w:rPr>
          <w:rFonts w:cs="Times New Roman"/>
          <w:b/>
          <w:bCs/>
          <w:color w:val="auto"/>
          <w:szCs w:val="22"/>
        </w:rPr>
        <w:t xml:space="preserve"> </w:t>
      </w:r>
      <w:r w:rsidRPr="00C07E8E">
        <w:rPr>
          <w:rFonts w:cs="Times New Roman"/>
          <w:color w:val="auto"/>
          <w:szCs w:val="22"/>
        </w:rPr>
        <w:t xml:space="preserve">and </w:t>
      </w:r>
      <w:r w:rsidR="00C26231" w:rsidRPr="00C07E8E">
        <w:rPr>
          <w:rFonts w:cs="Times New Roman"/>
          <w:b/>
          <w:bCs/>
          <w:color w:val="auto"/>
          <w:szCs w:val="22"/>
        </w:rPr>
        <w:t>1</w:t>
      </w:r>
      <w:r w:rsidR="001A6438">
        <w:rPr>
          <w:rFonts w:cs="Times New Roman"/>
          <w:b/>
          <w:bCs/>
          <w:color w:val="auto"/>
          <w:szCs w:val="22"/>
        </w:rPr>
        <w:t>15</w:t>
      </w:r>
      <w:r w:rsidRPr="00C07E8E">
        <w:rPr>
          <w:rFonts w:cs="Times New Roman"/>
          <w:color w:val="auto"/>
          <w:szCs w:val="22"/>
        </w:rPr>
        <w:t xml:space="preserve"> (</w:t>
      </w:r>
      <w:r w:rsidRPr="00C07E8E">
        <w:rPr>
          <w:rFonts w:cs="Times New Roman"/>
          <w:b/>
          <w:bCs/>
          <w:color w:val="auto"/>
          <w:szCs w:val="22"/>
        </w:rPr>
        <w:t xml:space="preserve">Scheme </w:t>
      </w:r>
      <w:r w:rsidR="00D96DFB" w:rsidRPr="00C07E8E">
        <w:rPr>
          <w:rFonts w:cs="Times New Roman"/>
          <w:b/>
          <w:bCs/>
          <w:color w:val="auto"/>
          <w:szCs w:val="22"/>
        </w:rPr>
        <w:t>12</w:t>
      </w:r>
      <w:r w:rsidRPr="00C07E8E">
        <w:rPr>
          <w:rFonts w:cs="Times New Roman"/>
          <w:b/>
          <w:bCs/>
          <w:color w:val="auto"/>
          <w:szCs w:val="22"/>
        </w:rPr>
        <w:t>, a</w:t>
      </w:r>
      <w:r w:rsidRPr="00C07E8E">
        <w:rPr>
          <w:rFonts w:cs="Times New Roman"/>
          <w:color w:val="auto"/>
          <w:szCs w:val="22"/>
        </w:rPr>
        <w:t>). Also, the reaction of</w:t>
      </w:r>
      <w:r w:rsidRPr="00C07E8E">
        <w:rPr>
          <w:rFonts w:cs="Times New Roman"/>
          <w:b/>
          <w:bCs/>
          <w:color w:val="auto"/>
          <w:szCs w:val="22"/>
        </w:rPr>
        <w:t xml:space="preserve"> </w:t>
      </w:r>
      <w:r w:rsidR="00C26231" w:rsidRPr="00C07E8E">
        <w:rPr>
          <w:rFonts w:cs="Times New Roman"/>
          <w:b/>
          <w:bCs/>
          <w:color w:val="auto"/>
          <w:szCs w:val="22"/>
        </w:rPr>
        <w:t>1</w:t>
      </w:r>
      <w:r w:rsidR="001A6438">
        <w:rPr>
          <w:rFonts w:cs="Times New Roman"/>
          <w:b/>
          <w:bCs/>
          <w:color w:val="auto"/>
          <w:szCs w:val="22"/>
        </w:rPr>
        <w:t>09</w:t>
      </w:r>
      <w:r w:rsidR="00C26231" w:rsidRPr="00C07E8E">
        <w:rPr>
          <w:rFonts w:cs="Times New Roman"/>
          <w:b/>
          <w:bCs/>
          <w:color w:val="auto"/>
          <w:szCs w:val="22"/>
        </w:rPr>
        <w:t xml:space="preserve"> </w:t>
      </w:r>
      <w:r w:rsidRPr="00C07E8E">
        <w:rPr>
          <w:rFonts w:cs="Times New Roman"/>
          <w:color w:val="auto"/>
          <w:szCs w:val="22"/>
        </w:rPr>
        <w:t xml:space="preserve">with heme gave the covalent adduct </w:t>
      </w:r>
      <w:r w:rsidR="00C26231" w:rsidRPr="00C07E8E">
        <w:rPr>
          <w:rFonts w:cs="Times New Roman"/>
          <w:b/>
          <w:bCs/>
          <w:color w:val="auto"/>
          <w:szCs w:val="22"/>
        </w:rPr>
        <w:t>1</w:t>
      </w:r>
      <w:r w:rsidR="001A6438">
        <w:rPr>
          <w:rFonts w:cs="Times New Roman"/>
          <w:b/>
          <w:bCs/>
          <w:color w:val="auto"/>
          <w:szCs w:val="22"/>
        </w:rPr>
        <w:t>16</w:t>
      </w:r>
      <w:r w:rsidRPr="00C07E8E">
        <w:rPr>
          <w:rFonts w:cs="Times New Roman"/>
          <w:b/>
          <w:bCs/>
          <w:color w:val="auto"/>
          <w:szCs w:val="22"/>
        </w:rPr>
        <w:t xml:space="preserve"> </w:t>
      </w:r>
      <w:r w:rsidRPr="00C07E8E">
        <w:rPr>
          <w:rFonts w:cs="Times New Roman"/>
          <w:color w:val="auto"/>
          <w:szCs w:val="22"/>
        </w:rPr>
        <w:t>(</w:t>
      </w:r>
      <w:r w:rsidRPr="00C07E8E">
        <w:rPr>
          <w:rFonts w:cs="Times New Roman"/>
          <w:b/>
          <w:bCs/>
          <w:color w:val="auto"/>
          <w:szCs w:val="22"/>
        </w:rPr>
        <w:t xml:space="preserve">Scheme </w:t>
      </w:r>
      <w:r w:rsidR="00D96DFB" w:rsidRPr="00C07E8E">
        <w:rPr>
          <w:rFonts w:cs="Times New Roman"/>
          <w:b/>
          <w:bCs/>
          <w:color w:val="auto"/>
          <w:szCs w:val="22"/>
        </w:rPr>
        <w:t>12</w:t>
      </w:r>
      <w:r w:rsidRPr="00C07E8E">
        <w:rPr>
          <w:rFonts w:cs="Times New Roman"/>
          <w:b/>
          <w:bCs/>
          <w:color w:val="auto"/>
          <w:szCs w:val="22"/>
        </w:rPr>
        <w:t>, b</w:t>
      </w:r>
      <w:r w:rsidRPr="00C07E8E">
        <w:rPr>
          <w:rFonts w:cs="Times New Roman"/>
          <w:color w:val="auto"/>
          <w:szCs w:val="22"/>
        </w:rPr>
        <w:t>), the same heme adduct detected from the reaction of ozonide OZ277 (</w:t>
      </w:r>
      <w:r w:rsidRPr="00C07E8E">
        <w:rPr>
          <w:rFonts w:cs="Times New Roman"/>
          <w:b/>
          <w:bCs/>
          <w:color w:val="auto"/>
          <w:szCs w:val="22"/>
        </w:rPr>
        <w:t xml:space="preserve">Figure </w:t>
      </w:r>
      <w:r w:rsidR="007674E7" w:rsidRPr="00C07E8E">
        <w:rPr>
          <w:rFonts w:cs="Times New Roman"/>
          <w:b/>
          <w:bCs/>
          <w:color w:val="auto"/>
          <w:szCs w:val="22"/>
        </w:rPr>
        <w:t>1</w:t>
      </w:r>
      <w:r w:rsidR="00C26231" w:rsidRPr="00C07E8E">
        <w:rPr>
          <w:rFonts w:cs="Times New Roman"/>
          <w:b/>
          <w:bCs/>
          <w:color w:val="auto"/>
          <w:szCs w:val="22"/>
        </w:rPr>
        <w:t>2</w:t>
      </w:r>
      <w:r w:rsidRPr="00C07E8E">
        <w:rPr>
          <w:rFonts w:cs="Times New Roman"/>
          <w:b/>
          <w:bCs/>
          <w:color w:val="auto"/>
          <w:szCs w:val="22"/>
        </w:rPr>
        <w:t xml:space="preserve">, </w:t>
      </w:r>
      <w:r w:rsidR="007674E7" w:rsidRPr="00C07E8E">
        <w:rPr>
          <w:rFonts w:cs="Times New Roman"/>
          <w:b/>
          <w:bCs/>
          <w:color w:val="auto"/>
          <w:szCs w:val="22"/>
        </w:rPr>
        <w:t>d)</w:t>
      </w:r>
      <w:r w:rsidRPr="00C07E8E">
        <w:rPr>
          <w:rFonts w:cs="Times New Roman"/>
          <w:color w:val="auto"/>
          <w:szCs w:val="22"/>
        </w:rPr>
        <w:t>. Preference of iron for the O2 oxygen is also observed in 1,2,4,5-tetraoxanes</w:t>
      </w:r>
      <w:r w:rsidR="00ED552E">
        <w:rPr>
          <w:rFonts w:cs="Times New Roman"/>
          <w:color w:val="auto"/>
          <w:szCs w:val="22"/>
        </w:rPr>
        <w:t>,</w:t>
      </w:r>
      <w:r w:rsidRPr="00C07E8E">
        <w:rPr>
          <w:rFonts w:cs="Times New Roman"/>
          <w:color w:val="auto"/>
          <w:szCs w:val="22"/>
        </w:rPr>
        <w:t xml:space="preserve"> though the reported study shows subtle differences from 1,2,4-trioxolanes. While 1,2,4,5-tetraoxanes lead to the formation of either primary and secondary </w:t>
      </w:r>
      <w:r w:rsidR="007B3827" w:rsidRPr="00C07E8E">
        <w:rPr>
          <w:rFonts w:cs="Times New Roman"/>
          <w:color w:val="auto"/>
          <w:szCs w:val="22"/>
        </w:rPr>
        <w:t>carbon</w:t>
      </w:r>
      <w:r w:rsidRPr="00C07E8E">
        <w:rPr>
          <w:rFonts w:cs="Times New Roman"/>
          <w:color w:val="auto"/>
          <w:szCs w:val="22"/>
        </w:rPr>
        <w:t>-centred radical species from the reaction of Fe(II)</w:t>
      </w:r>
      <w:r w:rsidR="007B3827" w:rsidRPr="00C07E8E">
        <w:rPr>
          <w:rFonts w:cs="Times New Roman"/>
          <w:color w:val="auto"/>
          <w:szCs w:val="22"/>
        </w:rPr>
        <w:t>,</w:t>
      </w:r>
      <w:r w:rsidRPr="00C07E8E">
        <w:rPr>
          <w:rFonts w:cs="Times New Roman"/>
          <w:color w:val="auto"/>
          <w:szCs w:val="22"/>
        </w:rPr>
        <w:t xml:space="preserve"> with OZ277 and </w:t>
      </w:r>
      <w:r w:rsidR="007B3827" w:rsidRPr="00C07E8E">
        <w:rPr>
          <w:rFonts w:cs="Times New Roman"/>
          <w:color w:val="auto"/>
          <w:szCs w:val="22"/>
        </w:rPr>
        <w:t>further</w:t>
      </w:r>
      <w:r w:rsidRPr="00C07E8E">
        <w:rPr>
          <w:rFonts w:cs="Times New Roman"/>
          <w:color w:val="auto"/>
          <w:szCs w:val="22"/>
        </w:rPr>
        <w:t xml:space="preserve"> 1,2,4-trioxolanes solely</w:t>
      </w:r>
      <w:r w:rsidR="004533C9" w:rsidRPr="00C07E8E">
        <w:rPr>
          <w:rFonts w:cs="Times New Roman"/>
          <w:color w:val="auto"/>
          <w:szCs w:val="22"/>
        </w:rPr>
        <w:t xml:space="preserve"> the generation of secondary carbon-centred radical species</w:t>
      </w:r>
      <w:r w:rsidR="00ED552E">
        <w:rPr>
          <w:rFonts w:cs="Times New Roman"/>
          <w:color w:val="auto"/>
          <w:szCs w:val="22"/>
        </w:rPr>
        <w:t xml:space="preserve"> was observed</w:t>
      </w:r>
      <w:r w:rsidRPr="00C07E8E">
        <w:rPr>
          <w:rFonts w:cs="Times New Roman"/>
          <w:color w:val="auto"/>
          <w:szCs w:val="22"/>
        </w:rPr>
        <w:t>.</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{"citationItems":[{"id":"ITEM-1","itemData":{"DOI":"10.1021/jo050385+","ISSN":"00223263","PMID":"15960511","abstract":"Single electron reduction of the 1,2,4-trioxane heterocycle of artemisinin (1) forms primary and secondary carbon-centered radicals. The complex structure of 1 does not lend itself to a satisfactory dissection of the electronic and steric effects that influence the formation and subsequent reaction of these carbon-centered free radicals. To help demarcate these effects, we characterized the reactions of achiral dispiro-1,2,4-trioxolane 4 and dispiro-1,2,4-trioxanes 5-7 with ferrous bromide and 4-oxo-TEMPO. Our results suggest a small preference for attack of Fe(II) on the nonketal peroxide oxygen atom of 1. For 4, but not for 5 and 6, there was a strong preference for attack of Fe(II) on the less hindered peroxide bond oxygen atom. The steric hindrance afforded by a spiroadamantane in a five-membered trioxolane is evidently much greater than that for a corresponding six-membered trioxane. Unlike 1, 5-7 fragment by entropically favored β-scission pathways forming relatively stable α-oxa carbon-centered radicals. These data suggest that formation of either primary or secondary carbon-centered radicals is a necessary but insufficient criterion for antimalarial activity of 1 and synthetic peroxides. © 2005 American Chemical Society.","author":[{"dropping-particle":"","family":"Tang","given":"Yuanqing","non-dropping-particle":"","parse-names":false,"suffix":""},{"dropping-particle":"","family":"Dong","given":"Yuxiang","non-dropping-particle":"","parse-names":false,"suffix":""},{"dropping-particle":"","family":"Wang","given":"Xiaofang","non-dropping-particle":"","parse-names":false,"suffix":""},{"dropping-particle":"","family":"Sriraghavan","given":"Kamaraj","non-dropping-particle":"","parse-names":false,"suffix":""},{"dropping-particle":"","family":"Wood","given":"James K.","non-dropping-particle":"","parse-names":false,"suffix":""},{"dropping-particle":"","family":"Vennerstrom","given":"Jonathan L.","non-dropping-particle":"","parse-names":false,"suffix":""}],"container-title":"Journal of Organic Chemistry","id":"ITEM-1","issue":"13","issued":{"date-parts":[["2005"]]},"page":"5103-5110","title":"Dispiro-1,2,4-trioxane analogues of a prototype dispiro-1,2,4-trioxolane: Mechanistic comparators for artemisinin in the context of reaction pathways with iron(II)","type":"article-journal","volume":"70"},"uris":["http://www.mendeley.com/documents/?uuid=73cc65aa-d2db-4169-be48-c1673738a7a6","http://www.mendeley.com/documents/?uuid=6472c006-7d3a-4ce1-9828-d093ef8bb43f"]}],"mendeley":{"formattedCitation":"&lt;sup&gt;120&lt;/sup&gt;","plainTextFormattedCitation":"120","previouslyFormattedCitation":"&lt;sup&gt;120&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120</w:t>
      </w:r>
      <w:r w:rsidRPr="00C07E8E">
        <w:rPr>
          <w:rFonts w:cs="Times New Roman"/>
          <w:color w:val="auto"/>
          <w:szCs w:val="22"/>
        </w:rPr>
        <w:fldChar w:fldCharType="end"/>
      </w:r>
      <w:r w:rsidRPr="00C07E8E">
        <w:rPr>
          <w:rFonts w:cs="Times New Roman"/>
          <w:color w:val="auto"/>
          <w:szCs w:val="22"/>
        </w:rPr>
        <w:t xml:space="preserve"> </w:t>
      </w:r>
    </w:p>
    <w:p w14:paraId="0EC96057" w14:textId="52F47072" w:rsidR="001F6E17" w:rsidRPr="00C07E8E" w:rsidRDefault="00C07E8E" w:rsidP="00532D1D">
      <w:pPr>
        <w:autoSpaceDE w:val="0"/>
        <w:autoSpaceDN w:val="0"/>
        <w:adjustRightInd w:val="0"/>
        <w:rPr>
          <w:rFonts w:cs="Times New Roman"/>
          <w:color w:val="auto"/>
          <w:szCs w:val="22"/>
        </w:rPr>
      </w:pPr>
      <w:r w:rsidRPr="00C07E8E">
        <w:rPr>
          <w:rFonts w:cs="Times New Roman"/>
          <w:color w:val="auto"/>
          <w:szCs w:val="22"/>
        </w:rPr>
        <w:tab/>
        <w:t xml:space="preserve">Modeling studies performed by Garah </w:t>
      </w:r>
      <w:r w:rsidRPr="00C07E8E">
        <w:rPr>
          <w:rFonts w:cs="Times New Roman"/>
          <w:i/>
          <w:iCs/>
          <w:color w:val="auto"/>
          <w:szCs w:val="22"/>
        </w:rPr>
        <w:t>et al</w:t>
      </w:r>
      <w:r w:rsidRPr="00C07E8E">
        <w:rPr>
          <w:rFonts w:cs="Times New Roman"/>
          <w:color w:val="auto"/>
          <w:szCs w:val="22"/>
        </w:rPr>
        <w:t>.</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{"citationItems":[{"id":"ITEM-1","itemData":{"DOI":"10.1021/jm200768h","ISSN":"00222623","PMID":"21888440","abstract":"Dispiro-1,2,4,5-tetraoxanes and 1,2,4-trioxolanes represent attractive classes of synthetic antimalarial peroxides due to their structural simplicity, good stability, and impressive antimalarial activity. We investigated the reactivity of a series of potent amide functionalized tetraoxanes with Fe(II)gluconate, FeSO 4, FeSO 4/TEMPO, FeSO 4/phosphatidylcholine, and heme to gain knowledge of their potential mechanism of bioactivation and to compare the results with the corresponding 1,2,4-trioxolanes. Spin-trapping experiments demonstrate that Fe(II)-mediated peroxide activation of tetraoxanes produces primary and secondary C-radical intermediates. Reaction of tetraoxanes and trioxolanes with phosphatidylcholine, a predominant unsaturated lipid present in the parasite digestive vacuole membrane, under Fenton reaction conditions showed that both endoperoxides share a common reactivity in terms of phospholipid oxidation that differs with that of artemisinin. Significantly, when tetraoxanes undergo bioactivation in the presence of heme, only the secondary C-centered radical is observed, which smoothly produces regioisomeric drug derived-heme adducts. The ability of these tetraoxanes to alkylate the porphyrin ring was also confirmed with Fe IITPP and Mn IITPP, and docking studies were performed to rationalize the regioselectivity observed in the alkylation process. The efficient process of heme alkylation and extensive lipid peroxidation observed here may play a role in the mechanism of action of these two important classes of synthetic endoperoxide antimalarial. © 2011 American Chemical Society.","author":[{"dropping-particle":"","family":"Garah","given":"Fatima Bousejra-el","non-dropping-particle":"","parse-names":false,"suffix":""},{"dropping-particle":"","family":"Wong","given":"Michael He-long","non-dropping-particle":"","parse-names":false,"suffix":""},{"dropping-particle":"","family":"Amewu","given":"Richard K","non-dropping-particle":"","parse-names":false,"suffix":""},{"dropping-particle":"","family":"Muangnoicharoen","given":"Sant","non-dropping-particle":"","parse-names":false,"suffix":""},{"dropping-particle":"","family":"Maggs","given":"James L","non-dropping-particle":"","parse-names":false,"suffix":""},{"dropping-particle":"","family":"Stigliani","given":"Jean-luc","non-dropping-particle":"","parse-names":false,"suffix":""},{"dropping-particle":"","family":"Park","given":"B Kevin","non-dropping-particle":"","parse-names":false,"suffix":""},{"dropping-particle":"","family":"Chadwick","given":"James","non-dropping-particle":"","parse-names":false,"suffix":""},{"dropping-particle":"","family":"Ward","given":"Stephen A","non-dropping-particle":"","parse-names":false,"suffix":""},{"dropping-particle":"","family":"Neill","given":"Paul M O","non-dropping-particle":"","parse-names":false,"suffix":""}],"container-title":"Journal of Medicinal Chemistry","id":"ITEM-1","issue":"19","issued":{"date-parts":[["2011"]]},"page":"6443-6455","title":"Comparison of the reactivity of antimalarial 1,2,4,5-tetraoxanes with 1,2,4-trioxolanes in the presence of ferrous iron salts, heme, and ferrous iron salts/phosphatidylcholine","type":"article-journal","volume":"54"},"uris":["http://www.mendeley.com/documents/?uuid=3e494614-5413-46da-b049-dc7a19aa2bb7"]}],"mendeley":{"formattedCitation":"&lt;sup&gt;136&lt;/sup&gt;","plainTextFormattedCitation":"136","previouslyFormattedCitation":"&lt;sup&gt;136&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136</w:t>
      </w:r>
      <w:r w:rsidRPr="00C07E8E">
        <w:rPr>
          <w:rFonts w:cs="Times New Roman"/>
          <w:color w:val="auto"/>
          <w:szCs w:val="22"/>
        </w:rPr>
        <w:fldChar w:fldCharType="end"/>
      </w:r>
      <w:r w:rsidRPr="00C07E8E">
        <w:rPr>
          <w:rFonts w:cs="Times New Roman"/>
          <w:color w:val="auto"/>
          <w:szCs w:val="22"/>
        </w:rPr>
        <w:t xml:space="preserve"> with heme and RKA182 have shown that heme preferentially co-ordinates with the 1,2,4,5-tetraoxane via the less hindered oxygen O2 atom, </w:t>
      </w:r>
      <w:r w:rsidR="008075BE" w:rsidRPr="00C07E8E">
        <w:rPr>
          <w:rFonts w:cs="Times New Roman"/>
          <w:color w:val="auto"/>
          <w:szCs w:val="22"/>
        </w:rPr>
        <w:t>instead</w:t>
      </w:r>
      <w:r w:rsidRPr="00C07E8E">
        <w:rPr>
          <w:rFonts w:cs="Times New Roman"/>
          <w:color w:val="auto"/>
          <w:szCs w:val="22"/>
        </w:rPr>
        <w:t xml:space="preserve"> </w:t>
      </w:r>
      <w:r w:rsidR="008075BE" w:rsidRPr="00C07E8E">
        <w:rPr>
          <w:rFonts w:cs="Times New Roman"/>
          <w:color w:val="auto"/>
          <w:szCs w:val="22"/>
        </w:rPr>
        <w:t>of</w:t>
      </w:r>
      <w:r w:rsidR="001141FF" w:rsidRPr="00C07E8E">
        <w:rPr>
          <w:rFonts w:cs="Times New Roman"/>
          <w:color w:val="auto"/>
          <w:szCs w:val="22"/>
        </w:rPr>
        <w:t xml:space="preserve"> </w:t>
      </w:r>
      <w:r w:rsidR="008075BE" w:rsidRPr="00C07E8E">
        <w:rPr>
          <w:rFonts w:cs="Times New Roman"/>
          <w:color w:val="auto"/>
          <w:szCs w:val="22"/>
        </w:rPr>
        <w:t xml:space="preserve">oxygen atom </w:t>
      </w:r>
      <w:r w:rsidRPr="00C07E8E">
        <w:rPr>
          <w:rFonts w:cs="Times New Roman"/>
          <w:color w:val="auto"/>
          <w:szCs w:val="22"/>
        </w:rPr>
        <w:t>O1</w:t>
      </w:r>
      <w:r w:rsidR="008075BE" w:rsidRPr="00C07E8E">
        <w:rPr>
          <w:rFonts w:cs="Times New Roman"/>
          <w:color w:val="auto"/>
          <w:szCs w:val="22"/>
        </w:rPr>
        <w:t xml:space="preserve"> </w:t>
      </w:r>
      <w:r w:rsidRPr="00C07E8E">
        <w:rPr>
          <w:rFonts w:cs="Times New Roman"/>
          <w:color w:val="auto"/>
          <w:szCs w:val="22"/>
        </w:rPr>
        <w:t>(</w:t>
      </w:r>
      <w:r w:rsidRPr="00C07E8E">
        <w:rPr>
          <w:rFonts w:cs="Times New Roman"/>
          <w:b/>
          <w:bCs/>
          <w:color w:val="auto"/>
          <w:szCs w:val="22"/>
        </w:rPr>
        <w:t xml:space="preserve">Figure </w:t>
      </w:r>
      <w:r w:rsidR="007674E7" w:rsidRPr="00C07E8E">
        <w:rPr>
          <w:rFonts w:cs="Times New Roman"/>
          <w:b/>
          <w:bCs/>
          <w:color w:val="auto"/>
          <w:szCs w:val="22"/>
        </w:rPr>
        <w:t>1</w:t>
      </w:r>
      <w:r w:rsidR="00325A1B" w:rsidRPr="00C07E8E">
        <w:rPr>
          <w:rFonts w:cs="Times New Roman"/>
          <w:b/>
          <w:bCs/>
          <w:color w:val="auto"/>
          <w:szCs w:val="22"/>
        </w:rPr>
        <w:t>6</w:t>
      </w:r>
      <w:r w:rsidRPr="00C07E8E">
        <w:rPr>
          <w:rFonts w:cs="Times New Roman"/>
          <w:color w:val="auto"/>
          <w:szCs w:val="22"/>
        </w:rPr>
        <w:t xml:space="preserve">). In </w:t>
      </w:r>
      <w:r w:rsidR="00CB29EF" w:rsidRPr="00C07E8E">
        <w:rPr>
          <w:rFonts w:cs="Times New Roman"/>
          <w:color w:val="auto"/>
          <w:szCs w:val="22"/>
        </w:rPr>
        <w:t>docking</w:t>
      </w:r>
      <w:r w:rsidRPr="00C07E8E">
        <w:rPr>
          <w:rFonts w:cs="Times New Roman"/>
          <w:color w:val="auto"/>
          <w:szCs w:val="22"/>
        </w:rPr>
        <w:t xml:space="preserve"> conformations </w:t>
      </w:r>
      <w:r w:rsidR="00CB29EF" w:rsidRPr="00C07E8E">
        <w:rPr>
          <w:rFonts w:cs="Times New Roman"/>
          <w:color w:val="auto"/>
          <w:szCs w:val="22"/>
        </w:rPr>
        <w:t>performed by the</w:t>
      </w:r>
      <w:r w:rsidR="00C31490" w:rsidRPr="00C07E8E">
        <w:rPr>
          <w:rFonts w:cs="Times New Roman"/>
          <w:color w:val="auto"/>
          <w:szCs w:val="22"/>
        </w:rPr>
        <w:t xml:space="preserve"> same</w:t>
      </w:r>
      <w:r w:rsidR="00CB29EF" w:rsidRPr="00C07E8E">
        <w:rPr>
          <w:rFonts w:cs="Times New Roman"/>
          <w:color w:val="auto"/>
          <w:szCs w:val="22"/>
        </w:rPr>
        <w:t xml:space="preserve"> grou</w:t>
      </w:r>
      <w:r w:rsidR="00A14447" w:rsidRPr="00C07E8E">
        <w:rPr>
          <w:rFonts w:cs="Times New Roman"/>
          <w:color w:val="auto"/>
          <w:szCs w:val="22"/>
        </w:rPr>
        <w:t>p</w:t>
      </w:r>
      <w:r w:rsidRPr="00C07E8E">
        <w:rPr>
          <w:rFonts w:cs="Times New Roman"/>
          <w:color w:val="auto"/>
          <w:szCs w:val="22"/>
        </w:rPr>
        <w:t>,</w:t>
      </w:r>
      <w:r w:rsidR="00CB29EF" w:rsidRPr="00C07E8E">
        <w:rPr>
          <w:rFonts w:cs="Times New Roman"/>
          <w:color w:val="auto"/>
          <w:szCs w:val="22"/>
        </w:rPr>
        <w:t xml:space="preserve"> they have found that</w:t>
      </w:r>
      <w:r w:rsidRPr="00C07E8E">
        <w:rPr>
          <w:rFonts w:cs="Times New Roman"/>
          <w:color w:val="auto"/>
          <w:szCs w:val="22"/>
        </w:rPr>
        <w:t xml:space="preserve"> the shortest distance </w:t>
      </w:r>
      <w:r w:rsidR="00CB29EF" w:rsidRPr="00C07E8E">
        <w:rPr>
          <w:rFonts w:cs="Times New Roman"/>
          <w:color w:val="auto"/>
          <w:szCs w:val="22"/>
        </w:rPr>
        <w:t>was</w:t>
      </w:r>
      <w:r w:rsidRPr="00C07E8E">
        <w:rPr>
          <w:rFonts w:cs="Times New Roman"/>
          <w:color w:val="auto"/>
          <w:szCs w:val="22"/>
        </w:rPr>
        <w:t xml:space="preserve"> between heme </w:t>
      </w:r>
      <w:r w:rsidR="007541CF" w:rsidRPr="00C07E8E">
        <w:rPr>
          <w:rFonts w:cs="Times New Roman"/>
          <w:color w:val="auto"/>
          <w:szCs w:val="22"/>
        </w:rPr>
        <w:t>Fe</w:t>
      </w:r>
      <w:r w:rsidRPr="00C07E8E">
        <w:rPr>
          <w:rFonts w:cs="Times New Roman"/>
          <w:color w:val="auto"/>
          <w:szCs w:val="22"/>
        </w:rPr>
        <w:t>(II) and the O2 of RKA182,</w:t>
      </w:r>
      <w:r w:rsidR="001141FF" w:rsidRPr="00C07E8E">
        <w:rPr>
          <w:rFonts w:cs="Times New Roman"/>
          <w:color w:val="auto"/>
          <w:szCs w:val="22"/>
        </w:rPr>
        <w:t xml:space="preserve"> with</w:t>
      </w:r>
      <w:r w:rsidRPr="00C07E8E">
        <w:rPr>
          <w:rFonts w:cs="Times New Roman"/>
          <w:color w:val="auto"/>
          <w:szCs w:val="22"/>
        </w:rPr>
        <w:t xml:space="preserve"> values</w:t>
      </w:r>
      <w:r w:rsidR="001141FF" w:rsidRPr="00C07E8E">
        <w:rPr>
          <w:rFonts w:cs="Times New Roman"/>
          <w:color w:val="auto"/>
          <w:szCs w:val="22"/>
        </w:rPr>
        <w:t xml:space="preserve"> for the lowest energy conformations</w:t>
      </w:r>
      <w:r w:rsidR="00ED552E">
        <w:rPr>
          <w:rFonts w:cs="Times New Roman"/>
          <w:color w:val="auto"/>
          <w:szCs w:val="22"/>
        </w:rPr>
        <w:t xml:space="preserve"> in the range of </w:t>
      </w:r>
      <w:r w:rsidRPr="00C07E8E">
        <w:rPr>
          <w:rFonts w:cs="Times New Roman"/>
          <w:color w:val="auto"/>
          <w:szCs w:val="22"/>
        </w:rPr>
        <w:t>2.4 Å-2.8 Å.</w:t>
      </w:r>
      <w:r w:rsidR="004D17EB" w:rsidRPr="00C07E8E">
        <w:rPr>
          <w:rFonts w:cs="Times New Roman"/>
          <w:color w:val="auto"/>
          <w:szCs w:val="22"/>
        </w:rPr>
        <w:t xml:space="preserve"> </w:t>
      </w:r>
      <w:r w:rsidRPr="00C07E8E">
        <w:rPr>
          <w:rFonts w:cs="Times New Roman"/>
          <w:color w:val="auto"/>
          <w:szCs w:val="22"/>
        </w:rPr>
        <w:t xml:space="preserve">This </w:t>
      </w:r>
      <w:r w:rsidR="004D17EB" w:rsidRPr="00C07E8E">
        <w:rPr>
          <w:rFonts w:cs="Times New Roman"/>
          <w:color w:val="auto"/>
          <w:szCs w:val="22"/>
        </w:rPr>
        <w:t>observation indicated</w:t>
      </w:r>
      <w:r w:rsidRPr="00C07E8E">
        <w:rPr>
          <w:rFonts w:cs="Times New Roman"/>
          <w:color w:val="auto"/>
          <w:szCs w:val="22"/>
        </w:rPr>
        <w:t xml:space="preserve"> a preference for the heme Fe(II) association with the less-hindered oxygen atom O2 of the</w:t>
      </w:r>
      <w:r w:rsidR="00CB29EF" w:rsidRPr="00C07E8E">
        <w:rPr>
          <w:rFonts w:cs="Times New Roman"/>
          <w:color w:val="auto"/>
          <w:szCs w:val="22"/>
        </w:rPr>
        <w:t xml:space="preserve"> O-O</w:t>
      </w:r>
      <w:r w:rsidRPr="00C07E8E">
        <w:rPr>
          <w:rFonts w:cs="Times New Roman"/>
          <w:color w:val="auto"/>
          <w:szCs w:val="22"/>
        </w:rPr>
        <w:t xml:space="preserve"> bond of RKA182, thus explaining the regioselectivity observed in alkylation</w:t>
      </w:r>
      <w:r w:rsidR="00D3789A" w:rsidRPr="00C07E8E">
        <w:rPr>
          <w:rFonts w:cs="Times New Roman"/>
          <w:color w:val="auto"/>
          <w:szCs w:val="22"/>
        </w:rPr>
        <w:t xml:space="preserve"> and lipid peroxidation</w:t>
      </w:r>
      <w:r w:rsidRPr="00C07E8E">
        <w:rPr>
          <w:rFonts w:cs="Times New Roman"/>
          <w:color w:val="auto"/>
          <w:szCs w:val="22"/>
        </w:rPr>
        <w:t xml:space="preserve"> experiments. </w:t>
      </w:r>
    </w:p>
    <w:p w14:paraId="5E81B189" w14:textId="77777777" w:rsidR="00217255" w:rsidRPr="00C07E8E" w:rsidRDefault="00217255" w:rsidP="00532D1D">
      <w:pPr>
        <w:autoSpaceDE w:val="0"/>
        <w:autoSpaceDN w:val="0"/>
        <w:adjustRightInd w:val="0"/>
        <w:rPr>
          <w:rFonts w:cs="Times New Roman"/>
          <w:color w:val="auto"/>
          <w:szCs w:val="22"/>
        </w:rPr>
      </w:pPr>
    </w:p>
    <w:p w14:paraId="3084BCFF" w14:textId="068AAE51" w:rsidR="001F6E17" w:rsidRPr="00C07E8E" w:rsidRDefault="006D7105" w:rsidP="00532D1D">
      <w:pPr>
        <w:autoSpaceDE w:val="0"/>
        <w:autoSpaceDN w:val="0"/>
        <w:adjustRightInd w:val="0"/>
        <w:rPr>
          <w:rFonts w:cs="Times New Roman"/>
          <w:color w:val="auto"/>
          <w:szCs w:val="22"/>
        </w:rPr>
      </w:pPr>
      <w:r>
        <w:rPr>
          <w:noProof/>
        </w:rPr>
        <w:object w:dxaOrig="11362" w:dyaOrig="9675" w14:anchorId="1AB363AD">
          <v:shape id="_x0000_i1051" type="#_x0000_t75" alt="" style="width:450pt;height:384pt;mso-width-percent:0;mso-height-percent:0;mso-width-percent:0;mso-height-percent:0" o:ole="">
            <v:imagedata r:id="rId58" o:title=""/>
          </v:shape>
          <o:OLEObject Type="Embed" ProgID="ChemDraw.Document.6.0" ShapeID="_x0000_i1051" DrawAspect="Content" ObjectID="_1669219485" r:id="rId59"/>
        </w:object>
      </w:r>
      <w:r w:rsidR="001A6438" w:rsidRPr="003A4075" w:rsidDel="001A6438">
        <w:rPr>
          <w:rFonts w:cs="Times New Roman"/>
          <w:noProof/>
          <w:color w:val="auto"/>
          <w:szCs w:val="22"/>
        </w:rPr>
        <w:t xml:space="preserve"> </w:t>
      </w:r>
    </w:p>
    <w:p w14:paraId="6F534F83" w14:textId="127C9303" w:rsidR="001F6E17"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 xml:space="preserve">Scheme </w:t>
      </w:r>
      <w:r w:rsidR="00D96DFB" w:rsidRPr="00C07E8E">
        <w:rPr>
          <w:rFonts w:cs="Times New Roman"/>
          <w:b/>
          <w:bCs/>
          <w:color w:val="auto"/>
          <w:szCs w:val="22"/>
        </w:rPr>
        <w:t>12</w:t>
      </w:r>
      <w:r w:rsidRPr="00C07E8E">
        <w:rPr>
          <w:rFonts w:cs="Times New Roman"/>
          <w:color w:val="auto"/>
          <w:szCs w:val="22"/>
        </w:rPr>
        <w:t xml:space="preserve">: </w:t>
      </w:r>
      <w:r w:rsidR="00511D1D" w:rsidRPr="00C07E8E">
        <w:rPr>
          <w:rFonts w:cs="Times New Roman"/>
          <w:color w:val="auto"/>
          <w:szCs w:val="22"/>
        </w:rPr>
        <w:t xml:space="preserve">(a) </w:t>
      </w:r>
      <w:r w:rsidR="00511D1D">
        <w:rPr>
          <w:rFonts w:cs="Times New Roman"/>
          <w:color w:val="auto"/>
          <w:szCs w:val="22"/>
        </w:rPr>
        <w:t xml:space="preserve">Proposed mechanisms for </w:t>
      </w:r>
      <w:r w:rsidR="00511D1D" w:rsidRPr="00C07E8E">
        <w:rPr>
          <w:rFonts w:cs="Times New Roman"/>
          <w:color w:val="auto"/>
          <w:szCs w:val="22"/>
        </w:rPr>
        <w:t xml:space="preserve">(a) </w:t>
      </w:r>
      <w:r w:rsidR="00511D1D">
        <w:rPr>
          <w:rFonts w:cs="Times New Roman"/>
          <w:color w:val="auto"/>
          <w:szCs w:val="22"/>
        </w:rPr>
        <w:t>the i</w:t>
      </w:r>
      <w:r w:rsidR="00511D1D" w:rsidRPr="00C07E8E">
        <w:rPr>
          <w:rFonts w:cs="Times New Roman"/>
          <w:color w:val="auto"/>
          <w:szCs w:val="22"/>
        </w:rPr>
        <w:t xml:space="preserve">ron-mediated degradation of RKA182 and its TEMPO adducts </w:t>
      </w:r>
      <w:r w:rsidR="00511D1D" w:rsidRPr="00C07E8E">
        <w:rPr>
          <w:rFonts w:cs="Times New Roman"/>
          <w:b/>
          <w:bCs/>
          <w:color w:val="auto"/>
          <w:szCs w:val="22"/>
        </w:rPr>
        <w:t>1</w:t>
      </w:r>
      <w:r w:rsidR="00511D1D">
        <w:rPr>
          <w:rFonts w:cs="Times New Roman"/>
          <w:b/>
          <w:bCs/>
          <w:color w:val="auto"/>
          <w:szCs w:val="22"/>
        </w:rPr>
        <w:t>1</w:t>
      </w:r>
      <w:r w:rsidR="001A6438">
        <w:rPr>
          <w:rFonts w:cs="Times New Roman"/>
          <w:b/>
          <w:bCs/>
          <w:color w:val="auto"/>
          <w:szCs w:val="22"/>
        </w:rPr>
        <w:t>4</w:t>
      </w:r>
      <w:r w:rsidR="00511D1D" w:rsidRPr="00C07E8E">
        <w:rPr>
          <w:rFonts w:cs="Times New Roman"/>
          <w:color w:val="auto"/>
          <w:szCs w:val="22"/>
        </w:rPr>
        <w:t xml:space="preserve"> and </w:t>
      </w:r>
      <w:r w:rsidR="00511D1D" w:rsidRPr="00C07E8E">
        <w:rPr>
          <w:rFonts w:cs="Times New Roman"/>
          <w:b/>
          <w:bCs/>
          <w:color w:val="auto"/>
          <w:szCs w:val="22"/>
        </w:rPr>
        <w:t>1</w:t>
      </w:r>
      <w:r w:rsidR="00511D1D">
        <w:rPr>
          <w:rFonts w:cs="Times New Roman"/>
          <w:b/>
          <w:bCs/>
          <w:color w:val="auto"/>
          <w:szCs w:val="22"/>
        </w:rPr>
        <w:t>1</w:t>
      </w:r>
      <w:r w:rsidR="001A6438">
        <w:rPr>
          <w:rFonts w:cs="Times New Roman"/>
          <w:b/>
          <w:bCs/>
          <w:color w:val="auto"/>
          <w:szCs w:val="22"/>
        </w:rPr>
        <w:t>5</w:t>
      </w:r>
      <w:r w:rsidR="00511D1D" w:rsidRPr="00C07E8E">
        <w:rPr>
          <w:rFonts w:cs="Times New Roman"/>
          <w:color w:val="auto"/>
          <w:szCs w:val="22"/>
        </w:rPr>
        <w:t xml:space="preserve">; (b) </w:t>
      </w:r>
      <w:r w:rsidR="00511D1D">
        <w:rPr>
          <w:rFonts w:cs="Times New Roman"/>
          <w:color w:val="auto"/>
          <w:szCs w:val="22"/>
        </w:rPr>
        <w:t>The h</w:t>
      </w:r>
      <w:r w:rsidR="00511D1D" w:rsidRPr="00C07E8E">
        <w:rPr>
          <w:rFonts w:cs="Times New Roman"/>
          <w:color w:val="auto"/>
          <w:szCs w:val="22"/>
        </w:rPr>
        <w:t xml:space="preserve">eme alkylation by </w:t>
      </w:r>
      <w:r w:rsidR="00511D1D" w:rsidRPr="00C07E8E">
        <w:rPr>
          <w:rFonts w:cs="Times New Roman"/>
          <w:b/>
          <w:bCs/>
          <w:color w:val="auto"/>
          <w:szCs w:val="22"/>
        </w:rPr>
        <w:t>1</w:t>
      </w:r>
      <w:r w:rsidR="001A6438">
        <w:rPr>
          <w:rFonts w:cs="Times New Roman"/>
          <w:b/>
          <w:bCs/>
          <w:color w:val="auto"/>
          <w:szCs w:val="22"/>
        </w:rPr>
        <w:t>09</w:t>
      </w:r>
      <w:r w:rsidR="00511D1D" w:rsidRPr="00C07E8E">
        <w:rPr>
          <w:rFonts w:cs="Times New Roman"/>
          <w:color w:val="auto"/>
          <w:szCs w:val="22"/>
        </w:rPr>
        <w:t>.</w:t>
      </w:r>
    </w:p>
    <w:p w14:paraId="6A1E3C5D" w14:textId="77777777" w:rsidR="001F6E17" w:rsidRPr="00C07E8E" w:rsidRDefault="00C07E8E" w:rsidP="00532D1D">
      <w:pPr>
        <w:autoSpaceDE w:val="0"/>
        <w:autoSpaceDN w:val="0"/>
        <w:adjustRightInd w:val="0"/>
        <w:jc w:val="center"/>
        <w:rPr>
          <w:rFonts w:cs="Times New Roman"/>
          <w:b/>
          <w:bCs/>
          <w:color w:val="auto"/>
          <w:szCs w:val="22"/>
        </w:rPr>
      </w:pPr>
      <w:r w:rsidRPr="00C07E8E">
        <w:rPr>
          <w:rFonts w:cs="Times New Roman"/>
          <w:noProof/>
          <w:color w:val="auto"/>
          <w:szCs w:val="22"/>
        </w:rPr>
        <w:drawing>
          <wp:inline distT="0" distB="0" distL="0" distR="0" wp14:anchorId="246CA438" wp14:editId="76E4B7A8">
            <wp:extent cx="3037114" cy="212271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2029" name=""/>
                    <pic:cNvPicPr/>
                  </pic:nvPicPr>
                  <pic:blipFill>
                    <a:blip r:embed="rId60"/>
                    <a:srcRect l="9827" t="20384" r="44472" b="22830"/>
                    <a:stretch>
                      <a:fillRect/>
                    </a:stretch>
                  </pic:blipFill>
                  <pic:spPr bwMode="auto">
                    <a:xfrm>
                      <a:off x="0" y="0"/>
                      <a:ext cx="3037252" cy="2122810"/>
                    </a:xfrm>
                    <a:prstGeom prst="rect">
                      <a:avLst/>
                    </a:prstGeom>
                    <a:ln>
                      <a:noFill/>
                    </a:ln>
                    <a:extLst>
                      <a:ext uri="{53640926-AAD7-44D8-BBD7-CCE9431645EC}">
                        <a14:shadowObscured xmlns:a14="http://schemas.microsoft.com/office/drawing/2010/main"/>
                      </a:ext>
                    </a:extLst>
                  </pic:spPr>
                </pic:pic>
              </a:graphicData>
            </a:graphic>
          </wp:inline>
        </w:drawing>
      </w:r>
    </w:p>
    <w:p w14:paraId="24FEABA8" w14:textId="67D95FF0" w:rsidR="001F6E17" w:rsidRPr="00C07E8E" w:rsidRDefault="00C07E8E" w:rsidP="00532D1D">
      <w:pPr>
        <w:autoSpaceDE w:val="0"/>
        <w:autoSpaceDN w:val="0"/>
        <w:adjustRightInd w:val="0"/>
        <w:rPr>
          <w:rFonts w:cs="Times New Roman"/>
          <w:color w:val="auto"/>
          <w:szCs w:val="22"/>
        </w:rPr>
      </w:pPr>
      <w:r w:rsidRPr="00C07E8E">
        <w:rPr>
          <w:rFonts w:cs="Times New Roman"/>
          <w:b/>
          <w:bCs/>
          <w:color w:val="auto"/>
          <w:szCs w:val="22"/>
        </w:rPr>
        <w:t xml:space="preserve">Figure </w:t>
      </w:r>
      <w:r w:rsidR="007674E7" w:rsidRPr="00C07E8E">
        <w:rPr>
          <w:rFonts w:cs="Times New Roman"/>
          <w:b/>
          <w:bCs/>
          <w:color w:val="auto"/>
          <w:szCs w:val="22"/>
        </w:rPr>
        <w:t>1</w:t>
      </w:r>
      <w:r w:rsidR="00E94F4D" w:rsidRPr="00C07E8E">
        <w:rPr>
          <w:rFonts w:cs="Times New Roman"/>
          <w:b/>
          <w:bCs/>
          <w:color w:val="auto"/>
          <w:szCs w:val="22"/>
        </w:rPr>
        <w:t>6</w:t>
      </w:r>
      <w:r w:rsidRPr="00C07E8E">
        <w:rPr>
          <w:rFonts w:cs="Times New Roman"/>
          <w:b/>
          <w:bCs/>
          <w:color w:val="auto"/>
          <w:szCs w:val="22"/>
        </w:rPr>
        <w:t xml:space="preserve">: </w:t>
      </w:r>
      <w:r w:rsidR="00C8056F" w:rsidRPr="00C07E8E">
        <w:rPr>
          <w:rFonts w:cs="Times New Roman"/>
          <w:color w:val="auto"/>
          <w:szCs w:val="22"/>
        </w:rPr>
        <w:t>Representation of the d</w:t>
      </w:r>
      <w:r w:rsidRPr="00C07E8E">
        <w:rPr>
          <w:rFonts w:cs="Times New Roman"/>
          <w:color w:val="auto"/>
          <w:szCs w:val="22"/>
        </w:rPr>
        <w:t>ocking</w:t>
      </w:r>
      <w:r w:rsidR="00C8056F" w:rsidRPr="00C07E8E">
        <w:rPr>
          <w:rFonts w:cs="Times New Roman"/>
          <w:color w:val="auto"/>
          <w:szCs w:val="22"/>
        </w:rPr>
        <w:t xml:space="preserve"> configuration </w:t>
      </w:r>
      <w:r w:rsidRPr="00C07E8E">
        <w:rPr>
          <w:rFonts w:cs="Times New Roman"/>
          <w:color w:val="auto"/>
          <w:szCs w:val="22"/>
        </w:rPr>
        <w:t>between RKA182</w:t>
      </w:r>
      <w:r w:rsidR="00C8056F" w:rsidRPr="00C07E8E">
        <w:rPr>
          <w:rFonts w:cs="Times New Roman"/>
          <w:color w:val="auto"/>
          <w:szCs w:val="22"/>
        </w:rPr>
        <w:t xml:space="preserve"> and heme</w:t>
      </w:r>
      <w:r w:rsidRPr="00C07E8E">
        <w:rPr>
          <w:rFonts w:cs="Times New Roman"/>
          <w:color w:val="auto"/>
          <w:szCs w:val="22"/>
        </w:rPr>
        <w:t xml:space="preserve"> (source in Garah </w:t>
      </w:r>
      <w:r w:rsidRPr="00C07E8E">
        <w:rPr>
          <w:rFonts w:cs="Times New Roman"/>
          <w:i/>
          <w:iCs/>
          <w:color w:val="auto"/>
          <w:szCs w:val="22"/>
        </w:rPr>
        <w:t>et al</w:t>
      </w:r>
      <w:r w:rsidRPr="00C07E8E">
        <w:rPr>
          <w:rFonts w:cs="Times New Roman"/>
          <w:color w:val="auto"/>
          <w:szCs w:val="22"/>
        </w:rPr>
        <w:t>.</w:t>
      </w:r>
      <w:r w:rsidRPr="00C07E8E">
        <w:rPr>
          <w:rFonts w:cs="Times New Roman"/>
          <w:color w:val="auto"/>
          <w:szCs w:val="22"/>
        </w:rPr>
        <w:fldChar w:fldCharType="begin" w:fldLock="1"/>
      </w:r>
      <w:r w:rsidR="00192B39">
        <w:rPr>
          <w:rFonts w:cs="Times New Roman"/>
          <w:color w:val="auto"/>
          <w:szCs w:val="22"/>
        </w:rPr>
        <w:instrText>ADDIN CSL_CITATION {"citationItems":[{"id":"ITEM-1","itemData":{"DOI":"10.1021/jm200768h","ISSN":"00222623","PMID":"21888440","abstract":"Dispiro-1,2,4,5-tetraoxanes and 1,2,4-trioxolanes represent attractive classes of synthetic antimalarial peroxides due to their structural simplicity, good stability, and impressive antimalarial activity. We investigated the reactivity of a series of potent amide functionalized tetraoxanes with Fe(II)gluconate, FeSO 4, FeSO 4/TEMPO, FeSO 4/phosphatidylcholine, and heme to gain knowledge of their potential mechanism of bioactivation and to compare the results with the corresponding 1,2,4-trioxolanes. Spin-trapping experiments demonstrate that Fe(II)-mediated peroxide activation of tetraoxanes produces primary and secondary C-radical intermediates. Reaction of tetraoxanes and trioxolanes with phosphatidylcholine, a predominant unsaturated lipid present in the parasite digestive vacuole membrane, under Fenton reaction conditions showed that both endoperoxides share a common reactivity in terms of phospholipid oxidation that differs with that of artemisinin. Significantly, when tetraoxanes undergo bioactivation in the presence of heme, only the secondary C-centered radical is observed, which smoothly produces regioisomeric drug derived-heme adducts. The ability of these tetraoxanes to alkylate the porphyrin ring was also confirmed with Fe IITPP and Mn IITPP, and docking studies were performed to rationalize the regioselectivity observed in the alkylation process. The efficient process of heme alkylation and extensive lipid peroxidation observed here may play a role in the mechanism of action of these two important classes of synthetic endoperoxide antimalarial. © 2011 American Chemical Society.","author":[{"dropping-particle":"","family":"Garah","given":"Fatima Bousejra-el","non-dropping-particle":"","parse-names":false,"suffix":""},{"dropping-particle":"","family":"Wong","given":"Michael He-long","non-dropping-particle":"","parse-names":false,"suffix":""},{"dropping-particle":"","family":"Amewu","given":"Richard K","non-dropping-particle":"","parse-names":false,"suffix":""},{"dropping-particle":"","family":"Muangnoicharoen","given":"Sant","non-dropping-particle":"","parse-names":false,"suffix":""},{"dropping-particle":"","family":"Maggs","given":"James L","non-dropping-particle":"","parse-names":false,"suffix":""},{"dropping-particle":"","family":"Stigliani","given":"Jean-luc","non-dropping-particle":"","parse-names":false,"suffix":""},{"dropping-particle":"","family":"Park","given":"B Kevin","non-dropping-particle":"","parse-names":false,"suffix":""},{"dropping-particle":"","family":"Chadwick","given":"James","non-dropping-particle":"","parse-names":false,"suffix":""},{"dropping-particle":"","family":"Ward","given":"Stephen A","non-dropping-particle":"","parse-names":false,"suffix":""},{"dropping-particle":"","family":"Neill","given":"Paul M O","non-dropping-particle":"","parse-names":false,"suffix":""}],"container-title":"Journal of Medicinal Chemistry","id":"ITEM-1","issue":"19","issued":{"date-parts":[["2011"]]},"page":"6443-6455","title":"Comparison of the reactivity of antimalarial 1,2,4,5-tetraoxanes with 1,2,4-trioxolanes in the presence of ferrous iron salts, heme, and ferrous iron salts/phosphatidylcholine","type":"article-journal","volume":"54"},"uris":["http://www.mendeley.com/documents/?uuid=3e494614-5413-46da-b049-dc7a19aa2bb7"]}],"mendeley":{"formattedCitation":"&lt;sup&gt;136&lt;/sup&gt;","plainTextFormattedCitation":"136","previouslyFormattedCitation":"&lt;sup&gt;136&lt;/sup&gt;"},"properties":{"noteIndex":0},"schema":"https://github.com/citation-style-language/schema/raw/master/csl-citation.json"}</w:instrText>
      </w:r>
      <w:r w:rsidRPr="00C07E8E">
        <w:rPr>
          <w:rFonts w:cs="Times New Roman"/>
          <w:color w:val="auto"/>
          <w:szCs w:val="22"/>
        </w:rPr>
        <w:fldChar w:fldCharType="separate"/>
      </w:r>
      <w:r w:rsidR="00CA5C6A" w:rsidRPr="00CA5C6A">
        <w:rPr>
          <w:rFonts w:cs="Times New Roman"/>
          <w:noProof/>
          <w:color w:val="auto"/>
          <w:szCs w:val="22"/>
          <w:vertAlign w:val="superscript"/>
        </w:rPr>
        <w:t>136</w:t>
      </w:r>
      <w:r w:rsidRPr="00C07E8E">
        <w:rPr>
          <w:rFonts w:cs="Times New Roman"/>
          <w:color w:val="auto"/>
          <w:szCs w:val="22"/>
        </w:rPr>
        <w:fldChar w:fldCharType="end"/>
      </w:r>
      <w:r w:rsidRPr="00C07E8E">
        <w:rPr>
          <w:rFonts w:cs="Times New Roman"/>
          <w:color w:val="auto"/>
          <w:szCs w:val="22"/>
        </w:rPr>
        <w:t>).</w:t>
      </w:r>
    </w:p>
    <w:p w14:paraId="590C06C6" w14:textId="77777777" w:rsidR="001F6E17" w:rsidRPr="00C07E8E" w:rsidRDefault="001F6E17" w:rsidP="00532D1D">
      <w:pPr>
        <w:ind w:firstLine="720"/>
        <w:rPr>
          <w:rFonts w:cs="Times New Roman"/>
          <w:noProof/>
          <w:color w:val="auto"/>
          <w:szCs w:val="22"/>
        </w:rPr>
      </w:pPr>
    </w:p>
    <w:p w14:paraId="3D6CC35B" w14:textId="77777777" w:rsidR="00484333" w:rsidRPr="00C07E8E" w:rsidRDefault="00484333" w:rsidP="00532D1D">
      <w:pPr>
        <w:ind w:firstLine="720"/>
        <w:rPr>
          <w:rFonts w:cs="Times New Roman"/>
          <w:noProof/>
          <w:color w:val="auto"/>
          <w:szCs w:val="22"/>
        </w:rPr>
      </w:pPr>
    </w:p>
    <w:p w14:paraId="63172CCE" w14:textId="77777777" w:rsidR="00CB7F0A" w:rsidRPr="00C07E8E" w:rsidRDefault="00CB7F0A" w:rsidP="00532D1D">
      <w:pPr>
        <w:ind w:firstLine="720"/>
        <w:rPr>
          <w:rFonts w:cs="Times New Roman"/>
          <w:noProof/>
          <w:color w:val="auto"/>
          <w:szCs w:val="22"/>
        </w:rPr>
      </w:pPr>
    </w:p>
    <w:p w14:paraId="16FF6AED" w14:textId="0B2F0B0B" w:rsidR="007D2780" w:rsidRPr="00C07E8E" w:rsidRDefault="00C07E8E" w:rsidP="00532D1D">
      <w:pPr>
        <w:pStyle w:val="Ttulo1"/>
        <w:numPr>
          <w:ilvl w:val="0"/>
          <w:numId w:val="3"/>
        </w:numPr>
        <w:rPr>
          <w:sz w:val="22"/>
          <w:szCs w:val="22"/>
        </w:rPr>
      </w:pPr>
      <w:r w:rsidRPr="00C07E8E">
        <w:rPr>
          <w:sz w:val="22"/>
          <w:szCs w:val="22"/>
        </w:rPr>
        <w:lastRenderedPageBreak/>
        <w:t>Conclusion</w:t>
      </w:r>
      <w:r w:rsidR="009A1C05">
        <w:rPr>
          <w:sz w:val="22"/>
          <w:szCs w:val="22"/>
        </w:rPr>
        <w:t>s</w:t>
      </w:r>
    </w:p>
    <w:p w14:paraId="5FB5C69C" w14:textId="7810AA41" w:rsidR="007D2780" w:rsidRDefault="009A1C05" w:rsidP="00532D1D">
      <w:pPr>
        <w:autoSpaceDE w:val="0"/>
        <w:autoSpaceDN w:val="0"/>
        <w:adjustRightInd w:val="0"/>
        <w:ind w:firstLine="360"/>
        <w:rPr>
          <w:rFonts w:cs="Times New Roman"/>
          <w:color w:val="auto"/>
          <w:szCs w:val="22"/>
        </w:rPr>
      </w:pPr>
      <w:r>
        <w:rPr>
          <w:rFonts w:cs="Times New Roman"/>
          <w:color w:val="auto"/>
          <w:szCs w:val="22"/>
        </w:rPr>
        <w:t>For decades, the treatment of malaria has been underpinned by ACTs containing a semi-synthetic ART derivative such as Artemether, Artether or Artesunate. Recent research into semi-synthetic ARTs has shed light on their promiscuous mechanism of action th</w:t>
      </w:r>
      <w:r w:rsidR="00ED552E">
        <w:rPr>
          <w:rFonts w:cs="Times New Roman"/>
          <w:color w:val="auto"/>
          <w:szCs w:val="22"/>
        </w:rPr>
        <w:t>r</w:t>
      </w:r>
      <w:r>
        <w:rPr>
          <w:rFonts w:cs="Times New Roman"/>
          <w:color w:val="auto"/>
          <w:szCs w:val="22"/>
        </w:rPr>
        <w:t>ough target identification using molecular probe techniques.</w:t>
      </w:r>
      <w:r w:rsidR="002E7579">
        <w:rPr>
          <w:rFonts w:cs="Times New Roman"/>
          <w:color w:val="auto"/>
          <w:szCs w:val="22"/>
        </w:rPr>
        <w:t xml:space="preserve"> </w:t>
      </w:r>
      <w:r>
        <w:rPr>
          <w:rFonts w:cs="Times New Roman"/>
          <w:color w:val="auto"/>
          <w:szCs w:val="22"/>
        </w:rPr>
        <w:t xml:space="preserve">However, the rise of resistance to ART in South East Asia and the synthetic limitations of the ART scaffold have paved the way for </w:t>
      </w:r>
      <w:r w:rsidR="0091464B">
        <w:rPr>
          <w:rFonts w:cs="Times New Roman"/>
          <w:color w:val="auto"/>
          <w:szCs w:val="22"/>
        </w:rPr>
        <w:t>the development of fully synthetic endoperoxide antimalarials.</w:t>
      </w:r>
    </w:p>
    <w:p w14:paraId="54503CA1" w14:textId="268F627C" w:rsidR="008C12AE" w:rsidRDefault="0091464B" w:rsidP="00532D1D">
      <w:pPr>
        <w:autoSpaceDE w:val="0"/>
        <w:autoSpaceDN w:val="0"/>
        <w:adjustRightInd w:val="0"/>
        <w:ind w:firstLine="360"/>
        <w:rPr>
          <w:rFonts w:cs="Times New Roman"/>
          <w:color w:val="auto"/>
          <w:szCs w:val="22"/>
        </w:rPr>
      </w:pPr>
      <w:r>
        <w:rPr>
          <w:rFonts w:cs="Times New Roman"/>
          <w:color w:val="auto"/>
          <w:szCs w:val="22"/>
        </w:rPr>
        <w:t>Several classes of synthetic endoperoxide antimalarials have been described in literature utilising a variety of endoperoxide warheads</w:t>
      </w:r>
      <w:r w:rsidR="00ED552E">
        <w:rPr>
          <w:rFonts w:cs="Times New Roman"/>
          <w:color w:val="auto"/>
          <w:szCs w:val="22"/>
        </w:rPr>
        <w:t>,</w:t>
      </w:r>
      <w:r>
        <w:rPr>
          <w:rFonts w:cs="Times New Roman"/>
          <w:color w:val="auto"/>
          <w:szCs w:val="22"/>
        </w:rPr>
        <w:t xml:space="preserve"> including 1,2-dioxanes, 1,2,4-trioxanes, 1,2,4-trioxolanes and 1,2,4,5-tetraoxanes.</w:t>
      </w:r>
      <w:r w:rsidR="00015844">
        <w:rPr>
          <w:rFonts w:cs="Times New Roman"/>
          <w:color w:val="auto"/>
          <w:szCs w:val="22"/>
        </w:rPr>
        <w:t xml:space="preserve"> Since the report o</w:t>
      </w:r>
      <w:r w:rsidR="00CC5E39">
        <w:rPr>
          <w:rFonts w:cs="Times New Roman"/>
          <w:color w:val="auto"/>
          <w:szCs w:val="22"/>
        </w:rPr>
        <w:t>n</w:t>
      </w:r>
      <w:r w:rsidR="00015844">
        <w:rPr>
          <w:rFonts w:cs="Times New Roman"/>
          <w:color w:val="auto"/>
          <w:szCs w:val="22"/>
        </w:rPr>
        <w:t xml:space="preserve"> Fenozan-50F in 1993 a number of these compounds have been carried forward to phase I and phase II clinical trials</w:t>
      </w:r>
      <w:r w:rsidR="00ED552E">
        <w:rPr>
          <w:rFonts w:cs="Times New Roman"/>
          <w:color w:val="auto"/>
          <w:szCs w:val="22"/>
        </w:rPr>
        <w:t>,</w:t>
      </w:r>
      <w:r w:rsidR="00015844">
        <w:rPr>
          <w:rFonts w:cs="Times New Roman"/>
          <w:color w:val="auto"/>
          <w:szCs w:val="22"/>
        </w:rPr>
        <w:t xml:space="preserve"> while also advancing the understanding of the mechanism of action of the varied sources of peroxide through mechanistic studies.</w:t>
      </w:r>
      <w:r w:rsidR="00B83764">
        <w:rPr>
          <w:rFonts w:cs="Times New Roman"/>
          <w:color w:val="auto"/>
          <w:szCs w:val="22"/>
        </w:rPr>
        <w:t xml:space="preserve"> </w:t>
      </w:r>
    </w:p>
    <w:p w14:paraId="2BAF43A2" w14:textId="5E450154" w:rsidR="00F55C11" w:rsidRDefault="00E716F8" w:rsidP="00532D1D">
      <w:pPr>
        <w:autoSpaceDE w:val="0"/>
        <w:autoSpaceDN w:val="0"/>
        <w:adjustRightInd w:val="0"/>
        <w:ind w:firstLine="360"/>
        <w:rPr>
          <w:rFonts w:cs="Times New Roman"/>
          <w:color w:val="auto"/>
          <w:szCs w:val="22"/>
        </w:rPr>
      </w:pPr>
      <w:r>
        <w:rPr>
          <w:rFonts w:cs="Times New Roman"/>
          <w:color w:val="auto"/>
          <w:szCs w:val="22"/>
        </w:rPr>
        <w:t xml:space="preserve">Of the compounds described in this work, only the 1,2,4-trioxolane classes and 1,2,4,5-tetraoxane based antimalarials appear to still be in active development – the most recent publication </w:t>
      </w:r>
      <w:r w:rsidR="00093531">
        <w:rPr>
          <w:rFonts w:cs="Times New Roman"/>
          <w:color w:val="auto"/>
          <w:szCs w:val="22"/>
        </w:rPr>
        <w:t xml:space="preserve">pertaining to the development of Arteflene, Fenozan-50F, DU1301 or </w:t>
      </w:r>
      <w:r w:rsidR="00093531" w:rsidRPr="00F55C11">
        <w:rPr>
          <w:rFonts w:cs="Times New Roman"/>
          <w:color w:val="auto"/>
          <w:szCs w:val="22"/>
        </w:rPr>
        <w:t>PA1103/SAR116242</w:t>
      </w:r>
      <w:r w:rsidR="00093531">
        <w:rPr>
          <w:rFonts w:cs="Times New Roman"/>
          <w:color w:val="auto"/>
          <w:szCs w:val="22"/>
        </w:rPr>
        <w:t xml:space="preserve"> was published in 2008. The results of a phase II clinical trial of Artefenomel with the partner drug Ferroquine are yet to be published and work into nanoformulation is underway. The most recent publication on the 1,2,4,5-tetraoxane antimalarials, published in 2018, related to the synthesis and characterisation of benzylmorpholine 1,2,4,5-tetraoxane antimalarials including the second generation tetraoxane antimalarial N205 which displayed similar </w:t>
      </w:r>
      <w:r w:rsidR="00093531">
        <w:rPr>
          <w:rFonts w:cs="Times New Roman"/>
          <w:i/>
          <w:iCs/>
          <w:color w:val="auto"/>
          <w:szCs w:val="22"/>
        </w:rPr>
        <w:t>in vivo</w:t>
      </w:r>
      <w:r w:rsidR="00093531">
        <w:rPr>
          <w:rFonts w:cs="Times New Roman"/>
          <w:color w:val="auto"/>
          <w:szCs w:val="22"/>
        </w:rPr>
        <w:t xml:space="preserve"> activity to E209 in the 30 day survival assay.</w:t>
      </w:r>
      <w:r w:rsidR="00093531">
        <w:rPr>
          <w:rFonts w:cs="Times New Roman"/>
          <w:color w:val="auto"/>
          <w:szCs w:val="22"/>
        </w:rPr>
        <w:fldChar w:fldCharType="begin" w:fldLock="1"/>
      </w:r>
      <w:r w:rsidR="00192B39">
        <w:rPr>
          <w:rFonts w:cs="Times New Roman"/>
          <w:color w:val="auto"/>
          <w:szCs w:val="22"/>
        </w:rPr>
        <w:instrText>ADDIN CSL_CITATION {"citationItems":[{"id":"ITEM-1","itemData":{"DOI":"10.1016/j.bmc.2018.05.006","ISSN":"14643391","PMID":"29779669","abstract":"A series of aryl carboxamide and benzylamino dispiro 1,2,4,5-tetraoxane analogues have been designed and synthesized in a short synthetic sequence from readily available starting materials. From this series of endoperoxides, molecules with in vitro IC50s versus Plasmodium falciparum (3D7) as low as 0.84 nM were identified. Based on an assessment of blood stability and in vitro microsomal stability, N205 (10a) was selected for rodent pharmacokinetic and in vivo antimalarial efficacy studies in the mouse Plasmodium berghei and Plasmodium falciparum Pf3D70087/N9 severe combined immunodeficiency (SCID) mouse models. The results indicate that the 4-benzylamino derivatives have excellent profiles with a representative of this series, N205, an excellent starting point for further lead optimization studies.","author":[{"dropping-particle":"","family":"O’ Neill","given":"Paul M.","non-dropping-particle":"","parse-names":false,"suffix":""},{"dropping-particle":"","family":"Stocks","given":"Paul A.","non-dropping-particle":"","parse-names":false,"suffix":""},{"dropping-particle":"","family":"Sabbani","given":"Sunil","non-dropping-particle":"","parse-names":false,"suffix":""},{"dropping-particle":"","family":"Roberts","given":"Natalie L.","non-dropping-particle":"","parse-names":false,"suffix":""},{"dropping-particle":"","family":"Amewu","given":"Richard K.","non-dropping-particle":"","parse-names":false,"suffix":""},{"dropping-particle":"","family":"Shore","given":"Emma R.","non-dropping-particle":"","parse-names":false,"suffix":""},{"dropping-particle":"","family":"Aljayyoussi","given":"Ghaith","non-dropping-particle":"","parse-names":false,"suffix":""},{"dropping-particle":"","family":"Angulo-Barturén","given":"Iñigo","non-dropping-particle":"","parse-names":false,"suffix":""},{"dropping-particle":"","family":"Belén","given":"María","non-dropping-particle":"","parse-names":false,"suffix":""},{"dropping-particle":"","family":"Jiménez-Díaz","given":"","non-dropping-particle":"","parse-names":false,"suffix":""},{"dropping-particle":"","family":"Bazaga","given":"Santiago Ferrer","non-dropping-particle":"","parse-names":false,"suffix":""},{"dropping-particle":"","family":"Martínez","given":"María Santos","non-dropping-particle":"","parse-names":false,"suffix":""},{"dropping-particle":"","family":"Campo","given":"Brice","non-dropping-particle":"","parse-names":false,"suffix":""},{"dropping-particle":"","family":"Sharma","given":"Raman","non-dropping-particle":"","parse-names":false,"suffix":""},{"dropping-particle":"","family":"Charman","given":"Susan A.","non-dropping-particle":"","parse-names":false,"suffix":""},{"dropping-particle":"","family":"Ryan","given":"Eileen","non-dropping-particle":"","parse-names":false,"suffix":""},{"dropping-particle":"","family":"Chen","given":"Gong","non-dropping-particle":"","parse-names":false,"suffix":""},{"dropping-particle":"","family":"Shackleford","given":"David M.","non-dropping-particle":"","parse-names":false,"suffix":""},{"dropping-particle":"","family":"Davies","given":"Jill","non-dropping-particle":"","parse-names":false,"suffix":""},{"dropping-particle":"","family":"Nixon","given":"Gemma L.","non-dropping-particle":"","parse-names":false,"suffix":""},{"dropping-particle":"","family":"Biagini","given":"Giancarlo A.","non-dropping-particle":"","parse-names":false,"suffix":""},{"dropping-particle":"","family":"Ward","given":"Stephen A.","non-dropping-particle":"","parse-names":false,"suffix":""}],"container-title":"Bioorganic and Medicinal Chemistry","id":"ITEM-1","issue":"11","issued":{"date-parts":[["2018"]]},"page":"2996-3005","title":"Synthesis and profiling of benzylmorpholine 1,2,4,5-tetraoxane analogue N205: Towards tetraoxane scaffolds with potential for single dose cure of malaria","type":"article-journal","volume":"26"},"uris":["http://www.mendeley.com/documents/?uuid=b01a6628-e486-4bc8-9c65-23f027e524bc"]}],"mendeley":{"formattedCitation":"&lt;sup&gt;137&lt;/sup&gt;","plainTextFormattedCitation":"137","previouslyFormattedCitation":"&lt;sup&gt;137&lt;/sup&gt;"},"properties":{"noteIndex":0},"schema":"https://github.com/citation-style-language/schema/raw/master/csl-citation.json"}</w:instrText>
      </w:r>
      <w:r w:rsidR="00093531">
        <w:rPr>
          <w:rFonts w:cs="Times New Roman"/>
          <w:color w:val="auto"/>
          <w:szCs w:val="22"/>
        </w:rPr>
        <w:fldChar w:fldCharType="separate"/>
      </w:r>
      <w:r w:rsidR="00CA5C6A" w:rsidRPr="00CA5C6A">
        <w:rPr>
          <w:rFonts w:cs="Times New Roman"/>
          <w:noProof/>
          <w:color w:val="auto"/>
          <w:szCs w:val="22"/>
          <w:vertAlign w:val="superscript"/>
        </w:rPr>
        <w:t>137</w:t>
      </w:r>
      <w:r w:rsidR="00093531">
        <w:rPr>
          <w:rFonts w:cs="Times New Roman"/>
          <w:color w:val="auto"/>
          <w:szCs w:val="22"/>
        </w:rPr>
        <w:fldChar w:fldCharType="end"/>
      </w:r>
      <w:r w:rsidR="00093531">
        <w:rPr>
          <w:rFonts w:cs="Times New Roman"/>
          <w:color w:val="auto"/>
          <w:szCs w:val="22"/>
        </w:rPr>
        <w:t xml:space="preserve"> Looking forward, the incorporation of synthetic endoperoxide antimalarials into ACT regimens might be the solution to the looming threat of ART resistance. </w:t>
      </w:r>
      <w:r>
        <w:rPr>
          <w:rFonts w:cs="Times New Roman"/>
          <w:color w:val="auto"/>
          <w:szCs w:val="22"/>
        </w:rPr>
        <w:t xml:space="preserve"> </w:t>
      </w:r>
    </w:p>
    <w:p w14:paraId="251F12B7" w14:textId="341DC48F" w:rsidR="00C55114" w:rsidRDefault="00C55114" w:rsidP="00532D1D">
      <w:pPr>
        <w:autoSpaceDE w:val="0"/>
        <w:autoSpaceDN w:val="0"/>
        <w:adjustRightInd w:val="0"/>
        <w:ind w:firstLine="360"/>
        <w:rPr>
          <w:rFonts w:cs="Times New Roman"/>
          <w:color w:val="auto"/>
          <w:szCs w:val="22"/>
        </w:rPr>
      </w:pPr>
    </w:p>
    <w:p w14:paraId="7E184AB5" w14:textId="77777777" w:rsidR="00C55114" w:rsidRDefault="00C55114" w:rsidP="00532D1D">
      <w:pPr>
        <w:autoSpaceDE w:val="0"/>
        <w:autoSpaceDN w:val="0"/>
        <w:adjustRightInd w:val="0"/>
        <w:rPr>
          <w:rFonts w:cs="Times New Roman"/>
          <w:color w:val="auto"/>
          <w:szCs w:val="22"/>
        </w:rPr>
      </w:pPr>
    </w:p>
    <w:p w14:paraId="04F7009D" w14:textId="7A00722A" w:rsidR="00C55114" w:rsidRPr="00CB6D7F" w:rsidRDefault="00C55114" w:rsidP="00532D1D">
      <w:pPr>
        <w:pStyle w:val="PargrafodaLista"/>
        <w:numPr>
          <w:ilvl w:val="0"/>
          <w:numId w:val="3"/>
        </w:numPr>
        <w:autoSpaceDE w:val="0"/>
        <w:autoSpaceDN w:val="0"/>
        <w:adjustRightInd w:val="0"/>
        <w:rPr>
          <w:color w:val="auto"/>
          <w:szCs w:val="22"/>
        </w:rPr>
      </w:pPr>
      <w:r w:rsidRPr="00CB6D7F">
        <w:rPr>
          <w:b/>
        </w:rPr>
        <w:t xml:space="preserve">Acknowledgment </w:t>
      </w:r>
      <w:r w:rsidR="00D73DE7">
        <w:rPr>
          <w:b/>
        </w:rPr>
        <w:t xml:space="preserve"> </w:t>
      </w:r>
    </w:p>
    <w:p w14:paraId="2B4B2D5E" w14:textId="1D6B9CC5" w:rsidR="00C55114" w:rsidRDefault="00C55114" w:rsidP="00532D1D">
      <w:pPr>
        <w:rPr>
          <w:bCs/>
        </w:rPr>
      </w:pPr>
      <w:r w:rsidRPr="009B0388">
        <w:rPr>
          <w:bCs/>
        </w:rPr>
        <w:t xml:space="preserve">P.S.M.A. </w:t>
      </w:r>
      <w:r w:rsidR="00575127">
        <w:rPr>
          <w:bCs/>
        </w:rPr>
        <w:t>and M</w:t>
      </w:r>
      <w:r w:rsidR="007A62BC">
        <w:rPr>
          <w:bCs/>
        </w:rPr>
        <w:t>.</w:t>
      </w:r>
      <w:r w:rsidR="00575127">
        <w:rPr>
          <w:bCs/>
        </w:rPr>
        <w:t>L</w:t>
      </w:r>
      <w:r w:rsidR="007A62BC">
        <w:rPr>
          <w:bCs/>
        </w:rPr>
        <w:t>.</w:t>
      </w:r>
      <w:r w:rsidR="00575127">
        <w:rPr>
          <w:bCs/>
        </w:rPr>
        <w:t>S</w:t>
      </w:r>
      <w:r w:rsidR="007A62BC">
        <w:rPr>
          <w:bCs/>
        </w:rPr>
        <w:t>.</w:t>
      </w:r>
      <w:r w:rsidR="00575127">
        <w:rPr>
          <w:bCs/>
        </w:rPr>
        <w:t xml:space="preserve">C </w:t>
      </w:r>
      <w:r w:rsidRPr="009B0388">
        <w:t xml:space="preserve">acknowledge </w:t>
      </w:r>
      <w:r w:rsidR="00575127">
        <w:t>Fundação para a Ciência e a Tecnologia (</w:t>
      </w:r>
      <w:r w:rsidRPr="009B0388">
        <w:t>FCT</w:t>
      </w:r>
      <w:r w:rsidR="00575127">
        <w:t>)</w:t>
      </w:r>
      <w:r w:rsidRPr="009B0388">
        <w:t xml:space="preserve"> for </w:t>
      </w:r>
      <w:r w:rsidRPr="009B0388">
        <w:rPr>
          <w:bCs/>
        </w:rPr>
        <w:t>Grant SFRH/BD/130407/2017</w:t>
      </w:r>
      <w:r w:rsidR="00575127">
        <w:rPr>
          <w:bCs/>
        </w:rPr>
        <w:t xml:space="preserve"> and project </w:t>
      </w:r>
      <w:r w:rsidR="00575127" w:rsidRPr="00B462B1">
        <w:t>UID/MULTI/04326/20</w:t>
      </w:r>
      <w:r w:rsidR="00575127">
        <w:t>20</w:t>
      </w:r>
      <w:r w:rsidR="00575127" w:rsidRPr="00B462B1">
        <w:t xml:space="preserve"> (</w:t>
      </w:r>
      <w:r w:rsidR="00575127" w:rsidRPr="001638A2">
        <w:t>CCM</w:t>
      </w:r>
      <w:r w:rsidR="00575127">
        <w:t>AR</w:t>
      </w:r>
      <w:r w:rsidR="00575127" w:rsidRPr="001638A2">
        <w:t>)</w:t>
      </w:r>
      <w:r w:rsidRPr="009B0388">
        <w:rPr>
          <w:bCs/>
        </w:rPr>
        <w:t>.</w:t>
      </w:r>
      <w:r w:rsidR="00D73DE7">
        <w:rPr>
          <w:bCs/>
        </w:rPr>
        <w:t xml:space="preserve"> </w:t>
      </w:r>
    </w:p>
    <w:p w14:paraId="2FC693FF" w14:textId="77777777" w:rsidR="00C55114" w:rsidRPr="00C55114" w:rsidRDefault="00C55114" w:rsidP="00532D1D">
      <w:pPr>
        <w:rPr>
          <w:bCs/>
        </w:rPr>
      </w:pPr>
    </w:p>
    <w:p w14:paraId="5B913792" w14:textId="77777777" w:rsidR="005A3619" w:rsidRPr="00C07E8E" w:rsidRDefault="00C07E8E" w:rsidP="00532D1D">
      <w:pPr>
        <w:pStyle w:val="Ttulo1"/>
        <w:numPr>
          <w:ilvl w:val="0"/>
          <w:numId w:val="3"/>
        </w:numPr>
        <w:rPr>
          <w:sz w:val="22"/>
          <w:szCs w:val="22"/>
        </w:rPr>
      </w:pPr>
      <w:r w:rsidRPr="00C07E8E">
        <w:rPr>
          <w:sz w:val="22"/>
          <w:szCs w:val="22"/>
        </w:rPr>
        <w:t xml:space="preserve">References </w:t>
      </w:r>
    </w:p>
    <w:p w14:paraId="0D899886" w14:textId="74301825" w:rsidR="00192B39" w:rsidRPr="00192B39" w:rsidRDefault="008C12AE" w:rsidP="00532D1D">
      <w:pPr>
        <w:widowControl w:val="0"/>
        <w:autoSpaceDE w:val="0"/>
        <w:autoSpaceDN w:val="0"/>
        <w:adjustRightInd w:val="0"/>
        <w:ind w:left="640" w:hanging="640"/>
        <w:rPr>
          <w:rFonts w:cs="Times New Roman"/>
          <w:noProof/>
        </w:rPr>
      </w:pPr>
      <w:r>
        <w:rPr>
          <w:rFonts w:cs="Times New Roman"/>
          <w:noProof/>
          <w:color w:val="auto"/>
          <w:szCs w:val="22"/>
        </w:rPr>
        <w:fldChar w:fldCharType="begin" w:fldLock="1"/>
      </w:r>
      <w:r>
        <w:rPr>
          <w:rFonts w:cs="Times New Roman"/>
          <w:noProof/>
          <w:color w:val="auto"/>
          <w:szCs w:val="22"/>
        </w:rPr>
        <w:instrText xml:space="preserve">ADDIN Mendeley Bibliography CSL_BIBLIOGRAPHY </w:instrText>
      </w:r>
      <w:r>
        <w:rPr>
          <w:rFonts w:cs="Times New Roman"/>
          <w:noProof/>
          <w:color w:val="auto"/>
          <w:szCs w:val="22"/>
        </w:rPr>
        <w:fldChar w:fldCharType="separate"/>
      </w:r>
      <w:r w:rsidR="00192B39" w:rsidRPr="00192B39">
        <w:rPr>
          <w:rFonts w:cs="Times New Roman"/>
          <w:noProof/>
        </w:rPr>
        <w:t xml:space="preserve">1. </w:t>
      </w:r>
      <w:r w:rsidR="00192B39" w:rsidRPr="00192B39">
        <w:rPr>
          <w:rFonts w:cs="Times New Roman"/>
          <w:noProof/>
        </w:rPr>
        <w:tab/>
        <w:t xml:space="preserve">Veith I. </w:t>
      </w:r>
      <w:r w:rsidR="00192B39" w:rsidRPr="00192B39">
        <w:rPr>
          <w:rFonts w:cs="Times New Roman"/>
          <w:i/>
          <w:iCs/>
          <w:noProof/>
        </w:rPr>
        <w:t>The Yellow Emperor’s Classic of Internal Medicine</w:t>
      </w:r>
      <w:r w:rsidR="00192B39" w:rsidRPr="00192B39">
        <w:rPr>
          <w:rFonts w:cs="Times New Roman"/>
          <w:noProof/>
        </w:rPr>
        <w:t>. University of California Press; 2019. doi:10.1525/9780520963245</w:t>
      </w:r>
    </w:p>
    <w:p w14:paraId="72AD081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 </w:t>
      </w:r>
      <w:r w:rsidRPr="00192B39">
        <w:rPr>
          <w:rFonts w:cs="Times New Roman"/>
          <w:noProof/>
        </w:rPr>
        <w:tab/>
        <w:t xml:space="preserve">Curran J. The Yellow Emperor’s Classic of Internal Medicine. </w:t>
      </w:r>
      <w:r w:rsidRPr="00192B39">
        <w:rPr>
          <w:rFonts w:cs="Times New Roman"/>
          <w:i/>
          <w:iCs/>
          <w:noProof/>
        </w:rPr>
        <w:t>Br Med J</w:t>
      </w:r>
      <w:r w:rsidRPr="00192B39">
        <w:rPr>
          <w:rFonts w:cs="Times New Roman"/>
          <w:noProof/>
        </w:rPr>
        <w:t>. 2008;336(7647):777.2-777. doi:10.1136/bmj.39527.472303.4e</w:t>
      </w:r>
    </w:p>
    <w:p w14:paraId="731C827E"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 </w:t>
      </w:r>
      <w:r w:rsidRPr="00192B39">
        <w:rPr>
          <w:rFonts w:cs="Times New Roman"/>
          <w:noProof/>
        </w:rPr>
        <w:tab/>
        <w:t xml:space="preserve">Unschuld PU, Tessenow H, Jinsheng Z. </w:t>
      </w:r>
      <w:r w:rsidRPr="00192B39">
        <w:rPr>
          <w:rFonts w:cs="Times New Roman"/>
          <w:i/>
          <w:iCs/>
          <w:noProof/>
        </w:rPr>
        <w:t>Huang Di Nei Jing Su Wen: An Annotated Translation of Huang Di’s Inner Classic - Basic Questions</w:t>
      </w:r>
      <w:r w:rsidRPr="00192B39">
        <w:rPr>
          <w:rFonts w:cs="Times New Roman"/>
          <w:noProof/>
        </w:rPr>
        <w:t>.; 2011. doi:10.1016/j.dza.2013.06.025</w:t>
      </w:r>
    </w:p>
    <w:p w14:paraId="27C70CB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 </w:t>
      </w:r>
      <w:r w:rsidRPr="00192B39">
        <w:rPr>
          <w:rFonts w:cs="Times New Roman"/>
          <w:noProof/>
        </w:rPr>
        <w:tab/>
        <w:t xml:space="preserve">Willcox ML, Bodeker G. Traditional herbal medicines for malaria. </w:t>
      </w:r>
      <w:r w:rsidRPr="00192B39">
        <w:rPr>
          <w:rFonts w:cs="Times New Roman"/>
          <w:i/>
          <w:iCs/>
          <w:noProof/>
        </w:rPr>
        <w:t>Br Med J</w:t>
      </w:r>
      <w:r w:rsidRPr="00192B39">
        <w:rPr>
          <w:rFonts w:cs="Times New Roman"/>
          <w:noProof/>
        </w:rPr>
        <w:t xml:space="preserve">. </w:t>
      </w:r>
      <w:r w:rsidRPr="00192B39">
        <w:rPr>
          <w:rFonts w:cs="Times New Roman"/>
          <w:noProof/>
        </w:rPr>
        <w:lastRenderedPageBreak/>
        <w:t>2004;329(7475):1156-1159. doi:10.1136/bmj.329.7475.1156</w:t>
      </w:r>
    </w:p>
    <w:p w14:paraId="1A3EB1F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 </w:t>
      </w:r>
      <w:r w:rsidRPr="00192B39">
        <w:rPr>
          <w:rFonts w:cs="Times New Roman"/>
          <w:noProof/>
        </w:rPr>
        <w:tab/>
        <w:t xml:space="preserve">Li M, Liang Y. Ge Hong and Zhou Hou Jiu Zu Fang (A Handbook of Formulas for Emergencies). </w:t>
      </w:r>
      <w:r w:rsidRPr="00192B39">
        <w:rPr>
          <w:rFonts w:cs="Times New Roman"/>
          <w:i/>
          <w:iCs/>
          <w:noProof/>
        </w:rPr>
        <w:t>J Tradit Chinese Med Sci</w:t>
      </w:r>
      <w:r w:rsidRPr="00192B39">
        <w:rPr>
          <w:rFonts w:cs="Times New Roman"/>
          <w:noProof/>
        </w:rPr>
        <w:t>. 2016;3(1):1-2. doi:10.1016/j.jtcms.2016.09.001</w:t>
      </w:r>
    </w:p>
    <w:p w14:paraId="723D945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 </w:t>
      </w:r>
      <w:r w:rsidRPr="00192B39">
        <w:rPr>
          <w:rFonts w:cs="Times New Roman"/>
          <w:noProof/>
        </w:rPr>
        <w:tab/>
        <w:t xml:space="preserve">Tu Y. The discovery of artemisinin (qinghaosu) and gifts from Chinese medicine. </w:t>
      </w:r>
      <w:r w:rsidRPr="00192B39">
        <w:rPr>
          <w:rFonts w:cs="Times New Roman"/>
          <w:i/>
          <w:iCs/>
          <w:noProof/>
        </w:rPr>
        <w:t>Nat Med</w:t>
      </w:r>
      <w:r w:rsidRPr="00192B39">
        <w:rPr>
          <w:rFonts w:cs="Times New Roman"/>
          <w:noProof/>
        </w:rPr>
        <w:t>. 2011;17(10):1217-1220. doi:10.1038/nm.2471</w:t>
      </w:r>
    </w:p>
    <w:p w14:paraId="3F70980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 </w:t>
      </w:r>
      <w:r w:rsidRPr="00192B39">
        <w:rPr>
          <w:rFonts w:cs="Times New Roman"/>
          <w:noProof/>
        </w:rPr>
        <w:tab/>
        <w:t xml:space="preserve">Hsu E. Reflections on the “discovery” of the antimalarial qinghao. </w:t>
      </w:r>
      <w:r w:rsidRPr="00192B39">
        <w:rPr>
          <w:rFonts w:cs="Times New Roman"/>
          <w:i/>
          <w:iCs/>
          <w:noProof/>
        </w:rPr>
        <w:t>Br J Clin Pharmacol</w:t>
      </w:r>
      <w:r w:rsidRPr="00192B39">
        <w:rPr>
          <w:rFonts w:cs="Times New Roman"/>
          <w:noProof/>
        </w:rPr>
        <w:t>. 2006;61(6):666-670. doi:10.1111/j.1365-2125.2006.02673.x</w:t>
      </w:r>
    </w:p>
    <w:p w14:paraId="5D846CC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 </w:t>
      </w:r>
      <w:r w:rsidRPr="00192B39">
        <w:rPr>
          <w:rFonts w:cs="Times New Roman"/>
          <w:noProof/>
        </w:rPr>
        <w:tab/>
        <w:t xml:space="preserve">Su XZ, Miller LH. The discovery of artemisinin and the Nobel Prize in Physiology or Medicine. </w:t>
      </w:r>
      <w:r w:rsidRPr="00192B39">
        <w:rPr>
          <w:rFonts w:cs="Times New Roman"/>
          <w:i/>
          <w:iCs/>
          <w:noProof/>
        </w:rPr>
        <w:t>Sci China Life Sci</w:t>
      </w:r>
      <w:r w:rsidRPr="00192B39">
        <w:rPr>
          <w:rFonts w:cs="Times New Roman"/>
          <w:noProof/>
        </w:rPr>
        <w:t>. 2015;58(11):1175-1179. doi:10.1007/s11427-015-4948-7</w:t>
      </w:r>
    </w:p>
    <w:p w14:paraId="3C4ED9C7"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 </w:t>
      </w:r>
      <w:r w:rsidRPr="00192B39">
        <w:rPr>
          <w:rFonts w:cs="Times New Roman"/>
          <w:noProof/>
        </w:rPr>
        <w:tab/>
        <w:t xml:space="preserve">Faurant C. From bark to weed: The history of artemisinin. </w:t>
      </w:r>
      <w:r w:rsidRPr="00192B39">
        <w:rPr>
          <w:rFonts w:cs="Times New Roman"/>
          <w:i/>
          <w:iCs/>
          <w:noProof/>
        </w:rPr>
        <w:t>Parasite</w:t>
      </w:r>
      <w:r w:rsidRPr="00192B39">
        <w:rPr>
          <w:rFonts w:cs="Times New Roman"/>
          <w:noProof/>
        </w:rPr>
        <w:t>. 2011;18(3):215-218. doi:10.1051/parasite/2011183215</w:t>
      </w:r>
    </w:p>
    <w:p w14:paraId="380570F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 </w:t>
      </w:r>
      <w:r w:rsidRPr="00192B39">
        <w:rPr>
          <w:rFonts w:cs="Times New Roman"/>
          <w:noProof/>
        </w:rPr>
        <w:tab/>
        <w:t xml:space="preserve">Lee IS, Hufford CD. Metabolism of antimalarial sesquiterpene lactones. </w:t>
      </w:r>
      <w:r w:rsidRPr="00192B39">
        <w:rPr>
          <w:rFonts w:cs="Times New Roman"/>
          <w:i/>
          <w:iCs/>
          <w:noProof/>
        </w:rPr>
        <w:t>Pharmacol Ther</w:t>
      </w:r>
      <w:r w:rsidRPr="00192B39">
        <w:rPr>
          <w:rFonts w:cs="Times New Roman"/>
          <w:noProof/>
        </w:rPr>
        <w:t>. 1990;48(3):345-355. doi:10.1016/0163-7258(90)90053-5</w:t>
      </w:r>
    </w:p>
    <w:p w14:paraId="43CAE2F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 </w:t>
      </w:r>
      <w:r w:rsidRPr="00192B39">
        <w:rPr>
          <w:rFonts w:cs="Times New Roman"/>
          <w:noProof/>
        </w:rPr>
        <w:tab/>
        <w:t xml:space="preserve">Ying L. Artemisinin Derivatives and Analogues. In: </w:t>
      </w:r>
      <w:r w:rsidRPr="00192B39">
        <w:rPr>
          <w:rFonts w:cs="Times New Roman"/>
          <w:i/>
          <w:iCs/>
          <w:noProof/>
        </w:rPr>
        <w:t>Artemisinin-Based and Other Antimalarials: Detailed Account of Studies by Chinese Scientists Who Discovered and Developed Them</w:t>
      </w:r>
      <w:r w:rsidRPr="00192B39">
        <w:rPr>
          <w:rFonts w:cs="Times New Roman"/>
          <w:noProof/>
        </w:rPr>
        <w:t>. Academic Press; 2018:177-196. doi:10.1016/B978-0-12-813133-6.00004-4</w:t>
      </w:r>
    </w:p>
    <w:p w14:paraId="5971B22F" w14:textId="77777777" w:rsidR="00192B39" w:rsidRPr="007370A6" w:rsidRDefault="00192B39" w:rsidP="00532D1D">
      <w:pPr>
        <w:widowControl w:val="0"/>
        <w:autoSpaceDE w:val="0"/>
        <w:autoSpaceDN w:val="0"/>
        <w:adjustRightInd w:val="0"/>
        <w:ind w:left="640" w:hanging="640"/>
        <w:rPr>
          <w:rFonts w:cs="Times New Roman"/>
          <w:noProof/>
          <w:lang w:val="pt-PT"/>
        </w:rPr>
      </w:pPr>
      <w:r w:rsidRPr="00192B39">
        <w:rPr>
          <w:rFonts w:cs="Times New Roman"/>
          <w:noProof/>
        </w:rPr>
        <w:t xml:space="preserve">12. </w:t>
      </w:r>
      <w:r w:rsidRPr="00192B39">
        <w:rPr>
          <w:rFonts w:cs="Times New Roman"/>
          <w:noProof/>
        </w:rPr>
        <w:tab/>
        <w:t xml:space="preserve">Jansen FH. The pharmaceutical death-ride of dihydroartemisinin. </w:t>
      </w:r>
      <w:r w:rsidRPr="007370A6">
        <w:rPr>
          <w:rFonts w:cs="Times New Roman"/>
          <w:i/>
          <w:iCs/>
          <w:noProof/>
          <w:lang w:val="pt-PT"/>
        </w:rPr>
        <w:t>Malar J</w:t>
      </w:r>
      <w:r w:rsidRPr="007370A6">
        <w:rPr>
          <w:rFonts w:cs="Times New Roman"/>
          <w:noProof/>
          <w:lang w:val="pt-PT"/>
        </w:rPr>
        <w:t>. 2010;9(1):212. doi:10.1186/1475-2875-9-212</w:t>
      </w:r>
    </w:p>
    <w:p w14:paraId="79CDA577" w14:textId="77777777" w:rsidR="00192B39" w:rsidRPr="00192B39" w:rsidRDefault="00192B39" w:rsidP="00532D1D">
      <w:pPr>
        <w:widowControl w:val="0"/>
        <w:autoSpaceDE w:val="0"/>
        <w:autoSpaceDN w:val="0"/>
        <w:adjustRightInd w:val="0"/>
        <w:ind w:left="640" w:hanging="640"/>
        <w:rPr>
          <w:rFonts w:cs="Times New Roman"/>
          <w:noProof/>
        </w:rPr>
      </w:pPr>
      <w:r w:rsidRPr="007370A6">
        <w:rPr>
          <w:rFonts w:cs="Times New Roman"/>
          <w:noProof/>
          <w:lang w:val="pt-PT"/>
        </w:rPr>
        <w:t xml:space="preserve">13. </w:t>
      </w:r>
      <w:r w:rsidRPr="007370A6">
        <w:rPr>
          <w:rFonts w:cs="Times New Roman"/>
          <w:noProof/>
          <w:lang w:val="pt-PT"/>
        </w:rPr>
        <w:tab/>
        <w:t xml:space="preserve">Brossi A, Venugopalan B, Gerpe LD, et al. </w:t>
      </w:r>
      <w:r w:rsidRPr="00192B39">
        <w:rPr>
          <w:rFonts w:cs="Times New Roman"/>
          <w:noProof/>
        </w:rPr>
        <w:t xml:space="preserve">Arteether, a New Antimalarial Drug: Synthesis and Antimalarial Properties. </w:t>
      </w:r>
      <w:r w:rsidRPr="00192B39">
        <w:rPr>
          <w:rFonts w:cs="Times New Roman"/>
          <w:i/>
          <w:iCs/>
          <w:noProof/>
        </w:rPr>
        <w:t>J Med Chem</w:t>
      </w:r>
      <w:r w:rsidRPr="00192B39">
        <w:rPr>
          <w:rFonts w:cs="Times New Roman"/>
          <w:noProof/>
        </w:rPr>
        <w:t>. 1988;31(3):645-650. doi:10.1021/jm00398a026</w:t>
      </w:r>
    </w:p>
    <w:p w14:paraId="6151B1C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14. </w:t>
      </w:r>
      <w:r w:rsidRPr="00192B39">
        <w:rPr>
          <w:rFonts w:cs="Times New Roman"/>
          <w:noProof/>
        </w:rPr>
        <w:tab/>
        <w:t xml:space="preserve">Abdulla S, Sagara I. Dispersible formulation of artemether/lumefantrine: Specifically developed for infants and young children. </w:t>
      </w:r>
      <w:r w:rsidRPr="00192B39">
        <w:rPr>
          <w:rFonts w:cs="Times New Roman"/>
          <w:i/>
          <w:iCs/>
          <w:noProof/>
        </w:rPr>
        <w:t>Malar J</w:t>
      </w:r>
      <w:r w:rsidRPr="00192B39">
        <w:rPr>
          <w:rFonts w:cs="Times New Roman"/>
          <w:noProof/>
        </w:rPr>
        <w:t>. 2009;8(SUPPL. 1):S7. doi:10.1186/1475-2875-8-S1-S7</w:t>
      </w:r>
    </w:p>
    <w:p w14:paraId="161D05C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15. </w:t>
      </w:r>
      <w:r w:rsidRPr="00192B39">
        <w:rPr>
          <w:rFonts w:cs="Times New Roman"/>
          <w:noProof/>
        </w:rPr>
        <w:tab/>
        <w:t xml:space="preserve">Abdulla S, Sagara I, Borrmann S, et al. Efficacy and safety of artemether-lumefantrine dispersible tablets compared with crushed commercial tablets in African infants and children with uncomplicated malaria: a randomised, single-blind, multicentre trial. </w:t>
      </w:r>
      <w:r w:rsidRPr="00192B39">
        <w:rPr>
          <w:rFonts w:cs="Times New Roman"/>
          <w:i/>
          <w:iCs/>
          <w:noProof/>
        </w:rPr>
        <w:t>Lancet</w:t>
      </w:r>
      <w:r w:rsidRPr="00192B39">
        <w:rPr>
          <w:rFonts w:cs="Times New Roman"/>
          <w:noProof/>
        </w:rPr>
        <w:t>. 2008;372(9652):1819-1827. doi:10.1016/S0140-6736(08)61492-0</w:t>
      </w:r>
    </w:p>
    <w:p w14:paraId="7273031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16. </w:t>
      </w:r>
      <w:r w:rsidRPr="00192B39">
        <w:rPr>
          <w:rFonts w:cs="Times New Roman"/>
          <w:noProof/>
        </w:rPr>
        <w:tab/>
        <w:t xml:space="preserve">Djimdé AA, Tekete M, Abdulla S, et al. Pharmacokinetic and pharmacodynamic characteristics of a new pediatric formulation of artemether-lumefantrine in African children with uncomplicated Plasmodium falciparum malaria. </w:t>
      </w:r>
      <w:r w:rsidRPr="00192B39">
        <w:rPr>
          <w:rFonts w:cs="Times New Roman"/>
          <w:i/>
          <w:iCs/>
          <w:noProof/>
        </w:rPr>
        <w:t>Antimicrob Agents Chemother</w:t>
      </w:r>
      <w:r w:rsidRPr="00192B39">
        <w:rPr>
          <w:rFonts w:cs="Times New Roman"/>
          <w:noProof/>
        </w:rPr>
        <w:t>. 2011;55(9):3994-3999. doi:10.1128/AAC.01115-10</w:t>
      </w:r>
    </w:p>
    <w:p w14:paraId="4149C5B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17. </w:t>
      </w:r>
      <w:r w:rsidRPr="00192B39">
        <w:rPr>
          <w:rFonts w:cs="Times New Roman"/>
          <w:noProof/>
        </w:rPr>
        <w:tab/>
        <w:t xml:space="preserve">John CC. Primaquine plus artemisinin combination therapy for reduction of malaria transmission: Promise and risk. </w:t>
      </w:r>
      <w:r w:rsidRPr="00192B39">
        <w:rPr>
          <w:rFonts w:cs="Times New Roman"/>
          <w:i/>
          <w:iCs/>
          <w:noProof/>
        </w:rPr>
        <w:t>BMC Med</w:t>
      </w:r>
      <w:r w:rsidRPr="00192B39">
        <w:rPr>
          <w:rFonts w:cs="Times New Roman"/>
          <w:noProof/>
        </w:rPr>
        <w:t>. 2016;14:65. doi:10.1186/s12916-016-0611-9</w:t>
      </w:r>
    </w:p>
    <w:p w14:paraId="463216C1" w14:textId="77777777" w:rsidR="00192B39" w:rsidRPr="007370A6" w:rsidRDefault="00192B39" w:rsidP="00532D1D">
      <w:pPr>
        <w:widowControl w:val="0"/>
        <w:autoSpaceDE w:val="0"/>
        <w:autoSpaceDN w:val="0"/>
        <w:adjustRightInd w:val="0"/>
        <w:ind w:left="640" w:hanging="640"/>
        <w:rPr>
          <w:rFonts w:cs="Times New Roman"/>
          <w:noProof/>
          <w:lang w:val="pt-PT"/>
        </w:rPr>
      </w:pPr>
      <w:r w:rsidRPr="00192B39">
        <w:rPr>
          <w:rFonts w:cs="Times New Roman"/>
          <w:noProof/>
        </w:rPr>
        <w:t xml:space="preserve">18. </w:t>
      </w:r>
      <w:r w:rsidRPr="00192B39">
        <w:rPr>
          <w:rFonts w:cs="Times New Roman"/>
          <w:noProof/>
        </w:rPr>
        <w:tab/>
        <w:t xml:space="preserve">Premji ZG. Coartem°: The journey to the clinic. </w:t>
      </w:r>
      <w:r w:rsidRPr="007370A6">
        <w:rPr>
          <w:rFonts w:cs="Times New Roman"/>
          <w:i/>
          <w:iCs/>
          <w:noProof/>
          <w:lang w:val="pt-PT"/>
        </w:rPr>
        <w:t>Malar J</w:t>
      </w:r>
      <w:r w:rsidRPr="007370A6">
        <w:rPr>
          <w:rFonts w:cs="Times New Roman"/>
          <w:noProof/>
          <w:lang w:val="pt-PT"/>
        </w:rPr>
        <w:t>. 2009;8(SUPPL. 1):S3. doi:10.1186/1475-2875-8-S1-S3</w:t>
      </w:r>
    </w:p>
    <w:p w14:paraId="0A9FC2D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19. </w:t>
      </w:r>
      <w:r w:rsidRPr="00192B39">
        <w:rPr>
          <w:rFonts w:cs="Times New Roman"/>
          <w:noProof/>
        </w:rPr>
        <w:tab/>
        <w:t xml:space="preserve">Li Q, Weina P. Artesunate: The best drug in the treatment of severe and complicated malaria. </w:t>
      </w:r>
      <w:r w:rsidRPr="00192B39">
        <w:rPr>
          <w:rFonts w:cs="Times New Roman"/>
          <w:i/>
          <w:iCs/>
          <w:noProof/>
        </w:rPr>
        <w:t>Pharmaceuticals</w:t>
      </w:r>
      <w:r w:rsidRPr="00192B39">
        <w:rPr>
          <w:rFonts w:cs="Times New Roman"/>
          <w:noProof/>
        </w:rPr>
        <w:t>. 2010;3(7):2322-2332. doi:10.3390/ph3072322</w:t>
      </w:r>
    </w:p>
    <w:p w14:paraId="2E021B4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lastRenderedPageBreak/>
        <w:t xml:space="preserve">20. </w:t>
      </w:r>
      <w:r w:rsidRPr="00192B39">
        <w:rPr>
          <w:rFonts w:cs="Times New Roman"/>
          <w:noProof/>
        </w:rPr>
        <w:tab/>
        <w:t xml:space="preserve">Reyburn H. New WHO guidelines for the treatment of malaria. </w:t>
      </w:r>
      <w:r w:rsidRPr="00192B39">
        <w:rPr>
          <w:rFonts w:cs="Times New Roman"/>
          <w:i/>
          <w:iCs/>
          <w:noProof/>
        </w:rPr>
        <w:t>Br Med J</w:t>
      </w:r>
      <w:r w:rsidRPr="00192B39">
        <w:rPr>
          <w:rFonts w:cs="Times New Roman"/>
          <w:noProof/>
        </w:rPr>
        <w:t>. 2010;340:c2637. doi:10.1136/bmj.c2637</w:t>
      </w:r>
    </w:p>
    <w:p w14:paraId="21DC571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21. </w:t>
      </w:r>
      <w:r w:rsidRPr="00192B39">
        <w:rPr>
          <w:rFonts w:cs="Times New Roman"/>
          <w:noProof/>
        </w:rPr>
        <w:tab/>
        <w:t xml:space="preserve">Ashley EA, Dhorda M, Fairhurst RM, et al. Spread of artemisinin resistance in Plasmodium falciparum malaria. </w:t>
      </w:r>
      <w:r w:rsidRPr="00192B39">
        <w:rPr>
          <w:rFonts w:cs="Times New Roman"/>
          <w:i/>
          <w:iCs/>
          <w:noProof/>
        </w:rPr>
        <w:t>N Engl J Med</w:t>
      </w:r>
      <w:r w:rsidRPr="00192B39">
        <w:rPr>
          <w:rFonts w:cs="Times New Roman"/>
          <w:noProof/>
        </w:rPr>
        <w:t>. 2014;371(5):411-423. doi:10.1056/NEJMoa1314981</w:t>
      </w:r>
    </w:p>
    <w:p w14:paraId="1D05FC5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22. </w:t>
      </w:r>
      <w:r w:rsidRPr="00192B39">
        <w:rPr>
          <w:rFonts w:cs="Times New Roman"/>
          <w:noProof/>
        </w:rPr>
        <w:tab/>
        <w:t xml:space="preserve">Dondorp AM, Nosten F, Yi P, et al. Artemisinin resistance in Plasmodium falciparum malaria. </w:t>
      </w:r>
      <w:r w:rsidRPr="00192B39">
        <w:rPr>
          <w:rFonts w:cs="Times New Roman"/>
          <w:i/>
          <w:iCs/>
          <w:noProof/>
        </w:rPr>
        <w:t>N Engl J Med</w:t>
      </w:r>
      <w:r w:rsidRPr="00192B39">
        <w:rPr>
          <w:rFonts w:cs="Times New Roman"/>
          <w:noProof/>
        </w:rPr>
        <w:t>. 2009;361(5):455-467. doi:10.1056/NEJMoa0808859</w:t>
      </w:r>
    </w:p>
    <w:p w14:paraId="09ADD65F"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23. </w:t>
      </w:r>
      <w:r w:rsidRPr="00192B39">
        <w:rPr>
          <w:rFonts w:cs="Times New Roman"/>
          <w:noProof/>
        </w:rPr>
        <w:tab/>
        <w:t xml:space="preserve">Sugawara E, Nikaido H. Status report on artemisinin and ACT resistance. </w:t>
      </w:r>
      <w:r w:rsidRPr="00192B39">
        <w:rPr>
          <w:rFonts w:cs="Times New Roman"/>
          <w:i/>
          <w:iCs/>
          <w:noProof/>
        </w:rPr>
        <w:t>Antimicrob Agents Chemother</w:t>
      </w:r>
      <w:r w:rsidRPr="00192B39">
        <w:rPr>
          <w:rFonts w:cs="Times New Roman"/>
          <w:noProof/>
        </w:rPr>
        <w:t>. 2014;58(12):7250-7257. doi:10.1128/AAC.03728-14</w:t>
      </w:r>
    </w:p>
    <w:p w14:paraId="6D05A24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24. </w:t>
      </w:r>
      <w:r w:rsidRPr="00192B39">
        <w:rPr>
          <w:rFonts w:cs="Times New Roman"/>
          <w:noProof/>
        </w:rPr>
        <w:tab/>
        <w:t xml:space="preserve">Breman JG, Alilio MS, White NJ. Defining and defeating the intolerable burden of malaria III. Progress and perspectives. </w:t>
      </w:r>
      <w:r w:rsidRPr="00192B39">
        <w:rPr>
          <w:rFonts w:cs="Times New Roman"/>
          <w:i/>
          <w:iCs/>
          <w:noProof/>
        </w:rPr>
        <w:t>Am J Trop Med Hyg</w:t>
      </w:r>
      <w:r w:rsidRPr="00192B39">
        <w:rPr>
          <w:rFonts w:cs="Times New Roman"/>
          <w:noProof/>
        </w:rPr>
        <w:t>. 2007;77(6 SUPPL):vi-xi. doi:10.4269/ajtmh.2007.77.vi</w:t>
      </w:r>
    </w:p>
    <w:p w14:paraId="0C3028C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25. </w:t>
      </w:r>
      <w:r w:rsidRPr="00192B39">
        <w:rPr>
          <w:rFonts w:cs="Times New Roman"/>
          <w:noProof/>
        </w:rPr>
        <w:tab/>
        <w:t xml:space="preserve">Ariey F, Witkowski B, Amaratunga C, et al. A molecular marker of artemisinin-resistant Plasmodium falciparum malaria. </w:t>
      </w:r>
      <w:r w:rsidRPr="00192B39">
        <w:rPr>
          <w:rFonts w:cs="Times New Roman"/>
          <w:i/>
          <w:iCs/>
          <w:noProof/>
        </w:rPr>
        <w:t>Nature</w:t>
      </w:r>
      <w:r w:rsidRPr="00192B39">
        <w:rPr>
          <w:rFonts w:cs="Times New Roman"/>
          <w:noProof/>
        </w:rPr>
        <w:t>. 2014;505(7481):50-55. doi:10.1038/nature12876</w:t>
      </w:r>
    </w:p>
    <w:p w14:paraId="2E986AB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26. </w:t>
      </w:r>
      <w:r w:rsidRPr="00192B39">
        <w:rPr>
          <w:rFonts w:cs="Times New Roman"/>
          <w:noProof/>
        </w:rPr>
        <w:tab/>
        <w:t xml:space="preserve">Dong Y, Wang J, Sun A, et al. Genetic association between the Pfk13 gene mutation and artemisinin resistance phenotype in Plasmodium falciparum isolates from Yunnan Province, China. </w:t>
      </w:r>
      <w:r w:rsidRPr="00192B39">
        <w:rPr>
          <w:rFonts w:cs="Times New Roman"/>
          <w:i/>
          <w:iCs/>
          <w:noProof/>
        </w:rPr>
        <w:t>Malar J</w:t>
      </w:r>
      <w:r w:rsidRPr="00192B39">
        <w:rPr>
          <w:rFonts w:cs="Times New Roman"/>
          <w:noProof/>
        </w:rPr>
        <w:t>. 2018;17:478. doi:10.1186/s12936-018-2619-4</w:t>
      </w:r>
    </w:p>
    <w:p w14:paraId="284329A7" w14:textId="77777777" w:rsidR="00192B39" w:rsidRPr="007370A6" w:rsidRDefault="00192B39" w:rsidP="00532D1D">
      <w:pPr>
        <w:widowControl w:val="0"/>
        <w:autoSpaceDE w:val="0"/>
        <w:autoSpaceDN w:val="0"/>
        <w:adjustRightInd w:val="0"/>
        <w:ind w:left="640" w:hanging="640"/>
        <w:rPr>
          <w:rFonts w:cs="Times New Roman"/>
          <w:noProof/>
          <w:lang w:val="pt-PT"/>
        </w:rPr>
      </w:pPr>
      <w:r w:rsidRPr="00192B39">
        <w:rPr>
          <w:rFonts w:cs="Times New Roman"/>
          <w:noProof/>
        </w:rPr>
        <w:t xml:space="preserve">27. </w:t>
      </w:r>
      <w:r w:rsidRPr="00192B39">
        <w:rPr>
          <w:rFonts w:cs="Times New Roman"/>
          <w:noProof/>
        </w:rPr>
        <w:tab/>
        <w:t xml:space="preserve">Wang Z, Shrestha S, Li X, et al. Prevalence of K13-propeller polymorphisms in Plasmodium falciparum from China-Myanmar border in 2007-2012. </w:t>
      </w:r>
      <w:r w:rsidRPr="007370A6">
        <w:rPr>
          <w:rFonts w:cs="Times New Roman"/>
          <w:i/>
          <w:iCs/>
          <w:noProof/>
          <w:lang w:val="pt-PT"/>
        </w:rPr>
        <w:t>Malar J</w:t>
      </w:r>
      <w:r w:rsidRPr="007370A6">
        <w:rPr>
          <w:rFonts w:cs="Times New Roman"/>
          <w:noProof/>
          <w:lang w:val="pt-PT"/>
        </w:rPr>
        <w:t>. 2015;14:168. doi:10.1186/s12936-015-0672-9</w:t>
      </w:r>
    </w:p>
    <w:p w14:paraId="33A1BB78" w14:textId="77777777" w:rsidR="00192B39" w:rsidRPr="00192B39" w:rsidRDefault="00192B39" w:rsidP="00532D1D">
      <w:pPr>
        <w:widowControl w:val="0"/>
        <w:autoSpaceDE w:val="0"/>
        <w:autoSpaceDN w:val="0"/>
        <w:adjustRightInd w:val="0"/>
        <w:ind w:left="640" w:hanging="640"/>
        <w:rPr>
          <w:rFonts w:cs="Times New Roman"/>
          <w:noProof/>
        </w:rPr>
      </w:pPr>
      <w:r w:rsidRPr="007370A6">
        <w:rPr>
          <w:rFonts w:cs="Times New Roman"/>
          <w:noProof/>
          <w:lang w:val="pt-PT"/>
        </w:rPr>
        <w:t xml:space="preserve">28. </w:t>
      </w:r>
      <w:r w:rsidRPr="007370A6">
        <w:rPr>
          <w:rFonts w:cs="Times New Roman"/>
          <w:noProof/>
          <w:lang w:val="pt-PT"/>
        </w:rPr>
        <w:tab/>
        <w:t xml:space="preserve">Paloque L, Ramadani AP, Mercereau-Puijalon O, Augereau JM, Benoit-Vical F. Plasmodium falciparum: multifaceted resistance to artemisinins. </w:t>
      </w:r>
      <w:r w:rsidRPr="00192B39">
        <w:rPr>
          <w:rFonts w:cs="Times New Roman"/>
          <w:i/>
          <w:iCs/>
          <w:noProof/>
        </w:rPr>
        <w:t>Malar J</w:t>
      </w:r>
      <w:r w:rsidRPr="00192B39">
        <w:rPr>
          <w:rFonts w:cs="Times New Roman"/>
          <w:noProof/>
        </w:rPr>
        <w:t>. 2016;15:149. doi:10.1186/s12936-016-1206-9</w:t>
      </w:r>
    </w:p>
    <w:p w14:paraId="5EA1AF3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29. </w:t>
      </w:r>
      <w:r w:rsidRPr="00192B39">
        <w:rPr>
          <w:rFonts w:cs="Times New Roman"/>
          <w:noProof/>
        </w:rPr>
        <w:tab/>
        <w:t xml:space="preserve">Haynes RK, Fugmann B, Stetter J, et al. Artemisone - A highly active antimalarial drug of the artemisinin class. </w:t>
      </w:r>
      <w:r w:rsidRPr="00192B39">
        <w:rPr>
          <w:rFonts w:cs="Times New Roman"/>
          <w:i/>
          <w:iCs/>
          <w:noProof/>
        </w:rPr>
        <w:t>Angew Chemie - Int Ed</w:t>
      </w:r>
      <w:r w:rsidRPr="00192B39">
        <w:rPr>
          <w:rFonts w:cs="Times New Roman"/>
          <w:noProof/>
        </w:rPr>
        <w:t>. 2006;45(13):2082-2088. doi:10.1002/anie.200503071</w:t>
      </w:r>
    </w:p>
    <w:p w14:paraId="7BCC2C9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30. </w:t>
      </w:r>
      <w:r w:rsidRPr="00192B39">
        <w:rPr>
          <w:rFonts w:cs="Times New Roman"/>
          <w:noProof/>
        </w:rPr>
        <w:tab/>
        <w:t xml:space="preserve">Wesche DL, DeCoster MA, Tortella FC, Brewer TG. Neurotoxicity of artemisinin analogs in vitro. </w:t>
      </w:r>
      <w:r w:rsidRPr="00192B39">
        <w:rPr>
          <w:rFonts w:cs="Times New Roman"/>
          <w:i/>
          <w:iCs/>
          <w:noProof/>
        </w:rPr>
        <w:t>Antimicrob Agents Chemother</w:t>
      </w:r>
      <w:r w:rsidRPr="00192B39">
        <w:rPr>
          <w:rFonts w:cs="Times New Roman"/>
          <w:noProof/>
        </w:rPr>
        <w:t>. 1994;38(8):1813-1819. doi:10.1128/AAC.38.8.1813</w:t>
      </w:r>
    </w:p>
    <w:p w14:paraId="62D7ABF7"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31. </w:t>
      </w:r>
      <w:r w:rsidRPr="00192B39">
        <w:rPr>
          <w:rFonts w:cs="Times New Roman"/>
          <w:noProof/>
        </w:rPr>
        <w:tab/>
        <w:t xml:space="preserve">Vivas L, Rattray L, Stewart LB, et al. Antimalarial efficacy and drug interactions of the novel semi-synthetic endoperoxide artemisone in vitro and in vivo. </w:t>
      </w:r>
      <w:r w:rsidRPr="00192B39">
        <w:rPr>
          <w:rFonts w:cs="Times New Roman"/>
          <w:i/>
          <w:iCs/>
          <w:noProof/>
        </w:rPr>
        <w:t>J Antimicrob Chemother</w:t>
      </w:r>
      <w:r w:rsidRPr="00192B39">
        <w:rPr>
          <w:rFonts w:cs="Times New Roman"/>
          <w:noProof/>
        </w:rPr>
        <w:t>. 2007;59(4):658-665. doi:10.1093/jac/dkl563</w:t>
      </w:r>
    </w:p>
    <w:p w14:paraId="06ED208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32. </w:t>
      </w:r>
      <w:r w:rsidRPr="00192B39">
        <w:rPr>
          <w:rFonts w:cs="Times New Roman"/>
          <w:noProof/>
        </w:rPr>
        <w:tab/>
        <w:t xml:space="preserve">Nagelschmitz J, Voith B, Wensing G, et al. First assessment in humans of the safety, tolerability, pharmacokinetics, and ex vivo pharmacodynamic antimalarial activity of the new artemisinin derivative artemisone. </w:t>
      </w:r>
      <w:r w:rsidRPr="00192B39">
        <w:rPr>
          <w:rFonts w:cs="Times New Roman"/>
          <w:i/>
          <w:iCs/>
          <w:noProof/>
        </w:rPr>
        <w:t>Antimicrob Agents Chemother</w:t>
      </w:r>
      <w:r w:rsidRPr="00192B39">
        <w:rPr>
          <w:rFonts w:cs="Times New Roman"/>
          <w:noProof/>
        </w:rPr>
        <w:t>. 2008;52(9):3085-3091. doi:10.1128/AAC.01585-07</w:t>
      </w:r>
    </w:p>
    <w:p w14:paraId="520600A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33. </w:t>
      </w:r>
      <w:r w:rsidRPr="00192B39">
        <w:rPr>
          <w:rFonts w:cs="Times New Roman"/>
          <w:noProof/>
        </w:rPr>
        <w:tab/>
        <w:t>Study to Investigate the Clinical and Parasiticidal Activity and Pharmacokinetics of Different Doses of Artefenomel and Ferroquine in Patients With Uncomplicated Plasmodium Falciparum Malaria. https://clinicaltrials.gov/ct2/show/NCT03660839. Accessed May 15, 2020.</w:t>
      </w:r>
    </w:p>
    <w:p w14:paraId="4B53310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34. </w:t>
      </w:r>
      <w:r w:rsidRPr="00192B39">
        <w:rPr>
          <w:rFonts w:cs="Times New Roman"/>
          <w:noProof/>
        </w:rPr>
        <w:tab/>
        <w:t xml:space="preserve">O’Neill PM, Posner GH. A medicinal chemistry perspective on artemisinin and related </w:t>
      </w:r>
      <w:r w:rsidRPr="00192B39">
        <w:rPr>
          <w:rFonts w:cs="Times New Roman"/>
          <w:noProof/>
        </w:rPr>
        <w:lastRenderedPageBreak/>
        <w:t xml:space="preserve">endoperoxides. </w:t>
      </w:r>
      <w:r w:rsidRPr="00192B39">
        <w:rPr>
          <w:rFonts w:cs="Times New Roman"/>
          <w:i/>
          <w:iCs/>
          <w:noProof/>
        </w:rPr>
        <w:t>J Med Chem</w:t>
      </w:r>
      <w:r w:rsidRPr="00192B39">
        <w:rPr>
          <w:rFonts w:cs="Times New Roman"/>
          <w:noProof/>
        </w:rPr>
        <w:t>. 2004;47(12):2945-2964. doi:10.1021/jm030571c</w:t>
      </w:r>
    </w:p>
    <w:p w14:paraId="518C9BC7"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35. </w:t>
      </w:r>
      <w:r w:rsidRPr="00192B39">
        <w:rPr>
          <w:rFonts w:cs="Times New Roman"/>
          <w:noProof/>
        </w:rPr>
        <w:tab/>
        <w:t xml:space="preserve">Posner GH, Wang D, González L, et al. Mechanism-based design of simple, symmetrical, easily prepared, potent antimalarial endoperoxides. </w:t>
      </w:r>
      <w:r w:rsidRPr="00192B39">
        <w:rPr>
          <w:rFonts w:cs="Times New Roman"/>
          <w:i/>
          <w:iCs/>
          <w:noProof/>
        </w:rPr>
        <w:t>Tetrahedron Lett</w:t>
      </w:r>
      <w:r w:rsidRPr="00192B39">
        <w:rPr>
          <w:rFonts w:cs="Times New Roman"/>
          <w:noProof/>
        </w:rPr>
        <w:t>. 1996;37(6):815-818. doi:10.1016/0040-4039(95)02329-1</w:t>
      </w:r>
    </w:p>
    <w:p w14:paraId="1A41110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36. </w:t>
      </w:r>
      <w:r w:rsidRPr="00192B39">
        <w:rPr>
          <w:rFonts w:cs="Times New Roman"/>
          <w:noProof/>
        </w:rPr>
        <w:tab/>
        <w:t xml:space="preserve">Robert A, Benoit-Vical F, Claparols C, Meunier B. The antimalarial drug artemisinin alkylates heme in infected mice. </w:t>
      </w:r>
      <w:r w:rsidRPr="00192B39">
        <w:rPr>
          <w:rFonts w:cs="Times New Roman"/>
          <w:i/>
          <w:iCs/>
          <w:noProof/>
        </w:rPr>
        <w:t>Proc Natl Acad Sci U S A</w:t>
      </w:r>
      <w:r w:rsidRPr="00192B39">
        <w:rPr>
          <w:rFonts w:cs="Times New Roman"/>
          <w:noProof/>
        </w:rPr>
        <w:t>. 2005;102(38):13676-13680. doi:10.1073/pnas.0500972102</w:t>
      </w:r>
    </w:p>
    <w:p w14:paraId="4D36734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37. </w:t>
      </w:r>
      <w:r w:rsidRPr="00192B39">
        <w:rPr>
          <w:rFonts w:cs="Times New Roman"/>
          <w:noProof/>
        </w:rPr>
        <w:tab/>
        <w:t xml:space="preserve">Rawe SL. </w:t>
      </w:r>
      <w:r w:rsidRPr="00192B39">
        <w:rPr>
          <w:rFonts w:cs="Times New Roman"/>
          <w:i/>
          <w:iCs/>
          <w:noProof/>
        </w:rPr>
        <w:t>Artemisinin and Artemisinin-Related Agents</w:t>
      </w:r>
      <w:r w:rsidRPr="00192B39">
        <w:rPr>
          <w:rFonts w:cs="Times New Roman"/>
          <w:noProof/>
        </w:rPr>
        <w:t>. Elsevier Ltd; 2020. doi:10.1016/b978-0-08-101210-9.00004-4</w:t>
      </w:r>
    </w:p>
    <w:p w14:paraId="3CF09CA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38. </w:t>
      </w:r>
      <w:r w:rsidRPr="00192B39">
        <w:rPr>
          <w:rFonts w:cs="Times New Roman"/>
          <w:noProof/>
        </w:rPr>
        <w:tab/>
        <w:t xml:space="preserve">Cumming JN, Ploypradith P, Posner GH. Antimalarial Activity of Artemisinin (Qinghaosu) and Related Trioxanes: Mechanism (s) of Action. </w:t>
      </w:r>
      <w:r w:rsidRPr="00192B39">
        <w:rPr>
          <w:rFonts w:cs="Times New Roman"/>
          <w:i/>
          <w:iCs/>
          <w:noProof/>
        </w:rPr>
        <w:t>Adv Pharmacol</w:t>
      </w:r>
      <w:r w:rsidRPr="00192B39">
        <w:rPr>
          <w:rFonts w:cs="Times New Roman"/>
          <w:noProof/>
        </w:rPr>
        <w:t>. 1996;37:253-297. doi:10.1016/S1054-3589(08)60952-7</w:t>
      </w:r>
    </w:p>
    <w:p w14:paraId="75B62E7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39. </w:t>
      </w:r>
      <w:r w:rsidRPr="00192B39">
        <w:rPr>
          <w:rFonts w:cs="Times New Roman"/>
          <w:noProof/>
        </w:rPr>
        <w:tab/>
        <w:t xml:space="preserve">Posner GH. Antimalarial peroxides in the qinghaosu (artemisinin) and yingzbaosu families. </w:t>
      </w:r>
      <w:r w:rsidRPr="00192B39">
        <w:rPr>
          <w:rFonts w:cs="Times New Roman"/>
          <w:i/>
          <w:iCs/>
          <w:noProof/>
        </w:rPr>
        <w:t>Expert Opin Ther Pat</w:t>
      </w:r>
      <w:r w:rsidRPr="00192B39">
        <w:rPr>
          <w:rFonts w:cs="Times New Roman"/>
          <w:noProof/>
        </w:rPr>
        <w:t>. 1998;8(11):1487-1493. doi:10.1517/13543776.8.11.1487</w:t>
      </w:r>
    </w:p>
    <w:p w14:paraId="6921AB3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40. </w:t>
      </w:r>
      <w:r w:rsidRPr="00192B39">
        <w:rPr>
          <w:rFonts w:cs="Times New Roman"/>
          <w:noProof/>
        </w:rPr>
        <w:tab/>
        <w:t xml:space="preserve">Jefford CW. New developments in synthetic peroxidic drugs as artemisinin mimics. </w:t>
      </w:r>
      <w:r w:rsidRPr="00192B39">
        <w:rPr>
          <w:rFonts w:cs="Times New Roman"/>
          <w:i/>
          <w:iCs/>
          <w:noProof/>
        </w:rPr>
        <w:t>Drug Discov Today</w:t>
      </w:r>
      <w:r w:rsidRPr="00192B39">
        <w:rPr>
          <w:rFonts w:cs="Times New Roman"/>
          <w:noProof/>
        </w:rPr>
        <w:t>. 2007;12(11-12):487-495. doi:10.1016/j.drudis.2007.04.009</w:t>
      </w:r>
    </w:p>
    <w:p w14:paraId="4BB1BC3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41. </w:t>
      </w:r>
      <w:r w:rsidRPr="00192B39">
        <w:rPr>
          <w:rFonts w:cs="Times New Roman"/>
          <w:noProof/>
        </w:rPr>
        <w:tab/>
        <w:t xml:space="preserve">O’Neill PM, Barton VE, Ward SA. The molecular mechanism of action of artemisinin - The debate continues. </w:t>
      </w:r>
      <w:r w:rsidRPr="00192B39">
        <w:rPr>
          <w:rFonts w:cs="Times New Roman"/>
          <w:i/>
          <w:iCs/>
          <w:noProof/>
        </w:rPr>
        <w:t>Molecules</w:t>
      </w:r>
      <w:r w:rsidRPr="00192B39">
        <w:rPr>
          <w:rFonts w:cs="Times New Roman"/>
          <w:noProof/>
        </w:rPr>
        <w:t>. 2010;15(3):1705-1721. doi:10.3390/molecules15031705</w:t>
      </w:r>
    </w:p>
    <w:p w14:paraId="7C8F3B89"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42. </w:t>
      </w:r>
      <w:r w:rsidRPr="00192B39">
        <w:rPr>
          <w:rFonts w:cs="Times New Roman"/>
          <w:noProof/>
        </w:rPr>
        <w:tab/>
        <w:t xml:space="preserve">Jefford C. Why Artemisinin and Certain Synthetic Peroxides are Potent Antimalarials. Implications for the Mode of Action. </w:t>
      </w:r>
      <w:r w:rsidRPr="00192B39">
        <w:rPr>
          <w:rFonts w:cs="Times New Roman"/>
          <w:i/>
          <w:iCs/>
          <w:noProof/>
        </w:rPr>
        <w:t>Curr Med Chem</w:t>
      </w:r>
      <w:r w:rsidRPr="00192B39">
        <w:rPr>
          <w:rFonts w:cs="Times New Roman"/>
          <w:noProof/>
        </w:rPr>
        <w:t>. 2012;8(15):1803-1826. doi:10.2174/0929867013371608</w:t>
      </w:r>
    </w:p>
    <w:p w14:paraId="1DEBECA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43. </w:t>
      </w:r>
      <w:r w:rsidRPr="00192B39">
        <w:rPr>
          <w:rFonts w:cs="Times New Roman"/>
          <w:noProof/>
        </w:rPr>
        <w:tab/>
        <w:t xml:space="preserve">Sautier B, Procter DJ. Recent advances in the chemistry of SmI 2-H 2O. </w:t>
      </w:r>
      <w:r w:rsidRPr="00192B39">
        <w:rPr>
          <w:rFonts w:cs="Times New Roman"/>
          <w:i/>
          <w:iCs/>
          <w:noProof/>
        </w:rPr>
        <w:t>Chimia (Aarau)</w:t>
      </w:r>
      <w:r w:rsidRPr="00192B39">
        <w:rPr>
          <w:rFonts w:cs="Times New Roman"/>
          <w:noProof/>
        </w:rPr>
        <w:t>. 2012;66(6):399-403. doi:10.2533/chimia.2012.399</w:t>
      </w:r>
    </w:p>
    <w:p w14:paraId="7EE1D20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44. </w:t>
      </w:r>
      <w:r w:rsidRPr="00192B39">
        <w:rPr>
          <w:rFonts w:cs="Times New Roman"/>
          <w:noProof/>
        </w:rPr>
        <w:tab/>
        <w:t xml:space="preserve">Rosenthal MR, Ng CL. Plasmodium falciparum Artemisinin Resistance: The Effect of Heme, Protein Damage, and Parasite Cell Stress Response. </w:t>
      </w:r>
      <w:r w:rsidRPr="00192B39">
        <w:rPr>
          <w:rFonts w:cs="Times New Roman"/>
          <w:i/>
          <w:iCs/>
          <w:noProof/>
        </w:rPr>
        <w:t>ACS Infect Dis</w:t>
      </w:r>
      <w:r w:rsidRPr="00192B39">
        <w:rPr>
          <w:rFonts w:cs="Times New Roman"/>
          <w:noProof/>
        </w:rPr>
        <w:t>. 2020;6(7):1599-1614. doi:10.1021/acsinfecdis.9b00527</w:t>
      </w:r>
    </w:p>
    <w:p w14:paraId="3844165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45. </w:t>
      </w:r>
      <w:r w:rsidRPr="00192B39">
        <w:rPr>
          <w:rFonts w:cs="Times New Roman"/>
          <w:noProof/>
        </w:rPr>
        <w:tab/>
        <w:t xml:space="preserve">Kaiser M, Wittlin S, Nehrbass-Stuedli A, et al. Peroxide bond-dependent antiplasmodial specificity of artemisinin and OZ277 (RBx11160). </w:t>
      </w:r>
      <w:r w:rsidRPr="00192B39">
        <w:rPr>
          <w:rFonts w:cs="Times New Roman"/>
          <w:i/>
          <w:iCs/>
          <w:noProof/>
        </w:rPr>
        <w:t>Antimicrob Agents Chemother</w:t>
      </w:r>
      <w:r w:rsidRPr="00192B39">
        <w:rPr>
          <w:rFonts w:cs="Times New Roman"/>
          <w:noProof/>
        </w:rPr>
        <w:t>. 2007;51(8):2991-2993. doi:10.1128/AAC.00225-07</w:t>
      </w:r>
    </w:p>
    <w:p w14:paraId="2719C46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46. </w:t>
      </w:r>
      <w:r w:rsidRPr="00192B39">
        <w:rPr>
          <w:rFonts w:cs="Times New Roman"/>
          <w:noProof/>
        </w:rPr>
        <w:tab/>
        <w:t xml:space="preserve">Meunier B, Robert A. Heme as trigger and target for trioxane-containing antimalarial drugs. </w:t>
      </w:r>
      <w:r w:rsidRPr="00192B39">
        <w:rPr>
          <w:rFonts w:cs="Times New Roman"/>
          <w:i/>
          <w:iCs/>
          <w:noProof/>
        </w:rPr>
        <w:t>Acc Chem Res</w:t>
      </w:r>
      <w:r w:rsidRPr="00192B39">
        <w:rPr>
          <w:rFonts w:cs="Times New Roman"/>
          <w:noProof/>
        </w:rPr>
        <w:t>. 2010;43(11):1444-1451. doi:10.1021/ar100070k</w:t>
      </w:r>
    </w:p>
    <w:p w14:paraId="228F564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47. </w:t>
      </w:r>
      <w:r w:rsidRPr="00192B39">
        <w:rPr>
          <w:rFonts w:cs="Times New Roman"/>
          <w:noProof/>
        </w:rPr>
        <w:tab/>
        <w:t xml:space="preserve">Wang J, Zhang CJ, Chia WN, et al. Haem-activated promiscuous targeting of artemisinin in Plasmodium falciparum. </w:t>
      </w:r>
      <w:r w:rsidRPr="00192B39">
        <w:rPr>
          <w:rFonts w:cs="Times New Roman"/>
          <w:i/>
          <w:iCs/>
          <w:noProof/>
        </w:rPr>
        <w:t>Nat Commun</w:t>
      </w:r>
      <w:r w:rsidRPr="00192B39">
        <w:rPr>
          <w:rFonts w:cs="Times New Roman"/>
          <w:noProof/>
        </w:rPr>
        <w:t>. 2015;6:10111. doi:10.1038/ncomms10111</w:t>
      </w:r>
    </w:p>
    <w:p w14:paraId="6FED3BC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48. </w:t>
      </w:r>
      <w:r w:rsidRPr="00192B39">
        <w:rPr>
          <w:rFonts w:cs="Times New Roman"/>
          <w:noProof/>
        </w:rPr>
        <w:tab/>
        <w:t xml:space="preserve">Klayman DL. Qinghaosu (artemisinin): An antimalarial drug from China. </w:t>
      </w:r>
      <w:r w:rsidRPr="00192B39">
        <w:rPr>
          <w:rFonts w:cs="Times New Roman"/>
          <w:i/>
          <w:iCs/>
          <w:noProof/>
        </w:rPr>
        <w:t>Science</w:t>
      </w:r>
      <w:r w:rsidRPr="00192B39">
        <w:rPr>
          <w:rFonts w:cs="Times New Roman"/>
          <w:noProof/>
        </w:rPr>
        <w:t>. 1985;228(4703):1049-1055. doi:10.1126/science.3887571</w:t>
      </w:r>
    </w:p>
    <w:p w14:paraId="7B1C242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49. </w:t>
      </w:r>
      <w:r w:rsidRPr="00192B39">
        <w:rPr>
          <w:rFonts w:cs="Times New Roman"/>
          <w:noProof/>
        </w:rPr>
        <w:tab/>
        <w:t xml:space="preserve">Meshnick SR, Thomas A, Ranz A, Xu CM, Pan HZ. Artemisinin (qinghaosu): the role of intracellular hemin in its mechanism of antimalarial action. </w:t>
      </w:r>
      <w:r w:rsidRPr="00192B39">
        <w:rPr>
          <w:rFonts w:cs="Times New Roman"/>
          <w:i/>
          <w:iCs/>
          <w:noProof/>
        </w:rPr>
        <w:t>Mol Biochem Parasitol</w:t>
      </w:r>
      <w:r w:rsidRPr="00192B39">
        <w:rPr>
          <w:rFonts w:cs="Times New Roman"/>
          <w:noProof/>
        </w:rPr>
        <w:t xml:space="preserve">. </w:t>
      </w:r>
      <w:r w:rsidRPr="00192B39">
        <w:rPr>
          <w:rFonts w:cs="Times New Roman"/>
          <w:noProof/>
        </w:rPr>
        <w:lastRenderedPageBreak/>
        <w:t>1991;49(2):181-189. doi:10.1016/0166-6851(91)90062-B</w:t>
      </w:r>
    </w:p>
    <w:p w14:paraId="01A3CF9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50. </w:t>
      </w:r>
      <w:r w:rsidRPr="00192B39">
        <w:rPr>
          <w:rFonts w:cs="Times New Roman"/>
          <w:noProof/>
        </w:rPr>
        <w:tab/>
        <w:t xml:space="preserve">Zhang F, Gosser DK, Meshnick SR. Hemin-catalyzed decomposition of artemisinin (qinghaosu). </w:t>
      </w:r>
      <w:r w:rsidRPr="00192B39">
        <w:rPr>
          <w:rFonts w:cs="Times New Roman"/>
          <w:i/>
          <w:iCs/>
          <w:noProof/>
        </w:rPr>
        <w:t>Biochem Pharmacol</w:t>
      </w:r>
      <w:r w:rsidRPr="00192B39">
        <w:rPr>
          <w:rFonts w:cs="Times New Roman"/>
          <w:noProof/>
        </w:rPr>
        <w:t>. 1992;43(8):1805-1809. doi:10.1016/0006-2952(92)90713-S</w:t>
      </w:r>
    </w:p>
    <w:p w14:paraId="045FFBE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51. </w:t>
      </w:r>
      <w:r w:rsidRPr="00192B39">
        <w:rPr>
          <w:rFonts w:cs="Times New Roman"/>
          <w:noProof/>
        </w:rPr>
        <w:tab/>
        <w:t xml:space="preserve">Pisciotta JM, Coppens I, Tripathi AK, et al. The role of neutral lipid nanospheres in Plasmodium falciparum haem crystallization. </w:t>
      </w:r>
      <w:r w:rsidRPr="00192B39">
        <w:rPr>
          <w:rFonts w:cs="Times New Roman"/>
          <w:i/>
          <w:iCs/>
          <w:noProof/>
        </w:rPr>
        <w:t>Biochem J</w:t>
      </w:r>
      <w:r w:rsidRPr="00192B39">
        <w:rPr>
          <w:rFonts w:cs="Times New Roman"/>
          <w:noProof/>
        </w:rPr>
        <w:t>. 2007;402:197-204. doi:10.1042/BJ20060986</w:t>
      </w:r>
    </w:p>
    <w:p w14:paraId="7150505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52. </w:t>
      </w:r>
      <w:r w:rsidRPr="00192B39">
        <w:rPr>
          <w:rFonts w:cs="Times New Roman"/>
          <w:noProof/>
        </w:rPr>
        <w:tab/>
        <w:t xml:space="preserve">Crespo MDP, Avery TD, Hanssen E, et al. Artemisinin and a series of novel endoperoxide antimalarials exert early effects on digestive vacuole morphology. </w:t>
      </w:r>
      <w:r w:rsidRPr="00192B39">
        <w:rPr>
          <w:rFonts w:cs="Times New Roman"/>
          <w:i/>
          <w:iCs/>
          <w:noProof/>
        </w:rPr>
        <w:t>Antimicrob Agents Chemother</w:t>
      </w:r>
      <w:r w:rsidRPr="00192B39">
        <w:rPr>
          <w:rFonts w:cs="Times New Roman"/>
          <w:noProof/>
        </w:rPr>
        <w:t>. 2008;52(1):98-109. doi:10.1128/AAC.00609-07</w:t>
      </w:r>
    </w:p>
    <w:p w14:paraId="312638F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53. </w:t>
      </w:r>
      <w:r w:rsidRPr="00192B39">
        <w:rPr>
          <w:rFonts w:cs="Times New Roman"/>
          <w:noProof/>
        </w:rPr>
        <w:tab/>
        <w:t xml:space="preserve">Antoine T, Fisher N, Amewu R, et al. Rapid kill of malaria parasites by artemisinin and semi-synthetic endoperoxides involves ROS-dependent depolarization of the membrane potential. </w:t>
      </w:r>
      <w:r w:rsidRPr="00192B39">
        <w:rPr>
          <w:rFonts w:cs="Times New Roman"/>
          <w:i/>
          <w:iCs/>
          <w:noProof/>
        </w:rPr>
        <w:t>J Antimicrob Chemother</w:t>
      </w:r>
      <w:r w:rsidRPr="00192B39">
        <w:rPr>
          <w:rFonts w:cs="Times New Roman"/>
          <w:noProof/>
        </w:rPr>
        <w:t>. 2014;69(4):1005-1016. doi:10.1093/jac/dkt486</w:t>
      </w:r>
    </w:p>
    <w:p w14:paraId="2264D20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54. </w:t>
      </w:r>
      <w:r w:rsidRPr="00192B39">
        <w:rPr>
          <w:rFonts w:cs="Times New Roman"/>
          <w:noProof/>
        </w:rPr>
        <w:tab/>
        <w:t xml:space="preserve">Wang J, Huang L, Li J, et al. Artemisinin Directly Targets Malarial Mitochondria through Its Specific Mitochondrial Activation. </w:t>
      </w:r>
      <w:r w:rsidRPr="00192B39">
        <w:rPr>
          <w:rFonts w:cs="Times New Roman"/>
          <w:i/>
          <w:iCs/>
          <w:noProof/>
        </w:rPr>
        <w:t>PLoS One</w:t>
      </w:r>
      <w:r w:rsidRPr="00192B39">
        <w:rPr>
          <w:rFonts w:cs="Times New Roman"/>
          <w:noProof/>
        </w:rPr>
        <w:t>. 2010;5(3):1-12. doi:10.1371/journal.pone.0009582</w:t>
      </w:r>
    </w:p>
    <w:p w14:paraId="10D9E5AF"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55. </w:t>
      </w:r>
      <w:r w:rsidRPr="00192B39">
        <w:rPr>
          <w:rFonts w:cs="Times New Roman"/>
          <w:noProof/>
        </w:rPr>
        <w:tab/>
        <w:t xml:space="preserve">Loup C, Lelièvre J, Benoit-Vical F, Meunier B. Trioxaquines and heme-artemisinin adducts inhibit the in vitro formation of hemozoin better than chloroquine. </w:t>
      </w:r>
      <w:r w:rsidRPr="00192B39">
        <w:rPr>
          <w:rFonts w:cs="Times New Roman"/>
          <w:i/>
          <w:iCs/>
          <w:noProof/>
        </w:rPr>
        <w:t>Antimicrob Agents Chemother</w:t>
      </w:r>
      <w:r w:rsidRPr="00192B39">
        <w:rPr>
          <w:rFonts w:cs="Times New Roman"/>
          <w:noProof/>
        </w:rPr>
        <w:t>. 2007;51(10):3768-3770. doi:10.1128/AAC.00239-07</w:t>
      </w:r>
    </w:p>
    <w:p w14:paraId="124D1237"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56. </w:t>
      </w:r>
      <w:r w:rsidRPr="00192B39">
        <w:rPr>
          <w:rFonts w:cs="Times New Roman"/>
          <w:noProof/>
        </w:rPr>
        <w:tab/>
        <w:t xml:space="preserve">Wu WM, Wu Y, Wu YL, et al. Unified mechanistic framework for the Fe(II)-induced cleavage of Qinghaosu and derivatives/analogues. The first spin-trapping evidence for the previously postulated secondary C-4 radical. </w:t>
      </w:r>
      <w:r w:rsidRPr="00192B39">
        <w:rPr>
          <w:rFonts w:cs="Times New Roman"/>
          <w:i/>
          <w:iCs/>
          <w:noProof/>
        </w:rPr>
        <w:t>J Am Chem Soc</w:t>
      </w:r>
      <w:r w:rsidRPr="00192B39">
        <w:rPr>
          <w:rFonts w:cs="Times New Roman"/>
          <w:noProof/>
        </w:rPr>
        <w:t>. 1998;120(14):3316-3325. doi:10.1021/ja973080o</w:t>
      </w:r>
    </w:p>
    <w:p w14:paraId="31C07ED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57. </w:t>
      </w:r>
      <w:r w:rsidRPr="00192B39">
        <w:rPr>
          <w:rFonts w:cs="Times New Roman"/>
          <w:noProof/>
        </w:rPr>
        <w:tab/>
        <w:t xml:space="preserve">Posner GH, Wang D, Cumming JN, et al. Further Evidence Supporting the Importance of and the Restrictions on a Carbon-Centered Radical for High Antimalarial Activity of 1, 2, 4-Trioxanes Like Artemisinin. </w:t>
      </w:r>
      <w:r w:rsidRPr="00192B39">
        <w:rPr>
          <w:rFonts w:cs="Times New Roman"/>
          <w:i/>
          <w:iCs/>
          <w:noProof/>
        </w:rPr>
        <w:t>J Med Chem</w:t>
      </w:r>
      <w:r w:rsidRPr="00192B39">
        <w:rPr>
          <w:rFonts w:cs="Times New Roman"/>
          <w:noProof/>
        </w:rPr>
        <w:t>. 1995;38(13):2273-2275. doi:10.1021/jm00013a001</w:t>
      </w:r>
    </w:p>
    <w:p w14:paraId="40CE635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58. </w:t>
      </w:r>
      <w:r w:rsidRPr="00192B39">
        <w:rPr>
          <w:rFonts w:cs="Times New Roman"/>
          <w:noProof/>
        </w:rPr>
        <w:tab/>
        <w:t xml:space="preserve">Butler AR, Gilbert BC, Hulme P, Irvine LR, Renton L, Whitwood AC. EPR evidence for the involvement of free radicals in the iron-catalysed decomposition of qinghaosu (artemisinin) and some derivatives; antimalarial action of some polycyclic endoperoxides. </w:t>
      </w:r>
      <w:r w:rsidRPr="00192B39">
        <w:rPr>
          <w:rFonts w:cs="Times New Roman"/>
          <w:i/>
          <w:iCs/>
          <w:noProof/>
        </w:rPr>
        <w:t>Free Radic Res</w:t>
      </w:r>
      <w:r w:rsidRPr="00192B39">
        <w:rPr>
          <w:rFonts w:cs="Times New Roman"/>
          <w:noProof/>
        </w:rPr>
        <w:t>. 1998;28(5):471-476. doi:10.3109/10715769809066884</w:t>
      </w:r>
    </w:p>
    <w:p w14:paraId="48C679D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59. </w:t>
      </w:r>
      <w:r w:rsidRPr="00192B39">
        <w:rPr>
          <w:rFonts w:cs="Times New Roman"/>
          <w:noProof/>
        </w:rPr>
        <w:tab/>
        <w:t xml:space="preserve">O’Neill PM, Bishop LPD, Searle NL, et al. Biomimetic Fe(II)-mediated degradation of arteflene (Ro-42-1611). The first EPR spin-trapping evidence for the previously postulated secondary carbon-centered cyclohexyl radical. </w:t>
      </w:r>
      <w:r w:rsidRPr="00192B39">
        <w:rPr>
          <w:rFonts w:cs="Times New Roman"/>
          <w:i/>
          <w:iCs/>
          <w:noProof/>
        </w:rPr>
        <w:t>J Org Chem</w:t>
      </w:r>
      <w:r w:rsidRPr="00192B39">
        <w:rPr>
          <w:rFonts w:cs="Times New Roman"/>
          <w:noProof/>
        </w:rPr>
        <w:t>. 2000;65(5):1578-1582. doi:10.1021/jo991585m</w:t>
      </w:r>
    </w:p>
    <w:p w14:paraId="013C260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60. </w:t>
      </w:r>
      <w:r w:rsidRPr="00192B39">
        <w:rPr>
          <w:rFonts w:cs="Times New Roman"/>
          <w:noProof/>
        </w:rPr>
        <w:tab/>
        <w:t xml:space="preserve">Haynes RK, Chan WC, Lung CM, et al. The Fe2+-mediated decomposition, PfATP6 binding, and antimalarial activities of artemisone and other artemisinins: The unlikelihood of C-centered radicals as bioactive intermediates. </w:t>
      </w:r>
      <w:r w:rsidRPr="00192B39">
        <w:rPr>
          <w:rFonts w:cs="Times New Roman"/>
          <w:i/>
          <w:iCs/>
          <w:noProof/>
        </w:rPr>
        <w:t>ChemMedChem</w:t>
      </w:r>
      <w:r w:rsidRPr="00192B39">
        <w:rPr>
          <w:rFonts w:cs="Times New Roman"/>
          <w:noProof/>
        </w:rPr>
        <w:t>. 2007;2(10):1480-1497. doi:10.1002/cmdc.200700108</w:t>
      </w:r>
    </w:p>
    <w:p w14:paraId="7B8B07D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61. </w:t>
      </w:r>
      <w:r w:rsidRPr="00192B39">
        <w:rPr>
          <w:rFonts w:cs="Times New Roman"/>
          <w:noProof/>
        </w:rPr>
        <w:tab/>
        <w:t xml:space="preserve">Haynes RK, Hendry Hung-On P, Voerste A. Ring opening of artemisinin (Qinghaosu) and </w:t>
      </w:r>
      <w:r w:rsidRPr="00192B39">
        <w:rPr>
          <w:rFonts w:cs="Times New Roman"/>
          <w:noProof/>
        </w:rPr>
        <w:lastRenderedPageBreak/>
        <w:t xml:space="preserve">dihydroartemisinin and interception of the open hydroperoxides with formation of N-oxides - A chemical model for antimalarial mode of action. </w:t>
      </w:r>
      <w:r w:rsidRPr="00192B39">
        <w:rPr>
          <w:rFonts w:cs="Times New Roman"/>
          <w:i/>
          <w:iCs/>
          <w:noProof/>
        </w:rPr>
        <w:t>Tetrahedron Lett</w:t>
      </w:r>
      <w:r w:rsidRPr="00192B39">
        <w:rPr>
          <w:rFonts w:cs="Times New Roman"/>
          <w:noProof/>
        </w:rPr>
        <w:t>. 1999;40(25):4715-4718. doi:10.1016/S0040-4039(99)00830-8</w:t>
      </w:r>
    </w:p>
    <w:p w14:paraId="1FB7EF1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62. </w:t>
      </w:r>
      <w:r w:rsidRPr="00192B39">
        <w:rPr>
          <w:rFonts w:cs="Times New Roman"/>
          <w:noProof/>
        </w:rPr>
        <w:tab/>
        <w:t xml:space="preserve">Meshnick SR. The mode of action of antimalarial endoperoxides. </w:t>
      </w:r>
      <w:r w:rsidRPr="00192B39">
        <w:rPr>
          <w:rFonts w:cs="Times New Roman"/>
          <w:i/>
          <w:iCs/>
          <w:noProof/>
        </w:rPr>
        <w:t>Trans R Soc Trop Med Hyg</w:t>
      </w:r>
      <w:r w:rsidRPr="00192B39">
        <w:rPr>
          <w:rFonts w:cs="Times New Roman"/>
          <w:noProof/>
        </w:rPr>
        <w:t>. 1994;88:31-32. doi:10.1016/0035-9203(94)90468-5</w:t>
      </w:r>
    </w:p>
    <w:p w14:paraId="6E5CF93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63. </w:t>
      </w:r>
      <w:r w:rsidRPr="00192B39">
        <w:rPr>
          <w:rFonts w:cs="Times New Roman"/>
          <w:noProof/>
        </w:rPr>
        <w:tab/>
        <w:t xml:space="preserve">Asawamahasakda W, Ittarat I, Pu YM, Ziffer H, Meshnick SR. Reaction of antimalarial endoperoxides with specific parasite proteins. </w:t>
      </w:r>
      <w:r w:rsidRPr="00192B39">
        <w:rPr>
          <w:rFonts w:cs="Times New Roman"/>
          <w:i/>
          <w:iCs/>
          <w:noProof/>
        </w:rPr>
        <w:t>Antimicrob Agents Chemother</w:t>
      </w:r>
      <w:r w:rsidRPr="00192B39">
        <w:rPr>
          <w:rFonts w:cs="Times New Roman"/>
          <w:noProof/>
        </w:rPr>
        <w:t>. 1994;38(8):1854-1858. doi:10.1128/AAC.38.8.1854</w:t>
      </w:r>
    </w:p>
    <w:p w14:paraId="7FD25A7E"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64. </w:t>
      </w:r>
      <w:r w:rsidRPr="00192B39">
        <w:rPr>
          <w:rFonts w:cs="Times New Roman"/>
          <w:noProof/>
        </w:rPr>
        <w:tab/>
        <w:t xml:space="preserve">Meshnick SR, Taylor TE, Kamchonwongpaisan S. Artemisinin and the antimalarial endoperoxides: From herbal remedy to targeted chemotherapy. </w:t>
      </w:r>
      <w:r w:rsidRPr="00192B39">
        <w:rPr>
          <w:rFonts w:cs="Times New Roman"/>
          <w:i/>
          <w:iCs/>
          <w:noProof/>
        </w:rPr>
        <w:t>Microbiol Rev</w:t>
      </w:r>
      <w:r w:rsidRPr="00192B39">
        <w:rPr>
          <w:rFonts w:cs="Times New Roman"/>
          <w:noProof/>
        </w:rPr>
        <w:t>. 1996;60(2):301-315. doi:10.1128/mmbr.60.2.301-315.1996</w:t>
      </w:r>
    </w:p>
    <w:p w14:paraId="43E6A2F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65. </w:t>
      </w:r>
      <w:r w:rsidRPr="00192B39">
        <w:rPr>
          <w:rFonts w:cs="Times New Roman"/>
          <w:noProof/>
        </w:rPr>
        <w:tab/>
        <w:t xml:space="preserve">Bhisutthibhan J, Pan XQ, Hossler PA, et al. The Plasmodium falciparum translationally controlled tumor protein homolog and its reaction with the antimalarial drug artemisinin. </w:t>
      </w:r>
      <w:r w:rsidRPr="00192B39">
        <w:rPr>
          <w:rFonts w:cs="Times New Roman"/>
          <w:i/>
          <w:iCs/>
          <w:noProof/>
        </w:rPr>
        <w:t>J Biol Chem</w:t>
      </w:r>
      <w:r w:rsidRPr="00192B39">
        <w:rPr>
          <w:rFonts w:cs="Times New Roman"/>
          <w:noProof/>
        </w:rPr>
        <w:t>. 1998;273(26):16192-16198. doi:10.1074/jbc.273.26.16192</w:t>
      </w:r>
    </w:p>
    <w:p w14:paraId="020695B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66. </w:t>
      </w:r>
      <w:r w:rsidRPr="00192B39">
        <w:rPr>
          <w:rFonts w:cs="Times New Roman"/>
          <w:noProof/>
        </w:rPr>
        <w:tab/>
        <w:t xml:space="preserve">Eckstein-Ludwig U, Webb RJ, Van Goethem IDA, et al. Artemisinins target the SERCA of Plasmodium falciparum. </w:t>
      </w:r>
      <w:r w:rsidRPr="00192B39">
        <w:rPr>
          <w:rFonts w:cs="Times New Roman"/>
          <w:i/>
          <w:iCs/>
          <w:noProof/>
        </w:rPr>
        <w:t>Nature</w:t>
      </w:r>
      <w:r w:rsidRPr="00192B39">
        <w:rPr>
          <w:rFonts w:cs="Times New Roman"/>
          <w:noProof/>
        </w:rPr>
        <w:t>. 2003;424(6951):957-961. doi:10.1038/nature01813</w:t>
      </w:r>
    </w:p>
    <w:p w14:paraId="51A9E82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67. </w:t>
      </w:r>
      <w:r w:rsidRPr="00192B39">
        <w:rPr>
          <w:rFonts w:cs="Times New Roman"/>
          <w:noProof/>
        </w:rPr>
        <w:tab/>
        <w:t xml:space="preserve">Krishna S, Pulcini S, Moore CM, Teo BHY, Staines HM. Pumped up: Reflections on PfATP6 as the target for artemisinins. </w:t>
      </w:r>
      <w:r w:rsidRPr="00192B39">
        <w:rPr>
          <w:rFonts w:cs="Times New Roman"/>
          <w:i/>
          <w:iCs/>
          <w:noProof/>
        </w:rPr>
        <w:t>Trends Pharmacol Sci</w:t>
      </w:r>
      <w:r w:rsidRPr="00192B39">
        <w:rPr>
          <w:rFonts w:cs="Times New Roman"/>
          <w:noProof/>
        </w:rPr>
        <w:t>. 2014;35(1):4-11. doi:10.1016/j.tips.2013.10.007</w:t>
      </w:r>
    </w:p>
    <w:p w14:paraId="7E3C81E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68. </w:t>
      </w:r>
      <w:r w:rsidRPr="00192B39">
        <w:rPr>
          <w:rFonts w:cs="Times New Roman"/>
          <w:noProof/>
        </w:rPr>
        <w:tab/>
        <w:t xml:space="preserve">Ismail HM, Barton V, Phanchana M, et al. Artemisinin activity-based probes identify multiple molecular targets within the asexual stage of the malaria parasites Plasmodium falciparum 3D7. </w:t>
      </w:r>
      <w:r w:rsidRPr="00192B39">
        <w:rPr>
          <w:rFonts w:cs="Times New Roman"/>
          <w:i/>
          <w:iCs/>
          <w:noProof/>
        </w:rPr>
        <w:t>Proc Natl Acad Sci U S A</w:t>
      </w:r>
      <w:r w:rsidRPr="00192B39">
        <w:rPr>
          <w:rFonts w:cs="Times New Roman"/>
          <w:noProof/>
        </w:rPr>
        <w:t>. 2016;113(8):2080-2085. doi:10.1073/pnas.1600459113</w:t>
      </w:r>
    </w:p>
    <w:p w14:paraId="72515CC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69. </w:t>
      </w:r>
      <w:r w:rsidRPr="00192B39">
        <w:rPr>
          <w:rFonts w:cs="Times New Roman"/>
          <w:noProof/>
        </w:rPr>
        <w:tab/>
        <w:t xml:space="preserve">Ismail HM, Barton VE, Panchana M, et al. A click chemistry-based proteomic approach reveals that 1,2,4-trioxolane and artemisinin antimalarials share a common protein alkylation profile. </w:t>
      </w:r>
      <w:r w:rsidRPr="00192B39">
        <w:rPr>
          <w:rFonts w:cs="Times New Roman"/>
          <w:i/>
          <w:iCs/>
          <w:noProof/>
        </w:rPr>
        <w:t>Angew Chemie - Int Ed</w:t>
      </w:r>
      <w:r w:rsidRPr="00192B39">
        <w:rPr>
          <w:rFonts w:cs="Times New Roman"/>
          <w:noProof/>
        </w:rPr>
        <w:t>. 2016;55(22):6401-6405. doi:10.1002/anie.201512062</w:t>
      </w:r>
    </w:p>
    <w:p w14:paraId="3662207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70. </w:t>
      </w:r>
      <w:r w:rsidRPr="00192B39">
        <w:rPr>
          <w:rFonts w:cs="Times New Roman"/>
          <w:noProof/>
        </w:rPr>
        <w:tab/>
        <w:t xml:space="preserve">Jourdan J, Walz A, Matile H, et al. Stochastic Protein Alkylation by Antimalarial Peroxides. </w:t>
      </w:r>
      <w:r w:rsidRPr="00192B39">
        <w:rPr>
          <w:rFonts w:cs="Times New Roman"/>
          <w:i/>
          <w:iCs/>
          <w:noProof/>
        </w:rPr>
        <w:t>ACS Infect Dis</w:t>
      </w:r>
      <w:r w:rsidRPr="00192B39">
        <w:rPr>
          <w:rFonts w:cs="Times New Roman"/>
          <w:noProof/>
        </w:rPr>
        <w:t>. 2019;5(12):2067-2075. doi:10.1021/acsinfecdis.9b00264</w:t>
      </w:r>
    </w:p>
    <w:p w14:paraId="6D84D9D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71. </w:t>
      </w:r>
      <w:r w:rsidRPr="00192B39">
        <w:rPr>
          <w:rFonts w:cs="Times New Roman"/>
          <w:noProof/>
        </w:rPr>
        <w:tab/>
        <w:t xml:space="preserve">Li W, Zhou Y, Tang G, Xiao Y. Characterization of the Artemisinin Binding Site for Translationally Controlled Tumor Protein (TCTP) by Bioorthogonal Click Chemistry. </w:t>
      </w:r>
      <w:r w:rsidRPr="00192B39">
        <w:rPr>
          <w:rFonts w:cs="Times New Roman"/>
          <w:i/>
          <w:iCs/>
          <w:noProof/>
        </w:rPr>
        <w:t>Bioconjug Chem</w:t>
      </w:r>
      <w:r w:rsidRPr="00192B39">
        <w:rPr>
          <w:rFonts w:cs="Times New Roman"/>
          <w:noProof/>
        </w:rPr>
        <w:t>. 2016;27(12):2828-2833. doi:10.1021/acs.bioconjchem.6b00556</w:t>
      </w:r>
    </w:p>
    <w:p w14:paraId="1CA5C7B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72. </w:t>
      </w:r>
      <w:r w:rsidRPr="00192B39">
        <w:rPr>
          <w:rFonts w:cs="Times New Roman"/>
          <w:noProof/>
        </w:rPr>
        <w:tab/>
        <w:t xml:space="preserve">Jaquet C, Stohler HR, Chollet J, Peters W. Antimalarial activity of the bicyclic peroxide Ro42-1611 (arteflene) in experimental models. </w:t>
      </w:r>
      <w:r w:rsidRPr="00192B39">
        <w:rPr>
          <w:rFonts w:cs="Times New Roman"/>
          <w:i/>
          <w:iCs/>
          <w:noProof/>
        </w:rPr>
        <w:t>Trop Med Parasitol</w:t>
      </w:r>
      <w:r w:rsidRPr="00192B39">
        <w:rPr>
          <w:rFonts w:cs="Times New Roman"/>
          <w:noProof/>
        </w:rPr>
        <w:t>. 1994;45(3):266-271.</w:t>
      </w:r>
    </w:p>
    <w:p w14:paraId="1EEAF9A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73. </w:t>
      </w:r>
      <w:r w:rsidRPr="00192B39">
        <w:rPr>
          <w:rFonts w:cs="Times New Roman"/>
          <w:noProof/>
        </w:rPr>
        <w:tab/>
        <w:t xml:space="preserve">Tang Y, Dong Y, Vennerstrom JL. Synthetic peroxides as antimalarizals. </w:t>
      </w:r>
      <w:r w:rsidRPr="00192B39">
        <w:rPr>
          <w:rFonts w:cs="Times New Roman"/>
          <w:i/>
          <w:iCs/>
          <w:noProof/>
        </w:rPr>
        <w:t>Med Res Rev</w:t>
      </w:r>
      <w:r w:rsidRPr="00192B39">
        <w:rPr>
          <w:rFonts w:cs="Times New Roman"/>
          <w:noProof/>
        </w:rPr>
        <w:t>. 2004;24(4):425-448. doi:10.1002/med.10066</w:t>
      </w:r>
    </w:p>
    <w:p w14:paraId="3778CE3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74. </w:t>
      </w:r>
      <w:r w:rsidRPr="00192B39">
        <w:rPr>
          <w:rFonts w:cs="Times New Roman"/>
          <w:noProof/>
        </w:rPr>
        <w:tab/>
        <w:t xml:space="preserve">Xu XX, Zhu J, Huang DZ, Zhou WS. Total synthesis of (+)-Yingzhaosu A. </w:t>
      </w:r>
      <w:r w:rsidRPr="00192B39">
        <w:rPr>
          <w:rFonts w:cs="Times New Roman"/>
          <w:i/>
          <w:iCs/>
          <w:noProof/>
        </w:rPr>
        <w:t>Tetrahedron Lett</w:t>
      </w:r>
      <w:r w:rsidRPr="00192B39">
        <w:rPr>
          <w:rFonts w:cs="Times New Roman"/>
          <w:noProof/>
        </w:rPr>
        <w:t>. 1991;32(41):5785-5788. doi:10.1016/S0040-4039(00)93555-X</w:t>
      </w:r>
    </w:p>
    <w:p w14:paraId="308BFD8E"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75. </w:t>
      </w:r>
      <w:r w:rsidRPr="00192B39">
        <w:rPr>
          <w:rFonts w:cs="Times New Roman"/>
          <w:noProof/>
        </w:rPr>
        <w:tab/>
        <w:t xml:space="preserve">Girometta MA, Jauch R, Ponelle C, Guenzi A, Wiegand-Chou RC. Animal pharmacokinetics </w:t>
      </w:r>
      <w:r w:rsidRPr="00192B39">
        <w:rPr>
          <w:rFonts w:cs="Times New Roman"/>
          <w:noProof/>
        </w:rPr>
        <w:lastRenderedPageBreak/>
        <w:t xml:space="preserve">and metabolism of the new antimalarial Ro42-1611 (arteflene). </w:t>
      </w:r>
      <w:r w:rsidRPr="00192B39">
        <w:rPr>
          <w:rFonts w:cs="Times New Roman"/>
          <w:i/>
          <w:iCs/>
          <w:noProof/>
        </w:rPr>
        <w:t>Trop Med Parasitol</w:t>
      </w:r>
      <w:r w:rsidRPr="00192B39">
        <w:rPr>
          <w:rFonts w:cs="Times New Roman"/>
          <w:noProof/>
        </w:rPr>
        <w:t>. 1994;45(3):272-277.</w:t>
      </w:r>
    </w:p>
    <w:p w14:paraId="058B07CE"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76. </w:t>
      </w:r>
      <w:r w:rsidRPr="00192B39">
        <w:rPr>
          <w:rFonts w:cs="Times New Roman"/>
          <w:noProof/>
        </w:rPr>
        <w:tab/>
        <w:t xml:space="preserve">Weidekamm E, Dumont E, Jaquet C. Tolerability and pharmacokinetics of Ro42-1611 (arteflene) in man. </w:t>
      </w:r>
      <w:r w:rsidRPr="00192B39">
        <w:rPr>
          <w:rFonts w:cs="Times New Roman"/>
          <w:i/>
          <w:iCs/>
          <w:noProof/>
        </w:rPr>
        <w:t>Trop Med Parasitol</w:t>
      </w:r>
      <w:r w:rsidRPr="00192B39">
        <w:rPr>
          <w:rFonts w:cs="Times New Roman"/>
          <w:noProof/>
        </w:rPr>
        <w:t>. 1994;45(3):278-283.</w:t>
      </w:r>
    </w:p>
    <w:p w14:paraId="41B72DC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77. </w:t>
      </w:r>
      <w:r w:rsidRPr="00192B39">
        <w:rPr>
          <w:rFonts w:cs="Times New Roman"/>
          <w:noProof/>
        </w:rPr>
        <w:tab/>
        <w:t xml:space="preserve">Somo-Moyou R, Mittelholzer ML, Sorenson F, Haller L, Sturchler D. Efficacy of Ro42-1611 (arteflene) in the treatment of patients with mild malaria: A clinical trial in Cameroon. </w:t>
      </w:r>
      <w:r w:rsidRPr="00192B39">
        <w:rPr>
          <w:rFonts w:cs="Times New Roman"/>
          <w:i/>
          <w:iCs/>
          <w:noProof/>
        </w:rPr>
        <w:t>Trop Med Parasitol</w:t>
      </w:r>
      <w:r w:rsidRPr="00192B39">
        <w:rPr>
          <w:rFonts w:cs="Times New Roman"/>
          <w:noProof/>
        </w:rPr>
        <w:t>. 1994;45(3):288-291.</w:t>
      </w:r>
    </w:p>
    <w:p w14:paraId="2B64BB49"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78. </w:t>
      </w:r>
      <w:r w:rsidRPr="00192B39">
        <w:rPr>
          <w:rFonts w:cs="Times New Roman"/>
          <w:noProof/>
        </w:rPr>
        <w:tab/>
        <w:t xml:space="preserve">Salako LA, Guiguemde R, Mittelholzer ML, Haller L, Sorenson F, Sturchler D. Ro42-1611 in the treatment of patients with mild malaria: A clinical trial in Nigeria and Burkina Faso. In: </w:t>
      </w:r>
      <w:r w:rsidRPr="00192B39">
        <w:rPr>
          <w:rFonts w:cs="Times New Roman"/>
          <w:i/>
          <w:iCs/>
          <w:noProof/>
        </w:rPr>
        <w:t>Tropical Medicine and Parasitology</w:t>
      </w:r>
      <w:r w:rsidRPr="00192B39">
        <w:rPr>
          <w:rFonts w:cs="Times New Roman"/>
          <w:noProof/>
        </w:rPr>
        <w:t>. ; 1994.</w:t>
      </w:r>
    </w:p>
    <w:p w14:paraId="5271A0A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79. </w:t>
      </w:r>
      <w:r w:rsidRPr="00192B39">
        <w:rPr>
          <w:rFonts w:cs="Times New Roman"/>
          <w:noProof/>
        </w:rPr>
        <w:tab/>
        <w:t xml:space="preserve">Radloff PD, Philipps J, Nkeyi M, Sturchler D, Mittelholzer ML, Kremsner PG. Arteflene compared with mefloquine for treating Plasmodium falciparum malaria in children. </w:t>
      </w:r>
      <w:r w:rsidRPr="00192B39">
        <w:rPr>
          <w:rFonts w:cs="Times New Roman"/>
          <w:i/>
          <w:iCs/>
          <w:noProof/>
        </w:rPr>
        <w:t>Am J Trop Med Hyg</w:t>
      </w:r>
      <w:r w:rsidRPr="00192B39">
        <w:rPr>
          <w:rFonts w:cs="Times New Roman"/>
          <w:noProof/>
        </w:rPr>
        <w:t>. 1996;55(3):259-262. doi:10.4269/ajtmh.1996.55.259</w:t>
      </w:r>
    </w:p>
    <w:p w14:paraId="6C2C3AC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80. </w:t>
      </w:r>
      <w:r w:rsidRPr="00192B39">
        <w:rPr>
          <w:rFonts w:cs="Times New Roman"/>
          <w:noProof/>
        </w:rPr>
        <w:tab/>
        <w:t xml:space="preserve">O’ Neill PM, Bishop LP, Searle NL, et al. The biomimetic iron-mediated degradation of arteflene (Ro-42-1611), an endoperoxide antimalarial: Implications for the mechanism of antimalarial activity. </w:t>
      </w:r>
      <w:r w:rsidRPr="00192B39">
        <w:rPr>
          <w:rFonts w:cs="Times New Roman"/>
          <w:i/>
          <w:iCs/>
          <w:noProof/>
        </w:rPr>
        <w:t>Tetrahedron Lett</w:t>
      </w:r>
      <w:r w:rsidRPr="00192B39">
        <w:rPr>
          <w:rFonts w:cs="Times New Roman"/>
          <w:noProof/>
        </w:rPr>
        <w:t>. 1997;38(24):4263-4266. doi:10.1016/S0040-4039(97)00874-5</w:t>
      </w:r>
    </w:p>
    <w:p w14:paraId="77D7823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81. </w:t>
      </w:r>
      <w:r w:rsidRPr="00192B39">
        <w:rPr>
          <w:rFonts w:cs="Times New Roman"/>
          <w:noProof/>
        </w:rPr>
        <w:tab/>
        <w:t xml:space="preserve">Cazelles J, Robert A, Meunier B. Characterization of the main radical and products resulting from a reductive activation of the antimalarial arteflene (Ro 42-1611). </w:t>
      </w:r>
      <w:r w:rsidRPr="00192B39">
        <w:rPr>
          <w:rFonts w:cs="Times New Roman"/>
          <w:i/>
          <w:iCs/>
          <w:noProof/>
        </w:rPr>
        <w:t>J Org Chem</w:t>
      </w:r>
      <w:r w:rsidRPr="00192B39">
        <w:rPr>
          <w:rFonts w:cs="Times New Roman"/>
          <w:noProof/>
        </w:rPr>
        <w:t>. 1999;64(18):6776-6781. doi:10.1021/jo990744z</w:t>
      </w:r>
    </w:p>
    <w:p w14:paraId="21AA579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82. </w:t>
      </w:r>
      <w:r w:rsidRPr="00192B39">
        <w:rPr>
          <w:rFonts w:cs="Times New Roman"/>
          <w:noProof/>
        </w:rPr>
        <w:tab/>
        <w:t xml:space="preserve">Peters W, Robinson BL, Rossier JC, Jefford CW. The chemotherapy of rodent malaria. XLVIII. The activities of some synthetic 1,2,4-trioxanes against chloroquine-sensitive and chloroquine-resistant parasites. Part 1: Studies leading to the development of novel cis-fused cyclopenteno derivatives. </w:t>
      </w:r>
      <w:r w:rsidRPr="00192B39">
        <w:rPr>
          <w:rFonts w:cs="Times New Roman"/>
          <w:i/>
          <w:iCs/>
          <w:noProof/>
        </w:rPr>
        <w:t>Ann Trop Med Parasitol</w:t>
      </w:r>
      <w:r w:rsidRPr="00192B39">
        <w:rPr>
          <w:rFonts w:cs="Times New Roman"/>
          <w:noProof/>
        </w:rPr>
        <w:t>. 1993;87(1):1-7. doi:10.1080/00034983.1993.11812733</w:t>
      </w:r>
    </w:p>
    <w:p w14:paraId="1EEDE6F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83. </w:t>
      </w:r>
      <w:r w:rsidRPr="00192B39">
        <w:rPr>
          <w:rFonts w:cs="Times New Roman"/>
          <w:noProof/>
        </w:rPr>
        <w:tab/>
        <w:t xml:space="preserve">Peters W, Robinson BL, Rossiter JC, Misra D, Jefford CW. The chemotherapy of rodent malaria. XLIX. The activities of some synthetic 1,2,4-trioxanes against chloroquinesensitive and chloroquine-resistant parasites. Part 2: Structure-activity studies on cis-fused cyclopenteno-1,2,4-trioxanes (fenozans) against dr. </w:t>
      </w:r>
      <w:r w:rsidRPr="00192B39">
        <w:rPr>
          <w:rFonts w:cs="Times New Roman"/>
          <w:i/>
          <w:iCs/>
          <w:noProof/>
        </w:rPr>
        <w:t>Ann Trop Med Parasitol</w:t>
      </w:r>
      <w:r w:rsidRPr="00192B39">
        <w:rPr>
          <w:rFonts w:cs="Times New Roman"/>
          <w:noProof/>
        </w:rPr>
        <w:t>. 1993;87(1):9-16. doi:10.1080/00034983.1993.11812734</w:t>
      </w:r>
    </w:p>
    <w:p w14:paraId="27C329D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84. </w:t>
      </w:r>
      <w:r w:rsidRPr="00192B39">
        <w:rPr>
          <w:rFonts w:cs="Times New Roman"/>
          <w:noProof/>
        </w:rPr>
        <w:tab/>
        <w:t xml:space="preserve">Jefford CW. 1,2,4-Trioxanes, The Chemistry of A New Class of Saturated Heterocycles. </w:t>
      </w:r>
      <w:r w:rsidRPr="00192B39">
        <w:rPr>
          <w:rFonts w:cs="Times New Roman"/>
          <w:i/>
          <w:iCs/>
          <w:noProof/>
        </w:rPr>
        <w:t>Stud Surf Sci Catal</w:t>
      </w:r>
      <w:r w:rsidRPr="00192B39">
        <w:rPr>
          <w:rFonts w:cs="Times New Roman"/>
          <w:noProof/>
        </w:rPr>
        <w:t>. 1991;66(C):555-564. doi:10.1016/S0167-2991(08)62876-1</w:t>
      </w:r>
    </w:p>
    <w:p w14:paraId="0527E95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85. </w:t>
      </w:r>
      <w:r w:rsidRPr="00192B39">
        <w:rPr>
          <w:rFonts w:cs="Times New Roman"/>
          <w:noProof/>
        </w:rPr>
        <w:tab/>
        <w:t xml:space="preserve">Jefford CW, Kohmoto S, Jaggi D, et al. Synthesis, Structure, and Antimalarial Activity of Some Enantiomerically Pure, cis-Fused Cyclopenteno-1,2,4-trioxanes. </w:t>
      </w:r>
      <w:r w:rsidRPr="00192B39">
        <w:rPr>
          <w:rFonts w:cs="Times New Roman"/>
          <w:i/>
          <w:iCs/>
          <w:noProof/>
        </w:rPr>
        <w:t>Helv Chim Acta</w:t>
      </w:r>
      <w:r w:rsidRPr="00192B39">
        <w:rPr>
          <w:rFonts w:cs="Times New Roman"/>
          <w:noProof/>
        </w:rPr>
        <w:t>. 1995;78(3):647-662. doi:10.1002/hlca.19950780312</w:t>
      </w:r>
    </w:p>
    <w:p w14:paraId="673004E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86. </w:t>
      </w:r>
      <w:r w:rsidRPr="00192B39">
        <w:rPr>
          <w:rFonts w:cs="Times New Roman"/>
          <w:noProof/>
        </w:rPr>
        <w:tab/>
        <w:t xml:space="preserve">Peters W, Robinson BL, Tovey G, Rossier JC, Jefford CW. The chemotherapy of rodent malaria. L. The activities of some synthetic 1,2,4-trioxanes against chloroquine-sensitive and chloroquine-resistant parasites. Part 3: Observations on “Fenozan-50F”, a difluorinated </w:t>
      </w:r>
      <w:r w:rsidRPr="00192B39">
        <w:rPr>
          <w:rFonts w:cs="Times New Roman"/>
          <w:noProof/>
        </w:rPr>
        <w:lastRenderedPageBreak/>
        <w:t xml:space="preserve">3,3’spirocyclopentane 1,2,4-trioxane. </w:t>
      </w:r>
      <w:r w:rsidRPr="00192B39">
        <w:rPr>
          <w:rFonts w:cs="Times New Roman"/>
          <w:i/>
          <w:iCs/>
          <w:noProof/>
        </w:rPr>
        <w:t>Ann Trop Med Parasitol</w:t>
      </w:r>
      <w:r w:rsidRPr="00192B39">
        <w:rPr>
          <w:rFonts w:cs="Times New Roman"/>
          <w:noProof/>
        </w:rPr>
        <w:t>. 1993;87(2):111-123. doi:10.1080/00034983.1993.11812745</w:t>
      </w:r>
    </w:p>
    <w:p w14:paraId="3838D847"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87. </w:t>
      </w:r>
      <w:r w:rsidRPr="00192B39">
        <w:rPr>
          <w:rFonts w:cs="Times New Roman"/>
          <w:noProof/>
        </w:rPr>
        <w:tab/>
        <w:t xml:space="preserve">Peters W, Robinson BL. The chemotherapy of rodent malaria. LVI. Studies on the development of resistance to natural and synthetic endoperoxides. </w:t>
      </w:r>
      <w:r w:rsidRPr="00192B39">
        <w:rPr>
          <w:rFonts w:cs="Times New Roman"/>
          <w:i/>
          <w:iCs/>
          <w:noProof/>
        </w:rPr>
        <w:t>Ann Trop Med Parasitol</w:t>
      </w:r>
      <w:r w:rsidRPr="00192B39">
        <w:rPr>
          <w:rFonts w:cs="Times New Roman"/>
          <w:noProof/>
        </w:rPr>
        <w:t>. 1999;93(4):325-339. doi:10.1080/00034983.1999.11813429</w:t>
      </w:r>
    </w:p>
    <w:p w14:paraId="77CDE4C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88. </w:t>
      </w:r>
      <w:r w:rsidRPr="00192B39">
        <w:rPr>
          <w:rFonts w:cs="Times New Roman"/>
          <w:noProof/>
        </w:rPr>
        <w:tab/>
        <w:t xml:space="preserve">Fleck SL, Robinson BL, Peters W. The chemotherapy of rodent malaria. LIV. Combinations of “Fenozan B07” (Fenozan-50F), a difluorinated 3,3’-spirocyclopentane 1,2,4-trioxane, with other drugs against drug-sensitive and drug-resistant parasites. </w:t>
      </w:r>
      <w:r w:rsidRPr="00192B39">
        <w:rPr>
          <w:rFonts w:cs="Times New Roman"/>
          <w:i/>
          <w:iCs/>
          <w:noProof/>
        </w:rPr>
        <w:t>Ann Trop Med Parasitol</w:t>
      </w:r>
      <w:r w:rsidRPr="00192B39">
        <w:rPr>
          <w:rFonts w:cs="Times New Roman"/>
          <w:noProof/>
        </w:rPr>
        <w:t>. 1997;91(1):33-39. doi:10.1080/00034983.1997.11813109</w:t>
      </w:r>
    </w:p>
    <w:p w14:paraId="30CE569F"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89. </w:t>
      </w:r>
      <w:r w:rsidRPr="00192B39">
        <w:rPr>
          <w:rFonts w:cs="Times New Roman"/>
          <w:noProof/>
        </w:rPr>
        <w:tab/>
        <w:t xml:space="preserve">Burrows JN, Duparc S, Gutteridge WE, et al. New developments in anti-malarial target candidate and product profiles. </w:t>
      </w:r>
      <w:r w:rsidRPr="00192B39">
        <w:rPr>
          <w:rFonts w:cs="Times New Roman"/>
          <w:i/>
          <w:iCs/>
          <w:noProof/>
        </w:rPr>
        <w:t>Malar J</w:t>
      </w:r>
      <w:r w:rsidRPr="00192B39">
        <w:rPr>
          <w:rFonts w:cs="Times New Roman"/>
          <w:noProof/>
        </w:rPr>
        <w:t>. 2017;16(1):26. doi:10.1186/s12936-016-1675-x</w:t>
      </w:r>
    </w:p>
    <w:p w14:paraId="76DDF1BE"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90. </w:t>
      </w:r>
      <w:r w:rsidRPr="00192B39">
        <w:rPr>
          <w:rFonts w:cs="Times New Roman"/>
          <w:noProof/>
        </w:rPr>
        <w:tab/>
        <w:t xml:space="preserve">Jefford CW, Favarger F, Vicente MDGH, Jacquier Y. The Decomposition of cis‐Fused Cyclopenteno‐1,2,4‐Trioxanes induced by Ferrous Salts and some oxophilic reagents. </w:t>
      </w:r>
      <w:r w:rsidRPr="00192B39">
        <w:rPr>
          <w:rFonts w:cs="Times New Roman"/>
          <w:i/>
          <w:iCs/>
          <w:noProof/>
        </w:rPr>
        <w:t>Helv Chim Acta</w:t>
      </w:r>
      <w:r w:rsidRPr="00192B39">
        <w:rPr>
          <w:rFonts w:cs="Times New Roman"/>
          <w:noProof/>
        </w:rPr>
        <w:t>. 1995;78(2):452-458. doi:10.1002/hlca.19950780216</w:t>
      </w:r>
    </w:p>
    <w:p w14:paraId="3B8FFA0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91. </w:t>
      </w:r>
      <w:r w:rsidRPr="00192B39">
        <w:rPr>
          <w:rFonts w:cs="Times New Roman"/>
          <w:noProof/>
        </w:rPr>
        <w:tab/>
        <w:t xml:space="preserve">Dechy-Cabaret O, Benoit-Vical F, Robert A, Meunier B. Preparation and antimalarial activities of “trioxaquines”, new modular molecules with a trioxane skeleton linked to a 4-aminoquinoline. </w:t>
      </w:r>
      <w:r w:rsidRPr="00192B39">
        <w:rPr>
          <w:rFonts w:cs="Times New Roman"/>
          <w:i/>
          <w:iCs/>
          <w:noProof/>
        </w:rPr>
        <w:t>Angew Chemie (International Ed English)</w:t>
      </w:r>
      <w:r w:rsidRPr="00192B39">
        <w:rPr>
          <w:rFonts w:cs="Times New Roman"/>
          <w:noProof/>
        </w:rPr>
        <w:t>. 2000;39(22 SUPPL.):281-283. doi:10.1002/1439-7633(20001117)1:4&lt;281::aid-cbic281&gt;3.3.co;2-n</w:t>
      </w:r>
    </w:p>
    <w:p w14:paraId="1D7725D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92. </w:t>
      </w:r>
      <w:r w:rsidRPr="00192B39">
        <w:rPr>
          <w:rFonts w:cs="Times New Roman"/>
          <w:noProof/>
        </w:rPr>
        <w:tab/>
        <w:t xml:space="preserve">Basco LK, Dechy-Cabaret O, Ndounga M, Meche FS, Robert A, Meunier B. In vitro activities of DU-1102, a new trioxaquine derivative, against Plasmodium falciparum isolates. </w:t>
      </w:r>
      <w:r w:rsidRPr="00192B39">
        <w:rPr>
          <w:rFonts w:cs="Times New Roman"/>
          <w:i/>
          <w:iCs/>
          <w:noProof/>
        </w:rPr>
        <w:t>Antimicrob Agents Chemother</w:t>
      </w:r>
      <w:r w:rsidRPr="00192B39">
        <w:rPr>
          <w:rFonts w:cs="Times New Roman"/>
          <w:noProof/>
        </w:rPr>
        <w:t>. 2001;45(6):1886-1888. doi:10.1128/AAC.45.6.1886-1888.2001</w:t>
      </w:r>
    </w:p>
    <w:p w14:paraId="7EF2D63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93. </w:t>
      </w:r>
      <w:r w:rsidRPr="00192B39">
        <w:rPr>
          <w:rFonts w:cs="Times New Roman"/>
          <w:noProof/>
        </w:rPr>
        <w:tab/>
        <w:t xml:space="preserve">Dechy-Cabarett O, Benoit-Vical F, Loup C, et al. Synthesis and Antimalarial Activity of Trioxaquine Derivatives. </w:t>
      </w:r>
      <w:r w:rsidRPr="00192B39">
        <w:rPr>
          <w:rFonts w:cs="Times New Roman"/>
          <w:i/>
          <w:iCs/>
          <w:noProof/>
        </w:rPr>
        <w:t>Chem - A Eur J</w:t>
      </w:r>
      <w:r w:rsidRPr="00192B39">
        <w:rPr>
          <w:rFonts w:cs="Times New Roman"/>
          <w:noProof/>
        </w:rPr>
        <w:t>. 2004;10(7):1625-1636. doi:10.1002/chem.200305576</w:t>
      </w:r>
    </w:p>
    <w:p w14:paraId="451199AF"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94. </w:t>
      </w:r>
      <w:r w:rsidRPr="00192B39">
        <w:rPr>
          <w:rFonts w:cs="Times New Roman"/>
          <w:noProof/>
        </w:rPr>
        <w:tab/>
        <w:t xml:space="preserve">Laurent SAL, Loup C, Mourgues S, Robert A, Meunier B. Heme alkylation by artesunic acid and trioxaquine DU1301, two antimalarial trioxanes. </w:t>
      </w:r>
      <w:r w:rsidRPr="00192B39">
        <w:rPr>
          <w:rFonts w:cs="Times New Roman"/>
          <w:i/>
          <w:iCs/>
          <w:noProof/>
        </w:rPr>
        <w:t>ChemBioChem</w:t>
      </w:r>
      <w:r w:rsidRPr="00192B39">
        <w:rPr>
          <w:rFonts w:cs="Times New Roman"/>
          <w:noProof/>
        </w:rPr>
        <w:t>. 2005;6(4):653-658. doi:10.1002/cbic.200400249</w:t>
      </w:r>
    </w:p>
    <w:p w14:paraId="4F4198F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95. </w:t>
      </w:r>
      <w:r w:rsidRPr="00192B39">
        <w:rPr>
          <w:rFonts w:cs="Times New Roman"/>
          <w:noProof/>
        </w:rPr>
        <w:tab/>
        <w:t xml:space="preserve">Garah FB-E, Claparols C, Benoit-Vical F, Meunier B, Robert A. The antimalarial trioxaquine DU1301 alkylates heme in malaria-infected mice. </w:t>
      </w:r>
      <w:r w:rsidRPr="00192B39">
        <w:rPr>
          <w:rFonts w:cs="Times New Roman"/>
          <w:i/>
          <w:iCs/>
          <w:noProof/>
        </w:rPr>
        <w:t>Antimicrob Agents Chemother</w:t>
      </w:r>
      <w:r w:rsidRPr="00192B39">
        <w:rPr>
          <w:rFonts w:cs="Times New Roman"/>
          <w:noProof/>
        </w:rPr>
        <w:t>. 2008;52(8):2966-2969. doi:10.1128/AAC.00165-08</w:t>
      </w:r>
    </w:p>
    <w:p w14:paraId="229696D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96. </w:t>
      </w:r>
      <w:r w:rsidRPr="00192B39">
        <w:rPr>
          <w:rFonts w:cs="Times New Roman"/>
          <w:noProof/>
        </w:rPr>
        <w:tab/>
        <w:t xml:space="preserve">Muregi FW, Ishih A. Next-generation antimalarial drugs: Hybrid molecules as a new strategy in drug design. </w:t>
      </w:r>
      <w:r w:rsidRPr="00192B39">
        <w:rPr>
          <w:rFonts w:cs="Times New Roman"/>
          <w:i/>
          <w:iCs/>
          <w:noProof/>
        </w:rPr>
        <w:t>Drug Dev Res</w:t>
      </w:r>
      <w:r w:rsidRPr="00192B39">
        <w:rPr>
          <w:rFonts w:cs="Times New Roman"/>
          <w:noProof/>
        </w:rPr>
        <w:t>. 2010;71(1):20-32. doi:10.1002/ddr.20345</w:t>
      </w:r>
    </w:p>
    <w:p w14:paraId="0624D4A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97. </w:t>
      </w:r>
      <w:r w:rsidRPr="00192B39">
        <w:rPr>
          <w:rFonts w:cs="Times New Roman"/>
          <w:noProof/>
        </w:rPr>
        <w:tab/>
        <w:t xml:space="preserve">Coslédan F, Fraisse L, Pellet A, et al. Selection of a trioxaquine as an antimalarial drug candidate. </w:t>
      </w:r>
      <w:r w:rsidRPr="00192B39">
        <w:rPr>
          <w:rFonts w:cs="Times New Roman"/>
          <w:i/>
          <w:iCs/>
          <w:noProof/>
        </w:rPr>
        <w:t>Proc Natl Acad Sci U S A</w:t>
      </w:r>
      <w:r w:rsidRPr="00192B39">
        <w:rPr>
          <w:rFonts w:cs="Times New Roman"/>
          <w:noProof/>
        </w:rPr>
        <w:t>. 2008;105(45):17579-17584. doi:10.1073/pnas.0804338105</w:t>
      </w:r>
    </w:p>
    <w:p w14:paraId="4DFDCBE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98. </w:t>
      </w:r>
      <w:r w:rsidRPr="00192B39">
        <w:rPr>
          <w:rFonts w:cs="Times New Roman"/>
          <w:noProof/>
        </w:rPr>
        <w:tab/>
        <w:t xml:space="preserve">Mzayek F, Deng H, Mather FJ, et al. Randomized dose-ranging controlled trial of AQ-13, a candidate antimalarial, and chloroquine in healthy volunteers. </w:t>
      </w:r>
      <w:r w:rsidRPr="00192B39">
        <w:rPr>
          <w:rFonts w:cs="Times New Roman"/>
          <w:i/>
          <w:iCs/>
          <w:noProof/>
        </w:rPr>
        <w:t>PLoS Clin Trials</w:t>
      </w:r>
      <w:r w:rsidRPr="00192B39">
        <w:rPr>
          <w:rFonts w:cs="Times New Roman"/>
          <w:noProof/>
        </w:rPr>
        <w:t>. 2007;2(1):e6. doi:10.1371/journal.pctr.0020006</w:t>
      </w:r>
    </w:p>
    <w:p w14:paraId="1C84253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lastRenderedPageBreak/>
        <w:t xml:space="preserve">99. </w:t>
      </w:r>
      <w:r w:rsidRPr="00192B39">
        <w:rPr>
          <w:rFonts w:cs="Times New Roman"/>
          <w:noProof/>
        </w:rPr>
        <w:tab/>
        <w:t xml:space="preserve">Pukrittayakamee S, Tarning J, Jittamala P, et al. Pharmacokinetic interactions between primaquine and chloroquine. </w:t>
      </w:r>
      <w:r w:rsidRPr="00192B39">
        <w:rPr>
          <w:rFonts w:cs="Times New Roman"/>
          <w:i/>
          <w:iCs/>
          <w:noProof/>
        </w:rPr>
        <w:t>Antimicrob Agents Chemother</w:t>
      </w:r>
      <w:r w:rsidRPr="00192B39">
        <w:rPr>
          <w:rFonts w:cs="Times New Roman"/>
          <w:noProof/>
        </w:rPr>
        <w:t>. 2014;58(6):3354-3359. doi:10.1128/AAC.02794-13</w:t>
      </w:r>
    </w:p>
    <w:p w14:paraId="1494E06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100. </w:t>
      </w:r>
      <w:r w:rsidRPr="00192B39">
        <w:rPr>
          <w:rFonts w:cs="Times New Roman"/>
          <w:noProof/>
        </w:rPr>
        <w:tab/>
        <w:t xml:space="preserve">Ursing J, Rombo L, Eksborg S, et al. High-dose chloroquine for uncomplicated plasmodium falciparum malaria is well tolerated and causes similar QT interval prolongation as standard-dose chloroquine in children. </w:t>
      </w:r>
      <w:r w:rsidRPr="00192B39">
        <w:rPr>
          <w:rFonts w:cs="Times New Roman"/>
          <w:i/>
          <w:iCs/>
          <w:noProof/>
        </w:rPr>
        <w:t>Antimicrob Agents Chemother</w:t>
      </w:r>
      <w:r w:rsidRPr="00192B39">
        <w:rPr>
          <w:rFonts w:cs="Times New Roman"/>
          <w:noProof/>
        </w:rPr>
        <w:t>. 2020;64(3):e01846-19. doi:10.1128/AAC.01846-19</w:t>
      </w:r>
    </w:p>
    <w:p w14:paraId="2E71FAC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101. </w:t>
      </w:r>
      <w:r w:rsidRPr="00192B39">
        <w:rPr>
          <w:rFonts w:cs="Times New Roman"/>
          <w:noProof/>
        </w:rPr>
        <w:tab/>
        <w:t xml:space="preserve">Vennerstrom JL, Arbe-Barnes S, Brun R, et al. Identification of an antimalarial synthetic trioxolane drug development candidate. </w:t>
      </w:r>
      <w:r w:rsidRPr="00192B39">
        <w:rPr>
          <w:rFonts w:cs="Times New Roman"/>
          <w:i/>
          <w:iCs/>
          <w:noProof/>
        </w:rPr>
        <w:t>Nature</w:t>
      </w:r>
      <w:r w:rsidRPr="00192B39">
        <w:rPr>
          <w:rFonts w:cs="Times New Roman"/>
          <w:noProof/>
        </w:rPr>
        <w:t>. 2004;430(7002):900-904. doi:10.1038/nature02779</w:t>
      </w:r>
    </w:p>
    <w:p w14:paraId="65AE8DF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102. </w:t>
      </w:r>
      <w:r w:rsidRPr="00192B39">
        <w:rPr>
          <w:rFonts w:cs="Times New Roman"/>
          <w:noProof/>
        </w:rPr>
        <w:tab/>
        <w:t xml:space="preserve">Tang Y, Dong Y, Karle JM, DiTusa CA, Vennerstrom JL. Synthesis of Tetrasubstituted Ozonides by the Griesbaum Coozonolysis Reaction: Diastereoselectivity and Functional Group Transformations by Post-Ozonolysis Reactions. </w:t>
      </w:r>
      <w:r w:rsidRPr="00192B39">
        <w:rPr>
          <w:rFonts w:cs="Times New Roman"/>
          <w:i/>
          <w:iCs/>
          <w:noProof/>
        </w:rPr>
        <w:t>J Org Chem</w:t>
      </w:r>
      <w:r w:rsidRPr="00192B39">
        <w:rPr>
          <w:rFonts w:cs="Times New Roman"/>
          <w:noProof/>
        </w:rPr>
        <w:t>. 2004;69(19):6470-6473. doi:10.1021/jo040171c</w:t>
      </w:r>
    </w:p>
    <w:p w14:paraId="748834B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103. </w:t>
      </w:r>
      <w:r w:rsidRPr="00192B39">
        <w:rPr>
          <w:rFonts w:cs="Times New Roman"/>
          <w:noProof/>
        </w:rPr>
        <w:tab/>
        <w:t xml:space="preserve">Saha N, Moehrle JJ, Zutshi A, Sharma P, Kaur P, Iyer SS. Safety, tolerability and pharmacokinetic profile of single and multiple oral doses of arterolane (RBx11160) maleate in healthy subjects. </w:t>
      </w:r>
      <w:r w:rsidRPr="00192B39">
        <w:rPr>
          <w:rFonts w:cs="Times New Roman"/>
          <w:i/>
          <w:iCs/>
          <w:noProof/>
        </w:rPr>
        <w:t>J Clin Pharmacol</w:t>
      </w:r>
      <w:r w:rsidRPr="00192B39">
        <w:rPr>
          <w:rFonts w:cs="Times New Roman"/>
          <w:noProof/>
        </w:rPr>
        <w:t>. 2014;54(4):386-393. doi:10.1002/jcph.232</w:t>
      </w:r>
    </w:p>
    <w:p w14:paraId="285BF68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104. </w:t>
      </w:r>
      <w:r w:rsidRPr="00192B39">
        <w:rPr>
          <w:rFonts w:cs="Times New Roman"/>
          <w:noProof/>
        </w:rPr>
        <w:tab/>
        <w:t xml:space="preserve">Gautam A, Ahmed T, Sharma P, et al. Pharmacokinetics and pharmacodynamics of arterolane maleate following multiple oral doses in adult patients with p. falciparum malaria. </w:t>
      </w:r>
      <w:r w:rsidRPr="00192B39">
        <w:rPr>
          <w:rFonts w:cs="Times New Roman"/>
          <w:i/>
          <w:iCs/>
          <w:noProof/>
        </w:rPr>
        <w:t>J Clin Pharmacol</w:t>
      </w:r>
      <w:r w:rsidRPr="00192B39">
        <w:rPr>
          <w:rFonts w:cs="Times New Roman"/>
          <w:noProof/>
        </w:rPr>
        <w:t>. 2011;51(11):1519-1528. doi:10.1177/0091270010385578</w:t>
      </w:r>
    </w:p>
    <w:p w14:paraId="6B0C5D0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105. </w:t>
      </w:r>
      <w:r w:rsidRPr="00192B39">
        <w:rPr>
          <w:rFonts w:cs="Times New Roman"/>
          <w:noProof/>
        </w:rPr>
        <w:tab/>
        <w:t xml:space="preserve">Zhou L, Alker A, Ruf A, et al. Characterization of the two major CYP450 metabolites of ozonide (1,2,4-trioxolane) OZ277. </w:t>
      </w:r>
      <w:r w:rsidRPr="00192B39">
        <w:rPr>
          <w:rFonts w:cs="Times New Roman"/>
          <w:i/>
          <w:iCs/>
          <w:noProof/>
        </w:rPr>
        <w:t>Bioorganic Med Chem Lett</w:t>
      </w:r>
      <w:r w:rsidRPr="00192B39">
        <w:rPr>
          <w:rFonts w:cs="Times New Roman"/>
          <w:noProof/>
        </w:rPr>
        <w:t>. 2008;18(5):1555-1558. doi:10.1016/j.bmcl.2008.01.087</w:t>
      </w:r>
    </w:p>
    <w:p w14:paraId="545A795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106. </w:t>
      </w:r>
      <w:r w:rsidRPr="00192B39">
        <w:rPr>
          <w:rFonts w:cs="Times New Roman"/>
          <w:noProof/>
        </w:rPr>
        <w:tab/>
        <w:t xml:space="preserve">Charman SA, Arbe-Barnes S, Bathurst IC, et al. Synthetic ozonide drug candidate OZ439 offers new hope for a single-dose cure of uncomplicated malaria. </w:t>
      </w:r>
      <w:r w:rsidRPr="00192B39">
        <w:rPr>
          <w:rFonts w:cs="Times New Roman"/>
          <w:i/>
          <w:iCs/>
          <w:noProof/>
        </w:rPr>
        <w:t>Proc Natl Acad Sci U S A</w:t>
      </w:r>
      <w:r w:rsidRPr="00192B39">
        <w:rPr>
          <w:rFonts w:cs="Times New Roman"/>
          <w:noProof/>
        </w:rPr>
        <w:t>. 2011;108(11):4400-4405. doi:10.1073/pnas.1015762108</w:t>
      </w:r>
    </w:p>
    <w:p w14:paraId="2DECD7E4"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107. </w:t>
      </w:r>
      <w:r w:rsidRPr="00192B39">
        <w:rPr>
          <w:rFonts w:cs="Times New Roman"/>
          <w:noProof/>
        </w:rPr>
        <w:tab/>
        <w:t xml:space="preserve">Patil C, Baig M, Doifode S, Katare S. Fixed dose combination of arterolane and piperaquine: A newer prospect in antimalarial therapy. </w:t>
      </w:r>
      <w:r w:rsidRPr="00192B39">
        <w:rPr>
          <w:rFonts w:cs="Times New Roman"/>
          <w:i/>
          <w:iCs/>
          <w:noProof/>
        </w:rPr>
        <w:t>Ann Med Health Sci Res</w:t>
      </w:r>
      <w:r w:rsidRPr="00192B39">
        <w:rPr>
          <w:rFonts w:cs="Times New Roman"/>
          <w:noProof/>
        </w:rPr>
        <w:t>. 2014;4(4):466. doi:10.4103/2141-9248.139270</w:t>
      </w:r>
    </w:p>
    <w:p w14:paraId="722319E5"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108. </w:t>
      </w:r>
      <w:r w:rsidRPr="00192B39">
        <w:rPr>
          <w:rFonts w:cs="Times New Roman"/>
          <w:noProof/>
        </w:rPr>
        <w:tab/>
        <w:t>Mossallam SF, Amer EI, El-Faham MH. Efficacy of Synriam</w:t>
      </w:r>
      <w:r w:rsidRPr="00192B39">
        <w:rPr>
          <w:rFonts w:cs="Times New Roman"/>
          <w:noProof/>
          <w:vertAlign w:val="superscript"/>
        </w:rPr>
        <w:t>TM</w:t>
      </w:r>
      <w:r w:rsidRPr="00192B39">
        <w:rPr>
          <w:rFonts w:cs="Times New Roman"/>
          <w:noProof/>
        </w:rPr>
        <w:t xml:space="preserve">, a new antimalarial combination of OZ277 and piperaquine, against different developmental stages of Schistosoma mansoni. </w:t>
      </w:r>
      <w:r w:rsidRPr="00192B39">
        <w:rPr>
          <w:rFonts w:cs="Times New Roman"/>
          <w:i/>
          <w:iCs/>
          <w:noProof/>
        </w:rPr>
        <w:t>Acta Trop</w:t>
      </w:r>
      <w:r w:rsidRPr="00192B39">
        <w:rPr>
          <w:rFonts w:cs="Times New Roman"/>
          <w:noProof/>
        </w:rPr>
        <w:t>. 2015;143:36-46. doi:10.1016/j.actatropica.2014.12.005</w:t>
      </w:r>
    </w:p>
    <w:p w14:paraId="47A55EC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109. </w:t>
      </w:r>
      <w:r w:rsidRPr="00192B39">
        <w:rPr>
          <w:rFonts w:cs="Times New Roman"/>
          <w:noProof/>
        </w:rPr>
        <w:tab/>
        <w:t xml:space="preserve">Creek DJ, Charman WN, Chiu FCK, et al. Iron-mediated degradation kinetics of substituted dispiro-1,2,4-trioxolane antimalarials. </w:t>
      </w:r>
      <w:r w:rsidRPr="00192B39">
        <w:rPr>
          <w:rFonts w:cs="Times New Roman"/>
          <w:i/>
          <w:iCs/>
          <w:noProof/>
        </w:rPr>
        <w:t>J Pharm Sci</w:t>
      </w:r>
      <w:r w:rsidRPr="00192B39">
        <w:rPr>
          <w:rFonts w:cs="Times New Roman"/>
          <w:noProof/>
        </w:rPr>
        <w:t>. 2007;96(11):2945-2956. doi:10.1002/jps.20958</w:t>
      </w:r>
    </w:p>
    <w:p w14:paraId="2E30CFA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110. </w:t>
      </w:r>
      <w:r w:rsidRPr="00192B39">
        <w:rPr>
          <w:rFonts w:cs="Times New Roman"/>
          <w:noProof/>
        </w:rPr>
        <w:tab/>
        <w:t xml:space="preserve">Moehrle JJ, Duparc S, Siethoff C, et al. First-in-man safety and pharmacokinetics of synthetic ozonide OZ439 demonstrates an improved exposure profile relative to other peroxide </w:t>
      </w:r>
      <w:r w:rsidRPr="00192B39">
        <w:rPr>
          <w:rFonts w:cs="Times New Roman"/>
          <w:noProof/>
        </w:rPr>
        <w:lastRenderedPageBreak/>
        <w:t xml:space="preserve">antimalarials. </w:t>
      </w:r>
      <w:r w:rsidRPr="00192B39">
        <w:rPr>
          <w:rFonts w:cs="Times New Roman"/>
          <w:i/>
          <w:iCs/>
          <w:noProof/>
        </w:rPr>
        <w:t>Br J Clin Pharmacol</w:t>
      </w:r>
      <w:r w:rsidRPr="00192B39">
        <w:rPr>
          <w:rFonts w:cs="Times New Roman"/>
          <w:noProof/>
        </w:rPr>
        <w:t>. 2013;75(2):535-548. doi:10.1111/j.1365-2125.2012.04368.x</w:t>
      </w:r>
    </w:p>
    <w:p w14:paraId="219A323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111. </w:t>
      </w:r>
      <w:r w:rsidRPr="00192B39">
        <w:rPr>
          <w:rFonts w:cs="Times New Roman"/>
          <w:noProof/>
        </w:rPr>
        <w:tab/>
        <w:t xml:space="preserve">Phyo AP, Jittamala P, Nosten FH, et al. Antimalarial activity of artefenomel (OZ439), a novel synthetic antimalarial endoperoxide, in patients with Plasmodium falciparum and Plasmodium vivax malaria: an open-label phase 2 trial. </w:t>
      </w:r>
      <w:r w:rsidRPr="00192B39">
        <w:rPr>
          <w:rFonts w:cs="Times New Roman"/>
          <w:i/>
          <w:iCs/>
          <w:noProof/>
        </w:rPr>
        <w:t>Lancet Infect Dis</w:t>
      </w:r>
      <w:r w:rsidRPr="00192B39">
        <w:rPr>
          <w:rFonts w:cs="Times New Roman"/>
          <w:noProof/>
        </w:rPr>
        <w:t>. 2016;16(1):61-69. doi:10.1016/S1473-3099(15)00320-5</w:t>
      </w:r>
    </w:p>
    <w:p w14:paraId="338498C8"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112. </w:t>
      </w:r>
      <w:r w:rsidRPr="00192B39">
        <w:rPr>
          <w:rFonts w:cs="Times New Roman"/>
          <w:noProof/>
        </w:rPr>
        <w:tab/>
        <w:t xml:space="preserve">McCarthy JS, Rückle T, Elliott SL, et al. A Single-Dose Combination Study with the Experimental Antimalarials Artefenomel and DSM265 to Determine Safety and Antimalarial Activity against Blood-Stage Plasmodium falciparum in Healthy Volunteers. </w:t>
      </w:r>
      <w:r w:rsidRPr="00192B39">
        <w:rPr>
          <w:rFonts w:cs="Times New Roman"/>
          <w:i/>
          <w:iCs/>
          <w:noProof/>
        </w:rPr>
        <w:t>Antimicrob Agents Chemother</w:t>
      </w:r>
      <w:r w:rsidRPr="00192B39">
        <w:rPr>
          <w:rFonts w:cs="Times New Roman"/>
          <w:noProof/>
        </w:rPr>
        <w:t>. 2020;64(1):e01371-19. doi:10.1128/AAC.01371-19</w:t>
      </w:r>
    </w:p>
    <w:p w14:paraId="00E60AB9"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113. </w:t>
      </w:r>
      <w:r w:rsidRPr="00192B39">
        <w:rPr>
          <w:rFonts w:cs="Times New Roman"/>
          <w:noProof/>
        </w:rPr>
        <w:tab/>
        <w:t xml:space="preserve">Macintyre F, Adoke Y, Tiono AB, et al. A randomised, double-blind clinical phase II trial of the efficacy, safety, tolerability and pharmacokinetics of a single dose combination treatment with artefenomel and piperaquine in adults and children with uncomplicated Plasmodium falciparum malaria. </w:t>
      </w:r>
      <w:r w:rsidRPr="00192B39">
        <w:rPr>
          <w:rFonts w:cs="Times New Roman"/>
          <w:i/>
          <w:iCs/>
          <w:noProof/>
        </w:rPr>
        <w:t>BMC Med</w:t>
      </w:r>
      <w:r w:rsidRPr="00192B39">
        <w:rPr>
          <w:rFonts w:cs="Times New Roman"/>
          <w:noProof/>
        </w:rPr>
        <w:t>. 2017;15(1):181. doi:10.1186/s12916-017-0940-3</w:t>
      </w:r>
    </w:p>
    <w:p w14:paraId="14361B6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114. </w:t>
      </w:r>
      <w:r w:rsidRPr="00192B39">
        <w:rPr>
          <w:rFonts w:cs="Times New Roman"/>
          <w:noProof/>
        </w:rPr>
        <w:tab/>
        <w:t xml:space="preserve">Phillips MA, Lotharius J, Marsh K, et al. A long-duration dihydroorotate dehydrogenase inhibitor (DSM265) for prevention and treatment of malaria. </w:t>
      </w:r>
      <w:r w:rsidRPr="00192B39">
        <w:rPr>
          <w:rFonts w:cs="Times New Roman"/>
          <w:i/>
          <w:iCs/>
          <w:noProof/>
        </w:rPr>
        <w:t>Sci Transl Med</w:t>
      </w:r>
      <w:r w:rsidRPr="00192B39">
        <w:rPr>
          <w:rFonts w:cs="Times New Roman"/>
          <w:noProof/>
        </w:rPr>
        <w:t>. 2015;7(296):296ra111. doi:10.1126/scitranslmed.aaa6645</w:t>
      </w:r>
    </w:p>
    <w:p w14:paraId="7AC6CB42"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115. </w:t>
      </w:r>
      <w:r w:rsidRPr="00192B39">
        <w:rPr>
          <w:rFonts w:cs="Times New Roman"/>
          <w:noProof/>
        </w:rPr>
        <w:tab/>
        <w:t xml:space="preserve">Clulow AJ, Salim M, Hawley A, Gilbert EP, Boyd BJ. The Curious Case of the OZ439 Mesylate Salt: An Amphiphilic Antimalarial Drug with Diverse Solution and Solid State Structures. </w:t>
      </w:r>
      <w:r w:rsidRPr="00192B39">
        <w:rPr>
          <w:rFonts w:cs="Times New Roman"/>
          <w:i/>
          <w:iCs/>
          <w:noProof/>
        </w:rPr>
        <w:t>Mol Pharm</w:t>
      </w:r>
      <w:r w:rsidRPr="00192B39">
        <w:rPr>
          <w:rFonts w:cs="Times New Roman"/>
          <w:noProof/>
        </w:rPr>
        <w:t>. 2018;15(5):2027-2035. doi:10.1021/acs.molpharmaceut.8b00173</w:t>
      </w:r>
    </w:p>
    <w:p w14:paraId="3770A43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116. </w:t>
      </w:r>
      <w:r w:rsidRPr="00192B39">
        <w:rPr>
          <w:rFonts w:cs="Times New Roman"/>
          <w:noProof/>
        </w:rPr>
        <w:tab/>
        <w:t xml:space="preserve">Salim M, Khan J, Ramirez G, et al. Interactions of Artefenomel (OZ439) with Milk during Digestion: Insights into Digestion-Driven Solubilization and Polymorphic Transformations. </w:t>
      </w:r>
      <w:r w:rsidRPr="00192B39">
        <w:rPr>
          <w:rFonts w:cs="Times New Roman"/>
          <w:i/>
          <w:iCs/>
          <w:noProof/>
        </w:rPr>
        <w:t>Mol Pharm</w:t>
      </w:r>
      <w:r w:rsidRPr="00192B39">
        <w:rPr>
          <w:rFonts w:cs="Times New Roman"/>
          <w:noProof/>
        </w:rPr>
        <w:t>. 2018;15(8):3535-3544. doi:10.1021/acs.molpharmaceut.8b00541</w:t>
      </w:r>
    </w:p>
    <w:p w14:paraId="7757BBBF"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117. </w:t>
      </w:r>
      <w:r w:rsidRPr="00192B39">
        <w:rPr>
          <w:rFonts w:cs="Times New Roman"/>
          <w:noProof/>
        </w:rPr>
        <w:tab/>
        <w:t xml:space="preserve">Salim M, Khan J, Ramirez G, et al. Impact of Ferroquine on the Solubilization of Artefenomel (OZ439) during in Vitro Lipolysis in Milk and Implications for Oral Combination Therapy for Malaria. </w:t>
      </w:r>
      <w:r w:rsidRPr="00192B39">
        <w:rPr>
          <w:rFonts w:cs="Times New Roman"/>
          <w:i/>
          <w:iCs/>
          <w:noProof/>
        </w:rPr>
        <w:t>Mol Pharm</w:t>
      </w:r>
      <w:r w:rsidRPr="00192B39">
        <w:rPr>
          <w:rFonts w:cs="Times New Roman"/>
          <w:noProof/>
        </w:rPr>
        <w:t>. 2019;16(4):1658-1668. doi:10.1021/acs.molpharmaceut.8b01333</w:t>
      </w:r>
    </w:p>
    <w:p w14:paraId="7BCA875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118. </w:t>
      </w:r>
      <w:r w:rsidRPr="00192B39">
        <w:rPr>
          <w:rFonts w:cs="Times New Roman"/>
          <w:noProof/>
        </w:rPr>
        <w:tab/>
        <w:t xml:space="preserve">Lu HD, Ristroph KD, Dobrijevic ELK, et al. Encapsulation of OZ439 into Nanoparticles for Supersaturated Drug Release in Oral Malaria Therapy. </w:t>
      </w:r>
      <w:r w:rsidRPr="00192B39">
        <w:rPr>
          <w:rFonts w:cs="Times New Roman"/>
          <w:i/>
          <w:iCs/>
          <w:noProof/>
        </w:rPr>
        <w:t>ACS Infect Dis</w:t>
      </w:r>
      <w:r w:rsidRPr="00192B39">
        <w:rPr>
          <w:rFonts w:cs="Times New Roman"/>
          <w:noProof/>
        </w:rPr>
        <w:t>. 2018;4(6):970-979. doi:10.1021/acsinfecdis.7b00278</w:t>
      </w:r>
    </w:p>
    <w:p w14:paraId="23B63539"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119. </w:t>
      </w:r>
      <w:r w:rsidRPr="00192B39">
        <w:rPr>
          <w:rFonts w:cs="Times New Roman"/>
          <w:noProof/>
        </w:rPr>
        <w:tab/>
        <w:t xml:space="preserve">Ristroph KD, Feng J, McManus SA, et al. Spray drying OZ439 nanoparticles to form stable, water-dispersible powders for oral malaria therapy. </w:t>
      </w:r>
      <w:r w:rsidRPr="00192B39">
        <w:rPr>
          <w:rFonts w:cs="Times New Roman"/>
          <w:i/>
          <w:iCs/>
          <w:noProof/>
        </w:rPr>
        <w:t>J Transl Med</w:t>
      </w:r>
      <w:r w:rsidRPr="00192B39">
        <w:rPr>
          <w:rFonts w:cs="Times New Roman"/>
          <w:noProof/>
        </w:rPr>
        <w:t>. 2019;17(1):97. doi:10.1186/s12967-019-1849-8</w:t>
      </w:r>
    </w:p>
    <w:p w14:paraId="20249CD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120. </w:t>
      </w:r>
      <w:r w:rsidRPr="00192B39">
        <w:rPr>
          <w:rFonts w:cs="Times New Roman"/>
          <w:noProof/>
        </w:rPr>
        <w:tab/>
        <w:t xml:space="preserve">Tang Y, Dong Y, Wang X, Sriraghavan K, Wood JK, Vennerstrom JL. Dispiro-1,2,4-trioxane analogues of a prototype dispiro-1,2,4-trioxolane: Mechanistic comparators for artemisinin in the context of reaction pathways with iron(II). </w:t>
      </w:r>
      <w:r w:rsidRPr="00192B39">
        <w:rPr>
          <w:rFonts w:cs="Times New Roman"/>
          <w:i/>
          <w:iCs/>
          <w:noProof/>
        </w:rPr>
        <w:t>J Org Chem</w:t>
      </w:r>
      <w:r w:rsidRPr="00192B39">
        <w:rPr>
          <w:rFonts w:cs="Times New Roman"/>
          <w:noProof/>
        </w:rPr>
        <w:t>. 2005;70(13):5103-5110. doi:10.1021/jo050385+</w:t>
      </w:r>
    </w:p>
    <w:p w14:paraId="37A24C89"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121. </w:t>
      </w:r>
      <w:r w:rsidRPr="00192B39">
        <w:rPr>
          <w:rFonts w:cs="Times New Roman"/>
          <w:noProof/>
        </w:rPr>
        <w:tab/>
        <w:t xml:space="preserve">Creek DJ, Charman WN, Chiu FCK, et al. Relationship between Antimalarial Activity and </w:t>
      </w:r>
      <w:r w:rsidRPr="00192B39">
        <w:rPr>
          <w:rFonts w:cs="Times New Roman"/>
          <w:noProof/>
        </w:rPr>
        <w:lastRenderedPageBreak/>
        <w:t xml:space="preserve">Heme Alkylation for Spiro- and Dispiro-1,2,4-Trioxolane Antimalarials. </w:t>
      </w:r>
      <w:r w:rsidRPr="00192B39">
        <w:rPr>
          <w:rFonts w:cs="Times New Roman"/>
          <w:i/>
          <w:iCs/>
          <w:noProof/>
        </w:rPr>
        <w:t>Antimicrob Agents Chemother</w:t>
      </w:r>
      <w:r w:rsidRPr="00192B39">
        <w:rPr>
          <w:rFonts w:cs="Times New Roman"/>
          <w:noProof/>
        </w:rPr>
        <w:t>. 2008;52(4):1291-1296. doi:10.1128/AAC.01033-07</w:t>
      </w:r>
    </w:p>
    <w:p w14:paraId="685EE87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122. </w:t>
      </w:r>
      <w:r w:rsidRPr="00192B39">
        <w:rPr>
          <w:rFonts w:cs="Times New Roman"/>
          <w:noProof/>
        </w:rPr>
        <w:tab/>
        <w:t xml:space="preserve">Fügi MA, Wittlin S, Dong Y, Vennerstrom JL. Probing the antimalarial mechanism of artemisinin and OZ277 (arterolane) with nonperoxidic isosteres and nitroxyl radicals. </w:t>
      </w:r>
      <w:r w:rsidRPr="00192B39">
        <w:rPr>
          <w:rFonts w:cs="Times New Roman"/>
          <w:i/>
          <w:iCs/>
          <w:noProof/>
        </w:rPr>
        <w:t>Antimicrob Agents Chemother</w:t>
      </w:r>
      <w:r w:rsidRPr="00192B39">
        <w:rPr>
          <w:rFonts w:cs="Times New Roman"/>
          <w:noProof/>
        </w:rPr>
        <w:t>. 2010;54(3):1042-1046. doi:10.1128/AAC.01305-09</w:t>
      </w:r>
    </w:p>
    <w:p w14:paraId="1C097FD1"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123. </w:t>
      </w:r>
      <w:r w:rsidRPr="00192B39">
        <w:rPr>
          <w:rFonts w:cs="Times New Roman"/>
          <w:noProof/>
        </w:rPr>
        <w:tab/>
        <w:t xml:space="preserve">O’Neill PM, Amewu RK, Nixon GL, et al. Identification of a 1,2,4,5-tetraoxane antimalarial drug-development candidate (RKA 182) with superior properties to the semisynthetic artemisinins. </w:t>
      </w:r>
      <w:r w:rsidRPr="00192B39">
        <w:rPr>
          <w:rFonts w:cs="Times New Roman"/>
          <w:i/>
          <w:iCs/>
          <w:noProof/>
        </w:rPr>
        <w:t>Angew Chemie - Int Ed</w:t>
      </w:r>
      <w:r w:rsidRPr="00192B39">
        <w:rPr>
          <w:rFonts w:cs="Times New Roman"/>
          <w:noProof/>
        </w:rPr>
        <w:t>. 2010;49(33):5693-5697. doi:10.1002/anie.201001026</w:t>
      </w:r>
    </w:p>
    <w:p w14:paraId="33793331" w14:textId="4469E81D"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124. </w:t>
      </w:r>
      <w:r w:rsidRPr="00192B39">
        <w:rPr>
          <w:rFonts w:cs="Times New Roman"/>
          <w:noProof/>
        </w:rPr>
        <w:tab/>
        <w:t xml:space="preserve">Brás EM, Cabral LIL, et al. Photoinduced Reactivity in a Dispiro-1,2,4-trioxolane: Adamantane Ring Expansion and First Direct Observation of the Long-Lived Triplet Diradical Intermediates. </w:t>
      </w:r>
      <w:r w:rsidRPr="00192B39">
        <w:rPr>
          <w:rFonts w:cs="Times New Roman"/>
          <w:i/>
          <w:iCs/>
          <w:noProof/>
        </w:rPr>
        <w:t>J Phys Chem A</w:t>
      </w:r>
      <w:r w:rsidRPr="00192B39">
        <w:rPr>
          <w:rFonts w:cs="Times New Roman"/>
          <w:noProof/>
        </w:rPr>
        <w:t>. 2020;124(21):4202-4210. doi:10.1021/acs.jpca.0c01974</w:t>
      </w:r>
    </w:p>
    <w:p w14:paraId="4BADB677"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125. </w:t>
      </w:r>
      <w:r w:rsidRPr="00192B39">
        <w:rPr>
          <w:rFonts w:cs="Times New Roman"/>
          <w:noProof/>
        </w:rPr>
        <w:tab/>
        <w:t xml:space="preserve">Dong Y, Wittlin S, Sriraghavan K, et al. The structure - Activity relationship of the antimalarial ozonide arterolane (OZ277). </w:t>
      </w:r>
      <w:r w:rsidRPr="00192B39">
        <w:rPr>
          <w:rFonts w:cs="Times New Roman"/>
          <w:i/>
          <w:iCs/>
          <w:noProof/>
        </w:rPr>
        <w:t>J Med Chem</w:t>
      </w:r>
      <w:r w:rsidRPr="00192B39">
        <w:rPr>
          <w:rFonts w:cs="Times New Roman"/>
          <w:noProof/>
        </w:rPr>
        <w:t>. 2010;53(1):481-491. doi:10.1021/jm901473s</w:t>
      </w:r>
    </w:p>
    <w:p w14:paraId="623DE10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126. </w:t>
      </w:r>
      <w:r w:rsidRPr="00192B39">
        <w:rPr>
          <w:rFonts w:cs="Times New Roman"/>
          <w:noProof/>
        </w:rPr>
        <w:tab/>
        <w:t xml:space="preserve">Blank BR, Gut J, Rosenthal PJ, Renslo AR. Enantioselective Synthesis and in Vivo Evaluation of Regioisomeric Analogues of the Antimalarial Arterolane. </w:t>
      </w:r>
      <w:r w:rsidRPr="00192B39">
        <w:rPr>
          <w:rFonts w:cs="Times New Roman"/>
          <w:i/>
          <w:iCs/>
          <w:noProof/>
        </w:rPr>
        <w:t>J Med Chem</w:t>
      </w:r>
      <w:r w:rsidRPr="00192B39">
        <w:rPr>
          <w:rFonts w:cs="Times New Roman"/>
          <w:noProof/>
        </w:rPr>
        <w:t>. 2017;60(14):6400-6407. doi:10.1021/acs.jmedchem.7b00699</w:t>
      </w:r>
    </w:p>
    <w:p w14:paraId="7AED9ACF"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127. </w:t>
      </w:r>
      <w:r w:rsidRPr="00192B39">
        <w:rPr>
          <w:rFonts w:cs="Times New Roman"/>
          <w:noProof/>
        </w:rPr>
        <w:tab/>
        <w:t xml:space="preserve">Giannangelo C, Anderson D, Wang X, Vennerstrom JL, Charman SA, Creek DJ. Ozonide Antimalarials Alkylate Heme in the Malaria Parasite Plasmodium falciparum. </w:t>
      </w:r>
      <w:r w:rsidRPr="00192B39">
        <w:rPr>
          <w:rFonts w:cs="Times New Roman"/>
          <w:i/>
          <w:iCs/>
          <w:noProof/>
        </w:rPr>
        <w:t>ACS Infect Dis</w:t>
      </w:r>
      <w:r w:rsidRPr="00192B39">
        <w:rPr>
          <w:rFonts w:cs="Times New Roman"/>
          <w:noProof/>
        </w:rPr>
        <w:t>. 2019;5(12):2076-2086. doi:10.1021/acsinfecdis.9b00257</w:t>
      </w:r>
    </w:p>
    <w:p w14:paraId="0858E0ED"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128. </w:t>
      </w:r>
      <w:r w:rsidRPr="00192B39">
        <w:rPr>
          <w:rFonts w:cs="Times New Roman"/>
          <w:noProof/>
        </w:rPr>
        <w:tab/>
        <w:t xml:space="preserve">Jourdan J, Matile H, Reift E, et al. Monoclonal Antibodies That Recognize the Alkylation Signature of Antimalarial Ozonides OZ277 (Arterolane) and OZ439 (Artefenomel). </w:t>
      </w:r>
      <w:r w:rsidRPr="00192B39">
        <w:rPr>
          <w:rFonts w:cs="Times New Roman"/>
          <w:i/>
          <w:iCs/>
          <w:noProof/>
        </w:rPr>
        <w:t>ACS Infect Dis</w:t>
      </w:r>
      <w:r w:rsidRPr="00192B39">
        <w:rPr>
          <w:rFonts w:cs="Times New Roman"/>
          <w:noProof/>
        </w:rPr>
        <w:t>. 2016;2(1):54-61. doi:10.1021/acsinfecdis.5b00090</w:t>
      </w:r>
    </w:p>
    <w:p w14:paraId="54B9A2F6"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129. </w:t>
      </w:r>
      <w:r w:rsidRPr="00192B39">
        <w:rPr>
          <w:rFonts w:cs="Times New Roman"/>
          <w:noProof/>
        </w:rPr>
        <w:tab/>
        <w:t xml:space="preserve">Wei C, Zhao CX, Liu S, et al. Activity-based protein profiling reveals that secondary-carbon-centered radicals of synthetic 1,2,4-trioxolanes are predominately responsible for modification of protein targets in malaria parasites. </w:t>
      </w:r>
      <w:r w:rsidRPr="00192B39">
        <w:rPr>
          <w:rFonts w:cs="Times New Roman"/>
          <w:i/>
          <w:iCs/>
          <w:noProof/>
        </w:rPr>
        <w:t>Chem Commun</w:t>
      </w:r>
      <w:r w:rsidRPr="00192B39">
        <w:rPr>
          <w:rFonts w:cs="Times New Roman"/>
          <w:noProof/>
        </w:rPr>
        <w:t>. 2019;55(64):9535-9538. doi:10.1039/c9cc03719e</w:t>
      </w:r>
    </w:p>
    <w:p w14:paraId="70ADA06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130. </w:t>
      </w:r>
      <w:r w:rsidRPr="00192B39">
        <w:rPr>
          <w:rFonts w:cs="Times New Roman"/>
          <w:noProof/>
        </w:rPr>
        <w:tab/>
        <w:t xml:space="preserve">Vennerstrom JL, Fu HL, Ellis WY, et al. Dispiro-1,2,4,5-tetraoxanes: A New Class of Antimalarial Peroxides. </w:t>
      </w:r>
      <w:r w:rsidRPr="00192B39">
        <w:rPr>
          <w:rFonts w:cs="Times New Roman"/>
          <w:i/>
          <w:iCs/>
          <w:noProof/>
        </w:rPr>
        <w:t>J Med Chem</w:t>
      </w:r>
      <w:r w:rsidRPr="00192B39">
        <w:rPr>
          <w:rFonts w:cs="Times New Roman"/>
          <w:noProof/>
        </w:rPr>
        <w:t>. 1992;35(16):3023-3027. doi:10.1021/jm00094a015</w:t>
      </w:r>
    </w:p>
    <w:p w14:paraId="4FEFF5AC"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131. </w:t>
      </w:r>
      <w:r w:rsidRPr="00192B39">
        <w:rPr>
          <w:rFonts w:cs="Times New Roman"/>
          <w:noProof/>
        </w:rPr>
        <w:tab/>
        <w:t xml:space="preserve">Vennerstrom JL, Ager J, Andersen SL, et al. Assessment of the antimalarial potential of tetraoxane WR 148999. </w:t>
      </w:r>
      <w:r w:rsidRPr="00192B39">
        <w:rPr>
          <w:rFonts w:cs="Times New Roman"/>
          <w:i/>
          <w:iCs/>
          <w:noProof/>
        </w:rPr>
        <w:t>Am J Trop Med Hyg</w:t>
      </w:r>
      <w:r w:rsidRPr="00192B39">
        <w:rPr>
          <w:rFonts w:cs="Times New Roman"/>
          <w:noProof/>
        </w:rPr>
        <w:t>. 2000;62(5):573-578. doi:10.4269/ajtmh.2000.62.573</w:t>
      </w:r>
    </w:p>
    <w:p w14:paraId="43B0A85E"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132. </w:t>
      </w:r>
      <w:r w:rsidRPr="00192B39">
        <w:rPr>
          <w:rFonts w:cs="Times New Roman"/>
          <w:noProof/>
        </w:rPr>
        <w:tab/>
        <w:t xml:space="preserve">Dong Y, Matile H, Chollet J, Kaminsky R, Wood JK, Vennerstrom JL. Synthesis and antimalarial activity of 11 dispiro-1,2,4,5-tetraoxane analogues of WR 148999. 7,8,15,16-tetraoxadispiro[5.2.5.2]hexadecanes substituted at the 1 and 10 positions with unsaturated and polar functional groups. </w:t>
      </w:r>
      <w:r w:rsidRPr="00192B39">
        <w:rPr>
          <w:rFonts w:cs="Times New Roman"/>
          <w:i/>
          <w:iCs/>
          <w:noProof/>
        </w:rPr>
        <w:t>J Med Chem</w:t>
      </w:r>
      <w:r w:rsidRPr="00192B39">
        <w:rPr>
          <w:rFonts w:cs="Times New Roman"/>
          <w:noProof/>
        </w:rPr>
        <w:t>. 1999;42(8):1477-1480. doi:10.1021/jm980698f</w:t>
      </w:r>
    </w:p>
    <w:p w14:paraId="6B37F2AA"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133. </w:t>
      </w:r>
      <w:r w:rsidRPr="00192B39">
        <w:rPr>
          <w:rFonts w:cs="Times New Roman"/>
          <w:noProof/>
        </w:rPr>
        <w:tab/>
        <w:t xml:space="preserve">Vennerstrom JL, Dong Y, Andersen SL, et al. Synthesis and antimalarial activity of sixteen dispiro- 1,2,4,5-tetraoxanes: Alkyl-substituted 7,8,15,16- tetraoxadispiro[5.2.5.2]hexadecanes. </w:t>
      </w:r>
      <w:r w:rsidRPr="00192B39">
        <w:rPr>
          <w:rFonts w:cs="Times New Roman"/>
          <w:i/>
          <w:iCs/>
          <w:noProof/>
        </w:rPr>
        <w:lastRenderedPageBreak/>
        <w:t>J Med Chem</w:t>
      </w:r>
      <w:r w:rsidRPr="00192B39">
        <w:rPr>
          <w:rFonts w:cs="Times New Roman"/>
          <w:noProof/>
        </w:rPr>
        <w:t>. 2000;43(14):2753-2758. doi:10.1021/jm0000766</w:t>
      </w:r>
    </w:p>
    <w:p w14:paraId="5C655FC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134. </w:t>
      </w:r>
      <w:r w:rsidRPr="00192B39">
        <w:rPr>
          <w:rFonts w:cs="Times New Roman"/>
          <w:noProof/>
        </w:rPr>
        <w:tab/>
        <w:t xml:space="preserve">O’Neill PM, Amewu RK, Charman SA, et al. A tetraoxane-based antimalarial drug candidate that overcomes PfK13-C580Y dependent artemisinin resistance. </w:t>
      </w:r>
      <w:r w:rsidRPr="00192B39">
        <w:rPr>
          <w:rFonts w:cs="Times New Roman"/>
          <w:i/>
          <w:iCs/>
          <w:noProof/>
        </w:rPr>
        <w:t>Nat Commun</w:t>
      </w:r>
      <w:r w:rsidRPr="00192B39">
        <w:rPr>
          <w:rFonts w:cs="Times New Roman"/>
          <w:noProof/>
        </w:rPr>
        <w:t>. 2017;8:15159. doi:10.1038/ncomms15159</w:t>
      </w:r>
    </w:p>
    <w:p w14:paraId="3817AD5B"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135. </w:t>
      </w:r>
      <w:r w:rsidRPr="00192B39">
        <w:rPr>
          <w:rFonts w:cs="Times New Roman"/>
          <w:noProof/>
        </w:rPr>
        <w:tab/>
        <w:t xml:space="preserve">O’ Neill PM, Sabbani S, Nixon GL, et al. Optimisation of the synthesis of second generation 1,2,4,5 tetraoxane antimalarials. </w:t>
      </w:r>
      <w:r w:rsidRPr="00192B39">
        <w:rPr>
          <w:rFonts w:cs="Times New Roman"/>
          <w:i/>
          <w:iCs/>
          <w:noProof/>
        </w:rPr>
        <w:t>Tetrahedron</w:t>
      </w:r>
      <w:r w:rsidRPr="00192B39">
        <w:rPr>
          <w:rFonts w:cs="Times New Roman"/>
          <w:noProof/>
        </w:rPr>
        <w:t>. 2016;72(40):6118-6126. doi:10.1016/j.tet.2016.08.043</w:t>
      </w:r>
    </w:p>
    <w:p w14:paraId="7F625D03"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136. </w:t>
      </w:r>
      <w:r w:rsidRPr="00192B39">
        <w:rPr>
          <w:rFonts w:cs="Times New Roman"/>
          <w:noProof/>
        </w:rPr>
        <w:tab/>
        <w:t xml:space="preserve">Garah FB, Wong MH, Amewu RK, et al. Comparison of the reactivity of antimalarial 1,2,4,5-tetraoxanes with 1,2,4-trioxolanes in the presence of ferrous iron salts, heme, and ferrous iron salts/phosphatidylcholine. </w:t>
      </w:r>
      <w:r w:rsidRPr="00192B39">
        <w:rPr>
          <w:rFonts w:cs="Times New Roman"/>
          <w:i/>
          <w:iCs/>
          <w:noProof/>
        </w:rPr>
        <w:t>J Med Chem</w:t>
      </w:r>
      <w:r w:rsidRPr="00192B39">
        <w:rPr>
          <w:rFonts w:cs="Times New Roman"/>
          <w:noProof/>
        </w:rPr>
        <w:t>. 2011;54(19):6443-6455. doi:10.1021/jm200768h</w:t>
      </w:r>
    </w:p>
    <w:p w14:paraId="7B973DF0" w14:textId="77777777" w:rsidR="00192B39" w:rsidRPr="00192B39" w:rsidRDefault="00192B39" w:rsidP="00532D1D">
      <w:pPr>
        <w:widowControl w:val="0"/>
        <w:autoSpaceDE w:val="0"/>
        <w:autoSpaceDN w:val="0"/>
        <w:adjustRightInd w:val="0"/>
        <w:ind w:left="640" w:hanging="640"/>
        <w:rPr>
          <w:rFonts w:cs="Times New Roman"/>
          <w:noProof/>
        </w:rPr>
      </w:pPr>
      <w:r w:rsidRPr="00192B39">
        <w:rPr>
          <w:rFonts w:cs="Times New Roman"/>
          <w:noProof/>
        </w:rPr>
        <w:t xml:space="preserve">137. </w:t>
      </w:r>
      <w:r w:rsidRPr="00192B39">
        <w:rPr>
          <w:rFonts w:cs="Times New Roman"/>
          <w:noProof/>
        </w:rPr>
        <w:tab/>
        <w:t xml:space="preserve">O’ Neill PM, Stocks PA, Sabbani S, et al. Synthesis and profiling of benzylmorpholine 1,2,4,5-tetraoxane analogue N205: Towards tetraoxane scaffolds with potential for single dose cure of malaria. </w:t>
      </w:r>
      <w:r w:rsidRPr="00192B39">
        <w:rPr>
          <w:rFonts w:cs="Times New Roman"/>
          <w:i/>
          <w:iCs/>
          <w:noProof/>
        </w:rPr>
        <w:t>Bioorganic Med Chem</w:t>
      </w:r>
      <w:r w:rsidRPr="00192B39">
        <w:rPr>
          <w:rFonts w:cs="Times New Roman"/>
          <w:noProof/>
        </w:rPr>
        <w:t>. 2018;26(11):2996-3005. doi:10.1016/j.bmc.2018.05.006</w:t>
      </w:r>
    </w:p>
    <w:p w14:paraId="6D0DC144" w14:textId="31D2D060" w:rsidR="00AC460B" w:rsidRPr="00D05AFF" w:rsidRDefault="008C12AE" w:rsidP="00532D1D">
      <w:pPr>
        <w:rPr>
          <w:rFonts w:cs="Times New Roman"/>
          <w:noProof/>
          <w:color w:val="auto"/>
          <w:szCs w:val="22"/>
        </w:rPr>
      </w:pPr>
      <w:r>
        <w:rPr>
          <w:rFonts w:cs="Times New Roman"/>
          <w:noProof/>
          <w:color w:val="auto"/>
          <w:szCs w:val="22"/>
        </w:rPr>
        <w:fldChar w:fldCharType="end"/>
      </w:r>
    </w:p>
    <w:sectPr w:rsidR="00AC460B" w:rsidRPr="00D05A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024F"/>
    <w:multiLevelType w:val="multilevel"/>
    <w:tmpl w:val="06125022"/>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37CF7"/>
    <w:multiLevelType w:val="hybridMultilevel"/>
    <w:tmpl w:val="DAAA63F6"/>
    <w:lvl w:ilvl="0" w:tplc="579A0D1E">
      <w:start w:val="1"/>
      <w:numFmt w:val="decimal"/>
      <w:lvlText w:val="%1."/>
      <w:lvlJc w:val="left"/>
      <w:pPr>
        <w:ind w:left="720" w:hanging="360"/>
      </w:pPr>
    </w:lvl>
    <w:lvl w:ilvl="1" w:tplc="77020CDC" w:tentative="1">
      <w:start w:val="1"/>
      <w:numFmt w:val="lowerLetter"/>
      <w:lvlText w:val="%2."/>
      <w:lvlJc w:val="left"/>
      <w:pPr>
        <w:ind w:left="1440" w:hanging="360"/>
      </w:pPr>
    </w:lvl>
    <w:lvl w:ilvl="2" w:tplc="BAEA403E" w:tentative="1">
      <w:start w:val="1"/>
      <w:numFmt w:val="lowerRoman"/>
      <w:lvlText w:val="%3."/>
      <w:lvlJc w:val="right"/>
      <w:pPr>
        <w:ind w:left="2160" w:hanging="180"/>
      </w:pPr>
    </w:lvl>
    <w:lvl w:ilvl="3" w:tplc="F1A60E7C" w:tentative="1">
      <w:start w:val="1"/>
      <w:numFmt w:val="decimal"/>
      <w:lvlText w:val="%4."/>
      <w:lvlJc w:val="left"/>
      <w:pPr>
        <w:ind w:left="2880" w:hanging="360"/>
      </w:pPr>
    </w:lvl>
    <w:lvl w:ilvl="4" w:tplc="2AAC88CC" w:tentative="1">
      <w:start w:val="1"/>
      <w:numFmt w:val="lowerLetter"/>
      <w:lvlText w:val="%5."/>
      <w:lvlJc w:val="left"/>
      <w:pPr>
        <w:ind w:left="3600" w:hanging="360"/>
      </w:pPr>
    </w:lvl>
    <w:lvl w:ilvl="5" w:tplc="5E5A233C" w:tentative="1">
      <w:start w:val="1"/>
      <w:numFmt w:val="lowerRoman"/>
      <w:lvlText w:val="%6."/>
      <w:lvlJc w:val="right"/>
      <w:pPr>
        <w:ind w:left="4320" w:hanging="180"/>
      </w:pPr>
    </w:lvl>
    <w:lvl w:ilvl="6" w:tplc="348A189E" w:tentative="1">
      <w:start w:val="1"/>
      <w:numFmt w:val="decimal"/>
      <w:lvlText w:val="%7."/>
      <w:lvlJc w:val="left"/>
      <w:pPr>
        <w:ind w:left="5040" w:hanging="360"/>
      </w:pPr>
    </w:lvl>
    <w:lvl w:ilvl="7" w:tplc="EDCAEA78" w:tentative="1">
      <w:start w:val="1"/>
      <w:numFmt w:val="lowerLetter"/>
      <w:lvlText w:val="%8."/>
      <w:lvlJc w:val="left"/>
      <w:pPr>
        <w:ind w:left="5760" w:hanging="360"/>
      </w:pPr>
    </w:lvl>
    <w:lvl w:ilvl="8" w:tplc="81EE2AC2" w:tentative="1">
      <w:start w:val="1"/>
      <w:numFmt w:val="lowerRoman"/>
      <w:lvlText w:val="%9."/>
      <w:lvlJc w:val="right"/>
      <w:pPr>
        <w:ind w:left="6480" w:hanging="180"/>
      </w:pPr>
    </w:lvl>
  </w:abstractNum>
  <w:abstractNum w:abstractNumId="2" w15:restartNumberingAfterBreak="0">
    <w:nsid w:val="0B6B39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892EAE"/>
    <w:multiLevelType w:val="multilevel"/>
    <w:tmpl w:val="E5CC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600F7"/>
    <w:multiLevelType w:val="hybridMultilevel"/>
    <w:tmpl w:val="7C8C7DD2"/>
    <w:lvl w:ilvl="0" w:tplc="7C7C2EA6">
      <w:start w:val="1"/>
      <w:numFmt w:val="bullet"/>
      <w:lvlText w:val=""/>
      <w:lvlJc w:val="left"/>
      <w:pPr>
        <w:ind w:left="720" w:hanging="360"/>
      </w:pPr>
      <w:rPr>
        <w:rFonts w:ascii="Symbol" w:hAnsi="Symbol" w:hint="default"/>
      </w:rPr>
    </w:lvl>
    <w:lvl w:ilvl="1" w:tplc="FC725E80">
      <w:start w:val="1"/>
      <w:numFmt w:val="bullet"/>
      <w:lvlText w:val="o"/>
      <w:lvlJc w:val="left"/>
      <w:pPr>
        <w:ind w:left="1440" w:hanging="360"/>
      </w:pPr>
      <w:rPr>
        <w:rFonts w:ascii="Courier New" w:hAnsi="Courier New" w:cs="Courier New" w:hint="default"/>
      </w:rPr>
    </w:lvl>
    <w:lvl w:ilvl="2" w:tplc="D206D080">
      <w:start w:val="1"/>
      <w:numFmt w:val="bullet"/>
      <w:lvlText w:val=""/>
      <w:lvlJc w:val="left"/>
      <w:pPr>
        <w:ind w:left="2160" w:hanging="360"/>
      </w:pPr>
      <w:rPr>
        <w:rFonts w:ascii="Wingdings" w:hAnsi="Wingdings" w:hint="default"/>
      </w:rPr>
    </w:lvl>
    <w:lvl w:ilvl="3" w:tplc="4EAECBBC">
      <w:start w:val="1"/>
      <w:numFmt w:val="bullet"/>
      <w:lvlText w:val=""/>
      <w:lvlJc w:val="left"/>
      <w:pPr>
        <w:ind w:left="2880" w:hanging="360"/>
      </w:pPr>
      <w:rPr>
        <w:rFonts w:ascii="Symbol" w:hAnsi="Symbol" w:hint="default"/>
      </w:rPr>
    </w:lvl>
    <w:lvl w:ilvl="4" w:tplc="9F04EAF8">
      <w:start w:val="1"/>
      <w:numFmt w:val="bullet"/>
      <w:lvlText w:val="o"/>
      <w:lvlJc w:val="left"/>
      <w:pPr>
        <w:ind w:left="3600" w:hanging="360"/>
      </w:pPr>
      <w:rPr>
        <w:rFonts w:ascii="Courier New" w:hAnsi="Courier New" w:cs="Courier New" w:hint="default"/>
      </w:rPr>
    </w:lvl>
    <w:lvl w:ilvl="5" w:tplc="EFBEF27A">
      <w:start w:val="1"/>
      <w:numFmt w:val="bullet"/>
      <w:lvlText w:val=""/>
      <w:lvlJc w:val="left"/>
      <w:pPr>
        <w:ind w:left="4320" w:hanging="360"/>
      </w:pPr>
      <w:rPr>
        <w:rFonts w:ascii="Wingdings" w:hAnsi="Wingdings" w:hint="default"/>
      </w:rPr>
    </w:lvl>
    <w:lvl w:ilvl="6" w:tplc="EEDC2E20">
      <w:start w:val="1"/>
      <w:numFmt w:val="bullet"/>
      <w:lvlText w:val=""/>
      <w:lvlJc w:val="left"/>
      <w:pPr>
        <w:ind w:left="5040" w:hanging="360"/>
      </w:pPr>
      <w:rPr>
        <w:rFonts w:ascii="Symbol" w:hAnsi="Symbol" w:hint="default"/>
      </w:rPr>
    </w:lvl>
    <w:lvl w:ilvl="7" w:tplc="F752AEFA">
      <w:start w:val="1"/>
      <w:numFmt w:val="bullet"/>
      <w:lvlText w:val="o"/>
      <w:lvlJc w:val="left"/>
      <w:pPr>
        <w:ind w:left="5760" w:hanging="360"/>
      </w:pPr>
      <w:rPr>
        <w:rFonts w:ascii="Courier New" w:hAnsi="Courier New" w:cs="Courier New" w:hint="default"/>
      </w:rPr>
    </w:lvl>
    <w:lvl w:ilvl="8" w:tplc="61767494">
      <w:start w:val="1"/>
      <w:numFmt w:val="bullet"/>
      <w:lvlText w:val=""/>
      <w:lvlJc w:val="left"/>
      <w:pPr>
        <w:ind w:left="6480" w:hanging="360"/>
      </w:pPr>
      <w:rPr>
        <w:rFonts w:ascii="Wingdings" w:hAnsi="Wingdings" w:hint="default"/>
      </w:rPr>
    </w:lvl>
  </w:abstractNum>
  <w:abstractNum w:abstractNumId="5" w15:restartNumberingAfterBreak="0">
    <w:nsid w:val="2D7351EF"/>
    <w:multiLevelType w:val="hybridMultilevel"/>
    <w:tmpl w:val="C5A4C030"/>
    <w:lvl w:ilvl="0" w:tplc="68527E32">
      <w:start w:val="1"/>
      <w:numFmt w:val="decimal"/>
      <w:lvlText w:val="%1."/>
      <w:lvlJc w:val="left"/>
      <w:pPr>
        <w:ind w:left="720" w:hanging="360"/>
      </w:pPr>
      <w:rPr>
        <w:rFonts w:hint="default"/>
      </w:rPr>
    </w:lvl>
    <w:lvl w:ilvl="1" w:tplc="B602ED92" w:tentative="1">
      <w:start w:val="1"/>
      <w:numFmt w:val="lowerLetter"/>
      <w:lvlText w:val="%2."/>
      <w:lvlJc w:val="left"/>
      <w:pPr>
        <w:ind w:left="1440" w:hanging="360"/>
      </w:pPr>
    </w:lvl>
    <w:lvl w:ilvl="2" w:tplc="9F646B0C" w:tentative="1">
      <w:start w:val="1"/>
      <w:numFmt w:val="lowerRoman"/>
      <w:lvlText w:val="%3."/>
      <w:lvlJc w:val="right"/>
      <w:pPr>
        <w:ind w:left="2160" w:hanging="180"/>
      </w:pPr>
    </w:lvl>
    <w:lvl w:ilvl="3" w:tplc="1E5E7600" w:tentative="1">
      <w:start w:val="1"/>
      <w:numFmt w:val="decimal"/>
      <w:lvlText w:val="%4."/>
      <w:lvlJc w:val="left"/>
      <w:pPr>
        <w:ind w:left="2880" w:hanging="360"/>
      </w:pPr>
    </w:lvl>
    <w:lvl w:ilvl="4" w:tplc="7BFE2AA4" w:tentative="1">
      <w:start w:val="1"/>
      <w:numFmt w:val="lowerLetter"/>
      <w:lvlText w:val="%5."/>
      <w:lvlJc w:val="left"/>
      <w:pPr>
        <w:ind w:left="3600" w:hanging="360"/>
      </w:pPr>
    </w:lvl>
    <w:lvl w:ilvl="5" w:tplc="58B0DE28" w:tentative="1">
      <w:start w:val="1"/>
      <w:numFmt w:val="lowerRoman"/>
      <w:lvlText w:val="%6."/>
      <w:lvlJc w:val="right"/>
      <w:pPr>
        <w:ind w:left="4320" w:hanging="180"/>
      </w:pPr>
    </w:lvl>
    <w:lvl w:ilvl="6" w:tplc="3E56EEF8" w:tentative="1">
      <w:start w:val="1"/>
      <w:numFmt w:val="decimal"/>
      <w:lvlText w:val="%7."/>
      <w:lvlJc w:val="left"/>
      <w:pPr>
        <w:ind w:left="5040" w:hanging="360"/>
      </w:pPr>
    </w:lvl>
    <w:lvl w:ilvl="7" w:tplc="26504B4A" w:tentative="1">
      <w:start w:val="1"/>
      <w:numFmt w:val="lowerLetter"/>
      <w:lvlText w:val="%8."/>
      <w:lvlJc w:val="left"/>
      <w:pPr>
        <w:ind w:left="5760" w:hanging="360"/>
      </w:pPr>
    </w:lvl>
    <w:lvl w:ilvl="8" w:tplc="D7D82F20" w:tentative="1">
      <w:start w:val="1"/>
      <w:numFmt w:val="lowerRoman"/>
      <w:lvlText w:val="%9."/>
      <w:lvlJc w:val="right"/>
      <w:pPr>
        <w:ind w:left="6480" w:hanging="180"/>
      </w:pPr>
    </w:lvl>
  </w:abstractNum>
  <w:abstractNum w:abstractNumId="6" w15:restartNumberingAfterBreak="0">
    <w:nsid w:val="39262C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EE3D6E"/>
    <w:multiLevelType w:val="multilevel"/>
    <w:tmpl w:val="F74226E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5E5740C"/>
    <w:multiLevelType w:val="hybridMultilevel"/>
    <w:tmpl w:val="710A1C8E"/>
    <w:lvl w:ilvl="0" w:tplc="C56E996C">
      <w:start w:val="1"/>
      <w:numFmt w:val="decimal"/>
      <w:lvlText w:val="%1."/>
      <w:lvlJc w:val="left"/>
      <w:pPr>
        <w:ind w:left="720" w:hanging="360"/>
      </w:pPr>
    </w:lvl>
    <w:lvl w:ilvl="1" w:tplc="56E87BC0" w:tentative="1">
      <w:start w:val="1"/>
      <w:numFmt w:val="lowerLetter"/>
      <w:lvlText w:val="%2."/>
      <w:lvlJc w:val="left"/>
      <w:pPr>
        <w:ind w:left="1440" w:hanging="360"/>
      </w:pPr>
    </w:lvl>
    <w:lvl w:ilvl="2" w:tplc="F030E7BC" w:tentative="1">
      <w:start w:val="1"/>
      <w:numFmt w:val="lowerRoman"/>
      <w:lvlText w:val="%3."/>
      <w:lvlJc w:val="right"/>
      <w:pPr>
        <w:ind w:left="2160" w:hanging="180"/>
      </w:pPr>
    </w:lvl>
    <w:lvl w:ilvl="3" w:tplc="BE92A17E" w:tentative="1">
      <w:start w:val="1"/>
      <w:numFmt w:val="decimal"/>
      <w:lvlText w:val="%4."/>
      <w:lvlJc w:val="left"/>
      <w:pPr>
        <w:ind w:left="2880" w:hanging="360"/>
      </w:pPr>
    </w:lvl>
    <w:lvl w:ilvl="4" w:tplc="FDCABDF0" w:tentative="1">
      <w:start w:val="1"/>
      <w:numFmt w:val="lowerLetter"/>
      <w:lvlText w:val="%5."/>
      <w:lvlJc w:val="left"/>
      <w:pPr>
        <w:ind w:left="3600" w:hanging="360"/>
      </w:pPr>
    </w:lvl>
    <w:lvl w:ilvl="5" w:tplc="164EF9A8" w:tentative="1">
      <w:start w:val="1"/>
      <w:numFmt w:val="lowerRoman"/>
      <w:lvlText w:val="%6."/>
      <w:lvlJc w:val="right"/>
      <w:pPr>
        <w:ind w:left="4320" w:hanging="180"/>
      </w:pPr>
    </w:lvl>
    <w:lvl w:ilvl="6" w:tplc="51548320" w:tentative="1">
      <w:start w:val="1"/>
      <w:numFmt w:val="decimal"/>
      <w:lvlText w:val="%7."/>
      <w:lvlJc w:val="left"/>
      <w:pPr>
        <w:ind w:left="5040" w:hanging="360"/>
      </w:pPr>
    </w:lvl>
    <w:lvl w:ilvl="7" w:tplc="C64E3050" w:tentative="1">
      <w:start w:val="1"/>
      <w:numFmt w:val="lowerLetter"/>
      <w:lvlText w:val="%8."/>
      <w:lvlJc w:val="left"/>
      <w:pPr>
        <w:ind w:left="5760" w:hanging="360"/>
      </w:pPr>
    </w:lvl>
    <w:lvl w:ilvl="8" w:tplc="B39CDA38" w:tentative="1">
      <w:start w:val="1"/>
      <w:numFmt w:val="lowerRoman"/>
      <w:lvlText w:val="%9."/>
      <w:lvlJc w:val="right"/>
      <w:pPr>
        <w:ind w:left="6480" w:hanging="180"/>
      </w:pPr>
    </w:lvl>
  </w:abstractNum>
  <w:abstractNum w:abstractNumId="9" w15:restartNumberingAfterBreak="0">
    <w:nsid w:val="5FC84DEE"/>
    <w:multiLevelType w:val="hybridMultilevel"/>
    <w:tmpl w:val="A23EB30A"/>
    <w:lvl w:ilvl="0" w:tplc="8B6AE204">
      <w:start w:val="21"/>
      <w:numFmt w:val="bullet"/>
      <w:lvlText w:val="-"/>
      <w:lvlJc w:val="left"/>
      <w:pPr>
        <w:ind w:left="720" w:hanging="360"/>
      </w:pPr>
      <w:rPr>
        <w:rFonts w:ascii="Times New Roman" w:eastAsiaTheme="minorHAnsi" w:hAnsi="Times New Roman" w:cs="Times New Roman" w:hint="default"/>
      </w:rPr>
    </w:lvl>
    <w:lvl w:ilvl="1" w:tplc="3FAC097C" w:tentative="1">
      <w:start w:val="1"/>
      <w:numFmt w:val="bullet"/>
      <w:lvlText w:val="o"/>
      <w:lvlJc w:val="left"/>
      <w:pPr>
        <w:ind w:left="1440" w:hanging="360"/>
      </w:pPr>
      <w:rPr>
        <w:rFonts w:ascii="Courier New" w:hAnsi="Courier New" w:cs="Courier New" w:hint="default"/>
      </w:rPr>
    </w:lvl>
    <w:lvl w:ilvl="2" w:tplc="551C735C" w:tentative="1">
      <w:start w:val="1"/>
      <w:numFmt w:val="bullet"/>
      <w:lvlText w:val=""/>
      <w:lvlJc w:val="left"/>
      <w:pPr>
        <w:ind w:left="2160" w:hanging="360"/>
      </w:pPr>
      <w:rPr>
        <w:rFonts w:ascii="Wingdings" w:hAnsi="Wingdings" w:hint="default"/>
      </w:rPr>
    </w:lvl>
    <w:lvl w:ilvl="3" w:tplc="0DE6A598" w:tentative="1">
      <w:start w:val="1"/>
      <w:numFmt w:val="bullet"/>
      <w:lvlText w:val=""/>
      <w:lvlJc w:val="left"/>
      <w:pPr>
        <w:ind w:left="2880" w:hanging="360"/>
      </w:pPr>
      <w:rPr>
        <w:rFonts w:ascii="Symbol" w:hAnsi="Symbol" w:hint="default"/>
      </w:rPr>
    </w:lvl>
    <w:lvl w:ilvl="4" w:tplc="31BC7A6C" w:tentative="1">
      <w:start w:val="1"/>
      <w:numFmt w:val="bullet"/>
      <w:lvlText w:val="o"/>
      <w:lvlJc w:val="left"/>
      <w:pPr>
        <w:ind w:left="3600" w:hanging="360"/>
      </w:pPr>
      <w:rPr>
        <w:rFonts w:ascii="Courier New" w:hAnsi="Courier New" w:cs="Courier New" w:hint="default"/>
      </w:rPr>
    </w:lvl>
    <w:lvl w:ilvl="5" w:tplc="258A8726" w:tentative="1">
      <w:start w:val="1"/>
      <w:numFmt w:val="bullet"/>
      <w:lvlText w:val=""/>
      <w:lvlJc w:val="left"/>
      <w:pPr>
        <w:ind w:left="4320" w:hanging="360"/>
      </w:pPr>
      <w:rPr>
        <w:rFonts w:ascii="Wingdings" w:hAnsi="Wingdings" w:hint="default"/>
      </w:rPr>
    </w:lvl>
    <w:lvl w:ilvl="6" w:tplc="64102454" w:tentative="1">
      <w:start w:val="1"/>
      <w:numFmt w:val="bullet"/>
      <w:lvlText w:val=""/>
      <w:lvlJc w:val="left"/>
      <w:pPr>
        <w:ind w:left="5040" w:hanging="360"/>
      </w:pPr>
      <w:rPr>
        <w:rFonts w:ascii="Symbol" w:hAnsi="Symbol" w:hint="default"/>
      </w:rPr>
    </w:lvl>
    <w:lvl w:ilvl="7" w:tplc="1996E2A4" w:tentative="1">
      <w:start w:val="1"/>
      <w:numFmt w:val="bullet"/>
      <w:lvlText w:val="o"/>
      <w:lvlJc w:val="left"/>
      <w:pPr>
        <w:ind w:left="5760" w:hanging="360"/>
      </w:pPr>
      <w:rPr>
        <w:rFonts w:ascii="Courier New" w:hAnsi="Courier New" w:cs="Courier New" w:hint="default"/>
      </w:rPr>
    </w:lvl>
    <w:lvl w:ilvl="8" w:tplc="4D481E98" w:tentative="1">
      <w:start w:val="1"/>
      <w:numFmt w:val="bullet"/>
      <w:lvlText w:val=""/>
      <w:lvlJc w:val="left"/>
      <w:pPr>
        <w:ind w:left="6480" w:hanging="360"/>
      </w:pPr>
      <w:rPr>
        <w:rFonts w:ascii="Wingdings" w:hAnsi="Wingdings" w:hint="default"/>
      </w:rPr>
    </w:lvl>
  </w:abstractNum>
  <w:abstractNum w:abstractNumId="10" w15:restartNumberingAfterBreak="0">
    <w:nsid w:val="62D303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CB9540E"/>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738C1F53"/>
    <w:multiLevelType w:val="hybridMultilevel"/>
    <w:tmpl w:val="0720D1EE"/>
    <w:lvl w:ilvl="0" w:tplc="F1DC084C">
      <w:start w:val="1"/>
      <w:numFmt w:val="decimal"/>
      <w:lvlText w:val="%1."/>
      <w:lvlJc w:val="left"/>
      <w:pPr>
        <w:ind w:left="720" w:hanging="360"/>
      </w:pPr>
      <w:rPr>
        <w:rFonts w:hint="default"/>
      </w:rPr>
    </w:lvl>
    <w:lvl w:ilvl="1" w:tplc="CEBEE9A8" w:tentative="1">
      <w:start w:val="1"/>
      <w:numFmt w:val="lowerLetter"/>
      <w:lvlText w:val="%2."/>
      <w:lvlJc w:val="left"/>
      <w:pPr>
        <w:ind w:left="1440" w:hanging="360"/>
      </w:pPr>
    </w:lvl>
    <w:lvl w:ilvl="2" w:tplc="9142041A" w:tentative="1">
      <w:start w:val="1"/>
      <w:numFmt w:val="lowerRoman"/>
      <w:lvlText w:val="%3."/>
      <w:lvlJc w:val="right"/>
      <w:pPr>
        <w:ind w:left="2160" w:hanging="180"/>
      </w:pPr>
    </w:lvl>
    <w:lvl w:ilvl="3" w:tplc="94F6105C" w:tentative="1">
      <w:start w:val="1"/>
      <w:numFmt w:val="decimal"/>
      <w:lvlText w:val="%4."/>
      <w:lvlJc w:val="left"/>
      <w:pPr>
        <w:ind w:left="2880" w:hanging="360"/>
      </w:pPr>
    </w:lvl>
    <w:lvl w:ilvl="4" w:tplc="1038816A" w:tentative="1">
      <w:start w:val="1"/>
      <w:numFmt w:val="lowerLetter"/>
      <w:lvlText w:val="%5."/>
      <w:lvlJc w:val="left"/>
      <w:pPr>
        <w:ind w:left="3600" w:hanging="360"/>
      </w:pPr>
    </w:lvl>
    <w:lvl w:ilvl="5" w:tplc="4C362BF6" w:tentative="1">
      <w:start w:val="1"/>
      <w:numFmt w:val="lowerRoman"/>
      <w:lvlText w:val="%6."/>
      <w:lvlJc w:val="right"/>
      <w:pPr>
        <w:ind w:left="4320" w:hanging="180"/>
      </w:pPr>
    </w:lvl>
    <w:lvl w:ilvl="6" w:tplc="C2EE9FDA" w:tentative="1">
      <w:start w:val="1"/>
      <w:numFmt w:val="decimal"/>
      <w:lvlText w:val="%7."/>
      <w:lvlJc w:val="left"/>
      <w:pPr>
        <w:ind w:left="5040" w:hanging="360"/>
      </w:pPr>
    </w:lvl>
    <w:lvl w:ilvl="7" w:tplc="E7F41A56" w:tentative="1">
      <w:start w:val="1"/>
      <w:numFmt w:val="lowerLetter"/>
      <w:lvlText w:val="%8."/>
      <w:lvlJc w:val="left"/>
      <w:pPr>
        <w:ind w:left="5760" w:hanging="360"/>
      </w:pPr>
    </w:lvl>
    <w:lvl w:ilvl="8" w:tplc="A94C59E6"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10"/>
  </w:num>
  <w:num w:numId="5">
    <w:abstractNumId w:val="7"/>
  </w:num>
  <w:num w:numId="6">
    <w:abstractNumId w:val="8"/>
  </w:num>
  <w:num w:numId="7">
    <w:abstractNumId w:val="2"/>
  </w:num>
  <w:num w:numId="8">
    <w:abstractNumId w:val="5"/>
  </w:num>
  <w:num w:numId="9">
    <w:abstractNumId w:val="12"/>
  </w:num>
  <w:num w:numId="10">
    <w:abstractNumId w:val="11"/>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3F1"/>
    <w:rsid w:val="0000060D"/>
    <w:rsid w:val="0000074D"/>
    <w:rsid w:val="00000FF6"/>
    <w:rsid w:val="000012AA"/>
    <w:rsid w:val="00004321"/>
    <w:rsid w:val="00012F08"/>
    <w:rsid w:val="00015844"/>
    <w:rsid w:val="00021D08"/>
    <w:rsid w:val="00021F46"/>
    <w:rsid w:val="00022959"/>
    <w:rsid w:val="00026188"/>
    <w:rsid w:val="0002688C"/>
    <w:rsid w:val="00030FCC"/>
    <w:rsid w:val="00045B1B"/>
    <w:rsid w:val="00052D48"/>
    <w:rsid w:val="000536E8"/>
    <w:rsid w:val="00057665"/>
    <w:rsid w:val="000603DD"/>
    <w:rsid w:val="00064BEC"/>
    <w:rsid w:val="00071007"/>
    <w:rsid w:val="00071B4C"/>
    <w:rsid w:val="00073C29"/>
    <w:rsid w:val="00074AF3"/>
    <w:rsid w:val="00076EFC"/>
    <w:rsid w:val="00077742"/>
    <w:rsid w:val="00077B41"/>
    <w:rsid w:val="00081840"/>
    <w:rsid w:val="00082176"/>
    <w:rsid w:val="00084627"/>
    <w:rsid w:val="0008795F"/>
    <w:rsid w:val="00093531"/>
    <w:rsid w:val="000A0C83"/>
    <w:rsid w:val="000A17AF"/>
    <w:rsid w:val="000A66F1"/>
    <w:rsid w:val="000A680D"/>
    <w:rsid w:val="000A727D"/>
    <w:rsid w:val="000B1E1D"/>
    <w:rsid w:val="000B7D54"/>
    <w:rsid w:val="000C13FA"/>
    <w:rsid w:val="000C1B28"/>
    <w:rsid w:val="000C3D97"/>
    <w:rsid w:val="000C5503"/>
    <w:rsid w:val="000D4E38"/>
    <w:rsid w:val="000D53ED"/>
    <w:rsid w:val="000E322D"/>
    <w:rsid w:val="000E60DA"/>
    <w:rsid w:val="000E6733"/>
    <w:rsid w:val="000F1758"/>
    <w:rsid w:val="000F2178"/>
    <w:rsid w:val="000F7CA7"/>
    <w:rsid w:val="00104AA0"/>
    <w:rsid w:val="00106E42"/>
    <w:rsid w:val="00110A9D"/>
    <w:rsid w:val="00112C2A"/>
    <w:rsid w:val="001141FF"/>
    <w:rsid w:val="00115735"/>
    <w:rsid w:val="00115FDF"/>
    <w:rsid w:val="00117160"/>
    <w:rsid w:val="0012798E"/>
    <w:rsid w:val="001279D8"/>
    <w:rsid w:val="0013617A"/>
    <w:rsid w:val="00142B64"/>
    <w:rsid w:val="00150590"/>
    <w:rsid w:val="0015093C"/>
    <w:rsid w:val="00153984"/>
    <w:rsid w:val="00155E75"/>
    <w:rsid w:val="001609F8"/>
    <w:rsid w:val="00163C67"/>
    <w:rsid w:val="0016649F"/>
    <w:rsid w:val="0017155E"/>
    <w:rsid w:val="001753B8"/>
    <w:rsid w:val="00176755"/>
    <w:rsid w:val="00180B9D"/>
    <w:rsid w:val="00183070"/>
    <w:rsid w:val="00184133"/>
    <w:rsid w:val="00184551"/>
    <w:rsid w:val="001847CE"/>
    <w:rsid w:val="00184EC5"/>
    <w:rsid w:val="0018696B"/>
    <w:rsid w:val="00192B39"/>
    <w:rsid w:val="0019727B"/>
    <w:rsid w:val="001A564E"/>
    <w:rsid w:val="001A6438"/>
    <w:rsid w:val="001B2038"/>
    <w:rsid w:val="001B4F41"/>
    <w:rsid w:val="001B5E80"/>
    <w:rsid w:val="001C3DA0"/>
    <w:rsid w:val="001C6A67"/>
    <w:rsid w:val="001D2B07"/>
    <w:rsid w:val="001D4091"/>
    <w:rsid w:val="001D5ED2"/>
    <w:rsid w:val="001E0CBB"/>
    <w:rsid w:val="001E1CF3"/>
    <w:rsid w:val="001E4555"/>
    <w:rsid w:val="001E49C3"/>
    <w:rsid w:val="001E5918"/>
    <w:rsid w:val="001F3D6B"/>
    <w:rsid w:val="001F4620"/>
    <w:rsid w:val="001F6E17"/>
    <w:rsid w:val="00200845"/>
    <w:rsid w:val="00200A8C"/>
    <w:rsid w:val="00200EDA"/>
    <w:rsid w:val="0020447C"/>
    <w:rsid w:val="00210E40"/>
    <w:rsid w:val="00215559"/>
    <w:rsid w:val="00215985"/>
    <w:rsid w:val="00216A58"/>
    <w:rsid w:val="00217255"/>
    <w:rsid w:val="00220D8B"/>
    <w:rsid w:val="00224AF8"/>
    <w:rsid w:val="002312DC"/>
    <w:rsid w:val="00233604"/>
    <w:rsid w:val="00233C13"/>
    <w:rsid w:val="00233EB9"/>
    <w:rsid w:val="00240E72"/>
    <w:rsid w:val="00242711"/>
    <w:rsid w:val="00242A0C"/>
    <w:rsid w:val="00242AE1"/>
    <w:rsid w:val="00251197"/>
    <w:rsid w:val="00254ABE"/>
    <w:rsid w:val="002655B3"/>
    <w:rsid w:val="002721F3"/>
    <w:rsid w:val="0027298A"/>
    <w:rsid w:val="00273EE2"/>
    <w:rsid w:val="00276555"/>
    <w:rsid w:val="002767D0"/>
    <w:rsid w:val="0027702D"/>
    <w:rsid w:val="00280EE6"/>
    <w:rsid w:val="0028395C"/>
    <w:rsid w:val="00283BD7"/>
    <w:rsid w:val="002871A2"/>
    <w:rsid w:val="0029040F"/>
    <w:rsid w:val="00293AE3"/>
    <w:rsid w:val="0029577E"/>
    <w:rsid w:val="0029680A"/>
    <w:rsid w:val="00297D61"/>
    <w:rsid w:val="002A04EB"/>
    <w:rsid w:val="002A1705"/>
    <w:rsid w:val="002A3D04"/>
    <w:rsid w:val="002A71E1"/>
    <w:rsid w:val="002B2D94"/>
    <w:rsid w:val="002B49EE"/>
    <w:rsid w:val="002B70EB"/>
    <w:rsid w:val="002C0A54"/>
    <w:rsid w:val="002C0E3A"/>
    <w:rsid w:val="002C2F65"/>
    <w:rsid w:val="002C485E"/>
    <w:rsid w:val="002C4B57"/>
    <w:rsid w:val="002C5D8F"/>
    <w:rsid w:val="002D1360"/>
    <w:rsid w:val="002D206E"/>
    <w:rsid w:val="002E23B6"/>
    <w:rsid w:val="002E61C4"/>
    <w:rsid w:val="002E7579"/>
    <w:rsid w:val="002F1EF9"/>
    <w:rsid w:val="00300E8F"/>
    <w:rsid w:val="00301F8D"/>
    <w:rsid w:val="0030568B"/>
    <w:rsid w:val="0031457C"/>
    <w:rsid w:val="003158CC"/>
    <w:rsid w:val="00320A84"/>
    <w:rsid w:val="00325A1B"/>
    <w:rsid w:val="00330EA3"/>
    <w:rsid w:val="00333D8A"/>
    <w:rsid w:val="003354F6"/>
    <w:rsid w:val="00335C81"/>
    <w:rsid w:val="00336C55"/>
    <w:rsid w:val="00340EC8"/>
    <w:rsid w:val="00341544"/>
    <w:rsid w:val="00341BE2"/>
    <w:rsid w:val="003436AF"/>
    <w:rsid w:val="0034455A"/>
    <w:rsid w:val="00345D6B"/>
    <w:rsid w:val="00353DDC"/>
    <w:rsid w:val="00355B5F"/>
    <w:rsid w:val="00360A3B"/>
    <w:rsid w:val="003612F5"/>
    <w:rsid w:val="00364505"/>
    <w:rsid w:val="00370272"/>
    <w:rsid w:val="00371E4D"/>
    <w:rsid w:val="00373B4F"/>
    <w:rsid w:val="00375AC2"/>
    <w:rsid w:val="0037653B"/>
    <w:rsid w:val="00380C02"/>
    <w:rsid w:val="003810B4"/>
    <w:rsid w:val="003839F0"/>
    <w:rsid w:val="003841A6"/>
    <w:rsid w:val="00385447"/>
    <w:rsid w:val="003859B6"/>
    <w:rsid w:val="003910EE"/>
    <w:rsid w:val="00396390"/>
    <w:rsid w:val="003A0A36"/>
    <w:rsid w:val="003A3987"/>
    <w:rsid w:val="003A4075"/>
    <w:rsid w:val="003A503C"/>
    <w:rsid w:val="003A6F40"/>
    <w:rsid w:val="003B06BE"/>
    <w:rsid w:val="003B0D21"/>
    <w:rsid w:val="003B5020"/>
    <w:rsid w:val="003B56A7"/>
    <w:rsid w:val="003C04F5"/>
    <w:rsid w:val="003C3D79"/>
    <w:rsid w:val="003C54A8"/>
    <w:rsid w:val="003C610F"/>
    <w:rsid w:val="003D17D8"/>
    <w:rsid w:val="003D1FD2"/>
    <w:rsid w:val="003D37CB"/>
    <w:rsid w:val="003D746F"/>
    <w:rsid w:val="003E28AB"/>
    <w:rsid w:val="003E5769"/>
    <w:rsid w:val="003E6A47"/>
    <w:rsid w:val="003F0F34"/>
    <w:rsid w:val="003F55C5"/>
    <w:rsid w:val="0040356E"/>
    <w:rsid w:val="00403672"/>
    <w:rsid w:val="00407812"/>
    <w:rsid w:val="00411201"/>
    <w:rsid w:val="0041235E"/>
    <w:rsid w:val="00413B71"/>
    <w:rsid w:val="00423A6A"/>
    <w:rsid w:val="00432D76"/>
    <w:rsid w:val="00433189"/>
    <w:rsid w:val="00441771"/>
    <w:rsid w:val="00442B22"/>
    <w:rsid w:val="00444270"/>
    <w:rsid w:val="004533C9"/>
    <w:rsid w:val="00455859"/>
    <w:rsid w:val="00455BDF"/>
    <w:rsid w:val="00457A94"/>
    <w:rsid w:val="00460CA8"/>
    <w:rsid w:val="004804C0"/>
    <w:rsid w:val="00480991"/>
    <w:rsid w:val="00484333"/>
    <w:rsid w:val="00486FB8"/>
    <w:rsid w:val="0048714C"/>
    <w:rsid w:val="0049218F"/>
    <w:rsid w:val="00492A18"/>
    <w:rsid w:val="00495930"/>
    <w:rsid w:val="004A3FF9"/>
    <w:rsid w:val="004A4853"/>
    <w:rsid w:val="004B1B8E"/>
    <w:rsid w:val="004B4848"/>
    <w:rsid w:val="004B59AB"/>
    <w:rsid w:val="004B76C5"/>
    <w:rsid w:val="004C015B"/>
    <w:rsid w:val="004C0641"/>
    <w:rsid w:val="004C18E0"/>
    <w:rsid w:val="004C296A"/>
    <w:rsid w:val="004C5878"/>
    <w:rsid w:val="004C7248"/>
    <w:rsid w:val="004D0280"/>
    <w:rsid w:val="004D0B91"/>
    <w:rsid w:val="004D17EB"/>
    <w:rsid w:val="004D25E8"/>
    <w:rsid w:val="004E1F75"/>
    <w:rsid w:val="004E1F85"/>
    <w:rsid w:val="004E508C"/>
    <w:rsid w:val="004E537E"/>
    <w:rsid w:val="004E538A"/>
    <w:rsid w:val="004E6B43"/>
    <w:rsid w:val="004E7962"/>
    <w:rsid w:val="004E7A37"/>
    <w:rsid w:val="004E7D43"/>
    <w:rsid w:val="004F28CC"/>
    <w:rsid w:val="004F4A40"/>
    <w:rsid w:val="0050200E"/>
    <w:rsid w:val="00502116"/>
    <w:rsid w:val="005031E7"/>
    <w:rsid w:val="00505EB2"/>
    <w:rsid w:val="00506166"/>
    <w:rsid w:val="00507359"/>
    <w:rsid w:val="00510D0E"/>
    <w:rsid w:val="00511D1D"/>
    <w:rsid w:val="005168C9"/>
    <w:rsid w:val="00516DDD"/>
    <w:rsid w:val="00520A73"/>
    <w:rsid w:val="00520BCA"/>
    <w:rsid w:val="00521B01"/>
    <w:rsid w:val="005245FC"/>
    <w:rsid w:val="00532015"/>
    <w:rsid w:val="005327DF"/>
    <w:rsid w:val="00532D1D"/>
    <w:rsid w:val="00532F90"/>
    <w:rsid w:val="005368F3"/>
    <w:rsid w:val="00536DE9"/>
    <w:rsid w:val="00537255"/>
    <w:rsid w:val="00540D6E"/>
    <w:rsid w:val="00541519"/>
    <w:rsid w:val="00544C19"/>
    <w:rsid w:val="00560A3F"/>
    <w:rsid w:val="00561E74"/>
    <w:rsid w:val="00564A6B"/>
    <w:rsid w:val="005715BE"/>
    <w:rsid w:val="005724FF"/>
    <w:rsid w:val="005736CC"/>
    <w:rsid w:val="00575127"/>
    <w:rsid w:val="005765DA"/>
    <w:rsid w:val="00580368"/>
    <w:rsid w:val="00586721"/>
    <w:rsid w:val="00590382"/>
    <w:rsid w:val="0059332E"/>
    <w:rsid w:val="005A0C04"/>
    <w:rsid w:val="005A2659"/>
    <w:rsid w:val="005A2670"/>
    <w:rsid w:val="005A3619"/>
    <w:rsid w:val="005A7AE3"/>
    <w:rsid w:val="005B0AF5"/>
    <w:rsid w:val="005B5648"/>
    <w:rsid w:val="005C07DA"/>
    <w:rsid w:val="005C2A81"/>
    <w:rsid w:val="005C4CDF"/>
    <w:rsid w:val="005C6993"/>
    <w:rsid w:val="005D058B"/>
    <w:rsid w:val="005D483B"/>
    <w:rsid w:val="005E0EB6"/>
    <w:rsid w:val="005E343B"/>
    <w:rsid w:val="005E7C9D"/>
    <w:rsid w:val="006008ED"/>
    <w:rsid w:val="00601B2A"/>
    <w:rsid w:val="006034A1"/>
    <w:rsid w:val="00606BE2"/>
    <w:rsid w:val="0061208F"/>
    <w:rsid w:val="006159A8"/>
    <w:rsid w:val="00615CB0"/>
    <w:rsid w:val="006162C0"/>
    <w:rsid w:val="006209C3"/>
    <w:rsid w:val="00621B29"/>
    <w:rsid w:val="00636F73"/>
    <w:rsid w:val="0063758C"/>
    <w:rsid w:val="006428F6"/>
    <w:rsid w:val="00642D03"/>
    <w:rsid w:val="00645131"/>
    <w:rsid w:val="00646F98"/>
    <w:rsid w:val="00650F2D"/>
    <w:rsid w:val="00651038"/>
    <w:rsid w:val="006518D4"/>
    <w:rsid w:val="0065313F"/>
    <w:rsid w:val="00653C18"/>
    <w:rsid w:val="00656FD8"/>
    <w:rsid w:val="00660C3A"/>
    <w:rsid w:val="006660CB"/>
    <w:rsid w:val="00666205"/>
    <w:rsid w:val="006710BA"/>
    <w:rsid w:val="00675572"/>
    <w:rsid w:val="00680600"/>
    <w:rsid w:val="006852B5"/>
    <w:rsid w:val="006A1EC6"/>
    <w:rsid w:val="006A3C69"/>
    <w:rsid w:val="006A51AE"/>
    <w:rsid w:val="006A6A56"/>
    <w:rsid w:val="006B0488"/>
    <w:rsid w:val="006B38AB"/>
    <w:rsid w:val="006B41B9"/>
    <w:rsid w:val="006B71A6"/>
    <w:rsid w:val="006C09ED"/>
    <w:rsid w:val="006C440D"/>
    <w:rsid w:val="006C7352"/>
    <w:rsid w:val="006C7388"/>
    <w:rsid w:val="006D3BD2"/>
    <w:rsid w:val="006D430D"/>
    <w:rsid w:val="006D6159"/>
    <w:rsid w:val="006D6A1F"/>
    <w:rsid w:val="006D6C7B"/>
    <w:rsid w:val="006D6E31"/>
    <w:rsid w:val="006D7105"/>
    <w:rsid w:val="006E22AB"/>
    <w:rsid w:val="006E5F9F"/>
    <w:rsid w:val="006E7B10"/>
    <w:rsid w:val="006F2B62"/>
    <w:rsid w:val="006F44D4"/>
    <w:rsid w:val="006F4DD8"/>
    <w:rsid w:val="006F53DF"/>
    <w:rsid w:val="006F5B49"/>
    <w:rsid w:val="006F7C74"/>
    <w:rsid w:val="00701EB1"/>
    <w:rsid w:val="007039D5"/>
    <w:rsid w:val="00703DAA"/>
    <w:rsid w:val="0070440C"/>
    <w:rsid w:val="007079FB"/>
    <w:rsid w:val="007125A3"/>
    <w:rsid w:val="00713333"/>
    <w:rsid w:val="00714BAA"/>
    <w:rsid w:val="00716AFB"/>
    <w:rsid w:val="007203AD"/>
    <w:rsid w:val="007205FC"/>
    <w:rsid w:val="00726A62"/>
    <w:rsid w:val="00727C8C"/>
    <w:rsid w:val="007303D5"/>
    <w:rsid w:val="00730A60"/>
    <w:rsid w:val="0073128E"/>
    <w:rsid w:val="00731D35"/>
    <w:rsid w:val="00734981"/>
    <w:rsid w:val="007370A6"/>
    <w:rsid w:val="00742C7D"/>
    <w:rsid w:val="00743C21"/>
    <w:rsid w:val="00746BDB"/>
    <w:rsid w:val="00746E1A"/>
    <w:rsid w:val="00747975"/>
    <w:rsid w:val="0075058A"/>
    <w:rsid w:val="00751FC4"/>
    <w:rsid w:val="007541CF"/>
    <w:rsid w:val="00754F76"/>
    <w:rsid w:val="0076041C"/>
    <w:rsid w:val="00764B36"/>
    <w:rsid w:val="007670E1"/>
    <w:rsid w:val="007674E7"/>
    <w:rsid w:val="007718EA"/>
    <w:rsid w:val="00774A37"/>
    <w:rsid w:val="00776DE8"/>
    <w:rsid w:val="0077728C"/>
    <w:rsid w:val="00784D1E"/>
    <w:rsid w:val="007859E5"/>
    <w:rsid w:val="00786780"/>
    <w:rsid w:val="00792929"/>
    <w:rsid w:val="007A09BA"/>
    <w:rsid w:val="007A1FF0"/>
    <w:rsid w:val="007A289D"/>
    <w:rsid w:val="007A38BB"/>
    <w:rsid w:val="007A62BC"/>
    <w:rsid w:val="007B0C3E"/>
    <w:rsid w:val="007B1379"/>
    <w:rsid w:val="007B3827"/>
    <w:rsid w:val="007B46DC"/>
    <w:rsid w:val="007B590A"/>
    <w:rsid w:val="007C41D8"/>
    <w:rsid w:val="007C4C52"/>
    <w:rsid w:val="007D2780"/>
    <w:rsid w:val="007D2B73"/>
    <w:rsid w:val="007D4BC7"/>
    <w:rsid w:val="007D5747"/>
    <w:rsid w:val="007D6771"/>
    <w:rsid w:val="007E3737"/>
    <w:rsid w:val="007E5F52"/>
    <w:rsid w:val="007E6E64"/>
    <w:rsid w:val="007F087A"/>
    <w:rsid w:val="007F0974"/>
    <w:rsid w:val="007F5189"/>
    <w:rsid w:val="00806DBC"/>
    <w:rsid w:val="008075BE"/>
    <w:rsid w:val="00810CD5"/>
    <w:rsid w:val="00811316"/>
    <w:rsid w:val="008123EE"/>
    <w:rsid w:val="0081594B"/>
    <w:rsid w:val="00816AFE"/>
    <w:rsid w:val="008275D3"/>
    <w:rsid w:val="00830A70"/>
    <w:rsid w:val="008340E3"/>
    <w:rsid w:val="00841A1C"/>
    <w:rsid w:val="00841F9D"/>
    <w:rsid w:val="00842468"/>
    <w:rsid w:val="00842D2C"/>
    <w:rsid w:val="00844138"/>
    <w:rsid w:val="008452BF"/>
    <w:rsid w:val="0085086B"/>
    <w:rsid w:val="00851C8B"/>
    <w:rsid w:val="00855BB0"/>
    <w:rsid w:val="00861651"/>
    <w:rsid w:val="00861C9A"/>
    <w:rsid w:val="008652A4"/>
    <w:rsid w:val="008665AB"/>
    <w:rsid w:val="00870978"/>
    <w:rsid w:val="00871774"/>
    <w:rsid w:val="008754FA"/>
    <w:rsid w:val="00880431"/>
    <w:rsid w:val="008837F8"/>
    <w:rsid w:val="00886994"/>
    <w:rsid w:val="00886A05"/>
    <w:rsid w:val="00886F00"/>
    <w:rsid w:val="008904E2"/>
    <w:rsid w:val="00895069"/>
    <w:rsid w:val="008A03DF"/>
    <w:rsid w:val="008A2A32"/>
    <w:rsid w:val="008A45FF"/>
    <w:rsid w:val="008A4FE1"/>
    <w:rsid w:val="008B27CD"/>
    <w:rsid w:val="008B56B8"/>
    <w:rsid w:val="008C12AE"/>
    <w:rsid w:val="008C26C6"/>
    <w:rsid w:val="008C3892"/>
    <w:rsid w:val="008C3D8E"/>
    <w:rsid w:val="008C3F16"/>
    <w:rsid w:val="008C4CC4"/>
    <w:rsid w:val="008D07B1"/>
    <w:rsid w:val="008D2480"/>
    <w:rsid w:val="008D34A3"/>
    <w:rsid w:val="008D48DE"/>
    <w:rsid w:val="008D70F0"/>
    <w:rsid w:val="008E1C2C"/>
    <w:rsid w:val="008E20BD"/>
    <w:rsid w:val="008E242D"/>
    <w:rsid w:val="008E6C50"/>
    <w:rsid w:val="008E6E86"/>
    <w:rsid w:val="00900537"/>
    <w:rsid w:val="009017D1"/>
    <w:rsid w:val="00902D53"/>
    <w:rsid w:val="00904ACF"/>
    <w:rsid w:val="00911BB0"/>
    <w:rsid w:val="0091464B"/>
    <w:rsid w:val="00914D90"/>
    <w:rsid w:val="00922385"/>
    <w:rsid w:val="009233BD"/>
    <w:rsid w:val="009260E1"/>
    <w:rsid w:val="0093341A"/>
    <w:rsid w:val="00933FA5"/>
    <w:rsid w:val="009361F8"/>
    <w:rsid w:val="00941CED"/>
    <w:rsid w:val="00941EDF"/>
    <w:rsid w:val="00944CB2"/>
    <w:rsid w:val="00944EE8"/>
    <w:rsid w:val="00945140"/>
    <w:rsid w:val="00953669"/>
    <w:rsid w:val="00957447"/>
    <w:rsid w:val="00961CBB"/>
    <w:rsid w:val="009666E3"/>
    <w:rsid w:val="00966F6A"/>
    <w:rsid w:val="00967F84"/>
    <w:rsid w:val="00967FD3"/>
    <w:rsid w:val="00970240"/>
    <w:rsid w:val="009717F2"/>
    <w:rsid w:val="0097511A"/>
    <w:rsid w:val="009756B1"/>
    <w:rsid w:val="009774FF"/>
    <w:rsid w:val="00980656"/>
    <w:rsid w:val="00992DB5"/>
    <w:rsid w:val="00993531"/>
    <w:rsid w:val="009964F8"/>
    <w:rsid w:val="009A1C05"/>
    <w:rsid w:val="009A34EA"/>
    <w:rsid w:val="009A7906"/>
    <w:rsid w:val="009A7BC5"/>
    <w:rsid w:val="009C2372"/>
    <w:rsid w:val="009C4513"/>
    <w:rsid w:val="009C672C"/>
    <w:rsid w:val="009D0FC3"/>
    <w:rsid w:val="009D4211"/>
    <w:rsid w:val="009D4B85"/>
    <w:rsid w:val="009E019A"/>
    <w:rsid w:val="009E14D2"/>
    <w:rsid w:val="009E7722"/>
    <w:rsid w:val="009F3554"/>
    <w:rsid w:val="009F4CC5"/>
    <w:rsid w:val="009F6E1C"/>
    <w:rsid w:val="009F7520"/>
    <w:rsid w:val="00A00DE6"/>
    <w:rsid w:val="00A11248"/>
    <w:rsid w:val="00A13A85"/>
    <w:rsid w:val="00A14447"/>
    <w:rsid w:val="00A16C89"/>
    <w:rsid w:val="00A2059D"/>
    <w:rsid w:val="00A25586"/>
    <w:rsid w:val="00A276A1"/>
    <w:rsid w:val="00A306A0"/>
    <w:rsid w:val="00A324F5"/>
    <w:rsid w:val="00A4128B"/>
    <w:rsid w:val="00A426E0"/>
    <w:rsid w:val="00A479B3"/>
    <w:rsid w:val="00A53C2F"/>
    <w:rsid w:val="00A53DC6"/>
    <w:rsid w:val="00A55C97"/>
    <w:rsid w:val="00A61870"/>
    <w:rsid w:val="00A63768"/>
    <w:rsid w:val="00A66354"/>
    <w:rsid w:val="00A66743"/>
    <w:rsid w:val="00A7677A"/>
    <w:rsid w:val="00A77CC7"/>
    <w:rsid w:val="00A80736"/>
    <w:rsid w:val="00A84C51"/>
    <w:rsid w:val="00A85B83"/>
    <w:rsid w:val="00A903D0"/>
    <w:rsid w:val="00A91AF6"/>
    <w:rsid w:val="00A92154"/>
    <w:rsid w:val="00A92E53"/>
    <w:rsid w:val="00A94C5F"/>
    <w:rsid w:val="00A957F9"/>
    <w:rsid w:val="00A96F44"/>
    <w:rsid w:val="00A9714F"/>
    <w:rsid w:val="00AA6325"/>
    <w:rsid w:val="00AB13DF"/>
    <w:rsid w:val="00AB3F34"/>
    <w:rsid w:val="00AB464B"/>
    <w:rsid w:val="00AB6044"/>
    <w:rsid w:val="00AB657A"/>
    <w:rsid w:val="00AC1B2D"/>
    <w:rsid w:val="00AC3644"/>
    <w:rsid w:val="00AC460B"/>
    <w:rsid w:val="00AC5609"/>
    <w:rsid w:val="00AD3E0D"/>
    <w:rsid w:val="00AD7ADD"/>
    <w:rsid w:val="00AE124E"/>
    <w:rsid w:val="00AE7E6E"/>
    <w:rsid w:val="00AF1E6A"/>
    <w:rsid w:val="00AF3523"/>
    <w:rsid w:val="00AF53F1"/>
    <w:rsid w:val="00AF6F1D"/>
    <w:rsid w:val="00AF7210"/>
    <w:rsid w:val="00AF7ECD"/>
    <w:rsid w:val="00B01BBA"/>
    <w:rsid w:val="00B0308A"/>
    <w:rsid w:val="00B04D91"/>
    <w:rsid w:val="00B1224F"/>
    <w:rsid w:val="00B1461E"/>
    <w:rsid w:val="00B17684"/>
    <w:rsid w:val="00B1769F"/>
    <w:rsid w:val="00B200E9"/>
    <w:rsid w:val="00B21653"/>
    <w:rsid w:val="00B2239D"/>
    <w:rsid w:val="00B30681"/>
    <w:rsid w:val="00B32E78"/>
    <w:rsid w:val="00B33ADF"/>
    <w:rsid w:val="00B346DC"/>
    <w:rsid w:val="00B421EF"/>
    <w:rsid w:val="00B47DD2"/>
    <w:rsid w:val="00B51319"/>
    <w:rsid w:val="00B5320B"/>
    <w:rsid w:val="00B5503F"/>
    <w:rsid w:val="00B57549"/>
    <w:rsid w:val="00B57B28"/>
    <w:rsid w:val="00B6022B"/>
    <w:rsid w:val="00B618E9"/>
    <w:rsid w:val="00B628FF"/>
    <w:rsid w:val="00B64F53"/>
    <w:rsid w:val="00B6712E"/>
    <w:rsid w:val="00B67757"/>
    <w:rsid w:val="00B75A54"/>
    <w:rsid w:val="00B76DDC"/>
    <w:rsid w:val="00B77582"/>
    <w:rsid w:val="00B821EC"/>
    <w:rsid w:val="00B824FB"/>
    <w:rsid w:val="00B83764"/>
    <w:rsid w:val="00B846F1"/>
    <w:rsid w:val="00B870A1"/>
    <w:rsid w:val="00B900EB"/>
    <w:rsid w:val="00B96C00"/>
    <w:rsid w:val="00BA01DF"/>
    <w:rsid w:val="00BA23A3"/>
    <w:rsid w:val="00BA67E4"/>
    <w:rsid w:val="00BA7446"/>
    <w:rsid w:val="00BB2628"/>
    <w:rsid w:val="00BB326B"/>
    <w:rsid w:val="00BB459B"/>
    <w:rsid w:val="00BB61C8"/>
    <w:rsid w:val="00BB7163"/>
    <w:rsid w:val="00BC0AB6"/>
    <w:rsid w:val="00BC2F18"/>
    <w:rsid w:val="00BC488C"/>
    <w:rsid w:val="00BC6F25"/>
    <w:rsid w:val="00BD15B9"/>
    <w:rsid w:val="00BD3D46"/>
    <w:rsid w:val="00BD665F"/>
    <w:rsid w:val="00BE4737"/>
    <w:rsid w:val="00BE4AA3"/>
    <w:rsid w:val="00BE6196"/>
    <w:rsid w:val="00BF291B"/>
    <w:rsid w:val="00BF3203"/>
    <w:rsid w:val="00BF3E3D"/>
    <w:rsid w:val="00BF4561"/>
    <w:rsid w:val="00BF5453"/>
    <w:rsid w:val="00BF7B36"/>
    <w:rsid w:val="00C01204"/>
    <w:rsid w:val="00C014E2"/>
    <w:rsid w:val="00C02082"/>
    <w:rsid w:val="00C05019"/>
    <w:rsid w:val="00C05F85"/>
    <w:rsid w:val="00C07E8E"/>
    <w:rsid w:val="00C11944"/>
    <w:rsid w:val="00C11D79"/>
    <w:rsid w:val="00C20F4C"/>
    <w:rsid w:val="00C21CF5"/>
    <w:rsid w:val="00C220CF"/>
    <w:rsid w:val="00C2382F"/>
    <w:rsid w:val="00C2391C"/>
    <w:rsid w:val="00C26231"/>
    <w:rsid w:val="00C26A83"/>
    <w:rsid w:val="00C31490"/>
    <w:rsid w:val="00C315B2"/>
    <w:rsid w:val="00C34B96"/>
    <w:rsid w:val="00C37F2C"/>
    <w:rsid w:val="00C40F77"/>
    <w:rsid w:val="00C4105B"/>
    <w:rsid w:val="00C41119"/>
    <w:rsid w:val="00C423AA"/>
    <w:rsid w:val="00C458F8"/>
    <w:rsid w:val="00C531B5"/>
    <w:rsid w:val="00C55114"/>
    <w:rsid w:val="00C63152"/>
    <w:rsid w:val="00C632E6"/>
    <w:rsid w:val="00C679E4"/>
    <w:rsid w:val="00C70847"/>
    <w:rsid w:val="00C735CE"/>
    <w:rsid w:val="00C8056F"/>
    <w:rsid w:val="00C80A73"/>
    <w:rsid w:val="00C81732"/>
    <w:rsid w:val="00C81B89"/>
    <w:rsid w:val="00C846FD"/>
    <w:rsid w:val="00C852DE"/>
    <w:rsid w:val="00C86CB1"/>
    <w:rsid w:val="00C87D3A"/>
    <w:rsid w:val="00C92121"/>
    <w:rsid w:val="00C9576F"/>
    <w:rsid w:val="00C959CA"/>
    <w:rsid w:val="00C962E2"/>
    <w:rsid w:val="00CA3561"/>
    <w:rsid w:val="00CA3AE7"/>
    <w:rsid w:val="00CA4DB5"/>
    <w:rsid w:val="00CA5C6A"/>
    <w:rsid w:val="00CB29EF"/>
    <w:rsid w:val="00CB40F4"/>
    <w:rsid w:val="00CB750B"/>
    <w:rsid w:val="00CB7F0A"/>
    <w:rsid w:val="00CC50AA"/>
    <w:rsid w:val="00CC5765"/>
    <w:rsid w:val="00CC5E39"/>
    <w:rsid w:val="00CE262D"/>
    <w:rsid w:val="00CE5497"/>
    <w:rsid w:val="00CE78A7"/>
    <w:rsid w:val="00CF3B54"/>
    <w:rsid w:val="00CF69C9"/>
    <w:rsid w:val="00CF7174"/>
    <w:rsid w:val="00CF72B0"/>
    <w:rsid w:val="00D026DF"/>
    <w:rsid w:val="00D05AFF"/>
    <w:rsid w:val="00D11C9C"/>
    <w:rsid w:val="00D11D76"/>
    <w:rsid w:val="00D139B4"/>
    <w:rsid w:val="00D15348"/>
    <w:rsid w:val="00D15431"/>
    <w:rsid w:val="00D17B80"/>
    <w:rsid w:val="00D24222"/>
    <w:rsid w:val="00D26A56"/>
    <w:rsid w:val="00D272A4"/>
    <w:rsid w:val="00D30FD3"/>
    <w:rsid w:val="00D355A8"/>
    <w:rsid w:val="00D3789A"/>
    <w:rsid w:val="00D41B6E"/>
    <w:rsid w:val="00D5222D"/>
    <w:rsid w:val="00D52B17"/>
    <w:rsid w:val="00D52BAB"/>
    <w:rsid w:val="00D53C4A"/>
    <w:rsid w:val="00D53D4F"/>
    <w:rsid w:val="00D54408"/>
    <w:rsid w:val="00D5561F"/>
    <w:rsid w:val="00D57A1C"/>
    <w:rsid w:val="00D61DD5"/>
    <w:rsid w:val="00D62873"/>
    <w:rsid w:val="00D6472C"/>
    <w:rsid w:val="00D71C99"/>
    <w:rsid w:val="00D73B52"/>
    <w:rsid w:val="00D73DE7"/>
    <w:rsid w:val="00D75CFE"/>
    <w:rsid w:val="00D76697"/>
    <w:rsid w:val="00D80EB0"/>
    <w:rsid w:val="00D841E1"/>
    <w:rsid w:val="00D91281"/>
    <w:rsid w:val="00D91EBD"/>
    <w:rsid w:val="00D9677F"/>
    <w:rsid w:val="00D96DFB"/>
    <w:rsid w:val="00DA0EA4"/>
    <w:rsid w:val="00DA2F24"/>
    <w:rsid w:val="00DA30C9"/>
    <w:rsid w:val="00DA371B"/>
    <w:rsid w:val="00DA3B71"/>
    <w:rsid w:val="00DA3FBA"/>
    <w:rsid w:val="00DA4CF0"/>
    <w:rsid w:val="00DA6CB3"/>
    <w:rsid w:val="00DB2918"/>
    <w:rsid w:val="00DC006A"/>
    <w:rsid w:val="00DC1BD3"/>
    <w:rsid w:val="00DC7A85"/>
    <w:rsid w:val="00DD3593"/>
    <w:rsid w:val="00DD4A97"/>
    <w:rsid w:val="00DD5BB4"/>
    <w:rsid w:val="00DE2693"/>
    <w:rsid w:val="00DE5DC5"/>
    <w:rsid w:val="00DE65B3"/>
    <w:rsid w:val="00DF2272"/>
    <w:rsid w:val="00DF262F"/>
    <w:rsid w:val="00DF3FE5"/>
    <w:rsid w:val="00E02E58"/>
    <w:rsid w:val="00E108A0"/>
    <w:rsid w:val="00E120E9"/>
    <w:rsid w:val="00E133B5"/>
    <w:rsid w:val="00E213AF"/>
    <w:rsid w:val="00E265EF"/>
    <w:rsid w:val="00E3534E"/>
    <w:rsid w:val="00E37740"/>
    <w:rsid w:val="00E415BF"/>
    <w:rsid w:val="00E41C23"/>
    <w:rsid w:val="00E43342"/>
    <w:rsid w:val="00E45F05"/>
    <w:rsid w:val="00E51815"/>
    <w:rsid w:val="00E52378"/>
    <w:rsid w:val="00E5553D"/>
    <w:rsid w:val="00E56886"/>
    <w:rsid w:val="00E64303"/>
    <w:rsid w:val="00E65DDC"/>
    <w:rsid w:val="00E716F8"/>
    <w:rsid w:val="00E7507C"/>
    <w:rsid w:val="00E80831"/>
    <w:rsid w:val="00E825D6"/>
    <w:rsid w:val="00E90448"/>
    <w:rsid w:val="00E90931"/>
    <w:rsid w:val="00E93C1C"/>
    <w:rsid w:val="00E94F4D"/>
    <w:rsid w:val="00E962CD"/>
    <w:rsid w:val="00E97748"/>
    <w:rsid w:val="00EA5480"/>
    <w:rsid w:val="00EB68D4"/>
    <w:rsid w:val="00EC6CB7"/>
    <w:rsid w:val="00EC6F11"/>
    <w:rsid w:val="00ED20AC"/>
    <w:rsid w:val="00ED552E"/>
    <w:rsid w:val="00ED7C7B"/>
    <w:rsid w:val="00EE13A7"/>
    <w:rsid w:val="00EE350F"/>
    <w:rsid w:val="00EE6C83"/>
    <w:rsid w:val="00EF1032"/>
    <w:rsid w:val="00EF1265"/>
    <w:rsid w:val="00EF5DDF"/>
    <w:rsid w:val="00F00EC4"/>
    <w:rsid w:val="00F040D2"/>
    <w:rsid w:val="00F054A1"/>
    <w:rsid w:val="00F061C2"/>
    <w:rsid w:val="00F07014"/>
    <w:rsid w:val="00F14E60"/>
    <w:rsid w:val="00F156CE"/>
    <w:rsid w:val="00F2580D"/>
    <w:rsid w:val="00F269E6"/>
    <w:rsid w:val="00F416D9"/>
    <w:rsid w:val="00F429AE"/>
    <w:rsid w:val="00F4667A"/>
    <w:rsid w:val="00F515D7"/>
    <w:rsid w:val="00F516F7"/>
    <w:rsid w:val="00F5188C"/>
    <w:rsid w:val="00F55C11"/>
    <w:rsid w:val="00F5655B"/>
    <w:rsid w:val="00F56DB7"/>
    <w:rsid w:val="00F63D93"/>
    <w:rsid w:val="00F67705"/>
    <w:rsid w:val="00F67F43"/>
    <w:rsid w:val="00F73291"/>
    <w:rsid w:val="00F73389"/>
    <w:rsid w:val="00F83FAF"/>
    <w:rsid w:val="00F85493"/>
    <w:rsid w:val="00F85CAB"/>
    <w:rsid w:val="00F85DFE"/>
    <w:rsid w:val="00F85FF4"/>
    <w:rsid w:val="00F87B26"/>
    <w:rsid w:val="00F96D3A"/>
    <w:rsid w:val="00F972BA"/>
    <w:rsid w:val="00FA55A3"/>
    <w:rsid w:val="00FA57C3"/>
    <w:rsid w:val="00FB6C7B"/>
    <w:rsid w:val="00FC11E6"/>
    <w:rsid w:val="00FC260D"/>
    <w:rsid w:val="00FC388E"/>
    <w:rsid w:val="00FD1DDA"/>
    <w:rsid w:val="00FD2608"/>
    <w:rsid w:val="00FD2F60"/>
    <w:rsid w:val="00FE20CB"/>
    <w:rsid w:val="00FE3AE8"/>
    <w:rsid w:val="00FE4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D97B"/>
  <w15:chartTrackingRefBased/>
  <w15:docId w15:val="{EE70B8FC-B936-4106-9F1E-0C94084A2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9EE"/>
    <w:pPr>
      <w:spacing w:after="0" w:line="360" w:lineRule="auto"/>
      <w:jc w:val="both"/>
    </w:pPr>
    <w:rPr>
      <w:rFonts w:ascii="Times New Roman" w:hAnsi="Times New Roman"/>
      <w:color w:val="000000" w:themeColor="text1"/>
      <w:szCs w:val="24"/>
      <w:lang w:eastAsia="en-GB"/>
    </w:rPr>
  </w:style>
  <w:style w:type="paragraph" w:styleId="Ttulo1">
    <w:name w:val="heading 1"/>
    <w:basedOn w:val="Normal"/>
    <w:next w:val="Normal"/>
    <w:link w:val="Ttulo1Carter"/>
    <w:uiPriority w:val="9"/>
    <w:qFormat/>
    <w:rsid w:val="00AF53F1"/>
    <w:pPr>
      <w:keepNext/>
      <w:keepLines/>
      <w:spacing w:before="240"/>
      <w:outlineLvl w:val="0"/>
    </w:pPr>
    <w:rPr>
      <w:rFonts w:eastAsiaTheme="majorEastAsia" w:cstheme="majorBidi"/>
      <w:b/>
      <w:sz w:val="28"/>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AF53F1"/>
    <w:pPr>
      <w:spacing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AF53F1"/>
    <w:rPr>
      <w:rFonts w:ascii="Segoe UI" w:hAnsi="Segoe UI" w:cs="Segoe UI"/>
      <w:sz w:val="18"/>
      <w:szCs w:val="18"/>
    </w:rPr>
  </w:style>
  <w:style w:type="character" w:customStyle="1" w:styleId="Ttulo1Carter">
    <w:name w:val="Título 1 Caráter"/>
    <w:basedOn w:val="Tipodeletrapredefinidodopargrafo"/>
    <w:link w:val="Ttulo1"/>
    <w:uiPriority w:val="9"/>
    <w:rsid w:val="00AF53F1"/>
    <w:rPr>
      <w:rFonts w:ascii="Times New Roman" w:eastAsiaTheme="majorEastAsia" w:hAnsi="Times New Roman" w:cstheme="majorBidi"/>
      <w:b/>
      <w:sz w:val="28"/>
      <w:szCs w:val="32"/>
      <w:lang w:eastAsia="en-GB"/>
    </w:rPr>
  </w:style>
  <w:style w:type="paragraph" w:styleId="SemEspaamento">
    <w:name w:val="No Spacing"/>
    <w:uiPriority w:val="1"/>
    <w:qFormat/>
    <w:rsid w:val="00AF53F1"/>
    <w:pPr>
      <w:spacing w:after="0" w:line="240" w:lineRule="auto"/>
      <w:jc w:val="both"/>
    </w:pPr>
    <w:rPr>
      <w:rFonts w:ascii="Times New Roman" w:eastAsia="Times New Roman" w:hAnsi="Times New Roman" w:cs="Times New Roman"/>
      <w:szCs w:val="24"/>
      <w:lang w:eastAsia="en-GB"/>
    </w:rPr>
  </w:style>
  <w:style w:type="paragraph" w:styleId="PargrafodaLista">
    <w:name w:val="List Paragraph"/>
    <w:basedOn w:val="Normal"/>
    <w:link w:val="PargrafodaListaCarter"/>
    <w:uiPriority w:val="34"/>
    <w:qFormat/>
    <w:rsid w:val="00AF53F1"/>
    <w:pPr>
      <w:ind w:left="720"/>
      <w:contextualSpacing/>
    </w:pPr>
    <w:rPr>
      <w:rFonts w:eastAsia="Times New Roman" w:cs="Times New Roman"/>
    </w:rPr>
  </w:style>
  <w:style w:type="character" w:customStyle="1" w:styleId="PargrafodaListaCarter">
    <w:name w:val="Parágrafo da Lista Caráter"/>
    <w:basedOn w:val="Tipodeletrapredefinidodopargrafo"/>
    <w:link w:val="PargrafodaLista"/>
    <w:uiPriority w:val="34"/>
    <w:rsid w:val="00AF53F1"/>
    <w:rPr>
      <w:rFonts w:ascii="Times New Roman" w:eastAsia="Times New Roman" w:hAnsi="Times New Roman" w:cs="Times New Roman"/>
      <w:szCs w:val="24"/>
      <w:lang w:eastAsia="en-GB"/>
    </w:rPr>
  </w:style>
  <w:style w:type="paragraph" w:styleId="Ttulo">
    <w:name w:val="Title"/>
    <w:basedOn w:val="Normal"/>
    <w:next w:val="Normal"/>
    <w:link w:val="TtuloCarter"/>
    <w:uiPriority w:val="10"/>
    <w:qFormat/>
    <w:rsid w:val="00AF53F1"/>
    <w:pPr>
      <w:spacing w:line="240" w:lineRule="auto"/>
      <w:contextualSpacing/>
    </w:pPr>
    <w:rPr>
      <w:rFonts w:eastAsiaTheme="majorEastAsia" w:cstheme="majorBidi"/>
      <w:spacing w:val="-10"/>
      <w:kern w:val="28"/>
      <w:sz w:val="36"/>
      <w:szCs w:val="56"/>
    </w:rPr>
  </w:style>
  <w:style w:type="character" w:customStyle="1" w:styleId="TtuloCarter">
    <w:name w:val="Título Caráter"/>
    <w:basedOn w:val="Tipodeletrapredefinidodopargrafo"/>
    <w:link w:val="Ttulo"/>
    <w:uiPriority w:val="10"/>
    <w:rsid w:val="00AF53F1"/>
    <w:rPr>
      <w:rFonts w:ascii="Times New Roman" w:eastAsiaTheme="majorEastAsia" w:hAnsi="Times New Roman" w:cstheme="majorBidi"/>
      <w:spacing w:val="-10"/>
      <w:kern w:val="28"/>
      <w:sz w:val="36"/>
      <w:szCs w:val="56"/>
      <w:lang w:eastAsia="en-GB"/>
    </w:rPr>
  </w:style>
  <w:style w:type="paragraph" w:styleId="Legenda">
    <w:name w:val="caption"/>
    <w:basedOn w:val="Normal"/>
    <w:next w:val="Normal"/>
    <w:uiPriority w:val="35"/>
    <w:unhideWhenUsed/>
    <w:qFormat/>
    <w:rsid w:val="00AF53F1"/>
    <w:pPr>
      <w:spacing w:after="200" w:line="240" w:lineRule="auto"/>
    </w:pPr>
    <w:rPr>
      <w:i/>
      <w:iCs/>
      <w:color w:val="44546A" w:themeColor="text2"/>
      <w:sz w:val="18"/>
      <w:szCs w:val="18"/>
    </w:rPr>
  </w:style>
  <w:style w:type="character" w:styleId="Hiperligao">
    <w:name w:val="Hyperlink"/>
    <w:basedOn w:val="Tipodeletrapredefinidodopargrafo"/>
    <w:uiPriority w:val="99"/>
    <w:unhideWhenUsed/>
    <w:rsid w:val="009A7906"/>
    <w:rPr>
      <w:color w:val="0563C1" w:themeColor="hyperlink"/>
      <w:u w:val="single"/>
    </w:rPr>
  </w:style>
  <w:style w:type="character" w:styleId="Hiperligaovisitada">
    <w:name w:val="FollowedHyperlink"/>
    <w:basedOn w:val="Tipodeletrapredefinidodopargrafo"/>
    <w:uiPriority w:val="99"/>
    <w:semiHidden/>
    <w:unhideWhenUsed/>
    <w:rsid w:val="009A7906"/>
    <w:rPr>
      <w:color w:val="954F72" w:themeColor="followedHyperlink"/>
      <w:u w:val="single"/>
    </w:rPr>
  </w:style>
  <w:style w:type="character" w:customStyle="1" w:styleId="MenoNoResolvida1">
    <w:name w:val="Menção Não Resolvida1"/>
    <w:basedOn w:val="Tipodeletrapredefinidodopargrafo"/>
    <w:uiPriority w:val="99"/>
    <w:semiHidden/>
    <w:unhideWhenUsed/>
    <w:rsid w:val="00BE4AA3"/>
    <w:rPr>
      <w:color w:val="605E5C"/>
      <w:shd w:val="clear" w:color="auto" w:fill="E1DFDD"/>
    </w:rPr>
  </w:style>
  <w:style w:type="character" w:styleId="Refdecomentrio">
    <w:name w:val="annotation reference"/>
    <w:basedOn w:val="Tipodeletrapredefinidodopargrafo"/>
    <w:uiPriority w:val="99"/>
    <w:semiHidden/>
    <w:unhideWhenUsed/>
    <w:rsid w:val="006209C3"/>
    <w:rPr>
      <w:sz w:val="16"/>
      <w:szCs w:val="16"/>
    </w:rPr>
  </w:style>
  <w:style w:type="paragraph" w:styleId="Textodecomentrio">
    <w:name w:val="annotation text"/>
    <w:basedOn w:val="Normal"/>
    <w:link w:val="TextodecomentrioCarter"/>
    <w:uiPriority w:val="99"/>
    <w:semiHidden/>
    <w:unhideWhenUsed/>
    <w:rsid w:val="006209C3"/>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6209C3"/>
    <w:rPr>
      <w:rFonts w:ascii="Times New Roman" w:hAnsi="Times New Roman"/>
      <w:color w:val="000000" w:themeColor="text1"/>
      <w:sz w:val="20"/>
      <w:szCs w:val="20"/>
      <w:lang w:eastAsia="en-GB"/>
    </w:rPr>
  </w:style>
  <w:style w:type="paragraph" w:styleId="Assuntodecomentrio">
    <w:name w:val="annotation subject"/>
    <w:basedOn w:val="Textodecomentrio"/>
    <w:next w:val="Textodecomentrio"/>
    <w:link w:val="AssuntodecomentrioCarter"/>
    <w:uiPriority w:val="99"/>
    <w:semiHidden/>
    <w:unhideWhenUsed/>
    <w:rsid w:val="006209C3"/>
    <w:rPr>
      <w:b/>
      <w:bCs/>
    </w:rPr>
  </w:style>
  <w:style w:type="character" w:customStyle="1" w:styleId="AssuntodecomentrioCarter">
    <w:name w:val="Assunto de comentário Caráter"/>
    <w:basedOn w:val="TextodecomentrioCarter"/>
    <w:link w:val="Assuntodecomentrio"/>
    <w:uiPriority w:val="99"/>
    <w:semiHidden/>
    <w:rsid w:val="006209C3"/>
    <w:rPr>
      <w:rFonts w:ascii="Times New Roman" w:hAnsi="Times New Roman"/>
      <w:b/>
      <w:bCs/>
      <w:color w:val="000000" w:themeColor="text1"/>
      <w:sz w:val="20"/>
      <w:szCs w:val="20"/>
      <w:lang w:eastAsia="en-GB"/>
    </w:rPr>
  </w:style>
  <w:style w:type="character" w:customStyle="1" w:styleId="cit">
    <w:name w:val="cit"/>
    <w:basedOn w:val="Tipodeletrapredefinidodopargrafo"/>
    <w:rsid w:val="00AF3523"/>
  </w:style>
  <w:style w:type="character" w:customStyle="1" w:styleId="apple-converted-space">
    <w:name w:val="apple-converted-space"/>
    <w:basedOn w:val="Tipodeletrapredefinidodopargrafo"/>
    <w:rsid w:val="00AF3523"/>
  </w:style>
  <w:style w:type="character" w:customStyle="1" w:styleId="doi">
    <w:name w:val="doi"/>
    <w:basedOn w:val="Tipodeletrapredefinidodopargrafo"/>
    <w:rsid w:val="00AF3523"/>
  </w:style>
  <w:style w:type="character" w:customStyle="1" w:styleId="fm-citation-ids-label">
    <w:name w:val="fm-citation-ids-label"/>
    <w:basedOn w:val="Tipodeletrapredefinidodopargrafo"/>
    <w:rsid w:val="00AF3523"/>
  </w:style>
  <w:style w:type="character" w:customStyle="1" w:styleId="label">
    <w:name w:val="label"/>
    <w:basedOn w:val="Tipodeletrapredefinidodopargrafo"/>
    <w:rsid w:val="00EC6CB7"/>
  </w:style>
  <w:style w:type="character" w:customStyle="1" w:styleId="databold">
    <w:name w:val="data_bold"/>
    <w:basedOn w:val="Tipodeletrapredefinidodopargrafo"/>
    <w:rsid w:val="00EC6CB7"/>
  </w:style>
  <w:style w:type="character" w:customStyle="1" w:styleId="content-navigationcontenttype">
    <w:name w:val="content-navigation__contenttype"/>
    <w:basedOn w:val="Tipodeletrapredefinidodopargrafo"/>
    <w:rsid w:val="005C6993"/>
  </w:style>
  <w:style w:type="character" w:customStyle="1" w:styleId="hlfld-title">
    <w:name w:val="hlfld-title"/>
    <w:basedOn w:val="Tipodeletrapredefinidodopargrafo"/>
    <w:rsid w:val="005C6993"/>
  </w:style>
  <w:style w:type="character" w:customStyle="1" w:styleId="hlfld-contribauthor">
    <w:name w:val="hlfld-contribauthor"/>
    <w:basedOn w:val="Tipodeletrapredefinidodopargrafo"/>
    <w:rsid w:val="005C6993"/>
  </w:style>
  <w:style w:type="character" w:customStyle="1" w:styleId="comma-separator">
    <w:name w:val="comma-separator"/>
    <w:basedOn w:val="Tipodeletrapredefinidodopargrafo"/>
    <w:rsid w:val="005C6993"/>
  </w:style>
  <w:style w:type="character" w:customStyle="1" w:styleId="Title1">
    <w:name w:val="Title1"/>
    <w:basedOn w:val="Tipodeletrapredefinidodopargrafo"/>
    <w:rsid w:val="005C6993"/>
  </w:style>
  <w:style w:type="character" w:styleId="Forte">
    <w:name w:val="Strong"/>
    <w:basedOn w:val="Tipodeletrapredefinidodopargrafo"/>
    <w:uiPriority w:val="22"/>
    <w:qFormat/>
    <w:rsid w:val="005C6993"/>
    <w:rPr>
      <w:b/>
      <w:bCs/>
    </w:rPr>
  </w:style>
  <w:style w:type="character" w:customStyle="1" w:styleId="cit-title">
    <w:name w:val="cit-title"/>
    <w:basedOn w:val="Tipodeletrapredefinidodopargrafo"/>
    <w:rsid w:val="005C6993"/>
  </w:style>
  <w:style w:type="character" w:customStyle="1" w:styleId="cit-year-info">
    <w:name w:val="cit-year-info"/>
    <w:basedOn w:val="Tipodeletrapredefinidodopargrafo"/>
    <w:rsid w:val="005C6993"/>
  </w:style>
  <w:style w:type="character" w:customStyle="1" w:styleId="cit-volume">
    <w:name w:val="cit-volume"/>
    <w:basedOn w:val="Tipodeletrapredefinidodopargrafo"/>
    <w:rsid w:val="005C6993"/>
  </w:style>
  <w:style w:type="character" w:customStyle="1" w:styleId="cit-issue">
    <w:name w:val="cit-issue"/>
    <w:basedOn w:val="Tipodeletrapredefinidodopargrafo"/>
    <w:rsid w:val="005C6993"/>
  </w:style>
  <w:style w:type="character" w:customStyle="1" w:styleId="cit-pagerange">
    <w:name w:val="cit-pagerange"/>
    <w:basedOn w:val="Tipodeletrapredefinidodopargrafo"/>
    <w:rsid w:val="005C6993"/>
  </w:style>
  <w:style w:type="character" w:customStyle="1" w:styleId="pub-date">
    <w:name w:val="pub-date"/>
    <w:basedOn w:val="Tipodeletrapredefinidodopargrafo"/>
    <w:rsid w:val="005C6993"/>
  </w:style>
  <w:style w:type="character" w:customStyle="1" w:styleId="date-separator">
    <w:name w:val="date-separator"/>
    <w:basedOn w:val="Tipodeletrapredefinidodopargrafo"/>
    <w:rsid w:val="005C6993"/>
  </w:style>
  <w:style w:type="character" w:customStyle="1" w:styleId="pub-date-value">
    <w:name w:val="pub-date-value"/>
    <w:basedOn w:val="Tipodeletrapredefinidodopargrafo"/>
    <w:rsid w:val="005C6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462243">
      <w:bodyDiv w:val="1"/>
      <w:marLeft w:val="0"/>
      <w:marRight w:val="0"/>
      <w:marTop w:val="0"/>
      <w:marBottom w:val="0"/>
      <w:divBdr>
        <w:top w:val="none" w:sz="0" w:space="0" w:color="auto"/>
        <w:left w:val="none" w:sz="0" w:space="0" w:color="auto"/>
        <w:bottom w:val="none" w:sz="0" w:space="0" w:color="auto"/>
        <w:right w:val="none" w:sz="0" w:space="0" w:color="auto"/>
      </w:divBdr>
    </w:div>
    <w:div w:id="521893686">
      <w:bodyDiv w:val="1"/>
      <w:marLeft w:val="0"/>
      <w:marRight w:val="0"/>
      <w:marTop w:val="0"/>
      <w:marBottom w:val="0"/>
      <w:divBdr>
        <w:top w:val="none" w:sz="0" w:space="0" w:color="auto"/>
        <w:left w:val="none" w:sz="0" w:space="0" w:color="auto"/>
        <w:bottom w:val="none" w:sz="0" w:space="0" w:color="auto"/>
        <w:right w:val="none" w:sz="0" w:space="0" w:color="auto"/>
      </w:divBdr>
    </w:div>
    <w:div w:id="1046493591">
      <w:bodyDiv w:val="1"/>
      <w:marLeft w:val="0"/>
      <w:marRight w:val="0"/>
      <w:marTop w:val="0"/>
      <w:marBottom w:val="0"/>
      <w:divBdr>
        <w:top w:val="none" w:sz="0" w:space="0" w:color="auto"/>
        <w:left w:val="none" w:sz="0" w:space="0" w:color="auto"/>
        <w:bottom w:val="none" w:sz="0" w:space="0" w:color="auto"/>
        <w:right w:val="none" w:sz="0" w:space="0" w:color="auto"/>
      </w:divBdr>
      <w:divsChild>
        <w:div w:id="535196858">
          <w:marLeft w:val="0"/>
          <w:marRight w:val="0"/>
          <w:marTop w:val="0"/>
          <w:marBottom w:val="150"/>
          <w:divBdr>
            <w:top w:val="none" w:sz="0" w:space="0" w:color="auto"/>
            <w:left w:val="none" w:sz="0" w:space="0" w:color="auto"/>
            <w:bottom w:val="none" w:sz="0" w:space="0" w:color="auto"/>
            <w:right w:val="none" w:sz="0" w:space="0" w:color="auto"/>
          </w:divBdr>
          <w:divsChild>
            <w:div w:id="1930775905">
              <w:marLeft w:val="0"/>
              <w:marRight w:val="0"/>
              <w:marTop w:val="0"/>
              <w:marBottom w:val="0"/>
              <w:divBdr>
                <w:top w:val="none" w:sz="0" w:space="0" w:color="auto"/>
                <w:left w:val="none" w:sz="0" w:space="0" w:color="auto"/>
                <w:bottom w:val="none" w:sz="0" w:space="0" w:color="auto"/>
                <w:right w:val="none" w:sz="0" w:space="0" w:color="auto"/>
              </w:divBdr>
              <w:divsChild>
                <w:div w:id="13482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3353">
          <w:marLeft w:val="0"/>
          <w:marRight w:val="0"/>
          <w:marTop w:val="330"/>
          <w:marBottom w:val="330"/>
          <w:divBdr>
            <w:top w:val="none" w:sz="0" w:space="0" w:color="auto"/>
            <w:left w:val="none" w:sz="0" w:space="0" w:color="auto"/>
            <w:bottom w:val="none" w:sz="0" w:space="0" w:color="auto"/>
            <w:right w:val="none" w:sz="0" w:space="0" w:color="auto"/>
          </w:divBdr>
          <w:divsChild>
            <w:div w:id="814952749">
              <w:marLeft w:val="0"/>
              <w:marRight w:val="0"/>
              <w:marTop w:val="0"/>
              <w:marBottom w:val="150"/>
              <w:divBdr>
                <w:top w:val="none" w:sz="0" w:space="0" w:color="auto"/>
                <w:left w:val="none" w:sz="0" w:space="0" w:color="auto"/>
                <w:bottom w:val="none" w:sz="0" w:space="0" w:color="auto"/>
                <w:right w:val="none" w:sz="0" w:space="0" w:color="auto"/>
              </w:divBdr>
            </w:div>
            <w:div w:id="2014142929">
              <w:marLeft w:val="0"/>
              <w:marRight w:val="0"/>
              <w:marTop w:val="0"/>
              <w:marBottom w:val="0"/>
              <w:divBdr>
                <w:top w:val="none" w:sz="0" w:space="0" w:color="auto"/>
                <w:left w:val="none" w:sz="0" w:space="0" w:color="auto"/>
                <w:bottom w:val="none" w:sz="0" w:space="0" w:color="auto"/>
                <w:right w:val="none" w:sz="0" w:space="0" w:color="auto"/>
              </w:divBdr>
              <w:divsChild>
                <w:div w:id="401294224">
                  <w:marLeft w:val="0"/>
                  <w:marRight w:val="0"/>
                  <w:marTop w:val="0"/>
                  <w:marBottom w:val="0"/>
                  <w:divBdr>
                    <w:top w:val="none" w:sz="0" w:space="0" w:color="auto"/>
                    <w:left w:val="none" w:sz="0" w:space="0" w:color="auto"/>
                    <w:bottom w:val="none" w:sz="0" w:space="0" w:color="auto"/>
                    <w:right w:val="none" w:sz="0" w:space="0" w:color="auto"/>
                  </w:divBdr>
                  <w:divsChild>
                    <w:div w:id="597832240">
                      <w:marLeft w:val="0"/>
                      <w:marRight w:val="0"/>
                      <w:marTop w:val="0"/>
                      <w:marBottom w:val="0"/>
                      <w:divBdr>
                        <w:top w:val="none" w:sz="0" w:space="0" w:color="auto"/>
                        <w:left w:val="none" w:sz="0" w:space="0" w:color="auto"/>
                        <w:bottom w:val="none" w:sz="0" w:space="0" w:color="auto"/>
                        <w:right w:val="none" w:sz="0" w:space="0" w:color="auto"/>
                      </w:divBdr>
                    </w:div>
                    <w:div w:id="875854076">
                      <w:marLeft w:val="0"/>
                      <w:marRight w:val="0"/>
                      <w:marTop w:val="0"/>
                      <w:marBottom w:val="0"/>
                      <w:divBdr>
                        <w:top w:val="none" w:sz="0" w:space="0" w:color="auto"/>
                        <w:left w:val="none" w:sz="0" w:space="0" w:color="auto"/>
                        <w:bottom w:val="none" w:sz="0" w:space="0" w:color="auto"/>
                        <w:right w:val="none" w:sz="0" w:space="0" w:color="auto"/>
                      </w:divBdr>
                      <w:divsChild>
                        <w:div w:id="1436510870">
                          <w:marLeft w:val="0"/>
                          <w:marRight w:val="0"/>
                          <w:marTop w:val="0"/>
                          <w:marBottom w:val="0"/>
                          <w:divBdr>
                            <w:top w:val="none" w:sz="0" w:space="0" w:color="auto"/>
                            <w:left w:val="none" w:sz="0" w:space="0" w:color="auto"/>
                            <w:bottom w:val="none" w:sz="0" w:space="0" w:color="auto"/>
                            <w:right w:val="none" w:sz="0" w:space="0" w:color="auto"/>
                          </w:divBdr>
                          <w:divsChild>
                            <w:div w:id="1653145762">
                              <w:marLeft w:val="0"/>
                              <w:marRight w:val="0"/>
                              <w:marTop w:val="0"/>
                              <w:marBottom w:val="0"/>
                              <w:divBdr>
                                <w:top w:val="none" w:sz="0" w:space="0" w:color="auto"/>
                                <w:left w:val="none" w:sz="0" w:space="0" w:color="auto"/>
                                <w:bottom w:val="none" w:sz="0" w:space="0" w:color="auto"/>
                                <w:right w:val="none" w:sz="0" w:space="0" w:color="auto"/>
                              </w:divBdr>
                            </w:div>
                            <w:div w:id="1446849675">
                              <w:marLeft w:val="0"/>
                              <w:marRight w:val="0"/>
                              <w:marTop w:val="0"/>
                              <w:marBottom w:val="0"/>
                              <w:divBdr>
                                <w:top w:val="none" w:sz="0" w:space="0" w:color="auto"/>
                                <w:left w:val="none" w:sz="0" w:space="0" w:color="auto"/>
                                <w:bottom w:val="none" w:sz="0" w:space="0" w:color="auto"/>
                                <w:right w:val="none" w:sz="0" w:space="0" w:color="auto"/>
                              </w:divBdr>
                            </w:div>
                            <w:div w:id="1891260808">
                              <w:marLeft w:val="0"/>
                              <w:marRight w:val="0"/>
                              <w:marTop w:val="15"/>
                              <w:marBottom w:val="0"/>
                              <w:divBdr>
                                <w:top w:val="none" w:sz="0" w:space="0" w:color="auto"/>
                                <w:left w:val="none" w:sz="0" w:space="0" w:color="auto"/>
                                <w:bottom w:val="none" w:sz="0" w:space="0" w:color="auto"/>
                                <w:right w:val="none" w:sz="0" w:space="0" w:color="auto"/>
                              </w:divBdr>
                              <w:divsChild>
                                <w:div w:id="964700392">
                                  <w:marLeft w:val="0"/>
                                  <w:marRight w:val="0"/>
                                  <w:marTop w:val="0"/>
                                  <w:marBottom w:val="0"/>
                                  <w:divBdr>
                                    <w:top w:val="none" w:sz="0" w:space="0" w:color="auto"/>
                                    <w:left w:val="none" w:sz="0" w:space="0" w:color="auto"/>
                                    <w:bottom w:val="none" w:sz="0" w:space="0" w:color="auto"/>
                                    <w:right w:val="none" w:sz="0" w:space="0" w:color="auto"/>
                                  </w:divBdr>
                                  <w:divsChild>
                                    <w:div w:id="16790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424397">
      <w:bodyDiv w:val="1"/>
      <w:marLeft w:val="0"/>
      <w:marRight w:val="0"/>
      <w:marTop w:val="0"/>
      <w:marBottom w:val="0"/>
      <w:divBdr>
        <w:top w:val="none" w:sz="0" w:space="0" w:color="auto"/>
        <w:left w:val="none" w:sz="0" w:space="0" w:color="auto"/>
        <w:bottom w:val="none" w:sz="0" w:space="0" w:color="auto"/>
        <w:right w:val="none" w:sz="0" w:space="0" w:color="auto"/>
      </w:divBdr>
      <w:divsChild>
        <w:div w:id="1447655049">
          <w:marLeft w:val="0"/>
          <w:marRight w:val="0"/>
          <w:marTop w:val="0"/>
          <w:marBottom w:val="166"/>
          <w:divBdr>
            <w:top w:val="none" w:sz="0" w:space="0" w:color="auto"/>
            <w:left w:val="none" w:sz="0" w:space="0" w:color="auto"/>
            <w:bottom w:val="none" w:sz="0" w:space="0" w:color="auto"/>
            <w:right w:val="none" w:sz="0" w:space="0" w:color="auto"/>
          </w:divBdr>
          <w:divsChild>
            <w:div w:id="1218779344">
              <w:marLeft w:val="0"/>
              <w:marRight w:val="0"/>
              <w:marTop w:val="0"/>
              <w:marBottom w:val="0"/>
              <w:divBdr>
                <w:top w:val="none" w:sz="0" w:space="0" w:color="auto"/>
                <w:left w:val="none" w:sz="0" w:space="0" w:color="auto"/>
                <w:bottom w:val="none" w:sz="0" w:space="0" w:color="auto"/>
                <w:right w:val="none" w:sz="0" w:space="0" w:color="auto"/>
              </w:divBdr>
              <w:divsChild>
                <w:div w:id="2104185500">
                  <w:marLeft w:val="0"/>
                  <w:marRight w:val="0"/>
                  <w:marTop w:val="0"/>
                  <w:marBottom w:val="0"/>
                  <w:divBdr>
                    <w:top w:val="none" w:sz="0" w:space="0" w:color="auto"/>
                    <w:left w:val="none" w:sz="0" w:space="0" w:color="auto"/>
                    <w:bottom w:val="none" w:sz="0" w:space="0" w:color="auto"/>
                    <w:right w:val="none" w:sz="0" w:space="0" w:color="auto"/>
                  </w:divBdr>
                  <w:divsChild>
                    <w:div w:id="611862557">
                      <w:marLeft w:val="0"/>
                      <w:marRight w:val="0"/>
                      <w:marTop w:val="0"/>
                      <w:marBottom w:val="0"/>
                      <w:divBdr>
                        <w:top w:val="none" w:sz="0" w:space="0" w:color="auto"/>
                        <w:left w:val="none" w:sz="0" w:space="0" w:color="auto"/>
                        <w:bottom w:val="none" w:sz="0" w:space="0" w:color="auto"/>
                        <w:right w:val="none" w:sz="0" w:space="0" w:color="auto"/>
                      </w:divBdr>
                    </w:div>
                    <w:div w:id="6024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4797">
              <w:marLeft w:val="0"/>
              <w:marRight w:val="0"/>
              <w:marTop w:val="0"/>
              <w:marBottom w:val="0"/>
              <w:divBdr>
                <w:top w:val="none" w:sz="0" w:space="0" w:color="auto"/>
                <w:left w:val="none" w:sz="0" w:space="0" w:color="auto"/>
                <w:bottom w:val="none" w:sz="0" w:space="0" w:color="auto"/>
                <w:right w:val="none" w:sz="0" w:space="0" w:color="auto"/>
              </w:divBdr>
              <w:divsChild>
                <w:div w:id="2006203893">
                  <w:marLeft w:val="0"/>
                  <w:marRight w:val="0"/>
                  <w:marTop w:val="0"/>
                  <w:marBottom w:val="0"/>
                  <w:divBdr>
                    <w:top w:val="none" w:sz="0" w:space="0" w:color="auto"/>
                    <w:left w:val="none" w:sz="0" w:space="0" w:color="auto"/>
                    <w:bottom w:val="none" w:sz="0" w:space="0" w:color="auto"/>
                    <w:right w:val="none" w:sz="0" w:space="0" w:color="auto"/>
                  </w:divBdr>
                </w:div>
                <w:div w:id="19130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792">
          <w:marLeft w:val="0"/>
          <w:marRight w:val="0"/>
          <w:marTop w:val="166"/>
          <w:marBottom w:val="166"/>
          <w:divBdr>
            <w:top w:val="none" w:sz="0" w:space="0" w:color="auto"/>
            <w:left w:val="none" w:sz="0" w:space="0" w:color="auto"/>
            <w:bottom w:val="none" w:sz="0" w:space="0" w:color="auto"/>
            <w:right w:val="none" w:sz="0" w:space="0" w:color="auto"/>
          </w:divBdr>
          <w:divsChild>
            <w:div w:id="495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1.bin"/><Relationship Id="rId50" Type="http://schemas.openxmlformats.org/officeDocument/2006/relationships/image" Target="media/image23.emf"/><Relationship Id="rId55" Type="http://schemas.openxmlformats.org/officeDocument/2006/relationships/oleObject" Target="embeddings/oleObject25.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7.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image" Target="media/image2.emf"/><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7.bin"/><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emf"/><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1AD05-D5D5-412E-A293-910E598C1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47</Pages>
  <Words>167144</Words>
  <Characters>902578</Characters>
  <Application>Microsoft Office Word</Application>
  <DocSecurity>0</DocSecurity>
  <Lines>7521</Lines>
  <Paragraphs>2135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Woodley</dc:creator>
  <cp:lastModifiedBy>PATRÍCIA SOFIA MENALHA AMADO</cp:lastModifiedBy>
  <cp:revision>13</cp:revision>
  <cp:lastPrinted>2020-09-23T16:21:00Z</cp:lastPrinted>
  <dcterms:created xsi:type="dcterms:W3CDTF">2020-09-23T14:56:00Z</dcterms:created>
  <dcterms:modified xsi:type="dcterms:W3CDTF">2020-12-11T19:17:00Z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http://www.zotero.org/styles/american-medical-association</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http://www.zotero.org/styles/journal-of-the-american-chemical-society</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Journal of the American Chemical Society</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b45cc854-3c8c-35e7-9690-5fd098789d4d</vt:lpwstr>
  </property>
</Properties>
</file>