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D66D" w14:textId="5A39A844" w:rsidR="00BB5397" w:rsidRPr="00A805A2" w:rsidRDefault="00F8165F" w:rsidP="00BB5397">
      <w:pPr>
        <w:spacing w:after="0"/>
        <w:jc w:val="center"/>
        <w:rPr>
          <w:b/>
          <w:bCs/>
          <w:sz w:val="28"/>
          <w:szCs w:val="28"/>
        </w:rPr>
      </w:pPr>
      <w:r w:rsidRPr="00A805A2">
        <w:rPr>
          <w:b/>
          <w:bCs/>
          <w:sz w:val="28"/>
          <w:szCs w:val="28"/>
        </w:rPr>
        <w:t>Rethinking</w:t>
      </w:r>
      <w:r w:rsidR="00CC128D" w:rsidRPr="00A805A2">
        <w:rPr>
          <w:b/>
          <w:bCs/>
          <w:sz w:val="28"/>
          <w:szCs w:val="28"/>
        </w:rPr>
        <w:t xml:space="preserve"> </w:t>
      </w:r>
      <w:r w:rsidR="0065639C" w:rsidRPr="00A805A2">
        <w:rPr>
          <w:b/>
          <w:bCs/>
          <w:sz w:val="28"/>
          <w:szCs w:val="28"/>
        </w:rPr>
        <w:t xml:space="preserve">Judicial Narratives: </w:t>
      </w:r>
    </w:p>
    <w:p w14:paraId="48DD195E" w14:textId="7AE77F82" w:rsidR="00D55F5E" w:rsidRPr="00A805A2" w:rsidRDefault="001F4821" w:rsidP="00BB5397">
      <w:pPr>
        <w:spacing w:after="0"/>
        <w:jc w:val="center"/>
        <w:rPr>
          <w:b/>
          <w:bCs/>
          <w:sz w:val="28"/>
          <w:szCs w:val="28"/>
        </w:rPr>
      </w:pPr>
      <w:r w:rsidRPr="00A805A2">
        <w:rPr>
          <w:b/>
          <w:bCs/>
          <w:sz w:val="28"/>
          <w:szCs w:val="28"/>
        </w:rPr>
        <w:t>The</w:t>
      </w:r>
      <w:r w:rsidR="0065639C" w:rsidRPr="00A805A2">
        <w:rPr>
          <w:b/>
          <w:bCs/>
          <w:sz w:val="28"/>
          <w:szCs w:val="28"/>
        </w:rPr>
        <w:t xml:space="preserve"> Court of Justice</w:t>
      </w:r>
      <w:r w:rsidR="00606367" w:rsidRPr="00A805A2">
        <w:rPr>
          <w:b/>
          <w:bCs/>
          <w:sz w:val="28"/>
          <w:szCs w:val="28"/>
        </w:rPr>
        <w:t xml:space="preserve"> and the Treaty of Rome</w:t>
      </w:r>
    </w:p>
    <w:p w14:paraId="1E139D4F" w14:textId="71869592" w:rsidR="007D1E8D" w:rsidRDefault="007D1E8D" w:rsidP="00BB5397">
      <w:pPr>
        <w:spacing w:after="0"/>
        <w:jc w:val="center"/>
        <w:rPr>
          <w:sz w:val="28"/>
          <w:szCs w:val="28"/>
        </w:rPr>
      </w:pPr>
    </w:p>
    <w:p w14:paraId="4B8690DB" w14:textId="61E4C7DC" w:rsidR="007D1E8D" w:rsidRDefault="007D1E8D" w:rsidP="007D1E8D">
      <w:pPr>
        <w:spacing w:after="0"/>
        <w:jc w:val="center"/>
        <w:rPr>
          <w:sz w:val="24"/>
          <w:szCs w:val="24"/>
        </w:rPr>
      </w:pPr>
      <w:r>
        <w:rPr>
          <w:sz w:val="24"/>
          <w:szCs w:val="24"/>
        </w:rPr>
        <w:t>Thomas Horsley</w:t>
      </w:r>
      <w:r w:rsidR="007E4F68" w:rsidRPr="007E4F68">
        <w:rPr>
          <w:rStyle w:val="FootnoteReference"/>
          <w:sz w:val="24"/>
          <w:szCs w:val="24"/>
        </w:rPr>
        <w:footnoteReference w:customMarkFollows="1" w:id="1"/>
        <w:sym w:font="Symbol" w:char="F02A"/>
      </w:r>
    </w:p>
    <w:p w14:paraId="68F94C62" w14:textId="3EF43AA5" w:rsidR="00282872" w:rsidRDefault="00282872" w:rsidP="007D1E8D">
      <w:pPr>
        <w:spacing w:after="0"/>
        <w:rPr>
          <w:sz w:val="28"/>
          <w:szCs w:val="28"/>
        </w:rPr>
      </w:pPr>
    </w:p>
    <w:p w14:paraId="3A7AAD20" w14:textId="79804451" w:rsidR="00282872" w:rsidRPr="00DB0432" w:rsidRDefault="00282872" w:rsidP="00BB5397">
      <w:pPr>
        <w:spacing w:after="0"/>
        <w:jc w:val="center"/>
        <w:rPr>
          <w:sz w:val="24"/>
          <w:szCs w:val="24"/>
        </w:rPr>
      </w:pPr>
      <w:r w:rsidRPr="00DB0432">
        <w:rPr>
          <w:sz w:val="24"/>
          <w:szCs w:val="24"/>
        </w:rPr>
        <w:t>W</w:t>
      </w:r>
      <w:r w:rsidR="00BF6FFC" w:rsidRPr="00DB0432">
        <w:rPr>
          <w:sz w:val="24"/>
          <w:szCs w:val="24"/>
        </w:rPr>
        <w:t>illiam</w:t>
      </w:r>
      <w:r w:rsidRPr="00DB0432">
        <w:rPr>
          <w:sz w:val="24"/>
          <w:szCs w:val="24"/>
        </w:rPr>
        <w:t xml:space="preserve"> Phelan</w:t>
      </w:r>
      <w:r w:rsidR="00BF6FFC" w:rsidRPr="00DB0432">
        <w:rPr>
          <w:sz w:val="24"/>
          <w:szCs w:val="24"/>
        </w:rPr>
        <w:t>,</w:t>
      </w:r>
      <w:r w:rsidRPr="00DB0432">
        <w:rPr>
          <w:sz w:val="24"/>
          <w:szCs w:val="24"/>
        </w:rPr>
        <w:t xml:space="preserve"> </w:t>
      </w:r>
      <w:r w:rsidRPr="00DB0432">
        <w:rPr>
          <w:i/>
          <w:iCs/>
          <w:sz w:val="24"/>
          <w:szCs w:val="24"/>
        </w:rPr>
        <w:t>Great Judgments of the European Court of Justic</w:t>
      </w:r>
      <w:r w:rsidR="00887D82">
        <w:rPr>
          <w:i/>
          <w:iCs/>
          <w:sz w:val="24"/>
          <w:szCs w:val="24"/>
        </w:rPr>
        <w:t xml:space="preserve">e: Rethinking the Landmark Decisions of the Foundational Period </w:t>
      </w:r>
      <w:r w:rsidRPr="00DB0432">
        <w:rPr>
          <w:sz w:val="24"/>
          <w:szCs w:val="24"/>
        </w:rPr>
        <w:t>(</w:t>
      </w:r>
      <w:r w:rsidR="00BF6FFC" w:rsidRPr="00DB0432">
        <w:rPr>
          <w:sz w:val="24"/>
          <w:szCs w:val="24"/>
        </w:rPr>
        <w:t>Cambridge University Press, 20</w:t>
      </w:r>
      <w:r w:rsidR="00AA5D49" w:rsidRPr="00DB0432">
        <w:rPr>
          <w:sz w:val="24"/>
          <w:szCs w:val="24"/>
        </w:rPr>
        <w:t>19) 258</w:t>
      </w:r>
      <w:r w:rsidR="007D1E8D" w:rsidRPr="00DB0432">
        <w:rPr>
          <w:sz w:val="24"/>
          <w:szCs w:val="24"/>
        </w:rPr>
        <w:t xml:space="preserve"> </w:t>
      </w:r>
      <w:r w:rsidR="00AA5D49" w:rsidRPr="00DB0432">
        <w:rPr>
          <w:sz w:val="24"/>
          <w:szCs w:val="24"/>
        </w:rPr>
        <w:t>p</w:t>
      </w:r>
      <w:r w:rsidR="007D1E8D" w:rsidRPr="00DB0432">
        <w:rPr>
          <w:sz w:val="24"/>
          <w:szCs w:val="24"/>
        </w:rPr>
        <w:t>p. English.</w:t>
      </w:r>
    </w:p>
    <w:p w14:paraId="5AF9DA8B" w14:textId="3E41DDDB" w:rsidR="002B1515" w:rsidRDefault="002B1515" w:rsidP="002B1515">
      <w:pPr>
        <w:rPr>
          <w:sz w:val="24"/>
          <w:szCs w:val="24"/>
        </w:rPr>
      </w:pPr>
    </w:p>
    <w:p w14:paraId="7FE8DD2B" w14:textId="174B771A" w:rsidR="002B1515" w:rsidRPr="009573E8" w:rsidRDefault="002B1515" w:rsidP="002B1515">
      <w:pPr>
        <w:rPr>
          <w:b/>
          <w:sz w:val="28"/>
          <w:szCs w:val="28"/>
        </w:rPr>
      </w:pPr>
      <w:r w:rsidRPr="009573E8">
        <w:rPr>
          <w:b/>
          <w:sz w:val="28"/>
          <w:szCs w:val="28"/>
        </w:rPr>
        <w:t>Introduction</w:t>
      </w:r>
    </w:p>
    <w:p w14:paraId="45F6A6C6" w14:textId="3DF39357" w:rsidR="00F06F16" w:rsidRDefault="002B1515" w:rsidP="00715950">
      <w:pPr>
        <w:spacing w:line="360" w:lineRule="auto"/>
        <w:jc w:val="both"/>
        <w:rPr>
          <w:sz w:val="24"/>
          <w:szCs w:val="24"/>
        </w:rPr>
      </w:pPr>
      <w:r>
        <w:rPr>
          <w:sz w:val="24"/>
          <w:szCs w:val="24"/>
        </w:rPr>
        <w:t xml:space="preserve">In </w:t>
      </w:r>
      <w:r w:rsidRPr="002B1515">
        <w:rPr>
          <w:i/>
          <w:iCs/>
          <w:sz w:val="24"/>
          <w:szCs w:val="24"/>
        </w:rPr>
        <w:t>Great Judgments of the European Court of Justice</w:t>
      </w:r>
      <w:r>
        <w:rPr>
          <w:sz w:val="24"/>
          <w:szCs w:val="24"/>
        </w:rPr>
        <w:t>, William Phelan invites</w:t>
      </w:r>
      <w:r w:rsidR="00D36847">
        <w:rPr>
          <w:sz w:val="24"/>
          <w:szCs w:val="24"/>
        </w:rPr>
        <w:t xml:space="preserve"> </w:t>
      </w:r>
      <w:r>
        <w:rPr>
          <w:sz w:val="24"/>
          <w:szCs w:val="24"/>
        </w:rPr>
        <w:t xml:space="preserve">readers to </w:t>
      </w:r>
      <w:r w:rsidR="001A414C">
        <w:rPr>
          <w:sz w:val="24"/>
          <w:szCs w:val="24"/>
        </w:rPr>
        <w:t>rethink</w:t>
      </w:r>
      <w:r>
        <w:rPr>
          <w:sz w:val="24"/>
          <w:szCs w:val="24"/>
        </w:rPr>
        <w:t xml:space="preserve"> a selection of the Court of Justice’s formative cases addressing the foundations of the (then) Community legal order. Most of </w:t>
      </w:r>
      <w:r w:rsidR="00F461A9">
        <w:rPr>
          <w:sz w:val="24"/>
          <w:szCs w:val="24"/>
        </w:rPr>
        <w:t>these decisions</w:t>
      </w:r>
      <w:r>
        <w:rPr>
          <w:sz w:val="24"/>
          <w:szCs w:val="24"/>
        </w:rPr>
        <w:t xml:space="preserve">, such as </w:t>
      </w:r>
      <w:r w:rsidRPr="002B1515">
        <w:rPr>
          <w:i/>
          <w:iCs/>
          <w:sz w:val="24"/>
          <w:szCs w:val="24"/>
        </w:rPr>
        <w:t>Van Gend en Loos</w:t>
      </w:r>
      <w:r w:rsidR="00447C0D">
        <w:rPr>
          <w:rStyle w:val="FootnoteReference"/>
          <w:i/>
          <w:iCs/>
          <w:sz w:val="24"/>
          <w:szCs w:val="24"/>
        </w:rPr>
        <w:footnoteReference w:id="2"/>
      </w:r>
      <w:r w:rsidR="00A05F9C">
        <w:rPr>
          <w:i/>
          <w:iCs/>
          <w:sz w:val="24"/>
          <w:szCs w:val="24"/>
        </w:rPr>
        <w:t xml:space="preserve"> </w:t>
      </w:r>
      <w:r>
        <w:rPr>
          <w:sz w:val="24"/>
          <w:szCs w:val="24"/>
        </w:rPr>
        <w:t xml:space="preserve">and </w:t>
      </w:r>
      <w:r w:rsidRPr="002B1515">
        <w:rPr>
          <w:i/>
          <w:iCs/>
          <w:sz w:val="24"/>
          <w:szCs w:val="24"/>
        </w:rPr>
        <w:t>Costa v ENEL</w:t>
      </w:r>
      <w:r w:rsidR="00447C0D">
        <w:rPr>
          <w:rStyle w:val="FootnoteReference"/>
          <w:i/>
          <w:iCs/>
          <w:sz w:val="24"/>
          <w:szCs w:val="24"/>
        </w:rPr>
        <w:footnoteReference w:id="3"/>
      </w:r>
      <w:r w:rsidR="00A05F9C">
        <w:rPr>
          <w:i/>
          <w:iCs/>
          <w:sz w:val="24"/>
          <w:szCs w:val="24"/>
        </w:rPr>
        <w:t xml:space="preserve"> </w:t>
      </w:r>
      <w:r>
        <w:rPr>
          <w:sz w:val="24"/>
          <w:szCs w:val="24"/>
        </w:rPr>
        <w:t xml:space="preserve">are well-known to European legal scholars; others, notably </w:t>
      </w:r>
      <w:r w:rsidRPr="002B1515">
        <w:rPr>
          <w:i/>
          <w:iCs/>
          <w:sz w:val="24"/>
          <w:szCs w:val="24"/>
        </w:rPr>
        <w:t>Pork Products</w:t>
      </w:r>
      <w:r w:rsidR="000D1982">
        <w:rPr>
          <w:sz w:val="24"/>
          <w:szCs w:val="24"/>
        </w:rPr>
        <w:t>,</w:t>
      </w:r>
      <w:r w:rsidR="00C46A7C">
        <w:rPr>
          <w:rStyle w:val="FootnoteReference"/>
          <w:sz w:val="24"/>
          <w:szCs w:val="24"/>
        </w:rPr>
        <w:footnoteReference w:id="4"/>
      </w:r>
      <w:r w:rsidR="000D1982">
        <w:rPr>
          <w:sz w:val="24"/>
          <w:szCs w:val="24"/>
        </w:rPr>
        <w:t xml:space="preserve"> </w:t>
      </w:r>
      <w:r w:rsidR="000D1982" w:rsidRPr="000D1982">
        <w:rPr>
          <w:i/>
          <w:iCs/>
          <w:sz w:val="24"/>
          <w:szCs w:val="24"/>
        </w:rPr>
        <w:t>Dairy Products</w:t>
      </w:r>
      <w:r w:rsidR="00C46A7C">
        <w:rPr>
          <w:rStyle w:val="FootnoteReference"/>
          <w:i/>
          <w:iCs/>
          <w:sz w:val="24"/>
          <w:szCs w:val="24"/>
        </w:rPr>
        <w:footnoteReference w:id="5"/>
      </w:r>
      <w:r w:rsidR="000D1982">
        <w:rPr>
          <w:sz w:val="24"/>
          <w:szCs w:val="24"/>
        </w:rPr>
        <w:t xml:space="preserve"> and </w:t>
      </w:r>
      <w:r w:rsidRPr="002B1515">
        <w:rPr>
          <w:i/>
          <w:iCs/>
          <w:sz w:val="24"/>
          <w:szCs w:val="24"/>
        </w:rPr>
        <w:t>Sheep Meat</w:t>
      </w:r>
      <w:r>
        <w:rPr>
          <w:sz w:val="24"/>
          <w:szCs w:val="24"/>
        </w:rPr>
        <w:t>,</w:t>
      </w:r>
      <w:r w:rsidR="00C46A7C">
        <w:rPr>
          <w:rStyle w:val="FootnoteReference"/>
          <w:sz w:val="24"/>
          <w:szCs w:val="24"/>
        </w:rPr>
        <w:footnoteReference w:id="6"/>
      </w:r>
      <w:r>
        <w:rPr>
          <w:sz w:val="24"/>
          <w:szCs w:val="24"/>
        </w:rPr>
        <w:t xml:space="preserve"> perhaps less so.</w:t>
      </w:r>
      <w:r w:rsidR="00517682">
        <w:rPr>
          <w:i/>
          <w:iCs/>
          <w:sz w:val="24"/>
          <w:szCs w:val="24"/>
        </w:rPr>
        <w:t xml:space="preserve"> Great</w:t>
      </w:r>
      <w:r w:rsidR="00227F77" w:rsidRPr="00283147">
        <w:rPr>
          <w:i/>
          <w:iCs/>
          <w:sz w:val="24"/>
          <w:szCs w:val="24"/>
        </w:rPr>
        <w:t xml:space="preserve"> Judgments</w:t>
      </w:r>
      <w:r w:rsidR="00227F77">
        <w:rPr>
          <w:sz w:val="24"/>
          <w:szCs w:val="24"/>
        </w:rPr>
        <w:t xml:space="preserve"> </w:t>
      </w:r>
      <w:r w:rsidR="00517682">
        <w:rPr>
          <w:sz w:val="24"/>
          <w:szCs w:val="24"/>
        </w:rPr>
        <w:t xml:space="preserve">set </w:t>
      </w:r>
      <w:r w:rsidR="0044759E">
        <w:rPr>
          <w:sz w:val="24"/>
          <w:szCs w:val="24"/>
        </w:rPr>
        <w:t>its</w:t>
      </w:r>
      <w:r w:rsidR="00517682">
        <w:rPr>
          <w:sz w:val="24"/>
          <w:szCs w:val="24"/>
        </w:rPr>
        <w:t xml:space="preserve"> sights on challenging</w:t>
      </w:r>
      <w:r>
        <w:rPr>
          <w:sz w:val="24"/>
          <w:szCs w:val="24"/>
        </w:rPr>
        <w:t xml:space="preserve"> the received account of </w:t>
      </w:r>
      <w:r w:rsidR="0044759E">
        <w:rPr>
          <w:sz w:val="24"/>
          <w:szCs w:val="24"/>
        </w:rPr>
        <w:t xml:space="preserve">these </w:t>
      </w:r>
      <w:r w:rsidR="00B3549C">
        <w:rPr>
          <w:sz w:val="24"/>
          <w:szCs w:val="24"/>
        </w:rPr>
        <w:t>decisions</w:t>
      </w:r>
      <w:r w:rsidR="00292678">
        <w:rPr>
          <w:sz w:val="24"/>
          <w:szCs w:val="24"/>
        </w:rPr>
        <w:t xml:space="preserve"> </w:t>
      </w:r>
      <w:r>
        <w:rPr>
          <w:sz w:val="24"/>
          <w:szCs w:val="24"/>
        </w:rPr>
        <w:t xml:space="preserve">as the basis </w:t>
      </w:r>
      <w:r w:rsidR="00F9676B">
        <w:rPr>
          <w:sz w:val="24"/>
          <w:szCs w:val="24"/>
        </w:rPr>
        <w:t>of a ‘new legal order’ in which, atypically among international treaty organisations, private litigants and national courts have acquired</w:t>
      </w:r>
      <w:r w:rsidR="008B4A62">
        <w:rPr>
          <w:sz w:val="24"/>
          <w:szCs w:val="24"/>
        </w:rPr>
        <w:t xml:space="preserve"> direct and</w:t>
      </w:r>
      <w:r w:rsidR="00F9676B">
        <w:rPr>
          <w:sz w:val="24"/>
          <w:szCs w:val="24"/>
        </w:rPr>
        <w:t xml:space="preserve"> powerful roles.</w:t>
      </w:r>
      <w:r w:rsidR="0081624C">
        <w:rPr>
          <w:rStyle w:val="FootnoteReference"/>
          <w:sz w:val="24"/>
          <w:szCs w:val="24"/>
        </w:rPr>
        <w:footnoteReference w:id="7"/>
      </w:r>
      <w:r w:rsidR="00F9676B">
        <w:rPr>
          <w:sz w:val="24"/>
          <w:szCs w:val="24"/>
        </w:rPr>
        <w:t xml:space="preserve"> Asserting that </w:t>
      </w:r>
      <w:r w:rsidR="008B4A62">
        <w:rPr>
          <w:sz w:val="24"/>
          <w:szCs w:val="24"/>
        </w:rPr>
        <w:t>leading scholars have</w:t>
      </w:r>
      <w:r w:rsidR="00F9676B">
        <w:rPr>
          <w:sz w:val="24"/>
          <w:szCs w:val="24"/>
        </w:rPr>
        <w:t xml:space="preserve"> ‘missed the bigger picture’</w:t>
      </w:r>
      <w:r w:rsidR="005512B4">
        <w:rPr>
          <w:sz w:val="24"/>
          <w:szCs w:val="24"/>
        </w:rPr>
        <w:t xml:space="preserve"> (</w:t>
      </w:r>
      <w:r w:rsidR="000D790E">
        <w:rPr>
          <w:sz w:val="24"/>
          <w:szCs w:val="24"/>
        </w:rPr>
        <w:t xml:space="preserve">p. </w:t>
      </w:r>
      <w:r w:rsidR="003A42FF">
        <w:rPr>
          <w:sz w:val="24"/>
          <w:szCs w:val="24"/>
        </w:rPr>
        <w:t>22</w:t>
      </w:r>
      <w:r w:rsidR="00D95645">
        <w:rPr>
          <w:sz w:val="24"/>
          <w:szCs w:val="24"/>
        </w:rPr>
        <w:t>8</w:t>
      </w:r>
      <w:r w:rsidR="003A42FF">
        <w:rPr>
          <w:sz w:val="24"/>
          <w:szCs w:val="24"/>
        </w:rPr>
        <w:t>)</w:t>
      </w:r>
      <w:r w:rsidR="00687D1F">
        <w:rPr>
          <w:sz w:val="24"/>
          <w:szCs w:val="24"/>
        </w:rPr>
        <w:t>,</w:t>
      </w:r>
      <w:r w:rsidR="00687D1F">
        <w:rPr>
          <w:rStyle w:val="FootnoteReference"/>
          <w:sz w:val="24"/>
          <w:szCs w:val="24"/>
        </w:rPr>
        <w:footnoteReference w:id="8"/>
      </w:r>
      <w:r w:rsidR="003A42FF">
        <w:rPr>
          <w:sz w:val="24"/>
          <w:szCs w:val="24"/>
        </w:rPr>
        <w:t xml:space="preserve"> </w:t>
      </w:r>
      <w:r w:rsidR="00F9676B">
        <w:rPr>
          <w:sz w:val="24"/>
          <w:szCs w:val="24"/>
        </w:rPr>
        <w:t xml:space="preserve">Phelan </w:t>
      </w:r>
      <w:r w:rsidR="0009383D">
        <w:rPr>
          <w:sz w:val="24"/>
          <w:szCs w:val="24"/>
        </w:rPr>
        <w:t>weaves together</w:t>
      </w:r>
      <w:r w:rsidR="00993F21">
        <w:rPr>
          <w:sz w:val="24"/>
          <w:szCs w:val="24"/>
        </w:rPr>
        <w:t xml:space="preserve"> </w:t>
      </w:r>
      <w:r w:rsidR="00F9676B">
        <w:rPr>
          <w:sz w:val="24"/>
          <w:szCs w:val="24"/>
        </w:rPr>
        <w:t xml:space="preserve">an alternative </w:t>
      </w:r>
      <w:r w:rsidR="00D11E40">
        <w:rPr>
          <w:sz w:val="24"/>
          <w:szCs w:val="24"/>
        </w:rPr>
        <w:t>historical</w:t>
      </w:r>
      <w:r w:rsidR="0009383D">
        <w:rPr>
          <w:sz w:val="24"/>
          <w:szCs w:val="24"/>
        </w:rPr>
        <w:t xml:space="preserve"> </w:t>
      </w:r>
      <w:r w:rsidR="008E6405">
        <w:rPr>
          <w:sz w:val="24"/>
          <w:szCs w:val="24"/>
        </w:rPr>
        <w:t xml:space="preserve">narrative that displaces </w:t>
      </w:r>
      <w:r w:rsidR="002943A2">
        <w:rPr>
          <w:sz w:val="24"/>
          <w:szCs w:val="24"/>
        </w:rPr>
        <w:t xml:space="preserve">talk </w:t>
      </w:r>
      <w:r w:rsidR="005A6E76">
        <w:rPr>
          <w:sz w:val="24"/>
          <w:szCs w:val="24"/>
        </w:rPr>
        <w:t xml:space="preserve">of </w:t>
      </w:r>
      <w:r w:rsidR="006F2BCB">
        <w:rPr>
          <w:sz w:val="24"/>
          <w:szCs w:val="24"/>
        </w:rPr>
        <w:t xml:space="preserve">individual </w:t>
      </w:r>
      <w:r w:rsidR="00E03DB3">
        <w:rPr>
          <w:sz w:val="24"/>
          <w:szCs w:val="24"/>
        </w:rPr>
        <w:t>(</w:t>
      </w:r>
      <w:r w:rsidR="006F2BCB">
        <w:rPr>
          <w:sz w:val="24"/>
          <w:szCs w:val="24"/>
        </w:rPr>
        <w:t xml:space="preserve">and </w:t>
      </w:r>
      <w:r w:rsidR="00E03DB3">
        <w:rPr>
          <w:sz w:val="24"/>
          <w:szCs w:val="24"/>
        </w:rPr>
        <w:t>national</w:t>
      </w:r>
      <w:r w:rsidR="006F2BCB">
        <w:rPr>
          <w:sz w:val="24"/>
          <w:szCs w:val="24"/>
        </w:rPr>
        <w:t xml:space="preserve"> court</w:t>
      </w:r>
      <w:r w:rsidR="00E03DB3">
        <w:rPr>
          <w:sz w:val="24"/>
          <w:szCs w:val="24"/>
        </w:rPr>
        <w:t>)</w:t>
      </w:r>
      <w:r w:rsidR="006F2BCB">
        <w:rPr>
          <w:sz w:val="24"/>
          <w:szCs w:val="24"/>
        </w:rPr>
        <w:t xml:space="preserve"> empowerment</w:t>
      </w:r>
      <w:r w:rsidR="008B4A62">
        <w:rPr>
          <w:sz w:val="24"/>
          <w:szCs w:val="24"/>
        </w:rPr>
        <w:t>.</w:t>
      </w:r>
      <w:r w:rsidR="00266BA4">
        <w:rPr>
          <w:rStyle w:val="FootnoteReference"/>
          <w:sz w:val="24"/>
          <w:szCs w:val="24"/>
        </w:rPr>
        <w:footnoteReference w:id="9"/>
      </w:r>
      <w:r w:rsidR="00064902">
        <w:rPr>
          <w:sz w:val="24"/>
          <w:szCs w:val="24"/>
        </w:rPr>
        <w:t xml:space="preserve"> </w:t>
      </w:r>
      <w:r w:rsidR="00B77852">
        <w:rPr>
          <w:sz w:val="24"/>
          <w:szCs w:val="24"/>
        </w:rPr>
        <w:t>According to Phelan,</w:t>
      </w:r>
      <w:r w:rsidR="00CC5872">
        <w:rPr>
          <w:sz w:val="24"/>
          <w:szCs w:val="24"/>
        </w:rPr>
        <w:t xml:space="preserve"> the Court’s early case </w:t>
      </w:r>
      <w:r w:rsidR="00427F41">
        <w:rPr>
          <w:sz w:val="24"/>
          <w:szCs w:val="24"/>
        </w:rPr>
        <w:t xml:space="preserve">law </w:t>
      </w:r>
      <w:r w:rsidR="0032354F">
        <w:rPr>
          <w:sz w:val="24"/>
          <w:szCs w:val="24"/>
        </w:rPr>
        <w:t>is better</w:t>
      </w:r>
      <w:r w:rsidR="00427F41">
        <w:rPr>
          <w:sz w:val="24"/>
          <w:szCs w:val="24"/>
        </w:rPr>
        <w:t xml:space="preserve"> understood</w:t>
      </w:r>
      <w:r w:rsidR="00EC45D6">
        <w:rPr>
          <w:sz w:val="24"/>
          <w:szCs w:val="24"/>
        </w:rPr>
        <w:t xml:space="preserve"> as a</w:t>
      </w:r>
      <w:r w:rsidR="004B6735">
        <w:rPr>
          <w:sz w:val="24"/>
          <w:szCs w:val="24"/>
        </w:rPr>
        <w:t xml:space="preserve"> </w:t>
      </w:r>
      <w:r w:rsidR="00DC7FCE">
        <w:rPr>
          <w:sz w:val="24"/>
          <w:szCs w:val="24"/>
        </w:rPr>
        <w:t>necessary</w:t>
      </w:r>
      <w:r w:rsidR="00EC45D6">
        <w:rPr>
          <w:sz w:val="24"/>
          <w:szCs w:val="24"/>
        </w:rPr>
        <w:t xml:space="preserve"> </w:t>
      </w:r>
      <w:r w:rsidR="00744410">
        <w:rPr>
          <w:sz w:val="24"/>
          <w:szCs w:val="24"/>
        </w:rPr>
        <w:t>intervention</w:t>
      </w:r>
      <w:r w:rsidR="00EC45D6">
        <w:rPr>
          <w:sz w:val="24"/>
          <w:szCs w:val="24"/>
        </w:rPr>
        <w:t xml:space="preserve"> to manage inter-state trade disputes arising through the operation of the Treaty of Rome as an international treaty</w:t>
      </w:r>
      <w:r w:rsidR="00AD5F33">
        <w:rPr>
          <w:sz w:val="24"/>
          <w:szCs w:val="24"/>
        </w:rPr>
        <w:t xml:space="preserve"> (</w:t>
      </w:r>
      <w:r w:rsidR="00286D3A">
        <w:rPr>
          <w:sz w:val="24"/>
          <w:szCs w:val="24"/>
        </w:rPr>
        <w:t>p. 3)</w:t>
      </w:r>
      <w:r w:rsidR="00EC45D6">
        <w:rPr>
          <w:sz w:val="24"/>
          <w:szCs w:val="24"/>
        </w:rPr>
        <w:t>.</w:t>
      </w:r>
    </w:p>
    <w:p w14:paraId="64407615" w14:textId="417824E9" w:rsidR="008B4A62" w:rsidRDefault="00D06DA7" w:rsidP="006A3D45">
      <w:pPr>
        <w:spacing w:line="360" w:lineRule="auto"/>
        <w:ind w:firstLine="720"/>
        <w:jc w:val="both"/>
        <w:rPr>
          <w:sz w:val="24"/>
          <w:szCs w:val="24"/>
        </w:rPr>
      </w:pPr>
      <w:r>
        <w:rPr>
          <w:sz w:val="24"/>
          <w:szCs w:val="24"/>
        </w:rPr>
        <w:t xml:space="preserve">But </w:t>
      </w:r>
      <w:r w:rsidR="00E86DD1" w:rsidRPr="00283147">
        <w:rPr>
          <w:i/>
          <w:iCs/>
          <w:sz w:val="24"/>
          <w:szCs w:val="24"/>
        </w:rPr>
        <w:t>Great Judgments</w:t>
      </w:r>
      <w:r w:rsidR="006A3D45">
        <w:rPr>
          <w:sz w:val="24"/>
          <w:szCs w:val="24"/>
        </w:rPr>
        <w:t xml:space="preserve"> </w:t>
      </w:r>
      <w:r>
        <w:rPr>
          <w:sz w:val="24"/>
          <w:szCs w:val="24"/>
        </w:rPr>
        <w:t xml:space="preserve">attempts to do </w:t>
      </w:r>
      <w:r w:rsidR="00BE344F">
        <w:rPr>
          <w:sz w:val="24"/>
          <w:szCs w:val="24"/>
        </w:rPr>
        <w:t xml:space="preserve">more than </w:t>
      </w:r>
      <w:r w:rsidR="001A414C">
        <w:rPr>
          <w:sz w:val="24"/>
          <w:szCs w:val="24"/>
        </w:rPr>
        <w:t>rethink</w:t>
      </w:r>
      <w:r w:rsidR="000D0355">
        <w:rPr>
          <w:sz w:val="24"/>
          <w:szCs w:val="24"/>
        </w:rPr>
        <w:t xml:space="preserve"> </w:t>
      </w:r>
      <w:r w:rsidR="00CD0546">
        <w:rPr>
          <w:sz w:val="24"/>
          <w:szCs w:val="24"/>
        </w:rPr>
        <w:t>entrenched s</w:t>
      </w:r>
      <w:r w:rsidR="000D0355">
        <w:rPr>
          <w:sz w:val="24"/>
          <w:szCs w:val="24"/>
        </w:rPr>
        <w:t>cholarly perspectives on</w:t>
      </w:r>
      <w:r w:rsidR="009D1EBE">
        <w:rPr>
          <w:sz w:val="24"/>
          <w:szCs w:val="24"/>
        </w:rPr>
        <w:t xml:space="preserve"> some of the Court’s</w:t>
      </w:r>
      <w:r w:rsidR="008B4A62">
        <w:rPr>
          <w:sz w:val="24"/>
          <w:szCs w:val="24"/>
        </w:rPr>
        <w:t xml:space="preserve"> </w:t>
      </w:r>
      <w:r w:rsidR="009D1EBE">
        <w:rPr>
          <w:sz w:val="24"/>
          <w:szCs w:val="24"/>
        </w:rPr>
        <w:t>most famous early</w:t>
      </w:r>
      <w:r w:rsidR="008B4A62">
        <w:rPr>
          <w:sz w:val="24"/>
          <w:szCs w:val="24"/>
        </w:rPr>
        <w:t xml:space="preserve"> decisions</w:t>
      </w:r>
      <w:r w:rsidR="006A3D45">
        <w:rPr>
          <w:sz w:val="24"/>
          <w:szCs w:val="24"/>
        </w:rPr>
        <w:t xml:space="preserve">. </w:t>
      </w:r>
      <w:r w:rsidR="001128A4">
        <w:rPr>
          <w:sz w:val="24"/>
          <w:szCs w:val="24"/>
        </w:rPr>
        <w:t>It goes further, defending a second</w:t>
      </w:r>
      <w:r w:rsidR="009D1EBE">
        <w:rPr>
          <w:sz w:val="24"/>
          <w:szCs w:val="24"/>
        </w:rPr>
        <w:t>,</w:t>
      </w:r>
      <w:r w:rsidR="001128A4">
        <w:rPr>
          <w:sz w:val="24"/>
          <w:szCs w:val="24"/>
        </w:rPr>
        <w:t xml:space="preserve"> more ambitious</w:t>
      </w:r>
      <w:r w:rsidR="008B4A62">
        <w:rPr>
          <w:sz w:val="24"/>
          <w:szCs w:val="24"/>
        </w:rPr>
        <w:t xml:space="preserve"> claim</w:t>
      </w:r>
      <w:r w:rsidR="001128A4">
        <w:rPr>
          <w:sz w:val="24"/>
          <w:szCs w:val="24"/>
        </w:rPr>
        <w:t xml:space="preserve">. </w:t>
      </w:r>
      <w:r w:rsidR="001B2297">
        <w:rPr>
          <w:sz w:val="24"/>
          <w:szCs w:val="24"/>
        </w:rPr>
        <w:t xml:space="preserve">Looking beyond the </w:t>
      </w:r>
      <w:r w:rsidR="00CD4262">
        <w:rPr>
          <w:sz w:val="24"/>
          <w:szCs w:val="24"/>
        </w:rPr>
        <w:t xml:space="preserve">text of individual judgments, </w:t>
      </w:r>
      <w:r w:rsidR="001128A4">
        <w:rPr>
          <w:sz w:val="24"/>
          <w:szCs w:val="24"/>
        </w:rPr>
        <w:t xml:space="preserve">Phelan </w:t>
      </w:r>
      <w:r w:rsidR="003815BC">
        <w:rPr>
          <w:sz w:val="24"/>
          <w:szCs w:val="24"/>
        </w:rPr>
        <w:lastRenderedPageBreak/>
        <w:t xml:space="preserve">argues </w:t>
      </w:r>
      <w:r w:rsidR="003B6C8B">
        <w:rPr>
          <w:sz w:val="24"/>
          <w:szCs w:val="24"/>
        </w:rPr>
        <w:t>that we may</w:t>
      </w:r>
      <w:r w:rsidR="005E6A7A">
        <w:rPr>
          <w:sz w:val="24"/>
          <w:szCs w:val="24"/>
        </w:rPr>
        <w:t xml:space="preserve"> largely</w:t>
      </w:r>
      <w:r w:rsidR="003B6C8B">
        <w:rPr>
          <w:sz w:val="24"/>
          <w:szCs w:val="24"/>
        </w:rPr>
        <w:t xml:space="preserve"> attribute </w:t>
      </w:r>
      <w:r w:rsidR="003815BC">
        <w:rPr>
          <w:sz w:val="24"/>
          <w:szCs w:val="24"/>
        </w:rPr>
        <w:t xml:space="preserve">the Court’s </w:t>
      </w:r>
      <w:r w:rsidR="00EC57E6">
        <w:rPr>
          <w:sz w:val="24"/>
          <w:szCs w:val="24"/>
        </w:rPr>
        <w:t>approach</w:t>
      </w:r>
      <w:r w:rsidR="007A0269">
        <w:rPr>
          <w:sz w:val="24"/>
          <w:szCs w:val="24"/>
        </w:rPr>
        <w:t xml:space="preserve"> to </w:t>
      </w:r>
      <w:r w:rsidR="00EC57E6">
        <w:rPr>
          <w:sz w:val="24"/>
          <w:szCs w:val="24"/>
        </w:rPr>
        <w:t>resolving</w:t>
      </w:r>
      <w:r w:rsidR="007A0269">
        <w:rPr>
          <w:sz w:val="24"/>
          <w:szCs w:val="24"/>
        </w:rPr>
        <w:t xml:space="preserve"> practical problems of inter-state trade relations</w:t>
      </w:r>
      <w:r w:rsidR="003B6C8B">
        <w:rPr>
          <w:sz w:val="24"/>
          <w:szCs w:val="24"/>
        </w:rPr>
        <w:t xml:space="preserve"> to one individual: the French lawyer and President of the Court of Justice (196</w:t>
      </w:r>
      <w:r w:rsidR="00AC4B50">
        <w:rPr>
          <w:sz w:val="24"/>
          <w:szCs w:val="24"/>
        </w:rPr>
        <w:t>7</w:t>
      </w:r>
      <w:r w:rsidR="00671B25">
        <w:rPr>
          <w:sz w:val="24"/>
          <w:szCs w:val="24"/>
        </w:rPr>
        <w:t>–</w:t>
      </w:r>
      <w:r w:rsidR="00AC4B50">
        <w:rPr>
          <w:sz w:val="24"/>
          <w:szCs w:val="24"/>
        </w:rPr>
        <w:t>19</w:t>
      </w:r>
      <w:r w:rsidR="00671B25">
        <w:rPr>
          <w:sz w:val="24"/>
          <w:szCs w:val="24"/>
        </w:rPr>
        <w:t>76</w:t>
      </w:r>
      <w:r w:rsidR="003B6C8B">
        <w:rPr>
          <w:sz w:val="24"/>
          <w:szCs w:val="24"/>
        </w:rPr>
        <w:t xml:space="preserve">), Robert Lecourt. Bold claims accompany </w:t>
      </w:r>
      <w:r w:rsidR="008A6F32">
        <w:rPr>
          <w:sz w:val="24"/>
          <w:szCs w:val="24"/>
        </w:rPr>
        <w:t>Lecourt’s</w:t>
      </w:r>
      <w:r w:rsidR="003B6C8B">
        <w:rPr>
          <w:sz w:val="24"/>
          <w:szCs w:val="24"/>
        </w:rPr>
        <w:t xml:space="preserve"> </w:t>
      </w:r>
      <w:r w:rsidR="00780592">
        <w:rPr>
          <w:sz w:val="24"/>
          <w:szCs w:val="24"/>
        </w:rPr>
        <w:t xml:space="preserve">featuring </w:t>
      </w:r>
      <w:r w:rsidR="003B6C8B">
        <w:rPr>
          <w:sz w:val="24"/>
          <w:szCs w:val="24"/>
        </w:rPr>
        <w:t>on the front cover of this new book. Phelan asserts that, ‘no other single judge has had such a profound influence on the development of European law’</w:t>
      </w:r>
      <w:r w:rsidR="00671B25">
        <w:rPr>
          <w:sz w:val="24"/>
          <w:szCs w:val="24"/>
        </w:rPr>
        <w:t xml:space="preserve"> (p. </w:t>
      </w:r>
      <w:r w:rsidR="00431D2C">
        <w:rPr>
          <w:sz w:val="24"/>
          <w:szCs w:val="24"/>
        </w:rPr>
        <w:t>5).</w:t>
      </w:r>
      <w:r w:rsidR="003B6C8B">
        <w:rPr>
          <w:sz w:val="24"/>
          <w:szCs w:val="24"/>
        </w:rPr>
        <w:t xml:space="preserve"> </w:t>
      </w:r>
      <w:r w:rsidR="00C6503F">
        <w:rPr>
          <w:sz w:val="24"/>
          <w:szCs w:val="24"/>
        </w:rPr>
        <w:t>In particular,</w:t>
      </w:r>
      <w:r w:rsidR="00EF1939">
        <w:rPr>
          <w:sz w:val="24"/>
          <w:szCs w:val="24"/>
        </w:rPr>
        <w:t xml:space="preserve"> it</w:t>
      </w:r>
      <w:r w:rsidR="00C6503F">
        <w:rPr>
          <w:sz w:val="24"/>
          <w:szCs w:val="24"/>
        </w:rPr>
        <w:t xml:space="preserve"> is</w:t>
      </w:r>
      <w:r w:rsidR="003B6C8B">
        <w:rPr>
          <w:sz w:val="24"/>
          <w:szCs w:val="24"/>
        </w:rPr>
        <w:t xml:space="preserve"> Lecourt</w:t>
      </w:r>
      <w:r w:rsidR="00780592">
        <w:rPr>
          <w:sz w:val="24"/>
          <w:szCs w:val="24"/>
        </w:rPr>
        <w:t>, we are told,</w:t>
      </w:r>
      <w:r w:rsidR="003B6C8B">
        <w:rPr>
          <w:sz w:val="24"/>
          <w:szCs w:val="24"/>
        </w:rPr>
        <w:t xml:space="preserve"> whom we must </w:t>
      </w:r>
      <w:r w:rsidR="00780592">
        <w:rPr>
          <w:sz w:val="24"/>
          <w:szCs w:val="24"/>
        </w:rPr>
        <w:t>credit</w:t>
      </w:r>
      <w:r w:rsidR="003B6C8B">
        <w:rPr>
          <w:sz w:val="24"/>
          <w:szCs w:val="24"/>
        </w:rPr>
        <w:t xml:space="preserve"> for pioneering the revisionist account of the Court’s jurisprudence on direct effect and </w:t>
      </w:r>
      <w:r w:rsidR="004C40E3">
        <w:rPr>
          <w:sz w:val="24"/>
          <w:szCs w:val="24"/>
        </w:rPr>
        <w:t>primacy</w:t>
      </w:r>
      <w:r w:rsidR="003B6C8B">
        <w:rPr>
          <w:sz w:val="24"/>
          <w:szCs w:val="24"/>
        </w:rPr>
        <w:t xml:space="preserve"> that </w:t>
      </w:r>
      <w:r w:rsidR="001B4476">
        <w:rPr>
          <w:sz w:val="24"/>
          <w:szCs w:val="24"/>
        </w:rPr>
        <w:t>underpins</w:t>
      </w:r>
      <w:r w:rsidR="003B6C8B">
        <w:rPr>
          <w:sz w:val="24"/>
          <w:szCs w:val="24"/>
        </w:rPr>
        <w:t xml:space="preserve"> </w:t>
      </w:r>
      <w:r w:rsidR="00CD4262" w:rsidRPr="00283147">
        <w:rPr>
          <w:i/>
          <w:iCs/>
          <w:sz w:val="24"/>
          <w:szCs w:val="24"/>
        </w:rPr>
        <w:t>Great Judgments</w:t>
      </w:r>
      <w:r w:rsidR="00CD4262">
        <w:rPr>
          <w:sz w:val="24"/>
          <w:szCs w:val="24"/>
        </w:rPr>
        <w:t>.</w:t>
      </w:r>
    </w:p>
    <w:p w14:paraId="7E5FD8D8" w14:textId="0BF52E03" w:rsidR="00067547" w:rsidRDefault="0028079A" w:rsidP="003C1CDA">
      <w:pPr>
        <w:spacing w:line="360" w:lineRule="auto"/>
        <w:jc w:val="both"/>
        <w:rPr>
          <w:sz w:val="24"/>
          <w:szCs w:val="24"/>
        </w:rPr>
      </w:pPr>
      <w:r>
        <w:rPr>
          <w:sz w:val="24"/>
          <w:szCs w:val="24"/>
        </w:rPr>
        <w:tab/>
      </w:r>
      <w:r w:rsidR="006E5D0A">
        <w:rPr>
          <w:sz w:val="24"/>
          <w:szCs w:val="24"/>
        </w:rPr>
        <w:t xml:space="preserve">In </w:t>
      </w:r>
      <w:r w:rsidR="002069D5">
        <w:rPr>
          <w:sz w:val="24"/>
          <w:szCs w:val="24"/>
        </w:rPr>
        <w:t>attempting</w:t>
      </w:r>
      <w:r w:rsidR="006E5D0A">
        <w:rPr>
          <w:sz w:val="24"/>
          <w:szCs w:val="24"/>
        </w:rPr>
        <w:t xml:space="preserve"> to </w:t>
      </w:r>
      <w:r w:rsidR="00BA6CAD">
        <w:rPr>
          <w:sz w:val="24"/>
          <w:szCs w:val="24"/>
        </w:rPr>
        <w:t>rethink</w:t>
      </w:r>
      <w:r w:rsidR="006E5D0A">
        <w:rPr>
          <w:sz w:val="24"/>
          <w:szCs w:val="24"/>
        </w:rPr>
        <w:t xml:space="preserve"> established narratives, whilst simultaneously exploring the writings of influential legal</w:t>
      </w:r>
      <w:r w:rsidR="00BA1F5E">
        <w:rPr>
          <w:sz w:val="24"/>
          <w:szCs w:val="24"/>
        </w:rPr>
        <w:t xml:space="preserve"> figures, </w:t>
      </w:r>
      <w:r w:rsidR="00415396" w:rsidRPr="00A76C8D">
        <w:rPr>
          <w:i/>
          <w:iCs/>
          <w:sz w:val="24"/>
          <w:szCs w:val="24"/>
        </w:rPr>
        <w:t>Great Judgments</w:t>
      </w:r>
      <w:r w:rsidR="00415396">
        <w:rPr>
          <w:sz w:val="24"/>
          <w:szCs w:val="24"/>
        </w:rPr>
        <w:t xml:space="preserve"> </w:t>
      </w:r>
      <w:r w:rsidR="00A76C8D">
        <w:rPr>
          <w:sz w:val="24"/>
          <w:szCs w:val="24"/>
        </w:rPr>
        <w:t>is</w:t>
      </w:r>
      <w:r w:rsidR="00342731">
        <w:rPr>
          <w:sz w:val="24"/>
          <w:szCs w:val="24"/>
        </w:rPr>
        <w:t xml:space="preserve"> at the vanguard of contemporary studies of the Court of Justice</w:t>
      </w:r>
      <w:r w:rsidR="00E0187F">
        <w:rPr>
          <w:sz w:val="24"/>
          <w:szCs w:val="24"/>
        </w:rPr>
        <w:t xml:space="preserve"> and the EU legal order more broadly. Recent </w:t>
      </w:r>
      <w:r w:rsidR="00A76C8D">
        <w:rPr>
          <w:sz w:val="24"/>
          <w:szCs w:val="24"/>
        </w:rPr>
        <w:t xml:space="preserve">years have witnessed </w:t>
      </w:r>
      <w:r w:rsidR="00A62E6B">
        <w:rPr>
          <w:sz w:val="24"/>
          <w:szCs w:val="24"/>
        </w:rPr>
        <w:t xml:space="preserve">a renewal of interest among </w:t>
      </w:r>
      <w:r w:rsidR="006868FA">
        <w:rPr>
          <w:sz w:val="24"/>
          <w:szCs w:val="24"/>
        </w:rPr>
        <w:t xml:space="preserve">lawyers, political scientists and legal historians in </w:t>
      </w:r>
      <w:r w:rsidR="000130E5">
        <w:rPr>
          <w:sz w:val="24"/>
          <w:szCs w:val="24"/>
        </w:rPr>
        <w:t>the</w:t>
      </w:r>
      <w:r w:rsidR="003B2BFB">
        <w:rPr>
          <w:sz w:val="24"/>
          <w:szCs w:val="24"/>
        </w:rPr>
        <w:t xml:space="preserve"> Court</w:t>
      </w:r>
      <w:r w:rsidR="009C08FA">
        <w:rPr>
          <w:sz w:val="24"/>
          <w:szCs w:val="24"/>
        </w:rPr>
        <w:t>, including</w:t>
      </w:r>
      <w:r w:rsidR="003B2BFB">
        <w:rPr>
          <w:sz w:val="24"/>
          <w:szCs w:val="24"/>
        </w:rPr>
        <w:t xml:space="preserve"> its early workings</w:t>
      </w:r>
      <w:r w:rsidR="00F766DB">
        <w:rPr>
          <w:sz w:val="24"/>
          <w:szCs w:val="24"/>
        </w:rPr>
        <w:t>.</w:t>
      </w:r>
      <w:r w:rsidR="00281289">
        <w:rPr>
          <w:rStyle w:val="FootnoteReference"/>
          <w:sz w:val="24"/>
          <w:szCs w:val="24"/>
        </w:rPr>
        <w:footnoteReference w:id="10"/>
      </w:r>
      <w:r w:rsidR="0046271D">
        <w:rPr>
          <w:sz w:val="24"/>
          <w:szCs w:val="24"/>
        </w:rPr>
        <w:t xml:space="preserve"> Like Phelan’s book, </w:t>
      </w:r>
      <w:r w:rsidR="00EF2BAB">
        <w:rPr>
          <w:sz w:val="24"/>
          <w:szCs w:val="24"/>
        </w:rPr>
        <w:t xml:space="preserve">much </w:t>
      </w:r>
      <w:r w:rsidR="0046271D">
        <w:rPr>
          <w:sz w:val="24"/>
          <w:szCs w:val="24"/>
        </w:rPr>
        <w:t>of this work</w:t>
      </w:r>
      <w:r w:rsidR="00637AEB">
        <w:rPr>
          <w:sz w:val="24"/>
          <w:szCs w:val="24"/>
        </w:rPr>
        <w:t xml:space="preserve"> </w:t>
      </w:r>
      <w:r w:rsidR="00464944">
        <w:rPr>
          <w:sz w:val="24"/>
          <w:szCs w:val="24"/>
        </w:rPr>
        <w:t>responds to</w:t>
      </w:r>
      <w:r w:rsidR="00637AEB">
        <w:rPr>
          <w:sz w:val="24"/>
          <w:szCs w:val="24"/>
        </w:rPr>
        <w:t xml:space="preserve"> </w:t>
      </w:r>
      <w:r w:rsidR="00296002">
        <w:rPr>
          <w:sz w:val="24"/>
          <w:szCs w:val="24"/>
        </w:rPr>
        <w:t>that powerful</w:t>
      </w:r>
      <w:r w:rsidR="00637AEB">
        <w:rPr>
          <w:sz w:val="24"/>
          <w:szCs w:val="24"/>
        </w:rPr>
        <w:t xml:space="preserve"> intellectual </w:t>
      </w:r>
      <w:r w:rsidR="00464944">
        <w:rPr>
          <w:sz w:val="24"/>
          <w:szCs w:val="24"/>
        </w:rPr>
        <w:t>urge</w:t>
      </w:r>
      <w:r w:rsidR="00637AEB">
        <w:rPr>
          <w:sz w:val="24"/>
          <w:szCs w:val="24"/>
        </w:rPr>
        <w:t xml:space="preserve"> periodically to revisit</w:t>
      </w:r>
      <w:r w:rsidR="00BD2EEE">
        <w:rPr>
          <w:sz w:val="24"/>
          <w:szCs w:val="24"/>
        </w:rPr>
        <w:t xml:space="preserve"> apparently settled narratives. </w:t>
      </w:r>
      <w:r w:rsidR="007265C0">
        <w:rPr>
          <w:sz w:val="24"/>
          <w:szCs w:val="24"/>
        </w:rPr>
        <w:t xml:space="preserve">In contrast to </w:t>
      </w:r>
      <w:r w:rsidR="007265C0" w:rsidRPr="0046197B">
        <w:rPr>
          <w:i/>
          <w:iCs/>
          <w:sz w:val="24"/>
          <w:szCs w:val="24"/>
        </w:rPr>
        <w:t>Great Judgments</w:t>
      </w:r>
      <w:r w:rsidR="007265C0">
        <w:rPr>
          <w:sz w:val="24"/>
          <w:szCs w:val="24"/>
        </w:rPr>
        <w:t xml:space="preserve">, however, </w:t>
      </w:r>
      <w:r w:rsidR="00EF2BAB">
        <w:rPr>
          <w:sz w:val="24"/>
          <w:szCs w:val="24"/>
        </w:rPr>
        <w:t>strands</w:t>
      </w:r>
      <w:r w:rsidR="00B82632">
        <w:rPr>
          <w:sz w:val="24"/>
          <w:szCs w:val="24"/>
        </w:rPr>
        <w:t xml:space="preserve"> of this</w:t>
      </w:r>
      <w:r w:rsidR="0037699D">
        <w:rPr>
          <w:sz w:val="24"/>
          <w:szCs w:val="24"/>
        </w:rPr>
        <w:t xml:space="preserve"> emerging body of research</w:t>
      </w:r>
      <w:r w:rsidR="00B15FDC">
        <w:rPr>
          <w:sz w:val="24"/>
          <w:szCs w:val="24"/>
        </w:rPr>
        <w:t xml:space="preserve"> </w:t>
      </w:r>
      <w:r w:rsidR="00EF2BAB">
        <w:rPr>
          <w:sz w:val="24"/>
          <w:szCs w:val="24"/>
        </w:rPr>
        <w:t>are</w:t>
      </w:r>
      <w:r w:rsidR="00363B4E">
        <w:rPr>
          <w:sz w:val="24"/>
          <w:szCs w:val="24"/>
        </w:rPr>
        <w:t xml:space="preserve"> also</w:t>
      </w:r>
      <w:r w:rsidR="000E7FE6">
        <w:rPr>
          <w:sz w:val="24"/>
          <w:szCs w:val="24"/>
        </w:rPr>
        <w:t xml:space="preserve"> </w:t>
      </w:r>
      <w:r w:rsidR="00363B4E">
        <w:rPr>
          <w:sz w:val="24"/>
          <w:szCs w:val="24"/>
        </w:rPr>
        <w:t>more</w:t>
      </w:r>
      <w:r w:rsidR="00B15FDC">
        <w:rPr>
          <w:sz w:val="24"/>
          <w:szCs w:val="24"/>
        </w:rPr>
        <w:t xml:space="preserve"> critical in places, </w:t>
      </w:r>
      <w:r w:rsidR="00675CA6">
        <w:rPr>
          <w:sz w:val="24"/>
          <w:szCs w:val="24"/>
        </w:rPr>
        <w:t xml:space="preserve">introducing </w:t>
      </w:r>
      <w:r w:rsidR="00037B63">
        <w:rPr>
          <w:sz w:val="24"/>
          <w:szCs w:val="24"/>
        </w:rPr>
        <w:t xml:space="preserve">discomfort into </w:t>
      </w:r>
      <w:r w:rsidR="00A2092F">
        <w:rPr>
          <w:sz w:val="24"/>
          <w:szCs w:val="24"/>
        </w:rPr>
        <w:t xml:space="preserve">dominant accounts of </w:t>
      </w:r>
      <w:r w:rsidR="005D2CFC">
        <w:rPr>
          <w:sz w:val="24"/>
          <w:szCs w:val="24"/>
        </w:rPr>
        <w:t>progre</w:t>
      </w:r>
      <w:r w:rsidR="00633E34">
        <w:rPr>
          <w:sz w:val="24"/>
          <w:szCs w:val="24"/>
        </w:rPr>
        <w:t>ssive</w:t>
      </w:r>
      <w:r w:rsidR="00C46CDF">
        <w:rPr>
          <w:sz w:val="24"/>
          <w:szCs w:val="24"/>
        </w:rPr>
        <w:t xml:space="preserve"> </w:t>
      </w:r>
      <w:r w:rsidR="00633E34">
        <w:rPr>
          <w:sz w:val="24"/>
          <w:szCs w:val="24"/>
        </w:rPr>
        <w:t>post-War</w:t>
      </w:r>
      <w:r w:rsidR="00DA5BD1">
        <w:rPr>
          <w:sz w:val="24"/>
          <w:szCs w:val="24"/>
        </w:rPr>
        <w:t xml:space="preserve"> liberal </w:t>
      </w:r>
      <w:r w:rsidR="00633E34">
        <w:rPr>
          <w:sz w:val="24"/>
          <w:szCs w:val="24"/>
        </w:rPr>
        <w:t>European politics.</w:t>
      </w:r>
      <w:r w:rsidR="00581428">
        <w:rPr>
          <w:rStyle w:val="FootnoteReference"/>
          <w:sz w:val="24"/>
          <w:szCs w:val="24"/>
        </w:rPr>
        <w:footnoteReference w:id="11"/>
      </w:r>
      <w:r w:rsidR="000B66AC">
        <w:rPr>
          <w:sz w:val="24"/>
          <w:szCs w:val="24"/>
        </w:rPr>
        <w:t xml:space="preserve"> </w:t>
      </w:r>
      <w:r w:rsidR="00540CC4">
        <w:rPr>
          <w:sz w:val="24"/>
          <w:szCs w:val="24"/>
        </w:rPr>
        <w:t>The</w:t>
      </w:r>
      <w:r w:rsidR="000B66AC">
        <w:rPr>
          <w:sz w:val="24"/>
          <w:szCs w:val="24"/>
        </w:rPr>
        <w:t xml:space="preserve"> new wave </w:t>
      </w:r>
      <w:r w:rsidR="00C90E37">
        <w:rPr>
          <w:sz w:val="24"/>
          <w:szCs w:val="24"/>
        </w:rPr>
        <w:t xml:space="preserve">is yet to break, and we may look forward to further </w:t>
      </w:r>
      <w:r w:rsidR="00B71623">
        <w:rPr>
          <w:sz w:val="24"/>
          <w:szCs w:val="24"/>
        </w:rPr>
        <w:t xml:space="preserve">intellectual </w:t>
      </w:r>
      <w:r w:rsidR="00C90E37">
        <w:rPr>
          <w:sz w:val="24"/>
          <w:szCs w:val="24"/>
        </w:rPr>
        <w:t>contributions</w:t>
      </w:r>
      <w:r w:rsidR="00540CC4">
        <w:rPr>
          <w:sz w:val="24"/>
          <w:szCs w:val="24"/>
        </w:rPr>
        <w:t>.</w:t>
      </w:r>
      <w:r w:rsidR="00F766DB">
        <w:rPr>
          <w:sz w:val="24"/>
          <w:szCs w:val="24"/>
        </w:rPr>
        <w:t xml:space="preserve"> </w:t>
      </w:r>
      <w:r w:rsidR="001B376F">
        <w:rPr>
          <w:sz w:val="24"/>
          <w:szCs w:val="24"/>
        </w:rPr>
        <w:t>For legal historians, in particular, t</w:t>
      </w:r>
      <w:r w:rsidR="00F766DB">
        <w:rPr>
          <w:sz w:val="24"/>
          <w:szCs w:val="24"/>
        </w:rPr>
        <w:t xml:space="preserve">he </w:t>
      </w:r>
      <w:r w:rsidR="00DB09BF">
        <w:rPr>
          <w:sz w:val="24"/>
          <w:szCs w:val="24"/>
        </w:rPr>
        <w:t xml:space="preserve">Luxembourg Court’s decision </w:t>
      </w:r>
      <w:r w:rsidR="003C1CDA">
        <w:rPr>
          <w:sz w:val="24"/>
          <w:szCs w:val="24"/>
        </w:rPr>
        <w:t xml:space="preserve">to provide public access to its archives through </w:t>
      </w:r>
      <w:r w:rsidR="003C1CDA" w:rsidRPr="003C1CDA">
        <w:rPr>
          <w:sz w:val="24"/>
          <w:szCs w:val="24"/>
        </w:rPr>
        <w:t>the Historical Archives of the European Union (European University Institute)</w:t>
      </w:r>
      <w:r w:rsidR="003C1CDA">
        <w:rPr>
          <w:sz w:val="24"/>
          <w:szCs w:val="24"/>
        </w:rPr>
        <w:t xml:space="preserve"> will</w:t>
      </w:r>
      <w:r w:rsidR="001B376F">
        <w:rPr>
          <w:sz w:val="24"/>
          <w:szCs w:val="24"/>
        </w:rPr>
        <w:t xml:space="preserve">, no doubt, provide </w:t>
      </w:r>
      <w:r w:rsidR="00041BA8">
        <w:rPr>
          <w:sz w:val="24"/>
          <w:szCs w:val="24"/>
        </w:rPr>
        <w:t>a rich</w:t>
      </w:r>
      <w:r w:rsidR="001B376F">
        <w:rPr>
          <w:sz w:val="24"/>
          <w:szCs w:val="24"/>
        </w:rPr>
        <w:t xml:space="preserve"> new</w:t>
      </w:r>
      <w:r w:rsidR="00041BA8">
        <w:rPr>
          <w:sz w:val="24"/>
          <w:szCs w:val="24"/>
        </w:rPr>
        <w:t xml:space="preserve"> source of</w:t>
      </w:r>
      <w:r w:rsidR="001B376F">
        <w:rPr>
          <w:sz w:val="24"/>
          <w:szCs w:val="24"/>
        </w:rPr>
        <w:t xml:space="preserve"> </w:t>
      </w:r>
      <w:r w:rsidR="00041BA8">
        <w:rPr>
          <w:sz w:val="24"/>
          <w:szCs w:val="24"/>
        </w:rPr>
        <w:t xml:space="preserve">data for </w:t>
      </w:r>
      <w:r w:rsidR="00540CC4">
        <w:rPr>
          <w:sz w:val="24"/>
          <w:szCs w:val="24"/>
        </w:rPr>
        <w:t>future</w:t>
      </w:r>
      <w:r w:rsidR="00041BA8">
        <w:rPr>
          <w:sz w:val="24"/>
          <w:szCs w:val="24"/>
        </w:rPr>
        <w:t xml:space="preserve"> research.</w:t>
      </w:r>
      <w:r w:rsidR="00A73015">
        <w:rPr>
          <w:rStyle w:val="FootnoteReference"/>
          <w:sz w:val="24"/>
          <w:szCs w:val="24"/>
        </w:rPr>
        <w:footnoteReference w:id="12"/>
      </w:r>
      <w:r w:rsidR="00041BA8">
        <w:rPr>
          <w:sz w:val="24"/>
          <w:szCs w:val="24"/>
        </w:rPr>
        <w:t xml:space="preserve"> </w:t>
      </w:r>
    </w:p>
    <w:p w14:paraId="18115D86" w14:textId="566C8688" w:rsidR="00B5291F" w:rsidRDefault="005E5F4A" w:rsidP="00F253F4">
      <w:pPr>
        <w:spacing w:line="360" w:lineRule="auto"/>
        <w:ind w:firstLine="720"/>
        <w:jc w:val="both"/>
        <w:rPr>
          <w:sz w:val="24"/>
          <w:szCs w:val="24"/>
        </w:rPr>
      </w:pPr>
      <w:r>
        <w:rPr>
          <w:sz w:val="24"/>
          <w:szCs w:val="24"/>
        </w:rPr>
        <w:lastRenderedPageBreak/>
        <w:t xml:space="preserve">But </w:t>
      </w:r>
      <w:r w:rsidR="009C08FA" w:rsidRPr="005048FA">
        <w:rPr>
          <w:i/>
          <w:iCs/>
          <w:sz w:val="24"/>
          <w:szCs w:val="24"/>
        </w:rPr>
        <w:t xml:space="preserve">Great </w:t>
      </w:r>
      <w:r w:rsidR="00067547" w:rsidRPr="005048FA">
        <w:rPr>
          <w:i/>
          <w:iCs/>
          <w:sz w:val="24"/>
          <w:szCs w:val="24"/>
        </w:rPr>
        <w:t>Judgments</w:t>
      </w:r>
      <w:r w:rsidR="00067547">
        <w:rPr>
          <w:sz w:val="24"/>
          <w:szCs w:val="24"/>
        </w:rPr>
        <w:t xml:space="preserve"> is not a work of legal history. Nor is it</w:t>
      </w:r>
      <w:r w:rsidR="00E80770">
        <w:rPr>
          <w:sz w:val="24"/>
          <w:szCs w:val="24"/>
        </w:rPr>
        <w:t>, methodologically,</w:t>
      </w:r>
      <w:r w:rsidR="0038504E">
        <w:rPr>
          <w:sz w:val="24"/>
          <w:szCs w:val="24"/>
        </w:rPr>
        <w:t xml:space="preserve"> </w:t>
      </w:r>
      <w:r w:rsidR="00515AAC">
        <w:rPr>
          <w:sz w:val="24"/>
          <w:szCs w:val="24"/>
        </w:rPr>
        <w:t>a</w:t>
      </w:r>
      <w:r w:rsidR="00067547">
        <w:rPr>
          <w:sz w:val="24"/>
          <w:szCs w:val="24"/>
        </w:rPr>
        <w:t xml:space="preserve"> </w:t>
      </w:r>
      <w:r w:rsidR="003611CA">
        <w:rPr>
          <w:sz w:val="24"/>
          <w:szCs w:val="24"/>
        </w:rPr>
        <w:t xml:space="preserve">particularly </w:t>
      </w:r>
      <w:r w:rsidR="00982D27">
        <w:rPr>
          <w:sz w:val="24"/>
          <w:szCs w:val="24"/>
        </w:rPr>
        <w:t>robust example of</w:t>
      </w:r>
      <w:r w:rsidR="00FA484E">
        <w:rPr>
          <w:sz w:val="24"/>
          <w:szCs w:val="24"/>
        </w:rPr>
        <w:t xml:space="preserve"> comparative </w:t>
      </w:r>
      <w:r w:rsidR="00982D27">
        <w:rPr>
          <w:sz w:val="24"/>
          <w:szCs w:val="24"/>
        </w:rPr>
        <w:t>legal research</w:t>
      </w:r>
      <w:r w:rsidR="00535CCD">
        <w:rPr>
          <w:sz w:val="24"/>
          <w:szCs w:val="24"/>
        </w:rPr>
        <w:t xml:space="preserve"> (</w:t>
      </w:r>
      <w:r w:rsidR="009C1921" w:rsidRPr="009C1921">
        <w:rPr>
          <w:i/>
          <w:iCs/>
          <w:sz w:val="24"/>
          <w:szCs w:val="24"/>
        </w:rPr>
        <w:t>Great Judgments</w:t>
      </w:r>
      <w:r w:rsidR="009C1921">
        <w:rPr>
          <w:sz w:val="24"/>
          <w:szCs w:val="24"/>
        </w:rPr>
        <w:t xml:space="preserve"> is </w:t>
      </w:r>
      <w:r w:rsidR="00142DA9">
        <w:rPr>
          <w:sz w:val="24"/>
          <w:szCs w:val="24"/>
        </w:rPr>
        <w:t>framed</w:t>
      </w:r>
      <w:r w:rsidR="009C1921">
        <w:rPr>
          <w:sz w:val="24"/>
          <w:szCs w:val="24"/>
        </w:rPr>
        <w:t xml:space="preserve"> as a comparative </w:t>
      </w:r>
      <w:r w:rsidR="00142DA9">
        <w:rPr>
          <w:sz w:val="24"/>
          <w:szCs w:val="24"/>
        </w:rPr>
        <w:t>study</w:t>
      </w:r>
      <w:r w:rsidR="009C1921">
        <w:rPr>
          <w:sz w:val="24"/>
          <w:szCs w:val="24"/>
        </w:rPr>
        <w:t>)</w:t>
      </w:r>
      <w:r w:rsidR="00982D27">
        <w:rPr>
          <w:sz w:val="24"/>
          <w:szCs w:val="24"/>
        </w:rPr>
        <w:t>.</w:t>
      </w:r>
      <w:r w:rsidR="00573B13">
        <w:rPr>
          <w:rStyle w:val="FootnoteReference"/>
          <w:sz w:val="24"/>
          <w:szCs w:val="24"/>
        </w:rPr>
        <w:footnoteReference w:id="13"/>
      </w:r>
      <w:r w:rsidR="00982D27">
        <w:rPr>
          <w:sz w:val="24"/>
          <w:szCs w:val="24"/>
        </w:rPr>
        <w:t xml:space="preserve"> It remains principally a doctrinal legal analysis of the</w:t>
      </w:r>
      <w:r w:rsidR="005048FA">
        <w:rPr>
          <w:sz w:val="24"/>
          <w:szCs w:val="24"/>
        </w:rPr>
        <w:t xml:space="preserve"> Court of Justice’s</w:t>
      </w:r>
      <w:r w:rsidR="00982D27">
        <w:rPr>
          <w:sz w:val="24"/>
          <w:szCs w:val="24"/>
        </w:rPr>
        <w:t xml:space="preserve"> case law. As illuminating as they are, the historical and</w:t>
      </w:r>
      <w:r w:rsidR="007B7ED3">
        <w:rPr>
          <w:sz w:val="24"/>
          <w:szCs w:val="24"/>
        </w:rPr>
        <w:t xml:space="preserve"> comparative dimensions</w:t>
      </w:r>
      <w:r w:rsidR="00982D27">
        <w:rPr>
          <w:sz w:val="24"/>
          <w:szCs w:val="24"/>
        </w:rPr>
        <w:t xml:space="preserve"> </w:t>
      </w:r>
      <w:r w:rsidR="007B7ED3">
        <w:rPr>
          <w:sz w:val="24"/>
          <w:szCs w:val="24"/>
        </w:rPr>
        <w:t xml:space="preserve">of </w:t>
      </w:r>
      <w:r w:rsidR="005048FA">
        <w:rPr>
          <w:sz w:val="24"/>
          <w:szCs w:val="24"/>
        </w:rPr>
        <w:t>Phelan’s</w:t>
      </w:r>
      <w:r w:rsidR="007B7ED3">
        <w:rPr>
          <w:sz w:val="24"/>
          <w:szCs w:val="24"/>
        </w:rPr>
        <w:t xml:space="preserve"> book</w:t>
      </w:r>
      <w:r w:rsidR="005048FA">
        <w:rPr>
          <w:sz w:val="24"/>
          <w:szCs w:val="24"/>
        </w:rPr>
        <w:t xml:space="preserve"> </w:t>
      </w:r>
      <w:r w:rsidR="00860F64">
        <w:rPr>
          <w:sz w:val="24"/>
          <w:szCs w:val="24"/>
        </w:rPr>
        <w:t xml:space="preserve">essentially </w:t>
      </w:r>
      <w:r w:rsidR="00F253F4">
        <w:rPr>
          <w:sz w:val="24"/>
          <w:szCs w:val="24"/>
        </w:rPr>
        <w:t>provide a deeper and enriching context to support</w:t>
      </w:r>
      <w:r w:rsidR="005048FA">
        <w:rPr>
          <w:sz w:val="24"/>
          <w:szCs w:val="24"/>
        </w:rPr>
        <w:t xml:space="preserve"> the core argument</w:t>
      </w:r>
      <w:r w:rsidR="00B7277A">
        <w:rPr>
          <w:sz w:val="24"/>
          <w:szCs w:val="24"/>
        </w:rPr>
        <w:t xml:space="preserve">. </w:t>
      </w:r>
      <w:r w:rsidR="00B5291F">
        <w:rPr>
          <w:sz w:val="24"/>
          <w:szCs w:val="24"/>
        </w:rPr>
        <w:t xml:space="preserve">The question, of course, </w:t>
      </w:r>
      <w:r w:rsidR="004263A9">
        <w:rPr>
          <w:sz w:val="24"/>
          <w:szCs w:val="24"/>
        </w:rPr>
        <w:t xml:space="preserve">is </w:t>
      </w:r>
      <w:r w:rsidR="00B5291F">
        <w:rPr>
          <w:sz w:val="24"/>
          <w:szCs w:val="24"/>
        </w:rPr>
        <w:t>whether this fusion of doctrinal analysis and deeper context</w:t>
      </w:r>
      <w:r w:rsidR="004263A9">
        <w:rPr>
          <w:sz w:val="24"/>
          <w:szCs w:val="24"/>
        </w:rPr>
        <w:t xml:space="preserve"> succeeds in its ambition to</w:t>
      </w:r>
      <w:r w:rsidR="00FF77E0">
        <w:rPr>
          <w:sz w:val="24"/>
          <w:szCs w:val="24"/>
        </w:rPr>
        <w:t xml:space="preserve"> make us</w:t>
      </w:r>
      <w:r w:rsidR="004263A9">
        <w:rPr>
          <w:sz w:val="24"/>
          <w:szCs w:val="24"/>
        </w:rPr>
        <w:t xml:space="preserve"> ‘rethink’ our understanding of</w:t>
      </w:r>
      <w:r w:rsidR="00FF77E0">
        <w:rPr>
          <w:sz w:val="24"/>
          <w:szCs w:val="24"/>
        </w:rPr>
        <w:t xml:space="preserve"> the Court of Justice’s early case law on direct effect and </w:t>
      </w:r>
      <w:r w:rsidR="004C40E3">
        <w:rPr>
          <w:sz w:val="24"/>
          <w:szCs w:val="24"/>
        </w:rPr>
        <w:t>primacy</w:t>
      </w:r>
      <w:r w:rsidR="00700C05">
        <w:rPr>
          <w:sz w:val="24"/>
          <w:szCs w:val="24"/>
        </w:rPr>
        <w:t>?</w:t>
      </w:r>
      <w:r w:rsidR="00FF77E0">
        <w:rPr>
          <w:sz w:val="24"/>
          <w:szCs w:val="24"/>
        </w:rPr>
        <w:t xml:space="preserve"> And, to the extent that it does, we may also legitimately as</w:t>
      </w:r>
      <w:r w:rsidR="00DE7032">
        <w:rPr>
          <w:sz w:val="24"/>
          <w:szCs w:val="24"/>
        </w:rPr>
        <w:t xml:space="preserve">k what added value follows </w:t>
      </w:r>
      <w:r w:rsidR="005F4117">
        <w:rPr>
          <w:sz w:val="24"/>
          <w:szCs w:val="24"/>
        </w:rPr>
        <w:t>in result</w:t>
      </w:r>
      <w:r w:rsidR="00700C05">
        <w:rPr>
          <w:sz w:val="24"/>
          <w:szCs w:val="24"/>
        </w:rPr>
        <w:t xml:space="preserve">? </w:t>
      </w:r>
      <w:r w:rsidR="005F4117">
        <w:rPr>
          <w:sz w:val="24"/>
          <w:szCs w:val="24"/>
        </w:rPr>
        <w:t>Legal scholars ought to do more than scratch itches.</w:t>
      </w:r>
      <w:r w:rsidR="00414E2E">
        <w:rPr>
          <w:sz w:val="24"/>
          <w:szCs w:val="24"/>
        </w:rPr>
        <w:t xml:space="preserve"> </w:t>
      </w:r>
    </w:p>
    <w:p w14:paraId="2C025F1B" w14:textId="54E3E8B5" w:rsidR="00BE344F" w:rsidRPr="009573E8" w:rsidRDefault="00C56AC3" w:rsidP="00BE344F">
      <w:pPr>
        <w:spacing w:line="360" w:lineRule="auto"/>
        <w:jc w:val="both"/>
        <w:rPr>
          <w:b/>
          <w:sz w:val="28"/>
          <w:szCs w:val="28"/>
        </w:rPr>
      </w:pPr>
      <w:r w:rsidRPr="009573E8">
        <w:rPr>
          <w:b/>
          <w:sz w:val="28"/>
          <w:szCs w:val="28"/>
        </w:rPr>
        <w:t>A C</w:t>
      </w:r>
      <w:r w:rsidR="000B64CA" w:rsidRPr="009573E8">
        <w:rPr>
          <w:b/>
          <w:sz w:val="28"/>
          <w:szCs w:val="28"/>
        </w:rPr>
        <w:t xml:space="preserve">onceptual </w:t>
      </w:r>
      <w:r w:rsidRPr="009573E8">
        <w:rPr>
          <w:b/>
          <w:sz w:val="28"/>
          <w:szCs w:val="28"/>
        </w:rPr>
        <w:t>Turn</w:t>
      </w:r>
    </w:p>
    <w:p w14:paraId="3A0B8C59" w14:textId="145F4437" w:rsidR="00E80631" w:rsidRDefault="000B64CA" w:rsidP="00FF5374">
      <w:pPr>
        <w:spacing w:line="360" w:lineRule="auto"/>
        <w:jc w:val="both"/>
        <w:rPr>
          <w:sz w:val="24"/>
          <w:szCs w:val="24"/>
        </w:rPr>
      </w:pPr>
      <w:r>
        <w:rPr>
          <w:sz w:val="24"/>
          <w:szCs w:val="24"/>
        </w:rPr>
        <w:t>A</w:t>
      </w:r>
      <w:r w:rsidR="00E47A85">
        <w:rPr>
          <w:sz w:val="24"/>
          <w:szCs w:val="24"/>
        </w:rPr>
        <w:t>n immediately</w:t>
      </w:r>
      <w:r>
        <w:rPr>
          <w:sz w:val="24"/>
          <w:szCs w:val="24"/>
        </w:rPr>
        <w:t xml:space="preserve"> striking feature of </w:t>
      </w:r>
      <w:r w:rsidRPr="005F339D">
        <w:rPr>
          <w:i/>
          <w:iCs/>
          <w:sz w:val="24"/>
          <w:szCs w:val="24"/>
        </w:rPr>
        <w:t>Great Judgments</w:t>
      </w:r>
      <w:r>
        <w:rPr>
          <w:sz w:val="24"/>
          <w:szCs w:val="24"/>
        </w:rPr>
        <w:t xml:space="preserve"> is its pivot to international</w:t>
      </w:r>
      <w:r w:rsidR="004249D7">
        <w:rPr>
          <w:sz w:val="24"/>
          <w:szCs w:val="24"/>
        </w:rPr>
        <w:t xml:space="preserve"> law </w:t>
      </w:r>
      <w:r w:rsidR="0047334A">
        <w:rPr>
          <w:sz w:val="24"/>
          <w:szCs w:val="24"/>
        </w:rPr>
        <w:t>to provide</w:t>
      </w:r>
      <w:r w:rsidR="004E220B">
        <w:rPr>
          <w:sz w:val="24"/>
          <w:szCs w:val="24"/>
        </w:rPr>
        <w:t xml:space="preserve"> a </w:t>
      </w:r>
      <w:r w:rsidR="0047334A">
        <w:rPr>
          <w:sz w:val="24"/>
          <w:szCs w:val="24"/>
        </w:rPr>
        <w:t>conceptual</w:t>
      </w:r>
      <w:r w:rsidR="004E220B">
        <w:rPr>
          <w:sz w:val="24"/>
          <w:szCs w:val="24"/>
        </w:rPr>
        <w:t xml:space="preserve"> framework to </w:t>
      </w:r>
      <w:r w:rsidR="001149AE">
        <w:rPr>
          <w:sz w:val="24"/>
          <w:szCs w:val="24"/>
        </w:rPr>
        <w:t>revise</w:t>
      </w:r>
      <w:r w:rsidR="00DC38B9">
        <w:rPr>
          <w:sz w:val="24"/>
          <w:szCs w:val="24"/>
        </w:rPr>
        <w:t xml:space="preserve"> our understanding of the </w:t>
      </w:r>
      <w:r w:rsidR="004D3A76">
        <w:rPr>
          <w:sz w:val="24"/>
          <w:szCs w:val="24"/>
        </w:rPr>
        <w:t xml:space="preserve">Court of Justice’s early case </w:t>
      </w:r>
      <w:r w:rsidR="00C46FB0">
        <w:rPr>
          <w:sz w:val="24"/>
          <w:szCs w:val="24"/>
        </w:rPr>
        <w:t>law, especially</w:t>
      </w:r>
      <w:r w:rsidR="004D3A76">
        <w:rPr>
          <w:sz w:val="24"/>
          <w:szCs w:val="24"/>
        </w:rPr>
        <w:t xml:space="preserve"> on direct effect and </w:t>
      </w:r>
      <w:r w:rsidR="004C40E3">
        <w:rPr>
          <w:sz w:val="24"/>
          <w:szCs w:val="24"/>
        </w:rPr>
        <w:t>primacy</w:t>
      </w:r>
      <w:r w:rsidR="004D3A76">
        <w:rPr>
          <w:sz w:val="24"/>
          <w:szCs w:val="24"/>
        </w:rPr>
        <w:t xml:space="preserve">. </w:t>
      </w:r>
      <w:r w:rsidR="00746364">
        <w:rPr>
          <w:sz w:val="24"/>
          <w:szCs w:val="24"/>
        </w:rPr>
        <w:t xml:space="preserve">Phelan does not make too much of this move. But </w:t>
      </w:r>
      <w:r w:rsidR="00C46FB0">
        <w:rPr>
          <w:sz w:val="24"/>
          <w:szCs w:val="24"/>
        </w:rPr>
        <w:t xml:space="preserve">it is as bold and refreshing as </w:t>
      </w:r>
      <w:r w:rsidR="00EA59C4">
        <w:rPr>
          <w:sz w:val="24"/>
          <w:szCs w:val="24"/>
        </w:rPr>
        <w:t>the narrative he seeks to defend. The</w:t>
      </w:r>
      <w:r w:rsidR="00E80631">
        <w:rPr>
          <w:sz w:val="24"/>
          <w:szCs w:val="24"/>
        </w:rPr>
        <w:t xml:space="preserve"> very idea that the European legal system should be viewed through the prism of international law – something </w:t>
      </w:r>
      <w:r w:rsidR="00EA6AB1">
        <w:rPr>
          <w:sz w:val="24"/>
          <w:szCs w:val="24"/>
        </w:rPr>
        <w:t>I have</w:t>
      </w:r>
      <w:r w:rsidR="00E80631">
        <w:rPr>
          <w:sz w:val="24"/>
          <w:szCs w:val="24"/>
        </w:rPr>
        <w:t xml:space="preserve"> explored in my own work</w:t>
      </w:r>
      <w:r w:rsidR="00F60082">
        <w:rPr>
          <w:rStyle w:val="FootnoteReference"/>
          <w:sz w:val="24"/>
          <w:szCs w:val="24"/>
        </w:rPr>
        <w:footnoteReference w:id="14"/>
      </w:r>
      <w:r w:rsidR="00E80631">
        <w:rPr>
          <w:sz w:val="24"/>
          <w:szCs w:val="24"/>
        </w:rPr>
        <w:t xml:space="preserve"> – remains largely anathema to </w:t>
      </w:r>
      <w:r w:rsidR="00664592">
        <w:rPr>
          <w:sz w:val="24"/>
          <w:szCs w:val="24"/>
        </w:rPr>
        <w:t xml:space="preserve">most </w:t>
      </w:r>
      <w:r w:rsidR="00E80631">
        <w:rPr>
          <w:sz w:val="24"/>
          <w:szCs w:val="24"/>
        </w:rPr>
        <w:t xml:space="preserve">EU legal scholars. As Plender noted, </w:t>
      </w:r>
    </w:p>
    <w:p w14:paraId="6813F910" w14:textId="172D517D" w:rsidR="00E80631" w:rsidRDefault="00E80631" w:rsidP="00FF5374">
      <w:pPr>
        <w:spacing w:line="360" w:lineRule="auto"/>
        <w:ind w:left="720" w:right="804"/>
        <w:jc w:val="both"/>
        <w:rPr>
          <w:sz w:val="24"/>
          <w:szCs w:val="24"/>
        </w:rPr>
      </w:pPr>
      <w:r>
        <w:rPr>
          <w:sz w:val="24"/>
          <w:szCs w:val="24"/>
        </w:rPr>
        <w:t>‘no principle of Community law is more fundamental, no more frequently reiterated by the European Court, than that the Treaty establishing the European Economic Community is “more than an agreement which merely creates obligations between contracting states” but rather constitutes a new legal order capable of conferring rights and imposing obligations directly upon individuals.’</w:t>
      </w:r>
      <w:r w:rsidR="00F60082">
        <w:rPr>
          <w:rStyle w:val="FootnoteReference"/>
          <w:sz w:val="24"/>
          <w:szCs w:val="24"/>
        </w:rPr>
        <w:footnoteReference w:id="15"/>
      </w:r>
    </w:p>
    <w:p w14:paraId="3BBE6C37" w14:textId="7D389F3B" w:rsidR="00300C1A" w:rsidRDefault="00E80631" w:rsidP="00FF5374">
      <w:pPr>
        <w:spacing w:line="360" w:lineRule="auto"/>
        <w:jc w:val="both"/>
        <w:rPr>
          <w:sz w:val="24"/>
          <w:szCs w:val="24"/>
        </w:rPr>
      </w:pPr>
      <w:r w:rsidRPr="00283147">
        <w:rPr>
          <w:i/>
          <w:iCs/>
          <w:sz w:val="24"/>
          <w:szCs w:val="24"/>
        </w:rPr>
        <w:t>Great Judgments</w:t>
      </w:r>
      <w:r>
        <w:rPr>
          <w:sz w:val="24"/>
          <w:szCs w:val="24"/>
        </w:rPr>
        <w:t xml:space="preserve"> takes on the challenge of divorcing </w:t>
      </w:r>
      <w:r w:rsidRPr="006F0087">
        <w:rPr>
          <w:i/>
          <w:iCs/>
          <w:sz w:val="24"/>
          <w:szCs w:val="24"/>
        </w:rPr>
        <w:t>Van Gend en Loos</w:t>
      </w:r>
      <w:r>
        <w:rPr>
          <w:sz w:val="24"/>
          <w:szCs w:val="24"/>
        </w:rPr>
        <w:t xml:space="preserve"> and </w:t>
      </w:r>
      <w:r w:rsidRPr="006F0087">
        <w:rPr>
          <w:i/>
          <w:iCs/>
          <w:sz w:val="24"/>
          <w:szCs w:val="24"/>
        </w:rPr>
        <w:t>Costa</w:t>
      </w:r>
      <w:r>
        <w:rPr>
          <w:sz w:val="24"/>
          <w:szCs w:val="24"/>
        </w:rPr>
        <w:t xml:space="preserve"> from ‘wonderful’ but equally ‘unsatisfying’</w:t>
      </w:r>
      <w:r w:rsidR="009941F0">
        <w:rPr>
          <w:sz w:val="24"/>
          <w:szCs w:val="24"/>
        </w:rPr>
        <w:t xml:space="preserve"> (p. </w:t>
      </w:r>
      <w:r w:rsidR="00DC332C">
        <w:rPr>
          <w:sz w:val="24"/>
          <w:szCs w:val="24"/>
        </w:rPr>
        <w:t xml:space="preserve">9) </w:t>
      </w:r>
      <w:r>
        <w:rPr>
          <w:sz w:val="24"/>
          <w:szCs w:val="24"/>
        </w:rPr>
        <w:t xml:space="preserve">accounts of the transformation of the Treaty of Rome into an increasingly constitutionalised space within which individuals (as well as national courts) are direct actors. Phelan reinterprets these formative decisions as the story </w:t>
      </w:r>
      <w:r>
        <w:rPr>
          <w:sz w:val="24"/>
          <w:szCs w:val="24"/>
        </w:rPr>
        <w:lastRenderedPageBreak/>
        <w:t xml:space="preserve">of a concerted judicial attempt to address a </w:t>
      </w:r>
      <w:r w:rsidR="001A3CB4">
        <w:rPr>
          <w:sz w:val="24"/>
          <w:szCs w:val="24"/>
        </w:rPr>
        <w:t>‘</w:t>
      </w:r>
      <w:r>
        <w:rPr>
          <w:sz w:val="24"/>
          <w:szCs w:val="24"/>
        </w:rPr>
        <w:t>practical problem</w:t>
      </w:r>
      <w:r w:rsidR="001A3CB4">
        <w:rPr>
          <w:sz w:val="24"/>
          <w:szCs w:val="24"/>
        </w:rPr>
        <w:t>’</w:t>
      </w:r>
      <w:r>
        <w:rPr>
          <w:sz w:val="24"/>
          <w:szCs w:val="24"/>
        </w:rPr>
        <w:t xml:space="preserve"> in inter-state trade relations: recourse by states to unilateral self-help or retaliation measures in response to treaty infringements by other states</w:t>
      </w:r>
      <w:r w:rsidR="001E2D28">
        <w:rPr>
          <w:sz w:val="24"/>
          <w:szCs w:val="24"/>
        </w:rPr>
        <w:t xml:space="preserve"> (p. 9)</w:t>
      </w:r>
      <w:r>
        <w:rPr>
          <w:sz w:val="24"/>
          <w:szCs w:val="24"/>
        </w:rPr>
        <w:t xml:space="preserve">. </w:t>
      </w:r>
      <w:r w:rsidRPr="0013751B">
        <w:rPr>
          <w:sz w:val="24"/>
          <w:szCs w:val="24"/>
        </w:rPr>
        <w:t xml:space="preserve">For Phelan, </w:t>
      </w:r>
      <w:r>
        <w:rPr>
          <w:sz w:val="24"/>
          <w:szCs w:val="24"/>
        </w:rPr>
        <w:t xml:space="preserve">three judgments of the Court of Justice - </w:t>
      </w:r>
      <w:r w:rsidRPr="007647F6">
        <w:rPr>
          <w:i/>
          <w:iCs/>
          <w:sz w:val="24"/>
          <w:szCs w:val="24"/>
        </w:rPr>
        <w:t>Van Gend en Loos</w:t>
      </w:r>
      <w:r>
        <w:rPr>
          <w:sz w:val="24"/>
          <w:szCs w:val="24"/>
        </w:rPr>
        <w:t xml:space="preserve">, </w:t>
      </w:r>
      <w:r w:rsidRPr="007647F6">
        <w:rPr>
          <w:i/>
          <w:iCs/>
          <w:sz w:val="24"/>
          <w:szCs w:val="24"/>
        </w:rPr>
        <w:t>Costa</w:t>
      </w:r>
      <w:r>
        <w:rPr>
          <w:sz w:val="24"/>
          <w:szCs w:val="24"/>
        </w:rPr>
        <w:t xml:space="preserve"> and </w:t>
      </w:r>
      <w:r w:rsidRPr="007647F6">
        <w:rPr>
          <w:i/>
          <w:iCs/>
          <w:sz w:val="24"/>
          <w:szCs w:val="24"/>
        </w:rPr>
        <w:t>Dairy Products</w:t>
      </w:r>
      <w:r>
        <w:rPr>
          <w:i/>
          <w:iCs/>
          <w:sz w:val="24"/>
          <w:szCs w:val="24"/>
        </w:rPr>
        <w:t xml:space="preserve"> –</w:t>
      </w:r>
      <w:r>
        <w:rPr>
          <w:sz w:val="24"/>
          <w:szCs w:val="24"/>
        </w:rPr>
        <w:t xml:space="preserve"> were forged together to provide a unique and extraordinarily effective solution to that problem in connection with the application of the Treaty of Rome as an international trade agreement</w:t>
      </w:r>
      <w:r w:rsidR="00BB5B68">
        <w:rPr>
          <w:sz w:val="24"/>
          <w:szCs w:val="24"/>
        </w:rPr>
        <w:t>.</w:t>
      </w:r>
      <w:r w:rsidR="009E6AA3">
        <w:rPr>
          <w:sz w:val="24"/>
          <w:szCs w:val="24"/>
        </w:rPr>
        <w:t xml:space="preserve"> This is not an entirely</w:t>
      </w:r>
      <w:r w:rsidR="000A5135">
        <w:rPr>
          <w:sz w:val="24"/>
          <w:szCs w:val="24"/>
        </w:rPr>
        <w:t xml:space="preserve"> new perspective on the Court’s formative case law</w:t>
      </w:r>
      <w:r w:rsidR="003C0F48">
        <w:rPr>
          <w:sz w:val="24"/>
          <w:szCs w:val="24"/>
        </w:rPr>
        <w:t>.</w:t>
      </w:r>
      <w:r w:rsidR="000A5135">
        <w:rPr>
          <w:sz w:val="24"/>
          <w:szCs w:val="24"/>
        </w:rPr>
        <w:t xml:space="preserve"> </w:t>
      </w:r>
      <w:r w:rsidR="003C0F48">
        <w:rPr>
          <w:sz w:val="24"/>
          <w:szCs w:val="24"/>
        </w:rPr>
        <w:t>A</w:t>
      </w:r>
      <w:r w:rsidR="00E80255">
        <w:rPr>
          <w:sz w:val="24"/>
          <w:szCs w:val="24"/>
        </w:rPr>
        <w:t xml:space="preserve">s </w:t>
      </w:r>
      <w:r w:rsidR="003A1F85">
        <w:rPr>
          <w:sz w:val="24"/>
          <w:szCs w:val="24"/>
        </w:rPr>
        <w:t>his</w:t>
      </w:r>
      <w:r w:rsidR="0092039F">
        <w:rPr>
          <w:sz w:val="24"/>
          <w:szCs w:val="24"/>
        </w:rPr>
        <w:t xml:space="preserve"> historical</w:t>
      </w:r>
      <w:r w:rsidR="00E80255">
        <w:rPr>
          <w:sz w:val="24"/>
          <w:szCs w:val="24"/>
        </w:rPr>
        <w:t xml:space="preserve"> analysis expounds, </w:t>
      </w:r>
      <w:r w:rsidR="000A5135">
        <w:rPr>
          <w:sz w:val="24"/>
          <w:szCs w:val="24"/>
        </w:rPr>
        <w:t>early commentator</w:t>
      </w:r>
      <w:r w:rsidR="002B4291">
        <w:rPr>
          <w:sz w:val="24"/>
          <w:szCs w:val="24"/>
        </w:rPr>
        <w:t>s, including Lecourt,</w:t>
      </w:r>
      <w:r w:rsidR="003C0F48">
        <w:rPr>
          <w:sz w:val="24"/>
          <w:szCs w:val="24"/>
        </w:rPr>
        <w:t xml:space="preserve"> </w:t>
      </w:r>
      <w:r w:rsidR="00F256B5">
        <w:rPr>
          <w:sz w:val="24"/>
          <w:szCs w:val="24"/>
        </w:rPr>
        <w:t xml:space="preserve">also </w:t>
      </w:r>
      <w:r w:rsidR="00AD4A75">
        <w:rPr>
          <w:sz w:val="24"/>
          <w:szCs w:val="24"/>
        </w:rPr>
        <w:t xml:space="preserve">theorised the jurisprudence with </w:t>
      </w:r>
      <w:r w:rsidR="002B4291">
        <w:rPr>
          <w:sz w:val="24"/>
          <w:szCs w:val="24"/>
        </w:rPr>
        <w:t xml:space="preserve">reference to </w:t>
      </w:r>
      <w:r w:rsidR="00420693">
        <w:rPr>
          <w:sz w:val="24"/>
          <w:szCs w:val="24"/>
        </w:rPr>
        <w:t>inter-state e</w:t>
      </w:r>
      <w:r w:rsidR="00AD4A75">
        <w:rPr>
          <w:sz w:val="24"/>
          <w:szCs w:val="24"/>
        </w:rPr>
        <w:t>nforcement</w:t>
      </w:r>
      <w:r w:rsidR="00C837C0">
        <w:rPr>
          <w:sz w:val="24"/>
          <w:szCs w:val="24"/>
        </w:rPr>
        <w:t>.</w:t>
      </w:r>
      <w:r w:rsidR="00BB2A70">
        <w:rPr>
          <w:rStyle w:val="FootnoteReference"/>
          <w:sz w:val="24"/>
          <w:szCs w:val="24"/>
        </w:rPr>
        <w:footnoteReference w:id="16"/>
      </w:r>
      <w:r w:rsidR="00133D66">
        <w:rPr>
          <w:sz w:val="24"/>
          <w:szCs w:val="24"/>
        </w:rPr>
        <w:t xml:space="preserve"> </w:t>
      </w:r>
      <w:r w:rsidR="00792A35">
        <w:rPr>
          <w:sz w:val="24"/>
          <w:szCs w:val="24"/>
        </w:rPr>
        <w:t>But</w:t>
      </w:r>
      <w:r w:rsidR="003A1F85">
        <w:rPr>
          <w:sz w:val="24"/>
          <w:szCs w:val="24"/>
        </w:rPr>
        <w:t xml:space="preserve"> Phelan is correct </w:t>
      </w:r>
      <w:r w:rsidR="00314F03">
        <w:rPr>
          <w:sz w:val="24"/>
          <w:szCs w:val="24"/>
        </w:rPr>
        <w:t>in his claim that</w:t>
      </w:r>
      <w:r w:rsidR="00B97A30">
        <w:rPr>
          <w:sz w:val="24"/>
          <w:szCs w:val="24"/>
        </w:rPr>
        <w:t xml:space="preserve"> </w:t>
      </w:r>
      <w:r w:rsidR="003C0F48">
        <w:rPr>
          <w:sz w:val="24"/>
          <w:szCs w:val="24"/>
        </w:rPr>
        <w:t>th</w:t>
      </w:r>
      <w:r w:rsidR="00314F03">
        <w:rPr>
          <w:sz w:val="24"/>
          <w:szCs w:val="24"/>
        </w:rPr>
        <w:t>is particular</w:t>
      </w:r>
      <w:r w:rsidR="00982AE1">
        <w:rPr>
          <w:sz w:val="24"/>
          <w:szCs w:val="24"/>
        </w:rPr>
        <w:t xml:space="preserve"> strand of reasoning</w:t>
      </w:r>
      <w:r w:rsidR="00292422">
        <w:rPr>
          <w:sz w:val="24"/>
          <w:szCs w:val="24"/>
        </w:rPr>
        <w:t xml:space="preserve"> has become lost in </w:t>
      </w:r>
      <w:r w:rsidR="00300C1A">
        <w:rPr>
          <w:sz w:val="24"/>
          <w:szCs w:val="24"/>
        </w:rPr>
        <w:t xml:space="preserve">mainstream </w:t>
      </w:r>
      <w:r w:rsidR="0070136E">
        <w:rPr>
          <w:sz w:val="24"/>
          <w:szCs w:val="24"/>
        </w:rPr>
        <w:t>accounts</w:t>
      </w:r>
      <w:r w:rsidR="00300C1A">
        <w:rPr>
          <w:sz w:val="24"/>
          <w:szCs w:val="24"/>
        </w:rPr>
        <w:t xml:space="preserve"> of the</w:t>
      </w:r>
      <w:r w:rsidR="00E80255">
        <w:rPr>
          <w:sz w:val="24"/>
          <w:szCs w:val="24"/>
        </w:rPr>
        <w:t xml:space="preserve"> foundations of the (now) European legal order.</w:t>
      </w:r>
      <w:r w:rsidR="00820ABA">
        <w:rPr>
          <w:rStyle w:val="FootnoteReference"/>
          <w:sz w:val="24"/>
          <w:szCs w:val="24"/>
        </w:rPr>
        <w:footnoteReference w:id="17"/>
      </w:r>
      <w:r w:rsidR="00E60E5F">
        <w:rPr>
          <w:sz w:val="24"/>
          <w:szCs w:val="24"/>
        </w:rPr>
        <w:t xml:space="preserve"> </w:t>
      </w:r>
    </w:p>
    <w:p w14:paraId="3FF96327" w14:textId="0B542A36" w:rsidR="00F92828" w:rsidRPr="009573E8" w:rsidRDefault="009573E8" w:rsidP="00F92828">
      <w:pPr>
        <w:spacing w:line="360" w:lineRule="auto"/>
        <w:jc w:val="both"/>
        <w:rPr>
          <w:b/>
          <w:bCs/>
          <w:sz w:val="28"/>
          <w:szCs w:val="28"/>
        </w:rPr>
      </w:pPr>
      <w:r w:rsidRPr="009573E8">
        <w:rPr>
          <w:b/>
          <w:bCs/>
          <w:sz w:val="28"/>
          <w:szCs w:val="28"/>
        </w:rPr>
        <w:t>Revisiting</w:t>
      </w:r>
      <w:r w:rsidR="00016E49">
        <w:rPr>
          <w:b/>
          <w:bCs/>
          <w:sz w:val="28"/>
          <w:szCs w:val="28"/>
        </w:rPr>
        <w:t xml:space="preserve"> ‘</w:t>
      </w:r>
      <w:r w:rsidR="0017584B" w:rsidRPr="009573E8">
        <w:rPr>
          <w:b/>
          <w:bCs/>
          <w:sz w:val="28"/>
          <w:szCs w:val="28"/>
        </w:rPr>
        <w:t>Great Judgments</w:t>
      </w:r>
      <w:r w:rsidR="00016E49">
        <w:rPr>
          <w:b/>
          <w:bCs/>
          <w:sz w:val="28"/>
          <w:szCs w:val="28"/>
        </w:rPr>
        <w:t>’</w:t>
      </w:r>
      <w:r w:rsidR="0017584B" w:rsidRPr="009573E8">
        <w:rPr>
          <w:b/>
          <w:bCs/>
          <w:sz w:val="28"/>
          <w:szCs w:val="28"/>
        </w:rPr>
        <w:t xml:space="preserve"> </w:t>
      </w:r>
    </w:p>
    <w:p w14:paraId="0AB4E698" w14:textId="54032298" w:rsidR="00BB5B68" w:rsidRDefault="00BB5B68" w:rsidP="00FF5374">
      <w:pPr>
        <w:spacing w:line="360" w:lineRule="auto"/>
        <w:jc w:val="both"/>
        <w:rPr>
          <w:sz w:val="24"/>
          <w:szCs w:val="24"/>
        </w:rPr>
      </w:pPr>
      <w:r>
        <w:rPr>
          <w:sz w:val="24"/>
          <w:szCs w:val="24"/>
        </w:rPr>
        <w:t>The</w:t>
      </w:r>
      <w:r w:rsidR="00AC116F">
        <w:rPr>
          <w:sz w:val="24"/>
          <w:szCs w:val="24"/>
        </w:rPr>
        <w:t xml:space="preserve"> book</w:t>
      </w:r>
      <w:r>
        <w:rPr>
          <w:sz w:val="24"/>
          <w:szCs w:val="24"/>
        </w:rPr>
        <w:t xml:space="preserve"> develop</w:t>
      </w:r>
      <w:r w:rsidR="00AC116F">
        <w:rPr>
          <w:sz w:val="24"/>
          <w:szCs w:val="24"/>
        </w:rPr>
        <w:t>s its primary argument</w:t>
      </w:r>
      <w:r>
        <w:rPr>
          <w:sz w:val="24"/>
          <w:szCs w:val="24"/>
        </w:rPr>
        <w:t xml:space="preserve"> over </w:t>
      </w:r>
      <w:r w:rsidR="000D3A82">
        <w:rPr>
          <w:sz w:val="24"/>
          <w:szCs w:val="24"/>
        </w:rPr>
        <w:t>10 chapters</w:t>
      </w:r>
      <w:r w:rsidR="00A144FC">
        <w:rPr>
          <w:sz w:val="24"/>
          <w:szCs w:val="24"/>
        </w:rPr>
        <w:t>, preceded by</w:t>
      </w:r>
      <w:r w:rsidR="00961BAB">
        <w:rPr>
          <w:sz w:val="24"/>
          <w:szCs w:val="24"/>
        </w:rPr>
        <w:t xml:space="preserve"> a substantive introduction</w:t>
      </w:r>
      <w:r w:rsidR="000D3A82">
        <w:rPr>
          <w:sz w:val="24"/>
          <w:szCs w:val="24"/>
        </w:rPr>
        <w:t>.</w:t>
      </w:r>
      <w:r w:rsidR="00961BAB">
        <w:rPr>
          <w:sz w:val="24"/>
          <w:szCs w:val="24"/>
        </w:rPr>
        <w:t xml:space="preserve"> </w:t>
      </w:r>
      <w:r w:rsidR="000D3A82">
        <w:rPr>
          <w:sz w:val="24"/>
          <w:szCs w:val="24"/>
        </w:rPr>
        <w:t xml:space="preserve">The </w:t>
      </w:r>
      <w:r w:rsidR="008F052A" w:rsidRPr="008F052A">
        <w:rPr>
          <w:i/>
          <w:iCs/>
          <w:sz w:val="24"/>
          <w:szCs w:val="24"/>
        </w:rPr>
        <w:t>Introduction</w:t>
      </w:r>
      <w:r w:rsidR="000D3A82">
        <w:rPr>
          <w:sz w:val="24"/>
          <w:szCs w:val="24"/>
        </w:rPr>
        <w:t xml:space="preserve"> and final chapter</w:t>
      </w:r>
      <w:r w:rsidR="00844E1B">
        <w:rPr>
          <w:sz w:val="24"/>
          <w:szCs w:val="24"/>
        </w:rPr>
        <w:t xml:space="preserve"> (chapter 10)</w:t>
      </w:r>
      <w:r w:rsidR="000D3A82">
        <w:rPr>
          <w:sz w:val="24"/>
          <w:szCs w:val="24"/>
        </w:rPr>
        <w:t xml:space="preserve"> frame the</w:t>
      </w:r>
      <w:r w:rsidR="009B0BB6">
        <w:rPr>
          <w:sz w:val="24"/>
          <w:szCs w:val="24"/>
        </w:rPr>
        <w:t xml:space="preserve"> </w:t>
      </w:r>
      <w:r w:rsidR="007311A0">
        <w:rPr>
          <w:sz w:val="24"/>
          <w:szCs w:val="24"/>
        </w:rPr>
        <w:t xml:space="preserve">detailed </w:t>
      </w:r>
      <w:r w:rsidR="009B0BB6">
        <w:rPr>
          <w:sz w:val="24"/>
          <w:szCs w:val="24"/>
        </w:rPr>
        <w:t xml:space="preserve">analysis of the </w:t>
      </w:r>
      <w:r w:rsidR="008F052A">
        <w:rPr>
          <w:sz w:val="24"/>
          <w:szCs w:val="24"/>
        </w:rPr>
        <w:t>9</w:t>
      </w:r>
      <w:r w:rsidR="009B0BB6">
        <w:rPr>
          <w:sz w:val="24"/>
          <w:szCs w:val="24"/>
        </w:rPr>
        <w:t xml:space="preserve"> judgments that Phelan identifies as ‘great’ judgments</w:t>
      </w:r>
      <w:r w:rsidR="007311A0">
        <w:rPr>
          <w:sz w:val="24"/>
          <w:szCs w:val="24"/>
        </w:rPr>
        <w:t xml:space="preserve"> to </w:t>
      </w:r>
      <w:r w:rsidR="00965374">
        <w:rPr>
          <w:sz w:val="24"/>
          <w:szCs w:val="24"/>
        </w:rPr>
        <w:t xml:space="preserve">construct his </w:t>
      </w:r>
      <w:r w:rsidR="00721AC0">
        <w:rPr>
          <w:sz w:val="24"/>
          <w:szCs w:val="24"/>
        </w:rPr>
        <w:t>revised</w:t>
      </w:r>
      <w:r w:rsidR="00965374">
        <w:rPr>
          <w:sz w:val="24"/>
          <w:szCs w:val="24"/>
        </w:rPr>
        <w:t xml:space="preserve"> narrative on inter-state relations</w:t>
      </w:r>
      <w:r w:rsidR="00C0300D">
        <w:rPr>
          <w:sz w:val="24"/>
          <w:szCs w:val="24"/>
        </w:rPr>
        <w:t xml:space="preserve">: </w:t>
      </w:r>
      <w:r w:rsidR="008F0355" w:rsidRPr="002A759E">
        <w:rPr>
          <w:i/>
          <w:iCs/>
          <w:sz w:val="24"/>
          <w:szCs w:val="24"/>
        </w:rPr>
        <w:t>Pork Products</w:t>
      </w:r>
      <w:r w:rsidR="00ED6A63">
        <w:rPr>
          <w:i/>
          <w:iCs/>
          <w:sz w:val="24"/>
          <w:szCs w:val="24"/>
        </w:rPr>
        <w:t xml:space="preserve"> </w:t>
      </w:r>
      <w:r w:rsidR="00056928">
        <w:rPr>
          <w:sz w:val="24"/>
          <w:szCs w:val="24"/>
        </w:rPr>
        <w:t>(1961)</w:t>
      </w:r>
      <w:r w:rsidR="008F0355">
        <w:rPr>
          <w:sz w:val="24"/>
          <w:szCs w:val="24"/>
        </w:rPr>
        <w:t xml:space="preserve">; </w:t>
      </w:r>
      <w:r w:rsidR="008F0355" w:rsidRPr="002A759E">
        <w:rPr>
          <w:i/>
          <w:iCs/>
          <w:sz w:val="24"/>
          <w:szCs w:val="24"/>
        </w:rPr>
        <w:t>Van Gend en Loos</w:t>
      </w:r>
      <w:r w:rsidR="00056928">
        <w:rPr>
          <w:i/>
          <w:iCs/>
          <w:sz w:val="24"/>
          <w:szCs w:val="24"/>
        </w:rPr>
        <w:t xml:space="preserve"> </w:t>
      </w:r>
      <w:r w:rsidR="00056928">
        <w:rPr>
          <w:sz w:val="24"/>
          <w:szCs w:val="24"/>
        </w:rPr>
        <w:t>(1963)</w:t>
      </w:r>
      <w:r w:rsidR="008F0355">
        <w:rPr>
          <w:sz w:val="24"/>
          <w:szCs w:val="24"/>
        </w:rPr>
        <w:t xml:space="preserve">; </w:t>
      </w:r>
      <w:r w:rsidR="0079072D" w:rsidRPr="002A759E">
        <w:rPr>
          <w:i/>
          <w:iCs/>
          <w:sz w:val="24"/>
          <w:szCs w:val="24"/>
        </w:rPr>
        <w:t>Costa v ENEL</w:t>
      </w:r>
      <w:r w:rsidR="00056928">
        <w:rPr>
          <w:i/>
          <w:iCs/>
          <w:sz w:val="24"/>
          <w:szCs w:val="24"/>
        </w:rPr>
        <w:t xml:space="preserve"> </w:t>
      </w:r>
      <w:r w:rsidR="00056928">
        <w:rPr>
          <w:sz w:val="24"/>
          <w:szCs w:val="24"/>
        </w:rPr>
        <w:t>(1964)</w:t>
      </w:r>
      <w:r w:rsidR="0079072D">
        <w:rPr>
          <w:sz w:val="24"/>
          <w:szCs w:val="24"/>
        </w:rPr>
        <w:t xml:space="preserve">; </w:t>
      </w:r>
      <w:r w:rsidR="0079072D" w:rsidRPr="002A759E">
        <w:rPr>
          <w:i/>
          <w:iCs/>
          <w:sz w:val="24"/>
          <w:szCs w:val="24"/>
        </w:rPr>
        <w:t>Dairy Products</w:t>
      </w:r>
      <w:r w:rsidR="008420C7">
        <w:rPr>
          <w:i/>
          <w:iCs/>
          <w:sz w:val="24"/>
          <w:szCs w:val="24"/>
        </w:rPr>
        <w:t xml:space="preserve"> </w:t>
      </w:r>
      <w:r w:rsidR="008420C7">
        <w:rPr>
          <w:sz w:val="24"/>
          <w:szCs w:val="24"/>
        </w:rPr>
        <w:t>(19</w:t>
      </w:r>
      <w:r w:rsidR="00F519D2">
        <w:rPr>
          <w:sz w:val="24"/>
          <w:szCs w:val="24"/>
        </w:rPr>
        <w:t>6</w:t>
      </w:r>
      <w:r w:rsidR="008420C7">
        <w:rPr>
          <w:sz w:val="24"/>
          <w:szCs w:val="24"/>
        </w:rPr>
        <w:t>4)</w:t>
      </w:r>
      <w:r w:rsidR="0079072D">
        <w:rPr>
          <w:sz w:val="24"/>
          <w:szCs w:val="24"/>
        </w:rPr>
        <w:t xml:space="preserve">; </w:t>
      </w:r>
      <w:r w:rsidR="00204897" w:rsidRPr="002A759E">
        <w:rPr>
          <w:i/>
          <w:iCs/>
          <w:sz w:val="24"/>
          <w:szCs w:val="24"/>
        </w:rPr>
        <w:t>International Fruit</w:t>
      </w:r>
      <w:r w:rsidR="008420C7">
        <w:rPr>
          <w:i/>
          <w:iCs/>
          <w:sz w:val="24"/>
          <w:szCs w:val="24"/>
        </w:rPr>
        <w:t xml:space="preserve"> </w:t>
      </w:r>
      <w:r w:rsidR="008420C7">
        <w:rPr>
          <w:sz w:val="24"/>
          <w:szCs w:val="24"/>
        </w:rPr>
        <w:t>(1972)</w:t>
      </w:r>
      <w:r w:rsidR="00204897">
        <w:rPr>
          <w:sz w:val="24"/>
          <w:szCs w:val="24"/>
        </w:rPr>
        <w:t>;</w:t>
      </w:r>
      <w:r w:rsidR="00A90CAF">
        <w:rPr>
          <w:rStyle w:val="FootnoteReference"/>
          <w:sz w:val="24"/>
          <w:szCs w:val="24"/>
        </w:rPr>
        <w:footnoteReference w:id="18"/>
      </w:r>
      <w:r w:rsidR="00204897">
        <w:rPr>
          <w:sz w:val="24"/>
          <w:szCs w:val="24"/>
        </w:rPr>
        <w:t xml:space="preserve"> </w:t>
      </w:r>
      <w:r w:rsidR="00204897" w:rsidRPr="002A759E">
        <w:rPr>
          <w:i/>
          <w:iCs/>
          <w:sz w:val="24"/>
          <w:szCs w:val="24"/>
        </w:rPr>
        <w:t>Van Duyn</w:t>
      </w:r>
      <w:r w:rsidR="008420C7">
        <w:rPr>
          <w:i/>
          <w:iCs/>
          <w:sz w:val="24"/>
          <w:szCs w:val="24"/>
        </w:rPr>
        <w:t xml:space="preserve"> </w:t>
      </w:r>
      <w:r w:rsidR="008420C7">
        <w:rPr>
          <w:sz w:val="24"/>
          <w:szCs w:val="24"/>
        </w:rPr>
        <w:t>(1974)</w:t>
      </w:r>
      <w:r w:rsidR="00204897">
        <w:rPr>
          <w:sz w:val="24"/>
          <w:szCs w:val="24"/>
        </w:rPr>
        <w:t>;</w:t>
      </w:r>
      <w:r w:rsidR="00A32C07">
        <w:rPr>
          <w:rStyle w:val="FootnoteReference"/>
          <w:sz w:val="24"/>
          <w:szCs w:val="24"/>
        </w:rPr>
        <w:footnoteReference w:id="19"/>
      </w:r>
      <w:r w:rsidR="00204897">
        <w:rPr>
          <w:sz w:val="24"/>
          <w:szCs w:val="24"/>
        </w:rPr>
        <w:t xml:space="preserve"> </w:t>
      </w:r>
      <w:r w:rsidR="00204897" w:rsidRPr="002A759E">
        <w:rPr>
          <w:i/>
          <w:iCs/>
          <w:sz w:val="24"/>
          <w:szCs w:val="24"/>
        </w:rPr>
        <w:t>Simmenthal</w:t>
      </w:r>
      <w:r w:rsidR="00215C08">
        <w:rPr>
          <w:i/>
          <w:iCs/>
          <w:sz w:val="24"/>
          <w:szCs w:val="24"/>
        </w:rPr>
        <w:t xml:space="preserve"> </w:t>
      </w:r>
      <w:r w:rsidR="00215C08">
        <w:rPr>
          <w:sz w:val="24"/>
          <w:szCs w:val="24"/>
        </w:rPr>
        <w:t>(1978)</w:t>
      </w:r>
      <w:r w:rsidR="00204897">
        <w:rPr>
          <w:sz w:val="24"/>
          <w:szCs w:val="24"/>
        </w:rPr>
        <w:t>;</w:t>
      </w:r>
      <w:r w:rsidR="00A32C07">
        <w:rPr>
          <w:rStyle w:val="FootnoteReference"/>
          <w:sz w:val="24"/>
          <w:szCs w:val="24"/>
        </w:rPr>
        <w:footnoteReference w:id="20"/>
      </w:r>
      <w:r w:rsidR="00204897">
        <w:rPr>
          <w:sz w:val="24"/>
          <w:szCs w:val="24"/>
        </w:rPr>
        <w:t xml:space="preserve"> </w:t>
      </w:r>
      <w:r w:rsidR="002A759E" w:rsidRPr="002A759E">
        <w:rPr>
          <w:i/>
          <w:iCs/>
          <w:sz w:val="24"/>
          <w:szCs w:val="24"/>
        </w:rPr>
        <w:t>Sheep Meat</w:t>
      </w:r>
      <w:r w:rsidR="002A759E">
        <w:rPr>
          <w:sz w:val="24"/>
          <w:szCs w:val="24"/>
        </w:rPr>
        <w:t xml:space="preserve"> </w:t>
      </w:r>
      <w:r w:rsidR="00215C08">
        <w:rPr>
          <w:sz w:val="24"/>
          <w:szCs w:val="24"/>
        </w:rPr>
        <w:t>(197</w:t>
      </w:r>
      <w:r w:rsidR="00B302BE">
        <w:rPr>
          <w:sz w:val="24"/>
          <w:szCs w:val="24"/>
        </w:rPr>
        <w:t>9</w:t>
      </w:r>
      <w:r w:rsidR="00215C08">
        <w:rPr>
          <w:sz w:val="24"/>
          <w:szCs w:val="24"/>
        </w:rPr>
        <w:t xml:space="preserve">) </w:t>
      </w:r>
      <w:r w:rsidR="002A759E">
        <w:rPr>
          <w:sz w:val="24"/>
          <w:szCs w:val="24"/>
        </w:rPr>
        <w:t xml:space="preserve">and </w:t>
      </w:r>
      <w:r w:rsidR="002A759E" w:rsidRPr="002A759E">
        <w:rPr>
          <w:i/>
          <w:iCs/>
          <w:sz w:val="24"/>
          <w:szCs w:val="24"/>
        </w:rPr>
        <w:t>Internationale Handelsgesellschaft</w:t>
      </w:r>
      <w:r w:rsidR="00215C08">
        <w:rPr>
          <w:i/>
          <w:iCs/>
          <w:sz w:val="24"/>
          <w:szCs w:val="24"/>
        </w:rPr>
        <w:t xml:space="preserve"> </w:t>
      </w:r>
      <w:r w:rsidR="00215C08">
        <w:rPr>
          <w:sz w:val="24"/>
          <w:szCs w:val="24"/>
        </w:rPr>
        <w:t>(1970)</w:t>
      </w:r>
      <w:r w:rsidR="002A759E">
        <w:rPr>
          <w:sz w:val="24"/>
          <w:szCs w:val="24"/>
        </w:rPr>
        <w:t>,</w:t>
      </w:r>
      <w:r w:rsidR="00A90CAF">
        <w:rPr>
          <w:rStyle w:val="FootnoteReference"/>
          <w:sz w:val="24"/>
          <w:szCs w:val="24"/>
        </w:rPr>
        <w:footnoteReference w:id="21"/>
      </w:r>
      <w:r w:rsidR="002A759E">
        <w:rPr>
          <w:sz w:val="24"/>
          <w:szCs w:val="24"/>
        </w:rPr>
        <w:t xml:space="preserve"> respectively. Of the</w:t>
      </w:r>
      <w:r w:rsidR="00ED6A63">
        <w:rPr>
          <w:sz w:val="24"/>
          <w:szCs w:val="24"/>
        </w:rPr>
        <w:t xml:space="preserve"> </w:t>
      </w:r>
      <w:r w:rsidR="00552907">
        <w:rPr>
          <w:sz w:val="24"/>
          <w:szCs w:val="24"/>
        </w:rPr>
        <w:t>nine</w:t>
      </w:r>
      <w:r w:rsidR="00ED6A63">
        <w:rPr>
          <w:sz w:val="24"/>
          <w:szCs w:val="24"/>
        </w:rPr>
        <w:t xml:space="preserve"> decisions, </w:t>
      </w:r>
      <w:r w:rsidR="00ED6A63" w:rsidRPr="002A759E">
        <w:rPr>
          <w:i/>
          <w:iCs/>
          <w:sz w:val="24"/>
          <w:szCs w:val="24"/>
        </w:rPr>
        <w:t xml:space="preserve">Van </w:t>
      </w:r>
      <w:proofErr w:type="spellStart"/>
      <w:r w:rsidR="00ED6A63" w:rsidRPr="002A759E">
        <w:rPr>
          <w:i/>
          <w:iCs/>
          <w:sz w:val="24"/>
          <w:szCs w:val="24"/>
        </w:rPr>
        <w:t>Gend</w:t>
      </w:r>
      <w:proofErr w:type="spellEnd"/>
      <w:r w:rsidR="00ED6A63" w:rsidRPr="002A759E">
        <w:rPr>
          <w:i/>
          <w:iCs/>
          <w:sz w:val="24"/>
          <w:szCs w:val="24"/>
        </w:rPr>
        <w:t xml:space="preserve"> en Loos</w:t>
      </w:r>
      <w:r w:rsidR="00ED6A63">
        <w:rPr>
          <w:sz w:val="24"/>
          <w:szCs w:val="24"/>
        </w:rPr>
        <w:t xml:space="preserve">, </w:t>
      </w:r>
      <w:r w:rsidR="00ED6A63" w:rsidRPr="002A759E">
        <w:rPr>
          <w:i/>
          <w:iCs/>
          <w:sz w:val="24"/>
          <w:szCs w:val="24"/>
        </w:rPr>
        <w:t>Costa v ENEL</w:t>
      </w:r>
      <w:r w:rsidR="00ED6A63">
        <w:rPr>
          <w:sz w:val="24"/>
          <w:szCs w:val="24"/>
        </w:rPr>
        <w:t xml:space="preserve"> and </w:t>
      </w:r>
      <w:r w:rsidR="00ED6A63" w:rsidRPr="002A759E">
        <w:rPr>
          <w:i/>
          <w:iCs/>
          <w:sz w:val="24"/>
          <w:szCs w:val="24"/>
        </w:rPr>
        <w:t>Dairy Products</w:t>
      </w:r>
      <w:r w:rsidR="00ED6A63">
        <w:rPr>
          <w:sz w:val="24"/>
          <w:szCs w:val="24"/>
        </w:rPr>
        <w:t xml:space="preserve"> take centre stage. </w:t>
      </w:r>
      <w:r w:rsidR="00497746">
        <w:rPr>
          <w:sz w:val="24"/>
          <w:szCs w:val="24"/>
        </w:rPr>
        <w:t>Beyond the fact that they (for the most part) support</w:t>
      </w:r>
      <w:r w:rsidR="00B92FB4">
        <w:rPr>
          <w:sz w:val="24"/>
          <w:szCs w:val="24"/>
        </w:rPr>
        <w:t xml:space="preserve"> his argument, Phelan does not expand further on why these judgments </w:t>
      </w:r>
      <w:r w:rsidR="00D11AF1">
        <w:rPr>
          <w:sz w:val="24"/>
          <w:szCs w:val="24"/>
        </w:rPr>
        <w:t>meet the test of a ‘great’ judgment</w:t>
      </w:r>
      <w:r w:rsidR="00CF5435">
        <w:rPr>
          <w:sz w:val="24"/>
          <w:szCs w:val="24"/>
        </w:rPr>
        <w:t xml:space="preserve"> of the Court</w:t>
      </w:r>
      <w:r w:rsidR="00956339">
        <w:rPr>
          <w:sz w:val="24"/>
          <w:szCs w:val="24"/>
        </w:rPr>
        <w:t xml:space="preserve"> (or</w:t>
      </w:r>
      <w:r w:rsidR="001327AE">
        <w:rPr>
          <w:sz w:val="24"/>
          <w:szCs w:val="24"/>
        </w:rPr>
        <w:t xml:space="preserve"> </w:t>
      </w:r>
      <w:r w:rsidR="005E0132">
        <w:rPr>
          <w:sz w:val="24"/>
          <w:szCs w:val="24"/>
        </w:rPr>
        <w:t xml:space="preserve">explain </w:t>
      </w:r>
      <w:r w:rsidR="00956339">
        <w:rPr>
          <w:sz w:val="24"/>
          <w:szCs w:val="24"/>
        </w:rPr>
        <w:t>what qualifies as a great judgment)</w:t>
      </w:r>
      <w:r w:rsidR="00CF5435">
        <w:rPr>
          <w:sz w:val="24"/>
          <w:szCs w:val="24"/>
        </w:rPr>
        <w:t xml:space="preserve">. That said, few would </w:t>
      </w:r>
      <w:r w:rsidR="00923740">
        <w:rPr>
          <w:sz w:val="24"/>
          <w:szCs w:val="24"/>
        </w:rPr>
        <w:t>argue that</w:t>
      </w:r>
      <w:r w:rsidR="00DC7F9E">
        <w:rPr>
          <w:sz w:val="24"/>
          <w:szCs w:val="24"/>
        </w:rPr>
        <w:t>, for one reason or another,</w:t>
      </w:r>
      <w:r w:rsidR="00923740">
        <w:rPr>
          <w:sz w:val="24"/>
          <w:szCs w:val="24"/>
        </w:rPr>
        <w:t xml:space="preserve"> many of the decisions discussed are anything other than </w:t>
      </w:r>
      <w:r w:rsidR="00DC7F9E">
        <w:rPr>
          <w:sz w:val="24"/>
          <w:szCs w:val="24"/>
        </w:rPr>
        <w:t>significant milestones in the development of the European legal order.</w:t>
      </w:r>
    </w:p>
    <w:p w14:paraId="60941027" w14:textId="51DE09A0" w:rsidR="00F11A13" w:rsidRDefault="00A4273A" w:rsidP="002B6B47">
      <w:pPr>
        <w:spacing w:line="360" w:lineRule="auto"/>
        <w:ind w:firstLine="720"/>
        <w:jc w:val="both"/>
        <w:rPr>
          <w:sz w:val="24"/>
          <w:szCs w:val="24"/>
        </w:rPr>
      </w:pPr>
      <w:r>
        <w:rPr>
          <w:sz w:val="24"/>
          <w:szCs w:val="24"/>
        </w:rPr>
        <w:lastRenderedPageBreak/>
        <w:t xml:space="preserve">Chapter </w:t>
      </w:r>
      <w:r w:rsidR="008F052A">
        <w:rPr>
          <w:sz w:val="24"/>
          <w:szCs w:val="24"/>
        </w:rPr>
        <w:t>1</w:t>
      </w:r>
      <w:r>
        <w:rPr>
          <w:sz w:val="24"/>
          <w:szCs w:val="24"/>
        </w:rPr>
        <w:t xml:space="preserve">, analysing </w:t>
      </w:r>
      <w:r w:rsidRPr="002A759E">
        <w:rPr>
          <w:i/>
          <w:iCs/>
          <w:sz w:val="24"/>
          <w:szCs w:val="24"/>
        </w:rPr>
        <w:t>Pork Products</w:t>
      </w:r>
      <w:r>
        <w:rPr>
          <w:sz w:val="24"/>
          <w:szCs w:val="24"/>
        </w:rPr>
        <w:t xml:space="preserve">, </w:t>
      </w:r>
      <w:r w:rsidR="00881C61">
        <w:rPr>
          <w:sz w:val="24"/>
          <w:szCs w:val="24"/>
        </w:rPr>
        <w:t>sets</w:t>
      </w:r>
      <w:r w:rsidR="00B73D97">
        <w:rPr>
          <w:sz w:val="24"/>
          <w:szCs w:val="24"/>
        </w:rPr>
        <w:t xml:space="preserve"> the</w:t>
      </w:r>
      <w:r w:rsidR="00881C61">
        <w:rPr>
          <w:sz w:val="24"/>
          <w:szCs w:val="24"/>
        </w:rPr>
        <w:t xml:space="preserve"> </w:t>
      </w:r>
      <w:r w:rsidR="00002141">
        <w:rPr>
          <w:sz w:val="24"/>
          <w:szCs w:val="24"/>
        </w:rPr>
        <w:t>scene</w:t>
      </w:r>
      <w:r w:rsidR="00881C61">
        <w:rPr>
          <w:sz w:val="24"/>
          <w:szCs w:val="24"/>
        </w:rPr>
        <w:t xml:space="preserve"> for Phelan’s reorientation of the early case law around </w:t>
      </w:r>
      <w:r w:rsidR="00762402">
        <w:rPr>
          <w:sz w:val="24"/>
          <w:szCs w:val="24"/>
        </w:rPr>
        <w:t xml:space="preserve">discussion of self-help and retaliation </w:t>
      </w:r>
      <w:r w:rsidR="00AE22A8">
        <w:rPr>
          <w:sz w:val="24"/>
          <w:szCs w:val="24"/>
        </w:rPr>
        <w:t>mechanisms</w:t>
      </w:r>
      <w:r w:rsidR="005268F8">
        <w:rPr>
          <w:sz w:val="24"/>
          <w:szCs w:val="24"/>
        </w:rPr>
        <w:t xml:space="preserve"> in international trade law. </w:t>
      </w:r>
      <w:r w:rsidR="00F11A13">
        <w:rPr>
          <w:sz w:val="24"/>
          <w:szCs w:val="24"/>
        </w:rPr>
        <w:t xml:space="preserve">The choice of that decision as an entry point is logical. It </w:t>
      </w:r>
      <w:r w:rsidR="0075545C">
        <w:rPr>
          <w:sz w:val="24"/>
          <w:szCs w:val="24"/>
        </w:rPr>
        <w:t>addressed</w:t>
      </w:r>
      <w:r w:rsidR="00F11A13">
        <w:rPr>
          <w:sz w:val="24"/>
          <w:szCs w:val="24"/>
        </w:rPr>
        <w:t xml:space="preserve"> the interpretation of </w:t>
      </w:r>
      <w:r w:rsidR="00617E63">
        <w:rPr>
          <w:sz w:val="24"/>
          <w:szCs w:val="24"/>
        </w:rPr>
        <w:t>Art 226 EEC</w:t>
      </w:r>
      <w:r w:rsidR="00D81884">
        <w:rPr>
          <w:sz w:val="24"/>
          <w:szCs w:val="24"/>
        </w:rPr>
        <w:t>, which empowered Member States – through the Commission – to adopt</w:t>
      </w:r>
      <w:r w:rsidR="00617E63">
        <w:rPr>
          <w:sz w:val="24"/>
          <w:szCs w:val="24"/>
        </w:rPr>
        <w:t xml:space="preserve"> protective measures</w:t>
      </w:r>
      <w:r w:rsidR="00D405C1">
        <w:rPr>
          <w:sz w:val="24"/>
          <w:szCs w:val="24"/>
        </w:rPr>
        <w:t xml:space="preserve"> to restrict trade in exceptional circumstances. </w:t>
      </w:r>
      <w:r w:rsidR="0084011C">
        <w:rPr>
          <w:sz w:val="24"/>
          <w:szCs w:val="24"/>
        </w:rPr>
        <w:t>As the first judgment on the Treaty of Rome</w:t>
      </w:r>
      <w:r w:rsidR="00E54BAC">
        <w:rPr>
          <w:sz w:val="24"/>
          <w:szCs w:val="24"/>
        </w:rPr>
        <w:t>,</w:t>
      </w:r>
      <w:r w:rsidR="0084011C">
        <w:rPr>
          <w:sz w:val="24"/>
          <w:szCs w:val="24"/>
        </w:rPr>
        <w:t xml:space="preserve"> i</w:t>
      </w:r>
      <w:r w:rsidR="00E54BAC">
        <w:rPr>
          <w:sz w:val="24"/>
          <w:szCs w:val="24"/>
        </w:rPr>
        <w:t>t</w:t>
      </w:r>
      <w:r w:rsidR="0084011C">
        <w:rPr>
          <w:sz w:val="24"/>
          <w:szCs w:val="24"/>
        </w:rPr>
        <w:t xml:space="preserve"> also carries symbolic significance</w:t>
      </w:r>
      <w:r w:rsidR="00215577">
        <w:rPr>
          <w:sz w:val="24"/>
          <w:szCs w:val="24"/>
        </w:rPr>
        <w:t xml:space="preserve">. </w:t>
      </w:r>
      <w:r w:rsidR="00E639CF">
        <w:rPr>
          <w:sz w:val="24"/>
          <w:szCs w:val="24"/>
        </w:rPr>
        <w:t>The</w:t>
      </w:r>
      <w:r w:rsidR="003A78B2">
        <w:rPr>
          <w:sz w:val="24"/>
          <w:szCs w:val="24"/>
        </w:rPr>
        <w:t xml:space="preserve"> </w:t>
      </w:r>
      <w:r w:rsidR="00EF034C">
        <w:rPr>
          <w:sz w:val="24"/>
          <w:szCs w:val="24"/>
        </w:rPr>
        <w:t>analysis</w:t>
      </w:r>
      <w:r w:rsidR="003A78B2">
        <w:rPr>
          <w:sz w:val="24"/>
          <w:szCs w:val="24"/>
        </w:rPr>
        <w:t xml:space="preserve"> of </w:t>
      </w:r>
      <w:r w:rsidR="00D3110A" w:rsidRPr="002A759E">
        <w:rPr>
          <w:i/>
          <w:iCs/>
          <w:sz w:val="24"/>
          <w:szCs w:val="24"/>
        </w:rPr>
        <w:t>Pork Products</w:t>
      </w:r>
      <w:r w:rsidR="00D3110A">
        <w:rPr>
          <w:sz w:val="24"/>
          <w:szCs w:val="24"/>
        </w:rPr>
        <w:t xml:space="preserve"> </w:t>
      </w:r>
      <w:r w:rsidR="009C4254">
        <w:rPr>
          <w:sz w:val="24"/>
          <w:szCs w:val="24"/>
        </w:rPr>
        <w:t xml:space="preserve">outlines several points that frame </w:t>
      </w:r>
      <w:r w:rsidR="00EF034C">
        <w:rPr>
          <w:sz w:val="24"/>
          <w:szCs w:val="24"/>
        </w:rPr>
        <w:t>discussion in subsequent chapters</w:t>
      </w:r>
      <w:r w:rsidR="00007A03">
        <w:rPr>
          <w:sz w:val="24"/>
          <w:szCs w:val="24"/>
        </w:rPr>
        <w:t xml:space="preserve">. </w:t>
      </w:r>
      <w:r w:rsidR="0041076D">
        <w:rPr>
          <w:sz w:val="24"/>
          <w:szCs w:val="24"/>
        </w:rPr>
        <w:t>These include</w:t>
      </w:r>
      <w:r w:rsidR="00007A03">
        <w:rPr>
          <w:sz w:val="24"/>
          <w:szCs w:val="24"/>
        </w:rPr>
        <w:t>,</w:t>
      </w:r>
      <w:r w:rsidR="0041076D">
        <w:rPr>
          <w:sz w:val="24"/>
          <w:szCs w:val="24"/>
        </w:rPr>
        <w:t xml:space="preserve"> first,</w:t>
      </w:r>
      <w:r w:rsidR="00901118">
        <w:rPr>
          <w:sz w:val="24"/>
          <w:szCs w:val="24"/>
        </w:rPr>
        <w:t xml:space="preserve"> </w:t>
      </w:r>
      <w:r w:rsidR="009B6957">
        <w:rPr>
          <w:sz w:val="24"/>
          <w:szCs w:val="24"/>
        </w:rPr>
        <w:t xml:space="preserve">the fact </w:t>
      </w:r>
      <w:r w:rsidR="00007A03">
        <w:rPr>
          <w:sz w:val="24"/>
          <w:szCs w:val="24"/>
        </w:rPr>
        <w:t xml:space="preserve">that, </w:t>
      </w:r>
      <w:r w:rsidR="00987937">
        <w:rPr>
          <w:sz w:val="24"/>
          <w:szCs w:val="24"/>
        </w:rPr>
        <w:t>in common with other</w:t>
      </w:r>
      <w:r w:rsidR="00007A03">
        <w:rPr>
          <w:sz w:val="24"/>
          <w:szCs w:val="24"/>
        </w:rPr>
        <w:t xml:space="preserve"> international trade treat</w:t>
      </w:r>
      <w:r w:rsidR="00987937">
        <w:rPr>
          <w:sz w:val="24"/>
          <w:szCs w:val="24"/>
        </w:rPr>
        <w:t>ies</w:t>
      </w:r>
      <w:r w:rsidR="00007A03">
        <w:rPr>
          <w:sz w:val="24"/>
          <w:szCs w:val="24"/>
        </w:rPr>
        <w:t xml:space="preserve">, the Treaty of Rome </w:t>
      </w:r>
      <w:r w:rsidR="00876276">
        <w:rPr>
          <w:sz w:val="24"/>
          <w:szCs w:val="24"/>
        </w:rPr>
        <w:t>included</w:t>
      </w:r>
      <w:r w:rsidR="003B0135">
        <w:rPr>
          <w:sz w:val="24"/>
          <w:szCs w:val="24"/>
        </w:rPr>
        <w:t xml:space="preserve"> specific</w:t>
      </w:r>
      <w:r w:rsidR="00402EA1">
        <w:rPr>
          <w:sz w:val="24"/>
          <w:szCs w:val="24"/>
        </w:rPr>
        <w:t xml:space="preserve"> safeguard clauses</w:t>
      </w:r>
      <w:r w:rsidR="00987937">
        <w:rPr>
          <w:sz w:val="24"/>
          <w:szCs w:val="24"/>
        </w:rPr>
        <w:t xml:space="preserve"> to manage </w:t>
      </w:r>
      <w:r w:rsidR="00D555E9">
        <w:rPr>
          <w:sz w:val="24"/>
          <w:szCs w:val="24"/>
        </w:rPr>
        <w:t xml:space="preserve">inter-state trade disputes. Secondly, </w:t>
      </w:r>
      <w:r w:rsidR="003B0135">
        <w:rPr>
          <w:sz w:val="24"/>
          <w:szCs w:val="24"/>
        </w:rPr>
        <w:t xml:space="preserve">that those clauses were distinctive by virtue of the fact that they required Member States to </w:t>
      </w:r>
      <w:r w:rsidR="008B79E1">
        <w:rPr>
          <w:sz w:val="24"/>
          <w:szCs w:val="24"/>
        </w:rPr>
        <w:t>seek prior authorisation from the European institutions</w:t>
      </w:r>
      <w:r w:rsidR="005F2296">
        <w:rPr>
          <w:sz w:val="24"/>
          <w:szCs w:val="24"/>
        </w:rPr>
        <w:t xml:space="preserve"> to </w:t>
      </w:r>
      <w:r w:rsidR="00AB64B3">
        <w:rPr>
          <w:sz w:val="24"/>
          <w:szCs w:val="24"/>
        </w:rPr>
        <w:t>activate them lawfully. Thirdly, that</w:t>
      </w:r>
      <w:r w:rsidR="00E16829">
        <w:rPr>
          <w:sz w:val="24"/>
          <w:szCs w:val="24"/>
        </w:rPr>
        <w:t xml:space="preserve">, in combination with </w:t>
      </w:r>
      <w:r w:rsidR="00E34B87">
        <w:rPr>
          <w:sz w:val="24"/>
          <w:szCs w:val="24"/>
        </w:rPr>
        <w:t>its</w:t>
      </w:r>
      <w:r w:rsidR="00E16829">
        <w:rPr>
          <w:sz w:val="24"/>
          <w:szCs w:val="24"/>
        </w:rPr>
        <w:t xml:space="preserve"> infringement procedures and </w:t>
      </w:r>
      <w:r w:rsidR="00E34B87">
        <w:rPr>
          <w:sz w:val="24"/>
          <w:szCs w:val="24"/>
        </w:rPr>
        <w:t>provisions</w:t>
      </w:r>
      <w:r w:rsidR="00F059C1">
        <w:rPr>
          <w:sz w:val="24"/>
          <w:szCs w:val="24"/>
        </w:rPr>
        <w:t xml:space="preserve"> on the</w:t>
      </w:r>
      <w:r w:rsidR="00E34B87">
        <w:rPr>
          <w:sz w:val="24"/>
          <w:szCs w:val="24"/>
        </w:rPr>
        <w:t xml:space="preserve"> declaratory status of Court of Justice judgments, the</w:t>
      </w:r>
      <w:r w:rsidR="00F059C1">
        <w:rPr>
          <w:sz w:val="24"/>
          <w:szCs w:val="24"/>
        </w:rPr>
        <w:t xml:space="preserve"> Treaty of Rome provided an incomplete and</w:t>
      </w:r>
      <w:r w:rsidR="00490549">
        <w:rPr>
          <w:sz w:val="24"/>
          <w:szCs w:val="24"/>
        </w:rPr>
        <w:t xml:space="preserve">, </w:t>
      </w:r>
      <w:r w:rsidR="00EA0161">
        <w:rPr>
          <w:sz w:val="24"/>
          <w:szCs w:val="24"/>
        </w:rPr>
        <w:t>in his view</w:t>
      </w:r>
      <w:r w:rsidR="00490549">
        <w:rPr>
          <w:sz w:val="24"/>
          <w:szCs w:val="24"/>
        </w:rPr>
        <w:t>,</w:t>
      </w:r>
      <w:r w:rsidR="00F059C1">
        <w:rPr>
          <w:sz w:val="24"/>
          <w:szCs w:val="24"/>
        </w:rPr>
        <w:t xml:space="preserve"> inadequate framework to address the practical problems of </w:t>
      </w:r>
      <w:r w:rsidR="00042914">
        <w:rPr>
          <w:sz w:val="24"/>
          <w:szCs w:val="24"/>
        </w:rPr>
        <w:t>Treaty compliance</w:t>
      </w:r>
      <w:r w:rsidR="00F53CC0">
        <w:rPr>
          <w:sz w:val="24"/>
          <w:szCs w:val="24"/>
        </w:rPr>
        <w:t xml:space="preserve"> between the Member States</w:t>
      </w:r>
      <w:r w:rsidR="00042914">
        <w:rPr>
          <w:sz w:val="24"/>
          <w:szCs w:val="24"/>
        </w:rPr>
        <w:t xml:space="preserve">. </w:t>
      </w:r>
    </w:p>
    <w:p w14:paraId="7D7558BE" w14:textId="5BBFD315" w:rsidR="00CC6561" w:rsidRDefault="00042914" w:rsidP="002B6B47">
      <w:pPr>
        <w:spacing w:line="360" w:lineRule="auto"/>
        <w:ind w:firstLine="720"/>
        <w:jc w:val="both"/>
        <w:rPr>
          <w:sz w:val="24"/>
          <w:szCs w:val="24"/>
        </w:rPr>
      </w:pPr>
      <w:r>
        <w:rPr>
          <w:sz w:val="24"/>
          <w:szCs w:val="24"/>
        </w:rPr>
        <w:t>Chapter</w:t>
      </w:r>
      <w:r w:rsidR="00490549">
        <w:rPr>
          <w:sz w:val="24"/>
          <w:szCs w:val="24"/>
        </w:rPr>
        <w:t xml:space="preserve">s </w:t>
      </w:r>
      <w:r w:rsidR="008F052A">
        <w:rPr>
          <w:sz w:val="24"/>
          <w:szCs w:val="24"/>
        </w:rPr>
        <w:t>2</w:t>
      </w:r>
      <w:r w:rsidR="00490549">
        <w:rPr>
          <w:sz w:val="24"/>
          <w:szCs w:val="24"/>
        </w:rPr>
        <w:t xml:space="preserve">, </w:t>
      </w:r>
      <w:r w:rsidR="008F052A">
        <w:rPr>
          <w:sz w:val="24"/>
          <w:szCs w:val="24"/>
        </w:rPr>
        <w:t>3</w:t>
      </w:r>
      <w:r w:rsidR="00490549">
        <w:rPr>
          <w:sz w:val="24"/>
          <w:szCs w:val="24"/>
        </w:rPr>
        <w:t xml:space="preserve"> and </w:t>
      </w:r>
      <w:r w:rsidR="008F052A">
        <w:rPr>
          <w:sz w:val="24"/>
          <w:szCs w:val="24"/>
        </w:rPr>
        <w:t>4</w:t>
      </w:r>
      <w:r w:rsidR="00490549">
        <w:rPr>
          <w:sz w:val="24"/>
          <w:szCs w:val="24"/>
        </w:rPr>
        <w:t xml:space="preserve"> </w:t>
      </w:r>
      <w:r w:rsidR="00B579F4">
        <w:rPr>
          <w:sz w:val="24"/>
          <w:szCs w:val="24"/>
        </w:rPr>
        <w:t xml:space="preserve">do the heavy-lifting. </w:t>
      </w:r>
      <w:r w:rsidR="00EA0161">
        <w:rPr>
          <w:sz w:val="24"/>
          <w:szCs w:val="24"/>
        </w:rPr>
        <w:t>It is a</w:t>
      </w:r>
      <w:r w:rsidR="00761625">
        <w:rPr>
          <w:sz w:val="24"/>
          <w:szCs w:val="24"/>
        </w:rPr>
        <w:t>cross these three chapters</w:t>
      </w:r>
      <w:r w:rsidR="00EA0161">
        <w:rPr>
          <w:sz w:val="24"/>
          <w:szCs w:val="24"/>
        </w:rPr>
        <w:t xml:space="preserve"> that </w:t>
      </w:r>
      <w:r w:rsidR="00761625">
        <w:rPr>
          <w:sz w:val="24"/>
          <w:szCs w:val="24"/>
        </w:rPr>
        <w:t xml:space="preserve">Phelan </w:t>
      </w:r>
      <w:r w:rsidR="00023104">
        <w:rPr>
          <w:sz w:val="24"/>
          <w:szCs w:val="24"/>
        </w:rPr>
        <w:t>argues that, taken together, the Court’s formative case law on direct effect and primacy ought to be understood as a</w:t>
      </w:r>
      <w:r w:rsidR="008A5302">
        <w:rPr>
          <w:sz w:val="24"/>
          <w:szCs w:val="24"/>
        </w:rPr>
        <w:t>n unmistakabl</w:t>
      </w:r>
      <w:r w:rsidR="00C441DD">
        <w:rPr>
          <w:sz w:val="24"/>
          <w:szCs w:val="24"/>
        </w:rPr>
        <w:t>e</w:t>
      </w:r>
      <w:r w:rsidR="008A5302">
        <w:rPr>
          <w:sz w:val="24"/>
          <w:szCs w:val="24"/>
        </w:rPr>
        <w:t xml:space="preserve"> attempt by the Court of Justice to</w:t>
      </w:r>
      <w:r w:rsidR="004D6458">
        <w:rPr>
          <w:sz w:val="24"/>
          <w:szCs w:val="24"/>
        </w:rPr>
        <w:t xml:space="preserve"> address gaps in the EEC Treaty’s framework </w:t>
      </w:r>
      <w:r w:rsidR="00DA7FEA">
        <w:rPr>
          <w:sz w:val="24"/>
          <w:szCs w:val="24"/>
        </w:rPr>
        <w:t>regulating</w:t>
      </w:r>
      <w:r w:rsidR="004D6458">
        <w:rPr>
          <w:sz w:val="24"/>
          <w:szCs w:val="24"/>
        </w:rPr>
        <w:t xml:space="preserve"> </w:t>
      </w:r>
      <w:r w:rsidR="00E159F3">
        <w:rPr>
          <w:sz w:val="24"/>
          <w:szCs w:val="24"/>
        </w:rPr>
        <w:t xml:space="preserve">inter-state trade retaliation measures. </w:t>
      </w:r>
      <w:r w:rsidR="00121E3B" w:rsidRPr="00CC42A7">
        <w:rPr>
          <w:i/>
          <w:iCs/>
          <w:sz w:val="24"/>
          <w:szCs w:val="24"/>
        </w:rPr>
        <w:t>Van Gend en Loos</w:t>
      </w:r>
      <w:r w:rsidR="00121E3B">
        <w:rPr>
          <w:sz w:val="24"/>
          <w:szCs w:val="24"/>
        </w:rPr>
        <w:t>, in particular,</w:t>
      </w:r>
      <w:r w:rsidR="00A968EE">
        <w:rPr>
          <w:sz w:val="24"/>
          <w:szCs w:val="24"/>
        </w:rPr>
        <w:t xml:space="preserve"> he argues,</w:t>
      </w:r>
      <w:r w:rsidR="00121E3B">
        <w:rPr>
          <w:sz w:val="24"/>
          <w:szCs w:val="24"/>
        </w:rPr>
        <w:t xml:space="preserve"> </w:t>
      </w:r>
      <w:r w:rsidR="005B4B49">
        <w:rPr>
          <w:sz w:val="24"/>
          <w:szCs w:val="24"/>
        </w:rPr>
        <w:t>was</w:t>
      </w:r>
      <w:r w:rsidR="00121E3B">
        <w:rPr>
          <w:sz w:val="24"/>
          <w:szCs w:val="24"/>
        </w:rPr>
        <w:t xml:space="preserve"> not abo</w:t>
      </w:r>
      <w:r w:rsidR="0000079C">
        <w:rPr>
          <w:sz w:val="24"/>
          <w:szCs w:val="24"/>
        </w:rPr>
        <w:t xml:space="preserve">ut recasting the relationship between the state and individuals in the European legal order. Instead, direct effect was established, </w:t>
      </w:r>
      <w:r w:rsidR="00F85DAD">
        <w:rPr>
          <w:sz w:val="24"/>
          <w:szCs w:val="24"/>
        </w:rPr>
        <w:t>he</w:t>
      </w:r>
      <w:r w:rsidR="0000079C">
        <w:rPr>
          <w:sz w:val="24"/>
          <w:szCs w:val="24"/>
        </w:rPr>
        <w:t xml:space="preserve"> </w:t>
      </w:r>
      <w:r w:rsidR="005B4B49">
        <w:rPr>
          <w:sz w:val="24"/>
          <w:szCs w:val="24"/>
        </w:rPr>
        <w:t>maintains</w:t>
      </w:r>
      <w:r w:rsidR="0000079C">
        <w:rPr>
          <w:sz w:val="24"/>
          <w:szCs w:val="24"/>
        </w:rPr>
        <w:t>, specifically to</w:t>
      </w:r>
      <w:r w:rsidR="00D913FB">
        <w:rPr>
          <w:sz w:val="24"/>
          <w:szCs w:val="24"/>
        </w:rPr>
        <w:t xml:space="preserve"> </w:t>
      </w:r>
      <w:r w:rsidR="00EB75B8">
        <w:rPr>
          <w:sz w:val="24"/>
          <w:szCs w:val="24"/>
        </w:rPr>
        <w:t>address</w:t>
      </w:r>
      <w:r w:rsidR="007E7030">
        <w:rPr>
          <w:sz w:val="24"/>
          <w:szCs w:val="24"/>
        </w:rPr>
        <w:t xml:space="preserve"> the enforcement</w:t>
      </w:r>
      <w:r w:rsidR="00CC6561">
        <w:rPr>
          <w:sz w:val="24"/>
          <w:szCs w:val="24"/>
        </w:rPr>
        <w:t xml:space="preserve"> of trade obligations between the Member States</w:t>
      </w:r>
      <w:r w:rsidR="002860EB">
        <w:rPr>
          <w:sz w:val="24"/>
          <w:szCs w:val="24"/>
        </w:rPr>
        <w:t xml:space="preserve"> as contracting parties</w:t>
      </w:r>
      <w:r w:rsidR="00CC6561">
        <w:rPr>
          <w:sz w:val="24"/>
          <w:szCs w:val="24"/>
        </w:rPr>
        <w:t>:</w:t>
      </w:r>
    </w:p>
    <w:p w14:paraId="0070A754" w14:textId="196253DE" w:rsidR="00042914" w:rsidRDefault="00CC6561" w:rsidP="00AE3139">
      <w:pPr>
        <w:spacing w:line="360" w:lineRule="auto"/>
        <w:ind w:left="720" w:right="804"/>
        <w:jc w:val="both"/>
        <w:rPr>
          <w:sz w:val="24"/>
          <w:szCs w:val="24"/>
        </w:rPr>
      </w:pPr>
      <w:r>
        <w:rPr>
          <w:sz w:val="24"/>
          <w:szCs w:val="24"/>
        </w:rPr>
        <w:t xml:space="preserve">‘the central contribution of </w:t>
      </w:r>
      <w:r w:rsidRPr="002860EB">
        <w:rPr>
          <w:i/>
          <w:iCs/>
          <w:sz w:val="24"/>
          <w:szCs w:val="24"/>
        </w:rPr>
        <w:t>Van Gend en Loos</w:t>
      </w:r>
      <w:r w:rsidR="00D913FB">
        <w:rPr>
          <w:sz w:val="24"/>
          <w:szCs w:val="24"/>
        </w:rPr>
        <w:t xml:space="preserve"> </w:t>
      </w:r>
      <w:r w:rsidR="00EB75B8">
        <w:rPr>
          <w:sz w:val="24"/>
          <w:szCs w:val="24"/>
        </w:rPr>
        <w:t>is that it provided a mechanism</w:t>
      </w:r>
      <w:r w:rsidR="002C381F">
        <w:rPr>
          <w:sz w:val="24"/>
          <w:szCs w:val="24"/>
        </w:rPr>
        <w:t xml:space="preserve"> that allowed the Member States to give up the use of inter-state</w:t>
      </w:r>
      <w:r w:rsidR="00AE3139">
        <w:rPr>
          <w:sz w:val="24"/>
          <w:szCs w:val="24"/>
        </w:rPr>
        <w:t xml:space="preserve"> retaliation and reciprocity mechanisms to enforce European treaty obligations.’</w:t>
      </w:r>
      <w:r w:rsidR="001E2D28">
        <w:rPr>
          <w:rStyle w:val="FootnoteReference"/>
          <w:sz w:val="24"/>
          <w:szCs w:val="24"/>
        </w:rPr>
        <w:footnoteReference w:id="22"/>
      </w:r>
    </w:p>
    <w:p w14:paraId="66DCB7C3" w14:textId="157025D2" w:rsidR="00F85DAD" w:rsidRDefault="009F4350" w:rsidP="009227F0">
      <w:pPr>
        <w:spacing w:line="360" w:lineRule="auto"/>
        <w:jc w:val="both"/>
        <w:rPr>
          <w:sz w:val="24"/>
          <w:szCs w:val="24"/>
        </w:rPr>
      </w:pPr>
      <w:r>
        <w:rPr>
          <w:sz w:val="24"/>
          <w:szCs w:val="24"/>
        </w:rPr>
        <w:t>The fact that this interpretation is nowhere to be found in the text of the judgment – which Phelan</w:t>
      </w:r>
      <w:r w:rsidR="00560A56">
        <w:rPr>
          <w:sz w:val="24"/>
          <w:szCs w:val="24"/>
        </w:rPr>
        <w:t xml:space="preserve"> freely</w:t>
      </w:r>
      <w:r>
        <w:rPr>
          <w:sz w:val="24"/>
          <w:szCs w:val="24"/>
        </w:rPr>
        <w:t xml:space="preserve"> concedes</w:t>
      </w:r>
      <w:r w:rsidR="001E2D28">
        <w:rPr>
          <w:sz w:val="24"/>
          <w:szCs w:val="24"/>
        </w:rPr>
        <w:t xml:space="preserve"> (p. </w:t>
      </w:r>
      <w:r w:rsidR="00BE2FEC">
        <w:rPr>
          <w:sz w:val="24"/>
          <w:szCs w:val="24"/>
        </w:rPr>
        <w:t>51)</w:t>
      </w:r>
      <w:r>
        <w:rPr>
          <w:sz w:val="24"/>
          <w:szCs w:val="24"/>
        </w:rPr>
        <w:t xml:space="preserve"> – </w:t>
      </w:r>
      <w:r w:rsidR="00474E01">
        <w:rPr>
          <w:sz w:val="24"/>
          <w:szCs w:val="24"/>
        </w:rPr>
        <w:t xml:space="preserve">does not trouble the author. </w:t>
      </w:r>
      <w:r w:rsidR="00195454">
        <w:rPr>
          <w:sz w:val="24"/>
          <w:szCs w:val="24"/>
        </w:rPr>
        <w:t xml:space="preserve">It is the deeper context </w:t>
      </w:r>
      <w:r w:rsidR="00377F0F">
        <w:rPr>
          <w:sz w:val="24"/>
          <w:szCs w:val="24"/>
        </w:rPr>
        <w:t xml:space="preserve">that </w:t>
      </w:r>
      <w:r w:rsidR="00B246B7">
        <w:rPr>
          <w:sz w:val="24"/>
          <w:szCs w:val="24"/>
        </w:rPr>
        <w:t xml:space="preserve">Phelan invites us to accept as the basis for this </w:t>
      </w:r>
      <w:r w:rsidR="0077707E">
        <w:rPr>
          <w:sz w:val="24"/>
          <w:szCs w:val="24"/>
        </w:rPr>
        <w:t xml:space="preserve">reconstruction of </w:t>
      </w:r>
      <w:r w:rsidR="00824211">
        <w:rPr>
          <w:sz w:val="24"/>
          <w:szCs w:val="24"/>
        </w:rPr>
        <w:t xml:space="preserve">arguably the most significant </w:t>
      </w:r>
      <w:r w:rsidR="00824211">
        <w:rPr>
          <w:sz w:val="24"/>
          <w:szCs w:val="24"/>
        </w:rPr>
        <w:lastRenderedPageBreak/>
        <w:t xml:space="preserve">decision of the Luxembourg Court. </w:t>
      </w:r>
      <w:r w:rsidR="00195454">
        <w:rPr>
          <w:sz w:val="24"/>
          <w:szCs w:val="24"/>
        </w:rPr>
        <w:t xml:space="preserve"> </w:t>
      </w:r>
      <w:r w:rsidR="00EA3380">
        <w:rPr>
          <w:sz w:val="24"/>
          <w:szCs w:val="24"/>
        </w:rPr>
        <w:t xml:space="preserve">The Court’s statements on the </w:t>
      </w:r>
      <w:r w:rsidR="00D2259E">
        <w:rPr>
          <w:sz w:val="24"/>
          <w:szCs w:val="24"/>
        </w:rPr>
        <w:t xml:space="preserve">nature of the Treaty as the basis of a ‘new legal order’ </w:t>
      </w:r>
      <w:r w:rsidR="00A22157">
        <w:rPr>
          <w:sz w:val="24"/>
          <w:szCs w:val="24"/>
        </w:rPr>
        <w:t>that is expressly defined</w:t>
      </w:r>
      <w:r w:rsidR="00D2259E">
        <w:rPr>
          <w:sz w:val="24"/>
          <w:szCs w:val="24"/>
        </w:rPr>
        <w:t xml:space="preserve"> opposition to </w:t>
      </w:r>
      <w:r w:rsidR="00A22157">
        <w:rPr>
          <w:sz w:val="24"/>
          <w:szCs w:val="24"/>
        </w:rPr>
        <w:t xml:space="preserve">international law and </w:t>
      </w:r>
      <w:r w:rsidR="0064223C">
        <w:rPr>
          <w:sz w:val="24"/>
          <w:szCs w:val="24"/>
        </w:rPr>
        <w:t>defines the place of individual</w:t>
      </w:r>
      <w:r w:rsidR="00831902">
        <w:rPr>
          <w:sz w:val="24"/>
          <w:szCs w:val="24"/>
        </w:rPr>
        <w:t>s</w:t>
      </w:r>
      <w:r w:rsidR="0064223C">
        <w:rPr>
          <w:sz w:val="24"/>
          <w:szCs w:val="24"/>
        </w:rPr>
        <w:t xml:space="preserve"> within it as the bearers of direct rights and responsibilities </w:t>
      </w:r>
      <w:r w:rsidR="00780E06">
        <w:rPr>
          <w:sz w:val="24"/>
          <w:szCs w:val="24"/>
        </w:rPr>
        <w:t>are</w:t>
      </w:r>
      <w:r w:rsidR="0009115D">
        <w:rPr>
          <w:sz w:val="24"/>
          <w:szCs w:val="24"/>
        </w:rPr>
        <w:t xml:space="preserve">, </w:t>
      </w:r>
      <w:r w:rsidR="00997739">
        <w:rPr>
          <w:sz w:val="24"/>
          <w:szCs w:val="24"/>
        </w:rPr>
        <w:t>in effect</w:t>
      </w:r>
      <w:r w:rsidR="0009115D">
        <w:rPr>
          <w:sz w:val="24"/>
          <w:szCs w:val="24"/>
        </w:rPr>
        <w:t>, reduced to</w:t>
      </w:r>
      <w:r w:rsidR="00780E06">
        <w:rPr>
          <w:sz w:val="24"/>
          <w:szCs w:val="24"/>
        </w:rPr>
        <w:t xml:space="preserve"> </w:t>
      </w:r>
      <w:r w:rsidR="0009115D">
        <w:rPr>
          <w:sz w:val="24"/>
          <w:szCs w:val="24"/>
        </w:rPr>
        <w:t>distractions</w:t>
      </w:r>
      <w:r w:rsidR="00780E06">
        <w:rPr>
          <w:sz w:val="24"/>
          <w:szCs w:val="24"/>
        </w:rPr>
        <w:t xml:space="preserve">. </w:t>
      </w:r>
    </w:p>
    <w:p w14:paraId="2E03181D" w14:textId="2F52179A" w:rsidR="007B0348" w:rsidRDefault="00195811" w:rsidP="00FC7BEF">
      <w:pPr>
        <w:spacing w:line="360" w:lineRule="auto"/>
        <w:ind w:firstLine="720"/>
        <w:jc w:val="both"/>
        <w:rPr>
          <w:sz w:val="24"/>
          <w:szCs w:val="24"/>
        </w:rPr>
      </w:pPr>
      <w:r>
        <w:rPr>
          <w:sz w:val="24"/>
          <w:szCs w:val="24"/>
        </w:rPr>
        <w:t>C</w:t>
      </w:r>
      <w:r w:rsidR="009F33E2">
        <w:rPr>
          <w:sz w:val="24"/>
          <w:szCs w:val="24"/>
        </w:rPr>
        <w:t>hapter</w:t>
      </w:r>
      <w:r>
        <w:rPr>
          <w:sz w:val="24"/>
          <w:szCs w:val="24"/>
        </w:rPr>
        <w:t>s</w:t>
      </w:r>
      <w:r w:rsidR="009F33E2">
        <w:rPr>
          <w:sz w:val="24"/>
          <w:szCs w:val="24"/>
        </w:rPr>
        <w:t xml:space="preserve"> 3</w:t>
      </w:r>
      <w:r>
        <w:rPr>
          <w:sz w:val="24"/>
          <w:szCs w:val="24"/>
        </w:rPr>
        <w:t xml:space="preserve"> and 4, respectively, connect</w:t>
      </w:r>
      <w:r w:rsidR="002860EB">
        <w:rPr>
          <w:sz w:val="24"/>
          <w:szCs w:val="24"/>
        </w:rPr>
        <w:t xml:space="preserve"> </w:t>
      </w:r>
      <w:r w:rsidRPr="00195811">
        <w:rPr>
          <w:i/>
          <w:iCs/>
          <w:sz w:val="24"/>
          <w:szCs w:val="24"/>
        </w:rPr>
        <w:t>Costa</w:t>
      </w:r>
      <w:r>
        <w:rPr>
          <w:sz w:val="24"/>
          <w:szCs w:val="24"/>
        </w:rPr>
        <w:t xml:space="preserve"> and </w:t>
      </w:r>
      <w:r w:rsidR="002860EB" w:rsidRPr="00913735">
        <w:rPr>
          <w:i/>
          <w:iCs/>
          <w:sz w:val="24"/>
          <w:szCs w:val="24"/>
        </w:rPr>
        <w:t>Dairy Products</w:t>
      </w:r>
      <w:r w:rsidR="002860EB">
        <w:rPr>
          <w:sz w:val="24"/>
          <w:szCs w:val="24"/>
        </w:rPr>
        <w:t xml:space="preserve"> </w:t>
      </w:r>
      <w:r>
        <w:rPr>
          <w:sz w:val="24"/>
          <w:szCs w:val="24"/>
        </w:rPr>
        <w:t xml:space="preserve">with that central claim. </w:t>
      </w:r>
      <w:r w:rsidR="002860EB">
        <w:rPr>
          <w:sz w:val="24"/>
          <w:szCs w:val="24"/>
        </w:rPr>
        <w:t xml:space="preserve">In relation to </w:t>
      </w:r>
      <w:r w:rsidR="00931000" w:rsidRPr="00931000">
        <w:rPr>
          <w:i/>
          <w:iCs/>
          <w:sz w:val="24"/>
          <w:szCs w:val="24"/>
        </w:rPr>
        <w:t>Costa</w:t>
      </w:r>
      <w:r w:rsidR="002860EB">
        <w:rPr>
          <w:sz w:val="24"/>
          <w:szCs w:val="24"/>
        </w:rPr>
        <w:t xml:space="preserve">, </w:t>
      </w:r>
      <w:r w:rsidR="00660E6E">
        <w:rPr>
          <w:sz w:val="24"/>
          <w:szCs w:val="24"/>
        </w:rPr>
        <w:t>the</w:t>
      </w:r>
      <w:r w:rsidR="005227C5">
        <w:rPr>
          <w:sz w:val="24"/>
          <w:szCs w:val="24"/>
        </w:rPr>
        <w:t xml:space="preserve"> Court’s assertion of the primacy of </w:t>
      </w:r>
      <w:r w:rsidR="009B0CBD">
        <w:rPr>
          <w:sz w:val="24"/>
          <w:szCs w:val="24"/>
        </w:rPr>
        <w:t>EEC Treaty norms</w:t>
      </w:r>
      <w:r w:rsidR="00660E6E">
        <w:rPr>
          <w:sz w:val="24"/>
          <w:szCs w:val="24"/>
        </w:rPr>
        <w:t xml:space="preserve"> is interpreted</w:t>
      </w:r>
      <w:r w:rsidR="004A4DFA">
        <w:rPr>
          <w:sz w:val="24"/>
          <w:szCs w:val="24"/>
        </w:rPr>
        <w:t xml:space="preserve"> as</w:t>
      </w:r>
      <w:r w:rsidR="009B0CBD">
        <w:rPr>
          <w:sz w:val="24"/>
          <w:szCs w:val="24"/>
        </w:rPr>
        <w:t xml:space="preserve"> </w:t>
      </w:r>
      <w:r w:rsidR="004A4DFA">
        <w:rPr>
          <w:sz w:val="24"/>
          <w:szCs w:val="24"/>
        </w:rPr>
        <w:t>reinforcing</w:t>
      </w:r>
      <w:r w:rsidR="002A64EF">
        <w:rPr>
          <w:sz w:val="24"/>
          <w:szCs w:val="24"/>
        </w:rPr>
        <w:t xml:space="preserve"> the </w:t>
      </w:r>
      <w:r w:rsidR="00F73B32">
        <w:rPr>
          <w:sz w:val="24"/>
          <w:szCs w:val="24"/>
        </w:rPr>
        <w:t xml:space="preserve">introduction of direct effect as a means to foreclose </w:t>
      </w:r>
      <w:r w:rsidR="00AC3873">
        <w:rPr>
          <w:sz w:val="24"/>
          <w:szCs w:val="24"/>
        </w:rPr>
        <w:t xml:space="preserve">the possibility for Member States to </w:t>
      </w:r>
      <w:r w:rsidR="0019474A">
        <w:rPr>
          <w:sz w:val="24"/>
          <w:szCs w:val="24"/>
        </w:rPr>
        <w:t>resort to unilateral action to</w:t>
      </w:r>
      <w:r w:rsidR="00C74990">
        <w:rPr>
          <w:sz w:val="24"/>
          <w:szCs w:val="24"/>
        </w:rPr>
        <w:t xml:space="preserve"> escape their treaty commitment</w:t>
      </w:r>
      <w:r w:rsidR="003A3833">
        <w:rPr>
          <w:sz w:val="24"/>
          <w:szCs w:val="24"/>
        </w:rPr>
        <w:t>s</w:t>
      </w:r>
      <w:r w:rsidR="00C74990">
        <w:rPr>
          <w:sz w:val="24"/>
          <w:szCs w:val="24"/>
        </w:rPr>
        <w:t xml:space="preserve"> or, equally,</w:t>
      </w:r>
      <w:r w:rsidR="00A968EE">
        <w:rPr>
          <w:sz w:val="24"/>
          <w:szCs w:val="24"/>
        </w:rPr>
        <w:t xml:space="preserve"> to</w:t>
      </w:r>
      <w:r w:rsidR="00C74990">
        <w:rPr>
          <w:sz w:val="24"/>
          <w:szCs w:val="24"/>
        </w:rPr>
        <w:t xml:space="preserve"> respond to</w:t>
      </w:r>
      <w:r w:rsidR="0019474A">
        <w:rPr>
          <w:sz w:val="24"/>
          <w:szCs w:val="24"/>
        </w:rPr>
        <w:t xml:space="preserve"> infringements by other Member States. </w:t>
      </w:r>
      <w:r w:rsidR="00660E6E">
        <w:rPr>
          <w:sz w:val="24"/>
          <w:szCs w:val="24"/>
        </w:rPr>
        <w:t>Here Phelan draws expressly on the text of the judgment</w:t>
      </w:r>
      <w:r w:rsidR="00725912">
        <w:rPr>
          <w:sz w:val="24"/>
          <w:szCs w:val="24"/>
        </w:rPr>
        <w:t>, pointing to an explicit connection between</w:t>
      </w:r>
      <w:r w:rsidR="009F10DD">
        <w:rPr>
          <w:sz w:val="24"/>
          <w:szCs w:val="24"/>
        </w:rPr>
        <w:t xml:space="preserve"> his argument and the Court’s statements on </w:t>
      </w:r>
      <w:r w:rsidR="00BD2DA4">
        <w:rPr>
          <w:sz w:val="24"/>
          <w:szCs w:val="24"/>
        </w:rPr>
        <w:t>Art 226 EEC</w:t>
      </w:r>
      <w:r w:rsidR="00611305">
        <w:rPr>
          <w:sz w:val="24"/>
          <w:szCs w:val="24"/>
        </w:rPr>
        <w:t xml:space="preserve"> </w:t>
      </w:r>
      <w:r w:rsidR="006F0B58">
        <w:rPr>
          <w:sz w:val="24"/>
          <w:szCs w:val="24"/>
        </w:rPr>
        <w:t>(on the adoption of protective measures)</w:t>
      </w:r>
      <w:r w:rsidR="00BD2DA4">
        <w:rPr>
          <w:sz w:val="24"/>
          <w:szCs w:val="24"/>
        </w:rPr>
        <w:t>.</w:t>
      </w:r>
      <w:r w:rsidR="00BA78B9">
        <w:rPr>
          <w:rStyle w:val="FootnoteReference"/>
          <w:sz w:val="24"/>
          <w:szCs w:val="24"/>
        </w:rPr>
        <w:footnoteReference w:id="23"/>
      </w:r>
      <w:r w:rsidR="00BD2DA4">
        <w:rPr>
          <w:sz w:val="24"/>
          <w:szCs w:val="24"/>
        </w:rPr>
        <w:t xml:space="preserve"> </w:t>
      </w:r>
      <w:r w:rsidR="001A1C3F" w:rsidRPr="00913735">
        <w:rPr>
          <w:i/>
          <w:iCs/>
          <w:sz w:val="24"/>
          <w:szCs w:val="24"/>
        </w:rPr>
        <w:t>Dairy Products</w:t>
      </w:r>
      <w:r w:rsidR="00A50A37">
        <w:rPr>
          <w:sz w:val="24"/>
          <w:szCs w:val="24"/>
        </w:rPr>
        <w:t xml:space="preserve"> completes the picture. </w:t>
      </w:r>
      <w:r w:rsidR="00300693">
        <w:rPr>
          <w:sz w:val="24"/>
          <w:szCs w:val="24"/>
        </w:rPr>
        <w:t>In that lesser</w:t>
      </w:r>
      <w:r w:rsidR="00460C4E">
        <w:rPr>
          <w:sz w:val="24"/>
          <w:szCs w:val="24"/>
        </w:rPr>
        <w:t>-</w:t>
      </w:r>
      <w:r w:rsidR="00300693">
        <w:rPr>
          <w:sz w:val="24"/>
          <w:szCs w:val="24"/>
        </w:rPr>
        <w:t xml:space="preserve">known decision, the Court of Justice </w:t>
      </w:r>
      <w:r w:rsidR="00732BBF">
        <w:rPr>
          <w:sz w:val="24"/>
          <w:szCs w:val="24"/>
        </w:rPr>
        <w:t>was requested to rule on the legality of</w:t>
      </w:r>
      <w:r w:rsidR="00E24414">
        <w:rPr>
          <w:sz w:val="24"/>
          <w:szCs w:val="24"/>
        </w:rPr>
        <w:t xml:space="preserve"> </w:t>
      </w:r>
      <w:r w:rsidR="00831902">
        <w:rPr>
          <w:sz w:val="24"/>
          <w:szCs w:val="24"/>
        </w:rPr>
        <w:t>decision</w:t>
      </w:r>
      <w:r w:rsidR="003A3833">
        <w:rPr>
          <w:sz w:val="24"/>
          <w:szCs w:val="24"/>
        </w:rPr>
        <w:t>s</w:t>
      </w:r>
      <w:r w:rsidR="00831902">
        <w:rPr>
          <w:sz w:val="24"/>
          <w:szCs w:val="24"/>
        </w:rPr>
        <w:t xml:space="preserve"> </w:t>
      </w:r>
      <w:r w:rsidR="003A3833">
        <w:rPr>
          <w:sz w:val="24"/>
          <w:szCs w:val="24"/>
        </w:rPr>
        <w:t>by</w:t>
      </w:r>
      <w:r w:rsidR="00831902">
        <w:rPr>
          <w:sz w:val="24"/>
          <w:szCs w:val="24"/>
        </w:rPr>
        <w:t xml:space="preserve"> the </w:t>
      </w:r>
      <w:r w:rsidR="00E24414">
        <w:rPr>
          <w:sz w:val="24"/>
          <w:szCs w:val="24"/>
        </w:rPr>
        <w:t xml:space="preserve">Belgian and Luxembourg </w:t>
      </w:r>
      <w:r w:rsidR="00831902">
        <w:rPr>
          <w:sz w:val="24"/>
          <w:szCs w:val="24"/>
        </w:rPr>
        <w:t>authorities</w:t>
      </w:r>
      <w:r w:rsidR="00E24414">
        <w:rPr>
          <w:sz w:val="24"/>
          <w:szCs w:val="24"/>
        </w:rPr>
        <w:t xml:space="preserve"> to introduce </w:t>
      </w:r>
      <w:r w:rsidR="006D34D1">
        <w:rPr>
          <w:sz w:val="24"/>
          <w:szCs w:val="24"/>
        </w:rPr>
        <w:t>new duties on the importation of certain dairy products. The Court ruled those decisions unlawful</w:t>
      </w:r>
      <w:r w:rsidR="0093040D">
        <w:rPr>
          <w:sz w:val="24"/>
          <w:szCs w:val="24"/>
        </w:rPr>
        <w:t xml:space="preserve">. As Phelan </w:t>
      </w:r>
      <w:r w:rsidR="00DF7C9A">
        <w:rPr>
          <w:sz w:val="24"/>
          <w:szCs w:val="24"/>
        </w:rPr>
        <w:t>observes, in so doing, the Court of Justice</w:t>
      </w:r>
      <w:r w:rsidR="003E2052">
        <w:rPr>
          <w:sz w:val="24"/>
          <w:szCs w:val="24"/>
        </w:rPr>
        <w:t xml:space="preserve"> explicitly</w:t>
      </w:r>
      <w:r w:rsidR="00DF7C9A">
        <w:rPr>
          <w:sz w:val="24"/>
          <w:szCs w:val="24"/>
        </w:rPr>
        <w:t xml:space="preserve"> </w:t>
      </w:r>
      <w:r w:rsidR="00E14931">
        <w:rPr>
          <w:sz w:val="24"/>
          <w:szCs w:val="24"/>
        </w:rPr>
        <w:t xml:space="preserve">rejected claims by both states that, under general principles of international law, they </w:t>
      </w:r>
      <w:r w:rsidR="00C24560">
        <w:rPr>
          <w:sz w:val="24"/>
          <w:szCs w:val="24"/>
        </w:rPr>
        <w:t xml:space="preserve">retained the right to take unilateral measures </w:t>
      </w:r>
      <w:r w:rsidR="00F12768">
        <w:rPr>
          <w:sz w:val="24"/>
          <w:szCs w:val="24"/>
        </w:rPr>
        <w:t>in response to alleged infringement</w:t>
      </w:r>
      <w:r w:rsidR="000939A6">
        <w:rPr>
          <w:sz w:val="24"/>
          <w:szCs w:val="24"/>
        </w:rPr>
        <w:t>s of the EEC Treaty by other parties – in this case, the Commission.</w:t>
      </w:r>
      <w:r w:rsidR="00C20E30">
        <w:rPr>
          <w:rStyle w:val="FootnoteReference"/>
          <w:sz w:val="24"/>
          <w:szCs w:val="24"/>
        </w:rPr>
        <w:footnoteReference w:id="24"/>
      </w:r>
      <w:r w:rsidR="000939A6">
        <w:rPr>
          <w:sz w:val="24"/>
          <w:szCs w:val="24"/>
        </w:rPr>
        <w:t xml:space="preserve"> </w:t>
      </w:r>
    </w:p>
    <w:p w14:paraId="1DB30C43" w14:textId="0B3E0D2E" w:rsidR="0037572D" w:rsidRDefault="002739C5" w:rsidP="003E2052">
      <w:pPr>
        <w:spacing w:line="360" w:lineRule="auto"/>
        <w:ind w:firstLine="720"/>
        <w:jc w:val="both"/>
        <w:rPr>
          <w:sz w:val="24"/>
          <w:szCs w:val="24"/>
        </w:rPr>
      </w:pPr>
      <w:r>
        <w:rPr>
          <w:sz w:val="24"/>
          <w:szCs w:val="24"/>
        </w:rPr>
        <w:t xml:space="preserve">Chapter 4 on </w:t>
      </w:r>
      <w:r w:rsidR="00580C83">
        <w:rPr>
          <w:i/>
          <w:iCs/>
          <w:sz w:val="24"/>
          <w:szCs w:val="24"/>
        </w:rPr>
        <w:t>Da</w:t>
      </w:r>
      <w:r w:rsidRPr="00544968">
        <w:rPr>
          <w:i/>
          <w:iCs/>
          <w:sz w:val="24"/>
          <w:szCs w:val="24"/>
        </w:rPr>
        <w:t xml:space="preserve">iry </w:t>
      </w:r>
      <w:r w:rsidR="00580C83">
        <w:rPr>
          <w:i/>
          <w:iCs/>
          <w:sz w:val="24"/>
          <w:szCs w:val="24"/>
        </w:rPr>
        <w:t>P</w:t>
      </w:r>
      <w:r w:rsidRPr="00544968">
        <w:rPr>
          <w:i/>
          <w:iCs/>
          <w:sz w:val="24"/>
          <w:szCs w:val="24"/>
        </w:rPr>
        <w:t>roducts</w:t>
      </w:r>
      <w:r>
        <w:rPr>
          <w:sz w:val="24"/>
          <w:szCs w:val="24"/>
        </w:rPr>
        <w:t xml:space="preserve"> is</w:t>
      </w:r>
      <w:r w:rsidR="0037572D">
        <w:rPr>
          <w:sz w:val="24"/>
          <w:szCs w:val="24"/>
        </w:rPr>
        <w:t xml:space="preserve"> absolutely</w:t>
      </w:r>
      <w:r>
        <w:rPr>
          <w:sz w:val="24"/>
          <w:szCs w:val="24"/>
        </w:rPr>
        <w:t xml:space="preserve"> </w:t>
      </w:r>
      <w:r w:rsidR="00544968">
        <w:rPr>
          <w:sz w:val="24"/>
          <w:szCs w:val="24"/>
        </w:rPr>
        <w:t>integral</w:t>
      </w:r>
      <w:r>
        <w:rPr>
          <w:sz w:val="24"/>
          <w:szCs w:val="24"/>
        </w:rPr>
        <w:t xml:space="preserve"> to the analysis</w:t>
      </w:r>
      <w:r w:rsidR="003E2052">
        <w:rPr>
          <w:sz w:val="24"/>
          <w:szCs w:val="24"/>
        </w:rPr>
        <w:t xml:space="preserve">. </w:t>
      </w:r>
      <w:r>
        <w:rPr>
          <w:sz w:val="24"/>
          <w:szCs w:val="24"/>
        </w:rPr>
        <w:t xml:space="preserve">It is </w:t>
      </w:r>
      <w:r w:rsidR="003E2052">
        <w:rPr>
          <w:sz w:val="24"/>
          <w:szCs w:val="24"/>
        </w:rPr>
        <w:t>really only in this chapter</w:t>
      </w:r>
      <w:r>
        <w:rPr>
          <w:sz w:val="24"/>
          <w:szCs w:val="24"/>
        </w:rPr>
        <w:t xml:space="preserve"> that Phelan </w:t>
      </w:r>
      <w:r w:rsidR="003E2052">
        <w:rPr>
          <w:sz w:val="24"/>
          <w:szCs w:val="24"/>
        </w:rPr>
        <w:t xml:space="preserve">elaborates on the </w:t>
      </w:r>
      <w:r w:rsidR="0037572D">
        <w:rPr>
          <w:sz w:val="24"/>
          <w:szCs w:val="24"/>
        </w:rPr>
        <w:t xml:space="preserve">comparative framework that he </w:t>
      </w:r>
      <w:r w:rsidR="003A61FD">
        <w:rPr>
          <w:sz w:val="24"/>
          <w:szCs w:val="24"/>
        </w:rPr>
        <w:t>engages to develop his primary argument. Prior to this chapter, the reader has to make do with loose references to</w:t>
      </w:r>
      <w:r w:rsidR="002408D0">
        <w:rPr>
          <w:sz w:val="24"/>
          <w:szCs w:val="24"/>
        </w:rPr>
        <w:t xml:space="preserve"> the world of ‘international-style’ </w:t>
      </w:r>
      <w:r w:rsidR="0091095C">
        <w:rPr>
          <w:sz w:val="24"/>
          <w:szCs w:val="24"/>
        </w:rPr>
        <w:t>self-help or retaliation mechanisms</w:t>
      </w:r>
      <w:r w:rsidR="00743B97">
        <w:rPr>
          <w:sz w:val="24"/>
          <w:szCs w:val="24"/>
        </w:rPr>
        <w:t xml:space="preserve"> to contextualise discussion.</w:t>
      </w:r>
      <w:r w:rsidR="00051CD4">
        <w:rPr>
          <w:rStyle w:val="FootnoteReference"/>
          <w:sz w:val="24"/>
          <w:szCs w:val="24"/>
        </w:rPr>
        <w:footnoteReference w:id="25"/>
      </w:r>
      <w:r w:rsidR="00743B97">
        <w:rPr>
          <w:sz w:val="24"/>
          <w:szCs w:val="24"/>
        </w:rPr>
        <w:t xml:space="preserve"> </w:t>
      </w:r>
      <w:r w:rsidR="00063F7A">
        <w:rPr>
          <w:sz w:val="24"/>
          <w:szCs w:val="24"/>
        </w:rPr>
        <w:t xml:space="preserve">Chapter 4, therefore, adds welcome clarity on the specifics of the comparative framework. </w:t>
      </w:r>
      <w:r w:rsidR="00680C04">
        <w:rPr>
          <w:sz w:val="24"/>
          <w:szCs w:val="24"/>
        </w:rPr>
        <w:t xml:space="preserve">In particular, Phelan </w:t>
      </w:r>
      <w:r w:rsidR="004F3A79">
        <w:rPr>
          <w:sz w:val="24"/>
          <w:szCs w:val="24"/>
        </w:rPr>
        <w:t xml:space="preserve">outlines </w:t>
      </w:r>
      <w:r w:rsidR="0078148E">
        <w:rPr>
          <w:sz w:val="24"/>
          <w:szCs w:val="24"/>
        </w:rPr>
        <w:t>the structure through which other international</w:t>
      </w:r>
      <w:r w:rsidR="00F04EB2">
        <w:rPr>
          <w:sz w:val="24"/>
          <w:szCs w:val="24"/>
        </w:rPr>
        <w:t xml:space="preserve"> trade</w:t>
      </w:r>
      <w:r w:rsidR="0078148E">
        <w:rPr>
          <w:sz w:val="24"/>
          <w:szCs w:val="24"/>
        </w:rPr>
        <w:t xml:space="preserve"> treaties typically address the practical problems of managing inter-state relations</w:t>
      </w:r>
      <w:r w:rsidR="00F04EB2">
        <w:rPr>
          <w:sz w:val="24"/>
          <w:szCs w:val="24"/>
        </w:rPr>
        <w:t xml:space="preserve"> as well as the protections offered to states</w:t>
      </w:r>
      <w:r w:rsidR="000C3B6B">
        <w:rPr>
          <w:sz w:val="24"/>
          <w:szCs w:val="24"/>
        </w:rPr>
        <w:t xml:space="preserve"> under general principles of international law. This context not only strengthens the comparative analysis. It also illuminates a </w:t>
      </w:r>
      <w:r w:rsidR="00921B80">
        <w:rPr>
          <w:sz w:val="24"/>
          <w:szCs w:val="24"/>
        </w:rPr>
        <w:t xml:space="preserve">central aspect of Phelan’s overarching claim, namely that the Court of Justice’s approach to filling gaps in the </w:t>
      </w:r>
      <w:r w:rsidR="00921B80">
        <w:rPr>
          <w:sz w:val="24"/>
          <w:szCs w:val="24"/>
        </w:rPr>
        <w:lastRenderedPageBreak/>
        <w:t>founding Treaty’s provisions on enforcement</w:t>
      </w:r>
      <w:r w:rsidR="00CC086C">
        <w:rPr>
          <w:sz w:val="24"/>
          <w:szCs w:val="24"/>
        </w:rPr>
        <w:t xml:space="preserve"> </w:t>
      </w:r>
      <w:r w:rsidR="007A518C">
        <w:rPr>
          <w:sz w:val="24"/>
          <w:szCs w:val="24"/>
        </w:rPr>
        <w:t>was developed</w:t>
      </w:r>
      <w:r w:rsidR="00CC086C">
        <w:rPr>
          <w:sz w:val="24"/>
          <w:szCs w:val="24"/>
        </w:rPr>
        <w:t xml:space="preserve"> </w:t>
      </w:r>
      <w:r w:rsidR="00CC086C" w:rsidRPr="00CC086C">
        <w:rPr>
          <w:i/>
          <w:iCs/>
          <w:sz w:val="24"/>
          <w:szCs w:val="24"/>
        </w:rPr>
        <w:t>in opposition</w:t>
      </w:r>
      <w:r w:rsidR="00CC086C">
        <w:rPr>
          <w:sz w:val="24"/>
          <w:szCs w:val="24"/>
        </w:rPr>
        <w:t xml:space="preserve"> to </w:t>
      </w:r>
      <w:r w:rsidR="0076664F">
        <w:rPr>
          <w:sz w:val="24"/>
          <w:szCs w:val="24"/>
        </w:rPr>
        <w:t>the specific provisions of other contemporary trade agreements (notably, the GATT) and</w:t>
      </w:r>
      <w:r w:rsidR="007969AE">
        <w:rPr>
          <w:sz w:val="24"/>
          <w:szCs w:val="24"/>
        </w:rPr>
        <w:t xml:space="preserve"> general principles of international law. </w:t>
      </w:r>
    </w:p>
    <w:p w14:paraId="265EA648" w14:textId="393ADF55" w:rsidR="007969AE" w:rsidRDefault="007969AE" w:rsidP="001861BF">
      <w:pPr>
        <w:spacing w:line="360" w:lineRule="auto"/>
        <w:ind w:firstLine="720"/>
        <w:jc w:val="both"/>
        <w:rPr>
          <w:sz w:val="24"/>
          <w:szCs w:val="24"/>
        </w:rPr>
      </w:pPr>
      <w:r>
        <w:rPr>
          <w:sz w:val="24"/>
          <w:szCs w:val="24"/>
        </w:rPr>
        <w:t xml:space="preserve">Throughout </w:t>
      </w:r>
      <w:r w:rsidRPr="00114696">
        <w:rPr>
          <w:i/>
          <w:iCs/>
          <w:sz w:val="24"/>
          <w:szCs w:val="24"/>
        </w:rPr>
        <w:t>Great Judgments</w:t>
      </w:r>
      <w:r>
        <w:rPr>
          <w:sz w:val="24"/>
          <w:szCs w:val="24"/>
        </w:rPr>
        <w:t xml:space="preserve">, Phelan positions his </w:t>
      </w:r>
      <w:r w:rsidR="006B1890">
        <w:rPr>
          <w:sz w:val="24"/>
          <w:szCs w:val="24"/>
        </w:rPr>
        <w:t>revised</w:t>
      </w:r>
      <w:r w:rsidR="00D52183">
        <w:rPr>
          <w:sz w:val="24"/>
          <w:szCs w:val="24"/>
        </w:rPr>
        <w:t xml:space="preserve"> account of the case law on direct effect and primacy as a ‘substitute’ for</w:t>
      </w:r>
      <w:r w:rsidR="00114696">
        <w:rPr>
          <w:sz w:val="24"/>
          <w:szCs w:val="24"/>
        </w:rPr>
        <w:t xml:space="preserve"> international law mechanisms regulating inter-state trade relations.</w:t>
      </w:r>
      <w:r w:rsidR="00D0378F">
        <w:rPr>
          <w:rStyle w:val="FootnoteReference"/>
          <w:sz w:val="24"/>
          <w:szCs w:val="24"/>
        </w:rPr>
        <w:footnoteReference w:id="26"/>
      </w:r>
      <w:r w:rsidR="00114696">
        <w:rPr>
          <w:sz w:val="24"/>
          <w:szCs w:val="24"/>
        </w:rPr>
        <w:t xml:space="preserve"> But, by</w:t>
      </w:r>
      <w:r w:rsidR="0055396E">
        <w:rPr>
          <w:sz w:val="24"/>
          <w:szCs w:val="24"/>
        </w:rPr>
        <w:t xml:space="preserve"> substitute, it is clear that we are dealing with a contrasting regime: the Court’s</w:t>
      </w:r>
      <w:r w:rsidR="0087524C">
        <w:rPr>
          <w:sz w:val="24"/>
          <w:szCs w:val="24"/>
        </w:rPr>
        <w:t xml:space="preserve"> jurisprudence</w:t>
      </w:r>
      <w:r w:rsidR="00C8313A">
        <w:rPr>
          <w:sz w:val="24"/>
          <w:szCs w:val="24"/>
        </w:rPr>
        <w:t xml:space="preserve"> is interpreted</w:t>
      </w:r>
      <w:r w:rsidR="00154719">
        <w:rPr>
          <w:sz w:val="24"/>
          <w:szCs w:val="24"/>
        </w:rPr>
        <w:t xml:space="preserve"> </w:t>
      </w:r>
      <w:r w:rsidR="0087524C">
        <w:rPr>
          <w:sz w:val="24"/>
          <w:szCs w:val="24"/>
        </w:rPr>
        <w:t xml:space="preserve">as expressly </w:t>
      </w:r>
      <w:r w:rsidR="0087524C" w:rsidRPr="0083503F">
        <w:rPr>
          <w:i/>
          <w:iCs/>
          <w:sz w:val="24"/>
          <w:szCs w:val="24"/>
        </w:rPr>
        <w:t>exclud</w:t>
      </w:r>
      <w:r w:rsidR="00C8313A">
        <w:rPr>
          <w:i/>
          <w:iCs/>
          <w:sz w:val="24"/>
          <w:szCs w:val="24"/>
        </w:rPr>
        <w:t>ing</w:t>
      </w:r>
      <w:r w:rsidR="0087524C">
        <w:rPr>
          <w:sz w:val="24"/>
          <w:szCs w:val="24"/>
        </w:rPr>
        <w:t xml:space="preserve"> the availability of ordinary international trade provisions</w:t>
      </w:r>
      <w:r w:rsidR="004B2658">
        <w:rPr>
          <w:sz w:val="24"/>
          <w:szCs w:val="24"/>
        </w:rPr>
        <w:t xml:space="preserve"> and accompanying ‘fall-back’ principles</w:t>
      </w:r>
      <w:r w:rsidR="00017E14">
        <w:rPr>
          <w:sz w:val="24"/>
          <w:szCs w:val="24"/>
        </w:rPr>
        <w:t xml:space="preserve"> recognised</w:t>
      </w:r>
      <w:r w:rsidR="004B2658">
        <w:rPr>
          <w:sz w:val="24"/>
          <w:szCs w:val="24"/>
        </w:rPr>
        <w:t xml:space="preserve"> in international law. </w:t>
      </w:r>
      <w:r w:rsidR="00DE5166">
        <w:rPr>
          <w:sz w:val="24"/>
          <w:szCs w:val="24"/>
        </w:rPr>
        <w:t xml:space="preserve">This </w:t>
      </w:r>
      <w:r w:rsidR="005A48BC">
        <w:rPr>
          <w:sz w:val="24"/>
          <w:szCs w:val="24"/>
        </w:rPr>
        <w:t>point is not concealed.</w:t>
      </w:r>
      <w:r w:rsidR="0083503F">
        <w:rPr>
          <w:rStyle w:val="FootnoteReference"/>
          <w:sz w:val="24"/>
          <w:szCs w:val="24"/>
        </w:rPr>
        <w:footnoteReference w:id="27"/>
      </w:r>
      <w:r w:rsidR="005A48BC">
        <w:rPr>
          <w:sz w:val="24"/>
          <w:szCs w:val="24"/>
        </w:rPr>
        <w:t xml:space="preserve">  But it does raise questions about</w:t>
      </w:r>
      <w:r w:rsidR="00D2723A">
        <w:rPr>
          <w:sz w:val="24"/>
          <w:szCs w:val="24"/>
        </w:rPr>
        <w:t xml:space="preserve"> the force of the underlying comparison. On the one hand, </w:t>
      </w:r>
      <w:r w:rsidR="00B95866" w:rsidRPr="00B95866">
        <w:rPr>
          <w:i/>
          <w:iCs/>
          <w:sz w:val="24"/>
          <w:szCs w:val="24"/>
        </w:rPr>
        <w:t>Great Judgments</w:t>
      </w:r>
      <w:r w:rsidR="00B95866">
        <w:rPr>
          <w:sz w:val="24"/>
          <w:szCs w:val="24"/>
        </w:rPr>
        <w:t xml:space="preserve"> recasts </w:t>
      </w:r>
      <w:r w:rsidR="00D2723A">
        <w:rPr>
          <w:sz w:val="24"/>
          <w:szCs w:val="24"/>
        </w:rPr>
        <w:t xml:space="preserve">the </w:t>
      </w:r>
      <w:r w:rsidR="00D93FFF">
        <w:rPr>
          <w:sz w:val="24"/>
          <w:szCs w:val="24"/>
        </w:rPr>
        <w:t>Treaty of Rome</w:t>
      </w:r>
      <w:r w:rsidR="00D2723A">
        <w:rPr>
          <w:sz w:val="24"/>
          <w:szCs w:val="24"/>
        </w:rPr>
        <w:t xml:space="preserve"> as</w:t>
      </w:r>
      <w:r w:rsidR="009C5078">
        <w:rPr>
          <w:sz w:val="24"/>
          <w:szCs w:val="24"/>
        </w:rPr>
        <w:t xml:space="preserve"> an international trade </w:t>
      </w:r>
      <w:r w:rsidR="00D93FFF">
        <w:rPr>
          <w:sz w:val="24"/>
          <w:szCs w:val="24"/>
        </w:rPr>
        <w:t>agreement</w:t>
      </w:r>
      <w:r w:rsidR="009C5078">
        <w:rPr>
          <w:sz w:val="24"/>
          <w:szCs w:val="24"/>
        </w:rPr>
        <w:t xml:space="preserve"> to </w:t>
      </w:r>
      <w:r w:rsidR="008862CA">
        <w:rPr>
          <w:sz w:val="24"/>
          <w:szCs w:val="24"/>
        </w:rPr>
        <w:t>expose a share</w:t>
      </w:r>
      <w:r w:rsidR="00326F08">
        <w:rPr>
          <w:sz w:val="24"/>
          <w:szCs w:val="24"/>
        </w:rPr>
        <w:t>d</w:t>
      </w:r>
      <w:r w:rsidR="008862CA">
        <w:rPr>
          <w:sz w:val="24"/>
          <w:szCs w:val="24"/>
        </w:rPr>
        <w:t xml:space="preserve"> regulatory problem: the management of inter-state conflicts and, in particular, unilateral Member State action</w:t>
      </w:r>
      <w:r w:rsidR="009C5078">
        <w:rPr>
          <w:sz w:val="24"/>
          <w:szCs w:val="24"/>
        </w:rPr>
        <w:t>. On the other hand, however, Phelan’s</w:t>
      </w:r>
      <w:r w:rsidR="008862CA">
        <w:rPr>
          <w:sz w:val="24"/>
          <w:szCs w:val="24"/>
        </w:rPr>
        <w:t xml:space="preserve"> </w:t>
      </w:r>
      <w:r w:rsidR="00946EB0">
        <w:rPr>
          <w:sz w:val="24"/>
          <w:szCs w:val="24"/>
        </w:rPr>
        <w:t xml:space="preserve">revised interpretation of the Court’s formative case law on direct effect and </w:t>
      </w:r>
      <w:r w:rsidR="004C40E3">
        <w:rPr>
          <w:sz w:val="24"/>
          <w:szCs w:val="24"/>
        </w:rPr>
        <w:t>primacy</w:t>
      </w:r>
      <w:r w:rsidR="00946EB0">
        <w:rPr>
          <w:sz w:val="24"/>
          <w:szCs w:val="24"/>
        </w:rPr>
        <w:t xml:space="preserve"> </w:t>
      </w:r>
      <w:r w:rsidR="001861BF">
        <w:rPr>
          <w:sz w:val="24"/>
          <w:szCs w:val="24"/>
        </w:rPr>
        <w:t>invites</w:t>
      </w:r>
      <w:r w:rsidR="00946EB0">
        <w:rPr>
          <w:sz w:val="24"/>
          <w:szCs w:val="24"/>
        </w:rPr>
        <w:t xml:space="preserve"> us </w:t>
      </w:r>
      <w:r w:rsidR="001861BF">
        <w:rPr>
          <w:sz w:val="24"/>
          <w:szCs w:val="24"/>
        </w:rPr>
        <w:t>to accept that, functional parallels notwithstanding,</w:t>
      </w:r>
      <w:r w:rsidR="00946EB0">
        <w:rPr>
          <w:sz w:val="24"/>
          <w:szCs w:val="24"/>
        </w:rPr>
        <w:t xml:space="preserve"> the European legal order has adopted </w:t>
      </w:r>
      <w:r w:rsidR="006A510B">
        <w:rPr>
          <w:sz w:val="24"/>
          <w:szCs w:val="24"/>
        </w:rPr>
        <w:t xml:space="preserve">its own distinctive </w:t>
      </w:r>
      <w:r w:rsidR="00814284">
        <w:rPr>
          <w:sz w:val="24"/>
          <w:szCs w:val="24"/>
        </w:rPr>
        <w:t>solution</w:t>
      </w:r>
      <w:r w:rsidR="006A510B">
        <w:rPr>
          <w:sz w:val="24"/>
          <w:szCs w:val="24"/>
        </w:rPr>
        <w:t>s</w:t>
      </w:r>
      <w:r w:rsidR="00814284">
        <w:rPr>
          <w:sz w:val="24"/>
          <w:szCs w:val="24"/>
        </w:rPr>
        <w:t xml:space="preserve"> that, in substance, juxtapose </w:t>
      </w:r>
      <w:r w:rsidR="005D1B16">
        <w:rPr>
          <w:sz w:val="24"/>
          <w:szCs w:val="24"/>
        </w:rPr>
        <w:t xml:space="preserve">the Treaty of Rome with </w:t>
      </w:r>
      <w:r w:rsidR="001861BF">
        <w:rPr>
          <w:sz w:val="24"/>
          <w:szCs w:val="24"/>
        </w:rPr>
        <w:t xml:space="preserve">the default positions </w:t>
      </w:r>
      <w:r w:rsidR="0007035D">
        <w:rPr>
          <w:sz w:val="24"/>
          <w:szCs w:val="24"/>
        </w:rPr>
        <w:t>in</w:t>
      </w:r>
      <w:r w:rsidR="005D1B16">
        <w:rPr>
          <w:sz w:val="24"/>
          <w:szCs w:val="24"/>
        </w:rPr>
        <w:t xml:space="preserve"> international l</w:t>
      </w:r>
      <w:r w:rsidR="001861BF">
        <w:rPr>
          <w:sz w:val="24"/>
          <w:szCs w:val="24"/>
        </w:rPr>
        <w:t>aw</w:t>
      </w:r>
      <w:r w:rsidR="005D1B16">
        <w:rPr>
          <w:sz w:val="24"/>
          <w:szCs w:val="24"/>
        </w:rPr>
        <w:t xml:space="preserve">. </w:t>
      </w:r>
    </w:p>
    <w:p w14:paraId="1EEA1A3E" w14:textId="1B7BC1D9" w:rsidR="008F2091" w:rsidRDefault="0007035D" w:rsidP="009227F0">
      <w:pPr>
        <w:spacing w:line="360" w:lineRule="auto"/>
        <w:jc w:val="both"/>
        <w:rPr>
          <w:sz w:val="24"/>
          <w:szCs w:val="24"/>
        </w:rPr>
      </w:pPr>
      <w:r>
        <w:rPr>
          <w:sz w:val="24"/>
          <w:szCs w:val="24"/>
        </w:rPr>
        <w:tab/>
        <w:t>Phelan’s</w:t>
      </w:r>
      <w:r w:rsidR="004637C9">
        <w:rPr>
          <w:sz w:val="24"/>
          <w:szCs w:val="24"/>
        </w:rPr>
        <w:t xml:space="preserve"> concluding chapter </w:t>
      </w:r>
      <w:r w:rsidR="00C65685">
        <w:rPr>
          <w:sz w:val="24"/>
          <w:szCs w:val="24"/>
        </w:rPr>
        <w:t xml:space="preserve">offers </w:t>
      </w:r>
      <w:r w:rsidR="007A694E">
        <w:rPr>
          <w:sz w:val="24"/>
          <w:szCs w:val="24"/>
        </w:rPr>
        <w:t>one</w:t>
      </w:r>
      <w:r w:rsidR="00B140BF">
        <w:rPr>
          <w:sz w:val="24"/>
          <w:szCs w:val="24"/>
        </w:rPr>
        <w:t xml:space="preserve"> way to square the circle</w:t>
      </w:r>
      <w:r w:rsidR="00CD1C8A">
        <w:rPr>
          <w:sz w:val="24"/>
          <w:szCs w:val="24"/>
        </w:rPr>
        <w:t xml:space="preserve">. In chapter 10, he </w:t>
      </w:r>
      <w:r w:rsidR="003439A0">
        <w:rPr>
          <w:sz w:val="24"/>
          <w:szCs w:val="24"/>
        </w:rPr>
        <w:t xml:space="preserve">defends the </w:t>
      </w:r>
      <w:r w:rsidR="007F2CC7">
        <w:rPr>
          <w:sz w:val="24"/>
          <w:szCs w:val="24"/>
        </w:rPr>
        <w:t>distinctive European solution, as fashioned by the Court of Justice</w:t>
      </w:r>
      <w:r w:rsidR="002048E7">
        <w:rPr>
          <w:sz w:val="24"/>
          <w:szCs w:val="24"/>
        </w:rPr>
        <w:t xml:space="preserve"> in its landmark judgments</w:t>
      </w:r>
      <w:r w:rsidR="007F2CC7">
        <w:rPr>
          <w:sz w:val="24"/>
          <w:szCs w:val="24"/>
        </w:rPr>
        <w:t xml:space="preserve">, as a normative model to manage inter-state trade relations </w:t>
      </w:r>
      <w:r w:rsidR="00E616D7">
        <w:rPr>
          <w:sz w:val="24"/>
          <w:szCs w:val="24"/>
        </w:rPr>
        <w:t xml:space="preserve">more generally. For Phelan, the European approach </w:t>
      </w:r>
      <w:r w:rsidR="00CE75E3">
        <w:rPr>
          <w:sz w:val="24"/>
          <w:szCs w:val="24"/>
        </w:rPr>
        <w:t>constitutes</w:t>
      </w:r>
      <w:r w:rsidR="00854C28">
        <w:rPr>
          <w:sz w:val="24"/>
          <w:szCs w:val="24"/>
        </w:rPr>
        <w:t xml:space="preserve"> ‘remarkable</w:t>
      </w:r>
      <w:r w:rsidR="005546F4">
        <w:rPr>
          <w:sz w:val="24"/>
          <w:szCs w:val="24"/>
        </w:rPr>
        <w:t xml:space="preserve"> trade</w:t>
      </w:r>
      <w:r w:rsidR="0000449D">
        <w:rPr>
          <w:sz w:val="24"/>
          <w:szCs w:val="24"/>
        </w:rPr>
        <w:t xml:space="preserve"> policy achievement’</w:t>
      </w:r>
      <w:r w:rsidR="008B42DB">
        <w:rPr>
          <w:sz w:val="24"/>
          <w:szCs w:val="24"/>
        </w:rPr>
        <w:t xml:space="preserve"> (p.</w:t>
      </w:r>
      <w:r w:rsidR="0000449D">
        <w:rPr>
          <w:sz w:val="24"/>
          <w:szCs w:val="24"/>
        </w:rPr>
        <w:t xml:space="preserve"> </w:t>
      </w:r>
      <w:r w:rsidR="005546F4">
        <w:rPr>
          <w:sz w:val="24"/>
          <w:szCs w:val="24"/>
        </w:rPr>
        <w:t xml:space="preserve">228) </w:t>
      </w:r>
      <w:r w:rsidR="0000449D">
        <w:rPr>
          <w:sz w:val="24"/>
          <w:szCs w:val="24"/>
        </w:rPr>
        <w:t>that functions to</w:t>
      </w:r>
      <w:r w:rsidR="002E1758">
        <w:rPr>
          <w:sz w:val="24"/>
          <w:szCs w:val="24"/>
        </w:rPr>
        <w:t xml:space="preserve"> promote a significant public good; specifically,</w:t>
      </w:r>
      <w:r w:rsidR="006E7BB7">
        <w:rPr>
          <w:sz w:val="24"/>
          <w:szCs w:val="24"/>
        </w:rPr>
        <w:t xml:space="preserve"> ‘the avoidance of retaliatory trade disputes, and the cluttering of market opportunities by unilateral safeguard</w:t>
      </w:r>
      <w:r w:rsidR="001A7501">
        <w:rPr>
          <w:sz w:val="24"/>
          <w:szCs w:val="24"/>
        </w:rPr>
        <w:t>s in vitally important trade relationships’</w:t>
      </w:r>
      <w:r w:rsidR="005546F4">
        <w:rPr>
          <w:sz w:val="24"/>
          <w:szCs w:val="24"/>
        </w:rPr>
        <w:t xml:space="preserve"> (p. 228).</w:t>
      </w:r>
      <w:r w:rsidR="001A7501">
        <w:rPr>
          <w:sz w:val="24"/>
          <w:szCs w:val="24"/>
        </w:rPr>
        <w:t xml:space="preserve"> </w:t>
      </w:r>
      <w:r w:rsidR="00C6618C">
        <w:rPr>
          <w:sz w:val="24"/>
          <w:szCs w:val="24"/>
        </w:rPr>
        <w:t xml:space="preserve">Developing this point further, </w:t>
      </w:r>
      <w:r w:rsidR="007B5C38">
        <w:rPr>
          <w:sz w:val="24"/>
          <w:szCs w:val="24"/>
        </w:rPr>
        <w:t>Phelan</w:t>
      </w:r>
      <w:r w:rsidR="00C6618C">
        <w:rPr>
          <w:sz w:val="24"/>
          <w:szCs w:val="24"/>
        </w:rPr>
        <w:t xml:space="preserve"> also points</w:t>
      </w:r>
      <w:r w:rsidR="005F3F36">
        <w:rPr>
          <w:sz w:val="24"/>
          <w:szCs w:val="24"/>
        </w:rPr>
        <w:t xml:space="preserve"> in chapter 7 (discussing </w:t>
      </w:r>
      <w:r w:rsidR="005F3F36" w:rsidRPr="005F3F36">
        <w:rPr>
          <w:i/>
          <w:iCs/>
          <w:sz w:val="24"/>
          <w:szCs w:val="24"/>
        </w:rPr>
        <w:t>Simmenthal</w:t>
      </w:r>
      <w:r w:rsidR="005F3F36">
        <w:rPr>
          <w:sz w:val="24"/>
          <w:szCs w:val="24"/>
        </w:rPr>
        <w:t>)</w:t>
      </w:r>
      <w:r w:rsidR="00DB28E1">
        <w:rPr>
          <w:sz w:val="24"/>
          <w:szCs w:val="24"/>
        </w:rPr>
        <w:t xml:space="preserve"> </w:t>
      </w:r>
      <w:r w:rsidR="00017E14">
        <w:rPr>
          <w:sz w:val="24"/>
          <w:szCs w:val="24"/>
        </w:rPr>
        <w:t xml:space="preserve">to </w:t>
      </w:r>
      <w:r w:rsidR="00DB28E1">
        <w:rPr>
          <w:sz w:val="24"/>
          <w:szCs w:val="24"/>
        </w:rPr>
        <w:t xml:space="preserve">other </w:t>
      </w:r>
      <w:r w:rsidR="00076A32">
        <w:rPr>
          <w:sz w:val="24"/>
          <w:szCs w:val="24"/>
        </w:rPr>
        <w:t>international trade treat</w:t>
      </w:r>
      <w:r w:rsidR="00724519">
        <w:rPr>
          <w:sz w:val="24"/>
          <w:szCs w:val="24"/>
        </w:rPr>
        <w:t>ies</w:t>
      </w:r>
      <w:r w:rsidR="00076A32">
        <w:rPr>
          <w:sz w:val="24"/>
          <w:szCs w:val="24"/>
        </w:rPr>
        <w:t xml:space="preserve"> (specifically, NAFTA) </w:t>
      </w:r>
      <w:r w:rsidR="00100B75">
        <w:rPr>
          <w:sz w:val="24"/>
          <w:szCs w:val="24"/>
        </w:rPr>
        <w:t>that</w:t>
      </w:r>
      <w:r w:rsidR="00D1424B">
        <w:rPr>
          <w:sz w:val="24"/>
          <w:szCs w:val="24"/>
        </w:rPr>
        <w:t>, in line with</w:t>
      </w:r>
      <w:r w:rsidR="008172FF">
        <w:rPr>
          <w:sz w:val="24"/>
          <w:szCs w:val="24"/>
        </w:rPr>
        <w:t xml:space="preserve"> his rethinking of the</w:t>
      </w:r>
      <w:r w:rsidR="00D1424B">
        <w:rPr>
          <w:sz w:val="24"/>
          <w:szCs w:val="24"/>
        </w:rPr>
        <w:t xml:space="preserve"> Court of Justice’s </w:t>
      </w:r>
      <w:r w:rsidR="008172FF">
        <w:rPr>
          <w:sz w:val="24"/>
          <w:szCs w:val="24"/>
        </w:rPr>
        <w:t>case law</w:t>
      </w:r>
      <w:r w:rsidR="00D1424B">
        <w:rPr>
          <w:sz w:val="24"/>
          <w:szCs w:val="24"/>
        </w:rPr>
        <w:t>,</w:t>
      </w:r>
      <w:r w:rsidR="00100B75">
        <w:rPr>
          <w:sz w:val="24"/>
          <w:szCs w:val="24"/>
        </w:rPr>
        <w:t xml:space="preserve"> </w:t>
      </w:r>
      <w:r w:rsidR="00076A32">
        <w:rPr>
          <w:sz w:val="24"/>
          <w:szCs w:val="24"/>
        </w:rPr>
        <w:t xml:space="preserve">have adopted </w:t>
      </w:r>
      <w:r w:rsidR="00D0196B">
        <w:rPr>
          <w:sz w:val="24"/>
          <w:szCs w:val="24"/>
        </w:rPr>
        <w:t xml:space="preserve">mechanisms that </w:t>
      </w:r>
      <w:r w:rsidR="00D1424B">
        <w:rPr>
          <w:sz w:val="24"/>
          <w:szCs w:val="24"/>
        </w:rPr>
        <w:t xml:space="preserve">similarly </w:t>
      </w:r>
      <w:r w:rsidR="00D0196B">
        <w:rPr>
          <w:sz w:val="24"/>
          <w:szCs w:val="24"/>
        </w:rPr>
        <w:t>engage national courts as alternative</w:t>
      </w:r>
      <w:r w:rsidR="000E3831">
        <w:rPr>
          <w:sz w:val="24"/>
          <w:szCs w:val="24"/>
        </w:rPr>
        <w:t>s</w:t>
      </w:r>
      <w:r w:rsidR="00D0196B">
        <w:rPr>
          <w:sz w:val="24"/>
          <w:szCs w:val="24"/>
        </w:rPr>
        <w:t xml:space="preserve"> to </w:t>
      </w:r>
      <w:r w:rsidR="00DC7C84">
        <w:rPr>
          <w:sz w:val="24"/>
          <w:szCs w:val="24"/>
        </w:rPr>
        <w:t xml:space="preserve">traditional </w:t>
      </w:r>
      <w:r w:rsidR="00D0196B">
        <w:rPr>
          <w:sz w:val="24"/>
          <w:szCs w:val="24"/>
        </w:rPr>
        <w:t xml:space="preserve">inter-state retaliation mechanisms. </w:t>
      </w:r>
      <w:r w:rsidR="008A0F61">
        <w:rPr>
          <w:sz w:val="24"/>
          <w:szCs w:val="24"/>
        </w:rPr>
        <w:t xml:space="preserve">Annex 36A </w:t>
      </w:r>
      <w:r w:rsidR="00AD3183">
        <w:rPr>
          <w:sz w:val="24"/>
          <w:szCs w:val="24"/>
        </w:rPr>
        <w:t xml:space="preserve">of the </w:t>
      </w:r>
      <w:r w:rsidR="00333B4B">
        <w:rPr>
          <w:sz w:val="24"/>
          <w:szCs w:val="24"/>
        </w:rPr>
        <w:t>NAFTA Side Agreement on Environmental Protection</w:t>
      </w:r>
      <w:r w:rsidR="00D524F1">
        <w:rPr>
          <w:sz w:val="24"/>
          <w:szCs w:val="24"/>
        </w:rPr>
        <w:t xml:space="preserve"> (1993)</w:t>
      </w:r>
      <w:r w:rsidR="00333B4B">
        <w:rPr>
          <w:sz w:val="24"/>
          <w:szCs w:val="24"/>
        </w:rPr>
        <w:t xml:space="preserve"> </w:t>
      </w:r>
      <w:r w:rsidR="00B04B94">
        <w:rPr>
          <w:sz w:val="24"/>
          <w:szCs w:val="24"/>
        </w:rPr>
        <w:t xml:space="preserve">is offered as </w:t>
      </w:r>
      <w:r w:rsidR="00242772">
        <w:rPr>
          <w:sz w:val="24"/>
          <w:szCs w:val="24"/>
        </w:rPr>
        <w:t>a</w:t>
      </w:r>
      <w:r w:rsidR="00F90082">
        <w:rPr>
          <w:sz w:val="24"/>
          <w:szCs w:val="24"/>
        </w:rPr>
        <w:t xml:space="preserve"> specific example. Rather oddly, </w:t>
      </w:r>
      <w:r w:rsidR="007B5C38">
        <w:rPr>
          <w:sz w:val="24"/>
          <w:szCs w:val="24"/>
        </w:rPr>
        <w:t>he</w:t>
      </w:r>
      <w:r w:rsidR="00F90082">
        <w:rPr>
          <w:sz w:val="24"/>
          <w:szCs w:val="24"/>
        </w:rPr>
        <w:t xml:space="preserve"> </w:t>
      </w:r>
      <w:r w:rsidR="00242772">
        <w:rPr>
          <w:sz w:val="24"/>
          <w:szCs w:val="24"/>
        </w:rPr>
        <w:t>invokes</w:t>
      </w:r>
      <w:r w:rsidR="00F90082">
        <w:rPr>
          <w:sz w:val="24"/>
          <w:szCs w:val="24"/>
        </w:rPr>
        <w:t xml:space="preserve"> that provision </w:t>
      </w:r>
      <w:r w:rsidR="00333B4B">
        <w:rPr>
          <w:sz w:val="24"/>
          <w:szCs w:val="24"/>
        </w:rPr>
        <w:t xml:space="preserve">to reinforce his </w:t>
      </w:r>
      <w:r w:rsidR="00333B4B">
        <w:rPr>
          <w:sz w:val="24"/>
          <w:szCs w:val="24"/>
        </w:rPr>
        <w:lastRenderedPageBreak/>
        <w:t>rewriting of the Court of Justice case law on direct effect.</w:t>
      </w:r>
      <w:r w:rsidR="00982B3B">
        <w:rPr>
          <w:rStyle w:val="FootnoteReference"/>
          <w:sz w:val="24"/>
          <w:szCs w:val="24"/>
        </w:rPr>
        <w:footnoteReference w:id="28"/>
      </w:r>
      <w:r w:rsidR="00333B4B">
        <w:rPr>
          <w:sz w:val="24"/>
          <w:szCs w:val="24"/>
        </w:rPr>
        <w:t xml:space="preserve"> But the comparison</w:t>
      </w:r>
      <w:r w:rsidR="00A85869">
        <w:rPr>
          <w:sz w:val="24"/>
          <w:szCs w:val="24"/>
        </w:rPr>
        <w:t xml:space="preserve"> is stronger in reverse – not least since </w:t>
      </w:r>
      <w:r w:rsidR="00E45FCF">
        <w:rPr>
          <w:sz w:val="24"/>
          <w:szCs w:val="24"/>
        </w:rPr>
        <w:t>that provision</w:t>
      </w:r>
      <w:r w:rsidR="00A85869">
        <w:rPr>
          <w:sz w:val="24"/>
          <w:szCs w:val="24"/>
        </w:rPr>
        <w:t xml:space="preserve"> post-dates the judgments in </w:t>
      </w:r>
      <w:r w:rsidR="001901EF" w:rsidRPr="00FB15DC">
        <w:rPr>
          <w:i/>
          <w:iCs/>
          <w:sz w:val="24"/>
          <w:szCs w:val="24"/>
        </w:rPr>
        <w:t>Van Gend en Loos</w:t>
      </w:r>
      <w:r w:rsidR="001901EF">
        <w:rPr>
          <w:sz w:val="24"/>
          <w:szCs w:val="24"/>
        </w:rPr>
        <w:t xml:space="preserve"> and </w:t>
      </w:r>
      <w:r w:rsidR="001901EF" w:rsidRPr="00FB15DC">
        <w:rPr>
          <w:i/>
          <w:iCs/>
          <w:sz w:val="24"/>
          <w:szCs w:val="24"/>
        </w:rPr>
        <w:t>Costa</w:t>
      </w:r>
      <w:r w:rsidR="001901EF">
        <w:rPr>
          <w:sz w:val="24"/>
          <w:szCs w:val="24"/>
        </w:rPr>
        <w:t xml:space="preserve"> by </w:t>
      </w:r>
      <w:r w:rsidR="00D524F1">
        <w:rPr>
          <w:sz w:val="24"/>
          <w:szCs w:val="24"/>
        </w:rPr>
        <w:t>3</w:t>
      </w:r>
      <w:r w:rsidR="001901EF">
        <w:rPr>
          <w:sz w:val="24"/>
          <w:szCs w:val="24"/>
        </w:rPr>
        <w:t xml:space="preserve">0 years. </w:t>
      </w:r>
    </w:p>
    <w:p w14:paraId="1AE57936" w14:textId="09CF0A36" w:rsidR="00791970" w:rsidRPr="006E5E3D" w:rsidRDefault="006E5E3D" w:rsidP="009227F0">
      <w:pPr>
        <w:spacing w:line="360" w:lineRule="auto"/>
        <w:jc w:val="both"/>
        <w:rPr>
          <w:b/>
          <w:bCs/>
          <w:sz w:val="28"/>
          <w:szCs w:val="28"/>
        </w:rPr>
      </w:pPr>
      <w:r w:rsidRPr="006E5E3D">
        <w:rPr>
          <w:b/>
          <w:bCs/>
          <w:sz w:val="28"/>
          <w:szCs w:val="28"/>
        </w:rPr>
        <w:t>Supplement</w:t>
      </w:r>
      <w:r>
        <w:rPr>
          <w:b/>
          <w:bCs/>
          <w:sz w:val="28"/>
          <w:szCs w:val="28"/>
        </w:rPr>
        <w:t>ary Analysis</w:t>
      </w:r>
      <w:r w:rsidR="00016E49">
        <w:rPr>
          <w:b/>
          <w:bCs/>
          <w:sz w:val="28"/>
          <w:szCs w:val="28"/>
        </w:rPr>
        <w:t xml:space="preserve">; </w:t>
      </w:r>
      <w:r w:rsidR="0010104D">
        <w:rPr>
          <w:b/>
          <w:bCs/>
          <w:sz w:val="28"/>
          <w:szCs w:val="28"/>
        </w:rPr>
        <w:t>Synthesi</w:t>
      </w:r>
      <w:r w:rsidR="00BA4D91">
        <w:rPr>
          <w:b/>
          <w:bCs/>
          <w:sz w:val="28"/>
          <w:szCs w:val="28"/>
        </w:rPr>
        <w:t>sing Narratives</w:t>
      </w:r>
    </w:p>
    <w:p w14:paraId="21C08C90" w14:textId="237B6ACF" w:rsidR="00AC3873" w:rsidRDefault="004A4456" w:rsidP="009227F0">
      <w:pPr>
        <w:spacing w:line="360" w:lineRule="auto"/>
        <w:jc w:val="both"/>
        <w:rPr>
          <w:sz w:val="24"/>
          <w:szCs w:val="24"/>
        </w:rPr>
      </w:pPr>
      <w:r>
        <w:rPr>
          <w:sz w:val="24"/>
          <w:szCs w:val="24"/>
        </w:rPr>
        <w:t>The remaining</w:t>
      </w:r>
      <w:r w:rsidR="00BE0B97">
        <w:rPr>
          <w:sz w:val="24"/>
          <w:szCs w:val="24"/>
        </w:rPr>
        <w:t xml:space="preserve"> chapters</w:t>
      </w:r>
      <w:r>
        <w:rPr>
          <w:sz w:val="24"/>
          <w:szCs w:val="24"/>
        </w:rPr>
        <w:t xml:space="preserve"> of </w:t>
      </w:r>
      <w:r w:rsidRPr="004A4456">
        <w:rPr>
          <w:i/>
          <w:iCs/>
          <w:sz w:val="24"/>
          <w:szCs w:val="24"/>
        </w:rPr>
        <w:t>Great Judgments</w:t>
      </w:r>
      <w:r w:rsidR="00251D17">
        <w:rPr>
          <w:sz w:val="24"/>
          <w:szCs w:val="24"/>
        </w:rPr>
        <w:t xml:space="preserve"> add further colour rather than force to the core argument</w:t>
      </w:r>
      <w:r w:rsidR="00436414">
        <w:rPr>
          <w:sz w:val="24"/>
          <w:szCs w:val="24"/>
        </w:rPr>
        <w:t xml:space="preserve"> developed in chapters 3-4. </w:t>
      </w:r>
      <w:r w:rsidR="00975D4B">
        <w:rPr>
          <w:sz w:val="24"/>
          <w:szCs w:val="24"/>
        </w:rPr>
        <w:t xml:space="preserve">Chapter 5 engages </w:t>
      </w:r>
      <w:r w:rsidR="00975D4B" w:rsidRPr="00975D4B">
        <w:rPr>
          <w:i/>
          <w:iCs/>
          <w:sz w:val="24"/>
          <w:szCs w:val="24"/>
        </w:rPr>
        <w:t>International Fruit</w:t>
      </w:r>
      <w:r w:rsidR="00975D4B">
        <w:rPr>
          <w:sz w:val="24"/>
          <w:szCs w:val="24"/>
        </w:rPr>
        <w:t xml:space="preserve"> </w:t>
      </w:r>
      <w:r w:rsidR="0050715C">
        <w:rPr>
          <w:sz w:val="24"/>
          <w:szCs w:val="24"/>
        </w:rPr>
        <w:t>to strength</w:t>
      </w:r>
      <w:r w:rsidR="00A5500D">
        <w:rPr>
          <w:sz w:val="24"/>
          <w:szCs w:val="24"/>
        </w:rPr>
        <w:t>en</w:t>
      </w:r>
      <w:r w:rsidR="0050715C">
        <w:rPr>
          <w:sz w:val="24"/>
          <w:szCs w:val="24"/>
        </w:rPr>
        <w:t xml:space="preserve"> his recasting of </w:t>
      </w:r>
      <w:r w:rsidR="0050715C" w:rsidRPr="0050715C">
        <w:rPr>
          <w:i/>
          <w:iCs/>
          <w:sz w:val="24"/>
          <w:szCs w:val="24"/>
        </w:rPr>
        <w:t>Van Gend en Loos</w:t>
      </w:r>
      <w:r w:rsidR="0050715C">
        <w:rPr>
          <w:sz w:val="24"/>
          <w:szCs w:val="24"/>
        </w:rPr>
        <w:t xml:space="preserve"> as a judgment regulating inter-state relations, rather than individual rights. </w:t>
      </w:r>
      <w:r w:rsidR="00495B8D">
        <w:rPr>
          <w:sz w:val="24"/>
          <w:szCs w:val="24"/>
        </w:rPr>
        <w:t xml:space="preserve">Drawing inspiration </w:t>
      </w:r>
      <w:r w:rsidR="00E45FCF">
        <w:rPr>
          <w:sz w:val="24"/>
          <w:szCs w:val="24"/>
        </w:rPr>
        <w:t>from</w:t>
      </w:r>
      <w:r w:rsidR="00495B8D">
        <w:rPr>
          <w:sz w:val="24"/>
          <w:szCs w:val="24"/>
        </w:rPr>
        <w:t xml:space="preserve"> earlier attempts</w:t>
      </w:r>
      <w:r w:rsidR="00B07572">
        <w:rPr>
          <w:sz w:val="24"/>
          <w:szCs w:val="24"/>
        </w:rPr>
        <w:t xml:space="preserve"> </w:t>
      </w:r>
      <w:r w:rsidR="00E471E0">
        <w:rPr>
          <w:sz w:val="24"/>
          <w:szCs w:val="24"/>
        </w:rPr>
        <w:t xml:space="preserve">at </w:t>
      </w:r>
      <w:r w:rsidR="00B07572">
        <w:rPr>
          <w:sz w:val="24"/>
          <w:szCs w:val="24"/>
        </w:rPr>
        <w:t>similar exercises</w:t>
      </w:r>
      <w:r w:rsidR="00CD219A">
        <w:rPr>
          <w:sz w:val="24"/>
          <w:szCs w:val="24"/>
        </w:rPr>
        <w:t xml:space="preserve">, he </w:t>
      </w:r>
      <w:r w:rsidR="004C69B5">
        <w:rPr>
          <w:sz w:val="24"/>
          <w:szCs w:val="24"/>
        </w:rPr>
        <w:t xml:space="preserve">uses </w:t>
      </w:r>
      <w:r w:rsidR="004C69B5" w:rsidRPr="004C69B5">
        <w:rPr>
          <w:i/>
          <w:iCs/>
          <w:sz w:val="24"/>
          <w:szCs w:val="24"/>
        </w:rPr>
        <w:t>International Fruit</w:t>
      </w:r>
      <w:r w:rsidR="004C69B5">
        <w:rPr>
          <w:sz w:val="24"/>
          <w:szCs w:val="24"/>
        </w:rPr>
        <w:t xml:space="preserve"> to rewrite </w:t>
      </w:r>
      <w:r w:rsidR="00DE59F7" w:rsidRPr="0050715C">
        <w:rPr>
          <w:i/>
          <w:iCs/>
          <w:sz w:val="24"/>
          <w:szCs w:val="24"/>
        </w:rPr>
        <w:t>Van Gend en Loos</w:t>
      </w:r>
      <w:r w:rsidR="00DE59F7">
        <w:rPr>
          <w:sz w:val="24"/>
          <w:szCs w:val="24"/>
        </w:rPr>
        <w:t xml:space="preserve"> in a manner that brings out its concealed logic as </w:t>
      </w:r>
      <w:r w:rsidR="006C3BD0">
        <w:rPr>
          <w:sz w:val="24"/>
          <w:szCs w:val="24"/>
        </w:rPr>
        <w:t xml:space="preserve">the cornerstone of the European legal order’s rejection of unilateral inter-state self-help and retaliation mechanisms. </w:t>
      </w:r>
      <w:r w:rsidR="00B06B9A">
        <w:rPr>
          <w:sz w:val="24"/>
          <w:szCs w:val="24"/>
        </w:rPr>
        <w:t>Chapter</w:t>
      </w:r>
      <w:r w:rsidR="00FE05C2">
        <w:rPr>
          <w:sz w:val="24"/>
          <w:szCs w:val="24"/>
        </w:rPr>
        <w:t>s</w:t>
      </w:r>
      <w:r w:rsidR="00B06B9A">
        <w:rPr>
          <w:sz w:val="24"/>
          <w:szCs w:val="24"/>
        </w:rPr>
        <w:t xml:space="preserve"> </w:t>
      </w:r>
      <w:r w:rsidR="00E15E28">
        <w:rPr>
          <w:sz w:val="24"/>
          <w:szCs w:val="24"/>
        </w:rPr>
        <w:t>6</w:t>
      </w:r>
      <w:r w:rsidR="002E6C79">
        <w:rPr>
          <w:sz w:val="24"/>
          <w:szCs w:val="24"/>
        </w:rPr>
        <w:t xml:space="preserve"> and 7 </w:t>
      </w:r>
      <w:r w:rsidR="00611AB5">
        <w:rPr>
          <w:sz w:val="24"/>
          <w:szCs w:val="24"/>
        </w:rPr>
        <w:t>attempt to relate</w:t>
      </w:r>
      <w:r w:rsidR="00E15E28">
        <w:rPr>
          <w:sz w:val="24"/>
          <w:szCs w:val="24"/>
        </w:rPr>
        <w:t xml:space="preserve"> </w:t>
      </w:r>
      <w:r w:rsidR="00E15E28" w:rsidRPr="005E3221">
        <w:rPr>
          <w:i/>
          <w:iCs/>
          <w:sz w:val="24"/>
          <w:szCs w:val="24"/>
        </w:rPr>
        <w:t>Van</w:t>
      </w:r>
      <w:r w:rsidR="00FE05C2" w:rsidRPr="005E3221">
        <w:rPr>
          <w:i/>
          <w:iCs/>
          <w:sz w:val="24"/>
          <w:szCs w:val="24"/>
        </w:rPr>
        <w:t xml:space="preserve"> Duyn</w:t>
      </w:r>
      <w:r w:rsidR="002E6C79">
        <w:rPr>
          <w:sz w:val="24"/>
          <w:szCs w:val="24"/>
        </w:rPr>
        <w:t xml:space="preserve"> and </w:t>
      </w:r>
      <w:r w:rsidR="002E6C79" w:rsidRPr="005E3221">
        <w:rPr>
          <w:i/>
          <w:iCs/>
          <w:sz w:val="24"/>
          <w:szCs w:val="24"/>
        </w:rPr>
        <w:t>S</w:t>
      </w:r>
      <w:r w:rsidR="00611AB5" w:rsidRPr="005E3221">
        <w:rPr>
          <w:i/>
          <w:iCs/>
          <w:sz w:val="24"/>
          <w:szCs w:val="24"/>
        </w:rPr>
        <w:t>im</w:t>
      </w:r>
      <w:r w:rsidR="005E3221" w:rsidRPr="005E3221">
        <w:rPr>
          <w:i/>
          <w:iCs/>
          <w:sz w:val="24"/>
          <w:szCs w:val="24"/>
        </w:rPr>
        <w:t>menthal</w:t>
      </w:r>
      <w:r w:rsidR="005E3221">
        <w:rPr>
          <w:sz w:val="24"/>
          <w:szCs w:val="24"/>
        </w:rPr>
        <w:t xml:space="preserve">, respectively, to </w:t>
      </w:r>
      <w:r w:rsidR="00D85E8F">
        <w:rPr>
          <w:sz w:val="24"/>
          <w:szCs w:val="24"/>
        </w:rPr>
        <w:t xml:space="preserve">the </w:t>
      </w:r>
      <w:r w:rsidR="007707DD">
        <w:rPr>
          <w:sz w:val="24"/>
          <w:szCs w:val="24"/>
        </w:rPr>
        <w:t>revised</w:t>
      </w:r>
      <w:r w:rsidR="00D85E8F">
        <w:rPr>
          <w:sz w:val="24"/>
          <w:szCs w:val="24"/>
        </w:rPr>
        <w:t xml:space="preserve"> account of direct effect and </w:t>
      </w:r>
      <w:r w:rsidR="0034527E">
        <w:rPr>
          <w:sz w:val="24"/>
          <w:szCs w:val="24"/>
        </w:rPr>
        <w:t>primacy</w:t>
      </w:r>
      <w:r w:rsidR="00D85E8F">
        <w:rPr>
          <w:sz w:val="24"/>
          <w:szCs w:val="24"/>
        </w:rPr>
        <w:t xml:space="preserve"> developed in chapters 3-5. Chapter 8</w:t>
      </w:r>
      <w:r w:rsidR="001E54EA">
        <w:rPr>
          <w:sz w:val="24"/>
          <w:szCs w:val="24"/>
        </w:rPr>
        <w:t xml:space="preserve">, </w:t>
      </w:r>
      <w:r w:rsidR="007D4305">
        <w:rPr>
          <w:sz w:val="24"/>
          <w:szCs w:val="24"/>
        </w:rPr>
        <w:t>analysing</w:t>
      </w:r>
      <w:r w:rsidR="001E54EA">
        <w:rPr>
          <w:sz w:val="24"/>
          <w:szCs w:val="24"/>
        </w:rPr>
        <w:t xml:space="preserve"> </w:t>
      </w:r>
      <w:r w:rsidR="001E54EA" w:rsidRPr="00CF6A95">
        <w:rPr>
          <w:i/>
          <w:iCs/>
          <w:sz w:val="24"/>
          <w:szCs w:val="24"/>
        </w:rPr>
        <w:t>Sheep Meat</w:t>
      </w:r>
      <w:r w:rsidR="001E54EA">
        <w:rPr>
          <w:sz w:val="24"/>
          <w:szCs w:val="24"/>
        </w:rPr>
        <w:t xml:space="preserve">, </w:t>
      </w:r>
      <w:r w:rsidR="007D4305">
        <w:rPr>
          <w:sz w:val="24"/>
          <w:szCs w:val="24"/>
        </w:rPr>
        <w:t xml:space="preserve">reflects on the </w:t>
      </w:r>
      <w:r w:rsidR="00D6400E">
        <w:rPr>
          <w:sz w:val="24"/>
          <w:szCs w:val="24"/>
        </w:rPr>
        <w:t xml:space="preserve">limits of the </w:t>
      </w:r>
      <w:r w:rsidR="00F032AD">
        <w:rPr>
          <w:sz w:val="24"/>
          <w:szCs w:val="24"/>
        </w:rPr>
        <w:t xml:space="preserve">European legal order’s </w:t>
      </w:r>
      <w:r w:rsidR="008E4110">
        <w:rPr>
          <w:sz w:val="24"/>
          <w:szCs w:val="24"/>
        </w:rPr>
        <w:t xml:space="preserve">framework on inter-state relations. </w:t>
      </w:r>
      <w:r w:rsidR="001F34D8">
        <w:rPr>
          <w:sz w:val="24"/>
          <w:szCs w:val="24"/>
        </w:rPr>
        <w:t>Phelan uses this case</w:t>
      </w:r>
      <w:r w:rsidR="00107A25">
        <w:rPr>
          <w:sz w:val="24"/>
          <w:szCs w:val="24"/>
        </w:rPr>
        <w:t xml:space="preserve"> to illustrate that reliance on direct effect and </w:t>
      </w:r>
      <w:r w:rsidR="0034527E">
        <w:rPr>
          <w:sz w:val="24"/>
          <w:szCs w:val="24"/>
        </w:rPr>
        <w:t>primacy</w:t>
      </w:r>
      <w:r w:rsidR="00107A25">
        <w:rPr>
          <w:sz w:val="24"/>
          <w:szCs w:val="24"/>
        </w:rPr>
        <w:t xml:space="preserve"> does not guarantee</w:t>
      </w:r>
      <w:r w:rsidR="00142958">
        <w:rPr>
          <w:sz w:val="24"/>
          <w:szCs w:val="24"/>
        </w:rPr>
        <w:t xml:space="preserve"> state compliance with treaty obligations. At the same time, however, he</w:t>
      </w:r>
      <w:r w:rsidR="000358C7">
        <w:rPr>
          <w:sz w:val="24"/>
          <w:szCs w:val="24"/>
        </w:rPr>
        <w:t xml:space="preserve"> also employs this</w:t>
      </w:r>
      <w:r w:rsidR="00A07F10">
        <w:rPr>
          <w:sz w:val="24"/>
          <w:szCs w:val="24"/>
        </w:rPr>
        <w:t xml:space="preserve"> decision to praise</w:t>
      </w:r>
      <w:r w:rsidR="00B03399">
        <w:rPr>
          <w:sz w:val="24"/>
          <w:szCs w:val="24"/>
        </w:rPr>
        <w:t xml:space="preserve"> the relative strength of the European legal order’s distinctive solution to the management of </w:t>
      </w:r>
      <w:r w:rsidR="009D1381">
        <w:rPr>
          <w:sz w:val="24"/>
          <w:szCs w:val="24"/>
        </w:rPr>
        <w:t>inter-state dispute in trade agreements</w:t>
      </w:r>
      <w:r w:rsidR="00487818">
        <w:rPr>
          <w:sz w:val="24"/>
          <w:szCs w:val="24"/>
        </w:rPr>
        <w:t xml:space="preserve"> – </w:t>
      </w:r>
      <w:r w:rsidR="00285B6F">
        <w:rPr>
          <w:sz w:val="24"/>
          <w:szCs w:val="24"/>
        </w:rPr>
        <w:t>foregrounding</w:t>
      </w:r>
      <w:r w:rsidR="00487818">
        <w:rPr>
          <w:sz w:val="24"/>
          <w:szCs w:val="24"/>
        </w:rPr>
        <w:t xml:space="preserve"> his broader conclusions on that point in chapter</w:t>
      </w:r>
      <w:r w:rsidR="00285B6F">
        <w:rPr>
          <w:sz w:val="24"/>
          <w:szCs w:val="24"/>
        </w:rPr>
        <w:t xml:space="preserve"> 10.</w:t>
      </w:r>
    </w:p>
    <w:p w14:paraId="1CD8ABB7" w14:textId="77777777" w:rsidR="00FB3B7E" w:rsidRDefault="006B547D" w:rsidP="00AC0625">
      <w:pPr>
        <w:spacing w:line="360" w:lineRule="auto"/>
        <w:ind w:firstLine="720"/>
        <w:jc w:val="both"/>
        <w:rPr>
          <w:sz w:val="24"/>
          <w:szCs w:val="24"/>
        </w:rPr>
      </w:pPr>
      <w:r>
        <w:rPr>
          <w:sz w:val="24"/>
          <w:szCs w:val="24"/>
        </w:rPr>
        <w:t xml:space="preserve">Chapter 9 </w:t>
      </w:r>
      <w:r w:rsidR="003D1BA0">
        <w:rPr>
          <w:sz w:val="24"/>
          <w:szCs w:val="24"/>
        </w:rPr>
        <w:t xml:space="preserve">stands out among the analysis of judgments in later chapters. </w:t>
      </w:r>
      <w:r w:rsidR="00671342">
        <w:rPr>
          <w:sz w:val="24"/>
          <w:szCs w:val="24"/>
        </w:rPr>
        <w:t>In common with chapters 5-</w:t>
      </w:r>
      <w:r w:rsidR="00AF6394">
        <w:rPr>
          <w:sz w:val="24"/>
          <w:szCs w:val="24"/>
        </w:rPr>
        <w:t xml:space="preserve">8, that chapter supplements rather than constitutes the core argument. But </w:t>
      </w:r>
      <w:r w:rsidR="00FF3D06">
        <w:rPr>
          <w:sz w:val="24"/>
          <w:szCs w:val="24"/>
        </w:rPr>
        <w:t>more so than</w:t>
      </w:r>
      <w:r w:rsidR="00AF6394">
        <w:rPr>
          <w:sz w:val="24"/>
          <w:szCs w:val="24"/>
        </w:rPr>
        <w:t xml:space="preserve"> </w:t>
      </w:r>
      <w:r w:rsidR="006A3BA7">
        <w:rPr>
          <w:sz w:val="24"/>
          <w:szCs w:val="24"/>
        </w:rPr>
        <w:t>the chapters it follows,</w:t>
      </w:r>
      <w:r w:rsidR="00FF3D06">
        <w:rPr>
          <w:sz w:val="24"/>
          <w:szCs w:val="24"/>
        </w:rPr>
        <w:t xml:space="preserve"> it provides greater insights into the relationship between Phelan’s argument and the</w:t>
      </w:r>
      <w:r w:rsidR="00822ECC">
        <w:rPr>
          <w:sz w:val="24"/>
          <w:szCs w:val="24"/>
        </w:rPr>
        <w:t xml:space="preserve"> established narratives on judicial empowerment and individual rights that </w:t>
      </w:r>
      <w:r w:rsidR="00822ECC" w:rsidRPr="004B4910">
        <w:rPr>
          <w:i/>
          <w:iCs/>
          <w:sz w:val="24"/>
          <w:szCs w:val="24"/>
        </w:rPr>
        <w:t>Great Judgments</w:t>
      </w:r>
      <w:r w:rsidR="00822ECC">
        <w:rPr>
          <w:sz w:val="24"/>
          <w:szCs w:val="24"/>
        </w:rPr>
        <w:t xml:space="preserve"> challenges its readers to rethink. </w:t>
      </w:r>
    </w:p>
    <w:p w14:paraId="27F3A657" w14:textId="324548D8" w:rsidR="00911FC9" w:rsidRDefault="00120D31" w:rsidP="00911FC9">
      <w:pPr>
        <w:spacing w:line="360" w:lineRule="auto"/>
        <w:ind w:firstLine="720"/>
        <w:jc w:val="both"/>
        <w:rPr>
          <w:sz w:val="24"/>
          <w:szCs w:val="24"/>
        </w:rPr>
      </w:pPr>
      <w:r>
        <w:rPr>
          <w:sz w:val="24"/>
          <w:szCs w:val="24"/>
        </w:rPr>
        <w:t xml:space="preserve">Phelan’s focus in Chapter 9 is on </w:t>
      </w:r>
      <w:r w:rsidRPr="00CE4E69">
        <w:rPr>
          <w:i/>
          <w:iCs/>
          <w:sz w:val="24"/>
          <w:szCs w:val="24"/>
        </w:rPr>
        <w:t>Internationale Handelsgesellschaft</w:t>
      </w:r>
      <w:r>
        <w:rPr>
          <w:sz w:val="24"/>
          <w:szCs w:val="24"/>
        </w:rPr>
        <w:t xml:space="preserve"> – the judgment in which, as is well-known, the Court of Justice famously asserted its exclusive competence to adjudicate on the constitutionality of EU Acts that were alleged to infringe fundamental rights as protected under the constitutions of the Member States. </w:t>
      </w:r>
      <w:r w:rsidR="00AC2A1E">
        <w:rPr>
          <w:sz w:val="24"/>
          <w:szCs w:val="24"/>
        </w:rPr>
        <w:t xml:space="preserve">Phelan </w:t>
      </w:r>
      <w:r w:rsidR="00C56B08">
        <w:rPr>
          <w:sz w:val="24"/>
          <w:szCs w:val="24"/>
        </w:rPr>
        <w:t>acknowledges</w:t>
      </w:r>
      <w:r w:rsidR="00AC2A1E">
        <w:rPr>
          <w:sz w:val="24"/>
          <w:szCs w:val="24"/>
        </w:rPr>
        <w:t xml:space="preserve"> </w:t>
      </w:r>
      <w:r w:rsidR="00A22A71">
        <w:rPr>
          <w:sz w:val="24"/>
          <w:szCs w:val="24"/>
        </w:rPr>
        <w:t xml:space="preserve">that this </w:t>
      </w:r>
      <w:r w:rsidR="00A22A71">
        <w:rPr>
          <w:sz w:val="24"/>
          <w:szCs w:val="24"/>
        </w:rPr>
        <w:lastRenderedPageBreak/>
        <w:t xml:space="preserve">decision </w:t>
      </w:r>
      <w:r w:rsidR="00A637CA">
        <w:rPr>
          <w:sz w:val="24"/>
          <w:szCs w:val="24"/>
        </w:rPr>
        <w:t>does not</w:t>
      </w:r>
      <w:r w:rsidR="006544CD">
        <w:rPr>
          <w:sz w:val="24"/>
          <w:szCs w:val="24"/>
        </w:rPr>
        <w:t xml:space="preserve"> fit neatly with </w:t>
      </w:r>
      <w:r w:rsidR="00D24DFF">
        <w:rPr>
          <w:sz w:val="24"/>
          <w:szCs w:val="24"/>
        </w:rPr>
        <w:t>the book’s otherwise coherent focus on</w:t>
      </w:r>
      <w:r w:rsidR="009A116B">
        <w:rPr>
          <w:sz w:val="24"/>
          <w:szCs w:val="24"/>
        </w:rPr>
        <w:t xml:space="preserve"> </w:t>
      </w:r>
      <w:r w:rsidR="00CA1F37">
        <w:rPr>
          <w:sz w:val="24"/>
          <w:szCs w:val="24"/>
        </w:rPr>
        <w:t>rethinking</w:t>
      </w:r>
      <w:r w:rsidR="00525F61">
        <w:rPr>
          <w:sz w:val="24"/>
          <w:szCs w:val="24"/>
        </w:rPr>
        <w:t xml:space="preserve"> landmark </w:t>
      </w:r>
      <w:r w:rsidR="00195A51">
        <w:rPr>
          <w:sz w:val="24"/>
          <w:szCs w:val="24"/>
        </w:rPr>
        <w:t>judgments</w:t>
      </w:r>
      <w:r w:rsidR="00525F61">
        <w:rPr>
          <w:sz w:val="24"/>
          <w:szCs w:val="24"/>
        </w:rPr>
        <w:t xml:space="preserve"> through the prism of</w:t>
      </w:r>
      <w:r w:rsidR="00D24DFF">
        <w:rPr>
          <w:sz w:val="24"/>
          <w:szCs w:val="24"/>
        </w:rPr>
        <w:t xml:space="preserve"> </w:t>
      </w:r>
      <w:r w:rsidR="00C75084">
        <w:rPr>
          <w:sz w:val="24"/>
          <w:szCs w:val="24"/>
        </w:rPr>
        <w:t>inter-state trade relations</w:t>
      </w:r>
      <w:r w:rsidR="009A116B">
        <w:rPr>
          <w:sz w:val="24"/>
          <w:szCs w:val="24"/>
        </w:rPr>
        <w:t>:</w:t>
      </w:r>
    </w:p>
    <w:p w14:paraId="7C8FB7FE" w14:textId="77777777" w:rsidR="00911FC9" w:rsidRDefault="00F607D7" w:rsidP="00911FC9">
      <w:pPr>
        <w:spacing w:line="360" w:lineRule="auto"/>
        <w:ind w:left="720" w:right="804"/>
        <w:jc w:val="both"/>
        <w:rPr>
          <w:sz w:val="24"/>
          <w:szCs w:val="24"/>
        </w:rPr>
      </w:pPr>
      <w:r>
        <w:rPr>
          <w:sz w:val="24"/>
          <w:szCs w:val="24"/>
        </w:rPr>
        <w:t xml:space="preserve">‘the </w:t>
      </w:r>
      <w:r w:rsidR="00F762D9">
        <w:rPr>
          <w:sz w:val="24"/>
          <w:szCs w:val="24"/>
        </w:rPr>
        <w:t>question of how individuals are to be protection from violations of fundamental rights arising from treaty obligations</w:t>
      </w:r>
      <w:r w:rsidR="00FD2599">
        <w:rPr>
          <w:sz w:val="24"/>
          <w:szCs w:val="24"/>
        </w:rPr>
        <w:t xml:space="preserve"> is not very directly connection with the challenges of enforcement and escape in international trade politics.’</w:t>
      </w:r>
      <w:r w:rsidR="00FD2599">
        <w:rPr>
          <w:rStyle w:val="FootnoteReference"/>
          <w:sz w:val="24"/>
          <w:szCs w:val="24"/>
        </w:rPr>
        <w:footnoteReference w:id="29"/>
      </w:r>
      <w:r w:rsidR="00911FC9">
        <w:rPr>
          <w:sz w:val="24"/>
          <w:szCs w:val="24"/>
        </w:rPr>
        <w:t xml:space="preserve"> </w:t>
      </w:r>
    </w:p>
    <w:p w14:paraId="5D24D580" w14:textId="4A33486C" w:rsidR="001A1D5C" w:rsidRDefault="00911FC9" w:rsidP="00911FC9">
      <w:pPr>
        <w:spacing w:line="360" w:lineRule="auto"/>
        <w:jc w:val="both"/>
        <w:rPr>
          <w:sz w:val="24"/>
          <w:szCs w:val="24"/>
        </w:rPr>
      </w:pPr>
      <w:r>
        <w:rPr>
          <w:sz w:val="24"/>
          <w:szCs w:val="24"/>
        </w:rPr>
        <w:t>T</w:t>
      </w:r>
      <w:r w:rsidR="004265C8">
        <w:rPr>
          <w:sz w:val="24"/>
          <w:szCs w:val="24"/>
        </w:rPr>
        <w:t xml:space="preserve">o integrate </w:t>
      </w:r>
      <w:r w:rsidR="004265C8" w:rsidRPr="00CE4E69">
        <w:rPr>
          <w:i/>
          <w:iCs/>
          <w:sz w:val="24"/>
          <w:szCs w:val="24"/>
        </w:rPr>
        <w:t>Internationale Handelsgesellschaft</w:t>
      </w:r>
      <w:r w:rsidR="004265C8">
        <w:rPr>
          <w:sz w:val="24"/>
          <w:szCs w:val="24"/>
        </w:rPr>
        <w:t xml:space="preserve"> into </w:t>
      </w:r>
      <w:r w:rsidR="007A2A37">
        <w:rPr>
          <w:sz w:val="24"/>
          <w:szCs w:val="24"/>
        </w:rPr>
        <w:t>his</w:t>
      </w:r>
      <w:r w:rsidR="004265C8">
        <w:rPr>
          <w:sz w:val="24"/>
          <w:szCs w:val="24"/>
        </w:rPr>
        <w:t xml:space="preserve"> core argument</w:t>
      </w:r>
      <w:r w:rsidR="00B63547">
        <w:rPr>
          <w:sz w:val="24"/>
          <w:szCs w:val="24"/>
        </w:rPr>
        <w:t>, Phelan</w:t>
      </w:r>
      <w:r w:rsidR="00487772">
        <w:rPr>
          <w:sz w:val="24"/>
          <w:szCs w:val="24"/>
        </w:rPr>
        <w:t xml:space="preserve"> </w:t>
      </w:r>
      <w:r w:rsidR="00526AF5">
        <w:rPr>
          <w:sz w:val="24"/>
          <w:szCs w:val="24"/>
        </w:rPr>
        <w:t>adjust</w:t>
      </w:r>
      <w:r w:rsidR="00285B6F">
        <w:rPr>
          <w:sz w:val="24"/>
          <w:szCs w:val="24"/>
        </w:rPr>
        <w:t>s</w:t>
      </w:r>
      <w:r w:rsidR="00526AF5">
        <w:rPr>
          <w:sz w:val="24"/>
          <w:szCs w:val="24"/>
        </w:rPr>
        <w:t xml:space="preserve"> </w:t>
      </w:r>
      <w:r w:rsidR="003A36E7">
        <w:rPr>
          <w:sz w:val="24"/>
          <w:szCs w:val="24"/>
        </w:rPr>
        <w:t>his</w:t>
      </w:r>
      <w:r w:rsidR="00B63547">
        <w:rPr>
          <w:sz w:val="24"/>
          <w:szCs w:val="24"/>
        </w:rPr>
        <w:t xml:space="preserve"> comparative </w:t>
      </w:r>
      <w:r w:rsidR="003A36E7">
        <w:rPr>
          <w:sz w:val="24"/>
          <w:szCs w:val="24"/>
        </w:rPr>
        <w:t>framework</w:t>
      </w:r>
      <w:r w:rsidR="00C703BD">
        <w:rPr>
          <w:sz w:val="24"/>
          <w:szCs w:val="24"/>
        </w:rPr>
        <w:t>.</w:t>
      </w:r>
      <w:r w:rsidR="00487772">
        <w:rPr>
          <w:sz w:val="24"/>
          <w:szCs w:val="24"/>
        </w:rPr>
        <w:t xml:space="preserve"> </w:t>
      </w:r>
      <w:r w:rsidR="003F116A">
        <w:rPr>
          <w:sz w:val="24"/>
          <w:szCs w:val="24"/>
        </w:rPr>
        <w:t>That</w:t>
      </w:r>
      <w:r w:rsidR="00831B75">
        <w:rPr>
          <w:sz w:val="24"/>
          <w:szCs w:val="24"/>
        </w:rPr>
        <w:t xml:space="preserve"> decision</w:t>
      </w:r>
      <w:r w:rsidR="00195A51">
        <w:rPr>
          <w:sz w:val="24"/>
          <w:szCs w:val="24"/>
        </w:rPr>
        <w:t>, he argues, s</w:t>
      </w:r>
      <w:r w:rsidR="00E75474">
        <w:rPr>
          <w:sz w:val="24"/>
          <w:szCs w:val="24"/>
        </w:rPr>
        <w:t>hould</w:t>
      </w:r>
      <w:r w:rsidR="003F116A">
        <w:rPr>
          <w:sz w:val="24"/>
          <w:szCs w:val="24"/>
        </w:rPr>
        <w:t xml:space="preserve"> not be </w:t>
      </w:r>
      <w:r w:rsidR="00BE1B4F">
        <w:rPr>
          <w:sz w:val="24"/>
          <w:szCs w:val="24"/>
        </w:rPr>
        <w:t>rationalised</w:t>
      </w:r>
      <w:r w:rsidR="003F116A">
        <w:rPr>
          <w:sz w:val="24"/>
          <w:szCs w:val="24"/>
        </w:rPr>
        <w:t xml:space="preserve"> with</w:t>
      </w:r>
      <w:r w:rsidR="007707DD">
        <w:rPr>
          <w:sz w:val="24"/>
          <w:szCs w:val="24"/>
        </w:rPr>
        <w:t xml:space="preserve"> reference to</w:t>
      </w:r>
      <w:r w:rsidR="006B4633">
        <w:rPr>
          <w:sz w:val="24"/>
          <w:szCs w:val="24"/>
        </w:rPr>
        <w:t xml:space="preserve"> inter-state rules on self-help and retaliation measures. Rather, it </w:t>
      </w:r>
      <w:r w:rsidR="002E7FA3">
        <w:rPr>
          <w:sz w:val="24"/>
          <w:szCs w:val="24"/>
        </w:rPr>
        <w:t>ought</w:t>
      </w:r>
      <w:r w:rsidR="006B4633">
        <w:rPr>
          <w:sz w:val="24"/>
          <w:szCs w:val="24"/>
        </w:rPr>
        <w:t xml:space="preserve"> </w:t>
      </w:r>
      <w:r w:rsidR="002E7FA3">
        <w:rPr>
          <w:sz w:val="24"/>
          <w:szCs w:val="24"/>
        </w:rPr>
        <w:t xml:space="preserve">to </w:t>
      </w:r>
      <w:r w:rsidR="00E75474">
        <w:rPr>
          <w:sz w:val="24"/>
          <w:szCs w:val="24"/>
        </w:rPr>
        <w:t xml:space="preserve">be </w:t>
      </w:r>
      <w:r w:rsidR="002E7FA3">
        <w:rPr>
          <w:sz w:val="24"/>
          <w:szCs w:val="24"/>
        </w:rPr>
        <w:t>viewed</w:t>
      </w:r>
      <w:r w:rsidR="009F4757">
        <w:rPr>
          <w:sz w:val="24"/>
          <w:szCs w:val="24"/>
        </w:rPr>
        <w:t xml:space="preserve"> alongside</w:t>
      </w:r>
      <w:r w:rsidR="00E75474">
        <w:rPr>
          <w:sz w:val="24"/>
          <w:szCs w:val="24"/>
        </w:rPr>
        <w:t xml:space="preserve"> </w:t>
      </w:r>
      <w:r w:rsidR="003F425D">
        <w:rPr>
          <w:sz w:val="24"/>
          <w:szCs w:val="24"/>
        </w:rPr>
        <w:t xml:space="preserve">contemporary </w:t>
      </w:r>
      <w:r w:rsidR="00E75474">
        <w:rPr>
          <w:sz w:val="24"/>
          <w:szCs w:val="24"/>
        </w:rPr>
        <w:t>judgments of</w:t>
      </w:r>
      <w:r w:rsidR="0090334D">
        <w:rPr>
          <w:sz w:val="24"/>
          <w:szCs w:val="24"/>
        </w:rPr>
        <w:t xml:space="preserve"> </w:t>
      </w:r>
      <w:r w:rsidR="00CE0AB0">
        <w:rPr>
          <w:sz w:val="24"/>
          <w:szCs w:val="24"/>
        </w:rPr>
        <w:t>national constitutional courts</w:t>
      </w:r>
      <w:r w:rsidR="009F4757">
        <w:rPr>
          <w:sz w:val="24"/>
          <w:szCs w:val="24"/>
        </w:rPr>
        <w:t xml:space="preserve"> – notably those of the Italian and German constitutional courts – </w:t>
      </w:r>
      <w:r w:rsidR="008C7315">
        <w:rPr>
          <w:sz w:val="24"/>
          <w:szCs w:val="24"/>
        </w:rPr>
        <w:t>interpreting</w:t>
      </w:r>
      <w:r w:rsidR="00CE0AB0">
        <w:rPr>
          <w:sz w:val="24"/>
          <w:szCs w:val="24"/>
        </w:rPr>
        <w:t xml:space="preserve"> </w:t>
      </w:r>
      <w:r w:rsidR="0026784D">
        <w:rPr>
          <w:sz w:val="24"/>
          <w:szCs w:val="24"/>
        </w:rPr>
        <w:t xml:space="preserve">international treaty obligations </w:t>
      </w:r>
      <w:r w:rsidR="00883C26">
        <w:rPr>
          <w:sz w:val="24"/>
          <w:szCs w:val="24"/>
        </w:rPr>
        <w:t>in light of</w:t>
      </w:r>
      <w:r w:rsidR="008C7315">
        <w:rPr>
          <w:sz w:val="24"/>
          <w:szCs w:val="24"/>
        </w:rPr>
        <w:t xml:space="preserve"> </w:t>
      </w:r>
      <w:r w:rsidR="0026784D">
        <w:rPr>
          <w:sz w:val="24"/>
          <w:szCs w:val="24"/>
        </w:rPr>
        <w:t>national constitutional rights</w:t>
      </w:r>
      <w:r w:rsidR="00E61B9E">
        <w:rPr>
          <w:sz w:val="24"/>
          <w:szCs w:val="24"/>
        </w:rPr>
        <w:t>:</w:t>
      </w:r>
    </w:p>
    <w:p w14:paraId="6E98FB29" w14:textId="3A655EA5" w:rsidR="009612D0" w:rsidRPr="00E61B9E" w:rsidRDefault="009612D0" w:rsidP="00E61B9E">
      <w:pPr>
        <w:spacing w:line="360" w:lineRule="auto"/>
        <w:ind w:left="720" w:right="804"/>
        <w:jc w:val="both"/>
        <w:rPr>
          <w:sz w:val="24"/>
          <w:szCs w:val="24"/>
        </w:rPr>
      </w:pPr>
      <w:r>
        <w:rPr>
          <w:sz w:val="24"/>
          <w:szCs w:val="24"/>
        </w:rPr>
        <w:t xml:space="preserve">‘A more appropriate context to understand the challenge faced by the Court of </w:t>
      </w:r>
      <w:r w:rsidR="00E61B9E">
        <w:rPr>
          <w:sz w:val="24"/>
          <w:szCs w:val="24"/>
        </w:rPr>
        <w:t>Justice</w:t>
      </w:r>
      <w:r>
        <w:rPr>
          <w:sz w:val="24"/>
          <w:szCs w:val="24"/>
        </w:rPr>
        <w:t xml:space="preserve"> </w:t>
      </w:r>
      <w:r w:rsidR="00E61B9E">
        <w:rPr>
          <w:sz w:val="24"/>
          <w:szCs w:val="24"/>
        </w:rPr>
        <w:t>in</w:t>
      </w:r>
      <w:r w:rsidR="00E61B9E" w:rsidRPr="00E61B9E">
        <w:rPr>
          <w:i/>
          <w:iCs/>
          <w:sz w:val="24"/>
          <w:szCs w:val="24"/>
        </w:rPr>
        <w:t xml:space="preserve"> </w:t>
      </w:r>
      <w:r w:rsidR="00E61B9E" w:rsidRPr="00CE4E69">
        <w:rPr>
          <w:i/>
          <w:iCs/>
          <w:sz w:val="24"/>
          <w:szCs w:val="24"/>
        </w:rPr>
        <w:t>Internationale Handelsgesellschaft</w:t>
      </w:r>
      <w:r w:rsidR="00E61B9E">
        <w:rPr>
          <w:sz w:val="24"/>
          <w:szCs w:val="24"/>
        </w:rPr>
        <w:t xml:space="preserve"> is the wider group of cases where national constitutional courts… were called upon to review whether treaty obligations violated fundamental rights protected by their national constitutions. This wider group of cases involves, above all, treaties other than the European treaties.’</w:t>
      </w:r>
      <w:r w:rsidR="00E61B9E">
        <w:rPr>
          <w:rStyle w:val="FootnoteReference"/>
          <w:sz w:val="24"/>
          <w:szCs w:val="24"/>
        </w:rPr>
        <w:footnoteReference w:id="30"/>
      </w:r>
    </w:p>
    <w:p w14:paraId="65CFB85D" w14:textId="663C2747" w:rsidR="00524EF2" w:rsidRDefault="00824865" w:rsidP="0076717B">
      <w:pPr>
        <w:spacing w:line="360" w:lineRule="auto"/>
        <w:jc w:val="both"/>
        <w:rPr>
          <w:sz w:val="24"/>
          <w:szCs w:val="24"/>
        </w:rPr>
      </w:pPr>
      <w:r>
        <w:rPr>
          <w:sz w:val="24"/>
          <w:szCs w:val="24"/>
        </w:rPr>
        <w:t xml:space="preserve">Phelan relies on this </w:t>
      </w:r>
      <w:r w:rsidR="00A92EB4">
        <w:rPr>
          <w:sz w:val="24"/>
          <w:szCs w:val="24"/>
        </w:rPr>
        <w:t>adjustment to his comparative framework</w:t>
      </w:r>
      <w:r>
        <w:rPr>
          <w:sz w:val="24"/>
          <w:szCs w:val="24"/>
        </w:rPr>
        <w:t xml:space="preserve"> to </w:t>
      </w:r>
      <w:r w:rsidR="00A92EB4">
        <w:rPr>
          <w:sz w:val="24"/>
          <w:szCs w:val="24"/>
        </w:rPr>
        <w:t>assert</w:t>
      </w:r>
      <w:r>
        <w:rPr>
          <w:sz w:val="24"/>
          <w:szCs w:val="24"/>
        </w:rPr>
        <w:t xml:space="preserve"> that </w:t>
      </w:r>
      <w:r w:rsidR="0068702F" w:rsidRPr="00CE4E69">
        <w:rPr>
          <w:i/>
          <w:iCs/>
          <w:sz w:val="24"/>
          <w:szCs w:val="24"/>
        </w:rPr>
        <w:t>Internationale Handelsgesellschaft</w:t>
      </w:r>
      <w:r w:rsidR="0068702F">
        <w:rPr>
          <w:sz w:val="24"/>
          <w:szCs w:val="24"/>
        </w:rPr>
        <w:t xml:space="preserve"> </w:t>
      </w:r>
      <w:r w:rsidR="00652397">
        <w:rPr>
          <w:sz w:val="24"/>
          <w:szCs w:val="24"/>
        </w:rPr>
        <w:t>was</w:t>
      </w:r>
      <w:r w:rsidR="0068702F">
        <w:rPr>
          <w:sz w:val="24"/>
          <w:szCs w:val="24"/>
        </w:rPr>
        <w:t xml:space="preserve"> principally </w:t>
      </w:r>
      <w:r w:rsidR="00652397">
        <w:rPr>
          <w:sz w:val="24"/>
          <w:szCs w:val="24"/>
        </w:rPr>
        <w:t>concerned with</w:t>
      </w:r>
      <w:r w:rsidR="0068702F">
        <w:rPr>
          <w:sz w:val="24"/>
          <w:szCs w:val="24"/>
        </w:rPr>
        <w:t xml:space="preserve"> </w:t>
      </w:r>
      <w:r w:rsidR="00910684">
        <w:rPr>
          <w:sz w:val="24"/>
          <w:szCs w:val="24"/>
        </w:rPr>
        <w:t>the</w:t>
      </w:r>
      <w:r w:rsidR="0068702F">
        <w:rPr>
          <w:sz w:val="24"/>
          <w:szCs w:val="24"/>
        </w:rPr>
        <w:t xml:space="preserve"> primacy of Union law </w:t>
      </w:r>
      <w:r w:rsidR="00AA6BF5">
        <w:rPr>
          <w:sz w:val="24"/>
          <w:szCs w:val="24"/>
        </w:rPr>
        <w:t xml:space="preserve">in </w:t>
      </w:r>
      <w:r w:rsidR="00A323F1">
        <w:rPr>
          <w:sz w:val="24"/>
          <w:szCs w:val="24"/>
        </w:rPr>
        <w:t xml:space="preserve">connection with inter-state trade </w:t>
      </w:r>
      <w:r w:rsidR="00715DC7">
        <w:rPr>
          <w:sz w:val="24"/>
          <w:szCs w:val="24"/>
        </w:rPr>
        <w:t>relation</w:t>
      </w:r>
      <w:r w:rsidR="00652397">
        <w:rPr>
          <w:sz w:val="24"/>
          <w:szCs w:val="24"/>
        </w:rPr>
        <w:t>s, not</w:t>
      </w:r>
      <w:r w:rsidR="00715DC7">
        <w:rPr>
          <w:sz w:val="24"/>
          <w:szCs w:val="24"/>
        </w:rPr>
        <w:t xml:space="preserve"> the </w:t>
      </w:r>
      <w:r w:rsidR="00EE2C36">
        <w:rPr>
          <w:sz w:val="24"/>
          <w:szCs w:val="24"/>
        </w:rPr>
        <w:t xml:space="preserve">development of </w:t>
      </w:r>
      <w:r w:rsidR="00257ED7">
        <w:rPr>
          <w:sz w:val="24"/>
          <w:szCs w:val="24"/>
        </w:rPr>
        <w:t>the Court of Justice’s role in protecting fundamental rights.</w:t>
      </w:r>
      <w:r w:rsidR="000E5AAE">
        <w:rPr>
          <w:sz w:val="24"/>
          <w:szCs w:val="24"/>
        </w:rPr>
        <w:t xml:space="preserve"> This dilution of the</w:t>
      </w:r>
      <w:r w:rsidR="00E655B6">
        <w:rPr>
          <w:sz w:val="24"/>
          <w:szCs w:val="24"/>
        </w:rPr>
        <w:t xml:space="preserve"> </w:t>
      </w:r>
      <w:r w:rsidR="00705D15">
        <w:rPr>
          <w:sz w:val="24"/>
          <w:szCs w:val="24"/>
        </w:rPr>
        <w:t>familiar</w:t>
      </w:r>
      <w:r w:rsidR="00E655B6">
        <w:rPr>
          <w:sz w:val="24"/>
          <w:szCs w:val="24"/>
        </w:rPr>
        <w:t xml:space="preserve"> </w:t>
      </w:r>
      <w:r w:rsidR="00705D15">
        <w:rPr>
          <w:sz w:val="24"/>
          <w:szCs w:val="24"/>
        </w:rPr>
        <w:t>understanding</w:t>
      </w:r>
      <w:r w:rsidR="00E655B6">
        <w:rPr>
          <w:sz w:val="24"/>
          <w:szCs w:val="24"/>
        </w:rPr>
        <w:t xml:space="preserve"> of </w:t>
      </w:r>
      <w:r w:rsidR="00E655B6" w:rsidRPr="00CE4E69">
        <w:rPr>
          <w:i/>
          <w:iCs/>
          <w:sz w:val="24"/>
          <w:szCs w:val="24"/>
        </w:rPr>
        <w:t>Internationale Handelsgesellschaft</w:t>
      </w:r>
      <w:r w:rsidR="00E655B6">
        <w:rPr>
          <w:i/>
          <w:iCs/>
          <w:sz w:val="24"/>
          <w:szCs w:val="24"/>
        </w:rPr>
        <w:t xml:space="preserve"> </w:t>
      </w:r>
      <w:r w:rsidR="00E655B6">
        <w:rPr>
          <w:sz w:val="24"/>
          <w:szCs w:val="24"/>
        </w:rPr>
        <w:t xml:space="preserve">as a cornerstone of the EU’s </w:t>
      </w:r>
      <w:r w:rsidR="00FE58A9">
        <w:rPr>
          <w:sz w:val="24"/>
          <w:szCs w:val="24"/>
        </w:rPr>
        <w:t xml:space="preserve">fundamental rights framework </w:t>
      </w:r>
      <w:r w:rsidR="002725F1">
        <w:rPr>
          <w:sz w:val="24"/>
          <w:szCs w:val="24"/>
        </w:rPr>
        <w:t xml:space="preserve">helps to bring that decision within the </w:t>
      </w:r>
      <w:r w:rsidR="009F5A8B">
        <w:rPr>
          <w:sz w:val="24"/>
          <w:szCs w:val="24"/>
        </w:rPr>
        <w:t xml:space="preserve">book’s </w:t>
      </w:r>
      <w:r w:rsidR="002725F1">
        <w:rPr>
          <w:sz w:val="24"/>
          <w:szCs w:val="24"/>
        </w:rPr>
        <w:t>core argument. But it is</w:t>
      </w:r>
      <w:r w:rsidR="005A3A82">
        <w:rPr>
          <w:sz w:val="24"/>
          <w:szCs w:val="24"/>
        </w:rPr>
        <w:t xml:space="preserve"> </w:t>
      </w:r>
      <w:r w:rsidR="002725F1">
        <w:rPr>
          <w:sz w:val="24"/>
          <w:szCs w:val="24"/>
        </w:rPr>
        <w:t xml:space="preserve">also </w:t>
      </w:r>
      <w:r w:rsidR="00E2351D">
        <w:rPr>
          <w:sz w:val="24"/>
          <w:szCs w:val="24"/>
        </w:rPr>
        <w:t>somewhat</w:t>
      </w:r>
      <w:r w:rsidR="002725F1">
        <w:rPr>
          <w:sz w:val="24"/>
          <w:szCs w:val="24"/>
        </w:rPr>
        <w:t xml:space="preserve"> strained</w:t>
      </w:r>
      <w:r w:rsidR="00885F9B">
        <w:rPr>
          <w:sz w:val="24"/>
          <w:szCs w:val="24"/>
        </w:rPr>
        <w:t xml:space="preserve">, not least as </w:t>
      </w:r>
      <w:r w:rsidR="005A3A82">
        <w:rPr>
          <w:sz w:val="24"/>
          <w:szCs w:val="24"/>
        </w:rPr>
        <w:t>P</w:t>
      </w:r>
      <w:r w:rsidR="008155C9">
        <w:rPr>
          <w:sz w:val="24"/>
          <w:szCs w:val="24"/>
        </w:rPr>
        <w:t>helan</w:t>
      </w:r>
      <w:r w:rsidR="004C463A">
        <w:rPr>
          <w:sz w:val="24"/>
          <w:szCs w:val="24"/>
        </w:rPr>
        <w:t xml:space="preserve"> </w:t>
      </w:r>
      <w:r w:rsidR="00885F9B">
        <w:rPr>
          <w:sz w:val="24"/>
          <w:szCs w:val="24"/>
        </w:rPr>
        <w:t>is forced to</w:t>
      </w:r>
      <w:r w:rsidR="00AD5B87">
        <w:rPr>
          <w:sz w:val="24"/>
          <w:szCs w:val="24"/>
        </w:rPr>
        <w:t xml:space="preserve"> concede</w:t>
      </w:r>
      <w:r w:rsidR="008B414C">
        <w:rPr>
          <w:sz w:val="24"/>
          <w:szCs w:val="24"/>
        </w:rPr>
        <w:t xml:space="preserve"> that</w:t>
      </w:r>
      <w:r w:rsidR="000B5409">
        <w:rPr>
          <w:sz w:val="24"/>
          <w:szCs w:val="24"/>
        </w:rPr>
        <w:t xml:space="preserve"> </w:t>
      </w:r>
      <w:r w:rsidR="008B414C" w:rsidRPr="00CE4E69">
        <w:rPr>
          <w:i/>
          <w:iCs/>
          <w:sz w:val="24"/>
          <w:szCs w:val="24"/>
        </w:rPr>
        <w:t>Internationale Handelsgesellschaft</w:t>
      </w:r>
      <w:r w:rsidR="005A3A82">
        <w:rPr>
          <w:i/>
          <w:iCs/>
          <w:sz w:val="24"/>
          <w:szCs w:val="24"/>
        </w:rPr>
        <w:t xml:space="preserve"> </w:t>
      </w:r>
      <w:r w:rsidR="008B414C">
        <w:rPr>
          <w:sz w:val="24"/>
          <w:szCs w:val="24"/>
        </w:rPr>
        <w:t xml:space="preserve">has subsequently </w:t>
      </w:r>
      <w:r w:rsidR="00705627">
        <w:rPr>
          <w:sz w:val="24"/>
          <w:szCs w:val="24"/>
        </w:rPr>
        <w:t>acquired the significance that his analysis</w:t>
      </w:r>
      <w:r w:rsidR="009623EE">
        <w:rPr>
          <w:sz w:val="24"/>
          <w:szCs w:val="24"/>
        </w:rPr>
        <w:t xml:space="preserve"> </w:t>
      </w:r>
      <w:r w:rsidR="00033F91">
        <w:rPr>
          <w:sz w:val="24"/>
          <w:szCs w:val="24"/>
        </w:rPr>
        <w:t>attempts to deconstruct</w:t>
      </w:r>
      <w:r w:rsidR="00A27981">
        <w:rPr>
          <w:sz w:val="24"/>
          <w:szCs w:val="24"/>
        </w:rPr>
        <w:t xml:space="preserve"> – a</w:t>
      </w:r>
      <w:r w:rsidR="00E73D9B">
        <w:rPr>
          <w:sz w:val="24"/>
          <w:szCs w:val="24"/>
        </w:rPr>
        <w:t>t least in its</w:t>
      </w:r>
      <w:r w:rsidR="00534AE6">
        <w:rPr>
          <w:sz w:val="24"/>
          <w:szCs w:val="24"/>
        </w:rPr>
        <w:t xml:space="preserve"> contemporary</w:t>
      </w:r>
      <w:r w:rsidR="00E73D9B">
        <w:rPr>
          <w:sz w:val="24"/>
          <w:szCs w:val="24"/>
        </w:rPr>
        <w:t xml:space="preserve"> historical context</w:t>
      </w:r>
      <w:r w:rsidR="00AD5B87">
        <w:rPr>
          <w:sz w:val="24"/>
          <w:szCs w:val="24"/>
        </w:rPr>
        <w:t>.</w:t>
      </w:r>
      <w:r w:rsidR="0058672A">
        <w:rPr>
          <w:rStyle w:val="FootnoteReference"/>
          <w:sz w:val="24"/>
          <w:szCs w:val="24"/>
        </w:rPr>
        <w:footnoteReference w:id="31"/>
      </w:r>
    </w:p>
    <w:p w14:paraId="1F12D454" w14:textId="16728210" w:rsidR="00C96216" w:rsidRDefault="005D050F" w:rsidP="002A42B0">
      <w:pPr>
        <w:spacing w:line="360" w:lineRule="auto"/>
        <w:ind w:firstLine="720"/>
        <w:jc w:val="both"/>
        <w:rPr>
          <w:sz w:val="24"/>
          <w:szCs w:val="24"/>
        </w:rPr>
      </w:pPr>
      <w:r>
        <w:rPr>
          <w:sz w:val="24"/>
          <w:szCs w:val="24"/>
        </w:rPr>
        <w:lastRenderedPageBreak/>
        <w:t>More fundamentally</w:t>
      </w:r>
      <w:r w:rsidR="003A36E7">
        <w:rPr>
          <w:sz w:val="24"/>
          <w:szCs w:val="24"/>
        </w:rPr>
        <w:t>,</w:t>
      </w:r>
      <w:r>
        <w:rPr>
          <w:sz w:val="24"/>
          <w:szCs w:val="24"/>
        </w:rPr>
        <w:t xml:space="preserve"> however,</w:t>
      </w:r>
      <w:r w:rsidR="003A36E7">
        <w:rPr>
          <w:sz w:val="24"/>
          <w:szCs w:val="24"/>
        </w:rPr>
        <w:t xml:space="preserve"> </w:t>
      </w:r>
      <w:r w:rsidR="00595DB2">
        <w:rPr>
          <w:sz w:val="24"/>
          <w:szCs w:val="24"/>
        </w:rPr>
        <w:t>the</w:t>
      </w:r>
      <w:r w:rsidR="008C411E">
        <w:rPr>
          <w:sz w:val="24"/>
          <w:szCs w:val="24"/>
        </w:rPr>
        <w:t xml:space="preserve"> shift in comparative perspective</w:t>
      </w:r>
      <w:r w:rsidR="009335A9">
        <w:rPr>
          <w:sz w:val="24"/>
          <w:szCs w:val="24"/>
        </w:rPr>
        <w:t xml:space="preserve"> effected </w:t>
      </w:r>
      <w:r w:rsidR="004711C0">
        <w:rPr>
          <w:sz w:val="24"/>
          <w:szCs w:val="24"/>
        </w:rPr>
        <w:t>i</w:t>
      </w:r>
      <w:r w:rsidR="005B0F6A">
        <w:rPr>
          <w:sz w:val="24"/>
          <w:szCs w:val="24"/>
        </w:rPr>
        <w:t>n chapter 9</w:t>
      </w:r>
      <w:r w:rsidR="00181B30">
        <w:rPr>
          <w:sz w:val="24"/>
          <w:szCs w:val="24"/>
        </w:rPr>
        <w:t xml:space="preserve"> provides</w:t>
      </w:r>
      <w:r w:rsidR="00B81110">
        <w:rPr>
          <w:sz w:val="24"/>
          <w:szCs w:val="24"/>
        </w:rPr>
        <w:t xml:space="preserve"> </w:t>
      </w:r>
      <w:r>
        <w:rPr>
          <w:sz w:val="24"/>
          <w:szCs w:val="24"/>
        </w:rPr>
        <w:t xml:space="preserve">an </w:t>
      </w:r>
      <w:r w:rsidR="00181B30">
        <w:rPr>
          <w:sz w:val="24"/>
          <w:szCs w:val="24"/>
        </w:rPr>
        <w:t>insight</w:t>
      </w:r>
      <w:r w:rsidR="00B81110">
        <w:rPr>
          <w:sz w:val="24"/>
          <w:szCs w:val="24"/>
        </w:rPr>
        <w:t xml:space="preserve"> </w:t>
      </w:r>
      <w:r w:rsidR="00181B30">
        <w:rPr>
          <w:sz w:val="24"/>
          <w:szCs w:val="24"/>
        </w:rPr>
        <w:t>into the</w:t>
      </w:r>
      <w:r w:rsidR="003D089A">
        <w:rPr>
          <w:sz w:val="24"/>
          <w:szCs w:val="24"/>
        </w:rPr>
        <w:t xml:space="preserve"> relationship between </w:t>
      </w:r>
      <w:r w:rsidR="00595DB2">
        <w:rPr>
          <w:sz w:val="24"/>
          <w:szCs w:val="24"/>
        </w:rPr>
        <w:t>Phelan’s</w:t>
      </w:r>
      <w:r w:rsidR="003D089A">
        <w:rPr>
          <w:sz w:val="24"/>
          <w:szCs w:val="24"/>
        </w:rPr>
        <w:t xml:space="preserve"> core argument and the dominant </w:t>
      </w:r>
      <w:r w:rsidR="00166915">
        <w:rPr>
          <w:sz w:val="24"/>
          <w:szCs w:val="24"/>
        </w:rPr>
        <w:t>narrative that</w:t>
      </w:r>
      <w:r w:rsidR="00F805F8">
        <w:rPr>
          <w:sz w:val="24"/>
          <w:szCs w:val="24"/>
        </w:rPr>
        <w:t xml:space="preserve"> he considers ‘unsatisfying.’</w:t>
      </w:r>
      <w:r w:rsidR="009952D7">
        <w:rPr>
          <w:sz w:val="24"/>
          <w:szCs w:val="24"/>
        </w:rPr>
        <w:t xml:space="preserve"> It is in this chapter that the reader</w:t>
      </w:r>
      <w:r w:rsidR="001D5A6C">
        <w:rPr>
          <w:sz w:val="24"/>
          <w:szCs w:val="24"/>
        </w:rPr>
        <w:t xml:space="preserve"> first</w:t>
      </w:r>
      <w:r w:rsidR="009952D7">
        <w:rPr>
          <w:sz w:val="24"/>
          <w:szCs w:val="24"/>
        </w:rPr>
        <w:t xml:space="preserve"> gets </w:t>
      </w:r>
      <w:r w:rsidR="00C5469E">
        <w:rPr>
          <w:sz w:val="24"/>
          <w:szCs w:val="24"/>
        </w:rPr>
        <w:t xml:space="preserve">the </w:t>
      </w:r>
      <w:r w:rsidR="009952D7">
        <w:rPr>
          <w:sz w:val="24"/>
          <w:szCs w:val="24"/>
        </w:rPr>
        <w:t xml:space="preserve">sense that </w:t>
      </w:r>
      <w:r w:rsidR="009D03B3">
        <w:rPr>
          <w:sz w:val="24"/>
          <w:szCs w:val="24"/>
        </w:rPr>
        <w:t xml:space="preserve">Phelan’s </w:t>
      </w:r>
      <w:r w:rsidR="0065147E">
        <w:rPr>
          <w:sz w:val="24"/>
          <w:szCs w:val="24"/>
        </w:rPr>
        <w:t xml:space="preserve">appeal </w:t>
      </w:r>
      <w:r w:rsidR="009D03B3">
        <w:rPr>
          <w:sz w:val="24"/>
          <w:szCs w:val="24"/>
        </w:rPr>
        <w:t>to</w:t>
      </w:r>
      <w:r w:rsidR="00131D3D">
        <w:rPr>
          <w:sz w:val="24"/>
          <w:szCs w:val="24"/>
        </w:rPr>
        <w:t xml:space="preserve"> ‘rethink’ the</w:t>
      </w:r>
      <w:r w:rsidR="007A024B">
        <w:rPr>
          <w:sz w:val="24"/>
          <w:szCs w:val="24"/>
        </w:rPr>
        <w:t xml:space="preserve"> Luxembourg Court’s</w:t>
      </w:r>
      <w:r w:rsidR="00131D3D">
        <w:rPr>
          <w:sz w:val="24"/>
          <w:szCs w:val="24"/>
        </w:rPr>
        <w:t xml:space="preserve"> formative rulings </w:t>
      </w:r>
      <w:r w:rsidR="00F12419">
        <w:rPr>
          <w:sz w:val="24"/>
          <w:szCs w:val="24"/>
        </w:rPr>
        <w:t>on direct effect and primacy</w:t>
      </w:r>
      <w:r w:rsidR="000335A7">
        <w:rPr>
          <w:sz w:val="24"/>
          <w:szCs w:val="24"/>
        </w:rPr>
        <w:t xml:space="preserve"> actually </w:t>
      </w:r>
      <w:r w:rsidR="00167272">
        <w:rPr>
          <w:sz w:val="24"/>
          <w:szCs w:val="24"/>
        </w:rPr>
        <w:t>involves</w:t>
      </w:r>
      <w:r w:rsidR="00F12419">
        <w:rPr>
          <w:sz w:val="24"/>
          <w:szCs w:val="24"/>
        </w:rPr>
        <w:t xml:space="preserve"> </w:t>
      </w:r>
      <w:r w:rsidR="002A42B0">
        <w:rPr>
          <w:i/>
          <w:iCs/>
          <w:sz w:val="24"/>
          <w:szCs w:val="24"/>
        </w:rPr>
        <w:t>m</w:t>
      </w:r>
      <w:r w:rsidR="000335A7" w:rsidRPr="00AF17FC">
        <w:rPr>
          <w:i/>
          <w:iCs/>
          <w:sz w:val="24"/>
          <w:szCs w:val="24"/>
        </w:rPr>
        <w:t>odify</w:t>
      </w:r>
      <w:r w:rsidR="000335A7">
        <w:rPr>
          <w:i/>
          <w:iCs/>
          <w:sz w:val="24"/>
          <w:szCs w:val="24"/>
        </w:rPr>
        <w:t>ing</w:t>
      </w:r>
      <w:r w:rsidR="00A65389">
        <w:rPr>
          <w:sz w:val="24"/>
          <w:szCs w:val="24"/>
        </w:rPr>
        <w:t xml:space="preserve"> rather than repudiat</w:t>
      </w:r>
      <w:r w:rsidR="000335A7">
        <w:rPr>
          <w:sz w:val="24"/>
          <w:szCs w:val="24"/>
        </w:rPr>
        <w:t>ing</w:t>
      </w:r>
      <w:r w:rsidR="0043339C">
        <w:rPr>
          <w:sz w:val="24"/>
          <w:szCs w:val="24"/>
        </w:rPr>
        <w:t xml:space="preserve"> </w:t>
      </w:r>
      <w:r w:rsidR="00167272">
        <w:rPr>
          <w:sz w:val="24"/>
          <w:szCs w:val="24"/>
        </w:rPr>
        <w:t>established interpretations of</w:t>
      </w:r>
      <w:r w:rsidR="00F37FF9">
        <w:rPr>
          <w:sz w:val="24"/>
          <w:szCs w:val="24"/>
        </w:rPr>
        <w:t xml:space="preserve"> </w:t>
      </w:r>
      <w:r w:rsidR="00792753" w:rsidRPr="00792753">
        <w:rPr>
          <w:i/>
          <w:iCs/>
          <w:sz w:val="24"/>
          <w:szCs w:val="24"/>
        </w:rPr>
        <w:t>Van Gend en Loos</w:t>
      </w:r>
      <w:r w:rsidR="00792753">
        <w:rPr>
          <w:sz w:val="24"/>
          <w:szCs w:val="24"/>
        </w:rPr>
        <w:t xml:space="preserve"> and </w:t>
      </w:r>
      <w:r w:rsidR="00792753" w:rsidRPr="00792753">
        <w:rPr>
          <w:i/>
          <w:iCs/>
          <w:sz w:val="24"/>
          <w:szCs w:val="24"/>
        </w:rPr>
        <w:t>Costa</w:t>
      </w:r>
      <w:r w:rsidR="00AF17FC">
        <w:rPr>
          <w:sz w:val="24"/>
          <w:szCs w:val="24"/>
        </w:rPr>
        <w:t>.</w:t>
      </w:r>
      <w:r w:rsidR="002A42B0">
        <w:rPr>
          <w:sz w:val="24"/>
          <w:szCs w:val="24"/>
        </w:rPr>
        <w:t xml:space="preserve"> </w:t>
      </w:r>
      <w:r w:rsidR="00285B6F">
        <w:rPr>
          <w:sz w:val="24"/>
          <w:szCs w:val="24"/>
        </w:rPr>
        <w:t>To</w:t>
      </w:r>
      <w:r w:rsidR="006C2E27">
        <w:rPr>
          <w:sz w:val="24"/>
          <w:szCs w:val="24"/>
        </w:rPr>
        <w:t xml:space="preserve"> rationalise</w:t>
      </w:r>
      <w:r w:rsidR="002A42B0">
        <w:rPr>
          <w:sz w:val="24"/>
          <w:szCs w:val="24"/>
        </w:rPr>
        <w:t xml:space="preserve"> </w:t>
      </w:r>
      <w:r w:rsidR="002A42B0" w:rsidRPr="00CE4E69">
        <w:rPr>
          <w:i/>
          <w:iCs/>
          <w:sz w:val="24"/>
          <w:szCs w:val="24"/>
        </w:rPr>
        <w:t>Internationale Handelsgesellschaft</w:t>
      </w:r>
      <w:r w:rsidR="002A42B0">
        <w:rPr>
          <w:i/>
          <w:iCs/>
          <w:sz w:val="24"/>
          <w:szCs w:val="24"/>
        </w:rPr>
        <w:t xml:space="preserve"> </w:t>
      </w:r>
      <w:r w:rsidR="00497059">
        <w:rPr>
          <w:sz w:val="24"/>
          <w:szCs w:val="24"/>
        </w:rPr>
        <w:t>with his core argument, Phelan</w:t>
      </w:r>
      <w:r w:rsidR="00285B6F">
        <w:rPr>
          <w:sz w:val="24"/>
          <w:szCs w:val="24"/>
        </w:rPr>
        <w:t xml:space="preserve"> ends up</w:t>
      </w:r>
      <w:r w:rsidR="00C96216">
        <w:rPr>
          <w:sz w:val="24"/>
          <w:szCs w:val="24"/>
        </w:rPr>
        <w:t xml:space="preserve"> </w:t>
      </w:r>
      <w:r w:rsidR="001B5AAB">
        <w:rPr>
          <w:sz w:val="24"/>
          <w:szCs w:val="24"/>
        </w:rPr>
        <w:t xml:space="preserve">implicitly </w:t>
      </w:r>
      <w:r w:rsidR="00174165">
        <w:rPr>
          <w:sz w:val="24"/>
          <w:szCs w:val="24"/>
        </w:rPr>
        <w:t>endors</w:t>
      </w:r>
      <w:r w:rsidR="00285B6F">
        <w:rPr>
          <w:sz w:val="24"/>
          <w:szCs w:val="24"/>
        </w:rPr>
        <w:t>ing</w:t>
      </w:r>
      <w:r w:rsidR="00514EEA">
        <w:rPr>
          <w:sz w:val="24"/>
          <w:szCs w:val="24"/>
        </w:rPr>
        <w:t xml:space="preserve"> an understanding of the Court of Justice </w:t>
      </w:r>
      <w:r w:rsidR="00D438FC">
        <w:rPr>
          <w:sz w:val="24"/>
          <w:szCs w:val="24"/>
        </w:rPr>
        <w:t xml:space="preserve">as a proto-constitutional court </w:t>
      </w:r>
      <w:r w:rsidR="0021766E">
        <w:rPr>
          <w:sz w:val="24"/>
          <w:szCs w:val="24"/>
        </w:rPr>
        <w:t xml:space="preserve">that </w:t>
      </w:r>
      <w:r w:rsidR="00D438FC">
        <w:rPr>
          <w:sz w:val="24"/>
          <w:szCs w:val="24"/>
        </w:rPr>
        <w:t>exercis</w:t>
      </w:r>
      <w:r w:rsidR="0021766E">
        <w:rPr>
          <w:sz w:val="24"/>
          <w:szCs w:val="24"/>
        </w:rPr>
        <w:t>es</w:t>
      </w:r>
      <w:r w:rsidR="00D438FC">
        <w:rPr>
          <w:sz w:val="24"/>
          <w:szCs w:val="24"/>
        </w:rPr>
        <w:t xml:space="preserve"> functions parallel to those of its domestic counterparts. That</w:t>
      </w:r>
      <w:r w:rsidR="0021766E">
        <w:rPr>
          <w:sz w:val="24"/>
          <w:szCs w:val="24"/>
        </w:rPr>
        <w:t xml:space="preserve"> view of the EU Court</w:t>
      </w:r>
      <w:r w:rsidR="00D438FC">
        <w:rPr>
          <w:sz w:val="24"/>
          <w:szCs w:val="24"/>
        </w:rPr>
        <w:t xml:space="preserve">, of course, </w:t>
      </w:r>
      <w:r w:rsidR="004E754F">
        <w:rPr>
          <w:sz w:val="24"/>
          <w:szCs w:val="24"/>
        </w:rPr>
        <w:t>underpins</w:t>
      </w:r>
      <w:r w:rsidR="00D438FC">
        <w:rPr>
          <w:sz w:val="24"/>
          <w:szCs w:val="24"/>
        </w:rPr>
        <w:t xml:space="preserve"> the vision of the ‘constitutionalised’ European legal order that his rethinking of </w:t>
      </w:r>
      <w:r w:rsidR="00D438FC" w:rsidRPr="00966BAD">
        <w:rPr>
          <w:i/>
          <w:iCs/>
          <w:sz w:val="24"/>
          <w:szCs w:val="24"/>
        </w:rPr>
        <w:t>Van Gend en Loos</w:t>
      </w:r>
      <w:r w:rsidR="00D438FC">
        <w:rPr>
          <w:sz w:val="24"/>
          <w:szCs w:val="24"/>
        </w:rPr>
        <w:t xml:space="preserve"> and </w:t>
      </w:r>
      <w:r w:rsidR="00D438FC" w:rsidRPr="00966BAD">
        <w:rPr>
          <w:i/>
          <w:iCs/>
          <w:sz w:val="24"/>
          <w:szCs w:val="24"/>
        </w:rPr>
        <w:t>Costa</w:t>
      </w:r>
      <w:r w:rsidR="00D438FC">
        <w:rPr>
          <w:sz w:val="24"/>
          <w:szCs w:val="24"/>
        </w:rPr>
        <w:t xml:space="preserve"> in chapters 2 and 3, respectively, explicitly problematises.</w:t>
      </w:r>
    </w:p>
    <w:p w14:paraId="31E37D19" w14:textId="6B8050EB" w:rsidR="002B1871" w:rsidRDefault="002B1871" w:rsidP="007E541C">
      <w:pPr>
        <w:spacing w:line="360" w:lineRule="auto"/>
        <w:ind w:firstLine="720"/>
        <w:jc w:val="both"/>
        <w:rPr>
          <w:sz w:val="24"/>
          <w:szCs w:val="24"/>
        </w:rPr>
      </w:pPr>
      <w:r>
        <w:rPr>
          <w:sz w:val="24"/>
          <w:szCs w:val="24"/>
        </w:rPr>
        <w:t xml:space="preserve">As Chapter 9 </w:t>
      </w:r>
      <w:r w:rsidR="00366B67">
        <w:rPr>
          <w:sz w:val="24"/>
          <w:szCs w:val="24"/>
        </w:rPr>
        <w:t>signals</w:t>
      </w:r>
      <w:r>
        <w:rPr>
          <w:sz w:val="24"/>
          <w:szCs w:val="24"/>
        </w:rPr>
        <w:t xml:space="preserve">, </w:t>
      </w:r>
      <w:r w:rsidR="00E46EE8" w:rsidRPr="0059222C">
        <w:rPr>
          <w:i/>
          <w:iCs/>
          <w:sz w:val="24"/>
          <w:szCs w:val="24"/>
        </w:rPr>
        <w:t>Great Judgments</w:t>
      </w:r>
      <w:r w:rsidR="00E46EE8">
        <w:rPr>
          <w:sz w:val="24"/>
          <w:szCs w:val="24"/>
        </w:rPr>
        <w:t xml:space="preserve"> </w:t>
      </w:r>
      <w:r w:rsidR="0035229D">
        <w:rPr>
          <w:sz w:val="24"/>
          <w:szCs w:val="24"/>
        </w:rPr>
        <w:t>ultimately</w:t>
      </w:r>
      <w:r w:rsidR="00E46EE8">
        <w:rPr>
          <w:sz w:val="24"/>
          <w:szCs w:val="24"/>
        </w:rPr>
        <w:t xml:space="preserve"> ends up synthesising</w:t>
      </w:r>
      <w:r w:rsidR="004D04D7">
        <w:rPr>
          <w:sz w:val="24"/>
          <w:szCs w:val="24"/>
        </w:rPr>
        <w:t xml:space="preserve"> </w:t>
      </w:r>
      <w:r w:rsidR="0028543F">
        <w:rPr>
          <w:sz w:val="24"/>
          <w:szCs w:val="24"/>
        </w:rPr>
        <w:t>rather than repudiating</w:t>
      </w:r>
      <w:r w:rsidR="00E46EE8">
        <w:rPr>
          <w:sz w:val="24"/>
          <w:szCs w:val="24"/>
        </w:rPr>
        <w:t xml:space="preserve"> narratives. </w:t>
      </w:r>
      <w:r w:rsidR="007E541C">
        <w:rPr>
          <w:sz w:val="24"/>
          <w:szCs w:val="24"/>
        </w:rPr>
        <w:t>Chapter 10 provides further clarity on that point</w:t>
      </w:r>
      <w:r w:rsidR="00570891">
        <w:rPr>
          <w:sz w:val="24"/>
          <w:szCs w:val="24"/>
        </w:rPr>
        <w:t xml:space="preserve">. </w:t>
      </w:r>
      <w:r w:rsidR="007E541C">
        <w:rPr>
          <w:sz w:val="24"/>
          <w:szCs w:val="24"/>
        </w:rPr>
        <w:t xml:space="preserve">Here Phelan gestures more explicitly towards </w:t>
      </w:r>
      <w:r w:rsidR="00E4115B">
        <w:rPr>
          <w:sz w:val="24"/>
          <w:szCs w:val="24"/>
        </w:rPr>
        <w:t>the defence of</w:t>
      </w:r>
      <w:r w:rsidR="007E541C">
        <w:rPr>
          <w:sz w:val="24"/>
          <w:szCs w:val="24"/>
        </w:rPr>
        <w:t xml:space="preserve"> more nuanced relationship between his </w:t>
      </w:r>
      <w:r w:rsidR="000B4621">
        <w:rPr>
          <w:sz w:val="24"/>
          <w:szCs w:val="24"/>
        </w:rPr>
        <w:t>core thesis</w:t>
      </w:r>
      <w:r w:rsidR="007E541C">
        <w:rPr>
          <w:sz w:val="24"/>
          <w:szCs w:val="24"/>
        </w:rPr>
        <w:t xml:space="preserve"> and the dominant account of the Court of Justice’s formative case law on, in particular, direct effect and primacy.</w:t>
      </w:r>
      <w:r w:rsidR="007E541C">
        <w:rPr>
          <w:rStyle w:val="FootnoteReference"/>
          <w:sz w:val="24"/>
          <w:szCs w:val="24"/>
        </w:rPr>
        <w:footnoteReference w:id="32"/>
      </w:r>
      <w:r w:rsidR="007E541C">
        <w:rPr>
          <w:sz w:val="24"/>
          <w:szCs w:val="24"/>
        </w:rPr>
        <w:t xml:space="preserve"> In the concluding analysis, </w:t>
      </w:r>
      <w:r w:rsidR="00E46EE8">
        <w:rPr>
          <w:sz w:val="24"/>
          <w:szCs w:val="24"/>
        </w:rPr>
        <w:t xml:space="preserve">Phelan defends, ‘understanding the direct-effect doctrine </w:t>
      </w:r>
      <w:r w:rsidR="00E46EE8" w:rsidRPr="00265A86">
        <w:rPr>
          <w:i/>
          <w:iCs/>
          <w:sz w:val="24"/>
          <w:szCs w:val="24"/>
        </w:rPr>
        <w:t>both</w:t>
      </w:r>
      <w:r w:rsidR="00E46EE8">
        <w:rPr>
          <w:sz w:val="24"/>
          <w:szCs w:val="24"/>
        </w:rPr>
        <w:t xml:space="preserve"> as a very specific instrument of inter-state trade politics </w:t>
      </w:r>
      <w:r w:rsidR="00E46EE8" w:rsidRPr="00265A86">
        <w:rPr>
          <w:i/>
          <w:iCs/>
          <w:sz w:val="24"/>
          <w:szCs w:val="24"/>
        </w:rPr>
        <w:t>and</w:t>
      </w:r>
      <w:r w:rsidR="00E46EE8">
        <w:rPr>
          <w:sz w:val="24"/>
          <w:szCs w:val="24"/>
        </w:rPr>
        <w:t xml:space="preserve"> as the potential basis for a constitutional understanding of the Treaty of Rome.’</w:t>
      </w:r>
      <w:r w:rsidR="00E46EE8">
        <w:rPr>
          <w:rStyle w:val="FootnoteReference"/>
          <w:sz w:val="24"/>
          <w:szCs w:val="24"/>
        </w:rPr>
        <w:footnoteReference w:id="33"/>
      </w:r>
      <w:r w:rsidR="00E46EE8">
        <w:rPr>
          <w:sz w:val="24"/>
          <w:szCs w:val="24"/>
        </w:rPr>
        <w:t xml:space="preserve"> Of the two narratives, Phelan leaves no doubt as to the priority he attaches to the former.</w:t>
      </w:r>
      <w:r w:rsidR="00B71CD4">
        <w:rPr>
          <w:sz w:val="24"/>
          <w:szCs w:val="24"/>
        </w:rPr>
        <w:t xml:space="preserve"> </w:t>
      </w:r>
      <w:r w:rsidR="00E46EE8">
        <w:rPr>
          <w:sz w:val="24"/>
          <w:szCs w:val="24"/>
        </w:rPr>
        <w:t xml:space="preserve">But prioritisation remains the watchword: </w:t>
      </w:r>
      <w:r w:rsidR="00E46EE8" w:rsidRPr="000C77EC">
        <w:rPr>
          <w:i/>
          <w:iCs/>
          <w:sz w:val="24"/>
          <w:szCs w:val="24"/>
        </w:rPr>
        <w:t xml:space="preserve">Great Judgments </w:t>
      </w:r>
      <w:r w:rsidR="00E46EE8">
        <w:rPr>
          <w:sz w:val="24"/>
          <w:szCs w:val="24"/>
        </w:rPr>
        <w:t xml:space="preserve">remains open to recognising the significance that </w:t>
      </w:r>
      <w:r w:rsidR="00E46EE8" w:rsidRPr="00911B1C">
        <w:rPr>
          <w:i/>
          <w:iCs/>
          <w:sz w:val="24"/>
          <w:szCs w:val="24"/>
        </w:rPr>
        <w:t>Van Gend en Loos</w:t>
      </w:r>
      <w:r w:rsidR="00E46EE8">
        <w:rPr>
          <w:sz w:val="24"/>
          <w:szCs w:val="24"/>
        </w:rPr>
        <w:t xml:space="preserve"> and </w:t>
      </w:r>
      <w:r w:rsidR="00E46EE8" w:rsidRPr="00911B1C">
        <w:rPr>
          <w:i/>
          <w:iCs/>
          <w:sz w:val="24"/>
          <w:szCs w:val="24"/>
        </w:rPr>
        <w:t>Costa</w:t>
      </w:r>
      <w:r w:rsidR="00E46EE8">
        <w:rPr>
          <w:sz w:val="24"/>
          <w:szCs w:val="24"/>
        </w:rPr>
        <w:t xml:space="preserve"> assumed in relation the judicial transformation of the Community legal order.</w:t>
      </w:r>
      <w:r w:rsidR="000E1CF2">
        <w:rPr>
          <w:sz w:val="24"/>
          <w:szCs w:val="24"/>
        </w:rPr>
        <w:t xml:space="preserve"> That is an important </w:t>
      </w:r>
      <w:r w:rsidR="005D0B2F">
        <w:rPr>
          <w:sz w:val="24"/>
          <w:szCs w:val="24"/>
        </w:rPr>
        <w:t>clarification</w:t>
      </w:r>
      <w:r w:rsidR="000E1CF2">
        <w:rPr>
          <w:sz w:val="24"/>
          <w:szCs w:val="24"/>
        </w:rPr>
        <w:t xml:space="preserve"> that could</w:t>
      </w:r>
      <w:r w:rsidR="00570891">
        <w:rPr>
          <w:sz w:val="24"/>
          <w:szCs w:val="24"/>
        </w:rPr>
        <w:t xml:space="preserve"> also</w:t>
      </w:r>
      <w:r w:rsidR="000E1CF2">
        <w:rPr>
          <w:sz w:val="24"/>
          <w:szCs w:val="24"/>
        </w:rPr>
        <w:t xml:space="preserve"> have been brought out more clearly</w:t>
      </w:r>
      <w:r w:rsidR="0067758A">
        <w:rPr>
          <w:sz w:val="24"/>
          <w:szCs w:val="24"/>
        </w:rPr>
        <w:t xml:space="preserve"> earlier in the analysis.</w:t>
      </w:r>
    </w:p>
    <w:p w14:paraId="60DE4440" w14:textId="45E4E18D" w:rsidR="00002DCF" w:rsidRPr="00D4246D" w:rsidRDefault="00BA5D40" w:rsidP="00317E84">
      <w:pPr>
        <w:spacing w:line="360" w:lineRule="auto"/>
        <w:ind w:firstLine="720"/>
        <w:jc w:val="both"/>
        <w:rPr>
          <w:sz w:val="24"/>
          <w:szCs w:val="24"/>
        </w:rPr>
      </w:pPr>
      <w:r w:rsidRPr="00D4246D">
        <w:rPr>
          <w:sz w:val="24"/>
          <w:szCs w:val="24"/>
        </w:rPr>
        <w:t xml:space="preserve">A </w:t>
      </w:r>
      <w:r w:rsidR="00366546">
        <w:rPr>
          <w:sz w:val="24"/>
          <w:szCs w:val="24"/>
        </w:rPr>
        <w:t>final</w:t>
      </w:r>
      <w:r w:rsidRPr="00D4246D">
        <w:rPr>
          <w:sz w:val="24"/>
          <w:szCs w:val="24"/>
        </w:rPr>
        <w:t xml:space="preserve"> </w:t>
      </w:r>
      <w:r w:rsidR="0047503C" w:rsidRPr="00D4246D">
        <w:rPr>
          <w:sz w:val="24"/>
          <w:szCs w:val="24"/>
        </w:rPr>
        <w:t xml:space="preserve">point of critique in relation to the core argument addresses the book’s structure. </w:t>
      </w:r>
      <w:r w:rsidR="008C553A" w:rsidRPr="00D4246D">
        <w:rPr>
          <w:sz w:val="24"/>
          <w:szCs w:val="24"/>
        </w:rPr>
        <w:t xml:space="preserve">Phelan is correct to claim that </w:t>
      </w:r>
      <w:r w:rsidR="001357ED" w:rsidRPr="00D4246D">
        <w:rPr>
          <w:i/>
          <w:iCs/>
          <w:sz w:val="24"/>
          <w:szCs w:val="24"/>
        </w:rPr>
        <w:t>Great Judgments</w:t>
      </w:r>
      <w:r w:rsidR="001357ED" w:rsidRPr="00D4246D">
        <w:rPr>
          <w:sz w:val="24"/>
          <w:szCs w:val="24"/>
        </w:rPr>
        <w:t xml:space="preserve"> is </w:t>
      </w:r>
      <w:r w:rsidR="00057DFA" w:rsidRPr="00D4246D">
        <w:rPr>
          <w:sz w:val="24"/>
          <w:szCs w:val="24"/>
        </w:rPr>
        <w:t xml:space="preserve">a monograph rather than a casebook. However, </w:t>
      </w:r>
      <w:r w:rsidR="0036445A" w:rsidRPr="00D4246D">
        <w:rPr>
          <w:sz w:val="24"/>
          <w:szCs w:val="24"/>
        </w:rPr>
        <w:t>adopting a judgment-by-judgment approach</w:t>
      </w:r>
      <w:r w:rsidR="00DD6A25" w:rsidRPr="00D4246D">
        <w:rPr>
          <w:sz w:val="24"/>
          <w:szCs w:val="24"/>
        </w:rPr>
        <w:t xml:space="preserve"> to the analysis of the Court’s output</w:t>
      </w:r>
      <w:r w:rsidR="008116B4" w:rsidRPr="00D4246D">
        <w:rPr>
          <w:sz w:val="24"/>
          <w:szCs w:val="24"/>
        </w:rPr>
        <w:t>,</w:t>
      </w:r>
      <w:r w:rsidR="00B6314B" w:rsidRPr="00D4246D">
        <w:rPr>
          <w:sz w:val="24"/>
          <w:szCs w:val="24"/>
        </w:rPr>
        <w:t xml:space="preserve"> much of</w:t>
      </w:r>
      <w:r w:rsidR="00104F20" w:rsidRPr="00D4246D">
        <w:rPr>
          <w:sz w:val="24"/>
          <w:szCs w:val="24"/>
        </w:rPr>
        <w:t xml:space="preserve"> the book</w:t>
      </w:r>
      <w:r w:rsidR="00CF206F" w:rsidRPr="00D4246D">
        <w:rPr>
          <w:sz w:val="24"/>
          <w:szCs w:val="24"/>
        </w:rPr>
        <w:t xml:space="preserve"> </w:t>
      </w:r>
      <w:r w:rsidR="008E75C1" w:rsidRPr="00D4246D">
        <w:rPr>
          <w:sz w:val="24"/>
          <w:szCs w:val="24"/>
        </w:rPr>
        <w:t>does</w:t>
      </w:r>
      <w:r w:rsidR="002B79C5" w:rsidRPr="00D4246D">
        <w:rPr>
          <w:sz w:val="24"/>
          <w:szCs w:val="24"/>
        </w:rPr>
        <w:t xml:space="preserve"> read</w:t>
      </w:r>
      <w:r w:rsidR="00CF206F" w:rsidRPr="00D4246D">
        <w:rPr>
          <w:sz w:val="24"/>
          <w:szCs w:val="24"/>
        </w:rPr>
        <w:t xml:space="preserve"> like a</w:t>
      </w:r>
      <w:r w:rsidR="002B79C5" w:rsidRPr="00D4246D">
        <w:rPr>
          <w:sz w:val="24"/>
          <w:szCs w:val="24"/>
        </w:rPr>
        <w:t xml:space="preserve"> series of</w:t>
      </w:r>
      <w:r w:rsidR="00CF206F" w:rsidRPr="00D4246D">
        <w:rPr>
          <w:sz w:val="24"/>
          <w:szCs w:val="24"/>
        </w:rPr>
        <w:t xml:space="preserve"> extended case commentar</w:t>
      </w:r>
      <w:r w:rsidR="002B79C5" w:rsidRPr="00D4246D">
        <w:rPr>
          <w:sz w:val="24"/>
          <w:szCs w:val="24"/>
        </w:rPr>
        <w:t>ies</w:t>
      </w:r>
      <w:r w:rsidR="00CF206F" w:rsidRPr="00D4246D">
        <w:rPr>
          <w:sz w:val="24"/>
          <w:szCs w:val="24"/>
        </w:rPr>
        <w:t xml:space="preserve"> – not </w:t>
      </w:r>
      <w:r w:rsidR="00104F20" w:rsidRPr="00D4246D">
        <w:rPr>
          <w:sz w:val="24"/>
          <w:szCs w:val="24"/>
        </w:rPr>
        <w:t xml:space="preserve">unlike </w:t>
      </w:r>
      <w:r w:rsidR="00C5405C" w:rsidRPr="00D4246D">
        <w:rPr>
          <w:sz w:val="24"/>
          <w:szCs w:val="24"/>
        </w:rPr>
        <w:t>Maduro and Azoulai’s</w:t>
      </w:r>
      <w:r w:rsidR="00104F20" w:rsidRPr="00D4246D">
        <w:rPr>
          <w:sz w:val="24"/>
          <w:szCs w:val="24"/>
        </w:rPr>
        <w:t>,</w:t>
      </w:r>
      <w:r w:rsidR="00C5405C" w:rsidRPr="00D4246D">
        <w:rPr>
          <w:sz w:val="24"/>
          <w:szCs w:val="24"/>
        </w:rPr>
        <w:t xml:space="preserve"> </w:t>
      </w:r>
      <w:r w:rsidR="002976CB" w:rsidRPr="00D4246D">
        <w:rPr>
          <w:i/>
          <w:iCs/>
          <w:sz w:val="24"/>
          <w:szCs w:val="24"/>
        </w:rPr>
        <w:t xml:space="preserve">The Past and Future of EU Law: Revisiting the Classics on the </w:t>
      </w:r>
      <w:r w:rsidR="002976CB" w:rsidRPr="00D4246D">
        <w:rPr>
          <w:i/>
          <w:iCs/>
          <w:sz w:val="24"/>
          <w:szCs w:val="24"/>
        </w:rPr>
        <w:lastRenderedPageBreak/>
        <w:t>50</w:t>
      </w:r>
      <w:r w:rsidR="001D7794" w:rsidRPr="00D4246D">
        <w:rPr>
          <w:i/>
          <w:iCs/>
          <w:sz w:val="24"/>
          <w:szCs w:val="24"/>
          <w:vertAlign w:val="superscript"/>
        </w:rPr>
        <w:t>th</w:t>
      </w:r>
      <w:r w:rsidR="001D7794" w:rsidRPr="00D4246D">
        <w:rPr>
          <w:i/>
          <w:iCs/>
          <w:sz w:val="24"/>
          <w:szCs w:val="24"/>
        </w:rPr>
        <w:t xml:space="preserve"> </w:t>
      </w:r>
      <w:r w:rsidR="002976CB" w:rsidRPr="00D4246D">
        <w:rPr>
          <w:i/>
          <w:iCs/>
          <w:sz w:val="24"/>
          <w:szCs w:val="24"/>
        </w:rPr>
        <w:t>Anniversary of the Rome Treaty</w:t>
      </w:r>
      <w:r w:rsidR="00C5405C" w:rsidRPr="00D4246D">
        <w:rPr>
          <w:sz w:val="24"/>
          <w:szCs w:val="24"/>
        </w:rPr>
        <w:t>.</w:t>
      </w:r>
      <w:r w:rsidR="00114D6E" w:rsidRPr="00D4246D">
        <w:rPr>
          <w:rStyle w:val="FootnoteReference"/>
          <w:sz w:val="24"/>
          <w:szCs w:val="24"/>
        </w:rPr>
        <w:footnoteReference w:id="34"/>
      </w:r>
      <w:r w:rsidR="001D6890" w:rsidRPr="00D4246D">
        <w:rPr>
          <w:sz w:val="24"/>
          <w:szCs w:val="24"/>
        </w:rPr>
        <w:t xml:space="preserve"> </w:t>
      </w:r>
      <w:r w:rsidR="00CB6E0B" w:rsidRPr="00D4246D">
        <w:rPr>
          <w:sz w:val="24"/>
          <w:szCs w:val="24"/>
        </w:rPr>
        <w:t>This is</w:t>
      </w:r>
      <w:r w:rsidR="00061FA0" w:rsidRPr="00D4246D">
        <w:rPr>
          <w:sz w:val="24"/>
          <w:szCs w:val="24"/>
        </w:rPr>
        <w:t xml:space="preserve"> also</w:t>
      </w:r>
      <w:r w:rsidR="00CB6E0B" w:rsidRPr="00D4246D">
        <w:rPr>
          <w:sz w:val="24"/>
          <w:szCs w:val="24"/>
        </w:rPr>
        <w:t xml:space="preserve"> the </w:t>
      </w:r>
      <w:r w:rsidR="001D7852" w:rsidRPr="00D4246D">
        <w:rPr>
          <w:sz w:val="24"/>
          <w:szCs w:val="24"/>
        </w:rPr>
        <w:t>result</w:t>
      </w:r>
      <w:r w:rsidR="00CB6E0B" w:rsidRPr="00D4246D">
        <w:rPr>
          <w:sz w:val="24"/>
          <w:szCs w:val="24"/>
        </w:rPr>
        <w:t xml:space="preserve"> of the uniform structure </w:t>
      </w:r>
      <w:r w:rsidR="00061FA0" w:rsidRPr="00D4246D">
        <w:rPr>
          <w:sz w:val="24"/>
          <w:szCs w:val="24"/>
        </w:rPr>
        <w:t>the book</w:t>
      </w:r>
      <w:r w:rsidR="00CB6E0B" w:rsidRPr="00D4246D">
        <w:rPr>
          <w:sz w:val="24"/>
          <w:szCs w:val="24"/>
        </w:rPr>
        <w:t xml:space="preserve"> imposes </w:t>
      </w:r>
      <w:r w:rsidR="00061FA0" w:rsidRPr="00D4246D">
        <w:rPr>
          <w:sz w:val="24"/>
          <w:szCs w:val="24"/>
        </w:rPr>
        <w:t>across</w:t>
      </w:r>
      <w:r w:rsidR="00DC0558" w:rsidRPr="00D4246D">
        <w:rPr>
          <w:sz w:val="24"/>
          <w:szCs w:val="24"/>
        </w:rPr>
        <w:t xml:space="preserve"> c</w:t>
      </w:r>
      <w:r w:rsidR="00237417" w:rsidRPr="00D4246D">
        <w:rPr>
          <w:sz w:val="24"/>
          <w:szCs w:val="24"/>
        </w:rPr>
        <w:t>hapters 2-9</w:t>
      </w:r>
      <w:r w:rsidR="00DC0558" w:rsidRPr="00D4246D">
        <w:rPr>
          <w:sz w:val="24"/>
          <w:szCs w:val="24"/>
        </w:rPr>
        <w:t>. E</w:t>
      </w:r>
      <w:r w:rsidR="00237417" w:rsidRPr="00D4246D">
        <w:rPr>
          <w:sz w:val="24"/>
          <w:szCs w:val="24"/>
        </w:rPr>
        <w:t>ach</w:t>
      </w:r>
      <w:r w:rsidR="00DC0558" w:rsidRPr="00D4246D">
        <w:rPr>
          <w:sz w:val="24"/>
          <w:szCs w:val="24"/>
        </w:rPr>
        <w:t xml:space="preserve"> chapter</w:t>
      </w:r>
      <w:r w:rsidR="00237417" w:rsidRPr="00D4246D">
        <w:rPr>
          <w:sz w:val="24"/>
          <w:szCs w:val="24"/>
        </w:rPr>
        <w:t xml:space="preserve"> begin</w:t>
      </w:r>
      <w:r w:rsidR="00DC0558" w:rsidRPr="00D4246D">
        <w:rPr>
          <w:sz w:val="24"/>
          <w:szCs w:val="24"/>
        </w:rPr>
        <w:t>s</w:t>
      </w:r>
      <w:r w:rsidR="00237417" w:rsidRPr="00D4246D">
        <w:rPr>
          <w:sz w:val="24"/>
          <w:szCs w:val="24"/>
        </w:rPr>
        <w:t xml:space="preserve"> wit</w:t>
      </w:r>
      <w:r w:rsidR="00726D0A" w:rsidRPr="00D4246D">
        <w:rPr>
          <w:sz w:val="24"/>
          <w:szCs w:val="24"/>
        </w:rPr>
        <w:t>h</w:t>
      </w:r>
      <w:r w:rsidR="00237417" w:rsidRPr="00D4246D">
        <w:rPr>
          <w:sz w:val="24"/>
          <w:szCs w:val="24"/>
        </w:rPr>
        <w:t xml:space="preserve"> a review o</w:t>
      </w:r>
      <w:r w:rsidR="00676C41" w:rsidRPr="00D4246D">
        <w:rPr>
          <w:sz w:val="24"/>
          <w:szCs w:val="24"/>
        </w:rPr>
        <w:t>f the Advocate General’s Opinion</w:t>
      </w:r>
      <w:r w:rsidR="008F01ED" w:rsidRPr="00D4246D">
        <w:rPr>
          <w:sz w:val="24"/>
          <w:szCs w:val="24"/>
        </w:rPr>
        <w:t>, followed by a summary of</w:t>
      </w:r>
      <w:r w:rsidR="00307576" w:rsidRPr="00D4246D">
        <w:rPr>
          <w:sz w:val="24"/>
          <w:szCs w:val="24"/>
        </w:rPr>
        <w:t xml:space="preserve"> the Court’s decision</w:t>
      </w:r>
      <w:r w:rsidR="008F01ED" w:rsidRPr="00D4246D">
        <w:rPr>
          <w:sz w:val="24"/>
          <w:szCs w:val="24"/>
        </w:rPr>
        <w:t>.</w:t>
      </w:r>
      <w:r w:rsidR="00064698" w:rsidRPr="00D4246D">
        <w:rPr>
          <w:sz w:val="24"/>
          <w:szCs w:val="24"/>
        </w:rPr>
        <w:t xml:space="preserve"> </w:t>
      </w:r>
      <w:r w:rsidR="00D2488D" w:rsidRPr="00D4246D">
        <w:rPr>
          <w:sz w:val="24"/>
          <w:szCs w:val="24"/>
        </w:rPr>
        <w:t>Phelan then</w:t>
      </w:r>
      <w:r w:rsidR="00064698" w:rsidRPr="00D4246D">
        <w:rPr>
          <w:sz w:val="24"/>
          <w:szCs w:val="24"/>
        </w:rPr>
        <w:t xml:space="preserve"> </w:t>
      </w:r>
      <w:r w:rsidR="008F12DF" w:rsidRPr="00D4246D">
        <w:rPr>
          <w:sz w:val="24"/>
          <w:szCs w:val="24"/>
        </w:rPr>
        <w:t>expand</w:t>
      </w:r>
      <w:r w:rsidR="00D2488D" w:rsidRPr="00D4246D">
        <w:rPr>
          <w:sz w:val="24"/>
          <w:szCs w:val="24"/>
        </w:rPr>
        <w:t>s</w:t>
      </w:r>
      <w:r w:rsidR="008F12DF" w:rsidRPr="00D4246D">
        <w:rPr>
          <w:sz w:val="24"/>
          <w:szCs w:val="24"/>
        </w:rPr>
        <w:t xml:space="preserve"> discussion with reference to</w:t>
      </w:r>
      <w:r w:rsidR="00064698" w:rsidRPr="00D4246D">
        <w:rPr>
          <w:sz w:val="24"/>
          <w:szCs w:val="24"/>
        </w:rPr>
        <w:t xml:space="preserve"> </w:t>
      </w:r>
      <w:r w:rsidR="00E54F8F" w:rsidRPr="00D4246D">
        <w:rPr>
          <w:sz w:val="24"/>
          <w:szCs w:val="24"/>
        </w:rPr>
        <w:t xml:space="preserve">‘related cases’ before progressing to </w:t>
      </w:r>
      <w:r w:rsidR="000B6D92" w:rsidRPr="00D4246D">
        <w:rPr>
          <w:sz w:val="24"/>
          <w:szCs w:val="24"/>
        </w:rPr>
        <w:t>offer</w:t>
      </w:r>
      <w:r w:rsidR="00E54F8F" w:rsidRPr="00D4246D">
        <w:rPr>
          <w:sz w:val="24"/>
          <w:szCs w:val="24"/>
        </w:rPr>
        <w:t xml:space="preserve"> ‘analysis </w:t>
      </w:r>
      <w:r w:rsidR="000B6D92" w:rsidRPr="00D4246D">
        <w:rPr>
          <w:sz w:val="24"/>
          <w:szCs w:val="24"/>
        </w:rPr>
        <w:t xml:space="preserve">and context’ which </w:t>
      </w:r>
      <w:r w:rsidR="001D7794" w:rsidRPr="00D4246D">
        <w:rPr>
          <w:sz w:val="24"/>
          <w:szCs w:val="24"/>
        </w:rPr>
        <w:t>includes</w:t>
      </w:r>
      <w:r w:rsidR="000B6D92" w:rsidRPr="00D4246D">
        <w:rPr>
          <w:sz w:val="24"/>
          <w:szCs w:val="24"/>
        </w:rPr>
        <w:t xml:space="preserve"> a review of existing scholarly perspectives</w:t>
      </w:r>
      <w:r w:rsidR="001D7794" w:rsidRPr="00D4246D">
        <w:rPr>
          <w:sz w:val="24"/>
          <w:szCs w:val="24"/>
        </w:rPr>
        <w:t xml:space="preserve">. </w:t>
      </w:r>
      <w:r w:rsidR="00524776" w:rsidRPr="00D4246D">
        <w:rPr>
          <w:sz w:val="24"/>
          <w:szCs w:val="24"/>
        </w:rPr>
        <w:t xml:space="preserve">Only after </w:t>
      </w:r>
      <w:r w:rsidR="006511CB" w:rsidRPr="00D4246D">
        <w:rPr>
          <w:sz w:val="24"/>
          <w:szCs w:val="24"/>
        </w:rPr>
        <w:t>progressing</w:t>
      </w:r>
      <w:r w:rsidR="00524776" w:rsidRPr="00D4246D">
        <w:rPr>
          <w:sz w:val="24"/>
          <w:szCs w:val="24"/>
        </w:rPr>
        <w:t xml:space="preserve"> through this </w:t>
      </w:r>
      <w:r w:rsidR="00686120" w:rsidRPr="00D4246D">
        <w:rPr>
          <w:sz w:val="24"/>
          <w:szCs w:val="24"/>
        </w:rPr>
        <w:t xml:space="preserve">matrix </w:t>
      </w:r>
      <w:r w:rsidR="000A1D37" w:rsidRPr="00D4246D">
        <w:rPr>
          <w:sz w:val="24"/>
          <w:szCs w:val="24"/>
        </w:rPr>
        <w:t>do</w:t>
      </w:r>
      <w:r w:rsidR="00512B26" w:rsidRPr="00D4246D">
        <w:rPr>
          <w:sz w:val="24"/>
          <w:szCs w:val="24"/>
        </w:rPr>
        <w:t>es the read</w:t>
      </w:r>
      <w:r w:rsidR="00DD1B0B" w:rsidRPr="00D4246D">
        <w:rPr>
          <w:sz w:val="24"/>
          <w:szCs w:val="24"/>
        </w:rPr>
        <w:t>er</w:t>
      </w:r>
      <w:r w:rsidR="00512B26" w:rsidRPr="00D4246D">
        <w:rPr>
          <w:sz w:val="24"/>
          <w:szCs w:val="24"/>
        </w:rPr>
        <w:t xml:space="preserve"> reach Phelan’s </w:t>
      </w:r>
      <w:r w:rsidR="00A071D1" w:rsidRPr="00D4246D">
        <w:rPr>
          <w:sz w:val="24"/>
          <w:szCs w:val="24"/>
        </w:rPr>
        <w:t xml:space="preserve">original analysis – his ‘rethinking’ of the </w:t>
      </w:r>
      <w:r w:rsidR="00DD0259" w:rsidRPr="00D4246D">
        <w:rPr>
          <w:sz w:val="24"/>
          <w:szCs w:val="24"/>
        </w:rPr>
        <w:t>landmark judgments.</w:t>
      </w:r>
      <w:r w:rsidR="0096042E" w:rsidRPr="00D4246D">
        <w:rPr>
          <w:sz w:val="24"/>
          <w:szCs w:val="24"/>
        </w:rPr>
        <w:t xml:space="preserve"> In certain chapters, </w:t>
      </w:r>
      <w:r w:rsidR="00B9349F" w:rsidRPr="00D4246D">
        <w:rPr>
          <w:sz w:val="24"/>
          <w:szCs w:val="24"/>
        </w:rPr>
        <w:t xml:space="preserve">that analysis is also </w:t>
      </w:r>
      <w:r w:rsidR="00695E22" w:rsidRPr="00D4246D">
        <w:rPr>
          <w:sz w:val="24"/>
          <w:szCs w:val="24"/>
        </w:rPr>
        <w:t>remarkably</w:t>
      </w:r>
      <w:r w:rsidR="00B9349F" w:rsidRPr="00D4246D">
        <w:rPr>
          <w:sz w:val="24"/>
          <w:szCs w:val="24"/>
        </w:rPr>
        <w:t xml:space="preserve"> short.</w:t>
      </w:r>
      <w:r w:rsidR="00447432" w:rsidRPr="00D4246D">
        <w:rPr>
          <w:rStyle w:val="FootnoteReference"/>
          <w:sz w:val="24"/>
          <w:szCs w:val="24"/>
        </w:rPr>
        <w:footnoteReference w:id="35"/>
      </w:r>
      <w:r w:rsidR="00DD0259" w:rsidRPr="00D4246D">
        <w:rPr>
          <w:sz w:val="24"/>
          <w:szCs w:val="24"/>
        </w:rPr>
        <w:t xml:space="preserve"> </w:t>
      </w:r>
      <w:r w:rsidR="00002DCF" w:rsidRPr="00D4246D">
        <w:rPr>
          <w:sz w:val="24"/>
          <w:szCs w:val="24"/>
        </w:rPr>
        <w:t>A more thematic approach would have</w:t>
      </w:r>
      <w:r w:rsidR="00E37B1F" w:rsidRPr="00D4246D">
        <w:rPr>
          <w:sz w:val="24"/>
          <w:szCs w:val="24"/>
        </w:rPr>
        <w:t xml:space="preserve"> certainly</w:t>
      </w:r>
      <w:r w:rsidR="00002DCF" w:rsidRPr="00D4246D">
        <w:rPr>
          <w:sz w:val="24"/>
          <w:szCs w:val="24"/>
        </w:rPr>
        <w:t xml:space="preserve"> enhanced the quality of the </w:t>
      </w:r>
      <w:r w:rsidR="00ED0039" w:rsidRPr="00D4246D">
        <w:rPr>
          <w:sz w:val="24"/>
          <w:szCs w:val="24"/>
        </w:rPr>
        <w:t xml:space="preserve">primary </w:t>
      </w:r>
      <w:r w:rsidR="00002DCF" w:rsidRPr="00D4246D">
        <w:rPr>
          <w:sz w:val="24"/>
          <w:szCs w:val="24"/>
        </w:rPr>
        <w:t>argument</w:t>
      </w:r>
      <w:r w:rsidR="003E3DD6" w:rsidRPr="00D4246D">
        <w:rPr>
          <w:sz w:val="24"/>
          <w:szCs w:val="24"/>
        </w:rPr>
        <w:t xml:space="preserve">. It </w:t>
      </w:r>
      <w:r w:rsidR="00D46FA8" w:rsidRPr="00D4246D">
        <w:rPr>
          <w:sz w:val="24"/>
          <w:szCs w:val="24"/>
        </w:rPr>
        <w:t>would</w:t>
      </w:r>
      <w:r w:rsidR="00FB757E" w:rsidRPr="00D4246D">
        <w:rPr>
          <w:sz w:val="24"/>
          <w:szCs w:val="24"/>
        </w:rPr>
        <w:t xml:space="preserve"> also have </w:t>
      </w:r>
      <w:r w:rsidR="00D46FA8" w:rsidRPr="00D4246D">
        <w:rPr>
          <w:sz w:val="24"/>
          <w:szCs w:val="24"/>
        </w:rPr>
        <w:t>provided a framework</w:t>
      </w:r>
      <w:r w:rsidR="00FB757E" w:rsidRPr="00D4246D">
        <w:rPr>
          <w:sz w:val="24"/>
          <w:szCs w:val="24"/>
        </w:rPr>
        <w:t xml:space="preserve"> to clarify some key baselines </w:t>
      </w:r>
      <w:r w:rsidR="00ED0039" w:rsidRPr="00D4246D">
        <w:rPr>
          <w:sz w:val="24"/>
          <w:szCs w:val="24"/>
        </w:rPr>
        <w:t>much earlier in the book –</w:t>
      </w:r>
      <w:r w:rsidR="00FB757E" w:rsidRPr="00D4246D">
        <w:rPr>
          <w:sz w:val="24"/>
          <w:szCs w:val="24"/>
        </w:rPr>
        <w:t xml:space="preserve"> </w:t>
      </w:r>
      <w:r w:rsidR="00866A72" w:rsidRPr="00D4246D">
        <w:rPr>
          <w:sz w:val="24"/>
          <w:szCs w:val="24"/>
        </w:rPr>
        <w:t>notably,</w:t>
      </w:r>
      <w:r w:rsidR="00FB757E" w:rsidRPr="00D4246D">
        <w:rPr>
          <w:sz w:val="24"/>
          <w:szCs w:val="24"/>
        </w:rPr>
        <w:t xml:space="preserve"> </w:t>
      </w:r>
      <w:r w:rsidR="00866A72" w:rsidRPr="00D4246D">
        <w:rPr>
          <w:sz w:val="24"/>
          <w:szCs w:val="24"/>
        </w:rPr>
        <w:t>the comparative framework</w:t>
      </w:r>
      <w:r w:rsidR="0009220B" w:rsidRPr="00D4246D">
        <w:rPr>
          <w:sz w:val="24"/>
          <w:szCs w:val="24"/>
        </w:rPr>
        <w:t xml:space="preserve"> on international self-help and retaliation measures</w:t>
      </w:r>
      <w:r w:rsidR="00D4246D" w:rsidRPr="00D4246D">
        <w:rPr>
          <w:sz w:val="24"/>
          <w:szCs w:val="24"/>
        </w:rPr>
        <w:t>.</w:t>
      </w:r>
    </w:p>
    <w:p w14:paraId="720F59D5" w14:textId="18EC74AC" w:rsidR="00C635B8" w:rsidRPr="00BA5D40" w:rsidRDefault="00903C57" w:rsidP="00FF5374">
      <w:pPr>
        <w:spacing w:line="360" w:lineRule="auto"/>
        <w:jc w:val="both"/>
        <w:rPr>
          <w:b/>
          <w:sz w:val="28"/>
          <w:szCs w:val="28"/>
        </w:rPr>
      </w:pPr>
      <w:r w:rsidRPr="00BA5D40">
        <w:rPr>
          <w:b/>
          <w:sz w:val="28"/>
          <w:szCs w:val="28"/>
        </w:rPr>
        <w:t>Lecourt, Lecourt, Lecourt</w:t>
      </w:r>
      <w:r w:rsidR="00CE58FA" w:rsidRPr="00BA5D40">
        <w:rPr>
          <w:b/>
          <w:bCs/>
          <w:sz w:val="28"/>
          <w:szCs w:val="28"/>
        </w:rPr>
        <w:t>!</w:t>
      </w:r>
    </w:p>
    <w:p w14:paraId="59DAB49C" w14:textId="7E7E580F" w:rsidR="00DB6311" w:rsidRDefault="00441A8D" w:rsidP="00C56AC3">
      <w:pPr>
        <w:spacing w:line="360" w:lineRule="auto"/>
        <w:jc w:val="both"/>
        <w:rPr>
          <w:sz w:val="24"/>
          <w:szCs w:val="24"/>
        </w:rPr>
      </w:pPr>
      <w:r w:rsidRPr="002C1E64">
        <w:rPr>
          <w:i/>
          <w:iCs/>
          <w:sz w:val="24"/>
          <w:szCs w:val="24"/>
        </w:rPr>
        <w:t>Great Judgments</w:t>
      </w:r>
      <w:r>
        <w:rPr>
          <w:sz w:val="24"/>
          <w:szCs w:val="24"/>
        </w:rPr>
        <w:t xml:space="preserve"> advances a second claim in relation to the Court</w:t>
      </w:r>
      <w:r w:rsidR="00C51F1B">
        <w:rPr>
          <w:sz w:val="24"/>
          <w:szCs w:val="24"/>
        </w:rPr>
        <w:t xml:space="preserve">’s formative jurisprudence on the foundations of the European legal order. Phelan argues that </w:t>
      </w:r>
      <w:r w:rsidR="00535A10">
        <w:rPr>
          <w:sz w:val="24"/>
          <w:szCs w:val="24"/>
        </w:rPr>
        <w:t xml:space="preserve">the Court of Justice’s </w:t>
      </w:r>
      <w:r w:rsidR="00E15622">
        <w:rPr>
          <w:sz w:val="24"/>
          <w:szCs w:val="24"/>
        </w:rPr>
        <w:t xml:space="preserve">establishment of direct effect and </w:t>
      </w:r>
      <w:r w:rsidR="0034527E">
        <w:rPr>
          <w:sz w:val="24"/>
          <w:szCs w:val="24"/>
        </w:rPr>
        <w:t>primacy</w:t>
      </w:r>
      <w:r w:rsidR="00E15622">
        <w:rPr>
          <w:sz w:val="24"/>
          <w:szCs w:val="24"/>
        </w:rPr>
        <w:t xml:space="preserve"> to</w:t>
      </w:r>
      <w:r w:rsidR="005D2435">
        <w:rPr>
          <w:sz w:val="24"/>
          <w:szCs w:val="24"/>
        </w:rPr>
        <w:t xml:space="preserve"> displace traditional inter-state self-help and retaliation mechanisms in</w:t>
      </w:r>
      <w:r w:rsidR="000A2738">
        <w:rPr>
          <w:sz w:val="24"/>
          <w:szCs w:val="24"/>
        </w:rPr>
        <w:t xml:space="preserve"> comparable</w:t>
      </w:r>
      <w:r w:rsidR="005D2435">
        <w:rPr>
          <w:sz w:val="24"/>
          <w:szCs w:val="24"/>
        </w:rPr>
        <w:t xml:space="preserve"> </w:t>
      </w:r>
      <w:r w:rsidR="00506385">
        <w:rPr>
          <w:sz w:val="24"/>
          <w:szCs w:val="24"/>
        </w:rPr>
        <w:t>trade</w:t>
      </w:r>
      <w:r w:rsidR="005D2435">
        <w:rPr>
          <w:sz w:val="24"/>
          <w:szCs w:val="24"/>
        </w:rPr>
        <w:t xml:space="preserve"> treaties</w:t>
      </w:r>
      <w:r w:rsidR="004E613D">
        <w:rPr>
          <w:sz w:val="24"/>
          <w:szCs w:val="24"/>
        </w:rPr>
        <w:t xml:space="preserve"> owes a significant part of its existence to the ‘personal</w:t>
      </w:r>
      <w:r w:rsidR="000742A7">
        <w:rPr>
          <w:sz w:val="24"/>
          <w:szCs w:val="24"/>
        </w:rPr>
        <w:t xml:space="preserve"> judicial</w:t>
      </w:r>
      <w:r w:rsidR="004E613D">
        <w:rPr>
          <w:sz w:val="24"/>
          <w:szCs w:val="24"/>
        </w:rPr>
        <w:t xml:space="preserve"> philosophy’ </w:t>
      </w:r>
      <w:r w:rsidR="005A26AD">
        <w:rPr>
          <w:sz w:val="24"/>
          <w:szCs w:val="24"/>
        </w:rPr>
        <w:t>(p.</w:t>
      </w:r>
      <w:r w:rsidR="000742A7">
        <w:rPr>
          <w:sz w:val="24"/>
          <w:szCs w:val="24"/>
        </w:rPr>
        <w:t xml:space="preserve"> 7)</w:t>
      </w:r>
      <w:r w:rsidR="005A26AD">
        <w:rPr>
          <w:sz w:val="24"/>
          <w:szCs w:val="24"/>
        </w:rPr>
        <w:t xml:space="preserve"> </w:t>
      </w:r>
      <w:r w:rsidR="004E613D">
        <w:rPr>
          <w:sz w:val="24"/>
          <w:szCs w:val="24"/>
        </w:rPr>
        <w:t xml:space="preserve">of one individual: Robert Lecourt. </w:t>
      </w:r>
      <w:r w:rsidR="006248BD">
        <w:rPr>
          <w:sz w:val="24"/>
          <w:szCs w:val="24"/>
        </w:rPr>
        <w:t xml:space="preserve">This is </w:t>
      </w:r>
      <w:r w:rsidR="003A5AB1">
        <w:rPr>
          <w:sz w:val="24"/>
          <w:szCs w:val="24"/>
        </w:rPr>
        <w:t>a bold claim, particularly given th</w:t>
      </w:r>
      <w:r w:rsidR="00200E72">
        <w:rPr>
          <w:sz w:val="24"/>
          <w:szCs w:val="24"/>
        </w:rPr>
        <w:t xml:space="preserve">e available documentary evidence. </w:t>
      </w:r>
      <w:r w:rsidR="00343AE9">
        <w:rPr>
          <w:sz w:val="24"/>
          <w:szCs w:val="24"/>
        </w:rPr>
        <w:t xml:space="preserve">The </w:t>
      </w:r>
      <w:r w:rsidR="00EF312A">
        <w:rPr>
          <w:sz w:val="24"/>
          <w:szCs w:val="24"/>
        </w:rPr>
        <w:t>French lawyer published no memoir</w:t>
      </w:r>
      <w:r w:rsidR="0030621C">
        <w:rPr>
          <w:sz w:val="24"/>
          <w:szCs w:val="24"/>
        </w:rPr>
        <w:t>s</w:t>
      </w:r>
      <w:r w:rsidR="00EF312A">
        <w:rPr>
          <w:sz w:val="24"/>
          <w:szCs w:val="24"/>
        </w:rPr>
        <w:t xml:space="preserve"> of his time at the</w:t>
      </w:r>
      <w:r w:rsidR="00467212">
        <w:rPr>
          <w:sz w:val="24"/>
          <w:szCs w:val="24"/>
        </w:rPr>
        <w:t xml:space="preserve"> Court (including as its President). He also, Phelan informs us, appears to have </w:t>
      </w:r>
      <w:r w:rsidR="00953159">
        <w:rPr>
          <w:sz w:val="24"/>
          <w:szCs w:val="24"/>
        </w:rPr>
        <w:t>ordered his personal papers be destroyed prior to his death.</w:t>
      </w:r>
      <w:r w:rsidR="00444D9F">
        <w:rPr>
          <w:rStyle w:val="FootnoteReference"/>
          <w:sz w:val="24"/>
          <w:szCs w:val="24"/>
        </w:rPr>
        <w:footnoteReference w:id="36"/>
      </w:r>
      <w:r w:rsidR="00953159">
        <w:rPr>
          <w:sz w:val="24"/>
          <w:szCs w:val="24"/>
        </w:rPr>
        <w:t xml:space="preserve"> </w:t>
      </w:r>
      <w:r w:rsidR="006D7EF6">
        <w:rPr>
          <w:sz w:val="24"/>
          <w:szCs w:val="24"/>
        </w:rPr>
        <w:t>Added to this, t</w:t>
      </w:r>
      <w:r w:rsidR="00B04BE2">
        <w:rPr>
          <w:sz w:val="24"/>
          <w:szCs w:val="24"/>
        </w:rPr>
        <w:t>he institutional context within which the early Court operated</w:t>
      </w:r>
      <w:r w:rsidR="00383C2A">
        <w:rPr>
          <w:sz w:val="24"/>
          <w:szCs w:val="24"/>
        </w:rPr>
        <w:t xml:space="preserve"> (and continues to operate) makes the task of </w:t>
      </w:r>
      <w:r w:rsidR="008F0B27">
        <w:rPr>
          <w:sz w:val="24"/>
          <w:szCs w:val="24"/>
        </w:rPr>
        <w:t xml:space="preserve">attributing </w:t>
      </w:r>
      <w:r w:rsidR="003B7AB7">
        <w:rPr>
          <w:sz w:val="24"/>
          <w:szCs w:val="24"/>
        </w:rPr>
        <w:t xml:space="preserve">jurisprudential </w:t>
      </w:r>
      <w:r w:rsidR="008F0B27">
        <w:rPr>
          <w:sz w:val="24"/>
          <w:szCs w:val="24"/>
        </w:rPr>
        <w:t>developments to</w:t>
      </w:r>
      <w:r w:rsidR="002B0658">
        <w:rPr>
          <w:sz w:val="24"/>
          <w:szCs w:val="24"/>
        </w:rPr>
        <w:t xml:space="preserve"> individuals</w:t>
      </w:r>
      <w:r w:rsidR="00383C2A">
        <w:rPr>
          <w:sz w:val="24"/>
          <w:szCs w:val="24"/>
        </w:rPr>
        <w:t xml:space="preserve"> a difficult one. The </w:t>
      </w:r>
      <w:r w:rsidR="00254984">
        <w:rPr>
          <w:sz w:val="24"/>
          <w:szCs w:val="24"/>
        </w:rPr>
        <w:t>‘great judgments’ upon which</w:t>
      </w:r>
      <w:r w:rsidR="004F5EEB">
        <w:rPr>
          <w:sz w:val="24"/>
          <w:szCs w:val="24"/>
        </w:rPr>
        <w:t xml:space="preserve"> Phelan’s primary argument is based are</w:t>
      </w:r>
      <w:r w:rsidR="00E77F10">
        <w:rPr>
          <w:sz w:val="24"/>
          <w:szCs w:val="24"/>
        </w:rPr>
        <w:t xml:space="preserve"> single judgments of the Court</w:t>
      </w:r>
      <w:r w:rsidR="00B0525B">
        <w:rPr>
          <w:sz w:val="24"/>
          <w:szCs w:val="24"/>
        </w:rPr>
        <w:t xml:space="preserve"> </w:t>
      </w:r>
      <w:r w:rsidR="007F6C8D">
        <w:rPr>
          <w:sz w:val="24"/>
          <w:szCs w:val="24"/>
        </w:rPr>
        <w:t>agreed</w:t>
      </w:r>
      <w:r w:rsidR="00B0525B">
        <w:rPr>
          <w:sz w:val="24"/>
          <w:szCs w:val="24"/>
        </w:rPr>
        <w:t xml:space="preserve"> </w:t>
      </w:r>
      <w:r w:rsidR="007F6C8D">
        <w:rPr>
          <w:sz w:val="24"/>
          <w:szCs w:val="24"/>
        </w:rPr>
        <w:t xml:space="preserve">jointly </w:t>
      </w:r>
      <w:r w:rsidR="00B0525B">
        <w:rPr>
          <w:sz w:val="24"/>
          <w:szCs w:val="24"/>
        </w:rPr>
        <w:t>by all it</w:t>
      </w:r>
      <w:r w:rsidR="007F6C8D">
        <w:rPr>
          <w:sz w:val="24"/>
          <w:szCs w:val="24"/>
        </w:rPr>
        <w:t>s members following deliberation</w:t>
      </w:r>
      <w:r w:rsidR="00AB17C8">
        <w:rPr>
          <w:sz w:val="24"/>
          <w:szCs w:val="24"/>
        </w:rPr>
        <w:t>s</w:t>
      </w:r>
      <w:r w:rsidR="007F6C8D">
        <w:rPr>
          <w:sz w:val="24"/>
          <w:szCs w:val="24"/>
        </w:rPr>
        <w:t xml:space="preserve"> </w:t>
      </w:r>
      <w:r w:rsidR="00AB17C8">
        <w:rPr>
          <w:sz w:val="24"/>
          <w:szCs w:val="24"/>
        </w:rPr>
        <w:t>that remain secret</w:t>
      </w:r>
      <w:r w:rsidR="007F6C8D">
        <w:rPr>
          <w:sz w:val="24"/>
          <w:szCs w:val="24"/>
        </w:rPr>
        <w:t xml:space="preserve">. </w:t>
      </w:r>
    </w:p>
    <w:p w14:paraId="3F833CA5" w14:textId="77777777" w:rsidR="001E5FD4" w:rsidRDefault="002C1E64" w:rsidP="00C56AC3">
      <w:pPr>
        <w:spacing w:line="360" w:lineRule="auto"/>
        <w:jc w:val="both"/>
        <w:rPr>
          <w:sz w:val="24"/>
          <w:szCs w:val="24"/>
        </w:rPr>
      </w:pPr>
      <w:r>
        <w:rPr>
          <w:sz w:val="24"/>
          <w:szCs w:val="24"/>
        </w:rPr>
        <w:t xml:space="preserve">Lecourt’s writings </w:t>
      </w:r>
      <w:r w:rsidR="00117014">
        <w:rPr>
          <w:sz w:val="24"/>
          <w:szCs w:val="24"/>
        </w:rPr>
        <w:t>are referenced</w:t>
      </w:r>
      <w:r>
        <w:rPr>
          <w:sz w:val="24"/>
          <w:szCs w:val="24"/>
        </w:rPr>
        <w:t xml:space="preserve"> unevenly </w:t>
      </w:r>
      <w:r w:rsidR="00117014">
        <w:rPr>
          <w:sz w:val="24"/>
          <w:szCs w:val="24"/>
        </w:rPr>
        <w:t xml:space="preserve">across the chapters, but the thrust of the argument is clear. </w:t>
      </w:r>
      <w:r w:rsidR="00C9162E">
        <w:rPr>
          <w:sz w:val="24"/>
          <w:szCs w:val="24"/>
        </w:rPr>
        <w:t>Phelan submits that Lecourt</w:t>
      </w:r>
      <w:r w:rsidR="001E5FD4">
        <w:rPr>
          <w:sz w:val="24"/>
          <w:szCs w:val="24"/>
        </w:rPr>
        <w:t>,</w:t>
      </w:r>
    </w:p>
    <w:p w14:paraId="711C9FB8" w14:textId="53E72181" w:rsidR="002C1E64" w:rsidRDefault="000C0429" w:rsidP="001E5FD4">
      <w:pPr>
        <w:spacing w:line="360" w:lineRule="auto"/>
        <w:ind w:left="720" w:right="662"/>
        <w:jc w:val="both"/>
        <w:rPr>
          <w:sz w:val="24"/>
          <w:szCs w:val="24"/>
        </w:rPr>
      </w:pPr>
      <w:r>
        <w:rPr>
          <w:sz w:val="24"/>
          <w:szCs w:val="24"/>
        </w:rPr>
        <w:lastRenderedPageBreak/>
        <w:t>‘brought to the Court of Justice</w:t>
      </w:r>
      <w:r w:rsidR="009746F6">
        <w:rPr>
          <w:sz w:val="24"/>
          <w:szCs w:val="24"/>
        </w:rPr>
        <w:t>… a profound rejection of any form of self-help in law enforcement as well as an openness to ambitious developments</w:t>
      </w:r>
      <w:r w:rsidR="001E5FD4">
        <w:rPr>
          <w:sz w:val="24"/>
          <w:szCs w:val="24"/>
        </w:rPr>
        <w:t xml:space="preserve"> of the law by courts themselves.’</w:t>
      </w:r>
      <w:r w:rsidR="00176D64">
        <w:rPr>
          <w:rStyle w:val="FootnoteReference"/>
          <w:sz w:val="24"/>
          <w:szCs w:val="24"/>
        </w:rPr>
        <w:footnoteReference w:id="37"/>
      </w:r>
      <w:r w:rsidR="001E5FD4">
        <w:rPr>
          <w:sz w:val="24"/>
          <w:szCs w:val="24"/>
        </w:rPr>
        <w:t xml:space="preserve"> </w:t>
      </w:r>
    </w:p>
    <w:p w14:paraId="6872F6F9" w14:textId="3ED2AC3E" w:rsidR="00441A8D" w:rsidRDefault="00D90A71" w:rsidP="00C56AC3">
      <w:pPr>
        <w:spacing w:line="360" w:lineRule="auto"/>
        <w:jc w:val="both"/>
        <w:rPr>
          <w:sz w:val="24"/>
          <w:szCs w:val="24"/>
        </w:rPr>
      </w:pPr>
      <w:r>
        <w:rPr>
          <w:sz w:val="24"/>
          <w:szCs w:val="24"/>
        </w:rPr>
        <w:t>Th</w:t>
      </w:r>
      <w:r w:rsidR="007E0C8A">
        <w:rPr>
          <w:sz w:val="24"/>
          <w:szCs w:val="24"/>
        </w:rPr>
        <w:t>is conclusion is extrapolated, principally, from the French lawyer’s</w:t>
      </w:r>
      <w:r w:rsidR="008D03DA">
        <w:rPr>
          <w:sz w:val="24"/>
          <w:szCs w:val="24"/>
        </w:rPr>
        <w:t xml:space="preserve"> doctoral thesis</w:t>
      </w:r>
      <w:r w:rsidR="005729AA">
        <w:rPr>
          <w:sz w:val="24"/>
          <w:szCs w:val="24"/>
        </w:rPr>
        <w:t xml:space="preserve"> o</w:t>
      </w:r>
      <w:r w:rsidR="00735F0C">
        <w:rPr>
          <w:sz w:val="24"/>
          <w:szCs w:val="24"/>
        </w:rPr>
        <w:t>n the suppression of self-help remedies within the French legal system as well as his much later writings on</w:t>
      </w:r>
      <w:r w:rsidR="008C7088">
        <w:rPr>
          <w:sz w:val="24"/>
          <w:szCs w:val="24"/>
        </w:rPr>
        <w:t xml:space="preserve"> European law</w:t>
      </w:r>
      <w:r w:rsidR="001179BD">
        <w:rPr>
          <w:sz w:val="24"/>
          <w:szCs w:val="24"/>
        </w:rPr>
        <w:t>.</w:t>
      </w:r>
      <w:r w:rsidR="00014C08">
        <w:rPr>
          <w:rStyle w:val="FootnoteReference"/>
          <w:sz w:val="24"/>
          <w:szCs w:val="24"/>
        </w:rPr>
        <w:footnoteReference w:id="38"/>
      </w:r>
      <w:r w:rsidR="00014C08">
        <w:rPr>
          <w:sz w:val="24"/>
          <w:szCs w:val="24"/>
        </w:rPr>
        <w:t xml:space="preserve"> </w:t>
      </w:r>
      <w:r w:rsidR="001179BD">
        <w:rPr>
          <w:sz w:val="24"/>
          <w:szCs w:val="24"/>
        </w:rPr>
        <w:t xml:space="preserve"> </w:t>
      </w:r>
      <w:r w:rsidR="0079707A">
        <w:rPr>
          <w:sz w:val="24"/>
          <w:szCs w:val="24"/>
        </w:rPr>
        <w:t xml:space="preserve">It also builds on </w:t>
      </w:r>
      <w:r w:rsidR="00586CC1">
        <w:rPr>
          <w:sz w:val="24"/>
          <w:szCs w:val="24"/>
        </w:rPr>
        <w:t>Phelan’s</w:t>
      </w:r>
      <w:r w:rsidR="00C377D2">
        <w:rPr>
          <w:sz w:val="24"/>
          <w:szCs w:val="24"/>
        </w:rPr>
        <w:t xml:space="preserve"> early scholarship</w:t>
      </w:r>
      <w:r w:rsidR="003607C9">
        <w:rPr>
          <w:sz w:val="24"/>
          <w:szCs w:val="24"/>
        </w:rPr>
        <w:t>.</w:t>
      </w:r>
      <w:r w:rsidR="00AA0182">
        <w:rPr>
          <w:rStyle w:val="FootnoteReference"/>
          <w:sz w:val="24"/>
          <w:szCs w:val="24"/>
        </w:rPr>
        <w:footnoteReference w:id="39"/>
      </w:r>
      <w:r w:rsidR="003607C9">
        <w:rPr>
          <w:sz w:val="24"/>
          <w:szCs w:val="24"/>
        </w:rPr>
        <w:t xml:space="preserve"> More broadly, it </w:t>
      </w:r>
      <w:r w:rsidR="00E9322F">
        <w:rPr>
          <w:sz w:val="24"/>
          <w:szCs w:val="24"/>
        </w:rPr>
        <w:t xml:space="preserve">connects with the </w:t>
      </w:r>
      <w:r w:rsidR="00586CC1">
        <w:rPr>
          <w:sz w:val="24"/>
          <w:szCs w:val="24"/>
        </w:rPr>
        <w:t>work</w:t>
      </w:r>
      <w:r w:rsidR="00E9322F">
        <w:rPr>
          <w:sz w:val="24"/>
          <w:szCs w:val="24"/>
        </w:rPr>
        <w:t xml:space="preserve"> of European legal historians whose </w:t>
      </w:r>
      <w:r w:rsidR="00586CC1">
        <w:rPr>
          <w:sz w:val="24"/>
          <w:szCs w:val="24"/>
        </w:rPr>
        <w:t>research</w:t>
      </w:r>
      <w:r w:rsidR="00EC688F">
        <w:rPr>
          <w:sz w:val="24"/>
          <w:szCs w:val="24"/>
        </w:rPr>
        <w:t xml:space="preserve"> has so brilliantly illuminated the s</w:t>
      </w:r>
      <w:r w:rsidR="00FB1E5C">
        <w:rPr>
          <w:sz w:val="24"/>
          <w:szCs w:val="24"/>
        </w:rPr>
        <w:t>ignificant contribution of a number of prominent members of the Court of Justice</w:t>
      </w:r>
      <w:r w:rsidR="00743E3B">
        <w:rPr>
          <w:sz w:val="24"/>
          <w:szCs w:val="24"/>
        </w:rPr>
        <w:t xml:space="preserve"> </w:t>
      </w:r>
      <w:r w:rsidR="00C54F98">
        <w:rPr>
          <w:sz w:val="24"/>
          <w:szCs w:val="24"/>
        </w:rPr>
        <w:t>–</w:t>
      </w:r>
      <w:r w:rsidR="00743E3B">
        <w:rPr>
          <w:sz w:val="24"/>
          <w:szCs w:val="24"/>
        </w:rPr>
        <w:t xml:space="preserve"> includ</w:t>
      </w:r>
      <w:r w:rsidR="00C54F98">
        <w:rPr>
          <w:sz w:val="24"/>
          <w:szCs w:val="24"/>
        </w:rPr>
        <w:t>ing Lecourt –</w:t>
      </w:r>
      <w:r w:rsidR="00FB1E5C">
        <w:rPr>
          <w:sz w:val="24"/>
          <w:szCs w:val="24"/>
        </w:rPr>
        <w:t xml:space="preserve"> in its </w:t>
      </w:r>
      <w:r w:rsidR="00D0534E">
        <w:rPr>
          <w:sz w:val="24"/>
          <w:szCs w:val="24"/>
        </w:rPr>
        <w:t>formative years.</w:t>
      </w:r>
      <w:r w:rsidR="00014C08">
        <w:rPr>
          <w:rStyle w:val="FootnoteReference"/>
          <w:sz w:val="24"/>
          <w:szCs w:val="24"/>
        </w:rPr>
        <w:footnoteReference w:id="40"/>
      </w:r>
    </w:p>
    <w:p w14:paraId="1290A960" w14:textId="08C84723" w:rsidR="00B072AF" w:rsidRDefault="00634256" w:rsidP="00E93D69">
      <w:pPr>
        <w:spacing w:line="360" w:lineRule="auto"/>
        <w:ind w:firstLine="720"/>
        <w:jc w:val="both"/>
        <w:rPr>
          <w:sz w:val="24"/>
          <w:szCs w:val="24"/>
        </w:rPr>
      </w:pPr>
      <w:r>
        <w:rPr>
          <w:sz w:val="24"/>
          <w:szCs w:val="24"/>
        </w:rPr>
        <w:t xml:space="preserve">There </w:t>
      </w:r>
      <w:r w:rsidR="00D0534E">
        <w:rPr>
          <w:sz w:val="24"/>
          <w:szCs w:val="24"/>
        </w:rPr>
        <w:t>is</w:t>
      </w:r>
      <w:r>
        <w:rPr>
          <w:sz w:val="24"/>
          <w:szCs w:val="24"/>
        </w:rPr>
        <w:t xml:space="preserve"> no doubt that Lecourt played an important role in the Court’s formative years, not least in his role as Court President. Nonetheless, in claiming that </w:t>
      </w:r>
      <w:r w:rsidR="00EC46B8">
        <w:rPr>
          <w:sz w:val="24"/>
          <w:szCs w:val="24"/>
        </w:rPr>
        <w:t>‘</w:t>
      </w:r>
      <w:r w:rsidR="00D061BF">
        <w:rPr>
          <w:sz w:val="24"/>
          <w:szCs w:val="24"/>
        </w:rPr>
        <w:t>no other single judge had such a profound impact</w:t>
      </w:r>
      <w:r w:rsidR="00EC46B8">
        <w:rPr>
          <w:sz w:val="24"/>
          <w:szCs w:val="24"/>
        </w:rPr>
        <w:t>’</w:t>
      </w:r>
      <w:r w:rsidR="0081761B">
        <w:rPr>
          <w:sz w:val="24"/>
          <w:szCs w:val="24"/>
        </w:rPr>
        <w:t xml:space="preserve"> (p.</w:t>
      </w:r>
      <w:r w:rsidR="00166AC7">
        <w:rPr>
          <w:sz w:val="24"/>
          <w:szCs w:val="24"/>
        </w:rPr>
        <w:t xml:space="preserve"> 5</w:t>
      </w:r>
      <w:r w:rsidR="0081761B">
        <w:rPr>
          <w:sz w:val="24"/>
          <w:szCs w:val="24"/>
        </w:rPr>
        <w:t xml:space="preserve"> )</w:t>
      </w:r>
      <w:r>
        <w:rPr>
          <w:sz w:val="24"/>
          <w:szCs w:val="24"/>
        </w:rPr>
        <w:t xml:space="preserve"> </w:t>
      </w:r>
      <w:r w:rsidR="00E37AAA">
        <w:rPr>
          <w:sz w:val="24"/>
          <w:szCs w:val="24"/>
        </w:rPr>
        <w:t>Phelan</w:t>
      </w:r>
      <w:r w:rsidR="00762A4A">
        <w:rPr>
          <w:sz w:val="24"/>
          <w:szCs w:val="24"/>
        </w:rPr>
        <w:t xml:space="preserve"> appears to</w:t>
      </w:r>
      <w:r w:rsidR="00E37AAA">
        <w:rPr>
          <w:sz w:val="24"/>
          <w:szCs w:val="24"/>
        </w:rPr>
        <w:t xml:space="preserve"> hear his voice louder than the rest of us do.</w:t>
      </w:r>
      <w:r w:rsidR="007E6960">
        <w:rPr>
          <w:sz w:val="24"/>
          <w:szCs w:val="24"/>
        </w:rPr>
        <w:t xml:space="preserve"> Yes, there is evidence that</w:t>
      </w:r>
      <w:r w:rsidR="00C54F98">
        <w:rPr>
          <w:sz w:val="24"/>
          <w:szCs w:val="24"/>
        </w:rPr>
        <w:t xml:space="preserve"> does</w:t>
      </w:r>
      <w:r w:rsidR="007E6960">
        <w:rPr>
          <w:sz w:val="24"/>
          <w:szCs w:val="24"/>
        </w:rPr>
        <w:t xml:space="preserve"> connect</w:t>
      </w:r>
      <w:r w:rsidR="00C54F98">
        <w:rPr>
          <w:sz w:val="24"/>
          <w:szCs w:val="24"/>
        </w:rPr>
        <w:t xml:space="preserve"> </w:t>
      </w:r>
      <w:r w:rsidR="007E6960">
        <w:rPr>
          <w:sz w:val="24"/>
          <w:szCs w:val="24"/>
        </w:rPr>
        <w:t xml:space="preserve">Lecourt to </w:t>
      </w:r>
      <w:r w:rsidR="004B0191">
        <w:rPr>
          <w:sz w:val="24"/>
          <w:szCs w:val="24"/>
        </w:rPr>
        <w:t xml:space="preserve">the </w:t>
      </w:r>
      <w:r w:rsidR="005C2030">
        <w:rPr>
          <w:sz w:val="24"/>
          <w:szCs w:val="24"/>
        </w:rPr>
        <w:t xml:space="preserve">modified </w:t>
      </w:r>
      <w:r w:rsidR="004B0191">
        <w:rPr>
          <w:sz w:val="24"/>
          <w:szCs w:val="24"/>
        </w:rPr>
        <w:t xml:space="preserve">narrative that </w:t>
      </w:r>
      <w:r w:rsidR="004B0191" w:rsidRPr="00B811EE">
        <w:rPr>
          <w:i/>
          <w:iCs/>
          <w:sz w:val="24"/>
          <w:szCs w:val="24"/>
        </w:rPr>
        <w:t>Grand Judgment</w:t>
      </w:r>
      <w:r w:rsidR="004B0191">
        <w:rPr>
          <w:sz w:val="24"/>
          <w:szCs w:val="24"/>
        </w:rPr>
        <w:t xml:space="preserve"> advances as its primary argument.</w:t>
      </w:r>
      <w:r w:rsidR="00006771">
        <w:rPr>
          <w:sz w:val="24"/>
          <w:szCs w:val="24"/>
        </w:rPr>
        <w:t xml:space="preserve"> </w:t>
      </w:r>
      <w:r w:rsidR="00646748">
        <w:rPr>
          <w:sz w:val="24"/>
          <w:szCs w:val="24"/>
        </w:rPr>
        <w:t>I</w:t>
      </w:r>
      <w:r w:rsidR="00006771">
        <w:rPr>
          <w:sz w:val="24"/>
          <w:szCs w:val="24"/>
        </w:rPr>
        <w:t>n chapter 3,</w:t>
      </w:r>
      <w:r w:rsidR="00646748">
        <w:rPr>
          <w:sz w:val="24"/>
          <w:szCs w:val="24"/>
        </w:rPr>
        <w:t xml:space="preserve"> for example, </w:t>
      </w:r>
      <w:r w:rsidR="00006771">
        <w:rPr>
          <w:sz w:val="24"/>
          <w:szCs w:val="24"/>
        </w:rPr>
        <w:t xml:space="preserve">Phelan </w:t>
      </w:r>
      <w:r w:rsidR="00DE3C6D">
        <w:rPr>
          <w:sz w:val="24"/>
          <w:szCs w:val="24"/>
        </w:rPr>
        <w:t>draws connections between his re</w:t>
      </w:r>
      <w:r w:rsidR="00DB4261">
        <w:rPr>
          <w:sz w:val="24"/>
          <w:szCs w:val="24"/>
        </w:rPr>
        <w:t xml:space="preserve">interpretation of the judgments in </w:t>
      </w:r>
      <w:r w:rsidR="00DB4261" w:rsidRPr="00DB4261">
        <w:rPr>
          <w:i/>
          <w:iCs/>
          <w:sz w:val="24"/>
          <w:szCs w:val="24"/>
        </w:rPr>
        <w:t>Van Gend en Loos</w:t>
      </w:r>
      <w:r w:rsidR="00DB4261">
        <w:rPr>
          <w:sz w:val="24"/>
          <w:szCs w:val="24"/>
        </w:rPr>
        <w:t xml:space="preserve">, </w:t>
      </w:r>
      <w:r w:rsidR="00DB4261" w:rsidRPr="00DB4261">
        <w:rPr>
          <w:i/>
          <w:iCs/>
          <w:sz w:val="24"/>
          <w:szCs w:val="24"/>
        </w:rPr>
        <w:t>Costa</w:t>
      </w:r>
      <w:r w:rsidR="00DB4261">
        <w:rPr>
          <w:sz w:val="24"/>
          <w:szCs w:val="24"/>
        </w:rPr>
        <w:t xml:space="preserve"> and </w:t>
      </w:r>
      <w:r w:rsidR="00DB4261" w:rsidRPr="00DB4261">
        <w:rPr>
          <w:i/>
          <w:iCs/>
          <w:sz w:val="24"/>
          <w:szCs w:val="24"/>
        </w:rPr>
        <w:t>Dairy Products</w:t>
      </w:r>
      <w:r w:rsidR="00DB4261">
        <w:rPr>
          <w:sz w:val="24"/>
          <w:szCs w:val="24"/>
        </w:rPr>
        <w:t xml:space="preserve"> as</w:t>
      </w:r>
      <w:r w:rsidR="00B8079D">
        <w:rPr>
          <w:sz w:val="24"/>
          <w:szCs w:val="24"/>
        </w:rPr>
        <w:t xml:space="preserve"> judicial efforts to manage inter-state conflicts </w:t>
      </w:r>
      <w:r w:rsidR="00DB4261">
        <w:rPr>
          <w:sz w:val="24"/>
          <w:szCs w:val="24"/>
        </w:rPr>
        <w:t xml:space="preserve">with Lecourt’s </w:t>
      </w:r>
      <w:r w:rsidR="00AD3486">
        <w:rPr>
          <w:sz w:val="24"/>
          <w:szCs w:val="24"/>
        </w:rPr>
        <w:t xml:space="preserve">writings on the </w:t>
      </w:r>
      <w:r w:rsidR="0034527E">
        <w:rPr>
          <w:sz w:val="24"/>
          <w:szCs w:val="24"/>
        </w:rPr>
        <w:t>primacy</w:t>
      </w:r>
      <w:r w:rsidR="00AD3486">
        <w:rPr>
          <w:sz w:val="24"/>
          <w:szCs w:val="24"/>
        </w:rPr>
        <w:t xml:space="preserve"> doctrine in his 1976 book, </w:t>
      </w:r>
      <w:r w:rsidR="00AD3486" w:rsidRPr="006635DF">
        <w:rPr>
          <w:i/>
          <w:iCs/>
          <w:sz w:val="24"/>
          <w:szCs w:val="24"/>
        </w:rPr>
        <w:t xml:space="preserve">L’Europe des </w:t>
      </w:r>
      <w:r w:rsidR="006635DF" w:rsidRPr="006635DF">
        <w:rPr>
          <w:i/>
          <w:iCs/>
          <w:sz w:val="24"/>
          <w:szCs w:val="24"/>
        </w:rPr>
        <w:t>juges</w:t>
      </w:r>
      <w:r w:rsidR="006635DF">
        <w:rPr>
          <w:sz w:val="24"/>
          <w:szCs w:val="24"/>
        </w:rPr>
        <w:t xml:space="preserve">. However, reading </w:t>
      </w:r>
      <w:r w:rsidR="006635DF" w:rsidRPr="00971DAB">
        <w:rPr>
          <w:i/>
          <w:iCs/>
          <w:sz w:val="24"/>
          <w:szCs w:val="24"/>
        </w:rPr>
        <w:t>Great Judgments</w:t>
      </w:r>
      <w:r w:rsidR="006635DF">
        <w:rPr>
          <w:sz w:val="24"/>
          <w:szCs w:val="24"/>
        </w:rPr>
        <w:t xml:space="preserve"> leaves one with a far strong</w:t>
      </w:r>
      <w:r w:rsidR="00497240">
        <w:rPr>
          <w:sz w:val="24"/>
          <w:szCs w:val="24"/>
        </w:rPr>
        <w:t>er</w:t>
      </w:r>
      <w:r w:rsidR="006635DF">
        <w:rPr>
          <w:sz w:val="24"/>
          <w:szCs w:val="24"/>
        </w:rPr>
        <w:t xml:space="preserve"> impression that </w:t>
      </w:r>
      <w:r w:rsidR="00971DAB">
        <w:rPr>
          <w:sz w:val="24"/>
          <w:szCs w:val="24"/>
        </w:rPr>
        <w:t>it was a much broader</w:t>
      </w:r>
      <w:r w:rsidR="00917998">
        <w:rPr>
          <w:sz w:val="24"/>
          <w:szCs w:val="24"/>
        </w:rPr>
        <w:t xml:space="preserve"> range of individuals wh</w:t>
      </w:r>
      <w:r w:rsidR="00995BD9">
        <w:rPr>
          <w:sz w:val="24"/>
          <w:szCs w:val="24"/>
        </w:rPr>
        <w:t xml:space="preserve">ose </w:t>
      </w:r>
      <w:r w:rsidR="008F5C44">
        <w:rPr>
          <w:sz w:val="24"/>
          <w:szCs w:val="24"/>
        </w:rPr>
        <w:t xml:space="preserve">collective </w:t>
      </w:r>
      <w:r w:rsidR="005F247C">
        <w:rPr>
          <w:sz w:val="24"/>
          <w:szCs w:val="24"/>
        </w:rPr>
        <w:t>efforts</w:t>
      </w:r>
      <w:r w:rsidR="008F5C44">
        <w:rPr>
          <w:sz w:val="24"/>
          <w:szCs w:val="24"/>
        </w:rPr>
        <w:t xml:space="preserve"> </w:t>
      </w:r>
      <w:r w:rsidR="005F247C">
        <w:rPr>
          <w:sz w:val="24"/>
          <w:szCs w:val="24"/>
        </w:rPr>
        <w:t xml:space="preserve">may be invoked to support the book’s core argument. </w:t>
      </w:r>
      <w:r w:rsidR="00F9131C">
        <w:rPr>
          <w:sz w:val="24"/>
          <w:szCs w:val="24"/>
        </w:rPr>
        <w:t xml:space="preserve">This, of course, aligns with </w:t>
      </w:r>
      <w:r w:rsidR="0012419E">
        <w:rPr>
          <w:sz w:val="24"/>
          <w:szCs w:val="24"/>
        </w:rPr>
        <w:t>the work of Rasmussen</w:t>
      </w:r>
      <w:r w:rsidR="0018287A">
        <w:rPr>
          <w:sz w:val="24"/>
          <w:szCs w:val="24"/>
        </w:rPr>
        <w:t xml:space="preserve">, </w:t>
      </w:r>
      <w:r w:rsidR="00850733">
        <w:rPr>
          <w:sz w:val="24"/>
          <w:szCs w:val="24"/>
        </w:rPr>
        <w:t>Boerger, Davies</w:t>
      </w:r>
      <w:r w:rsidR="0012419E">
        <w:rPr>
          <w:sz w:val="24"/>
          <w:szCs w:val="24"/>
        </w:rPr>
        <w:t xml:space="preserve"> and </w:t>
      </w:r>
      <w:r w:rsidR="00F14275">
        <w:rPr>
          <w:sz w:val="24"/>
          <w:szCs w:val="24"/>
        </w:rPr>
        <w:t>other leading legal historians.</w:t>
      </w:r>
    </w:p>
    <w:p w14:paraId="0CA9D51C" w14:textId="7611B2C2" w:rsidR="00FC4348" w:rsidRPr="00DE3CE5" w:rsidRDefault="00230424" w:rsidP="00C56AC3">
      <w:pPr>
        <w:spacing w:line="360" w:lineRule="auto"/>
        <w:jc w:val="both"/>
        <w:rPr>
          <w:sz w:val="24"/>
          <w:szCs w:val="24"/>
        </w:rPr>
      </w:pPr>
      <w:r>
        <w:rPr>
          <w:sz w:val="24"/>
          <w:szCs w:val="24"/>
        </w:rPr>
        <w:tab/>
        <w:t xml:space="preserve">In the end, </w:t>
      </w:r>
      <w:r w:rsidR="003543E1">
        <w:rPr>
          <w:sz w:val="24"/>
          <w:szCs w:val="24"/>
        </w:rPr>
        <w:t xml:space="preserve">whether or not Lecourt </w:t>
      </w:r>
      <w:r w:rsidR="00EB2A97">
        <w:rPr>
          <w:sz w:val="24"/>
          <w:szCs w:val="24"/>
        </w:rPr>
        <w:t xml:space="preserve">qualifies as the </w:t>
      </w:r>
      <w:r w:rsidR="009768D3">
        <w:rPr>
          <w:sz w:val="24"/>
          <w:szCs w:val="24"/>
        </w:rPr>
        <w:t xml:space="preserve">Luxembourg Court’s most influential figure during its formative period is </w:t>
      </w:r>
      <w:r w:rsidR="00755513">
        <w:rPr>
          <w:sz w:val="24"/>
          <w:szCs w:val="24"/>
        </w:rPr>
        <w:t xml:space="preserve">not that important, not least in relation to Phelan’s </w:t>
      </w:r>
      <w:r w:rsidR="005E5ED5">
        <w:rPr>
          <w:sz w:val="24"/>
          <w:szCs w:val="24"/>
        </w:rPr>
        <w:t>primary</w:t>
      </w:r>
      <w:r w:rsidR="00755513">
        <w:rPr>
          <w:sz w:val="24"/>
          <w:szCs w:val="24"/>
        </w:rPr>
        <w:t xml:space="preserve"> argument. </w:t>
      </w:r>
      <w:r w:rsidR="009227F8">
        <w:rPr>
          <w:sz w:val="24"/>
          <w:szCs w:val="24"/>
        </w:rPr>
        <w:t xml:space="preserve">In combination with the comparative </w:t>
      </w:r>
      <w:r w:rsidR="00A83E87">
        <w:rPr>
          <w:sz w:val="24"/>
          <w:szCs w:val="24"/>
        </w:rPr>
        <w:t xml:space="preserve">analysis of other international trade treaties, </w:t>
      </w:r>
      <w:r w:rsidR="00F71428">
        <w:rPr>
          <w:sz w:val="24"/>
          <w:szCs w:val="24"/>
        </w:rPr>
        <w:t>Phelan’s excursus into</w:t>
      </w:r>
      <w:r w:rsidR="00D93505">
        <w:rPr>
          <w:sz w:val="24"/>
          <w:szCs w:val="24"/>
        </w:rPr>
        <w:t xml:space="preserve"> extra-</w:t>
      </w:r>
      <w:r w:rsidR="00F71428">
        <w:rPr>
          <w:sz w:val="24"/>
          <w:szCs w:val="24"/>
        </w:rPr>
        <w:t xml:space="preserve">judicial </w:t>
      </w:r>
      <w:r w:rsidR="00D83745">
        <w:rPr>
          <w:sz w:val="24"/>
          <w:szCs w:val="24"/>
        </w:rPr>
        <w:t>materials</w:t>
      </w:r>
      <w:r w:rsidR="009227F8">
        <w:rPr>
          <w:sz w:val="24"/>
          <w:szCs w:val="24"/>
        </w:rPr>
        <w:t xml:space="preserve"> provides the deeper context</w:t>
      </w:r>
      <w:r w:rsidR="009768D3">
        <w:rPr>
          <w:sz w:val="24"/>
          <w:szCs w:val="24"/>
        </w:rPr>
        <w:t xml:space="preserve"> </w:t>
      </w:r>
      <w:r w:rsidR="00A83E87">
        <w:rPr>
          <w:sz w:val="24"/>
          <w:szCs w:val="24"/>
        </w:rPr>
        <w:t xml:space="preserve">that </w:t>
      </w:r>
      <w:r w:rsidR="00A53644">
        <w:rPr>
          <w:sz w:val="24"/>
          <w:szCs w:val="24"/>
        </w:rPr>
        <w:t xml:space="preserve">elevates </w:t>
      </w:r>
      <w:r w:rsidR="00A53644" w:rsidRPr="00A53644">
        <w:rPr>
          <w:i/>
          <w:iCs/>
          <w:sz w:val="24"/>
          <w:szCs w:val="24"/>
        </w:rPr>
        <w:t>Grand Judgments</w:t>
      </w:r>
      <w:r w:rsidR="00A53644">
        <w:rPr>
          <w:sz w:val="24"/>
          <w:szCs w:val="24"/>
        </w:rPr>
        <w:t xml:space="preserve"> as </w:t>
      </w:r>
      <w:r w:rsidR="00F0690C">
        <w:rPr>
          <w:sz w:val="24"/>
          <w:szCs w:val="24"/>
        </w:rPr>
        <w:t xml:space="preserve">work of legal scholarship. What is </w:t>
      </w:r>
      <w:r w:rsidR="00F0690C">
        <w:rPr>
          <w:sz w:val="24"/>
          <w:szCs w:val="24"/>
        </w:rPr>
        <w:lastRenderedPageBreak/>
        <w:t xml:space="preserve">unquestionable – and widely recognised – is that </w:t>
      </w:r>
      <w:r w:rsidR="005479F6">
        <w:rPr>
          <w:sz w:val="24"/>
          <w:szCs w:val="24"/>
        </w:rPr>
        <w:t>the Court of Justice’s landmark judgments on the</w:t>
      </w:r>
      <w:r w:rsidR="003F4A1F">
        <w:rPr>
          <w:sz w:val="24"/>
          <w:szCs w:val="24"/>
        </w:rPr>
        <w:t xml:space="preserve"> foundations of the European legal order</w:t>
      </w:r>
      <w:r w:rsidR="00B1418C">
        <w:rPr>
          <w:sz w:val="24"/>
          <w:szCs w:val="24"/>
        </w:rPr>
        <w:t xml:space="preserve"> were the product of a period of extraordinary creative energy </w:t>
      </w:r>
      <w:r w:rsidR="00A2718B">
        <w:rPr>
          <w:sz w:val="24"/>
          <w:szCs w:val="24"/>
        </w:rPr>
        <w:t>that was to define</w:t>
      </w:r>
      <w:r w:rsidR="007D42DC">
        <w:rPr>
          <w:sz w:val="24"/>
          <w:szCs w:val="24"/>
        </w:rPr>
        <w:t xml:space="preserve"> </w:t>
      </w:r>
      <w:r w:rsidR="003539D9">
        <w:rPr>
          <w:sz w:val="24"/>
          <w:szCs w:val="24"/>
        </w:rPr>
        <w:t>the process of European integration</w:t>
      </w:r>
      <w:r w:rsidR="005C3106">
        <w:rPr>
          <w:sz w:val="24"/>
          <w:szCs w:val="24"/>
        </w:rPr>
        <w:t xml:space="preserve">. </w:t>
      </w:r>
      <w:r w:rsidR="008739C4">
        <w:rPr>
          <w:sz w:val="24"/>
          <w:szCs w:val="24"/>
        </w:rPr>
        <w:t xml:space="preserve">Judges at the Court – including Lecourt – </w:t>
      </w:r>
      <w:r w:rsidR="00894161">
        <w:rPr>
          <w:sz w:val="24"/>
          <w:szCs w:val="24"/>
        </w:rPr>
        <w:t xml:space="preserve">were the source of that energy, </w:t>
      </w:r>
      <w:r w:rsidR="00D83745">
        <w:rPr>
          <w:sz w:val="24"/>
          <w:szCs w:val="24"/>
        </w:rPr>
        <w:t>alongside</w:t>
      </w:r>
      <w:r w:rsidR="00894161">
        <w:rPr>
          <w:sz w:val="24"/>
          <w:szCs w:val="24"/>
        </w:rPr>
        <w:t xml:space="preserve"> a broader network that, as Phelan’s study </w:t>
      </w:r>
      <w:r w:rsidR="00C91717">
        <w:rPr>
          <w:sz w:val="24"/>
          <w:szCs w:val="24"/>
        </w:rPr>
        <w:t>details</w:t>
      </w:r>
      <w:r w:rsidR="004434CD">
        <w:rPr>
          <w:sz w:val="24"/>
          <w:szCs w:val="24"/>
        </w:rPr>
        <w:t xml:space="preserve"> throughout</w:t>
      </w:r>
      <w:r w:rsidR="008E5D13">
        <w:rPr>
          <w:sz w:val="24"/>
          <w:szCs w:val="24"/>
        </w:rPr>
        <w:t xml:space="preserve">, also engaged national courts and </w:t>
      </w:r>
      <w:r w:rsidR="00DE3CE5">
        <w:rPr>
          <w:sz w:val="24"/>
          <w:szCs w:val="24"/>
        </w:rPr>
        <w:t xml:space="preserve">legal academics. </w:t>
      </w:r>
    </w:p>
    <w:p w14:paraId="2368E83B" w14:textId="5AFEB70C" w:rsidR="00FA384F" w:rsidRPr="00FC4348" w:rsidRDefault="006B1F8A" w:rsidP="00C56AC3">
      <w:pPr>
        <w:spacing w:line="360" w:lineRule="auto"/>
        <w:jc w:val="both"/>
        <w:rPr>
          <w:b/>
          <w:bCs/>
          <w:sz w:val="28"/>
          <w:szCs w:val="28"/>
        </w:rPr>
      </w:pPr>
      <w:r>
        <w:rPr>
          <w:b/>
          <w:bCs/>
          <w:sz w:val="28"/>
          <w:szCs w:val="28"/>
        </w:rPr>
        <w:t>Concluding Remarks</w:t>
      </w:r>
    </w:p>
    <w:p w14:paraId="3398781B" w14:textId="0EA84639" w:rsidR="00BB2D24" w:rsidRDefault="00063F0C" w:rsidP="00DA2A5E">
      <w:pPr>
        <w:spacing w:line="360" w:lineRule="auto"/>
        <w:jc w:val="both"/>
        <w:rPr>
          <w:sz w:val="24"/>
          <w:szCs w:val="24"/>
        </w:rPr>
      </w:pPr>
      <w:r w:rsidRPr="00EC5ED4">
        <w:rPr>
          <w:i/>
          <w:iCs/>
          <w:sz w:val="24"/>
          <w:szCs w:val="24"/>
        </w:rPr>
        <w:t>Great Judgments</w:t>
      </w:r>
      <w:r>
        <w:rPr>
          <w:sz w:val="24"/>
          <w:szCs w:val="24"/>
        </w:rPr>
        <w:t xml:space="preserve"> is a stimulating r</w:t>
      </w:r>
      <w:r w:rsidR="00EC5ED4">
        <w:rPr>
          <w:sz w:val="24"/>
          <w:szCs w:val="24"/>
        </w:rPr>
        <w:t xml:space="preserve">ead. </w:t>
      </w:r>
      <w:r w:rsidR="00F90058">
        <w:rPr>
          <w:sz w:val="24"/>
          <w:szCs w:val="24"/>
        </w:rPr>
        <w:t>In attempting to rethink</w:t>
      </w:r>
      <w:r w:rsidR="003F1CD7">
        <w:rPr>
          <w:sz w:val="24"/>
          <w:szCs w:val="24"/>
        </w:rPr>
        <w:t xml:space="preserve"> </w:t>
      </w:r>
      <w:r w:rsidR="00C63173">
        <w:rPr>
          <w:sz w:val="24"/>
          <w:szCs w:val="24"/>
        </w:rPr>
        <w:t>the most</w:t>
      </w:r>
      <w:r w:rsidR="00DD1F7D">
        <w:rPr>
          <w:sz w:val="24"/>
          <w:szCs w:val="24"/>
        </w:rPr>
        <w:t xml:space="preserve"> entrenched </w:t>
      </w:r>
      <w:r w:rsidR="004434CD">
        <w:rPr>
          <w:sz w:val="24"/>
          <w:szCs w:val="24"/>
        </w:rPr>
        <w:t>of all European legal narratives, Phelan</w:t>
      </w:r>
      <w:r w:rsidR="004D0C60">
        <w:rPr>
          <w:sz w:val="24"/>
          <w:szCs w:val="24"/>
        </w:rPr>
        <w:t xml:space="preserve"> is </w:t>
      </w:r>
      <w:r w:rsidR="000D1DDA">
        <w:rPr>
          <w:sz w:val="24"/>
          <w:szCs w:val="24"/>
        </w:rPr>
        <w:t>engaged in something ambitious and refreshing</w:t>
      </w:r>
      <w:r w:rsidR="00C77682">
        <w:rPr>
          <w:sz w:val="24"/>
          <w:szCs w:val="24"/>
        </w:rPr>
        <w:t>. His approach</w:t>
      </w:r>
      <w:r w:rsidR="0083776C">
        <w:rPr>
          <w:sz w:val="24"/>
          <w:szCs w:val="24"/>
        </w:rPr>
        <w:t xml:space="preserve">, whilst </w:t>
      </w:r>
      <w:r w:rsidR="00046075">
        <w:rPr>
          <w:sz w:val="24"/>
          <w:szCs w:val="24"/>
        </w:rPr>
        <w:t xml:space="preserve">coming unstuck in places, </w:t>
      </w:r>
      <w:r w:rsidR="00A7348C">
        <w:rPr>
          <w:sz w:val="24"/>
          <w:szCs w:val="24"/>
        </w:rPr>
        <w:t xml:space="preserve">breaks with the </w:t>
      </w:r>
      <w:r w:rsidR="00F02F93">
        <w:rPr>
          <w:sz w:val="24"/>
          <w:szCs w:val="24"/>
        </w:rPr>
        <w:t xml:space="preserve">now </w:t>
      </w:r>
      <w:r w:rsidR="00A7348C">
        <w:rPr>
          <w:sz w:val="24"/>
          <w:szCs w:val="24"/>
        </w:rPr>
        <w:t xml:space="preserve">dominant </w:t>
      </w:r>
      <w:r w:rsidR="00F8032B">
        <w:rPr>
          <w:sz w:val="24"/>
          <w:szCs w:val="24"/>
        </w:rPr>
        <w:t xml:space="preserve">conceptualisation of the </w:t>
      </w:r>
      <w:r w:rsidR="00A7205C">
        <w:rPr>
          <w:sz w:val="24"/>
          <w:szCs w:val="24"/>
        </w:rPr>
        <w:t>EU as a constitutionalised legal space</w:t>
      </w:r>
      <w:r w:rsidR="00F8032B">
        <w:rPr>
          <w:sz w:val="24"/>
          <w:szCs w:val="24"/>
        </w:rPr>
        <w:t xml:space="preserve">. </w:t>
      </w:r>
      <w:r w:rsidR="00495554">
        <w:rPr>
          <w:sz w:val="24"/>
          <w:szCs w:val="24"/>
        </w:rPr>
        <w:t xml:space="preserve">The significance that Phelan attached to Lecourt as the European legal order’s most influential judge is difficult to sustain and, at time, rather distracting. His </w:t>
      </w:r>
      <w:r w:rsidR="00D83745">
        <w:rPr>
          <w:sz w:val="24"/>
          <w:szCs w:val="24"/>
        </w:rPr>
        <w:t>primary</w:t>
      </w:r>
      <w:r w:rsidR="00495554">
        <w:rPr>
          <w:sz w:val="24"/>
          <w:szCs w:val="24"/>
        </w:rPr>
        <w:t xml:space="preserve"> argument, however, is more compelling. Phelan presents a strong case – drawing on his fusion of doctrine and deeper context – that the Court’s formative judgments on, in particular, direct effect and primacy </w:t>
      </w:r>
      <w:r w:rsidR="00924D29">
        <w:rPr>
          <w:sz w:val="24"/>
          <w:szCs w:val="24"/>
        </w:rPr>
        <w:t>may indeed be reconstructed as he wishes us to see them, namely as a judicial response to</w:t>
      </w:r>
      <w:r w:rsidR="004223BC">
        <w:rPr>
          <w:sz w:val="24"/>
          <w:szCs w:val="24"/>
        </w:rPr>
        <w:t xml:space="preserve"> the practical problems of managing inter-state trade relations. Ultimately, this ‘rethinking’ of</w:t>
      </w:r>
      <w:r w:rsidR="00497AA8">
        <w:rPr>
          <w:sz w:val="24"/>
          <w:szCs w:val="24"/>
        </w:rPr>
        <w:t xml:space="preserve"> the case law – which, in part, aligns</w:t>
      </w:r>
      <w:r w:rsidR="00D156C7">
        <w:rPr>
          <w:sz w:val="24"/>
          <w:szCs w:val="24"/>
        </w:rPr>
        <w:t xml:space="preserve"> with the view of some early commentators – enriches rather than displaces the dominant account that, as is well-documented, views decisions such as </w:t>
      </w:r>
      <w:r w:rsidR="00D156C7" w:rsidRPr="00BF4704">
        <w:rPr>
          <w:i/>
          <w:iCs/>
          <w:sz w:val="24"/>
          <w:szCs w:val="24"/>
        </w:rPr>
        <w:t>Van Gend en Loos</w:t>
      </w:r>
      <w:r w:rsidR="00D156C7">
        <w:rPr>
          <w:sz w:val="24"/>
          <w:szCs w:val="24"/>
        </w:rPr>
        <w:t xml:space="preserve"> and </w:t>
      </w:r>
      <w:r w:rsidR="00D156C7" w:rsidRPr="00BF4704">
        <w:rPr>
          <w:i/>
          <w:iCs/>
          <w:sz w:val="24"/>
          <w:szCs w:val="24"/>
        </w:rPr>
        <w:t>Costa</w:t>
      </w:r>
      <w:r w:rsidR="00D156C7">
        <w:rPr>
          <w:sz w:val="24"/>
          <w:szCs w:val="24"/>
        </w:rPr>
        <w:t xml:space="preserve"> as steps towards the ‘constitutionalisation’ of the European legal order.</w:t>
      </w:r>
    </w:p>
    <w:p w14:paraId="4E894E13" w14:textId="52A45830" w:rsidR="00063F0C" w:rsidRDefault="000F461A" w:rsidP="00B70012">
      <w:pPr>
        <w:spacing w:line="360" w:lineRule="auto"/>
        <w:ind w:firstLine="720"/>
        <w:jc w:val="both"/>
        <w:rPr>
          <w:sz w:val="24"/>
          <w:szCs w:val="24"/>
        </w:rPr>
      </w:pPr>
      <w:r>
        <w:rPr>
          <w:sz w:val="24"/>
          <w:szCs w:val="24"/>
        </w:rPr>
        <w:t xml:space="preserve">The </w:t>
      </w:r>
      <w:r w:rsidR="0062020B">
        <w:rPr>
          <w:sz w:val="24"/>
          <w:szCs w:val="24"/>
        </w:rPr>
        <w:t>conclusion</w:t>
      </w:r>
      <w:r>
        <w:rPr>
          <w:sz w:val="24"/>
          <w:szCs w:val="24"/>
        </w:rPr>
        <w:t xml:space="preserve"> that </w:t>
      </w:r>
      <w:r w:rsidR="00BE3CB7">
        <w:rPr>
          <w:sz w:val="24"/>
          <w:szCs w:val="24"/>
        </w:rPr>
        <w:t xml:space="preserve">we </w:t>
      </w:r>
      <w:r w:rsidR="0062020B">
        <w:rPr>
          <w:sz w:val="24"/>
          <w:szCs w:val="24"/>
        </w:rPr>
        <w:t>ought to</w:t>
      </w:r>
      <w:r w:rsidR="00BE3CB7">
        <w:rPr>
          <w:sz w:val="24"/>
          <w:szCs w:val="24"/>
        </w:rPr>
        <w:t xml:space="preserve"> rethink</w:t>
      </w:r>
      <w:r w:rsidR="0062020B">
        <w:rPr>
          <w:sz w:val="24"/>
          <w:szCs w:val="24"/>
        </w:rPr>
        <w:t xml:space="preserve"> </w:t>
      </w:r>
      <w:r w:rsidR="00BE3CB7">
        <w:rPr>
          <w:sz w:val="24"/>
          <w:szCs w:val="24"/>
        </w:rPr>
        <w:t xml:space="preserve">our interpretation of the some of the Court of Justice’s most significant </w:t>
      </w:r>
      <w:r w:rsidR="001502B6">
        <w:rPr>
          <w:sz w:val="24"/>
          <w:szCs w:val="24"/>
        </w:rPr>
        <w:t>judgments</w:t>
      </w:r>
      <w:r w:rsidR="004E7A0F">
        <w:rPr>
          <w:sz w:val="24"/>
          <w:szCs w:val="24"/>
        </w:rPr>
        <w:t xml:space="preserve"> to that effect</w:t>
      </w:r>
      <w:r w:rsidR="001502B6">
        <w:rPr>
          <w:sz w:val="24"/>
          <w:szCs w:val="24"/>
        </w:rPr>
        <w:t xml:space="preserve"> is, </w:t>
      </w:r>
      <w:r w:rsidR="004E7A0F">
        <w:rPr>
          <w:sz w:val="24"/>
          <w:szCs w:val="24"/>
        </w:rPr>
        <w:t>however</w:t>
      </w:r>
      <w:r w:rsidR="001502B6">
        <w:rPr>
          <w:sz w:val="24"/>
          <w:szCs w:val="24"/>
        </w:rPr>
        <w:t xml:space="preserve">, not pushed very far. </w:t>
      </w:r>
      <w:r w:rsidR="00646372">
        <w:rPr>
          <w:sz w:val="24"/>
          <w:szCs w:val="24"/>
        </w:rPr>
        <w:t>What</w:t>
      </w:r>
      <w:r w:rsidR="00BF4704">
        <w:rPr>
          <w:sz w:val="24"/>
          <w:szCs w:val="24"/>
        </w:rPr>
        <w:t xml:space="preserve"> is </w:t>
      </w:r>
      <w:r w:rsidR="00646372">
        <w:rPr>
          <w:sz w:val="24"/>
          <w:szCs w:val="24"/>
        </w:rPr>
        <w:t>missing</w:t>
      </w:r>
      <w:r w:rsidR="00BF4704">
        <w:rPr>
          <w:sz w:val="24"/>
          <w:szCs w:val="24"/>
        </w:rPr>
        <w:t>, regrettably,</w:t>
      </w:r>
      <w:r w:rsidR="00646372">
        <w:rPr>
          <w:sz w:val="24"/>
          <w:szCs w:val="24"/>
        </w:rPr>
        <w:t xml:space="preserve"> is a much deeper sense of the relationship between </w:t>
      </w:r>
      <w:r w:rsidR="004A3A91">
        <w:rPr>
          <w:sz w:val="24"/>
          <w:szCs w:val="24"/>
        </w:rPr>
        <w:t>his</w:t>
      </w:r>
      <w:r w:rsidR="00646372">
        <w:rPr>
          <w:sz w:val="24"/>
          <w:szCs w:val="24"/>
        </w:rPr>
        <w:t xml:space="preserve"> </w:t>
      </w:r>
      <w:r w:rsidR="005C2030">
        <w:rPr>
          <w:sz w:val="24"/>
          <w:szCs w:val="24"/>
        </w:rPr>
        <w:t>modified</w:t>
      </w:r>
      <w:r w:rsidR="004A3A91">
        <w:rPr>
          <w:sz w:val="24"/>
          <w:szCs w:val="24"/>
        </w:rPr>
        <w:t xml:space="preserve"> reading</w:t>
      </w:r>
      <w:r w:rsidR="00646372">
        <w:rPr>
          <w:sz w:val="24"/>
          <w:szCs w:val="24"/>
        </w:rPr>
        <w:t xml:space="preserve"> of </w:t>
      </w:r>
      <w:r w:rsidR="004A3A91">
        <w:rPr>
          <w:sz w:val="24"/>
          <w:szCs w:val="24"/>
        </w:rPr>
        <w:t>the Court’s early</w:t>
      </w:r>
      <w:r w:rsidR="00646372">
        <w:rPr>
          <w:sz w:val="24"/>
          <w:szCs w:val="24"/>
        </w:rPr>
        <w:t xml:space="preserve"> jurisprudence and the broader legal</w:t>
      </w:r>
      <w:r w:rsidR="00BF4704">
        <w:rPr>
          <w:sz w:val="24"/>
          <w:szCs w:val="24"/>
        </w:rPr>
        <w:t xml:space="preserve"> and</w:t>
      </w:r>
      <w:r w:rsidR="00646372">
        <w:rPr>
          <w:sz w:val="24"/>
          <w:szCs w:val="24"/>
        </w:rPr>
        <w:t xml:space="preserve"> political landscape of European integration – both contemporaneously and </w:t>
      </w:r>
      <w:r w:rsidR="006C085A">
        <w:rPr>
          <w:sz w:val="24"/>
          <w:szCs w:val="24"/>
        </w:rPr>
        <w:t>as this has subsequently developed</w:t>
      </w:r>
      <w:r w:rsidR="00646372">
        <w:rPr>
          <w:sz w:val="24"/>
          <w:szCs w:val="24"/>
        </w:rPr>
        <w:t>.</w:t>
      </w:r>
      <w:r w:rsidR="001502B6">
        <w:rPr>
          <w:sz w:val="24"/>
          <w:szCs w:val="24"/>
        </w:rPr>
        <w:t xml:space="preserve"> But Phelan does leave his readers </w:t>
      </w:r>
      <w:r w:rsidR="005172F2">
        <w:rPr>
          <w:sz w:val="24"/>
          <w:szCs w:val="24"/>
        </w:rPr>
        <w:t>with</w:t>
      </w:r>
      <w:r w:rsidR="003E39C6">
        <w:rPr>
          <w:sz w:val="24"/>
          <w:szCs w:val="24"/>
        </w:rPr>
        <w:t xml:space="preserve"> something important:</w:t>
      </w:r>
      <w:r w:rsidR="00A31E0B">
        <w:rPr>
          <w:sz w:val="24"/>
          <w:szCs w:val="24"/>
        </w:rPr>
        <w:t xml:space="preserve"> a clear </w:t>
      </w:r>
      <w:r w:rsidR="005172F2">
        <w:rPr>
          <w:sz w:val="24"/>
          <w:szCs w:val="24"/>
        </w:rPr>
        <w:t>view on the place of individual</w:t>
      </w:r>
      <w:r w:rsidR="00925457">
        <w:rPr>
          <w:sz w:val="24"/>
          <w:szCs w:val="24"/>
        </w:rPr>
        <w:t>s</w:t>
      </w:r>
      <w:r w:rsidR="005172F2">
        <w:rPr>
          <w:sz w:val="24"/>
          <w:szCs w:val="24"/>
        </w:rPr>
        <w:t xml:space="preserve"> (and national courts)</w:t>
      </w:r>
      <w:r w:rsidR="00925457">
        <w:rPr>
          <w:sz w:val="24"/>
          <w:szCs w:val="24"/>
        </w:rPr>
        <w:t xml:space="preserve"> </w:t>
      </w:r>
      <w:r w:rsidR="005C60BC">
        <w:rPr>
          <w:sz w:val="24"/>
          <w:szCs w:val="24"/>
        </w:rPr>
        <w:t>under the EEC Treaty</w:t>
      </w:r>
      <w:r w:rsidR="0025172E">
        <w:rPr>
          <w:sz w:val="24"/>
          <w:szCs w:val="24"/>
        </w:rPr>
        <w:t xml:space="preserve"> that contrasts strikingly with the </w:t>
      </w:r>
      <w:r w:rsidR="00925457">
        <w:rPr>
          <w:sz w:val="24"/>
          <w:szCs w:val="24"/>
        </w:rPr>
        <w:t xml:space="preserve">familiar narrative that reads the former </w:t>
      </w:r>
      <w:r w:rsidR="005C60BC">
        <w:rPr>
          <w:sz w:val="24"/>
          <w:szCs w:val="24"/>
        </w:rPr>
        <w:t xml:space="preserve">as the bearers of direct rights </w:t>
      </w:r>
      <w:r w:rsidR="001B0DB9">
        <w:rPr>
          <w:sz w:val="24"/>
          <w:szCs w:val="24"/>
        </w:rPr>
        <w:t xml:space="preserve">(including fundamental rights) </w:t>
      </w:r>
      <w:r w:rsidR="005C60BC">
        <w:rPr>
          <w:sz w:val="24"/>
          <w:szCs w:val="24"/>
        </w:rPr>
        <w:t>and the latter as</w:t>
      </w:r>
      <w:r w:rsidR="007B1936">
        <w:rPr>
          <w:sz w:val="24"/>
          <w:szCs w:val="24"/>
        </w:rPr>
        <w:t xml:space="preserve"> </w:t>
      </w:r>
      <w:r w:rsidR="00C71684">
        <w:rPr>
          <w:sz w:val="24"/>
          <w:szCs w:val="24"/>
        </w:rPr>
        <w:t xml:space="preserve">newly </w:t>
      </w:r>
      <w:r w:rsidR="007B1936">
        <w:rPr>
          <w:sz w:val="24"/>
          <w:szCs w:val="24"/>
        </w:rPr>
        <w:t>empowered ‘C</w:t>
      </w:r>
      <w:r w:rsidR="00C71684">
        <w:rPr>
          <w:sz w:val="24"/>
          <w:szCs w:val="24"/>
        </w:rPr>
        <w:t>ommunity</w:t>
      </w:r>
      <w:r w:rsidR="007B1936">
        <w:rPr>
          <w:sz w:val="24"/>
          <w:szCs w:val="24"/>
        </w:rPr>
        <w:t xml:space="preserve"> courts.’ </w:t>
      </w:r>
      <w:r w:rsidR="00794C0E">
        <w:rPr>
          <w:sz w:val="24"/>
          <w:szCs w:val="24"/>
        </w:rPr>
        <w:t>The vision</w:t>
      </w:r>
      <w:r w:rsidR="00C16A75">
        <w:rPr>
          <w:sz w:val="24"/>
          <w:szCs w:val="24"/>
        </w:rPr>
        <w:t xml:space="preserve"> of direct effect and </w:t>
      </w:r>
      <w:r w:rsidR="0034527E">
        <w:rPr>
          <w:sz w:val="24"/>
          <w:szCs w:val="24"/>
        </w:rPr>
        <w:t>primacy</w:t>
      </w:r>
      <w:r w:rsidR="00BE0F8E">
        <w:rPr>
          <w:sz w:val="24"/>
          <w:szCs w:val="24"/>
        </w:rPr>
        <w:t xml:space="preserve"> principally</w:t>
      </w:r>
      <w:r w:rsidR="00C16A75">
        <w:rPr>
          <w:sz w:val="24"/>
          <w:szCs w:val="24"/>
        </w:rPr>
        <w:t xml:space="preserve"> as inter-state </w:t>
      </w:r>
      <w:r w:rsidR="009150AD">
        <w:rPr>
          <w:sz w:val="24"/>
          <w:szCs w:val="24"/>
        </w:rPr>
        <w:t>mechanisms advances a</w:t>
      </w:r>
      <w:r w:rsidR="00220D64">
        <w:rPr>
          <w:sz w:val="24"/>
          <w:szCs w:val="24"/>
        </w:rPr>
        <w:t xml:space="preserve"> much</w:t>
      </w:r>
      <w:r w:rsidR="009150AD">
        <w:rPr>
          <w:sz w:val="24"/>
          <w:szCs w:val="24"/>
        </w:rPr>
        <w:t xml:space="preserve"> more </w:t>
      </w:r>
      <w:r w:rsidR="00794C0E">
        <w:rPr>
          <w:sz w:val="24"/>
          <w:szCs w:val="24"/>
        </w:rPr>
        <w:t xml:space="preserve">communitarian </w:t>
      </w:r>
      <w:r w:rsidR="00C16A75">
        <w:rPr>
          <w:sz w:val="24"/>
          <w:szCs w:val="24"/>
        </w:rPr>
        <w:t>conceptualisation of European citizenship</w:t>
      </w:r>
      <w:r w:rsidR="00FD009E">
        <w:rPr>
          <w:sz w:val="24"/>
          <w:szCs w:val="24"/>
        </w:rPr>
        <w:t>.</w:t>
      </w:r>
      <w:r w:rsidR="00220D64">
        <w:rPr>
          <w:sz w:val="24"/>
          <w:szCs w:val="24"/>
        </w:rPr>
        <w:t xml:space="preserve"> </w:t>
      </w:r>
      <w:r w:rsidR="002C19CB">
        <w:rPr>
          <w:sz w:val="24"/>
          <w:szCs w:val="24"/>
        </w:rPr>
        <w:t xml:space="preserve">Rather than </w:t>
      </w:r>
      <w:r w:rsidR="00E43D26">
        <w:rPr>
          <w:sz w:val="24"/>
          <w:szCs w:val="24"/>
        </w:rPr>
        <w:t>emphasising</w:t>
      </w:r>
      <w:r w:rsidR="002C19CB">
        <w:rPr>
          <w:sz w:val="24"/>
          <w:szCs w:val="24"/>
        </w:rPr>
        <w:t xml:space="preserve"> </w:t>
      </w:r>
      <w:r w:rsidR="00362550">
        <w:rPr>
          <w:sz w:val="24"/>
          <w:szCs w:val="24"/>
        </w:rPr>
        <w:t xml:space="preserve">the place of individuals </w:t>
      </w:r>
      <w:r w:rsidR="00362550">
        <w:rPr>
          <w:sz w:val="24"/>
          <w:szCs w:val="24"/>
        </w:rPr>
        <w:lastRenderedPageBreak/>
        <w:t>(and the protection of individual rights) within the EU legal order,</w:t>
      </w:r>
      <w:r w:rsidR="00A755E6">
        <w:rPr>
          <w:sz w:val="24"/>
          <w:szCs w:val="24"/>
        </w:rPr>
        <w:t xml:space="preserve"> this modified view</w:t>
      </w:r>
      <w:r w:rsidR="00B70012">
        <w:rPr>
          <w:sz w:val="24"/>
          <w:szCs w:val="24"/>
        </w:rPr>
        <w:t xml:space="preserve"> acknowledges, as a shared public good, </w:t>
      </w:r>
      <w:r w:rsidR="002B626C">
        <w:rPr>
          <w:sz w:val="24"/>
          <w:szCs w:val="24"/>
        </w:rPr>
        <w:t>the significant collective contribution that private litigants made to ensuring state compliance with the Treaty of Rom</w:t>
      </w:r>
      <w:r w:rsidR="00E37255">
        <w:rPr>
          <w:sz w:val="24"/>
          <w:szCs w:val="24"/>
        </w:rPr>
        <w:t>e.</w:t>
      </w:r>
      <w:r w:rsidR="00BC65E4">
        <w:rPr>
          <w:sz w:val="24"/>
          <w:szCs w:val="24"/>
        </w:rPr>
        <w:t xml:space="preserve"> </w:t>
      </w:r>
      <w:r w:rsidR="00345751">
        <w:rPr>
          <w:sz w:val="24"/>
          <w:szCs w:val="24"/>
        </w:rPr>
        <w:t xml:space="preserve">As </w:t>
      </w:r>
      <w:r w:rsidR="002675A1" w:rsidRPr="002675A1">
        <w:rPr>
          <w:i/>
          <w:iCs/>
          <w:sz w:val="24"/>
          <w:szCs w:val="24"/>
        </w:rPr>
        <w:t>Great Judgments</w:t>
      </w:r>
      <w:r w:rsidR="002675A1">
        <w:rPr>
          <w:sz w:val="24"/>
          <w:szCs w:val="24"/>
        </w:rPr>
        <w:t xml:space="preserve"> asserts</w:t>
      </w:r>
      <w:r w:rsidR="00345751">
        <w:rPr>
          <w:sz w:val="24"/>
          <w:szCs w:val="24"/>
        </w:rPr>
        <w:t xml:space="preserve">, this ought to </w:t>
      </w:r>
      <w:r w:rsidR="00857893">
        <w:rPr>
          <w:sz w:val="24"/>
          <w:szCs w:val="24"/>
        </w:rPr>
        <w:t>feature more prominently in analyses of</w:t>
      </w:r>
      <w:r w:rsidR="002F3504">
        <w:rPr>
          <w:sz w:val="24"/>
          <w:szCs w:val="24"/>
        </w:rPr>
        <w:t xml:space="preserve"> the Court’s formative case law on direct effect and primacy.</w:t>
      </w:r>
      <w:r w:rsidR="00345751">
        <w:rPr>
          <w:sz w:val="24"/>
          <w:szCs w:val="24"/>
        </w:rPr>
        <w:t xml:space="preserve"> </w:t>
      </w:r>
    </w:p>
    <w:p w14:paraId="76750E6C" w14:textId="0BD2AE75" w:rsidR="00A805A2" w:rsidRPr="002B1515" w:rsidRDefault="004005CA" w:rsidP="00A840F4">
      <w:pPr>
        <w:spacing w:line="360" w:lineRule="auto"/>
        <w:ind w:firstLine="720"/>
        <w:jc w:val="both"/>
        <w:rPr>
          <w:sz w:val="24"/>
          <w:szCs w:val="24"/>
        </w:rPr>
      </w:pPr>
      <w:r>
        <w:rPr>
          <w:sz w:val="24"/>
          <w:szCs w:val="24"/>
        </w:rPr>
        <w:t xml:space="preserve">At the same time, however, there is something </w:t>
      </w:r>
      <w:r w:rsidR="00A91E12">
        <w:rPr>
          <w:sz w:val="24"/>
          <w:szCs w:val="24"/>
        </w:rPr>
        <w:t>all too</w:t>
      </w:r>
      <w:r>
        <w:rPr>
          <w:sz w:val="24"/>
          <w:szCs w:val="24"/>
        </w:rPr>
        <w:t xml:space="preserve"> familiar </w:t>
      </w:r>
      <w:r w:rsidR="00D45063">
        <w:rPr>
          <w:sz w:val="24"/>
          <w:szCs w:val="24"/>
        </w:rPr>
        <w:t>about</w:t>
      </w:r>
      <w:r>
        <w:rPr>
          <w:sz w:val="24"/>
          <w:szCs w:val="24"/>
        </w:rPr>
        <w:t xml:space="preserve"> Phelan’s book.</w:t>
      </w:r>
      <w:r w:rsidR="00C16ACC">
        <w:rPr>
          <w:sz w:val="24"/>
          <w:szCs w:val="24"/>
        </w:rPr>
        <w:t xml:space="preserve"> </w:t>
      </w:r>
      <w:r w:rsidR="00E600FD">
        <w:rPr>
          <w:sz w:val="24"/>
          <w:szCs w:val="24"/>
        </w:rPr>
        <w:t>Its</w:t>
      </w:r>
      <w:r w:rsidR="00461BA6">
        <w:rPr>
          <w:sz w:val="24"/>
          <w:szCs w:val="24"/>
        </w:rPr>
        <w:t xml:space="preserve"> conceptual framework and</w:t>
      </w:r>
      <w:r w:rsidR="00E600FD">
        <w:rPr>
          <w:sz w:val="24"/>
          <w:szCs w:val="24"/>
        </w:rPr>
        <w:t xml:space="preserve"> primary argument notwithstanding, </w:t>
      </w:r>
      <w:r w:rsidR="00E600FD" w:rsidRPr="00E600FD">
        <w:rPr>
          <w:i/>
          <w:iCs/>
          <w:sz w:val="24"/>
          <w:szCs w:val="24"/>
        </w:rPr>
        <w:t>Great Judgments</w:t>
      </w:r>
      <w:r w:rsidR="00E600FD">
        <w:rPr>
          <w:sz w:val="24"/>
          <w:szCs w:val="24"/>
        </w:rPr>
        <w:t xml:space="preserve"> shares much in common with the</w:t>
      </w:r>
      <w:r w:rsidR="006F2787">
        <w:rPr>
          <w:sz w:val="24"/>
          <w:szCs w:val="24"/>
        </w:rPr>
        <w:t xml:space="preserve"> legal scholarship that it critiques as ‘unsatisfying.’ </w:t>
      </w:r>
      <w:r w:rsidR="00AD1848">
        <w:rPr>
          <w:sz w:val="24"/>
          <w:szCs w:val="24"/>
        </w:rPr>
        <w:t>In the end</w:t>
      </w:r>
      <w:r w:rsidR="006F2787">
        <w:rPr>
          <w:sz w:val="24"/>
          <w:szCs w:val="24"/>
        </w:rPr>
        <w:t xml:space="preserve">, it </w:t>
      </w:r>
      <w:r w:rsidR="006012E2">
        <w:rPr>
          <w:sz w:val="24"/>
          <w:szCs w:val="24"/>
        </w:rPr>
        <w:t xml:space="preserve">simply </w:t>
      </w:r>
      <w:r w:rsidR="000D411A">
        <w:rPr>
          <w:sz w:val="24"/>
          <w:szCs w:val="24"/>
        </w:rPr>
        <w:t xml:space="preserve">explains the Court’s formative case law on the foundations of the European legal order in </w:t>
      </w:r>
      <w:r w:rsidR="00461BA6">
        <w:rPr>
          <w:sz w:val="24"/>
          <w:szCs w:val="24"/>
        </w:rPr>
        <w:t>well-known terms. It d</w:t>
      </w:r>
      <w:r w:rsidR="004F546C">
        <w:rPr>
          <w:sz w:val="24"/>
          <w:szCs w:val="24"/>
        </w:rPr>
        <w:t xml:space="preserve">escribes the Court of Justice </w:t>
      </w:r>
      <w:r w:rsidR="009B1BEF">
        <w:rPr>
          <w:sz w:val="24"/>
          <w:szCs w:val="24"/>
        </w:rPr>
        <w:t>that, with little sense of textual fidelity</w:t>
      </w:r>
      <w:r w:rsidR="00D765CA">
        <w:rPr>
          <w:sz w:val="24"/>
          <w:szCs w:val="24"/>
        </w:rPr>
        <w:t xml:space="preserve">, acted </w:t>
      </w:r>
      <w:r w:rsidR="003A4603">
        <w:rPr>
          <w:sz w:val="24"/>
          <w:szCs w:val="24"/>
        </w:rPr>
        <w:t xml:space="preserve">decisively early on to fill gaps in the Treaty framework </w:t>
      </w:r>
      <w:r w:rsidR="008C7DB6">
        <w:rPr>
          <w:sz w:val="24"/>
          <w:szCs w:val="24"/>
        </w:rPr>
        <w:t>to</w:t>
      </w:r>
      <w:r w:rsidR="00B13043">
        <w:rPr>
          <w:sz w:val="24"/>
          <w:szCs w:val="24"/>
        </w:rPr>
        <w:t xml:space="preserve"> transformative effect. Phelan doesn’</w:t>
      </w:r>
      <w:r w:rsidR="00515CB2">
        <w:rPr>
          <w:sz w:val="24"/>
          <w:szCs w:val="24"/>
        </w:rPr>
        <w:t xml:space="preserve">t challenge (or problematise) that story. </w:t>
      </w:r>
      <w:r w:rsidR="00515CB2" w:rsidRPr="008F0D3E">
        <w:rPr>
          <w:i/>
          <w:iCs/>
          <w:sz w:val="24"/>
          <w:szCs w:val="24"/>
        </w:rPr>
        <w:t>Great Judgments</w:t>
      </w:r>
      <w:r w:rsidR="00515CB2">
        <w:rPr>
          <w:sz w:val="24"/>
          <w:szCs w:val="24"/>
        </w:rPr>
        <w:t xml:space="preserve"> just asks us to </w:t>
      </w:r>
      <w:r w:rsidR="001871BD">
        <w:rPr>
          <w:sz w:val="24"/>
          <w:szCs w:val="24"/>
        </w:rPr>
        <w:t xml:space="preserve">take a </w:t>
      </w:r>
      <w:r w:rsidR="002E77A4">
        <w:rPr>
          <w:sz w:val="24"/>
          <w:szCs w:val="24"/>
        </w:rPr>
        <w:t>modified</w:t>
      </w:r>
      <w:r w:rsidR="001871BD">
        <w:rPr>
          <w:sz w:val="24"/>
          <w:szCs w:val="24"/>
        </w:rPr>
        <w:t xml:space="preserve"> view</w:t>
      </w:r>
      <w:r w:rsidR="003958FC">
        <w:rPr>
          <w:sz w:val="24"/>
          <w:szCs w:val="24"/>
        </w:rPr>
        <w:t xml:space="preserve"> </w:t>
      </w:r>
      <w:r w:rsidR="002E77A4">
        <w:rPr>
          <w:sz w:val="24"/>
          <w:szCs w:val="24"/>
        </w:rPr>
        <w:t>of</w:t>
      </w:r>
      <w:r w:rsidR="001871BD">
        <w:rPr>
          <w:sz w:val="24"/>
          <w:szCs w:val="24"/>
        </w:rPr>
        <w:t xml:space="preserve"> the underlying functional purpose that prompted </w:t>
      </w:r>
      <w:r w:rsidR="00934D54">
        <w:rPr>
          <w:sz w:val="24"/>
          <w:szCs w:val="24"/>
        </w:rPr>
        <w:t>the Court’s judicial creativity in the hands of a body of</w:t>
      </w:r>
      <w:r w:rsidR="00523688">
        <w:rPr>
          <w:sz w:val="24"/>
          <w:szCs w:val="24"/>
        </w:rPr>
        <w:t xml:space="preserve"> influential individuals, including Lecourt</w:t>
      </w:r>
      <w:r w:rsidR="00A751F3">
        <w:rPr>
          <w:sz w:val="24"/>
          <w:szCs w:val="24"/>
        </w:rPr>
        <w:t>.</w:t>
      </w:r>
      <w:r w:rsidR="00523688">
        <w:rPr>
          <w:sz w:val="24"/>
          <w:szCs w:val="24"/>
        </w:rPr>
        <w:t xml:space="preserve"> </w:t>
      </w:r>
      <w:r w:rsidR="008F0D3E">
        <w:rPr>
          <w:sz w:val="24"/>
          <w:szCs w:val="24"/>
        </w:rPr>
        <w:t>It is</w:t>
      </w:r>
      <w:r w:rsidR="00A751F3">
        <w:rPr>
          <w:sz w:val="24"/>
          <w:szCs w:val="24"/>
        </w:rPr>
        <w:t xml:space="preserve"> </w:t>
      </w:r>
      <w:r w:rsidR="008F0D3E">
        <w:rPr>
          <w:sz w:val="24"/>
          <w:szCs w:val="24"/>
        </w:rPr>
        <w:t xml:space="preserve">unsurprising, therefore, </w:t>
      </w:r>
      <w:r w:rsidR="00D87134">
        <w:rPr>
          <w:sz w:val="24"/>
          <w:szCs w:val="24"/>
        </w:rPr>
        <w:t xml:space="preserve">that </w:t>
      </w:r>
      <w:r w:rsidR="00C129EF">
        <w:rPr>
          <w:sz w:val="24"/>
          <w:szCs w:val="24"/>
        </w:rPr>
        <w:t xml:space="preserve">this new addition to the scholarship on the Luxembourg Court has been </w:t>
      </w:r>
      <w:r w:rsidR="009A561A">
        <w:rPr>
          <w:sz w:val="24"/>
          <w:szCs w:val="24"/>
        </w:rPr>
        <w:t xml:space="preserve">so </w:t>
      </w:r>
      <w:r w:rsidR="008956E5">
        <w:rPr>
          <w:sz w:val="24"/>
          <w:szCs w:val="24"/>
        </w:rPr>
        <w:t>positively received by leading proponents of the dominant ‘constitutionalisation’ narrative</w:t>
      </w:r>
      <w:r w:rsidR="00CD0798">
        <w:rPr>
          <w:sz w:val="24"/>
          <w:szCs w:val="24"/>
        </w:rPr>
        <w:t>.</w:t>
      </w:r>
      <w:r w:rsidR="00681E86">
        <w:rPr>
          <w:rStyle w:val="FootnoteReference"/>
          <w:sz w:val="24"/>
          <w:szCs w:val="24"/>
        </w:rPr>
        <w:footnoteReference w:id="41"/>
      </w:r>
      <w:r w:rsidR="00144D60">
        <w:rPr>
          <w:sz w:val="24"/>
          <w:szCs w:val="24"/>
        </w:rPr>
        <w:t xml:space="preserve"> In common with</w:t>
      </w:r>
      <w:r w:rsidR="001724D9">
        <w:rPr>
          <w:sz w:val="24"/>
          <w:szCs w:val="24"/>
        </w:rPr>
        <w:t xml:space="preserve"> the literature it purports to critique, </w:t>
      </w:r>
      <w:r w:rsidR="009A561A" w:rsidRPr="009A561A">
        <w:rPr>
          <w:i/>
          <w:iCs/>
          <w:sz w:val="24"/>
          <w:szCs w:val="24"/>
        </w:rPr>
        <w:t>Great Judgments</w:t>
      </w:r>
      <w:r w:rsidR="004337A5">
        <w:rPr>
          <w:sz w:val="24"/>
          <w:szCs w:val="24"/>
        </w:rPr>
        <w:t xml:space="preserve"> </w:t>
      </w:r>
      <w:r w:rsidR="00AD1848">
        <w:rPr>
          <w:sz w:val="24"/>
          <w:szCs w:val="24"/>
        </w:rPr>
        <w:t xml:space="preserve">ultimately </w:t>
      </w:r>
      <w:r w:rsidR="00A71FEA">
        <w:rPr>
          <w:sz w:val="24"/>
          <w:szCs w:val="24"/>
        </w:rPr>
        <w:t>performs</w:t>
      </w:r>
      <w:r w:rsidR="00192AA1">
        <w:rPr>
          <w:sz w:val="24"/>
          <w:szCs w:val="24"/>
        </w:rPr>
        <w:t xml:space="preserve"> </w:t>
      </w:r>
      <w:r w:rsidR="00A17EBE">
        <w:rPr>
          <w:sz w:val="24"/>
          <w:szCs w:val="24"/>
        </w:rPr>
        <w:t xml:space="preserve">for EU scholars </w:t>
      </w:r>
      <w:r w:rsidR="00192AA1">
        <w:rPr>
          <w:sz w:val="24"/>
          <w:szCs w:val="24"/>
        </w:rPr>
        <w:t>a</w:t>
      </w:r>
      <w:r w:rsidR="008D57D5">
        <w:rPr>
          <w:sz w:val="24"/>
          <w:szCs w:val="24"/>
        </w:rPr>
        <w:t xml:space="preserve">n analogous </w:t>
      </w:r>
      <w:r w:rsidR="00192AA1">
        <w:rPr>
          <w:sz w:val="24"/>
          <w:szCs w:val="24"/>
        </w:rPr>
        <w:t xml:space="preserve">function to that which </w:t>
      </w:r>
      <w:r w:rsidR="00192AA1" w:rsidRPr="003140EE">
        <w:rPr>
          <w:sz w:val="24"/>
          <w:szCs w:val="24"/>
        </w:rPr>
        <w:t xml:space="preserve">Livy’s </w:t>
      </w:r>
      <w:r w:rsidR="006F4636" w:rsidRPr="003140EE">
        <w:rPr>
          <w:rFonts w:cs="Arial"/>
          <w:i/>
          <w:iCs/>
          <w:color w:val="202122"/>
          <w:sz w:val="24"/>
          <w:szCs w:val="24"/>
          <w:shd w:val="clear" w:color="auto" w:fill="FFFFFF"/>
        </w:rPr>
        <w:t>History of Rome</w:t>
      </w:r>
      <w:r w:rsidR="00C41C3E" w:rsidRPr="003140EE">
        <w:rPr>
          <w:rFonts w:cs="Arial"/>
          <w:b/>
          <w:bCs/>
          <w:i/>
          <w:iCs/>
          <w:color w:val="202122"/>
          <w:sz w:val="24"/>
          <w:szCs w:val="24"/>
          <w:shd w:val="clear" w:color="auto" w:fill="FFFFFF"/>
        </w:rPr>
        <w:t xml:space="preserve"> </w:t>
      </w:r>
      <w:r w:rsidR="00192AA1">
        <w:rPr>
          <w:sz w:val="24"/>
          <w:szCs w:val="24"/>
        </w:rPr>
        <w:t xml:space="preserve">discharged for Roman citizens: </w:t>
      </w:r>
      <w:r w:rsidR="002D7055">
        <w:rPr>
          <w:sz w:val="24"/>
          <w:szCs w:val="24"/>
        </w:rPr>
        <w:t xml:space="preserve">it </w:t>
      </w:r>
      <w:r w:rsidR="002D7055" w:rsidRPr="001B565A">
        <w:rPr>
          <w:i/>
          <w:iCs/>
          <w:sz w:val="24"/>
          <w:szCs w:val="24"/>
        </w:rPr>
        <w:t>sustains</w:t>
      </w:r>
      <w:r w:rsidR="002D7055">
        <w:rPr>
          <w:sz w:val="24"/>
          <w:szCs w:val="24"/>
        </w:rPr>
        <w:t xml:space="preserve"> rather than problematises</w:t>
      </w:r>
      <w:r w:rsidR="009F7089">
        <w:rPr>
          <w:sz w:val="24"/>
          <w:szCs w:val="24"/>
        </w:rPr>
        <w:t xml:space="preserve"> sociological</w:t>
      </w:r>
      <w:r w:rsidR="00C70AAC">
        <w:rPr>
          <w:sz w:val="24"/>
          <w:szCs w:val="24"/>
        </w:rPr>
        <w:t xml:space="preserve"> foundations</w:t>
      </w:r>
      <w:r w:rsidR="00CD5C5B">
        <w:rPr>
          <w:sz w:val="24"/>
          <w:szCs w:val="24"/>
        </w:rPr>
        <w:t>. The</w:t>
      </w:r>
      <w:r w:rsidR="002D7055">
        <w:rPr>
          <w:sz w:val="24"/>
          <w:szCs w:val="24"/>
        </w:rPr>
        <w:t xml:space="preserve"> Court’s early case law on direct effect and </w:t>
      </w:r>
      <w:r w:rsidR="0034527E">
        <w:rPr>
          <w:sz w:val="24"/>
          <w:szCs w:val="24"/>
        </w:rPr>
        <w:t>primacy</w:t>
      </w:r>
      <w:r w:rsidR="002D7055">
        <w:rPr>
          <w:sz w:val="24"/>
          <w:szCs w:val="24"/>
        </w:rPr>
        <w:t xml:space="preserve"> as the basis of the European legal order</w:t>
      </w:r>
      <w:r w:rsidR="00CD5C5B">
        <w:rPr>
          <w:sz w:val="24"/>
          <w:szCs w:val="24"/>
        </w:rPr>
        <w:t xml:space="preserve"> is</w:t>
      </w:r>
      <w:r w:rsidR="002D7055">
        <w:rPr>
          <w:sz w:val="24"/>
          <w:szCs w:val="24"/>
        </w:rPr>
        <w:t xml:space="preserve"> </w:t>
      </w:r>
      <w:r w:rsidR="00A96D9D">
        <w:rPr>
          <w:sz w:val="24"/>
          <w:szCs w:val="24"/>
        </w:rPr>
        <w:t>rethought, but</w:t>
      </w:r>
      <w:r w:rsidR="004F76E8">
        <w:rPr>
          <w:sz w:val="24"/>
          <w:szCs w:val="24"/>
        </w:rPr>
        <w:t xml:space="preserve"> certainly</w:t>
      </w:r>
      <w:r w:rsidR="00A96D9D">
        <w:rPr>
          <w:sz w:val="24"/>
          <w:szCs w:val="24"/>
        </w:rPr>
        <w:t xml:space="preserve"> not challenged. </w:t>
      </w:r>
      <w:r w:rsidR="00CF4806">
        <w:rPr>
          <w:sz w:val="24"/>
          <w:szCs w:val="24"/>
        </w:rPr>
        <w:t xml:space="preserve"> </w:t>
      </w:r>
    </w:p>
    <w:sectPr w:rsidR="00A805A2" w:rsidRPr="002B15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F653" w14:textId="77777777" w:rsidR="00084075" w:rsidRDefault="00084075" w:rsidP="007E4F68">
      <w:pPr>
        <w:spacing w:after="0" w:line="240" w:lineRule="auto"/>
      </w:pPr>
      <w:r>
        <w:separator/>
      </w:r>
    </w:p>
  </w:endnote>
  <w:endnote w:type="continuationSeparator" w:id="0">
    <w:p w14:paraId="70E634C6" w14:textId="77777777" w:rsidR="00084075" w:rsidRDefault="00084075" w:rsidP="007E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QuadraatPro">
    <w:altName w:val="Calibri"/>
    <w:panose1 w:val="00000000000000000000"/>
    <w:charset w:val="00"/>
    <w:family w:val="auto"/>
    <w:notTrueType/>
    <w:pitch w:val="default"/>
    <w:sig w:usb0="00000003" w:usb1="00000000" w:usb2="00000000" w:usb3="00000000" w:csb0="00000001" w:csb1="00000000"/>
  </w:font>
  <w:font w:name="QuadraatPro-Ita">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FA1F" w14:textId="77777777" w:rsidR="00084075" w:rsidRDefault="00084075" w:rsidP="007E4F68">
      <w:pPr>
        <w:spacing w:after="0" w:line="240" w:lineRule="auto"/>
      </w:pPr>
      <w:r>
        <w:separator/>
      </w:r>
    </w:p>
  </w:footnote>
  <w:footnote w:type="continuationSeparator" w:id="0">
    <w:p w14:paraId="349A611A" w14:textId="77777777" w:rsidR="00084075" w:rsidRDefault="00084075" w:rsidP="007E4F68">
      <w:pPr>
        <w:spacing w:after="0" w:line="240" w:lineRule="auto"/>
      </w:pPr>
      <w:r>
        <w:continuationSeparator/>
      </w:r>
    </w:p>
  </w:footnote>
  <w:footnote w:id="1">
    <w:p w14:paraId="20D4303F" w14:textId="7A3742B0" w:rsidR="007E4F68" w:rsidRPr="00011FCF" w:rsidRDefault="007E4F68" w:rsidP="006B7606">
      <w:pPr>
        <w:pStyle w:val="FootnoteText"/>
        <w:jc w:val="both"/>
      </w:pPr>
      <w:r w:rsidRPr="007E4F68">
        <w:rPr>
          <w:rStyle w:val="FootnoteReference"/>
        </w:rPr>
        <w:sym w:font="Symbol" w:char="F02A"/>
      </w:r>
      <w:r>
        <w:t xml:space="preserve"> </w:t>
      </w:r>
      <w:r w:rsidR="00A041B8">
        <w:t xml:space="preserve">Senior Lecturer, University of Liverpool. </w:t>
      </w:r>
      <w:r w:rsidR="00A041B8" w:rsidRPr="00011FCF">
        <w:t xml:space="preserve">Contact: </w:t>
      </w:r>
      <w:hyperlink r:id="rId1" w:history="1">
        <w:r w:rsidR="00A041B8" w:rsidRPr="00011FCF">
          <w:rPr>
            <w:rStyle w:val="Hyperlink"/>
          </w:rPr>
          <w:t>Thomas.Horsley@liverpool.ac.uk</w:t>
        </w:r>
      </w:hyperlink>
      <w:r w:rsidR="00A041B8" w:rsidRPr="00011FCF">
        <w:t xml:space="preserve"> </w:t>
      </w:r>
      <w:r w:rsidR="0028561D">
        <w:t>I am grateful to</w:t>
      </w:r>
      <w:r w:rsidR="00011FCF">
        <w:t xml:space="preserve"> the editors for</w:t>
      </w:r>
      <w:r w:rsidR="00F837E5">
        <w:t xml:space="preserve"> their</w:t>
      </w:r>
      <w:r w:rsidR="00011FCF">
        <w:t xml:space="preserve"> comments on an earlier draft. </w:t>
      </w:r>
    </w:p>
  </w:footnote>
  <w:footnote w:id="2">
    <w:p w14:paraId="2D6AD284" w14:textId="2E92E8FF" w:rsidR="00447C0D" w:rsidRPr="00216247" w:rsidRDefault="00447C0D" w:rsidP="006B7606">
      <w:pPr>
        <w:pStyle w:val="FootnoteText"/>
        <w:jc w:val="both"/>
        <w:rPr>
          <w:lang w:val="nl-NL"/>
        </w:rPr>
      </w:pPr>
      <w:r>
        <w:rPr>
          <w:rStyle w:val="FootnoteReference"/>
        </w:rPr>
        <w:footnoteRef/>
      </w:r>
      <w:r w:rsidRPr="00216247">
        <w:rPr>
          <w:lang w:val="nl-NL"/>
        </w:rPr>
        <w:t xml:space="preserve"> </w:t>
      </w:r>
      <w:r w:rsidR="00216247" w:rsidRPr="00216247">
        <w:rPr>
          <w:lang w:val="nl-NL"/>
        </w:rPr>
        <w:t>Case 26</w:t>
      </w:r>
      <w:r w:rsidR="00D216A9">
        <w:rPr>
          <w:lang w:val="nl-NL"/>
        </w:rPr>
        <w:t>/6</w:t>
      </w:r>
      <w:r w:rsidR="00216247" w:rsidRPr="00216247">
        <w:rPr>
          <w:lang w:val="nl-NL"/>
        </w:rPr>
        <w:t xml:space="preserve">2 </w:t>
      </w:r>
      <w:r w:rsidR="00216247" w:rsidRPr="00216247">
        <w:rPr>
          <w:i/>
          <w:iCs/>
          <w:lang w:val="nl-NL"/>
        </w:rPr>
        <w:t xml:space="preserve">Van </w:t>
      </w:r>
      <w:proofErr w:type="spellStart"/>
      <w:r w:rsidR="00216247" w:rsidRPr="00216247">
        <w:rPr>
          <w:i/>
          <w:iCs/>
          <w:lang w:val="nl-NL"/>
        </w:rPr>
        <w:t>Gend</w:t>
      </w:r>
      <w:proofErr w:type="spellEnd"/>
      <w:r w:rsidR="00216247" w:rsidRPr="00216247">
        <w:rPr>
          <w:i/>
          <w:iCs/>
          <w:lang w:val="nl-NL"/>
        </w:rPr>
        <w:t xml:space="preserve"> en Loos</w:t>
      </w:r>
      <w:r w:rsidR="00216247">
        <w:rPr>
          <w:lang w:val="nl-NL"/>
        </w:rPr>
        <w:t xml:space="preserve"> </w:t>
      </w:r>
      <w:r w:rsidR="00216247" w:rsidRPr="00216247">
        <w:rPr>
          <w:lang w:val="nl-NL"/>
        </w:rPr>
        <w:t>ECLI:EU:C:1963:1</w:t>
      </w:r>
      <w:r w:rsidR="00216247">
        <w:rPr>
          <w:lang w:val="nl-NL"/>
        </w:rPr>
        <w:t>.</w:t>
      </w:r>
    </w:p>
  </w:footnote>
  <w:footnote w:id="3">
    <w:p w14:paraId="67F965E6" w14:textId="1FFB7991" w:rsidR="00447C0D" w:rsidRPr="00484C58" w:rsidRDefault="00447C0D" w:rsidP="006B7606">
      <w:pPr>
        <w:pStyle w:val="FootnoteText"/>
        <w:jc w:val="both"/>
        <w:rPr>
          <w:lang w:val="it-IT"/>
        </w:rPr>
      </w:pPr>
      <w:r>
        <w:rPr>
          <w:rStyle w:val="FootnoteReference"/>
        </w:rPr>
        <w:footnoteRef/>
      </w:r>
      <w:r w:rsidRPr="00484C58">
        <w:rPr>
          <w:lang w:val="it-IT"/>
        </w:rPr>
        <w:t xml:space="preserve"> </w:t>
      </w:r>
      <w:r w:rsidR="00D216A9" w:rsidRPr="00484C58">
        <w:rPr>
          <w:lang w:val="it-IT"/>
        </w:rPr>
        <w:t xml:space="preserve">Case 6/64 Costa v E.N.E.L </w:t>
      </w:r>
      <w:r w:rsidR="00484C58" w:rsidRPr="00484C58">
        <w:rPr>
          <w:lang w:val="it-IT"/>
        </w:rPr>
        <w:t>ECLI:EU:C:1964:66</w:t>
      </w:r>
      <w:r w:rsidR="00484C58">
        <w:rPr>
          <w:lang w:val="it-IT"/>
        </w:rPr>
        <w:t>.</w:t>
      </w:r>
    </w:p>
  </w:footnote>
  <w:footnote w:id="4">
    <w:p w14:paraId="0A822970" w14:textId="46AFB742" w:rsidR="00C46A7C" w:rsidRDefault="00C46A7C" w:rsidP="006B7606">
      <w:pPr>
        <w:pStyle w:val="FootnoteText"/>
        <w:jc w:val="both"/>
      </w:pPr>
      <w:r>
        <w:rPr>
          <w:rStyle w:val="FootnoteReference"/>
        </w:rPr>
        <w:footnoteRef/>
      </w:r>
      <w:r>
        <w:t xml:space="preserve"> </w:t>
      </w:r>
      <w:r w:rsidR="006604BA">
        <w:t xml:space="preserve">Case </w:t>
      </w:r>
      <w:r w:rsidR="00CC7917">
        <w:t xml:space="preserve">7/61 </w:t>
      </w:r>
      <w:r w:rsidR="00CC7917" w:rsidRPr="00CC7917">
        <w:rPr>
          <w:i/>
          <w:iCs/>
        </w:rPr>
        <w:t>Commission v Italy</w:t>
      </w:r>
      <w:r w:rsidR="00CC7917">
        <w:t xml:space="preserve"> </w:t>
      </w:r>
      <w:r w:rsidR="00CC7917" w:rsidRPr="00CC7917">
        <w:t>ECLI:EU:C:1968:51</w:t>
      </w:r>
    </w:p>
  </w:footnote>
  <w:footnote w:id="5">
    <w:p w14:paraId="0ED02E29" w14:textId="124C5DB4" w:rsidR="00C46A7C" w:rsidRDefault="00C46A7C" w:rsidP="006B7606">
      <w:pPr>
        <w:pStyle w:val="FootnoteText"/>
        <w:jc w:val="both"/>
      </w:pPr>
      <w:r>
        <w:rPr>
          <w:rStyle w:val="FootnoteReference"/>
        </w:rPr>
        <w:footnoteRef/>
      </w:r>
      <w:r>
        <w:t xml:space="preserve"> </w:t>
      </w:r>
      <w:r w:rsidR="0014512F" w:rsidRPr="0014512F">
        <w:t xml:space="preserve">Joined </w:t>
      </w:r>
      <w:r w:rsidR="0014512F">
        <w:t>C</w:t>
      </w:r>
      <w:r w:rsidR="0014512F" w:rsidRPr="0014512F">
        <w:t>ases 90/63 and 91/63</w:t>
      </w:r>
      <w:r w:rsidR="0014512F">
        <w:t xml:space="preserve"> </w:t>
      </w:r>
      <w:r w:rsidR="0014512F" w:rsidRPr="00314ED3">
        <w:rPr>
          <w:i/>
          <w:iCs/>
        </w:rPr>
        <w:t xml:space="preserve">Commission v Luxembourg </w:t>
      </w:r>
      <w:r w:rsidR="0012631C" w:rsidRPr="00314ED3">
        <w:rPr>
          <w:i/>
          <w:iCs/>
        </w:rPr>
        <w:t>and Belgium</w:t>
      </w:r>
      <w:r w:rsidR="0012631C">
        <w:t xml:space="preserve"> </w:t>
      </w:r>
      <w:r w:rsidR="0012631C" w:rsidRPr="0012631C">
        <w:t>ECLI:EU:C:1964:80</w:t>
      </w:r>
      <w:r w:rsidR="0012631C">
        <w:t>.</w:t>
      </w:r>
    </w:p>
  </w:footnote>
  <w:footnote w:id="6">
    <w:p w14:paraId="504EF028" w14:textId="11CBA787" w:rsidR="00C46A7C" w:rsidRDefault="00C46A7C" w:rsidP="006B7606">
      <w:pPr>
        <w:pStyle w:val="FootnoteText"/>
        <w:jc w:val="both"/>
      </w:pPr>
      <w:r>
        <w:rPr>
          <w:rStyle w:val="FootnoteReference"/>
        </w:rPr>
        <w:footnoteRef/>
      </w:r>
      <w:r>
        <w:t xml:space="preserve"> </w:t>
      </w:r>
      <w:r w:rsidR="00E5307D" w:rsidRPr="00E5307D">
        <w:t>Case 232/78</w:t>
      </w:r>
      <w:r w:rsidR="00E5307D">
        <w:t xml:space="preserve"> </w:t>
      </w:r>
      <w:r w:rsidR="00E5307D" w:rsidRPr="00314ED3">
        <w:rPr>
          <w:i/>
          <w:iCs/>
        </w:rPr>
        <w:t>Commission v France</w:t>
      </w:r>
      <w:r w:rsidR="00E5307D">
        <w:t xml:space="preserve"> </w:t>
      </w:r>
      <w:r w:rsidR="00314ED3" w:rsidRPr="00314ED3">
        <w:t>ECLI:EU:C:1979:215</w:t>
      </w:r>
      <w:r w:rsidR="00314ED3">
        <w:t>.</w:t>
      </w:r>
    </w:p>
  </w:footnote>
  <w:footnote w:id="7">
    <w:p w14:paraId="0414E647" w14:textId="6E8B0DAE" w:rsidR="0081624C" w:rsidRDefault="0081624C" w:rsidP="006B7606">
      <w:pPr>
        <w:pStyle w:val="FootnoteText"/>
        <w:jc w:val="both"/>
      </w:pPr>
      <w:r>
        <w:rPr>
          <w:rStyle w:val="FootnoteReference"/>
        </w:rPr>
        <w:footnoteRef/>
      </w:r>
      <w:r w:rsidRPr="004D3E43">
        <w:t xml:space="preserve"> See</w:t>
      </w:r>
      <w:r w:rsidR="004135ED" w:rsidRPr="004D3E43">
        <w:t xml:space="preserve"> e.g.,</w:t>
      </w:r>
      <w:r w:rsidR="00777809" w:rsidRPr="004D3E43">
        <w:t xml:space="preserve"> J.H.H Weiler, </w:t>
      </w:r>
      <w:r w:rsidR="004D3E43" w:rsidRPr="004D3E43">
        <w:t>‘Th</w:t>
      </w:r>
      <w:r w:rsidR="004D3E43">
        <w:t xml:space="preserve">e Transformation of Europe’ (1991) </w:t>
      </w:r>
      <w:r w:rsidR="00536DC6">
        <w:t xml:space="preserve">100 </w:t>
      </w:r>
      <w:r w:rsidR="004D3E43" w:rsidRPr="00536DC6">
        <w:rPr>
          <w:i/>
          <w:iCs/>
        </w:rPr>
        <w:t>Yale Law Journal</w:t>
      </w:r>
      <w:r w:rsidR="004D3E43">
        <w:t xml:space="preserve"> </w:t>
      </w:r>
      <w:r w:rsidR="00536DC6">
        <w:t xml:space="preserve">2403 and </w:t>
      </w:r>
      <w:r w:rsidR="00777809" w:rsidRPr="0078159C">
        <w:t xml:space="preserve">K. Alter, </w:t>
      </w:r>
      <w:r w:rsidR="00777809" w:rsidRPr="0078159C">
        <w:rPr>
          <w:i/>
          <w:iCs/>
        </w:rPr>
        <w:t>Establishing the Supremacy of European Law</w:t>
      </w:r>
      <w:r w:rsidR="00777809" w:rsidRPr="0078159C">
        <w:t xml:space="preserve"> (</w:t>
      </w:r>
      <w:r w:rsidR="005444F8">
        <w:t xml:space="preserve">Oxford: </w:t>
      </w:r>
      <w:r w:rsidR="00777809" w:rsidRPr="0078159C">
        <w:t>Oxford University Press, 2001)</w:t>
      </w:r>
      <w:r w:rsidR="00536DC6">
        <w:t>.</w:t>
      </w:r>
      <w:r w:rsidR="00F85AD0">
        <w:t xml:space="preserve"> See also B. de Witte, ‘</w:t>
      </w:r>
      <w:r w:rsidR="00513423">
        <w:t>Direct Effect, Primacy and the Nature of the Legal Order’ in P Craig and G de B</w:t>
      </w:r>
      <w:r w:rsidR="00E47D76" w:rsidRPr="00E47D76">
        <w:t>ú</w:t>
      </w:r>
      <w:r w:rsidR="00513423">
        <w:t>rca</w:t>
      </w:r>
      <w:r w:rsidR="00E47D76">
        <w:t xml:space="preserve"> (eds.)</w:t>
      </w:r>
      <w:r w:rsidR="00513423">
        <w:t xml:space="preserve">, </w:t>
      </w:r>
      <w:r w:rsidR="00513423" w:rsidRPr="00513423">
        <w:rPr>
          <w:i/>
          <w:iCs/>
        </w:rPr>
        <w:t>The Evolution of EU Law</w:t>
      </w:r>
      <w:r w:rsidR="00513423">
        <w:t xml:space="preserve"> (Oxford: </w:t>
      </w:r>
      <w:r w:rsidR="00077E7D">
        <w:t>Oxford University Press</w:t>
      </w:r>
      <w:r w:rsidR="00513423">
        <w:t>, 2011).</w:t>
      </w:r>
    </w:p>
  </w:footnote>
  <w:footnote w:id="8">
    <w:p w14:paraId="5765B2ED" w14:textId="24E5DC1A" w:rsidR="00687D1F" w:rsidRDefault="00687D1F" w:rsidP="006B7606">
      <w:pPr>
        <w:pStyle w:val="FootnoteText"/>
        <w:jc w:val="both"/>
      </w:pPr>
      <w:r>
        <w:rPr>
          <w:rStyle w:val="FootnoteReference"/>
        </w:rPr>
        <w:footnoteRef/>
      </w:r>
      <w:r>
        <w:t xml:space="preserve"> </w:t>
      </w:r>
      <w:r w:rsidR="00AA7F55">
        <w:t>At points, Phelan is</w:t>
      </w:r>
      <w:r w:rsidR="004871FF">
        <w:t xml:space="preserve"> rather</w:t>
      </w:r>
      <w:r w:rsidR="00AA7F55">
        <w:t xml:space="preserve"> forthright in his criticism of existing </w:t>
      </w:r>
      <w:r w:rsidR="00E83531">
        <w:t>perspectives</w:t>
      </w:r>
      <w:r w:rsidR="004871FF">
        <w:t>, writing of</w:t>
      </w:r>
      <w:r w:rsidR="00D827F5">
        <w:t xml:space="preserve"> </w:t>
      </w:r>
      <w:r w:rsidR="00D95645">
        <w:t>‘persistent neglect’</w:t>
      </w:r>
      <w:r w:rsidR="00A66423">
        <w:t xml:space="preserve"> (p.222)</w:t>
      </w:r>
      <w:r w:rsidR="00D95645">
        <w:t xml:space="preserve"> and</w:t>
      </w:r>
      <w:r w:rsidR="00503694">
        <w:t xml:space="preserve"> ‘intellectual flaws’</w:t>
      </w:r>
      <w:r w:rsidR="00A66423">
        <w:t xml:space="preserve"> (p. 223)</w:t>
      </w:r>
      <w:r w:rsidR="004871FF">
        <w:t>.</w:t>
      </w:r>
    </w:p>
  </w:footnote>
  <w:footnote w:id="9">
    <w:p w14:paraId="44684ECA" w14:textId="0116B617" w:rsidR="00266BA4" w:rsidRPr="00A669A3" w:rsidRDefault="00266BA4" w:rsidP="006B7606">
      <w:pPr>
        <w:pStyle w:val="FootnoteText"/>
        <w:jc w:val="both"/>
      </w:pPr>
      <w:r>
        <w:rPr>
          <w:rStyle w:val="FootnoteReference"/>
        </w:rPr>
        <w:footnoteRef/>
      </w:r>
      <w:r w:rsidRPr="00266BA4">
        <w:t xml:space="preserve"> See e.g.</w:t>
      </w:r>
      <w:r w:rsidR="000D33CF">
        <w:t>,</w:t>
      </w:r>
      <w:r w:rsidRPr="00266BA4">
        <w:t xml:space="preserve"> Alter, </w:t>
      </w:r>
      <w:r w:rsidR="00FF3540" w:rsidRPr="00FF3540">
        <w:rPr>
          <w:i/>
          <w:iCs/>
        </w:rPr>
        <w:t xml:space="preserve">Establishing the Supremacy of European </w:t>
      </w:r>
      <w:r w:rsidR="00FF3540" w:rsidRPr="00BF3D25">
        <w:t>Law</w:t>
      </w:r>
      <w:r w:rsidR="00BF3D25">
        <w:t xml:space="preserve">, </w:t>
      </w:r>
      <w:r w:rsidR="00A669A3" w:rsidRPr="00BF3D25">
        <w:t>note</w:t>
      </w:r>
      <w:r w:rsidR="000107F6">
        <w:t xml:space="preserve"> 6, above.</w:t>
      </w:r>
    </w:p>
  </w:footnote>
  <w:footnote w:id="10">
    <w:p w14:paraId="44C87F8C" w14:textId="39FA8E3F" w:rsidR="00281289" w:rsidRPr="0069739F" w:rsidRDefault="00281289" w:rsidP="006B7606">
      <w:pPr>
        <w:pStyle w:val="FootnoteText"/>
        <w:tabs>
          <w:tab w:val="right" w:pos="9026"/>
        </w:tabs>
        <w:jc w:val="both"/>
      </w:pPr>
      <w:r>
        <w:rPr>
          <w:rStyle w:val="FootnoteReference"/>
        </w:rPr>
        <w:footnoteRef/>
      </w:r>
      <w:r>
        <w:t xml:space="preserve"> </w:t>
      </w:r>
      <w:r w:rsidR="00484C58">
        <w:t>E.g.</w:t>
      </w:r>
      <w:r w:rsidR="00E83531">
        <w:t>,</w:t>
      </w:r>
      <w:r w:rsidR="00484C58">
        <w:t xml:space="preserve"> </w:t>
      </w:r>
      <w:r w:rsidR="00F32E23" w:rsidRPr="009F279E">
        <w:t>M</w:t>
      </w:r>
      <w:r w:rsidR="00E83531">
        <w:t>.</w:t>
      </w:r>
      <w:r w:rsidR="00F32E23" w:rsidRPr="009F279E">
        <w:t xml:space="preserve"> </w:t>
      </w:r>
      <w:r w:rsidR="00F32E23" w:rsidRPr="0069739F">
        <w:t>Rasmussen, ‘</w:t>
      </w:r>
      <w:r w:rsidR="00F32E23" w:rsidRPr="006676BC">
        <w:t xml:space="preserve">The Origins of a Legal Revolution: The Early History of the European Court of Justice’ (2008) 14(2) </w:t>
      </w:r>
      <w:r w:rsidR="00F32E23" w:rsidRPr="006676BC">
        <w:rPr>
          <w:i/>
          <w:iCs/>
        </w:rPr>
        <w:t>Journal of European Integration History</w:t>
      </w:r>
      <w:r w:rsidR="00F32E23" w:rsidRPr="006676BC">
        <w:t xml:space="preserve"> 7</w:t>
      </w:r>
      <w:r w:rsidR="00BF3D25">
        <w:t>;</w:t>
      </w:r>
      <w:r w:rsidR="00693C32">
        <w:t xml:space="preserve"> </w:t>
      </w:r>
      <w:r w:rsidR="003C0CA6">
        <w:t>B. Davies</w:t>
      </w:r>
      <w:r w:rsidR="003C0CA6" w:rsidRPr="00751906">
        <w:rPr>
          <w:i/>
          <w:iCs/>
        </w:rPr>
        <w:t>, Resisting the European Court of Justice</w:t>
      </w:r>
      <w:r w:rsidR="00751906" w:rsidRPr="00751906">
        <w:rPr>
          <w:i/>
          <w:iCs/>
        </w:rPr>
        <w:t>: West Germany’s Confrontation with European Law, 1949-1979</w:t>
      </w:r>
      <w:r w:rsidR="00751906">
        <w:t xml:space="preserve"> (Cambridge: Cambridge University Press, 2012)</w:t>
      </w:r>
      <w:r w:rsidR="00077E7D">
        <w:t xml:space="preserve">; </w:t>
      </w:r>
      <w:r w:rsidR="006676BC" w:rsidRPr="006676BC">
        <w:t xml:space="preserve">A. </w:t>
      </w:r>
      <w:proofErr w:type="spellStart"/>
      <w:r w:rsidR="006676BC" w:rsidRPr="006676BC">
        <w:t>Vauchez</w:t>
      </w:r>
      <w:proofErr w:type="spellEnd"/>
      <w:r w:rsidR="006676BC" w:rsidRPr="006676BC">
        <w:t xml:space="preserve">, </w:t>
      </w:r>
      <w:r w:rsidR="006676BC" w:rsidRPr="006676BC">
        <w:rPr>
          <w:i/>
          <w:iCs/>
        </w:rPr>
        <w:t>Brokering Europe: Euro-Lawyers and the Making of a Transnational Polity</w:t>
      </w:r>
      <w:r w:rsidR="006676BC" w:rsidRPr="006676BC">
        <w:t xml:space="preserve"> (Cambridge: Cambridge University Press, 2015)</w:t>
      </w:r>
      <w:r w:rsidR="00077E7D">
        <w:t>;</w:t>
      </w:r>
      <w:r w:rsidR="00A54D05">
        <w:t xml:space="preserve"> D Sindbjerg Martinsen, </w:t>
      </w:r>
      <w:r w:rsidR="00A54D05" w:rsidRPr="003E535F">
        <w:rPr>
          <w:i/>
          <w:iCs/>
        </w:rPr>
        <w:t>An Ever More Powerful Court? The Political Constraints of Legal Integration in the European Union</w:t>
      </w:r>
      <w:r w:rsidR="00A54D05">
        <w:t xml:space="preserve"> (Oxford: Oxford University Press, 2015)</w:t>
      </w:r>
      <w:r w:rsidR="00077E7D">
        <w:t>;</w:t>
      </w:r>
      <w:r w:rsidR="003E535F">
        <w:t xml:space="preserve"> </w:t>
      </w:r>
      <w:r w:rsidR="006676BC" w:rsidRPr="006676BC">
        <w:rPr>
          <w:rFonts w:cs="QuadraatPro"/>
        </w:rPr>
        <w:t xml:space="preserve">D. Grimm, </w:t>
      </w:r>
      <w:r w:rsidR="006676BC" w:rsidRPr="006676BC">
        <w:rPr>
          <w:rFonts w:cs="QuadraatPro"/>
          <w:i/>
          <w:iCs/>
        </w:rPr>
        <w:t>T</w:t>
      </w:r>
      <w:r w:rsidR="006676BC" w:rsidRPr="006676BC">
        <w:rPr>
          <w:rFonts w:cs="QuadraatPro-Ita"/>
          <w:i/>
          <w:iCs/>
        </w:rPr>
        <w:t>he Constitution of European Democracy</w:t>
      </w:r>
      <w:r w:rsidR="006676BC" w:rsidRPr="006676BC">
        <w:rPr>
          <w:rFonts w:cs="QuadraatPro-Ita"/>
        </w:rPr>
        <w:t xml:space="preserve"> </w:t>
      </w:r>
      <w:r w:rsidR="006676BC" w:rsidRPr="006676BC">
        <w:rPr>
          <w:rFonts w:cs="QuadraatPro"/>
        </w:rPr>
        <w:t>(Oxford: Oxford University Press, 2017)</w:t>
      </w:r>
      <w:r w:rsidR="00077E7D">
        <w:t>;</w:t>
      </w:r>
      <w:r w:rsidR="00F20476">
        <w:t xml:space="preserve"> T. Horsley</w:t>
      </w:r>
      <w:r w:rsidR="00F20476" w:rsidRPr="000077D2">
        <w:rPr>
          <w:i/>
          <w:iCs/>
        </w:rPr>
        <w:t>, The Court of Justice of the European Union as an Institutional Actor: Judicial Policymaking and its Limits</w:t>
      </w:r>
      <w:r w:rsidR="00F20476">
        <w:t xml:space="preserve"> (Cambridge: Cambridge University Press, 2018)</w:t>
      </w:r>
      <w:r w:rsidR="00077E7D">
        <w:t>;</w:t>
      </w:r>
      <w:r w:rsidR="00314BBA">
        <w:t xml:space="preserve"> </w:t>
      </w:r>
      <w:r w:rsidR="002F07AD" w:rsidRPr="006676BC">
        <w:t xml:space="preserve">S. K. Schmidt </w:t>
      </w:r>
      <w:r w:rsidR="00794D7B" w:rsidRPr="006676BC">
        <w:rPr>
          <w:i/>
          <w:iCs/>
        </w:rPr>
        <w:t>The European Court of Justice and the Policy Process</w:t>
      </w:r>
      <w:r w:rsidR="002F07AD" w:rsidRPr="006676BC">
        <w:rPr>
          <w:i/>
          <w:iCs/>
        </w:rPr>
        <w:t xml:space="preserve">: </w:t>
      </w:r>
      <w:r w:rsidR="00794D7B" w:rsidRPr="006676BC">
        <w:rPr>
          <w:i/>
          <w:iCs/>
        </w:rPr>
        <w:t>The Shadow of Case Law</w:t>
      </w:r>
      <w:r w:rsidR="002F07AD" w:rsidRPr="006676BC">
        <w:t xml:space="preserve"> (Oxford: Oxford University Press, 2018)</w:t>
      </w:r>
      <w:r w:rsidR="00077E7D">
        <w:t>;</w:t>
      </w:r>
      <w:r w:rsidR="0097409E">
        <w:t xml:space="preserve"> and C Kilpatrick and J Scott (eds), </w:t>
      </w:r>
      <w:r w:rsidR="0097409E" w:rsidRPr="0097409E">
        <w:rPr>
          <w:i/>
          <w:iCs/>
        </w:rPr>
        <w:t>New Legal Approaches to Studying the Court of Justice: Revisiting Law in Context</w:t>
      </w:r>
      <w:r w:rsidR="0097409E">
        <w:t xml:space="preserve"> (Oxford: Oxford University Press, 2020).</w:t>
      </w:r>
    </w:p>
  </w:footnote>
  <w:footnote w:id="11">
    <w:p w14:paraId="2AD23E27" w14:textId="76BA7E64" w:rsidR="00581428" w:rsidRDefault="00581428" w:rsidP="006B7606">
      <w:pPr>
        <w:pStyle w:val="FootnoteText"/>
        <w:tabs>
          <w:tab w:val="right" w:pos="9026"/>
        </w:tabs>
        <w:jc w:val="both"/>
      </w:pPr>
      <w:r>
        <w:rPr>
          <w:rStyle w:val="FootnoteReference"/>
        </w:rPr>
        <w:footnoteRef/>
      </w:r>
      <w:r>
        <w:t xml:space="preserve"> </w:t>
      </w:r>
      <w:r w:rsidR="00815572">
        <w:t>For</w:t>
      </w:r>
      <w:r w:rsidR="00537657">
        <w:t xml:space="preserve"> discussion</w:t>
      </w:r>
      <w:r w:rsidR="00153778">
        <w:t>,</w:t>
      </w:r>
      <w:r w:rsidR="00815572">
        <w:t xml:space="preserve"> see e.g.,</w:t>
      </w:r>
      <w:r w:rsidR="00C22CED">
        <w:t xml:space="preserve"> P Anderson, ‘Ever Closer Union</w:t>
      </w:r>
      <w:r w:rsidR="00D13F3C">
        <w:t>?</w:t>
      </w:r>
      <w:r w:rsidR="00C22CED">
        <w:t xml:space="preserve">’ </w:t>
      </w:r>
      <w:r w:rsidR="0017567E">
        <w:t xml:space="preserve">(2021) 43(1) </w:t>
      </w:r>
      <w:r w:rsidR="0017567E" w:rsidRPr="008B23DF">
        <w:rPr>
          <w:i/>
          <w:iCs/>
        </w:rPr>
        <w:t>London Review of Books</w:t>
      </w:r>
      <w:r w:rsidR="008B23DF">
        <w:t>.</w:t>
      </w:r>
      <w:r w:rsidR="00331A76">
        <w:tab/>
      </w:r>
    </w:p>
  </w:footnote>
  <w:footnote w:id="12">
    <w:p w14:paraId="44E7A129" w14:textId="1899B122" w:rsidR="00331A76" w:rsidRPr="00331A76" w:rsidRDefault="00A73015" w:rsidP="006B7606">
      <w:pPr>
        <w:pStyle w:val="FootnoteText"/>
        <w:tabs>
          <w:tab w:val="right" w:pos="9026"/>
        </w:tabs>
        <w:jc w:val="both"/>
      </w:pPr>
      <w:r>
        <w:rPr>
          <w:rStyle w:val="FootnoteReference"/>
        </w:rPr>
        <w:footnoteRef/>
      </w:r>
      <w:r>
        <w:t xml:space="preserve"> </w:t>
      </w:r>
      <w:r w:rsidR="006C6439">
        <w:t>Decision of the Court of Justice</w:t>
      </w:r>
      <w:r w:rsidR="00CF472F">
        <w:t xml:space="preserve"> of the European Union of 10 June 2014 </w:t>
      </w:r>
      <w:r w:rsidR="003E535F">
        <w:t>[</w:t>
      </w:r>
      <w:r w:rsidR="00CF472F">
        <w:t>2015</w:t>
      </w:r>
      <w:r w:rsidR="003E535F">
        <w:t>]</w:t>
      </w:r>
      <w:r w:rsidR="002B1384">
        <w:t xml:space="preserve"> </w:t>
      </w:r>
      <w:r w:rsidR="00CF472F">
        <w:t>C 406/02</w:t>
      </w:r>
      <w:r w:rsidR="002B1384">
        <w:t>.</w:t>
      </w:r>
      <w:r w:rsidR="0013463D">
        <w:t xml:space="preserve"> See</w:t>
      </w:r>
      <w:r w:rsidR="0030509E">
        <w:t xml:space="preserve"> </w:t>
      </w:r>
      <w:r w:rsidR="0013463D">
        <w:t>e.g.,</w:t>
      </w:r>
      <w:r w:rsidR="00331A76">
        <w:t xml:space="preserve"> F</w:t>
      </w:r>
      <w:r w:rsidR="0030509E">
        <w:t>.</w:t>
      </w:r>
      <w:r w:rsidR="00331A76">
        <w:t xml:space="preserve"> Nicola,</w:t>
      </w:r>
      <w:r w:rsidR="0013463D">
        <w:t xml:space="preserve"> </w:t>
      </w:r>
      <w:r w:rsidR="00331A76">
        <w:t xml:space="preserve">‘Waiting for the Barbarians: Inside the Archives of the European Court of Justice’ in Kilpatrick and Scott, </w:t>
      </w:r>
      <w:r w:rsidR="00331A76" w:rsidRPr="0097409E">
        <w:rPr>
          <w:i/>
          <w:iCs/>
        </w:rPr>
        <w:t>New Legal Approaches to Studying the Court of Justice</w:t>
      </w:r>
      <w:r w:rsidR="00D24A9E">
        <w:t>,</w:t>
      </w:r>
      <w:r w:rsidR="000107F6">
        <w:t xml:space="preserve"> </w:t>
      </w:r>
      <w:r w:rsidR="00331A76">
        <w:t xml:space="preserve">note </w:t>
      </w:r>
      <w:r w:rsidR="00D24A9E">
        <w:t>9</w:t>
      </w:r>
      <w:r w:rsidR="0030509E">
        <w:t>, above.</w:t>
      </w:r>
    </w:p>
    <w:p w14:paraId="4CF8BAC8" w14:textId="1036EBAA" w:rsidR="0097409E" w:rsidRDefault="0097409E" w:rsidP="006B7606">
      <w:pPr>
        <w:pStyle w:val="FootnoteText"/>
        <w:tabs>
          <w:tab w:val="right" w:pos="9026"/>
        </w:tabs>
        <w:jc w:val="both"/>
      </w:pPr>
    </w:p>
    <w:p w14:paraId="6435B7AD" w14:textId="5E650726" w:rsidR="00A73015" w:rsidRDefault="00A73015" w:rsidP="006B7606">
      <w:pPr>
        <w:pStyle w:val="FootnoteText"/>
        <w:tabs>
          <w:tab w:val="right" w:pos="9026"/>
        </w:tabs>
        <w:jc w:val="both"/>
      </w:pPr>
    </w:p>
  </w:footnote>
  <w:footnote w:id="13">
    <w:p w14:paraId="6DB554E5" w14:textId="500AFB9B" w:rsidR="00573B13" w:rsidRPr="0097409E" w:rsidRDefault="00573B13" w:rsidP="006B7606">
      <w:pPr>
        <w:pStyle w:val="FootnoteText"/>
        <w:jc w:val="both"/>
      </w:pPr>
      <w:r>
        <w:rPr>
          <w:rStyle w:val="FootnoteReference"/>
        </w:rPr>
        <w:footnoteRef/>
      </w:r>
      <w:r w:rsidRPr="0097409E">
        <w:t xml:space="preserve"> </w:t>
      </w:r>
      <w:r w:rsidR="00142DA9" w:rsidRPr="0097409E">
        <w:t>Pp 1-2.</w:t>
      </w:r>
    </w:p>
  </w:footnote>
  <w:footnote w:id="14">
    <w:p w14:paraId="00EC0D62" w14:textId="5DCF0E4D" w:rsidR="00F60082" w:rsidRDefault="00F60082" w:rsidP="006B7606">
      <w:pPr>
        <w:pStyle w:val="FootnoteText"/>
        <w:jc w:val="both"/>
      </w:pPr>
      <w:r>
        <w:rPr>
          <w:rStyle w:val="FootnoteReference"/>
        </w:rPr>
        <w:footnoteRef/>
      </w:r>
      <w:r>
        <w:t xml:space="preserve"> </w:t>
      </w:r>
      <w:r w:rsidR="000077D2">
        <w:t>Horsley</w:t>
      </w:r>
      <w:r w:rsidR="000077D2" w:rsidRPr="000077D2">
        <w:rPr>
          <w:i/>
          <w:iCs/>
        </w:rPr>
        <w:t>, The Court of Justice of the European Union as an Institutional Actor</w:t>
      </w:r>
      <w:r w:rsidR="00D24A9E">
        <w:t>, note 8, above</w:t>
      </w:r>
      <w:r w:rsidR="000077D2">
        <w:t>.</w:t>
      </w:r>
    </w:p>
  </w:footnote>
  <w:footnote w:id="15">
    <w:p w14:paraId="409BE8D9" w14:textId="404426F3" w:rsidR="00F60082" w:rsidRPr="0078159C" w:rsidRDefault="00F60082" w:rsidP="006B7606">
      <w:pPr>
        <w:pStyle w:val="FootnoteText"/>
        <w:jc w:val="both"/>
      </w:pPr>
      <w:r w:rsidRPr="0078159C">
        <w:rPr>
          <w:rStyle w:val="FootnoteReference"/>
        </w:rPr>
        <w:footnoteRef/>
      </w:r>
      <w:r w:rsidRPr="0078159C">
        <w:t xml:space="preserve"> </w:t>
      </w:r>
      <w:r w:rsidR="006E3D1E" w:rsidRPr="0078159C">
        <w:t>R. Plender, ‘The European Court a</w:t>
      </w:r>
      <w:r w:rsidR="000F7F24" w:rsidRPr="0078159C">
        <w:t xml:space="preserve">s an International Tribunal (1983) 42(2) </w:t>
      </w:r>
      <w:r w:rsidR="000F7F24" w:rsidRPr="0078159C">
        <w:rPr>
          <w:i/>
          <w:iCs/>
        </w:rPr>
        <w:t>Cambridge Law Journal</w:t>
      </w:r>
      <w:r w:rsidR="000F7F24" w:rsidRPr="0078159C">
        <w:t xml:space="preserve"> </w:t>
      </w:r>
      <w:r w:rsidR="00FF24C4" w:rsidRPr="0078159C">
        <w:t>279, p. 279. See also</w:t>
      </w:r>
      <w:r w:rsidR="00737674" w:rsidRPr="0078159C">
        <w:t xml:space="preserve"> Alter, </w:t>
      </w:r>
      <w:r w:rsidR="00737674" w:rsidRPr="0078159C">
        <w:rPr>
          <w:i/>
          <w:iCs/>
        </w:rPr>
        <w:t>Establishing the Supremacy of European Law</w:t>
      </w:r>
      <w:r w:rsidR="00737674" w:rsidRPr="0078159C">
        <w:t xml:space="preserve"> </w:t>
      </w:r>
      <w:r w:rsidR="003420A4">
        <w:t xml:space="preserve">, note </w:t>
      </w:r>
      <w:r w:rsidR="00D24A9E">
        <w:t>6,</w:t>
      </w:r>
      <w:r w:rsidR="003420A4">
        <w:t xml:space="preserve"> above</w:t>
      </w:r>
      <w:r w:rsidR="009941F0" w:rsidRPr="0078159C">
        <w:t>, p. 27.</w:t>
      </w:r>
    </w:p>
  </w:footnote>
  <w:footnote w:id="16">
    <w:p w14:paraId="258ABA57" w14:textId="7FFAEBD5" w:rsidR="00BB2A70" w:rsidRPr="00955E1B" w:rsidRDefault="00BB2A70" w:rsidP="006B7606">
      <w:pPr>
        <w:pStyle w:val="FootnoteText"/>
        <w:jc w:val="both"/>
        <w:rPr>
          <w:lang w:val="fr-FR"/>
        </w:rPr>
      </w:pPr>
      <w:r>
        <w:rPr>
          <w:rStyle w:val="FootnoteReference"/>
        </w:rPr>
        <w:footnoteRef/>
      </w:r>
      <w:r w:rsidRPr="00955E1B">
        <w:rPr>
          <w:lang w:val="fr-FR"/>
        </w:rPr>
        <w:t xml:space="preserve"> </w:t>
      </w:r>
      <w:proofErr w:type="spellStart"/>
      <w:r w:rsidR="00735C77" w:rsidRPr="00955E1B">
        <w:rPr>
          <w:lang w:val="fr-FR"/>
        </w:rPr>
        <w:t>With</w:t>
      </w:r>
      <w:proofErr w:type="spellEnd"/>
      <w:r w:rsidR="00735C77" w:rsidRPr="00955E1B">
        <w:rPr>
          <w:lang w:val="fr-FR"/>
        </w:rPr>
        <w:t xml:space="preserve"> </w:t>
      </w:r>
      <w:proofErr w:type="spellStart"/>
      <w:r w:rsidR="00735C77" w:rsidRPr="00955E1B">
        <w:rPr>
          <w:lang w:val="fr-FR"/>
        </w:rPr>
        <w:t>reference</w:t>
      </w:r>
      <w:proofErr w:type="spellEnd"/>
      <w:r w:rsidR="00735C77" w:rsidRPr="00955E1B">
        <w:rPr>
          <w:lang w:val="fr-FR"/>
        </w:rPr>
        <w:t xml:space="preserve"> to </w:t>
      </w:r>
      <w:r w:rsidR="00735C77" w:rsidRPr="00955E1B">
        <w:rPr>
          <w:i/>
          <w:iCs/>
          <w:lang w:val="fr-FR"/>
        </w:rPr>
        <w:t>Costa</w:t>
      </w:r>
      <w:r w:rsidR="00735C77" w:rsidRPr="00955E1B">
        <w:rPr>
          <w:lang w:val="fr-FR"/>
        </w:rPr>
        <w:t xml:space="preserve">, </w:t>
      </w:r>
      <w:proofErr w:type="spellStart"/>
      <w:r w:rsidR="00735C77" w:rsidRPr="00955E1B">
        <w:rPr>
          <w:lang w:val="fr-FR"/>
        </w:rPr>
        <w:t>see</w:t>
      </w:r>
      <w:proofErr w:type="spellEnd"/>
      <w:r w:rsidR="00735C77" w:rsidRPr="00955E1B">
        <w:rPr>
          <w:lang w:val="fr-FR"/>
        </w:rPr>
        <w:t xml:space="preserve"> e.g.</w:t>
      </w:r>
      <w:r w:rsidR="000D33CF">
        <w:rPr>
          <w:lang w:val="fr-FR"/>
        </w:rPr>
        <w:t>,</w:t>
      </w:r>
      <w:r w:rsidR="00735C77" w:rsidRPr="00955E1B">
        <w:rPr>
          <w:lang w:val="fr-FR"/>
        </w:rPr>
        <w:t xml:space="preserve"> </w:t>
      </w:r>
      <w:proofErr w:type="spellStart"/>
      <w:r w:rsidR="00735C77" w:rsidRPr="00955E1B">
        <w:rPr>
          <w:lang w:val="fr-FR"/>
        </w:rPr>
        <w:t>Phelan’s</w:t>
      </w:r>
      <w:proofErr w:type="spellEnd"/>
      <w:r w:rsidR="00735C77" w:rsidRPr="00955E1B">
        <w:rPr>
          <w:lang w:val="fr-FR"/>
        </w:rPr>
        <w:t xml:space="preserve"> </w:t>
      </w:r>
      <w:proofErr w:type="spellStart"/>
      <w:r w:rsidR="00735C77" w:rsidRPr="00955E1B">
        <w:rPr>
          <w:lang w:val="fr-FR"/>
        </w:rPr>
        <w:t>reference</w:t>
      </w:r>
      <w:proofErr w:type="spellEnd"/>
      <w:r w:rsidR="00735C77" w:rsidRPr="00955E1B">
        <w:rPr>
          <w:lang w:val="fr-FR"/>
        </w:rPr>
        <w:t xml:space="preserve"> to N. </w:t>
      </w:r>
      <w:proofErr w:type="spellStart"/>
      <w:r w:rsidR="00735C77" w:rsidRPr="00955E1B">
        <w:rPr>
          <w:lang w:val="fr-FR"/>
        </w:rPr>
        <w:t>Catalona</w:t>
      </w:r>
      <w:proofErr w:type="spellEnd"/>
      <w:r w:rsidR="00735C77" w:rsidRPr="00955E1B">
        <w:rPr>
          <w:lang w:val="fr-FR"/>
        </w:rPr>
        <w:t>, ‘</w:t>
      </w:r>
      <w:r w:rsidR="007E1CC5" w:rsidRPr="00955E1B">
        <w:rPr>
          <w:lang w:val="fr-FR"/>
        </w:rPr>
        <w:t>Portée</w:t>
      </w:r>
      <w:r w:rsidR="00C75575" w:rsidRPr="00955E1B">
        <w:rPr>
          <w:lang w:val="fr-FR"/>
        </w:rPr>
        <w:t xml:space="preserve"> des </w:t>
      </w:r>
      <w:proofErr w:type="spellStart"/>
      <w:r w:rsidR="00C75575" w:rsidRPr="00955E1B">
        <w:rPr>
          <w:lang w:val="fr-FR"/>
        </w:rPr>
        <w:t>Traitr</w:t>
      </w:r>
      <w:r w:rsidR="00512E36" w:rsidRPr="00955E1B">
        <w:rPr>
          <w:lang w:val="fr-FR"/>
        </w:rPr>
        <w:t>é</w:t>
      </w:r>
      <w:r w:rsidR="00C75575" w:rsidRPr="00955E1B">
        <w:rPr>
          <w:lang w:val="fr-FR"/>
        </w:rPr>
        <w:t>s</w:t>
      </w:r>
      <w:proofErr w:type="spellEnd"/>
      <w:r w:rsidR="00C75575" w:rsidRPr="00955E1B">
        <w:rPr>
          <w:lang w:val="fr-FR"/>
        </w:rPr>
        <w:t xml:space="preserve"> Instituant les </w:t>
      </w:r>
      <w:r w:rsidR="00512E36" w:rsidRPr="00955E1B">
        <w:rPr>
          <w:lang w:val="fr-FR"/>
        </w:rPr>
        <w:t>Communautés</w:t>
      </w:r>
      <w:r w:rsidR="00955E1B" w:rsidRPr="00955E1B">
        <w:rPr>
          <w:lang w:val="fr-FR"/>
        </w:rPr>
        <w:t xml:space="preserve"> </w:t>
      </w:r>
      <w:r w:rsidR="00512E36" w:rsidRPr="00955E1B">
        <w:rPr>
          <w:lang w:val="fr-FR"/>
        </w:rPr>
        <w:t>Européennes</w:t>
      </w:r>
      <w:r w:rsidR="00955E1B" w:rsidRPr="00955E1B">
        <w:rPr>
          <w:lang w:val="fr-FR"/>
        </w:rPr>
        <w:t xml:space="preserve"> et Limites de Pouvoir</w:t>
      </w:r>
      <w:r w:rsidR="00955E1B">
        <w:rPr>
          <w:lang w:val="fr-FR"/>
        </w:rPr>
        <w:t>s de Souverains de</w:t>
      </w:r>
      <w:r w:rsidR="00512E36">
        <w:rPr>
          <w:lang w:val="fr-FR"/>
        </w:rPr>
        <w:t>s</w:t>
      </w:r>
      <w:r w:rsidR="00955E1B">
        <w:rPr>
          <w:lang w:val="fr-FR"/>
        </w:rPr>
        <w:t xml:space="preserve"> </w:t>
      </w:r>
      <w:r w:rsidR="000C2585" w:rsidRPr="000C2585">
        <w:rPr>
          <w:lang w:val="fr-FR"/>
        </w:rPr>
        <w:t>États</w:t>
      </w:r>
      <w:r w:rsidR="000C2585">
        <w:rPr>
          <w:lang w:val="fr-FR"/>
        </w:rPr>
        <w:t xml:space="preserve"> </w:t>
      </w:r>
      <w:r w:rsidR="00215538">
        <w:rPr>
          <w:lang w:val="fr-FR"/>
        </w:rPr>
        <w:t>Membres’ (1964</w:t>
      </w:r>
      <w:r w:rsidR="00215538" w:rsidRPr="00512E36">
        <w:rPr>
          <w:i/>
          <w:iCs/>
          <w:lang w:val="fr-FR"/>
        </w:rPr>
        <w:t xml:space="preserve">) Le Doit et Les Affaires </w:t>
      </w:r>
      <w:r w:rsidR="00215538">
        <w:rPr>
          <w:lang w:val="fr-FR"/>
        </w:rPr>
        <w:t xml:space="preserve">49, </w:t>
      </w:r>
      <w:proofErr w:type="spellStart"/>
      <w:r w:rsidR="00215538">
        <w:rPr>
          <w:lang w:val="fr-FR"/>
        </w:rPr>
        <w:t>cited</w:t>
      </w:r>
      <w:proofErr w:type="spellEnd"/>
      <w:r w:rsidR="00215538">
        <w:rPr>
          <w:lang w:val="fr-FR"/>
        </w:rPr>
        <w:t xml:space="preserve"> </w:t>
      </w:r>
      <w:r w:rsidR="008C634B">
        <w:rPr>
          <w:lang w:val="fr-FR"/>
        </w:rPr>
        <w:t>p</w:t>
      </w:r>
      <w:r w:rsidR="003511A9">
        <w:rPr>
          <w:lang w:val="fr-FR"/>
        </w:rPr>
        <w:t>p 78-</w:t>
      </w:r>
      <w:r w:rsidR="00295B98">
        <w:rPr>
          <w:lang w:val="fr-FR"/>
        </w:rPr>
        <w:t>9.</w:t>
      </w:r>
    </w:p>
  </w:footnote>
  <w:footnote w:id="17">
    <w:p w14:paraId="0E91A908" w14:textId="266B6537" w:rsidR="00820ABA" w:rsidRDefault="00820ABA" w:rsidP="006B7606">
      <w:pPr>
        <w:pStyle w:val="FootnoteText"/>
        <w:jc w:val="both"/>
      </w:pPr>
      <w:r>
        <w:rPr>
          <w:rStyle w:val="FootnoteReference"/>
        </w:rPr>
        <w:footnoteRef/>
      </w:r>
      <w:r>
        <w:t xml:space="preserve"> The foundations of the</w:t>
      </w:r>
      <w:r w:rsidR="00392AB0">
        <w:t xml:space="preserve"> now</w:t>
      </w:r>
      <w:r>
        <w:t xml:space="preserve"> </w:t>
      </w:r>
      <w:r w:rsidR="00E60E5F">
        <w:t>dominant ‘</w:t>
      </w:r>
      <w:r>
        <w:t>constitutionalisation</w:t>
      </w:r>
      <w:r w:rsidR="00E60E5F">
        <w:t>’</w:t>
      </w:r>
      <w:r>
        <w:t xml:space="preserve"> narrative </w:t>
      </w:r>
      <w:r w:rsidR="00420595">
        <w:t>took hold quickly</w:t>
      </w:r>
      <w:r>
        <w:t xml:space="preserve"> in early commentaries </w:t>
      </w:r>
      <w:r w:rsidR="00420595">
        <w:t xml:space="preserve">published </w:t>
      </w:r>
      <w:r w:rsidR="005F32AA">
        <w:t>in</w:t>
      </w:r>
      <w:r>
        <w:t xml:space="preserve"> the late 60s onwards. See e.g.</w:t>
      </w:r>
      <w:r w:rsidR="000D33CF">
        <w:t>,</w:t>
      </w:r>
      <w:r w:rsidR="008E0999">
        <w:t xml:space="preserve"> R-M </w:t>
      </w:r>
      <w:proofErr w:type="spellStart"/>
      <w:r w:rsidR="008E0999" w:rsidRPr="004A7750">
        <w:t>Chevallier</w:t>
      </w:r>
      <w:proofErr w:type="spellEnd"/>
      <w:r w:rsidR="008E0999" w:rsidRPr="004A7750">
        <w:t>, ‘Methods and</w:t>
      </w:r>
      <w:r w:rsidR="008E0999">
        <w:t xml:space="preserve"> </w:t>
      </w:r>
      <w:r w:rsidR="008E0999" w:rsidRPr="004A7750">
        <w:t xml:space="preserve">Reasoning of the European Court of Justice in its Interpretation of Community Law’ (1965) 2 </w:t>
      </w:r>
      <w:r w:rsidR="008E0999">
        <w:rPr>
          <w:i/>
        </w:rPr>
        <w:t>Common Market Law Review,</w:t>
      </w:r>
      <w:r w:rsidR="008E0999">
        <w:t xml:space="preserve"> 21,</w:t>
      </w:r>
      <w:r>
        <w:t xml:space="preserve"> </w:t>
      </w:r>
      <w:r w:rsidR="00005EAD" w:rsidRPr="00BE016C">
        <w:t xml:space="preserve">D. G Valentine, </w:t>
      </w:r>
      <w:r w:rsidR="00005EAD" w:rsidRPr="00BE016C">
        <w:rPr>
          <w:i/>
        </w:rPr>
        <w:t>The Court of Justice of the European Communities</w:t>
      </w:r>
      <w:r w:rsidR="00005EAD">
        <w:t>,</w:t>
      </w:r>
      <w:r w:rsidR="00005EAD" w:rsidRPr="00BE016C">
        <w:t xml:space="preserve"> (</w:t>
      </w:r>
      <w:r w:rsidR="00005EAD">
        <w:t>London: Stevens, 1965</w:t>
      </w:r>
      <w:r w:rsidR="008E0999">
        <w:t>) and</w:t>
      </w:r>
      <w:r w:rsidR="00005EAD">
        <w:t xml:space="preserve"> </w:t>
      </w:r>
      <w:r w:rsidR="003F4EEE" w:rsidRPr="0085789B">
        <w:t xml:space="preserve">A. W. Green, </w:t>
      </w:r>
      <w:r w:rsidR="003F4EEE" w:rsidRPr="0085789B">
        <w:rPr>
          <w:i/>
        </w:rPr>
        <w:t>Political Integration by Jurisprudence</w:t>
      </w:r>
      <w:r w:rsidR="003F4EEE">
        <w:t xml:space="preserve">, </w:t>
      </w:r>
      <w:r w:rsidR="003F4EEE" w:rsidRPr="0085789B">
        <w:t xml:space="preserve">(Leiden: </w:t>
      </w:r>
      <w:proofErr w:type="spellStart"/>
      <w:r w:rsidR="003F4EEE" w:rsidRPr="0085789B">
        <w:t>Sijthoff</w:t>
      </w:r>
      <w:proofErr w:type="spellEnd"/>
      <w:r w:rsidR="003F4EEE" w:rsidRPr="0085789B">
        <w:t>, 1969)</w:t>
      </w:r>
      <w:r w:rsidR="003F4EEE">
        <w:t>.</w:t>
      </w:r>
    </w:p>
  </w:footnote>
  <w:footnote w:id="18">
    <w:p w14:paraId="51716541" w14:textId="688C9462" w:rsidR="00A90CAF" w:rsidRPr="0078159C" w:rsidRDefault="00A90CAF" w:rsidP="006B7606">
      <w:pPr>
        <w:pStyle w:val="FootnoteText"/>
        <w:jc w:val="both"/>
      </w:pPr>
      <w:r w:rsidRPr="0078159C">
        <w:rPr>
          <w:rStyle w:val="FootnoteReference"/>
        </w:rPr>
        <w:footnoteRef/>
      </w:r>
      <w:r w:rsidRPr="0078159C">
        <w:t xml:space="preserve"> </w:t>
      </w:r>
      <w:r w:rsidR="00FB7CD3" w:rsidRPr="0078159C">
        <w:t xml:space="preserve">Joined Cases 21 to 24-72 </w:t>
      </w:r>
      <w:r w:rsidR="00161571" w:rsidRPr="0078159C">
        <w:rPr>
          <w:i/>
          <w:iCs/>
        </w:rPr>
        <w:t>International Fruit Company NV</w:t>
      </w:r>
      <w:r w:rsidR="00161571" w:rsidRPr="0078159C">
        <w:t xml:space="preserve"> ECLI:EU:C:1972:115. </w:t>
      </w:r>
    </w:p>
  </w:footnote>
  <w:footnote w:id="19">
    <w:p w14:paraId="1A850438" w14:textId="0319884B" w:rsidR="00A32C07" w:rsidRPr="00EB35B5" w:rsidRDefault="00A32C07" w:rsidP="006B7606">
      <w:pPr>
        <w:pStyle w:val="FootnoteText"/>
        <w:jc w:val="both"/>
        <w:rPr>
          <w:lang w:val="nl-NL"/>
        </w:rPr>
      </w:pPr>
      <w:r>
        <w:rPr>
          <w:rStyle w:val="FootnoteReference"/>
        </w:rPr>
        <w:footnoteRef/>
      </w:r>
      <w:r w:rsidRPr="00EB35B5">
        <w:rPr>
          <w:lang w:val="nl-NL"/>
        </w:rPr>
        <w:t xml:space="preserve"> </w:t>
      </w:r>
      <w:r w:rsidR="00486A9D" w:rsidRPr="00EB35B5">
        <w:rPr>
          <w:lang w:val="nl-NL"/>
        </w:rPr>
        <w:t xml:space="preserve">Case 41/74 </w:t>
      </w:r>
      <w:r w:rsidR="00486A9D" w:rsidRPr="00EB35B5">
        <w:rPr>
          <w:i/>
          <w:iCs/>
          <w:lang w:val="nl-NL"/>
        </w:rPr>
        <w:t>Van Duyn</w:t>
      </w:r>
      <w:r w:rsidR="00486A9D" w:rsidRPr="00EB35B5">
        <w:rPr>
          <w:lang w:val="nl-NL"/>
        </w:rPr>
        <w:t xml:space="preserve"> </w:t>
      </w:r>
      <w:r w:rsidR="00EB35B5" w:rsidRPr="00EB35B5">
        <w:rPr>
          <w:lang w:val="nl-NL"/>
        </w:rPr>
        <w:t>ECLI:EU:C:1974:133</w:t>
      </w:r>
      <w:r w:rsidR="00EB35B5">
        <w:rPr>
          <w:lang w:val="nl-NL"/>
        </w:rPr>
        <w:t>.</w:t>
      </w:r>
    </w:p>
  </w:footnote>
  <w:footnote w:id="20">
    <w:p w14:paraId="0C669673" w14:textId="42F6C13D" w:rsidR="00A32C07" w:rsidRPr="00922D2A" w:rsidRDefault="00A32C07" w:rsidP="006B7606">
      <w:pPr>
        <w:pStyle w:val="FootnoteText"/>
        <w:jc w:val="both"/>
        <w:rPr>
          <w:lang w:val="it-IT"/>
        </w:rPr>
      </w:pPr>
      <w:r>
        <w:rPr>
          <w:rStyle w:val="FootnoteReference"/>
        </w:rPr>
        <w:footnoteRef/>
      </w:r>
      <w:r w:rsidRPr="00922D2A">
        <w:rPr>
          <w:lang w:val="it-IT"/>
        </w:rPr>
        <w:t xml:space="preserve"> </w:t>
      </w:r>
      <w:r w:rsidR="00EB35B5" w:rsidRPr="00922D2A">
        <w:rPr>
          <w:lang w:val="it-IT"/>
        </w:rPr>
        <w:t xml:space="preserve">Case 106/77 </w:t>
      </w:r>
      <w:r w:rsidR="00922D2A" w:rsidRPr="00922D2A">
        <w:rPr>
          <w:i/>
          <w:iCs/>
          <w:lang w:val="it-IT"/>
        </w:rPr>
        <w:t>Amministrazione delle Finanze dello Stato v Simmenthal SpA</w:t>
      </w:r>
      <w:r w:rsidR="00922D2A">
        <w:rPr>
          <w:lang w:val="it-IT"/>
        </w:rPr>
        <w:t xml:space="preserve"> </w:t>
      </w:r>
      <w:r w:rsidR="00922D2A" w:rsidRPr="00922D2A">
        <w:rPr>
          <w:lang w:val="it-IT"/>
        </w:rPr>
        <w:t>ECLI:EU:C:1978:49</w:t>
      </w:r>
      <w:r w:rsidR="00922D2A">
        <w:rPr>
          <w:lang w:val="it-IT"/>
        </w:rPr>
        <w:t>.</w:t>
      </w:r>
    </w:p>
  </w:footnote>
  <w:footnote w:id="21">
    <w:p w14:paraId="0CFC1E2F" w14:textId="57BA6709" w:rsidR="00A90CAF" w:rsidRPr="0078159C" w:rsidRDefault="00A90CAF" w:rsidP="006B7606">
      <w:pPr>
        <w:pStyle w:val="FootnoteText"/>
        <w:jc w:val="both"/>
        <w:rPr>
          <w:lang w:val="de-DE"/>
        </w:rPr>
      </w:pPr>
      <w:r w:rsidRPr="0078159C">
        <w:rPr>
          <w:rStyle w:val="FootnoteReference"/>
        </w:rPr>
        <w:footnoteRef/>
      </w:r>
      <w:r w:rsidRPr="0078159C">
        <w:rPr>
          <w:lang w:val="de-DE"/>
        </w:rPr>
        <w:t xml:space="preserve"> </w:t>
      </w:r>
      <w:r w:rsidR="009C12CC" w:rsidRPr="0078159C">
        <w:rPr>
          <w:lang w:val="de-DE"/>
        </w:rPr>
        <w:t xml:space="preserve">Case 11/70 </w:t>
      </w:r>
      <w:r w:rsidR="009C12CC" w:rsidRPr="0078159C">
        <w:rPr>
          <w:i/>
          <w:iCs/>
          <w:lang w:val="de-DE"/>
        </w:rPr>
        <w:t>Internationale Handelsgesellschaft</w:t>
      </w:r>
      <w:r w:rsidR="009C12CC" w:rsidRPr="0078159C">
        <w:rPr>
          <w:lang w:val="de-DE"/>
        </w:rPr>
        <w:t xml:space="preserve"> </w:t>
      </w:r>
      <w:r w:rsidR="0078159C" w:rsidRPr="0078159C">
        <w:rPr>
          <w:lang w:val="de-DE"/>
        </w:rPr>
        <w:t>ECLI:EU:C:1970:114.</w:t>
      </w:r>
    </w:p>
  </w:footnote>
  <w:footnote w:id="22">
    <w:p w14:paraId="6C383274" w14:textId="129A3DCC" w:rsidR="001E2D28" w:rsidRDefault="001E2D28" w:rsidP="006B7606">
      <w:pPr>
        <w:pStyle w:val="FootnoteText"/>
        <w:jc w:val="both"/>
      </w:pPr>
      <w:r>
        <w:rPr>
          <w:rStyle w:val="FootnoteReference"/>
        </w:rPr>
        <w:footnoteRef/>
      </w:r>
      <w:r>
        <w:t xml:space="preserve"> P. 53.</w:t>
      </w:r>
    </w:p>
  </w:footnote>
  <w:footnote w:id="23">
    <w:p w14:paraId="7B60311B" w14:textId="071DE103" w:rsidR="00BA78B9" w:rsidRDefault="00BA78B9">
      <w:pPr>
        <w:pStyle w:val="FootnoteText"/>
      </w:pPr>
      <w:r>
        <w:rPr>
          <w:rStyle w:val="FootnoteReference"/>
        </w:rPr>
        <w:footnoteRef/>
      </w:r>
      <w:r>
        <w:t xml:space="preserve"> </w:t>
      </w:r>
      <w:r w:rsidR="00CA6090">
        <w:t>P .79.</w:t>
      </w:r>
    </w:p>
  </w:footnote>
  <w:footnote w:id="24">
    <w:p w14:paraId="26C49E6D" w14:textId="134154BE" w:rsidR="00C20E30" w:rsidRDefault="00C20E30" w:rsidP="006B7606">
      <w:pPr>
        <w:pStyle w:val="FootnoteText"/>
        <w:jc w:val="both"/>
      </w:pPr>
      <w:r>
        <w:rPr>
          <w:rStyle w:val="FootnoteReference"/>
        </w:rPr>
        <w:footnoteRef/>
      </w:r>
      <w:r>
        <w:t xml:space="preserve"> P. 105.</w:t>
      </w:r>
    </w:p>
  </w:footnote>
  <w:footnote w:id="25">
    <w:p w14:paraId="5CC1AD00" w14:textId="4F8746EB" w:rsidR="00051CD4" w:rsidRPr="00E21BC5" w:rsidRDefault="00051CD4" w:rsidP="006B7606">
      <w:pPr>
        <w:pStyle w:val="FootnoteText"/>
        <w:jc w:val="both"/>
      </w:pPr>
      <w:r>
        <w:rPr>
          <w:rStyle w:val="FootnoteReference"/>
        </w:rPr>
        <w:footnoteRef/>
      </w:r>
      <w:r w:rsidRPr="00BC7039">
        <w:t xml:space="preserve"> See </w:t>
      </w:r>
      <w:r w:rsidR="004F782B" w:rsidRPr="00BC7039">
        <w:t xml:space="preserve">esp. </w:t>
      </w:r>
      <w:r w:rsidR="004F782B" w:rsidRPr="00E21BC5">
        <w:t>Chapter</w:t>
      </w:r>
      <w:r w:rsidR="00AF0475" w:rsidRPr="00E21BC5">
        <w:t>s 1 and 2</w:t>
      </w:r>
      <w:r w:rsidR="00E21BC5" w:rsidRPr="00E21BC5">
        <w:t xml:space="preserve"> analysing </w:t>
      </w:r>
      <w:r w:rsidR="00E21BC5" w:rsidRPr="00E21BC5">
        <w:rPr>
          <w:i/>
          <w:iCs/>
        </w:rPr>
        <w:t xml:space="preserve">Pork Products </w:t>
      </w:r>
      <w:r w:rsidR="00E21BC5" w:rsidRPr="00E21BC5">
        <w:t>and</w:t>
      </w:r>
      <w:r w:rsidR="00AF0475" w:rsidRPr="00E21BC5">
        <w:t xml:space="preserve"> </w:t>
      </w:r>
      <w:r w:rsidR="00BF3BE3" w:rsidRPr="00E21BC5">
        <w:rPr>
          <w:i/>
          <w:iCs/>
        </w:rPr>
        <w:t>Van Gend en Loos</w:t>
      </w:r>
      <w:r w:rsidR="00E21BC5">
        <w:t xml:space="preserve">, respectively. </w:t>
      </w:r>
    </w:p>
  </w:footnote>
  <w:footnote w:id="26">
    <w:p w14:paraId="39CADB0C" w14:textId="679870CD" w:rsidR="00D0378F" w:rsidRDefault="00D0378F" w:rsidP="006B7606">
      <w:pPr>
        <w:pStyle w:val="FootnoteText"/>
        <w:jc w:val="both"/>
      </w:pPr>
      <w:r>
        <w:rPr>
          <w:rStyle w:val="FootnoteReference"/>
        </w:rPr>
        <w:footnoteRef/>
      </w:r>
      <w:r>
        <w:t xml:space="preserve"> See e.g</w:t>
      </w:r>
      <w:r w:rsidR="00044357">
        <w:t>., p</w:t>
      </w:r>
      <w:r w:rsidR="001A5EDB">
        <w:t>p</w:t>
      </w:r>
      <w:r w:rsidR="00044357">
        <w:t>. 51</w:t>
      </w:r>
      <w:r w:rsidR="001A5EDB">
        <w:t xml:space="preserve">, </w:t>
      </w:r>
      <w:r w:rsidR="002B6A83">
        <w:t>81</w:t>
      </w:r>
      <w:r w:rsidR="001A5EDB">
        <w:t>, 83</w:t>
      </w:r>
      <w:r w:rsidR="00886E44">
        <w:t>, 107</w:t>
      </w:r>
      <w:r w:rsidR="00FA4432">
        <w:t xml:space="preserve"> and </w:t>
      </w:r>
      <w:r w:rsidR="0083503F">
        <w:t>234.</w:t>
      </w:r>
    </w:p>
  </w:footnote>
  <w:footnote w:id="27">
    <w:p w14:paraId="542C3C57" w14:textId="64EE7E22" w:rsidR="0083503F" w:rsidRDefault="0083503F" w:rsidP="006B7606">
      <w:pPr>
        <w:pStyle w:val="FootnoteText"/>
        <w:jc w:val="both"/>
      </w:pPr>
      <w:r>
        <w:rPr>
          <w:rStyle w:val="FootnoteReference"/>
        </w:rPr>
        <w:footnoteRef/>
      </w:r>
      <w:r>
        <w:t xml:space="preserve"> See e.g., pp, </w:t>
      </w:r>
      <w:r w:rsidR="003A32CD">
        <w:t>3, 1</w:t>
      </w:r>
      <w:r w:rsidR="007162CA">
        <w:t xml:space="preserve">05, </w:t>
      </w:r>
      <w:r w:rsidR="0018288A">
        <w:t>224</w:t>
      </w:r>
      <w:r w:rsidR="0026125A">
        <w:t xml:space="preserve"> and </w:t>
      </w:r>
      <w:r w:rsidR="00AB4EAF">
        <w:t>225</w:t>
      </w:r>
      <w:r w:rsidR="0026125A">
        <w:t>.</w:t>
      </w:r>
    </w:p>
  </w:footnote>
  <w:footnote w:id="28">
    <w:p w14:paraId="3DBE4C61" w14:textId="4C5CB393" w:rsidR="00982B3B" w:rsidRDefault="00982B3B" w:rsidP="006B7606">
      <w:pPr>
        <w:pStyle w:val="FootnoteText"/>
        <w:jc w:val="both"/>
      </w:pPr>
      <w:r>
        <w:rPr>
          <w:rStyle w:val="FootnoteReference"/>
        </w:rPr>
        <w:footnoteRef/>
      </w:r>
      <w:r>
        <w:t xml:space="preserve"> </w:t>
      </w:r>
      <w:r w:rsidR="00EA561A">
        <w:t xml:space="preserve">Pp. 182-183. </w:t>
      </w:r>
      <w:r w:rsidR="00BB3747" w:rsidRPr="00BB3747">
        <w:t>North American Agreement on Environmental Cooperation (NAAEC)</w:t>
      </w:r>
      <w:r w:rsidR="00130B1C">
        <w:t xml:space="preserve"> (1993) Can-Mex-US., 32</w:t>
      </w:r>
      <w:r w:rsidR="0002488F">
        <w:t xml:space="preserve"> I.L.M. 1</w:t>
      </w:r>
      <w:r w:rsidR="004B04F5">
        <w:t>480</w:t>
      </w:r>
      <w:r w:rsidR="0078159C">
        <w:t xml:space="preserve">, cited p. </w:t>
      </w:r>
      <w:r w:rsidR="006504BD">
        <w:t>182.</w:t>
      </w:r>
    </w:p>
  </w:footnote>
  <w:footnote w:id="29">
    <w:p w14:paraId="3801D3D2" w14:textId="1E1CBEDC" w:rsidR="00FD2599" w:rsidRDefault="00FD2599" w:rsidP="006B7606">
      <w:pPr>
        <w:pStyle w:val="FootnoteText"/>
        <w:jc w:val="both"/>
      </w:pPr>
      <w:r>
        <w:rPr>
          <w:rStyle w:val="FootnoteReference"/>
        </w:rPr>
        <w:footnoteRef/>
      </w:r>
      <w:r>
        <w:t xml:space="preserve"> P</w:t>
      </w:r>
      <w:r w:rsidR="00911FC9">
        <w:t xml:space="preserve">. </w:t>
      </w:r>
      <w:r>
        <w:t>214</w:t>
      </w:r>
      <w:r w:rsidR="00911FC9">
        <w:t>.</w:t>
      </w:r>
    </w:p>
  </w:footnote>
  <w:footnote w:id="30">
    <w:p w14:paraId="5DECA5D9" w14:textId="4AD086EB" w:rsidR="00E61B9E" w:rsidRDefault="00E61B9E" w:rsidP="006B7606">
      <w:pPr>
        <w:pStyle w:val="FootnoteText"/>
        <w:jc w:val="both"/>
      </w:pPr>
      <w:r>
        <w:rPr>
          <w:rStyle w:val="FootnoteReference"/>
        </w:rPr>
        <w:footnoteRef/>
      </w:r>
      <w:r>
        <w:t xml:space="preserve"> P. 215.</w:t>
      </w:r>
    </w:p>
  </w:footnote>
  <w:footnote w:id="31">
    <w:p w14:paraId="092CD7E3" w14:textId="7E8FBECE" w:rsidR="0058672A" w:rsidRDefault="0058672A" w:rsidP="006B7606">
      <w:pPr>
        <w:pStyle w:val="FootnoteText"/>
        <w:jc w:val="both"/>
      </w:pPr>
      <w:r>
        <w:rPr>
          <w:rStyle w:val="FootnoteReference"/>
        </w:rPr>
        <w:footnoteRef/>
      </w:r>
      <w:r>
        <w:t xml:space="preserve"> P. </w:t>
      </w:r>
      <w:r w:rsidR="0073408A">
        <w:t>219.</w:t>
      </w:r>
    </w:p>
  </w:footnote>
  <w:footnote w:id="32">
    <w:p w14:paraId="2F37B5CE" w14:textId="77777777" w:rsidR="007E541C" w:rsidRDefault="007E541C" w:rsidP="006B7606">
      <w:pPr>
        <w:pStyle w:val="FootnoteText"/>
        <w:jc w:val="both"/>
      </w:pPr>
      <w:r>
        <w:rPr>
          <w:rStyle w:val="FootnoteReference"/>
        </w:rPr>
        <w:footnoteRef/>
      </w:r>
      <w:r>
        <w:t xml:space="preserve"> See p. 237.</w:t>
      </w:r>
    </w:p>
  </w:footnote>
  <w:footnote w:id="33">
    <w:p w14:paraId="05308F8F" w14:textId="06A30972" w:rsidR="00E46EE8" w:rsidRDefault="00E46EE8" w:rsidP="006B7606">
      <w:pPr>
        <w:pStyle w:val="FootnoteText"/>
        <w:jc w:val="both"/>
      </w:pPr>
      <w:r>
        <w:rPr>
          <w:rStyle w:val="FootnoteReference"/>
        </w:rPr>
        <w:footnoteRef/>
      </w:r>
      <w:r>
        <w:t xml:space="preserve"> </w:t>
      </w:r>
      <w:r w:rsidR="00AE29D4">
        <w:t xml:space="preserve">P. </w:t>
      </w:r>
      <w:r w:rsidR="00CD33C1">
        <w:t>237.</w:t>
      </w:r>
    </w:p>
  </w:footnote>
  <w:footnote w:id="34">
    <w:p w14:paraId="629ECE13" w14:textId="202F8595" w:rsidR="00114D6E" w:rsidRDefault="00114D6E" w:rsidP="006B7606">
      <w:pPr>
        <w:pStyle w:val="FootnoteText"/>
        <w:jc w:val="both"/>
      </w:pPr>
      <w:r>
        <w:rPr>
          <w:rStyle w:val="FootnoteReference"/>
        </w:rPr>
        <w:footnoteRef/>
      </w:r>
      <w:r>
        <w:t xml:space="preserve"> L</w:t>
      </w:r>
      <w:r w:rsidR="00593F28">
        <w:t>.</w:t>
      </w:r>
      <w:r>
        <w:t xml:space="preserve"> </w:t>
      </w:r>
      <w:proofErr w:type="spellStart"/>
      <w:r>
        <w:t>Azoulai</w:t>
      </w:r>
      <w:proofErr w:type="spellEnd"/>
      <w:r>
        <w:t xml:space="preserve"> and M</w:t>
      </w:r>
      <w:r w:rsidR="00593F28">
        <w:t>.</w:t>
      </w:r>
      <w:r>
        <w:t xml:space="preserve"> </w:t>
      </w:r>
      <w:proofErr w:type="spellStart"/>
      <w:r>
        <w:t>Poi</w:t>
      </w:r>
      <w:r w:rsidR="00C91C14">
        <w:t>a</w:t>
      </w:r>
      <w:r>
        <w:t>res</w:t>
      </w:r>
      <w:proofErr w:type="spellEnd"/>
      <w:r>
        <w:t xml:space="preserve"> </w:t>
      </w:r>
      <w:proofErr w:type="spellStart"/>
      <w:r>
        <w:t>Maduo</w:t>
      </w:r>
      <w:proofErr w:type="spellEnd"/>
      <w:r>
        <w:t xml:space="preserve"> (eds), </w:t>
      </w:r>
      <w:r w:rsidRPr="00114D6E">
        <w:rPr>
          <w:i/>
          <w:iCs/>
        </w:rPr>
        <w:t>The Past and Future of EU Law: Revisiting the Classics on the 50</w:t>
      </w:r>
      <w:r w:rsidRPr="00114D6E">
        <w:rPr>
          <w:i/>
          <w:iCs/>
          <w:vertAlign w:val="superscript"/>
        </w:rPr>
        <w:t>th</w:t>
      </w:r>
      <w:r>
        <w:rPr>
          <w:i/>
          <w:iCs/>
        </w:rPr>
        <w:t xml:space="preserve"> </w:t>
      </w:r>
      <w:r w:rsidRPr="00114D6E">
        <w:rPr>
          <w:i/>
          <w:iCs/>
        </w:rPr>
        <w:t>Anniversary of the Rome Treaty</w:t>
      </w:r>
      <w:r>
        <w:t xml:space="preserve"> (Oxford: Hart Publishing, 2010).</w:t>
      </w:r>
    </w:p>
  </w:footnote>
  <w:footnote w:id="35">
    <w:p w14:paraId="76899C15" w14:textId="403FFF4A" w:rsidR="00447432" w:rsidRPr="00B57E1C" w:rsidRDefault="00447432" w:rsidP="006B7606">
      <w:pPr>
        <w:pStyle w:val="FootnoteText"/>
        <w:jc w:val="both"/>
      </w:pPr>
      <w:r>
        <w:rPr>
          <w:rStyle w:val="FootnoteReference"/>
        </w:rPr>
        <w:footnoteRef/>
      </w:r>
      <w:r w:rsidRPr="00B57E1C">
        <w:t xml:space="preserve"> </w:t>
      </w:r>
      <w:r w:rsidR="00C91C14">
        <w:t xml:space="preserve">Running to </w:t>
      </w:r>
      <w:r w:rsidR="009A453B">
        <w:t xml:space="preserve">just </w:t>
      </w:r>
      <w:r w:rsidR="00B57E1C" w:rsidRPr="00B57E1C">
        <w:t>three pa</w:t>
      </w:r>
      <w:r w:rsidR="00B57E1C">
        <w:t>ges in chapter 7</w:t>
      </w:r>
      <w:r w:rsidR="00C91C14">
        <w:t>, for example.</w:t>
      </w:r>
    </w:p>
  </w:footnote>
  <w:footnote w:id="36">
    <w:p w14:paraId="7F5EFDA4" w14:textId="70FF5C5B" w:rsidR="00444D9F" w:rsidRPr="00BC7039" w:rsidRDefault="00444D9F" w:rsidP="006B7606">
      <w:pPr>
        <w:pStyle w:val="FootnoteText"/>
        <w:jc w:val="both"/>
        <w:rPr>
          <w:lang w:val="fr-FR"/>
        </w:rPr>
      </w:pPr>
      <w:r>
        <w:rPr>
          <w:rStyle w:val="FootnoteReference"/>
        </w:rPr>
        <w:footnoteRef/>
      </w:r>
      <w:r w:rsidRPr="00BC7039">
        <w:rPr>
          <w:lang w:val="fr-FR"/>
        </w:rPr>
        <w:t xml:space="preserve"> P.</w:t>
      </w:r>
      <w:r w:rsidR="008F2036" w:rsidRPr="00BC7039">
        <w:rPr>
          <w:lang w:val="fr-FR"/>
        </w:rPr>
        <w:t xml:space="preserve"> 6.</w:t>
      </w:r>
    </w:p>
  </w:footnote>
  <w:footnote w:id="37">
    <w:p w14:paraId="64FD2F99" w14:textId="1AE44318" w:rsidR="00176D64" w:rsidRPr="00BC7039" w:rsidRDefault="00176D64" w:rsidP="006B7606">
      <w:pPr>
        <w:pStyle w:val="FootnoteText"/>
        <w:jc w:val="both"/>
        <w:rPr>
          <w:lang w:val="fr-FR"/>
        </w:rPr>
      </w:pPr>
      <w:r>
        <w:rPr>
          <w:rStyle w:val="FootnoteReference"/>
        </w:rPr>
        <w:footnoteRef/>
      </w:r>
      <w:r w:rsidRPr="00BC7039">
        <w:rPr>
          <w:lang w:val="fr-FR"/>
        </w:rPr>
        <w:t xml:space="preserve"> P.</w:t>
      </w:r>
      <w:r w:rsidR="00A40F06" w:rsidRPr="00BC7039">
        <w:rPr>
          <w:lang w:val="fr-FR"/>
        </w:rPr>
        <w:t xml:space="preserve"> 7.</w:t>
      </w:r>
    </w:p>
  </w:footnote>
  <w:footnote w:id="38">
    <w:p w14:paraId="330BF024" w14:textId="4B828DCB" w:rsidR="00014C08" w:rsidRPr="00A01723" w:rsidRDefault="00014C08" w:rsidP="006B7606">
      <w:pPr>
        <w:pStyle w:val="FootnoteText"/>
        <w:jc w:val="both"/>
        <w:rPr>
          <w:lang w:val="fr-FR"/>
        </w:rPr>
      </w:pPr>
      <w:r>
        <w:rPr>
          <w:rStyle w:val="FootnoteReference"/>
        </w:rPr>
        <w:footnoteRef/>
      </w:r>
      <w:r w:rsidRPr="00A01723">
        <w:rPr>
          <w:lang w:val="fr-FR"/>
        </w:rPr>
        <w:t xml:space="preserve"> </w:t>
      </w:r>
      <w:r w:rsidR="00B05F3B" w:rsidRPr="00A01723">
        <w:rPr>
          <w:lang w:val="fr-FR"/>
        </w:rPr>
        <w:t xml:space="preserve">See </w:t>
      </w:r>
      <w:r w:rsidR="00DC0D20" w:rsidRPr="00A01723">
        <w:rPr>
          <w:lang w:val="fr-FR"/>
        </w:rPr>
        <w:t xml:space="preserve">e.g., </w:t>
      </w:r>
      <w:r w:rsidR="00A01723" w:rsidRPr="00F2260F">
        <w:rPr>
          <w:lang w:val="fr-FR"/>
        </w:rPr>
        <w:t>R. Lecourt,</w:t>
      </w:r>
      <w:r w:rsidR="00A01723">
        <w:rPr>
          <w:lang w:val="fr-FR"/>
        </w:rPr>
        <w:t xml:space="preserve"> </w:t>
      </w:r>
      <w:r w:rsidR="00A01723" w:rsidRPr="00A41EA9">
        <w:rPr>
          <w:i/>
          <w:iCs/>
          <w:lang w:val="fr-FR"/>
        </w:rPr>
        <w:t>L’Europe des juges</w:t>
      </w:r>
      <w:r w:rsidR="00A01723">
        <w:rPr>
          <w:lang w:val="fr-FR"/>
        </w:rPr>
        <w:t xml:space="preserve"> (Bruxelles : Bruylant, 1976) and R. Lecourt,</w:t>
      </w:r>
      <w:r w:rsidR="00A01723" w:rsidRPr="00F2260F">
        <w:rPr>
          <w:lang w:val="fr-FR"/>
        </w:rPr>
        <w:t xml:space="preserve"> ‘Q</w:t>
      </w:r>
      <w:r w:rsidR="00A01723">
        <w:rPr>
          <w:lang w:val="fr-FR"/>
        </w:rPr>
        <w:t xml:space="preserve">uel eut été le doit de Communautés sans les arrêts de 1963 et 1964 ?’ in </w:t>
      </w:r>
      <w:r w:rsidR="00A01723" w:rsidRPr="00A41EA9">
        <w:rPr>
          <w:i/>
          <w:iCs/>
          <w:lang w:val="fr-FR"/>
        </w:rPr>
        <w:t>Mélanges Jean Boulouis : l’Europe et le droit</w:t>
      </w:r>
      <w:r w:rsidR="00A01723">
        <w:rPr>
          <w:lang w:val="fr-FR"/>
        </w:rPr>
        <w:t xml:space="preserve"> (Dalloz, 1991).</w:t>
      </w:r>
    </w:p>
  </w:footnote>
  <w:footnote w:id="39">
    <w:p w14:paraId="19162AC4" w14:textId="253273FE" w:rsidR="00AA0182" w:rsidRPr="00563AF2" w:rsidRDefault="00AA0182" w:rsidP="006B7606">
      <w:pPr>
        <w:pStyle w:val="FootnoteText"/>
        <w:jc w:val="both"/>
      </w:pPr>
      <w:r>
        <w:rPr>
          <w:rStyle w:val="FootnoteReference"/>
        </w:rPr>
        <w:footnoteRef/>
      </w:r>
      <w:r w:rsidRPr="00563AF2">
        <w:t xml:space="preserve"> E.g., </w:t>
      </w:r>
      <w:r w:rsidR="00563AF2" w:rsidRPr="00563AF2">
        <w:t>W</w:t>
      </w:r>
      <w:r w:rsidR="00A840F4">
        <w:t>.</w:t>
      </w:r>
      <w:r w:rsidR="00563AF2" w:rsidRPr="00563AF2">
        <w:t xml:space="preserve"> Phelan, ‘Th</w:t>
      </w:r>
      <w:r w:rsidR="00563AF2">
        <w:t xml:space="preserve">e Revolutionary Doctrines of European Law and the Legal Philosophy of Robert Lecourt’ </w:t>
      </w:r>
      <w:r w:rsidR="004A44C2">
        <w:t xml:space="preserve">(2017) </w:t>
      </w:r>
      <w:r w:rsidR="00472C74">
        <w:t>28(3)</w:t>
      </w:r>
      <w:r w:rsidR="004A44C2">
        <w:t xml:space="preserve"> </w:t>
      </w:r>
      <w:r w:rsidR="004A44C2" w:rsidRPr="00472C74">
        <w:rPr>
          <w:i/>
          <w:iCs/>
        </w:rPr>
        <w:t>European Journal of International Law</w:t>
      </w:r>
      <w:r w:rsidR="004A44C2">
        <w:t xml:space="preserve"> 935.</w:t>
      </w:r>
    </w:p>
  </w:footnote>
  <w:footnote w:id="40">
    <w:p w14:paraId="5F1BCD02" w14:textId="4779E920" w:rsidR="00014C08" w:rsidRPr="009F279E" w:rsidRDefault="00014C08" w:rsidP="006B7606">
      <w:pPr>
        <w:pStyle w:val="FootnoteText"/>
        <w:jc w:val="both"/>
      </w:pPr>
      <w:r>
        <w:rPr>
          <w:rStyle w:val="FootnoteReference"/>
        </w:rPr>
        <w:footnoteRef/>
      </w:r>
      <w:r w:rsidRPr="009F279E">
        <w:t xml:space="preserve"> E.g.,</w:t>
      </w:r>
      <w:r w:rsidR="00472C74" w:rsidRPr="009F279E">
        <w:t xml:space="preserve"> </w:t>
      </w:r>
      <w:r w:rsidR="00DA784A">
        <w:t>A</w:t>
      </w:r>
      <w:r w:rsidR="00A840F4">
        <w:t>.</w:t>
      </w:r>
      <w:r w:rsidR="00DA784A">
        <w:t xml:space="preserve"> </w:t>
      </w:r>
      <w:proofErr w:type="spellStart"/>
      <w:r w:rsidR="00DA784A">
        <w:t>Boerger</w:t>
      </w:r>
      <w:proofErr w:type="spellEnd"/>
      <w:r w:rsidR="00DA784A">
        <w:t xml:space="preserve"> and M</w:t>
      </w:r>
      <w:r w:rsidR="00A840F4">
        <w:t>.</w:t>
      </w:r>
      <w:r w:rsidR="00DA784A">
        <w:t xml:space="preserve"> Rasmussen, ‘</w:t>
      </w:r>
      <w:r w:rsidR="0039492B">
        <w:t>The Making of European Law: Exploring the Life and Work of Michel Gaudet’ (2017)</w:t>
      </w:r>
      <w:r w:rsidR="0014508D">
        <w:t xml:space="preserve"> 57</w:t>
      </w:r>
      <w:r w:rsidR="0039492B">
        <w:t xml:space="preserve"> </w:t>
      </w:r>
      <w:r w:rsidR="0039492B" w:rsidRPr="0014508D">
        <w:rPr>
          <w:i/>
          <w:iCs/>
        </w:rPr>
        <w:t>American Journal of Legal History</w:t>
      </w:r>
      <w:r w:rsidR="0039492B">
        <w:t xml:space="preserve"> </w:t>
      </w:r>
      <w:r w:rsidR="0014508D">
        <w:t>51</w:t>
      </w:r>
      <w:r w:rsidR="00F835F6">
        <w:t xml:space="preserve"> and </w:t>
      </w:r>
      <w:r w:rsidR="007760AF">
        <w:t>V. Fritz</w:t>
      </w:r>
      <w:r w:rsidR="007760AF" w:rsidRPr="009676BB">
        <w:rPr>
          <w:i/>
          <w:iCs/>
        </w:rPr>
        <w:t xml:space="preserve">, </w:t>
      </w:r>
      <w:proofErr w:type="spellStart"/>
      <w:r w:rsidR="007760AF" w:rsidRPr="009676BB">
        <w:rPr>
          <w:i/>
          <w:iCs/>
        </w:rPr>
        <w:t>Juges</w:t>
      </w:r>
      <w:proofErr w:type="spellEnd"/>
      <w:r w:rsidR="007760AF" w:rsidRPr="009676BB">
        <w:rPr>
          <w:i/>
          <w:iCs/>
        </w:rPr>
        <w:t xml:space="preserve"> et avocats </w:t>
      </w:r>
      <w:proofErr w:type="spellStart"/>
      <w:r w:rsidR="007760AF" w:rsidRPr="009676BB">
        <w:rPr>
          <w:i/>
          <w:iCs/>
        </w:rPr>
        <w:t>g</w:t>
      </w:r>
      <w:r w:rsidR="00252D82" w:rsidRPr="00252D82">
        <w:t>é</w:t>
      </w:r>
      <w:r w:rsidR="007760AF" w:rsidRPr="009676BB">
        <w:rPr>
          <w:i/>
          <w:iCs/>
        </w:rPr>
        <w:t>n</w:t>
      </w:r>
      <w:r w:rsidR="00252D82" w:rsidRPr="00252D82">
        <w:t>é</w:t>
      </w:r>
      <w:r w:rsidR="007760AF" w:rsidRPr="009676BB">
        <w:rPr>
          <w:i/>
          <w:iCs/>
        </w:rPr>
        <w:t>raux</w:t>
      </w:r>
      <w:proofErr w:type="spellEnd"/>
      <w:r w:rsidR="007760AF" w:rsidRPr="009676BB">
        <w:rPr>
          <w:i/>
          <w:iCs/>
        </w:rPr>
        <w:t xml:space="preserve"> </w:t>
      </w:r>
      <w:r w:rsidR="00CA20DF" w:rsidRPr="009676BB">
        <w:rPr>
          <w:i/>
          <w:iCs/>
        </w:rPr>
        <w:t xml:space="preserve">de la </w:t>
      </w:r>
      <w:proofErr w:type="spellStart"/>
      <w:r w:rsidR="00CA20DF" w:rsidRPr="009676BB">
        <w:rPr>
          <w:i/>
          <w:iCs/>
        </w:rPr>
        <w:t>Cour</w:t>
      </w:r>
      <w:proofErr w:type="spellEnd"/>
      <w:r w:rsidR="00CA20DF" w:rsidRPr="009676BB">
        <w:rPr>
          <w:i/>
          <w:iCs/>
        </w:rPr>
        <w:t xml:space="preserve"> de </w:t>
      </w:r>
      <w:proofErr w:type="spellStart"/>
      <w:r w:rsidR="00CA20DF" w:rsidRPr="009676BB">
        <w:rPr>
          <w:i/>
          <w:iCs/>
        </w:rPr>
        <w:t>l’Union</w:t>
      </w:r>
      <w:proofErr w:type="spellEnd"/>
      <w:r w:rsidR="00CA20DF" w:rsidRPr="009676BB">
        <w:rPr>
          <w:i/>
          <w:iCs/>
        </w:rPr>
        <w:t xml:space="preserve"> </w:t>
      </w:r>
      <w:proofErr w:type="spellStart"/>
      <w:r w:rsidR="00CA20DF" w:rsidRPr="009676BB">
        <w:rPr>
          <w:i/>
          <w:iCs/>
        </w:rPr>
        <w:t>europ</w:t>
      </w:r>
      <w:r w:rsidR="00252D82" w:rsidRPr="00252D82">
        <w:t>é</w:t>
      </w:r>
      <w:r w:rsidR="00CA20DF" w:rsidRPr="009676BB">
        <w:rPr>
          <w:i/>
          <w:iCs/>
        </w:rPr>
        <w:t>enne</w:t>
      </w:r>
      <w:proofErr w:type="spellEnd"/>
      <w:r w:rsidR="00CA20DF" w:rsidRPr="009676BB">
        <w:rPr>
          <w:i/>
          <w:iCs/>
        </w:rPr>
        <w:t xml:space="preserve"> (1952-1972): </w:t>
      </w:r>
      <w:proofErr w:type="spellStart"/>
      <w:r w:rsidR="00CA20DF" w:rsidRPr="009676BB">
        <w:rPr>
          <w:i/>
          <w:iCs/>
        </w:rPr>
        <w:t>une</w:t>
      </w:r>
      <w:proofErr w:type="spellEnd"/>
      <w:r w:rsidR="00CA20DF" w:rsidRPr="009676BB">
        <w:rPr>
          <w:i/>
          <w:iCs/>
        </w:rPr>
        <w:t xml:space="preserve"> </w:t>
      </w:r>
      <w:proofErr w:type="spellStart"/>
      <w:r w:rsidR="00CA20DF" w:rsidRPr="009676BB">
        <w:rPr>
          <w:i/>
          <w:iCs/>
        </w:rPr>
        <w:t>approache</w:t>
      </w:r>
      <w:proofErr w:type="spellEnd"/>
      <w:r w:rsidR="00CA20DF" w:rsidRPr="009676BB">
        <w:rPr>
          <w:i/>
          <w:iCs/>
        </w:rPr>
        <w:t xml:space="preserve"> </w:t>
      </w:r>
      <w:proofErr w:type="spellStart"/>
      <w:r w:rsidR="00CA20DF" w:rsidRPr="009676BB">
        <w:rPr>
          <w:i/>
          <w:iCs/>
        </w:rPr>
        <w:t>biograph</w:t>
      </w:r>
      <w:r w:rsidR="00AC54CF" w:rsidRPr="009676BB">
        <w:rPr>
          <w:i/>
          <w:iCs/>
        </w:rPr>
        <w:t>ique</w:t>
      </w:r>
      <w:proofErr w:type="spellEnd"/>
      <w:r w:rsidR="00AC54CF" w:rsidRPr="009676BB">
        <w:rPr>
          <w:i/>
          <w:iCs/>
        </w:rPr>
        <w:t xml:space="preserve"> de </w:t>
      </w:r>
      <w:proofErr w:type="spellStart"/>
      <w:r w:rsidR="00AC54CF" w:rsidRPr="009676BB">
        <w:rPr>
          <w:i/>
          <w:iCs/>
        </w:rPr>
        <w:t>l’histoire</w:t>
      </w:r>
      <w:proofErr w:type="spellEnd"/>
      <w:r w:rsidR="00AC54CF" w:rsidRPr="009676BB">
        <w:rPr>
          <w:i/>
          <w:iCs/>
        </w:rPr>
        <w:t xml:space="preserve"> </w:t>
      </w:r>
      <w:proofErr w:type="spellStart"/>
      <w:r w:rsidR="00AC54CF" w:rsidRPr="009676BB">
        <w:rPr>
          <w:i/>
          <w:iCs/>
        </w:rPr>
        <w:t>d’une</w:t>
      </w:r>
      <w:proofErr w:type="spellEnd"/>
      <w:r w:rsidR="00AC54CF" w:rsidRPr="009676BB">
        <w:rPr>
          <w:i/>
          <w:iCs/>
        </w:rPr>
        <w:t xml:space="preserve"> </w:t>
      </w:r>
      <w:proofErr w:type="spellStart"/>
      <w:r w:rsidR="00AC54CF" w:rsidRPr="009676BB">
        <w:rPr>
          <w:i/>
          <w:iCs/>
        </w:rPr>
        <w:t>r</w:t>
      </w:r>
      <w:r w:rsidR="0018287A" w:rsidRPr="0018287A">
        <w:t>é</w:t>
      </w:r>
      <w:r w:rsidR="00AC54CF" w:rsidRPr="009676BB">
        <w:rPr>
          <w:i/>
          <w:iCs/>
        </w:rPr>
        <w:t>volution</w:t>
      </w:r>
      <w:proofErr w:type="spellEnd"/>
      <w:r w:rsidR="00AC54CF" w:rsidRPr="009676BB">
        <w:rPr>
          <w:i/>
          <w:iCs/>
        </w:rPr>
        <w:t xml:space="preserve"> </w:t>
      </w:r>
      <w:proofErr w:type="spellStart"/>
      <w:r w:rsidR="00AC54CF" w:rsidRPr="009676BB">
        <w:rPr>
          <w:i/>
          <w:iCs/>
        </w:rPr>
        <w:t>juridique</w:t>
      </w:r>
      <w:proofErr w:type="spellEnd"/>
      <w:r w:rsidR="009676BB">
        <w:t xml:space="preserve"> (Frankfurt: </w:t>
      </w:r>
      <w:proofErr w:type="spellStart"/>
      <w:r w:rsidR="009676BB">
        <w:t>Klostermann</w:t>
      </w:r>
      <w:proofErr w:type="spellEnd"/>
      <w:r w:rsidR="009676BB">
        <w:t xml:space="preserve">, 2018). </w:t>
      </w:r>
    </w:p>
  </w:footnote>
  <w:footnote w:id="41">
    <w:p w14:paraId="29C1B5B7" w14:textId="6E63A697" w:rsidR="00681E86" w:rsidRDefault="00681E86" w:rsidP="006B7606">
      <w:pPr>
        <w:pStyle w:val="FootnoteText"/>
        <w:jc w:val="both"/>
      </w:pPr>
      <w:r>
        <w:rPr>
          <w:rStyle w:val="FootnoteReference"/>
        </w:rPr>
        <w:footnoteRef/>
      </w:r>
      <w:r w:rsidR="00BE5B51">
        <w:t xml:space="preserve"> See</w:t>
      </w:r>
      <w:r w:rsidR="00A00800">
        <w:t xml:space="preserve"> e.g., J</w:t>
      </w:r>
      <w:r w:rsidR="004B535F">
        <w:t>. H. H.</w:t>
      </w:r>
      <w:r w:rsidR="00A00800">
        <w:t xml:space="preserve"> Weiler at</w:t>
      </w:r>
      <w:r>
        <w:t xml:space="preserve"> </w:t>
      </w:r>
      <w:hyperlink r:id="rId2" w:history="1">
        <w:r w:rsidR="00BE5B51" w:rsidRPr="00C40C9C">
          <w:rPr>
            <w:rStyle w:val="Hyperlink"/>
          </w:rPr>
          <w:t>https://www.ejiltalk.org/10-good-reads-part-2/</w:t>
        </w:r>
      </w:hyperlink>
      <w:r w:rsidR="00BE5B51">
        <w:t xml:space="preserve"> </w:t>
      </w:r>
      <w:r w:rsidR="00FD0248">
        <w:t xml:space="preserve"> (accessed 12/</w:t>
      </w:r>
      <w:r w:rsidR="00E44B0F">
        <w:t>06/21).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4AAE"/>
    <w:multiLevelType w:val="hybridMultilevel"/>
    <w:tmpl w:val="6928AE0C"/>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15"/>
    <w:rsid w:val="0000079C"/>
    <w:rsid w:val="00000807"/>
    <w:rsid w:val="00002141"/>
    <w:rsid w:val="000025AA"/>
    <w:rsid w:val="00002DCF"/>
    <w:rsid w:val="0000449D"/>
    <w:rsid w:val="0000593D"/>
    <w:rsid w:val="00005EAD"/>
    <w:rsid w:val="00006771"/>
    <w:rsid w:val="000077D2"/>
    <w:rsid w:val="00007A03"/>
    <w:rsid w:val="000107F6"/>
    <w:rsid w:val="00011ACD"/>
    <w:rsid w:val="00011FCF"/>
    <w:rsid w:val="000130E5"/>
    <w:rsid w:val="000141CE"/>
    <w:rsid w:val="00014C08"/>
    <w:rsid w:val="00016E49"/>
    <w:rsid w:val="00017E14"/>
    <w:rsid w:val="00023104"/>
    <w:rsid w:val="0002488F"/>
    <w:rsid w:val="00025CB7"/>
    <w:rsid w:val="00027CBA"/>
    <w:rsid w:val="00030612"/>
    <w:rsid w:val="000307BF"/>
    <w:rsid w:val="000335A7"/>
    <w:rsid w:val="00033F91"/>
    <w:rsid w:val="000358C7"/>
    <w:rsid w:val="000361C7"/>
    <w:rsid w:val="00036A9A"/>
    <w:rsid w:val="00037B63"/>
    <w:rsid w:val="000405CF"/>
    <w:rsid w:val="00041BA8"/>
    <w:rsid w:val="00042914"/>
    <w:rsid w:val="00044357"/>
    <w:rsid w:val="00046075"/>
    <w:rsid w:val="0004696F"/>
    <w:rsid w:val="00047348"/>
    <w:rsid w:val="00051CD4"/>
    <w:rsid w:val="00053C9E"/>
    <w:rsid w:val="00054425"/>
    <w:rsid w:val="00056928"/>
    <w:rsid w:val="00057287"/>
    <w:rsid w:val="00057DFA"/>
    <w:rsid w:val="000605EB"/>
    <w:rsid w:val="00061FA0"/>
    <w:rsid w:val="0006297F"/>
    <w:rsid w:val="00063F0C"/>
    <w:rsid w:val="00063F7A"/>
    <w:rsid w:val="00064698"/>
    <w:rsid w:val="00064902"/>
    <w:rsid w:val="00065BA8"/>
    <w:rsid w:val="00067547"/>
    <w:rsid w:val="0007035D"/>
    <w:rsid w:val="000707B2"/>
    <w:rsid w:val="000742A7"/>
    <w:rsid w:val="000742CD"/>
    <w:rsid w:val="0007557D"/>
    <w:rsid w:val="00076A32"/>
    <w:rsid w:val="00077844"/>
    <w:rsid w:val="00077E7D"/>
    <w:rsid w:val="000835A8"/>
    <w:rsid w:val="00084075"/>
    <w:rsid w:val="000872D2"/>
    <w:rsid w:val="00090D78"/>
    <w:rsid w:val="0009115D"/>
    <w:rsid w:val="00092104"/>
    <w:rsid w:val="0009220B"/>
    <w:rsid w:val="0009383D"/>
    <w:rsid w:val="000939A6"/>
    <w:rsid w:val="00097ED4"/>
    <w:rsid w:val="000A1D37"/>
    <w:rsid w:val="000A2738"/>
    <w:rsid w:val="000A5135"/>
    <w:rsid w:val="000A55D3"/>
    <w:rsid w:val="000A5C54"/>
    <w:rsid w:val="000B1AFD"/>
    <w:rsid w:val="000B3700"/>
    <w:rsid w:val="000B3AF5"/>
    <w:rsid w:val="000B4621"/>
    <w:rsid w:val="000B5409"/>
    <w:rsid w:val="000B64CA"/>
    <w:rsid w:val="000B66AC"/>
    <w:rsid w:val="000B6A2D"/>
    <w:rsid w:val="000B6D92"/>
    <w:rsid w:val="000B7433"/>
    <w:rsid w:val="000C0429"/>
    <w:rsid w:val="000C0ECD"/>
    <w:rsid w:val="000C2585"/>
    <w:rsid w:val="000C3B6B"/>
    <w:rsid w:val="000C53A6"/>
    <w:rsid w:val="000C5A66"/>
    <w:rsid w:val="000C6C27"/>
    <w:rsid w:val="000C77EC"/>
    <w:rsid w:val="000D0355"/>
    <w:rsid w:val="000D069A"/>
    <w:rsid w:val="000D1982"/>
    <w:rsid w:val="000D1DDA"/>
    <w:rsid w:val="000D318F"/>
    <w:rsid w:val="000D33CF"/>
    <w:rsid w:val="000D3A82"/>
    <w:rsid w:val="000D411A"/>
    <w:rsid w:val="000D65AE"/>
    <w:rsid w:val="000D790E"/>
    <w:rsid w:val="000E1CF2"/>
    <w:rsid w:val="000E3831"/>
    <w:rsid w:val="000E5AAE"/>
    <w:rsid w:val="000E7FE6"/>
    <w:rsid w:val="000F269C"/>
    <w:rsid w:val="000F461A"/>
    <w:rsid w:val="000F5B95"/>
    <w:rsid w:val="000F7F24"/>
    <w:rsid w:val="00100B75"/>
    <w:rsid w:val="0010104D"/>
    <w:rsid w:val="00102060"/>
    <w:rsid w:val="0010271D"/>
    <w:rsid w:val="00104F20"/>
    <w:rsid w:val="001070F5"/>
    <w:rsid w:val="00107A25"/>
    <w:rsid w:val="001102E5"/>
    <w:rsid w:val="001128A4"/>
    <w:rsid w:val="00114260"/>
    <w:rsid w:val="00114696"/>
    <w:rsid w:val="001149AE"/>
    <w:rsid w:val="00114D6E"/>
    <w:rsid w:val="001156AC"/>
    <w:rsid w:val="0011601E"/>
    <w:rsid w:val="00117014"/>
    <w:rsid w:val="001179BD"/>
    <w:rsid w:val="00120D31"/>
    <w:rsid w:val="00121E3B"/>
    <w:rsid w:val="0012419E"/>
    <w:rsid w:val="00124FD6"/>
    <w:rsid w:val="001257AB"/>
    <w:rsid w:val="0012631C"/>
    <w:rsid w:val="00130B1C"/>
    <w:rsid w:val="00130D6E"/>
    <w:rsid w:val="001310BD"/>
    <w:rsid w:val="00131D3D"/>
    <w:rsid w:val="001324F2"/>
    <w:rsid w:val="001327AE"/>
    <w:rsid w:val="00133D66"/>
    <w:rsid w:val="0013463D"/>
    <w:rsid w:val="0013505F"/>
    <w:rsid w:val="001357ED"/>
    <w:rsid w:val="00136A88"/>
    <w:rsid w:val="00136F9C"/>
    <w:rsid w:val="0013751B"/>
    <w:rsid w:val="00142958"/>
    <w:rsid w:val="00142DA9"/>
    <w:rsid w:val="001449D0"/>
    <w:rsid w:val="00144D60"/>
    <w:rsid w:val="0014508D"/>
    <w:rsid w:val="0014512F"/>
    <w:rsid w:val="001502B6"/>
    <w:rsid w:val="0015343B"/>
    <w:rsid w:val="00153778"/>
    <w:rsid w:val="00154719"/>
    <w:rsid w:val="00155BE3"/>
    <w:rsid w:val="00161571"/>
    <w:rsid w:val="00161F8D"/>
    <w:rsid w:val="00163B6F"/>
    <w:rsid w:val="00166915"/>
    <w:rsid w:val="00166A47"/>
    <w:rsid w:val="00166AC7"/>
    <w:rsid w:val="00167272"/>
    <w:rsid w:val="001713B9"/>
    <w:rsid w:val="001724D9"/>
    <w:rsid w:val="00174165"/>
    <w:rsid w:val="0017567E"/>
    <w:rsid w:val="0017584B"/>
    <w:rsid w:val="00176D64"/>
    <w:rsid w:val="001805A6"/>
    <w:rsid w:val="00181B30"/>
    <w:rsid w:val="0018287A"/>
    <w:rsid w:val="00182880"/>
    <w:rsid w:val="0018288A"/>
    <w:rsid w:val="001861BF"/>
    <w:rsid w:val="001869DC"/>
    <w:rsid w:val="001871BD"/>
    <w:rsid w:val="001901EF"/>
    <w:rsid w:val="00191A4E"/>
    <w:rsid w:val="00192AA1"/>
    <w:rsid w:val="0019474A"/>
    <w:rsid w:val="00194BEF"/>
    <w:rsid w:val="00195454"/>
    <w:rsid w:val="00195811"/>
    <w:rsid w:val="00195A51"/>
    <w:rsid w:val="00196619"/>
    <w:rsid w:val="00197FD9"/>
    <w:rsid w:val="001A0096"/>
    <w:rsid w:val="001A0AB7"/>
    <w:rsid w:val="001A1C3F"/>
    <w:rsid w:val="001A1D5C"/>
    <w:rsid w:val="001A3A47"/>
    <w:rsid w:val="001A3CB4"/>
    <w:rsid w:val="001A414C"/>
    <w:rsid w:val="001A5CD7"/>
    <w:rsid w:val="001A5EDB"/>
    <w:rsid w:val="001A7501"/>
    <w:rsid w:val="001B00BE"/>
    <w:rsid w:val="001B0DB9"/>
    <w:rsid w:val="001B19B4"/>
    <w:rsid w:val="001B2297"/>
    <w:rsid w:val="001B376F"/>
    <w:rsid w:val="001B4476"/>
    <w:rsid w:val="001B565A"/>
    <w:rsid w:val="001B5AAB"/>
    <w:rsid w:val="001C12FE"/>
    <w:rsid w:val="001C3C36"/>
    <w:rsid w:val="001C4F18"/>
    <w:rsid w:val="001D268F"/>
    <w:rsid w:val="001D5A6C"/>
    <w:rsid w:val="001D6170"/>
    <w:rsid w:val="001D6890"/>
    <w:rsid w:val="001D693F"/>
    <w:rsid w:val="001D7794"/>
    <w:rsid w:val="001D7852"/>
    <w:rsid w:val="001E1779"/>
    <w:rsid w:val="001E2D28"/>
    <w:rsid w:val="001E44BB"/>
    <w:rsid w:val="001E54EA"/>
    <w:rsid w:val="001E5FD4"/>
    <w:rsid w:val="001F0A91"/>
    <w:rsid w:val="001F20A2"/>
    <w:rsid w:val="001F27B0"/>
    <w:rsid w:val="001F34D8"/>
    <w:rsid w:val="001F4821"/>
    <w:rsid w:val="001F487A"/>
    <w:rsid w:val="001F54CF"/>
    <w:rsid w:val="00200062"/>
    <w:rsid w:val="00200E72"/>
    <w:rsid w:val="00200F3E"/>
    <w:rsid w:val="00202590"/>
    <w:rsid w:val="0020479F"/>
    <w:rsid w:val="00204897"/>
    <w:rsid w:val="002048E7"/>
    <w:rsid w:val="00204E61"/>
    <w:rsid w:val="00206233"/>
    <w:rsid w:val="002069D5"/>
    <w:rsid w:val="002105DB"/>
    <w:rsid w:val="00213FFE"/>
    <w:rsid w:val="00215538"/>
    <w:rsid w:val="00215577"/>
    <w:rsid w:val="00215C08"/>
    <w:rsid w:val="00216247"/>
    <w:rsid w:val="00216E4F"/>
    <w:rsid w:val="0021766E"/>
    <w:rsid w:val="002176F7"/>
    <w:rsid w:val="00217723"/>
    <w:rsid w:val="00217A14"/>
    <w:rsid w:val="00220D64"/>
    <w:rsid w:val="0022293E"/>
    <w:rsid w:val="00222C37"/>
    <w:rsid w:val="00224EA3"/>
    <w:rsid w:val="002262A4"/>
    <w:rsid w:val="00227F77"/>
    <w:rsid w:val="00230424"/>
    <w:rsid w:val="00231978"/>
    <w:rsid w:val="00231AB0"/>
    <w:rsid w:val="0023209F"/>
    <w:rsid w:val="00237417"/>
    <w:rsid w:val="00237F71"/>
    <w:rsid w:val="002408D0"/>
    <w:rsid w:val="00242772"/>
    <w:rsid w:val="00243B40"/>
    <w:rsid w:val="00247B79"/>
    <w:rsid w:val="00250DF4"/>
    <w:rsid w:val="0025105D"/>
    <w:rsid w:val="0025172E"/>
    <w:rsid w:val="00251D17"/>
    <w:rsid w:val="00252D82"/>
    <w:rsid w:val="00253671"/>
    <w:rsid w:val="00254984"/>
    <w:rsid w:val="00255C75"/>
    <w:rsid w:val="00257839"/>
    <w:rsid w:val="00257ED7"/>
    <w:rsid w:val="0026125A"/>
    <w:rsid w:val="00261A52"/>
    <w:rsid w:val="00264785"/>
    <w:rsid w:val="00265A86"/>
    <w:rsid w:val="00266BA4"/>
    <w:rsid w:val="002675A1"/>
    <w:rsid w:val="0026784D"/>
    <w:rsid w:val="00270557"/>
    <w:rsid w:val="002725F1"/>
    <w:rsid w:val="002739C5"/>
    <w:rsid w:val="002775ED"/>
    <w:rsid w:val="0028079A"/>
    <w:rsid w:val="00281289"/>
    <w:rsid w:val="00282872"/>
    <w:rsid w:val="00283147"/>
    <w:rsid w:val="002843E9"/>
    <w:rsid w:val="002852D9"/>
    <w:rsid w:val="0028543F"/>
    <w:rsid w:val="0028561D"/>
    <w:rsid w:val="0028572E"/>
    <w:rsid w:val="00285B6F"/>
    <w:rsid w:val="002860EB"/>
    <w:rsid w:val="00286D3A"/>
    <w:rsid w:val="00286E4D"/>
    <w:rsid w:val="00292422"/>
    <w:rsid w:val="00292678"/>
    <w:rsid w:val="0029327F"/>
    <w:rsid w:val="002943A2"/>
    <w:rsid w:val="00295B98"/>
    <w:rsid w:val="00296002"/>
    <w:rsid w:val="002976CB"/>
    <w:rsid w:val="002A30C3"/>
    <w:rsid w:val="002A3772"/>
    <w:rsid w:val="002A42B0"/>
    <w:rsid w:val="002A483C"/>
    <w:rsid w:val="002A6102"/>
    <w:rsid w:val="002A64EF"/>
    <w:rsid w:val="002A67D2"/>
    <w:rsid w:val="002A759E"/>
    <w:rsid w:val="002B0658"/>
    <w:rsid w:val="002B1384"/>
    <w:rsid w:val="002B1515"/>
    <w:rsid w:val="002B1871"/>
    <w:rsid w:val="002B41E7"/>
    <w:rsid w:val="002B4291"/>
    <w:rsid w:val="002B626C"/>
    <w:rsid w:val="002B6A83"/>
    <w:rsid w:val="002B6B47"/>
    <w:rsid w:val="002B79C5"/>
    <w:rsid w:val="002C09D5"/>
    <w:rsid w:val="002C19CB"/>
    <w:rsid w:val="002C1E64"/>
    <w:rsid w:val="002C239C"/>
    <w:rsid w:val="002C2568"/>
    <w:rsid w:val="002C2A35"/>
    <w:rsid w:val="002C381F"/>
    <w:rsid w:val="002C4212"/>
    <w:rsid w:val="002C4260"/>
    <w:rsid w:val="002C539F"/>
    <w:rsid w:val="002C5AF4"/>
    <w:rsid w:val="002C69D3"/>
    <w:rsid w:val="002C7BBB"/>
    <w:rsid w:val="002D1BBB"/>
    <w:rsid w:val="002D2639"/>
    <w:rsid w:val="002D5CC1"/>
    <w:rsid w:val="002D6F15"/>
    <w:rsid w:val="002D7055"/>
    <w:rsid w:val="002E0A87"/>
    <w:rsid w:val="002E11E8"/>
    <w:rsid w:val="002E1758"/>
    <w:rsid w:val="002E32F1"/>
    <w:rsid w:val="002E6C79"/>
    <w:rsid w:val="002E77A4"/>
    <w:rsid w:val="002E7FA3"/>
    <w:rsid w:val="002F07AD"/>
    <w:rsid w:val="002F3504"/>
    <w:rsid w:val="002F3E13"/>
    <w:rsid w:val="002F673A"/>
    <w:rsid w:val="00300693"/>
    <w:rsid w:val="00300C1A"/>
    <w:rsid w:val="0030509E"/>
    <w:rsid w:val="00305170"/>
    <w:rsid w:val="00305414"/>
    <w:rsid w:val="0030621C"/>
    <w:rsid w:val="00306D09"/>
    <w:rsid w:val="0030705A"/>
    <w:rsid w:val="00307576"/>
    <w:rsid w:val="00307A3E"/>
    <w:rsid w:val="003140EE"/>
    <w:rsid w:val="00314BBA"/>
    <w:rsid w:val="00314E5F"/>
    <w:rsid w:val="00314ED3"/>
    <w:rsid w:val="00314F03"/>
    <w:rsid w:val="00317822"/>
    <w:rsid w:val="00317B1B"/>
    <w:rsid w:val="00317E0A"/>
    <w:rsid w:val="00317E84"/>
    <w:rsid w:val="0032354F"/>
    <w:rsid w:val="003240EF"/>
    <w:rsid w:val="00326619"/>
    <w:rsid w:val="00326A2A"/>
    <w:rsid w:val="00326F08"/>
    <w:rsid w:val="00331A76"/>
    <w:rsid w:val="00332E52"/>
    <w:rsid w:val="0033392E"/>
    <w:rsid w:val="00333B4B"/>
    <w:rsid w:val="0033421F"/>
    <w:rsid w:val="00334286"/>
    <w:rsid w:val="0033494E"/>
    <w:rsid w:val="0033568E"/>
    <w:rsid w:val="003359F2"/>
    <w:rsid w:val="0033615B"/>
    <w:rsid w:val="00336525"/>
    <w:rsid w:val="00340E50"/>
    <w:rsid w:val="003420A4"/>
    <w:rsid w:val="00342731"/>
    <w:rsid w:val="00342DEF"/>
    <w:rsid w:val="00343608"/>
    <w:rsid w:val="003439A0"/>
    <w:rsid w:val="00343AE9"/>
    <w:rsid w:val="0034527E"/>
    <w:rsid w:val="00345415"/>
    <w:rsid w:val="00345751"/>
    <w:rsid w:val="00346E8F"/>
    <w:rsid w:val="0034785A"/>
    <w:rsid w:val="00347B98"/>
    <w:rsid w:val="00350516"/>
    <w:rsid w:val="003511A9"/>
    <w:rsid w:val="00351EC9"/>
    <w:rsid w:val="00351F60"/>
    <w:rsid w:val="0035229D"/>
    <w:rsid w:val="003522F3"/>
    <w:rsid w:val="003523EB"/>
    <w:rsid w:val="003539D9"/>
    <w:rsid w:val="003543E1"/>
    <w:rsid w:val="003559B0"/>
    <w:rsid w:val="0036014E"/>
    <w:rsid w:val="003607C9"/>
    <w:rsid w:val="003611CA"/>
    <w:rsid w:val="00362550"/>
    <w:rsid w:val="00363B4E"/>
    <w:rsid w:val="0036445A"/>
    <w:rsid w:val="00366546"/>
    <w:rsid w:val="00366B67"/>
    <w:rsid w:val="00366D23"/>
    <w:rsid w:val="00370756"/>
    <w:rsid w:val="003710A9"/>
    <w:rsid w:val="003721C4"/>
    <w:rsid w:val="003729C4"/>
    <w:rsid w:val="00373279"/>
    <w:rsid w:val="0037572D"/>
    <w:rsid w:val="003765BD"/>
    <w:rsid w:val="0037699D"/>
    <w:rsid w:val="00377F0F"/>
    <w:rsid w:val="003815BC"/>
    <w:rsid w:val="00381680"/>
    <w:rsid w:val="00381D48"/>
    <w:rsid w:val="00383C2A"/>
    <w:rsid w:val="0038504E"/>
    <w:rsid w:val="0039210B"/>
    <w:rsid w:val="00392AB0"/>
    <w:rsid w:val="0039492B"/>
    <w:rsid w:val="003958FC"/>
    <w:rsid w:val="003A0708"/>
    <w:rsid w:val="003A1F85"/>
    <w:rsid w:val="003A2AA8"/>
    <w:rsid w:val="003A32CD"/>
    <w:rsid w:val="003A36E7"/>
    <w:rsid w:val="003A3833"/>
    <w:rsid w:val="003A42FF"/>
    <w:rsid w:val="003A4603"/>
    <w:rsid w:val="003A5AB1"/>
    <w:rsid w:val="003A61FD"/>
    <w:rsid w:val="003A6629"/>
    <w:rsid w:val="003A78B2"/>
    <w:rsid w:val="003B0135"/>
    <w:rsid w:val="003B1841"/>
    <w:rsid w:val="003B220E"/>
    <w:rsid w:val="003B2BFB"/>
    <w:rsid w:val="003B2F52"/>
    <w:rsid w:val="003B4D4F"/>
    <w:rsid w:val="003B6C8B"/>
    <w:rsid w:val="003B7AB7"/>
    <w:rsid w:val="003C0348"/>
    <w:rsid w:val="003C0CA6"/>
    <w:rsid w:val="003C0F48"/>
    <w:rsid w:val="003C120A"/>
    <w:rsid w:val="003C1CDA"/>
    <w:rsid w:val="003C2DC4"/>
    <w:rsid w:val="003C2F3B"/>
    <w:rsid w:val="003D089A"/>
    <w:rsid w:val="003D132F"/>
    <w:rsid w:val="003D1BA0"/>
    <w:rsid w:val="003D2BB5"/>
    <w:rsid w:val="003D473A"/>
    <w:rsid w:val="003D6EF4"/>
    <w:rsid w:val="003E2052"/>
    <w:rsid w:val="003E2A51"/>
    <w:rsid w:val="003E39C6"/>
    <w:rsid w:val="003E3DD6"/>
    <w:rsid w:val="003E535F"/>
    <w:rsid w:val="003E5498"/>
    <w:rsid w:val="003E588C"/>
    <w:rsid w:val="003E5C41"/>
    <w:rsid w:val="003E5F78"/>
    <w:rsid w:val="003E7877"/>
    <w:rsid w:val="003F116A"/>
    <w:rsid w:val="003F1CD7"/>
    <w:rsid w:val="003F2A16"/>
    <w:rsid w:val="003F425D"/>
    <w:rsid w:val="003F4A1F"/>
    <w:rsid w:val="003F4EEE"/>
    <w:rsid w:val="003F75FC"/>
    <w:rsid w:val="004005CA"/>
    <w:rsid w:val="00402EA1"/>
    <w:rsid w:val="00403A72"/>
    <w:rsid w:val="004043A9"/>
    <w:rsid w:val="00407C57"/>
    <w:rsid w:val="00407F43"/>
    <w:rsid w:val="0041076D"/>
    <w:rsid w:val="004135ED"/>
    <w:rsid w:val="00414E0F"/>
    <w:rsid w:val="00414E2E"/>
    <w:rsid w:val="00415396"/>
    <w:rsid w:val="00415F2D"/>
    <w:rsid w:val="00416C00"/>
    <w:rsid w:val="00420595"/>
    <w:rsid w:val="00420693"/>
    <w:rsid w:val="004223BC"/>
    <w:rsid w:val="00423CD6"/>
    <w:rsid w:val="004249D7"/>
    <w:rsid w:val="004263A9"/>
    <w:rsid w:val="004265C8"/>
    <w:rsid w:val="00426920"/>
    <w:rsid w:val="00427F41"/>
    <w:rsid w:val="00431D2C"/>
    <w:rsid w:val="0043339C"/>
    <w:rsid w:val="004337A5"/>
    <w:rsid w:val="00436414"/>
    <w:rsid w:val="0044100E"/>
    <w:rsid w:val="00441A8D"/>
    <w:rsid w:val="004434CD"/>
    <w:rsid w:val="00444D9F"/>
    <w:rsid w:val="00447432"/>
    <w:rsid w:val="0044759E"/>
    <w:rsid w:val="00447C0D"/>
    <w:rsid w:val="00450B84"/>
    <w:rsid w:val="00452791"/>
    <w:rsid w:val="0045519E"/>
    <w:rsid w:val="00460C4E"/>
    <w:rsid w:val="00460E61"/>
    <w:rsid w:val="00461505"/>
    <w:rsid w:val="0046197B"/>
    <w:rsid w:val="00461BA6"/>
    <w:rsid w:val="00461C02"/>
    <w:rsid w:val="0046271D"/>
    <w:rsid w:val="004628B6"/>
    <w:rsid w:val="004637C9"/>
    <w:rsid w:val="004646AA"/>
    <w:rsid w:val="00464944"/>
    <w:rsid w:val="00465425"/>
    <w:rsid w:val="00466DF6"/>
    <w:rsid w:val="00467212"/>
    <w:rsid w:val="00470224"/>
    <w:rsid w:val="004711C0"/>
    <w:rsid w:val="004717F7"/>
    <w:rsid w:val="00471930"/>
    <w:rsid w:val="0047208A"/>
    <w:rsid w:val="00472C74"/>
    <w:rsid w:val="0047334A"/>
    <w:rsid w:val="004739A3"/>
    <w:rsid w:val="00474E01"/>
    <w:rsid w:val="0047503C"/>
    <w:rsid w:val="00480293"/>
    <w:rsid w:val="004818C4"/>
    <w:rsid w:val="00481910"/>
    <w:rsid w:val="00482538"/>
    <w:rsid w:val="004829D9"/>
    <w:rsid w:val="004831A5"/>
    <w:rsid w:val="0048357D"/>
    <w:rsid w:val="00484C58"/>
    <w:rsid w:val="00484F2E"/>
    <w:rsid w:val="00486A9D"/>
    <w:rsid w:val="004871FF"/>
    <w:rsid w:val="00487772"/>
    <w:rsid w:val="00487818"/>
    <w:rsid w:val="00490549"/>
    <w:rsid w:val="00490C77"/>
    <w:rsid w:val="004928D1"/>
    <w:rsid w:val="00495554"/>
    <w:rsid w:val="00495B8D"/>
    <w:rsid w:val="00497059"/>
    <w:rsid w:val="00497240"/>
    <w:rsid w:val="00497746"/>
    <w:rsid w:val="00497A44"/>
    <w:rsid w:val="00497AA8"/>
    <w:rsid w:val="004A1A63"/>
    <w:rsid w:val="004A2D4F"/>
    <w:rsid w:val="004A35EE"/>
    <w:rsid w:val="004A3A91"/>
    <w:rsid w:val="004A4456"/>
    <w:rsid w:val="004A44C2"/>
    <w:rsid w:val="004A4DFA"/>
    <w:rsid w:val="004A5728"/>
    <w:rsid w:val="004A5B64"/>
    <w:rsid w:val="004B0191"/>
    <w:rsid w:val="004B04F5"/>
    <w:rsid w:val="004B2658"/>
    <w:rsid w:val="004B2E88"/>
    <w:rsid w:val="004B453B"/>
    <w:rsid w:val="004B4910"/>
    <w:rsid w:val="004B535F"/>
    <w:rsid w:val="004B6735"/>
    <w:rsid w:val="004B6CA5"/>
    <w:rsid w:val="004B7338"/>
    <w:rsid w:val="004C0459"/>
    <w:rsid w:val="004C33CF"/>
    <w:rsid w:val="004C3400"/>
    <w:rsid w:val="004C40E3"/>
    <w:rsid w:val="004C463A"/>
    <w:rsid w:val="004C5809"/>
    <w:rsid w:val="004C69B5"/>
    <w:rsid w:val="004C6AD3"/>
    <w:rsid w:val="004D04D7"/>
    <w:rsid w:val="004D0C60"/>
    <w:rsid w:val="004D198D"/>
    <w:rsid w:val="004D3A76"/>
    <w:rsid w:val="004D3E43"/>
    <w:rsid w:val="004D526E"/>
    <w:rsid w:val="004D54FE"/>
    <w:rsid w:val="004D5A37"/>
    <w:rsid w:val="004D6458"/>
    <w:rsid w:val="004D6715"/>
    <w:rsid w:val="004E220B"/>
    <w:rsid w:val="004E613D"/>
    <w:rsid w:val="004E754F"/>
    <w:rsid w:val="004E7A0F"/>
    <w:rsid w:val="004E7A42"/>
    <w:rsid w:val="004F21C1"/>
    <w:rsid w:val="004F3A79"/>
    <w:rsid w:val="004F546C"/>
    <w:rsid w:val="004F5E64"/>
    <w:rsid w:val="004F5EEB"/>
    <w:rsid w:val="004F76E8"/>
    <w:rsid w:val="004F782B"/>
    <w:rsid w:val="004F7A4F"/>
    <w:rsid w:val="00503694"/>
    <w:rsid w:val="005048FA"/>
    <w:rsid w:val="00506385"/>
    <w:rsid w:val="0050715C"/>
    <w:rsid w:val="0051092B"/>
    <w:rsid w:val="00512B26"/>
    <w:rsid w:val="00512E36"/>
    <w:rsid w:val="00513423"/>
    <w:rsid w:val="00514EEA"/>
    <w:rsid w:val="00515AAC"/>
    <w:rsid w:val="00515CB2"/>
    <w:rsid w:val="005172F2"/>
    <w:rsid w:val="005173F5"/>
    <w:rsid w:val="00517682"/>
    <w:rsid w:val="00517C66"/>
    <w:rsid w:val="0052067E"/>
    <w:rsid w:val="005227C5"/>
    <w:rsid w:val="00523688"/>
    <w:rsid w:val="00524776"/>
    <w:rsid w:val="00524B77"/>
    <w:rsid w:val="00524EF2"/>
    <w:rsid w:val="00525D95"/>
    <w:rsid w:val="00525F61"/>
    <w:rsid w:val="005268F8"/>
    <w:rsid w:val="00526AF5"/>
    <w:rsid w:val="00527B08"/>
    <w:rsid w:val="00532F4E"/>
    <w:rsid w:val="00532FD4"/>
    <w:rsid w:val="00534AE6"/>
    <w:rsid w:val="00534C98"/>
    <w:rsid w:val="00535A10"/>
    <w:rsid w:val="00535CCD"/>
    <w:rsid w:val="00536DC6"/>
    <w:rsid w:val="00537178"/>
    <w:rsid w:val="00537657"/>
    <w:rsid w:val="00540CC4"/>
    <w:rsid w:val="0054106F"/>
    <w:rsid w:val="005444F8"/>
    <w:rsid w:val="00544968"/>
    <w:rsid w:val="005479F6"/>
    <w:rsid w:val="00547D0A"/>
    <w:rsid w:val="005512B4"/>
    <w:rsid w:val="00552907"/>
    <w:rsid w:val="0055396E"/>
    <w:rsid w:val="00554043"/>
    <w:rsid w:val="00554067"/>
    <w:rsid w:val="005546F4"/>
    <w:rsid w:val="00560A56"/>
    <w:rsid w:val="00561AB7"/>
    <w:rsid w:val="0056276F"/>
    <w:rsid w:val="00563AF2"/>
    <w:rsid w:val="00563FA8"/>
    <w:rsid w:val="005643FF"/>
    <w:rsid w:val="00570891"/>
    <w:rsid w:val="005729AA"/>
    <w:rsid w:val="00573B13"/>
    <w:rsid w:val="00574F04"/>
    <w:rsid w:val="0057547A"/>
    <w:rsid w:val="00580C83"/>
    <w:rsid w:val="00581428"/>
    <w:rsid w:val="00583146"/>
    <w:rsid w:val="00585AC2"/>
    <w:rsid w:val="0058672A"/>
    <w:rsid w:val="00586A0E"/>
    <w:rsid w:val="00586B7D"/>
    <w:rsid w:val="00586CC1"/>
    <w:rsid w:val="00590A99"/>
    <w:rsid w:val="0059222C"/>
    <w:rsid w:val="00593F28"/>
    <w:rsid w:val="00595DB2"/>
    <w:rsid w:val="005A26AD"/>
    <w:rsid w:val="005A3A82"/>
    <w:rsid w:val="005A4596"/>
    <w:rsid w:val="005A48BC"/>
    <w:rsid w:val="005A4B19"/>
    <w:rsid w:val="005A5B79"/>
    <w:rsid w:val="005A6E76"/>
    <w:rsid w:val="005A72B5"/>
    <w:rsid w:val="005A7B7B"/>
    <w:rsid w:val="005B0591"/>
    <w:rsid w:val="005B08ED"/>
    <w:rsid w:val="005B090A"/>
    <w:rsid w:val="005B0F6A"/>
    <w:rsid w:val="005B4B49"/>
    <w:rsid w:val="005B5434"/>
    <w:rsid w:val="005B658D"/>
    <w:rsid w:val="005B7012"/>
    <w:rsid w:val="005C2030"/>
    <w:rsid w:val="005C3106"/>
    <w:rsid w:val="005C60BC"/>
    <w:rsid w:val="005C6D44"/>
    <w:rsid w:val="005C7352"/>
    <w:rsid w:val="005D050F"/>
    <w:rsid w:val="005D0B2F"/>
    <w:rsid w:val="005D1B16"/>
    <w:rsid w:val="005D2435"/>
    <w:rsid w:val="005D2CFC"/>
    <w:rsid w:val="005D472D"/>
    <w:rsid w:val="005D5128"/>
    <w:rsid w:val="005E0132"/>
    <w:rsid w:val="005E3221"/>
    <w:rsid w:val="005E383E"/>
    <w:rsid w:val="005E436F"/>
    <w:rsid w:val="005E5ED5"/>
    <w:rsid w:val="005E5F4A"/>
    <w:rsid w:val="005E6A7A"/>
    <w:rsid w:val="005E7B0B"/>
    <w:rsid w:val="005F2296"/>
    <w:rsid w:val="005F247C"/>
    <w:rsid w:val="005F32AA"/>
    <w:rsid w:val="005F339D"/>
    <w:rsid w:val="005F3F36"/>
    <w:rsid w:val="005F4117"/>
    <w:rsid w:val="005F6785"/>
    <w:rsid w:val="006012E2"/>
    <w:rsid w:val="0060373B"/>
    <w:rsid w:val="00605298"/>
    <w:rsid w:val="00606367"/>
    <w:rsid w:val="00611305"/>
    <w:rsid w:val="0061133B"/>
    <w:rsid w:val="00611AB5"/>
    <w:rsid w:val="00612862"/>
    <w:rsid w:val="0061332F"/>
    <w:rsid w:val="00616002"/>
    <w:rsid w:val="00616EDB"/>
    <w:rsid w:val="00617E63"/>
    <w:rsid w:val="00617E6E"/>
    <w:rsid w:val="0062020B"/>
    <w:rsid w:val="006205FD"/>
    <w:rsid w:val="006248BD"/>
    <w:rsid w:val="006332C3"/>
    <w:rsid w:val="00633E34"/>
    <w:rsid w:val="0063403B"/>
    <w:rsid w:val="00634256"/>
    <w:rsid w:val="00634DFF"/>
    <w:rsid w:val="00637AEB"/>
    <w:rsid w:val="0064223C"/>
    <w:rsid w:val="00642DB2"/>
    <w:rsid w:val="00646372"/>
    <w:rsid w:val="00646748"/>
    <w:rsid w:val="00647783"/>
    <w:rsid w:val="00647A77"/>
    <w:rsid w:val="00650409"/>
    <w:rsid w:val="006504BD"/>
    <w:rsid w:val="006506F9"/>
    <w:rsid w:val="006511CB"/>
    <w:rsid w:val="0065147E"/>
    <w:rsid w:val="00651700"/>
    <w:rsid w:val="00652397"/>
    <w:rsid w:val="00652BDE"/>
    <w:rsid w:val="00652D03"/>
    <w:rsid w:val="006544CD"/>
    <w:rsid w:val="0065639C"/>
    <w:rsid w:val="006604BA"/>
    <w:rsid w:val="00660E6E"/>
    <w:rsid w:val="00663315"/>
    <w:rsid w:val="006635DF"/>
    <w:rsid w:val="00664592"/>
    <w:rsid w:val="00665BAF"/>
    <w:rsid w:val="006676BC"/>
    <w:rsid w:val="00667DCA"/>
    <w:rsid w:val="00671342"/>
    <w:rsid w:val="00671B25"/>
    <w:rsid w:val="006727DF"/>
    <w:rsid w:val="00673411"/>
    <w:rsid w:val="00673AB6"/>
    <w:rsid w:val="006755BA"/>
    <w:rsid w:val="00675CA6"/>
    <w:rsid w:val="00676C41"/>
    <w:rsid w:val="0067758A"/>
    <w:rsid w:val="00677C8B"/>
    <w:rsid w:val="00680006"/>
    <w:rsid w:val="00680C04"/>
    <w:rsid w:val="00681E86"/>
    <w:rsid w:val="00684A0F"/>
    <w:rsid w:val="00684B52"/>
    <w:rsid w:val="00686120"/>
    <w:rsid w:val="006868FA"/>
    <w:rsid w:val="0068702F"/>
    <w:rsid w:val="00687D1F"/>
    <w:rsid w:val="00693C32"/>
    <w:rsid w:val="00694D54"/>
    <w:rsid w:val="0069545A"/>
    <w:rsid w:val="00695E22"/>
    <w:rsid w:val="0069739F"/>
    <w:rsid w:val="006A3BA7"/>
    <w:rsid w:val="006A3D45"/>
    <w:rsid w:val="006A477D"/>
    <w:rsid w:val="006A510B"/>
    <w:rsid w:val="006B0080"/>
    <w:rsid w:val="006B1890"/>
    <w:rsid w:val="006B1F8A"/>
    <w:rsid w:val="006B4633"/>
    <w:rsid w:val="006B547D"/>
    <w:rsid w:val="006B7606"/>
    <w:rsid w:val="006B7FF8"/>
    <w:rsid w:val="006C0223"/>
    <w:rsid w:val="006C085A"/>
    <w:rsid w:val="006C2E27"/>
    <w:rsid w:val="006C3BD0"/>
    <w:rsid w:val="006C411C"/>
    <w:rsid w:val="006C6439"/>
    <w:rsid w:val="006C7923"/>
    <w:rsid w:val="006C7E6F"/>
    <w:rsid w:val="006D2FD2"/>
    <w:rsid w:val="006D34D1"/>
    <w:rsid w:val="006D41D2"/>
    <w:rsid w:val="006D65BC"/>
    <w:rsid w:val="006D671D"/>
    <w:rsid w:val="006D67F5"/>
    <w:rsid w:val="006D6A56"/>
    <w:rsid w:val="006D6F29"/>
    <w:rsid w:val="006D71D9"/>
    <w:rsid w:val="006D7EF6"/>
    <w:rsid w:val="006E3216"/>
    <w:rsid w:val="006E3D1E"/>
    <w:rsid w:val="006E5D0A"/>
    <w:rsid w:val="006E5E3D"/>
    <w:rsid w:val="006E5E44"/>
    <w:rsid w:val="006E63ED"/>
    <w:rsid w:val="006E7BB7"/>
    <w:rsid w:val="006F0087"/>
    <w:rsid w:val="006F04CA"/>
    <w:rsid w:val="006F0B58"/>
    <w:rsid w:val="006F146F"/>
    <w:rsid w:val="006F2787"/>
    <w:rsid w:val="006F2BCB"/>
    <w:rsid w:val="006F3BD3"/>
    <w:rsid w:val="006F4636"/>
    <w:rsid w:val="006F5ABE"/>
    <w:rsid w:val="006F621A"/>
    <w:rsid w:val="00700C05"/>
    <w:rsid w:val="0070136E"/>
    <w:rsid w:val="007016D4"/>
    <w:rsid w:val="0070357C"/>
    <w:rsid w:val="00704AC6"/>
    <w:rsid w:val="0070538A"/>
    <w:rsid w:val="00705627"/>
    <w:rsid w:val="00705D15"/>
    <w:rsid w:val="00705FCC"/>
    <w:rsid w:val="0070772B"/>
    <w:rsid w:val="00715086"/>
    <w:rsid w:val="00715950"/>
    <w:rsid w:val="00715DC7"/>
    <w:rsid w:val="007162CA"/>
    <w:rsid w:val="0071757F"/>
    <w:rsid w:val="00721AC0"/>
    <w:rsid w:val="00721C6F"/>
    <w:rsid w:val="00724519"/>
    <w:rsid w:val="00725081"/>
    <w:rsid w:val="00725912"/>
    <w:rsid w:val="007265C0"/>
    <w:rsid w:val="00726D0A"/>
    <w:rsid w:val="007311A0"/>
    <w:rsid w:val="00732BBF"/>
    <w:rsid w:val="007331B8"/>
    <w:rsid w:val="0073408A"/>
    <w:rsid w:val="0073488D"/>
    <w:rsid w:val="007350A0"/>
    <w:rsid w:val="00735C77"/>
    <w:rsid w:val="00735F0C"/>
    <w:rsid w:val="00737674"/>
    <w:rsid w:val="007429B1"/>
    <w:rsid w:val="00742C2D"/>
    <w:rsid w:val="00743B97"/>
    <w:rsid w:val="00743E12"/>
    <w:rsid w:val="00743E3B"/>
    <w:rsid w:val="00744410"/>
    <w:rsid w:val="00746364"/>
    <w:rsid w:val="00747ABF"/>
    <w:rsid w:val="00751906"/>
    <w:rsid w:val="0075545C"/>
    <w:rsid w:val="00755513"/>
    <w:rsid w:val="00761625"/>
    <w:rsid w:val="00762402"/>
    <w:rsid w:val="00762A4A"/>
    <w:rsid w:val="00763B29"/>
    <w:rsid w:val="007647F6"/>
    <w:rsid w:val="00764B6C"/>
    <w:rsid w:val="0076621D"/>
    <w:rsid w:val="0076664F"/>
    <w:rsid w:val="0076717B"/>
    <w:rsid w:val="00770644"/>
    <w:rsid w:val="007707DD"/>
    <w:rsid w:val="00771CAA"/>
    <w:rsid w:val="007760AF"/>
    <w:rsid w:val="00776817"/>
    <w:rsid w:val="0077707E"/>
    <w:rsid w:val="00777809"/>
    <w:rsid w:val="00780592"/>
    <w:rsid w:val="00780E06"/>
    <w:rsid w:val="0078148E"/>
    <w:rsid w:val="0078159C"/>
    <w:rsid w:val="00781674"/>
    <w:rsid w:val="007829A6"/>
    <w:rsid w:val="00782F6C"/>
    <w:rsid w:val="007839D4"/>
    <w:rsid w:val="00787F0C"/>
    <w:rsid w:val="0079072D"/>
    <w:rsid w:val="00790B82"/>
    <w:rsid w:val="00791970"/>
    <w:rsid w:val="00792753"/>
    <w:rsid w:val="00792A35"/>
    <w:rsid w:val="00793ABA"/>
    <w:rsid w:val="007949BE"/>
    <w:rsid w:val="00794C0E"/>
    <w:rsid w:val="00794D7B"/>
    <w:rsid w:val="007969AE"/>
    <w:rsid w:val="0079707A"/>
    <w:rsid w:val="00797285"/>
    <w:rsid w:val="007A024B"/>
    <w:rsid w:val="007A0269"/>
    <w:rsid w:val="007A2A37"/>
    <w:rsid w:val="007A518C"/>
    <w:rsid w:val="007A5E5B"/>
    <w:rsid w:val="007A694E"/>
    <w:rsid w:val="007B0348"/>
    <w:rsid w:val="007B1936"/>
    <w:rsid w:val="007B3223"/>
    <w:rsid w:val="007B4E80"/>
    <w:rsid w:val="007B5C38"/>
    <w:rsid w:val="007B7ED3"/>
    <w:rsid w:val="007C109C"/>
    <w:rsid w:val="007C1ADD"/>
    <w:rsid w:val="007C1BD3"/>
    <w:rsid w:val="007D058A"/>
    <w:rsid w:val="007D1477"/>
    <w:rsid w:val="007D1E8D"/>
    <w:rsid w:val="007D2FBA"/>
    <w:rsid w:val="007D4086"/>
    <w:rsid w:val="007D41F5"/>
    <w:rsid w:val="007D42DC"/>
    <w:rsid w:val="007D4305"/>
    <w:rsid w:val="007D57E1"/>
    <w:rsid w:val="007D6699"/>
    <w:rsid w:val="007D6702"/>
    <w:rsid w:val="007D729D"/>
    <w:rsid w:val="007D738A"/>
    <w:rsid w:val="007E074D"/>
    <w:rsid w:val="007E0C8A"/>
    <w:rsid w:val="007E1227"/>
    <w:rsid w:val="007E1CC5"/>
    <w:rsid w:val="007E1F85"/>
    <w:rsid w:val="007E4F68"/>
    <w:rsid w:val="007E541C"/>
    <w:rsid w:val="007E56DB"/>
    <w:rsid w:val="007E65C5"/>
    <w:rsid w:val="007E6960"/>
    <w:rsid w:val="007E7030"/>
    <w:rsid w:val="007E79BE"/>
    <w:rsid w:val="007F1CDA"/>
    <w:rsid w:val="007F1EF0"/>
    <w:rsid w:val="007F22B1"/>
    <w:rsid w:val="007F2CC7"/>
    <w:rsid w:val="007F2E0B"/>
    <w:rsid w:val="007F5161"/>
    <w:rsid w:val="007F5C22"/>
    <w:rsid w:val="007F6C8D"/>
    <w:rsid w:val="00800189"/>
    <w:rsid w:val="00800A8A"/>
    <w:rsid w:val="00802261"/>
    <w:rsid w:val="00803C6C"/>
    <w:rsid w:val="00806D6A"/>
    <w:rsid w:val="00810BC6"/>
    <w:rsid w:val="008116B4"/>
    <w:rsid w:val="00814284"/>
    <w:rsid w:val="0081451F"/>
    <w:rsid w:val="00815572"/>
    <w:rsid w:val="008155C9"/>
    <w:rsid w:val="0081624C"/>
    <w:rsid w:val="008172FF"/>
    <w:rsid w:val="0081761B"/>
    <w:rsid w:val="00820ABA"/>
    <w:rsid w:val="00822934"/>
    <w:rsid w:val="00822ECC"/>
    <w:rsid w:val="00824211"/>
    <w:rsid w:val="00824865"/>
    <w:rsid w:val="00824F07"/>
    <w:rsid w:val="00825F84"/>
    <w:rsid w:val="00827CD4"/>
    <w:rsid w:val="008302B9"/>
    <w:rsid w:val="00831902"/>
    <w:rsid w:val="00831B75"/>
    <w:rsid w:val="0083503F"/>
    <w:rsid w:val="00835491"/>
    <w:rsid w:val="00836D25"/>
    <w:rsid w:val="0083776C"/>
    <w:rsid w:val="008378F3"/>
    <w:rsid w:val="0084011C"/>
    <w:rsid w:val="008420C7"/>
    <w:rsid w:val="00844E1B"/>
    <w:rsid w:val="008465B3"/>
    <w:rsid w:val="00850733"/>
    <w:rsid w:val="0085148F"/>
    <w:rsid w:val="00851DE5"/>
    <w:rsid w:val="00854C28"/>
    <w:rsid w:val="00857893"/>
    <w:rsid w:val="00860002"/>
    <w:rsid w:val="00860F64"/>
    <w:rsid w:val="00863F31"/>
    <w:rsid w:val="0086410D"/>
    <w:rsid w:val="0086437D"/>
    <w:rsid w:val="00866A72"/>
    <w:rsid w:val="0087099A"/>
    <w:rsid w:val="008722C3"/>
    <w:rsid w:val="00872CAA"/>
    <w:rsid w:val="00873269"/>
    <w:rsid w:val="008739C4"/>
    <w:rsid w:val="00874B42"/>
    <w:rsid w:val="0087524C"/>
    <w:rsid w:val="00876276"/>
    <w:rsid w:val="00881C61"/>
    <w:rsid w:val="00882E56"/>
    <w:rsid w:val="008838A1"/>
    <w:rsid w:val="00883C26"/>
    <w:rsid w:val="00884C19"/>
    <w:rsid w:val="008855EC"/>
    <w:rsid w:val="00885F9B"/>
    <w:rsid w:val="008862CA"/>
    <w:rsid w:val="008865D7"/>
    <w:rsid w:val="00886E44"/>
    <w:rsid w:val="00887D82"/>
    <w:rsid w:val="00890671"/>
    <w:rsid w:val="008914C3"/>
    <w:rsid w:val="00894161"/>
    <w:rsid w:val="00894C93"/>
    <w:rsid w:val="008956E5"/>
    <w:rsid w:val="008A03BE"/>
    <w:rsid w:val="008A0F61"/>
    <w:rsid w:val="008A4724"/>
    <w:rsid w:val="008A5302"/>
    <w:rsid w:val="008A6F32"/>
    <w:rsid w:val="008B172B"/>
    <w:rsid w:val="008B23DF"/>
    <w:rsid w:val="008B353E"/>
    <w:rsid w:val="008B3B1D"/>
    <w:rsid w:val="008B3C04"/>
    <w:rsid w:val="008B414C"/>
    <w:rsid w:val="008B42DB"/>
    <w:rsid w:val="008B4A62"/>
    <w:rsid w:val="008B79E1"/>
    <w:rsid w:val="008B7B63"/>
    <w:rsid w:val="008C20BF"/>
    <w:rsid w:val="008C3632"/>
    <w:rsid w:val="008C367B"/>
    <w:rsid w:val="008C3A2D"/>
    <w:rsid w:val="008C411E"/>
    <w:rsid w:val="008C5314"/>
    <w:rsid w:val="008C553A"/>
    <w:rsid w:val="008C634B"/>
    <w:rsid w:val="008C6B7A"/>
    <w:rsid w:val="008C7088"/>
    <w:rsid w:val="008C7315"/>
    <w:rsid w:val="008C7D19"/>
    <w:rsid w:val="008C7DB6"/>
    <w:rsid w:val="008D03DA"/>
    <w:rsid w:val="008D19AE"/>
    <w:rsid w:val="008D2A73"/>
    <w:rsid w:val="008D37E2"/>
    <w:rsid w:val="008D474B"/>
    <w:rsid w:val="008D57D5"/>
    <w:rsid w:val="008D6D51"/>
    <w:rsid w:val="008E0999"/>
    <w:rsid w:val="008E16FB"/>
    <w:rsid w:val="008E4110"/>
    <w:rsid w:val="008E4903"/>
    <w:rsid w:val="008E4AAF"/>
    <w:rsid w:val="008E4CD7"/>
    <w:rsid w:val="008E5D13"/>
    <w:rsid w:val="008E6405"/>
    <w:rsid w:val="008E745E"/>
    <w:rsid w:val="008E75C1"/>
    <w:rsid w:val="008F01ED"/>
    <w:rsid w:val="008F0355"/>
    <w:rsid w:val="008F052A"/>
    <w:rsid w:val="008F0775"/>
    <w:rsid w:val="008F0B27"/>
    <w:rsid w:val="008F0D3E"/>
    <w:rsid w:val="008F12DF"/>
    <w:rsid w:val="008F2036"/>
    <w:rsid w:val="008F2091"/>
    <w:rsid w:val="008F3660"/>
    <w:rsid w:val="008F5C44"/>
    <w:rsid w:val="008F7BC3"/>
    <w:rsid w:val="00901118"/>
    <w:rsid w:val="0090187B"/>
    <w:rsid w:val="0090334D"/>
    <w:rsid w:val="0090345A"/>
    <w:rsid w:val="00903C57"/>
    <w:rsid w:val="00905859"/>
    <w:rsid w:val="00906379"/>
    <w:rsid w:val="00910684"/>
    <w:rsid w:val="0091095C"/>
    <w:rsid w:val="009117F3"/>
    <w:rsid w:val="00911B1C"/>
    <w:rsid w:val="00911FC9"/>
    <w:rsid w:val="00913341"/>
    <w:rsid w:val="00913735"/>
    <w:rsid w:val="00914CE3"/>
    <w:rsid w:val="009150AD"/>
    <w:rsid w:val="00916D1A"/>
    <w:rsid w:val="00917998"/>
    <w:rsid w:val="0092039F"/>
    <w:rsid w:val="00921B80"/>
    <w:rsid w:val="009227F0"/>
    <w:rsid w:val="009227F8"/>
    <w:rsid w:val="00922D2A"/>
    <w:rsid w:val="00923740"/>
    <w:rsid w:val="00924C6B"/>
    <w:rsid w:val="00924D29"/>
    <w:rsid w:val="00925457"/>
    <w:rsid w:val="00925512"/>
    <w:rsid w:val="0093040D"/>
    <w:rsid w:val="00931000"/>
    <w:rsid w:val="0093144F"/>
    <w:rsid w:val="009335A9"/>
    <w:rsid w:val="00934D54"/>
    <w:rsid w:val="00934F10"/>
    <w:rsid w:val="00935960"/>
    <w:rsid w:val="00936B4B"/>
    <w:rsid w:val="0094154B"/>
    <w:rsid w:val="009431DE"/>
    <w:rsid w:val="0094608C"/>
    <w:rsid w:val="00946EB0"/>
    <w:rsid w:val="00947169"/>
    <w:rsid w:val="009525AC"/>
    <w:rsid w:val="00953159"/>
    <w:rsid w:val="009540D8"/>
    <w:rsid w:val="009541A0"/>
    <w:rsid w:val="00955E1B"/>
    <w:rsid w:val="00956339"/>
    <w:rsid w:val="009573E8"/>
    <w:rsid w:val="0096042E"/>
    <w:rsid w:val="009612D0"/>
    <w:rsid w:val="00961BAB"/>
    <w:rsid w:val="0096211F"/>
    <w:rsid w:val="009623EE"/>
    <w:rsid w:val="00963688"/>
    <w:rsid w:val="00965374"/>
    <w:rsid w:val="00966BAD"/>
    <w:rsid w:val="009676BB"/>
    <w:rsid w:val="009712F9"/>
    <w:rsid w:val="00971DAB"/>
    <w:rsid w:val="00973E2B"/>
    <w:rsid w:val="0097409E"/>
    <w:rsid w:val="00974394"/>
    <w:rsid w:val="00974479"/>
    <w:rsid w:val="009746A8"/>
    <w:rsid w:val="009746F6"/>
    <w:rsid w:val="00975D4B"/>
    <w:rsid w:val="009768D3"/>
    <w:rsid w:val="00980AB7"/>
    <w:rsid w:val="00982AE1"/>
    <w:rsid w:val="00982B3B"/>
    <w:rsid w:val="00982D27"/>
    <w:rsid w:val="00983E1E"/>
    <w:rsid w:val="00985CD0"/>
    <w:rsid w:val="0098699A"/>
    <w:rsid w:val="00987937"/>
    <w:rsid w:val="00987D1E"/>
    <w:rsid w:val="00991F9E"/>
    <w:rsid w:val="0099212D"/>
    <w:rsid w:val="00993CC6"/>
    <w:rsid w:val="00993F21"/>
    <w:rsid w:val="009941F0"/>
    <w:rsid w:val="009952D7"/>
    <w:rsid w:val="00995BD9"/>
    <w:rsid w:val="00996570"/>
    <w:rsid w:val="009968AB"/>
    <w:rsid w:val="00997739"/>
    <w:rsid w:val="009A116B"/>
    <w:rsid w:val="009A20A0"/>
    <w:rsid w:val="009A453B"/>
    <w:rsid w:val="009A54C9"/>
    <w:rsid w:val="009A561A"/>
    <w:rsid w:val="009A636F"/>
    <w:rsid w:val="009B0BB6"/>
    <w:rsid w:val="009B0CBD"/>
    <w:rsid w:val="009B1857"/>
    <w:rsid w:val="009B1BEF"/>
    <w:rsid w:val="009B1FB2"/>
    <w:rsid w:val="009B38CB"/>
    <w:rsid w:val="009B642A"/>
    <w:rsid w:val="009B6957"/>
    <w:rsid w:val="009B7CF9"/>
    <w:rsid w:val="009C08FA"/>
    <w:rsid w:val="009C12CC"/>
    <w:rsid w:val="009C149D"/>
    <w:rsid w:val="009C1921"/>
    <w:rsid w:val="009C331F"/>
    <w:rsid w:val="009C4254"/>
    <w:rsid w:val="009C428B"/>
    <w:rsid w:val="009C4439"/>
    <w:rsid w:val="009C5078"/>
    <w:rsid w:val="009D03B3"/>
    <w:rsid w:val="009D1381"/>
    <w:rsid w:val="009D1EBE"/>
    <w:rsid w:val="009D23AA"/>
    <w:rsid w:val="009E1E5A"/>
    <w:rsid w:val="009E3FA4"/>
    <w:rsid w:val="009E4481"/>
    <w:rsid w:val="009E6AA3"/>
    <w:rsid w:val="009F10DD"/>
    <w:rsid w:val="009F24D6"/>
    <w:rsid w:val="009F279E"/>
    <w:rsid w:val="009F33E2"/>
    <w:rsid w:val="009F4350"/>
    <w:rsid w:val="009F4757"/>
    <w:rsid w:val="009F5A8B"/>
    <w:rsid w:val="009F5E50"/>
    <w:rsid w:val="009F6646"/>
    <w:rsid w:val="009F7089"/>
    <w:rsid w:val="00A00800"/>
    <w:rsid w:val="00A01723"/>
    <w:rsid w:val="00A017C4"/>
    <w:rsid w:val="00A041B8"/>
    <w:rsid w:val="00A05B1F"/>
    <w:rsid w:val="00A05F9C"/>
    <w:rsid w:val="00A071D1"/>
    <w:rsid w:val="00A07F10"/>
    <w:rsid w:val="00A12ABF"/>
    <w:rsid w:val="00A144FC"/>
    <w:rsid w:val="00A16BE2"/>
    <w:rsid w:val="00A17EBE"/>
    <w:rsid w:val="00A2092F"/>
    <w:rsid w:val="00A20EAF"/>
    <w:rsid w:val="00A22157"/>
    <w:rsid w:val="00A22A71"/>
    <w:rsid w:val="00A22DFA"/>
    <w:rsid w:val="00A23455"/>
    <w:rsid w:val="00A242D1"/>
    <w:rsid w:val="00A26BED"/>
    <w:rsid w:val="00A2718B"/>
    <w:rsid w:val="00A27981"/>
    <w:rsid w:val="00A27A71"/>
    <w:rsid w:val="00A31491"/>
    <w:rsid w:val="00A31E0B"/>
    <w:rsid w:val="00A323F1"/>
    <w:rsid w:val="00A32C07"/>
    <w:rsid w:val="00A35D09"/>
    <w:rsid w:val="00A40F06"/>
    <w:rsid w:val="00A41EA9"/>
    <w:rsid w:val="00A4273A"/>
    <w:rsid w:val="00A4273F"/>
    <w:rsid w:val="00A44C8B"/>
    <w:rsid w:val="00A45DF6"/>
    <w:rsid w:val="00A50A37"/>
    <w:rsid w:val="00A5252C"/>
    <w:rsid w:val="00A53644"/>
    <w:rsid w:val="00A54D05"/>
    <w:rsid w:val="00A5500D"/>
    <w:rsid w:val="00A55A12"/>
    <w:rsid w:val="00A5756A"/>
    <w:rsid w:val="00A5766E"/>
    <w:rsid w:val="00A605ED"/>
    <w:rsid w:val="00A6100C"/>
    <w:rsid w:val="00A615FA"/>
    <w:rsid w:val="00A62423"/>
    <w:rsid w:val="00A62E6B"/>
    <w:rsid w:val="00A637CA"/>
    <w:rsid w:val="00A63A9E"/>
    <w:rsid w:val="00A6416F"/>
    <w:rsid w:val="00A6507F"/>
    <w:rsid w:val="00A65389"/>
    <w:rsid w:val="00A65C4E"/>
    <w:rsid w:val="00A65E45"/>
    <w:rsid w:val="00A66423"/>
    <w:rsid w:val="00A66688"/>
    <w:rsid w:val="00A669A3"/>
    <w:rsid w:val="00A66E77"/>
    <w:rsid w:val="00A7079E"/>
    <w:rsid w:val="00A71FEA"/>
    <w:rsid w:val="00A7205C"/>
    <w:rsid w:val="00A73015"/>
    <w:rsid w:val="00A7348C"/>
    <w:rsid w:val="00A751F3"/>
    <w:rsid w:val="00A755E6"/>
    <w:rsid w:val="00A76C8D"/>
    <w:rsid w:val="00A805A2"/>
    <w:rsid w:val="00A80604"/>
    <w:rsid w:val="00A81870"/>
    <w:rsid w:val="00A81C59"/>
    <w:rsid w:val="00A83E87"/>
    <w:rsid w:val="00A840F4"/>
    <w:rsid w:val="00A85869"/>
    <w:rsid w:val="00A864E8"/>
    <w:rsid w:val="00A87938"/>
    <w:rsid w:val="00A90CAF"/>
    <w:rsid w:val="00A91E12"/>
    <w:rsid w:val="00A92EB4"/>
    <w:rsid w:val="00A94A6D"/>
    <w:rsid w:val="00A9538A"/>
    <w:rsid w:val="00A953D7"/>
    <w:rsid w:val="00A968EE"/>
    <w:rsid w:val="00A96D9D"/>
    <w:rsid w:val="00A96E2A"/>
    <w:rsid w:val="00A97188"/>
    <w:rsid w:val="00AA0182"/>
    <w:rsid w:val="00AA274A"/>
    <w:rsid w:val="00AA3CCB"/>
    <w:rsid w:val="00AA46D0"/>
    <w:rsid w:val="00AA5D49"/>
    <w:rsid w:val="00AA6BF5"/>
    <w:rsid w:val="00AA7F55"/>
    <w:rsid w:val="00AB0772"/>
    <w:rsid w:val="00AB17C8"/>
    <w:rsid w:val="00AB2A3F"/>
    <w:rsid w:val="00AB46C4"/>
    <w:rsid w:val="00AB4EAF"/>
    <w:rsid w:val="00AB64B3"/>
    <w:rsid w:val="00AB7467"/>
    <w:rsid w:val="00AC0625"/>
    <w:rsid w:val="00AC116F"/>
    <w:rsid w:val="00AC2522"/>
    <w:rsid w:val="00AC2811"/>
    <w:rsid w:val="00AC2A1E"/>
    <w:rsid w:val="00AC3873"/>
    <w:rsid w:val="00AC41E7"/>
    <w:rsid w:val="00AC4B50"/>
    <w:rsid w:val="00AC5221"/>
    <w:rsid w:val="00AC54CF"/>
    <w:rsid w:val="00AC779D"/>
    <w:rsid w:val="00AD1848"/>
    <w:rsid w:val="00AD3183"/>
    <w:rsid w:val="00AD3486"/>
    <w:rsid w:val="00AD3F24"/>
    <w:rsid w:val="00AD4A75"/>
    <w:rsid w:val="00AD5B87"/>
    <w:rsid w:val="00AD5F33"/>
    <w:rsid w:val="00AD6ACD"/>
    <w:rsid w:val="00AE22A8"/>
    <w:rsid w:val="00AE24AA"/>
    <w:rsid w:val="00AE29D4"/>
    <w:rsid w:val="00AE3139"/>
    <w:rsid w:val="00AE3DEA"/>
    <w:rsid w:val="00AE6E0E"/>
    <w:rsid w:val="00AF0475"/>
    <w:rsid w:val="00AF0594"/>
    <w:rsid w:val="00AF17FC"/>
    <w:rsid w:val="00AF4502"/>
    <w:rsid w:val="00AF5D74"/>
    <w:rsid w:val="00AF6394"/>
    <w:rsid w:val="00B02720"/>
    <w:rsid w:val="00B03399"/>
    <w:rsid w:val="00B04B94"/>
    <w:rsid w:val="00B04BE2"/>
    <w:rsid w:val="00B0525B"/>
    <w:rsid w:val="00B05F3B"/>
    <w:rsid w:val="00B06B9A"/>
    <w:rsid w:val="00B06EAE"/>
    <w:rsid w:val="00B072AF"/>
    <w:rsid w:val="00B07572"/>
    <w:rsid w:val="00B10DDA"/>
    <w:rsid w:val="00B12963"/>
    <w:rsid w:val="00B12A89"/>
    <w:rsid w:val="00B13043"/>
    <w:rsid w:val="00B140BF"/>
    <w:rsid w:val="00B1418C"/>
    <w:rsid w:val="00B150F6"/>
    <w:rsid w:val="00B153F9"/>
    <w:rsid w:val="00B15FDC"/>
    <w:rsid w:val="00B17931"/>
    <w:rsid w:val="00B23348"/>
    <w:rsid w:val="00B237F0"/>
    <w:rsid w:val="00B23878"/>
    <w:rsid w:val="00B246B7"/>
    <w:rsid w:val="00B26B47"/>
    <w:rsid w:val="00B2789E"/>
    <w:rsid w:val="00B302BE"/>
    <w:rsid w:val="00B34546"/>
    <w:rsid w:val="00B3549C"/>
    <w:rsid w:val="00B40DC6"/>
    <w:rsid w:val="00B44D6B"/>
    <w:rsid w:val="00B46B09"/>
    <w:rsid w:val="00B520DB"/>
    <w:rsid w:val="00B5291F"/>
    <w:rsid w:val="00B53618"/>
    <w:rsid w:val="00B54795"/>
    <w:rsid w:val="00B579F4"/>
    <w:rsid w:val="00B57E1C"/>
    <w:rsid w:val="00B60403"/>
    <w:rsid w:val="00B62FD1"/>
    <w:rsid w:val="00B6314B"/>
    <w:rsid w:val="00B63547"/>
    <w:rsid w:val="00B64AA3"/>
    <w:rsid w:val="00B656F8"/>
    <w:rsid w:val="00B65802"/>
    <w:rsid w:val="00B66818"/>
    <w:rsid w:val="00B70012"/>
    <w:rsid w:val="00B702D4"/>
    <w:rsid w:val="00B71623"/>
    <w:rsid w:val="00B71CD4"/>
    <w:rsid w:val="00B7277A"/>
    <w:rsid w:val="00B73D97"/>
    <w:rsid w:val="00B7723D"/>
    <w:rsid w:val="00B77852"/>
    <w:rsid w:val="00B8079D"/>
    <w:rsid w:val="00B81110"/>
    <w:rsid w:val="00B811EE"/>
    <w:rsid w:val="00B81F09"/>
    <w:rsid w:val="00B82284"/>
    <w:rsid w:val="00B82632"/>
    <w:rsid w:val="00B8278D"/>
    <w:rsid w:val="00B83BF5"/>
    <w:rsid w:val="00B848C4"/>
    <w:rsid w:val="00B851A0"/>
    <w:rsid w:val="00B85A12"/>
    <w:rsid w:val="00B85D04"/>
    <w:rsid w:val="00B862E4"/>
    <w:rsid w:val="00B86DD1"/>
    <w:rsid w:val="00B92FB4"/>
    <w:rsid w:val="00B9349F"/>
    <w:rsid w:val="00B94BAA"/>
    <w:rsid w:val="00B95866"/>
    <w:rsid w:val="00B978B6"/>
    <w:rsid w:val="00B97A30"/>
    <w:rsid w:val="00BA1A2C"/>
    <w:rsid w:val="00BA1F5E"/>
    <w:rsid w:val="00BA4D91"/>
    <w:rsid w:val="00BA5D40"/>
    <w:rsid w:val="00BA5EF5"/>
    <w:rsid w:val="00BA6A23"/>
    <w:rsid w:val="00BA6A2E"/>
    <w:rsid w:val="00BA6AE6"/>
    <w:rsid w:val="00BA6CAD"/>
    <w:rsid w:val="00BA78B9"/>
    <w:rsid w:val="00BB0A6F"/>
    <w:rsid w:val="00BB2A70"/>
    <w:rsid w:val="00BB2D24"/>
    <w:rsid w:val="00BB3185"/>
    <w:rsid w:val="00BB3747"/>
    <w:rsid w:val="00BB3D62"/>
    <w:rsid w:val="00BB5397"/>
    <w:rsid w:val="00BB5B68"/>
    <w:rsid w:val="00BB6A2F"/>
    <w:rsid w:val="00BB7331"/>
    <w:rsid w:val="00BB7EBF"/>
    <w:rsid w:val="00BC4B34"/>
    <w:rsid w:val="00BC53C5"/>
    <w:rsid w:val="00BC65E4"/>
    <w:rsid w:val="00BC6D23"/>
    <w:rsid w:val="00BC7039"/>
    <w:rsid w:val="00BD1CA4"/>
    <w:rsid w:val="00BD2DA4"/>
    <w:rsid w:val="00BD2EEE"/>
    <w:rsid w:val="00BD385A"/>
    <w:rsid w:val="00BD54D8"/>
    <w:rsid w:val="00BD5CD1"/>
    <w:rsid w:val="00BD71B2"/>
    <w:rsid w:val="00BD739E"/>
    <w:rsid w:val="00BD7639"/>
    <w:rsid w:val="00BE0A50"/>
    <w:rsid w:val="00BE0B97"/>
    <w:rsid w:val="00BE0F8E"/>
    <w:rsid w:val="00BE1B4F"/>
    <w:rsid w:val="00BE2FEC"/>
    <w:rsid w:val="00BE344F"/>
    <w:rsid w:val="00BE3CB7"/>
    <w:rsid w:val="00BE5055"/>
    <w:rsid w:val="00BE534F"/>
    <w:rsid w:val="00BE5B51"/>
    <w:rsid w:val="00BF0F72"/>
    <w:rsid w:val="00BF3BE3"/>
    <w:rsid w:val="00BF3D25"/>
    <w:rsid w:val="00BF4704"/>
    <w:rsid w:val="00BF58CE"/>
    <w:rsid w:val="00BF6FFC"/>
    <w:rsid w:val="00C007EC"/>
    <w:rsid w:val="00C014F1"/>
    <w:rsid w:val="00C021BB"/>
    <w:rsid w:val="00C02DD3"/>
    <w:rsid w:val="00C0300D"/>
    <w:rsid w:val="00C03DA7"/>
    <w:rsid w:val="00C129EF"/>
    <w:rsid w:val="00C16A75"/>
    <w:rsid w:val="00C16ACC"/>
    <w:rsid w:val="00C1716D"/>
    <w:rsid w:val="00C20E30"/>
    <w:rsid w:val="00C21776"/>
    <w:rsid w:val="00C22CED"/>
    <w:rsid w:val="00C23011"/>
    <w:rsid w:val="00C23566"/>
    <w:rsid w:val="00C24560"/>
    <w:rsid w:val="00C26D5D"/>
    <w:rsid w:val="00C308F7"/>
    <w:rsid w:val="00C311A0"/>
    <w:rsid w:val="00C32140"/>
    <w:rsid w:val="00C338AC"/>
    <w:rsid w:val="00C353E4"/>
    <w:rsid w:val="00C377D2"/>
    <w:rsid w:val="00C379A0"/>
    <w:rsid w:val="00C40425"/>
    <w:rsid w:val="00C41C3E"/>
    <w:rsid w:val="00C441DD"/>
    <w:rsid w:val="00C44263"/>
    <w:rsid w:val="00C4649E"/>
    <w:rsid w:val="00C46A7C"/>
    <w:rsid w:val="00C46CDF"/>
    <w:rsid w:val="00C46FB0"/>
    <w:rsid w:val="00C50F1F"/>
    <w:rsid w:val="00C51DB0"/>
    <w:rsid w:val="00C51F1B"/>
    <w:rsid w:val="00C5405C"/>
    <w:rsid w:val="00C5469E"/>
    <w:rsid w:val="00C54F98"/>
    <w:rsid w:val="00C56AC3"/>
    <w:rsid w:val="00C56B08"/>
    <w:rsid w:val="00C625D9"/>
    <w:rsid w:val="00C62945"/>
    <w:rsid w:val="00C63173"/>
    <w:rsid w:val="00C635B8"/>
    <w:rsid w:val="00C63CBC"/>
    <w:rsid w:val="00C6503F"/>
    <w:rsid w:val="00C652B5"/>
    <w:rsid w:val="00C65685"/>
    <w:rsid w:val="00C6618C"/>
    <w:rsid w:val="00C703BD"/>
    <w:rsid w:val="00C70533"/>
    <w:rsid w:val="00C70AAC"/>
    <w:rsid w:val="00C71684"/>
    <w:rsid w:val="00C71D01"/>
    <w:rsid w:val="00C71DB8"/>
    <w:rsid w:val="00C729D9"/>
    <w:rsid w:val="00C72CEC"/>
    <w:rsid w:val="00C74990"/>
    <w:rsid w:val="00C75084"/>
    <w:rsid w:val="00C75575"/>
    <w:rsid w:val="00C76F71"/>
    <w:rsid w:val="00C77682"/>
    <w:rsid w:val="00C801C7"/>
    <w:rsid w:val="00C8313A"/>
    <w:rsid w:val="00C837C0"/>
    <w:rsid w:val="00C83F3E"/>
    <w:rsid w:val="00C84575"/>
    <w:rsid w:val="00C90E37"/>
    <w:rsid w:val="00C9162E"/>
    <w:rsid w:val="00C91717"/>
    <w:rsid w:val="00C91C14"/>
    <w:rsid w:val="00C96216"/>
    <w:rsid w:val="00C96EDF"/>
    <w:rsid w:val="00CA1F37"/>
    <w:rsid w:val="00CA20DF"/>
    <w:rsid w:val="00CA40C7"/>
    <w:rsid w:val="00CA5C1A"/>
    <w:rsid w:val="00CA6090"/>
    <w:rsid w:val="00CA629F"/>
    <w:rsid w:val="00CA7058"/>
    <w:rsid w:val="00CA7230"/>
    <w:rsid w:val="00CA7B60"/>
    <w:rsid w:val="00CB1B23"/>
    <w:rsid w:val="00CB1DBF"/>
    <w:rsid w:val="00CB6E0B"/>
    <w:rsid w:val="00CC086C"/>
    <w:rsid w:val="00CC128D"/>
    <w:rsid w:val="00CC194A"/>
    <w:rsid w:val="00CC3F35"/>
    <w:rsid w:val="00CC42A7"/>
    <w:rsid w:val="00CC5872"/>
    <w:rsid w:val="00CC6561"/>
    <w:rsid w:val="00CC7917"/>
    <w:rsid w:val="00CD0546"/>
    <w:rsid w:val="00CD0798"/>
    <w:rsid w:val="00CD1C8A"/>
    <w:rsid w:val="00CD219A"/>
    <w:rsid w:val="00CD33C1"/>
    <w:rsid w:val="00CD3B08"/>
    <w:rsid w:val="00CD4262"/>
    <w:rsid w:val="00CD5C5B"/>
    <w:rsid w:val="00CE0479"/>
    <w:rsid w:val="00CE0AB0"/>
    <w:rsid w:val="00CE1092"/>
    <w:rsid w:val="00CE2E40"/>
    <w:rsid w:val="00CE4E69"/>
    <w:rsid w:val="00CE58FA"/>
    <w:rsid w:val="00CE6CC2"/>
    <w:rsid w:val="00CE758F"/>
    <w:rsid w:val="00CE75E3"/>
    <w:rsid w:val="00CF0442"/>
    <w:rsid w:val="00CF0B8E"/>
    <w:rsid w:val="00CF1067"/>
    <w:rsid w:val="00CF206F"/>
    <w:rsid w:val="00CF253D"/>
    <w:rsid w:val="00CF472F"/>
    <w:rsid w:val="00CF4806"/>
    <w:rsid w:val="00CF5435"/>
    <w:rsid w:val="00CF61F6"/>
    <w:rsid w:val="00CF6A95"/>
    <w:rsid w:val="00D0070C"/>
    <w:rsid w:val="00D0196B"/>
    <w:rsid w:val="00D0378F"/>
    <w:rsid w:val="00D0534E"/>
    <w:rsid w:val="00D061BF"/>
    <w:rsid w:val="00D06DA7"/>
    <w:rsid w:val="00D100A3"/>
    <w:rsid w:val="00D1156E"/>
    <w:rsid w:val="00D11AF1"/>
    <w:rsid w:val="00D11E40"/>
    <w:rsid w:val="00D13F3C"/>
    <w:rsid w:val="00D1424B"/>
    <w:rsid w:val="00D148E0"/>
    <w:rsid w:val="00D156C7"/>
    <w:rsid w:val="00D20374"/>
    <w:rsid w:val="00D206B8"/>
    <w:rsid w:val="00D216A9"/>
    <w:rsid w:val="00D2259E"/>
    <w:rsid w:val="00D241F1"/>
    <w:rsid w:val="00D2488D"/>
    <w:rsid w:val="00D24A9E"/>
    <w:rsid w:val="00D24DFF"/>
    <w:rsid w:val="00D25215"/>
    <w:rsid w:val="00D2723A"/>
    <w:rsid w:val="00D27AA5"/>
    <w:rsid w:val="00D27F76"/>
    <w:rsid w:val="00D3110A"/>
    <w:rsid w:val="00D365FF"/>
    <w:rsid w:val="00D36847"/>
    <w:rsid w:val="00D37613"/>
    <w:rsid w:val="00D37CEF"/>
    <w:rsid w:val="00D405C1"/>
    <w:rsid w:val="00D4246D"/>
    <w:rsid w:val="00D438FC"/>
    <w:rsid w:val="00D45063"/>
    <w:rsid w:val="00D452DA"/>
    <w:rsid w:val="00D46FA8"/>
    <w:rsid w:val="00D47638"/>
    <w:rsid w:val="00D51D79"/>
    <w:rsid w:val="00D52183"/>
    <w:rsid w:val="00D524F1"/>
    <w:rsid w:val="00D53C6C"/>
    <w:rsid w:val="00D555A9"/>
    <w:rsid w:val="00D555E9"/>
    <w:rsid w:val="00D55AEF"/>
    <w:rsid w:val="00D55F5E"/>
    <w:rsid w:val="00D55F87"/>
    <w:rsid w:val="00D5720A"/>
    <w:rsid w:val="00D6400E"/>
    <w:rsid w:val="00D671A6"/>
    <w:rsid w:val="00D676FC"/>
    <w:rsid w:val="00D725D4"/>
    <w:rsid w:val="00D72BBF"/>
    <w:rsid w:val="00D72FFB"/>
    <w:rsid w:val="00D765CA"/>
    <w:rsid w:val="00D77DC0"/>
    <w:rsid w:val="00D809A8"/>
    <w:rsid w:val="00D80BF1"/>
    <w:rsid w:val="00D81884"/>
    <w:rsid w:val="00D827F5"/>
    <w:rsid w:val="00D829DF"/>
    <w:rsid w:val="00D83745"/>
    <w:rsid w:val="00D8379E"/>
    <w:rsid w:val="00D85E8F"/>
    <w:rsid w:val="00D87134"/>
    <w:rsid w:val="00D907DF"/>
    <w:rsid w:val="00D90A71"/>
    <w:rsid w:val="00D9132E"/>
    <w:rsid w:val="00D913FB"/>
    <w:rsid w:val="00D91701"/>
    <w:rsid w:val="00D93505"/>
    <w:rsid w:val="00D93FFF"/>
    <w:rsid w:val="00D95645"/>
    <w:rsid w:val="00DA2A5E"/>
    <w:rsid w:val="00DA5BD1"/>
    <w:rsid w:val="00DA6EC7"/>
    <w:rsid w:val="00DA784A"/>
    <w:rsid w:val="00DA7BC5"/>
    <w:rsid w:val="00DA7FEA"/>
    <w:rsid w:val="00DB016C"/>
    <w:rsid w:val="00DB0432"/>
    <w:rsid w:val="00DB09BF"/>
    <w:rsid w:val="00DB1A87"/>
    <w:rsid w:val="00DB2243"/>
    <w:rsid w:val="00DB24BE"/>
    <w:rsid w:val="00DB28E1"/>
    <w:rsid w:val="00DB4261"/>
    <w:rsid w:val="00DB42D9"/>
    <w:rsid w:val="00DB6311"/>
    <w:rsid w:val="00DC0558"/>
    <w:rsid w:val="00DC0D20"/>
    <w:rsid w:val="00DC18A5"/>
    <w:rsid w:val="00DC332C"/>
    <w:rsid w:val="00DC38B9"/>
    <w:rsid w:val="00DC4562"/>
    <w:rsid w:val="00DC4ADF"/>
    <w:rsid w:val="00DC6BE0"/>
    <w:rsid w:val="00DC7C84"/>
    <w:rsid w:val="00DC7F9E"/>
    <w:rsid w:val="00DC7FCE"/>
    <w:rsid w:val="00DD0259"/>
    <w:rsid w:val="00DD16D7"/>
    <w:rsid w:val="00DD1B0B"/>
    <w:rsid w:val="00DD1F7D"/>
    <w:rsid w:val="00DD20C4"/>
    <w:rsid w:val="00DD2C99"/>
    <w:rsid w:val="00DD497E"/>
    <w:rsid w:val="00DD6A25"/>
    <w:rsid w:val="00DE10D9"/>
    <w:rsid w:val="00DE3C6D"/>
    <w:rsid w:val="00DE3CE5"/>
    <w:rsid w:val="00DE5166"/>
    <w:rsid w:val="00DE59F7"/>
    <w:rsid w:val="00DE7032"/>
    <w:rsid w:val="00DE72DE"/>
    <w:rsid w:val="00DF1172"/>
    <w:rsid w:val="00DF1BBE"/>
    <w:rsid w:val="00DF45B2"/>
    <w:rsid w:val="00DF7C9A"/>
    <w:rsid w:val="00E0135A"/>
    <w:rsid w:val="00E0187F"/>
    <w:rsid w:val="00E01BC2"/>
    <w:rsid w:val="00E03DB3"/>
    <w:rsid w:val="00E132B2"/>
    <w:rsid w:val="00E138B0"/>
    <w:rsid w:val="00E146F5"/>
    <w:rsid w:val="00E14931"/>
    <w:rsid w:val="00E15622"/>
    <w:rsid w:val="00E159F3"/>
    <w:rsid w:val="00E15A85"/>
    <w:rsid w:val="00E15E28"/>
    <w:rsid w:val="00E1639F"/>
    <w:rsid w:val="00E16829"/>
    <w:rsid w:val="00E17001"/>
    <w:rsid w:val="00E17566"/>
    <w:rsid w:val="00E20AC3"/>
    <w:rsid w:val="00E21BC5"/>
    <w:rsid w:val="00E231E1"/>
    <w:rsid w:val="00E2351D"/>
    <w:rsid w:val="00E24414"/>
    <w:rsid w:val="00E24B4E"/>
    <w:rsid w:val="00E24E3A"/>
    <w:rsid w:val="00E2720B"/>
    <w:rsid w:val="00E30EF1"/>
    <w:rsid w:val="00E33031"/>
    <w:rsid w:val="00E34B87"/>
    <w:rsid w:val="00E37255"/>
    <w:rsid w:val="00E37949"/>
    <w:rsid w:val="00E37AAA"/>
    <w:rsid w:val="00E37B1F"/>
    <w:rsid w:val="00E400D6"/>
    <w:rsid w:val="00E4115B"/>
    <w:rsid w:val="00E43D26"/>
    <w:rsid w:val="00E44B0F"/>
    <w:rsid w:val="00E45FCF"/>
    <w:rsid w:val="00E46828"/>
    <w:rsid w:val="00E46EE8"/>
    <w:rsid w:val="00E471E0"/>
    <w:rsid w:val="00E47A85"/>
    <w:rsid w:val="00E47D76"/>
    <w:rsid w:val="00E5307D"/>
    <w:rsid w:val="00E539A0"/>
    <w:rsid w:val="00E54BAC"/>
    <w:rsid w:val="00E54F8F"/>
    <w:rsid w:val="00E600FD"/>
    <w:rsid w:val="00E60E5F"/>
    <w:rsid w:val="00E616D7"/>
    <w:rsid w:val="00E61B9E"/>
    <w:rsid w:val="00E639CF"/>
    <w:rsid w:val="00E655B6"/>
    <w:rsid w:val="00E67978"/>
    <w:rsid w:val="00E718A4"/>
    <w:rsid w:val="00E72770"/>
    <w:rsid w:val="00E73D49"/>
    <w:rsid w:val="00E73D9B"/>
    <w:rsid w:val="00E746BB"/>
    <w:rsid w:val="00E753D6"/>
    <w:rsid w:val="00E75474"/>
    <w:rsid w:val="00E76791"/>
    <w:rsid w:val="00E77D90"/>
    <w:rsid w:val="00E77F10"/>
    <w:rsid w:val="00E80255"/>
    <w:rsid w:val="00E802DF"/>
    <w:rsid w:val="00E80631"/>
    <w:rsid w:val="00E80770"/>
    <w:rsid w:val="00E83531"/>
    <w:rsid w:val="00E8540E"/>
    <w:rsid w:val="00E86DD1"/>
    <w:rsid w:val="00E8766C"/>
    <w:rsid w:val="00E91227"/>
    <w:rsid w:val="00E9322F"/>
    <w:rsid w:val="00E939FD"/>
    <w:rsid w:val="00E93D69"/>
    <w:rsid w:val="00E93F83"/>
    <w:rsid w:val="00E94249"/>
    <w:rsid w:val="00E95640"/>
    <w:rsid w:val="00EA0161"/>
    <w:rsid w:val="00EA06C9"/>
    <w:rsid w:val="00EA0DD3"/>
    <w:rsid w:val="00EA3380"/>
    <w:rsid w:val="00EA4835"/>
    <w:rsid w:val="00EA561A"/>
    <w:rsid w:val="00EA59C4"/>
    <w:rsid w:val="00EA6AB1"/>
    <w:rsid w:val="00EA7FE2"/>
    <w:rsid w:val="00EB0324"/>
    <w:rsid w:val="00EB04FB"/>
    <w:rsid w:val="00EB1841"/>
    <w:rsid w:val="00EB2A97"/>
    <w:rsid w:val="00EB35B5"/>
    <w:rsid w:val="00EB435C"/>
    <w:rsid w:val="00EB512F"/>
    <w:rsid w:val="00EB5E69"/>
    <w:rsid w:val="00EB75B8"/>
    <w:rsid w:val="00EC0848"/>
    <w:rsid w:val="00EC45D6"/>
    <w:rsid w:val="00EC46B8"/>
    <w:rsid w:val="00EC57E6"/>
    <w:rsid w:val="00EC5ED4"/>
    <w:rsid w:val="00EC688F"/>
    <w:rsid w:val="00ED0039"/>
    <w:rsid w:val="00ED3184"/>
    <w:rsid w:val="00ED4087"/>
    <w:rsid w:val="00ED6A63"/>
    <w:rsid w:val="00ED723F"/>
    <w:rsid w:val="00EE0A6A"/>
    <w:rsid w:val="00EE20C4"/>
    <w:rsid w:val="00EE2C36"/>
    <w:rsid w:val="00EE3447"/>
    <w:rsid w:val="00EE38E4"/>
    <w:rsid w:val="00EE41D8"/>
    <w:rsid w:val="00EE763E"/>
    <w:rsid w:val="00EF034C"/>
    <w:rsid w:val="00EF0492"/>
    <w:rsid w:val="00EF0BC6"/>
    <w:rsid w:val="00EF1939"/>
    <w:rsid w:val="00EF1B29"/>
    <w:rsid w:val="00EF2BAB"/>
    <w:rsid w:val="00EF2C97"/>
    <w:rsid w:val="00EF312A"/>
    <w:rsid w:val="00EF4AF4"/>
    <w:rsid w:val="00EF61E3"/>
    <w:rsid w:val="00F0041E"/>
    <w:rsid w:val="00F01920"/>
    <w:rsid w:val="00F02D78"/>
    <w:rsid w:val="00F02F93"/>
    <w:rsid w:val="00F032AD"/>
    <w:rsid w:val="00F032C0"/>
    <w:rsid w:val="00F04EB2"/>
    <w:rsid w:val="00F059C1"/>
    <w:rsid w:val="00F05E90"/>
    <w:rsid w:val="00F0690C"/>
    <w:rsid w:val="00F06A16"/>
    <w:rsid w:val="00F06F16"/>
    <w:rsid w:val="00F11A13"/>
    <w:rsid w:val="00F12419"/>
    <w:rsid w:val="00F12768"/>
    <w:rsid w:val="00F135A8"/>
    <w:rsid w:val="00F13883"/>
    <w:rsid w:val="00F14275"/>
    <w:rsid w:val="00F16DA1"/>
    <w:rsid w:val="00F20476"/>
    <w:rsid w:val="00F2260F"/>
    <w:rsid w:val="00F23539"/>
    <w:rsid w:val="00F253F4"/>
    <w:rsid w:val="00F256B5"/>
    <w:rsid w:val="00F2582E"/>
    <w:rsid w:val="00F305A0"/>
    <w:rsid w:val="00F30AB3"/>
    <w:rsid w:val="00F321BA"/>
    <w:rsid w:val="00F32E23"/>
    <w:rsid w:val="00F34C0C"/>
    <w:rsid w:val="00F34C39"/>
    <w:rsid w:val="00F37FF9"/>
    <w:rsid w:val="00F41880"/>
    <w:rsid w:val="00F44BBB"/>
    <w:rsid w:val="00F46168"/>
    <w:rsid w:val="00F461A9"/>
    <w:rsid w:val="00F509E7"/>
    <w:rsid w:val="00F50AD0"/>
    <w:rsid w:val="00F518B1"/>
    <w:rsid w:val="00F519D2"/>
    <w:rsid w:val="00F53CC0"/>
    <w:rsid w:val="00F566A0"/>
    <w:rsid w:val="00F56AA8"/>
    <w:rsid w:val="00F56E55"/>
    <w:rsid w:val="00F60082"/>
    <w:rsid w:val="00F607D7"/>
    <w:rsid w:val="00F608D1"/>
    <w:rsid w:val="00F65F97"/>
    <w:rsid w:val="00F70F5E"/>
    <w:rsid w:val="00F71428"/>
    <w:rsid w:val="00F71FC5"/>
    <w:rsid w:val="00F725C6"/>
    <w:rsid w:val="00F72C2C"/>
    <w:rsid w:val="00F73B32"/>
    <w:rsid w:val="00F762D9"/>
    <w:rsid w:val="00F766DB"/>
    <w:rsid w:val="00F8032B"/>
    <w:rsid w:val="00F805F8"/>
    <w:rsid w:val="00F8165F"/>
    <w:rsid w:val="00F835F6"/>
    <w:rsid w:val="00F837E5"/>
    <w:rsid w:val="00F83FC5"/>
    <w:rsid w:val="00F84E76"/>
    <w:rsid w:val="00F85AD0"/>
    <w:rsid w:val="00F85DAD"/>
    <w:rsid w:val="00F86252"/>
    <w:rsid w:val="00F8742E"/>
    <w:rsid w:val="00F87C95"/>
    <w:rsid w:val="00F90058"/>
    <w:rsid w:val="00F90082"/>
    <w:rsid w:val="00F9131C"/>
    <w:rsid w:val="00F92828"/>
    <w:rsid w:val="00F92B35"/>
    <w:rsid w:val="00F95DBE"/>
    <w:rsid w:val="00F9676B"/>
    <w:rsid w:val="00F97021"/>
    <w:rsid w:val="00FA0874"/>
    <w:rsid w:val="00FA1F73"/>
    <w:rsid w:val="00FA2848"/>
    <w:rsid w:val="00FA384F"/>
    <w:rsid w:val="00FA4432"/>
    <w:rsid w:val="00FA484E"/>
    <w:rsid w:val="00FA506E"/>
    <w:rsid w:val="00FB15DC"/>
    <w:rsid w:val="00FB1E5C"/>
    <w:rsid w:val="00FB2B1C"/>
    <w:rsid w:val="00FB3B7E"/>
    <w:rsid w:val="00FB5434"/>
    <w:rsid w:val="00FB5E4B"/>
    <w:rsid w:val="00FB757E"/>
    <w:rsid w:val="00FB7CD3"/>
    <w:rsid w:val="00FB7D46"/>
    <w:rsid w:val="00FC2A77"/>
    <w:rsid w:val="00FC35CD"/>
    <w:rsid w:val="00FC4348"/>
    <w:rsid w:val="00FC46FB"/>
    <w:rsid w:val="00FC48C1"/>
    <w:rsid w:val="00FC7BEF"/>
    <w:rsid w:val="00FD009E"/>
    <w:rsid w:val="00FD0248"/>
    <w:rsid w:val="00FD04CE"/>
    <w:rsid w:val="00FD2599"/>
    <w:rsid w:val="00FD28F3"/>
    <w:rsid w:val="00FD54D7"/>
    <w:rsid w:val="00FD620F"/>
    <w:rsid w:val="00FE05C2"/>
    <w:rsid w:val="00FE5314"/>
    <w:rsid w:val="00FE58A9"/>
    <w:rsid w:val="00FE620E"/>
    <w:rsid w:val="00FF0F67"/>
    <w:rsid w:val="00FF24C4"/>
    <w:rsid w:val="00FF28E6"/>
    <w:rsid w:val="00FF3540"/>
    <w:rsid w:val="00FF3D06"/>
    <w:rsid w:val="00FF6371"/>
    <w:rsid w:val="00FF7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ABCF"/>
  <w15:chartTrackingRefBased/>
  <w15:docId w15:val="{49E5FBAF-9797-4005-B098-048D8AC0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5ED"/>
    <w:rPr>
      <w:color w:val="0563C1" w:themeColor="hyperlink"/>
      <w:u w:val="single"/>
    </w:rPr>
  </w:style>
  <w:style w:type="character" w:styleId="UnresolvedMention">
    <w:name w:val="Unresolved Mention"/>
    <w:basedOn w:val="DefaultParagraphFont"/>
    <w:uiPriority w:val="99"/>
    <w:semiHidden/>
    <w:unhideWhenUsed/>
    <w:rsid w:val="002775ED"/>
    <w:rPr>
      <w:color w:val="605E5C"/>
      <w:shd w:val="clear" w:color="auto" w:fill="E1DFDD"/>
    </w:rPr>
  </w:style>
  <w:style w:type="paragraph" w:styleId="ListParagraph">
    <w:name w:val="List Paragraph"/>
    <w:basedOn w:val="Normal"/>
    <w:uiPriority w:val="34"/>
    <w:qFormat/>
    <w:rsid w:val="00BF0F72"/>
    <w:pPr>
      <w:ind w:left="720"/>
      <w:contextualSpacing/>
    </w:pPr>
  </w:style>
  <w:style w:type="paragraph" w:styleId="FootnoteText">
    <w:name w:val="footnote text"/>
    <w:basedOn w:val="Normal"/>
    <w:link w:val="FootnoteTextChar"/>
    <w:uiPriority w:val="99"/>
    <w:unhideWhenUsed/>
    <w:rsid w:val="007E4F68"/>
    <w:pPr>
      <w:spacing w:after="0" w:line="240" w:lineRule="auto"/>
    </w:pPr>
    <w:rPr>
      <w:sz w:val="20"/>
      <w:szCs w:val="20"/>
    </w:rPr>
  </w:style>
  <w:style w:type="character" w:customStyle="1" w:styleId="FootnoteTextChar">
    <w:name w:val="Footnote Text Char"/>
    <w:basedOn w:val="DefaultParagraphFont"/>
    <w:link w:val="FootnoteText"/>
    <w:uiPriority w:val="99"/>
    <w:rsid w:val="007E4F68"/>
    <w:rPr>
      <w:sz w:val="20"/>
      <w:szCs w:val="20"/>
    </w:rPr>
  </w:style>
  <w:style w:type="character" w:styleId="FootnoteReference">
    <w:name w:val="footnote reference"/>
    <w:basedOn w:val="DefaultParagraphFont"/>
    <w:uiPriority w:val="99"/>
    <w:semiHidden/>
    <w:unhideWhenUsed/>
    <w:rsid w:val="007E4F68"/>
    <w:rPr>
      <w:vertAlign w:val="superscript"/>
    </w:rPr>
  </w:style>
  <w:style w:type="character" w:styleId="Emphasis">
    <w:name w:val="Emphasis"/>
    <w:basedOn w:val="DefaultParagraphFont"/>
    <w:uiPriority w:val="20"/>
    <w:qFormat/>
    <w:rsid w:val="00A44C8B"/>
    <w:rPr>
      <w:i/>
      <w:iCs/>
    </w:rPr>
  </w:style>
  <w:style w:type="character" w:customStyle="1" w:styleId="small-caps">
    <w:name w:val="small-caps"/>
    <w:basedOn w:val="DefaultParagraphFont"/>
    <w:rsid w:val="00A44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8896">
      <w:bodyDiv w:val="1"/>
      <w:marLeft w:val="0"/>
      <w:marRight w:val="0"/>
      <w:marTop w:val="0"/>
      <w:marBottom w:val="0"/>
      <w:divBdr>
        <w:top w:val="none" w:sz="0" w:space="0" w:color="auto"/>
        <w:left w:val="none" w:sz="0" w:space="0" w:color="auto"/>
        <w:bottom w:val="none" w:sz="0" w:space="0" w:color="auto"/>
        <w:right w:val="none" w:sz="0" w:space="0" w:color="auto"/>
      </w:divBdr>
    </w:div>
    <w:div w:id="549146102">
      <w:bodyDiv w:val="1"/>
      <w:marLeft w:val="0"/>
      <w:marRight w:val="0"/>
      <w:marTop w:val="0"/>
      <w:marBottom w:val="0"/>
      <w:divBdr>
        <w:top w:val="none" w:sz="0" w:space="0" w:color="auto"/>
        <w:left w:val="none" w:sz="0" w:space="0" w:color="auto"/>
        <w:bottom w:val="none" w:sz="0" w:space="0" w:color="auto"/>
        <w:right w:val="none" w:sz="0" w:space="0" w:color="auto"/>
      </w:divBdr>
    </w:div>
    <w:div w:id="1006132682">
      <w:bodyDiv w:val="1"/>
      <w:marLeft w:val="0"/>
      <w:marRight w:val="0"/>
      <w:marTop w:val="0"/>
      <w:marBottom w:val="0"/>
      <w:divBdr>
        <w:top w:val="none" w:sz="0" w:space="0" w:color="auto"/>
        <w:left w:val="none" w:sz="0" w:space="0" w:color="auto"/>
        <w:bottom w:val="none" w:sz="0" w:space="0" w:color="auto"/>
        <w:right w:val="none" w:sz="0" w:space="0" w:color="auto"/>
      </w:divBdr>
    </w:div>
    <w:div w:id="1997608147">
      <w:bodyDiv w:val="1"/>
      <w:marLeft w:val="0"/>
      <w:marRight w:val="0"/>
      <w:marTop w:val="0"/>
      <w:marBottom w:val="0"/>
      <w:divBdr>
        <w:top w:val="none" w:sz="0" w:space="0" w:color="auto"/>
        <w:left w:val="none" w:sz="0" w:space="0" w:color="auto"/>
        <w:bottom w:val="none" w:sz="0" w:space="0" w:color="auto"/>
        <w:right w:val="none" w:sz="0" w:space="0" w:color="auto"/>
      </w:divBdr>
    </w:div>
    <w:div w:id="21158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jiltalk.org/10-good-reads-part-2/" TargetMode="External"/><Relationship Id="rId1" Type="http://schemas.openxmlformats.org/officeDocument/2006/relationships/hyperlink" Target="mailto:Thomas.Horsley@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EDBBF-5864-4313-B201-38300BA4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4535</Words>
  <Characters>25852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Horsley, Thomas</dc:creator>
  <cp:keywords/>
  <dc:description/>
  <cp:lastModifiedBy>Horsley, Thomas</cp:lastModifiedBy>
  <cp:revision>191</cp:revision>
  <dcterms:created xsi:type="dcterms:W3CDTF">2021-07-29T17:38:00Z</dcterms:created>
  <dcterms:modified xsi:type="dcterms:W3CDTF">2021-07-30T13:19:00Z</dcterms:modified>
</cp:coreProperties>
</file>