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B1D7" w14:textId="2B975A5F" w:rsidR="00157BCD" w:rsidRDefault="00157BCD" w:rsidP="004F4631">
      <w:pPr>
        <w:pStyle w:val="Heading2"/>
        <w:rPr>
          <w:rFonts w:eastAsia="Times New Roman"/>
          <w:b/>
          <w:bCs/>
          <w:color w:val="000000" w:themeColor="text1"/>
          <w:shd w:val="clear" w:color="auto" w:fill="FFFFFF"/>
          <w:lang w:eastAsia="en-GB"/>
        </w:rPr>
      </w:pPr>
      <w:r w:rsidRPr="002E6544">
        <w:rPr>
          <w:rFonts w:eastAsia="Times New Roman"/>
          <w:b/>
          <w:bCs/>
          <w:color w:val="000000" w:themeColor="text1"/>
          <w:shd w:val="clear" w:color="auto" w:fill="FFFFFF"/>
          <w:lang w:eastAsia="en-GB"/>
        </w:rPr>
        <w:t>The Lessons of 1969: Policy Learning, Policy Memory, and Voting Age Reform</w:t>
      </w:r>
    </w:p>
    <w:p w14:paraId="6872AD4D" w14:textId="126F450F" w:rsidR="00447F0F" w:rsidRDefault="00447F0F" w:rsidP="00447F0F">
      <w:pPr>
        <w:rPr>
          <w:lang w:eastAsia="en-GB"/>
        </w:rPr>
      </w:pPr>
    </w:p>
    <w:p w14:paraId="51B8FB02" w14:textId="261F9E47" w:rsidR="00447F0F" w:rsidRPr="00447F0F" w:rsidRDefault="00447F0F" w:rsidP="00447F0F">
      <w:pPr>
        <w:rPr>
          <w:lang w:eastAsia="en-GB"/>
        </w:rPr>
      </w:pPr>
      <w:r>
        <w:rPr>
          <w:lang w:eastAsia="en-GB"/>
        </w:rPr>
        <w:t xml:space="preserve">Andrew </w:t>
      </w:r>
      <w:proofErr w:type="spellStart"/>
      <w:r>
        <w:rPr>
          <w:lang w:eastAsia="en-GB"/>
        </w:rPr>
        <w:t>Mycock</w:t>
      </w:r>
      <w:proofErr w:type="spellEnd"/>
      <w:r>
        <w:rPr>
          <w:lang w:eastAsia="en-GB"/>
        </w:rPr>
        <w:t xml:space="preserve"> (Huddersfield) Tom Loughran (Liverpool) and Jonathan </w:t>
      </w:r>
      <w:proofErr w:type="spellStart"/>
      <w:r>
        <w:rPr>
          <w:lang w:eastAsia="en-GB"/>
        </w:rPr>
        <w:t>Tonge</w:t>
      </w:r>
      <w:proofErr w:type="spellEnd"/>
      <w:r>
        <w:rPr>
          <w:lang w:eastAsia="en-GB"/>
        </w:rPr>
        <w:t xml:space="preserve"> (Liverpool)</w:t>
      </w:r>
    </w:p>
    <w:p w14:paraId="71FB198E" w14:textId="77777777" w:rsidR="00157BCD" w:rsidRPr="00157BCD" w:rsidRDefault="00157BCD" w:rsidP="00157BCD">
      <w:pPr>
        <w:spacing w:after="0" w:line="240" w:lineRule="auto"/>
        <w:rPr>
          <w:rFonts w:ascii="Calibri" w:eastAsia="Times New Roman" w:hAnsi="Calibri" w:cs="Calibri"/>
          <w:b/>
          <w:bCs/>
          <w:color w:val="000000"/>
          <w:shd w:val="clear" w:color="auto" w:fill="FFFFFF"/>
          <w:lang w:eastAsia="en-GB"/>
        </w:rPr>
      </w:pPr>
    </w:p>
    <w:p w14:paraId="625D963F" w14:textId="77777777" w:rsidR="004F4631" w:rsidRDefault="004F4631" w:rsidP="006268E2">
      <w:pPr>
        <w:spacing w:line="360" w:lineRule="auto"/>
        <w:jc w:val="both"/>
        <w:rPr>
          <w:rFonts w:cstheme="minorHAnsi"/>
          <w:b/>
        </w:rPr>
      </w:pPr>
    </w:p>
    <w:p w14:paraId="43C2A655" w14:textId="40B106C5" w:rsidR="00D612CA" w:rsidRPr="00E262B3" w:rsidRDefault="00D612CA" w:rsidP="006268E2">
      <w:pPr>
        <w:spacing w:line="360" w:lineRule="auto"/>
        <w:jc w:val="both"/>
        <w:rPr>
          <w:rFonts w:cstheme="minorHAnsi"/>
        </w:rPr>
      </w:pPr>
      <w:r w:rsidRPr="00E262B3">
        <w:rPr>
          <w:rFonts w:cstheme="minorHAnsi"/>
          <w:b/>
        </w:rPr>
        <w:t>Introduction</w:t>
      </w:r>
      <w:r w:rsidR="00157BCD">
        <w:rPr>
          <w:rStyle w:val="EndnoteReference"/>
          <w:rFonts w:cstheme="minorHAnsi"/>
          <w:b/>
        </w:rPr>
        <w:endnoteReference w:id="1"/>
      </w:r>
    </w:p>
    <w:p w14:paraId="163AE684" w14:textId="6A484B34" w:rsidR="00D764B9" w:rsidRDefault="003F7200" w:rsidP="008F200E">
      <w:pPr>
        <w:spacing w:line="360" w:lineRule="auto"/>
        <w:jc w:val="both"/>
        <w:rPr>
          <w:rFonts w:cstheme="minorHAnsi"/>
        </w:rPr>
      </w:pPr>
      <w:r>
        <w:rPr>
          <w:rFonts w:cstheme="minorHAnsi"/>
        </w:rPr>
        <w:t xml:space="preserve">This article </w:t>
      </w:r>
      <w:r w:rsidR="004F4631">
        <w:rPr>
          <w:rFonts w:cstheme="minorHAnsi"/>
        </w:rPr>
        <w:t xml:space="preserve">utilises </w:t>
      </w:r>
      <w:r>
        <w:rPr>
          <w:rFonts w:cstheme="minorHAnsi"/>
        </w:rPr>
        <w:t xml:space="preserve">the developing research literatures on policy learning and memory, with particular focus on the interconnections between institutional amnesia and policy myopia, </w:t>
      </w:r>
      <w:r w:rsidR="004F4631">
        <w:rPr>
          <w:rFonts w:cstheme="minorHAnsi"/>
        </w:rPr>
        <w:t xml:space="preserve">to analyse </w:t>
      </w:r>
      <w:r>
        <w:rPr>
          <w:rFonts w:cstheme="minorHAnsi"/>
        </w:rPr>
        <w:t>the lower</w:t>
      </w:r>
      <w:r w:rsidR="004F4631">
        <w:rPr>
          <w:rFonts w:cstheme="minorHAnsi"/>
        </w:rPr>
        <w:t>ing of</w:t>
      </w:r>
      <w:r>
        <w:rPr>
          <w:rFonts w:cstheme="minorHAnsi"/>
        </w:rPr>
        <w:t xml:space="preserve"> the age of enfranchisement to 18 for all elections in the UK in 1969 and its resonance</w:t>
      </w:r>
      <w:r w:rsidR="004F4631">
        <w:rPr>
          <w:rFonts w:cstheme="minorHAnsi"/>
        </w:rPr>
        <w:t>, or otherwise,</w:t>
      </w:r>
      <w:r>
        <w:rPr>
          <w:rFonts w:cstheme="minorHAnsi"/>
        </w:rPr>
        <w:t xml:space="preserve"> in contemporary debates concerning ‘Votes-at-16’</w:t>
      </w:r>
      <w:r w:rsidRPr="00E262B3">
        <w:rPr>
          <w:rFonts w:cstheme="minorHAnsi"/>
        </w:rPr>
        <w:t>.</w:t>
      </w:r>
      <w:r>
        <w:rPr>
          <w:rFonts w:cstheme="minorHAnsi"/>
        </w:rPr>
        <w:t xml:space="preserve"> </w:t>
      </w:r>
      <w:r w:rsidR="00FC1E76">
        <w:rPr>
          <w:rFonts w:cstheme="minorHAnsi"/>
        </w:rPr>
        <w:t>P</w:t>
      </w:r>
      <w:r w:rsidR="009527E8">
        <w:rPr>
          <w:rFonts w:cstheme="minorHAnsi"/>
        </w:rPr>
        <w:t xml:space="preserve">olicy learning </w:t>
      </w:r>
      <w:r w:rsidR="004F4631">
        <w:rPr>
          <w:rFonts w:cstheme="minorHAnsi"/>
        </w:rPr>
        <w:t xml:space="preserve">enhances </w:t>
      </w:r>
      <w:r w:rsidR="009527E8">
        <w:rPr>
          <w:rFonts w:cstheme="minorHAnsi"/>
        </w:rPr>
        <w:t xml:space="preserve">knowledge by assessing the extent to which past policies have been successful </w:t>
      </w:r>
      <w:r w:rsidR="004F4631">
        <w:rPr>
          <w:rFonts w:cstheme="minorHAnsi"/>
        </w:rPr>
        <w:t xml:space="preserve">so </w:t>
      </w:r>
      <w:r w:rsidR="009527E8">
        <w:rPr>
          <w:rFonts w:cstheme="minorHAnsi"/>
        </w:rPr>
        <w:t xml:space="preserve">contemporary </w:t>
      </w:r>
      <w:proofErr w:type="gramStart"/>
      <w:r w:rsidR="009527E8">
        <w:rPr>
          <w:rFonts w:cstheme="minorHAnsi"/>
        </w:rPr>
        <w:t>policy-makers</w:t>
      </w:r>
      <w:proofErr w:type="gramEnd"/>
      <w:r w:rsidR="009527E8">
        <w:rPr>
          <w:rFonts w:cstheme="minorHAnsi"/>
        </w:rPr>
        <w:t xml:space="preserve"> can learn from the past and not repeat mistakes</w:t>
      </w:r>
      <w:r w:rsidR="00FC1E76">
        <w:rPr>
          <w:rFonts w:cstheme="minorHAnsi"/>
        </w:rPr>
        <w:t xml:space="preserve"> (Corbett et al., 2018a)</w:t>
      </w:r>
      <w:r w:rsidR="009527E8">
        <w:rPr>
          <w:rFonts w:cstheme="minorHAnsi"/>
        </w:rPr>
        <w:t xml:space="preserve">. Policy or institutional memory is understood in terms of how democratic institutions record, order, and recall the design, delivery, and impacts of past policy interventions. </w:t>
      </w:r>
      <w:r w:rsidR="001C7C26">
        <w:rPr>
          <w:rFonts w:cstheme="minorHAnsi"/>
        </w:rPr>
        <w:t>Some argue that the</w:t>
      </w:r>
      <w:r w:rsidR="009527E8">
        <w:rPr>
          <w:rFonts w:cstheme="minorHAnsi"/>
        </w:rPr>
        <w:t xml:space="preserve"> capacity of democratic institutions to recollect past policy interventions </w:t>
      </w:r>
      <w:r w:rsidR="004F4631">
        <w:rPr>
          <w:rFonts w:cstheme="minorHAnsi"/>
        </w:rPr>
        <w:t xml:space="preserve">has </w:t>
      </w:r>
      <w:r w:rsidR="009527E8">
        <w:rPr>
          <w:rFonts w:cstheme="minorHAnsi"/>
        </w:rPr>
        <w:t>declined in recent decades due to shifts in policy-making practice and changes of organisational policy cultures</w:t>
      </w:r>
      <w:r w:rsidR="00874BFC">
        <w:rPr>
          <w:rFonts w:cstheme="minorHAnsi"/>
        </w:rPr>
        <w:t xml:space="preserve"> (Pollitt, 2000)</w:t>
      </w:r>
      <w:r w:rsidR="009527E8">
        <w:rPr>
          <w:rFonts w:cstheme="minorHAnsi"/>
        </w:rPr>
        <w:t xml:space="preserve">. This </w:t>
      </w:r>
      <w:r w:rsidR="00D764B9">
        <w:rPr>
          <w:rFonts w:cstheme="minorHAnsi"/>
        </w:rPr>
        <w:t xml:space="preserve">memory loss </w:t>
      </w:r>
      <w:r w:rsidR="009527E8">
        <w:rPr>
          <w:rFonts w:cstheme="minorHAnsi"/>
        </w:rPr>
        <w:t xml:space="preserve">is typified as </w:t>
      </w:r>
      <w:r w:rsidR="00F90D75">
        <w:rPr>
          <w:rFonts w:cstheme="minorHAnsi"/>
        </w:rPr>
        <w:t>‘</w:t>
      </w:r>
      <w:r w:rsidR="00D764B9">
        <w:rPr>
          <w:rFonts w:cstheme="minorHAnsi"/>
        </w:rPr>
        <w:t>institutional amnesia</w:t>
      </w:r>
      <w:r w:rsidR="00F90D75">
        <w:rPr>
          <w:rFonts w:cstheme="minorHAnsi"/>
        </w:rPr>
        <w:t>’</w:t>
      </w:r>
      <w:r w:rsidR="004F4631">
        <w:rPr>
          <w:rFonts w:cstheme="minorHAnsi"/>
        </w:rPr>
        <w:t>, with</w:t>
      </w:r>
      <w:r w:rsidR="009527E8">
        <w:rPr>
          <w:rFonts w:cstheme="minorHAnsi"/>
        </w:rPr>
        <w:t xml:space="preserve"> a deleterious effect on policy learning. </w:t>
      </w:r>
      <w:r w:rsidR="001C7C26">
        <w:rPr>
          <w:rFonts w:cstheme="minorHAnsi"/>
        </w:rPr>
        <w:t>P</w:t>
      </w:r>
      <w:r w:rsidR="008F200E">
        <w:rPr>
          <w:rFonts w:cstheme="minorHAnsi"/>
        </w:rPr>
        <w:t xml:space="preserve">olicy learning can also be negatively impacted by </w:t>
      </w:r>
      <w:r w:rsidR="00FC2CE4">
        <w:rPr>
          <w:rFonts w:cstheme="minorHAnsi"/>
        </w:rPr>
        <w:t>‘</w:t>
      </w:r>
      <w:r w:rsidR="00D764B9">
        <w:rPr>
          <w:rFonts w:cstheme="minorHAnsi"/>
        </w:rPr>
        <w:t>policy myopia</w:t>
      </w:r>
      <w:r w:rsidR="00FC2CE4">
        <w:rPr>
          <w:rFonts w:cstheme="minorHAnsi"/>
        </w:rPr>
        <w:t>’</w:t>
      </w:r>
      <w:r w:rsidR="008F200E">
        <w:rPr>
          <w:rFonts w:cstheme="minorHAnsi"/>
        </w:rPr>
        <w:t>, whereby</w:t>
      </w:r>
      <w:r w:rsidR="00D764B9">
        <w:rPr>
          <w:rFonts w:cstheme="minorHAnsi"/>
        </w:rPr>
        <w:t xml:space="preserve"> </w:t>
      </w:r>
      <w:r w:rsidR="00FC2CE4">
        <w:rPr>
          <w:rFonts w:cstheme="minorHAnsi"/>
        </w:rPr>
        <w:t xml:space="preserve">contemporary </w:t>
      </w:r>
      <w:proofErr w:type="gramStart"/>
      <w:r w:rsidR="001C7C26">
        <w:rPr>
          <w:rFonts w:cstheme="minorHAnsi"/>
        </w:rPr>
        <w:t>policy-makers</w:t>
      </w:r>
      <w:proofErr w:type="gramEnd"/>
      <w:r w:rsidR="00D764B9">
        <w:rPr>
          <w:rFonts w:cstheme="minorHAnsi"/>
        </w:rPr>
        <w:t xml:space="preserve"> intentionally or unintentionally limit the potential for democratic institutions to reflect on policies they design and implement as time passes</w:t>
      </w:r>
      <w:r w:rsidR="009527E8">
        <w:rPr>
          <w:rFonts w:cstheme="minorHAnsi"/>
        </w:rPr>
        <w:t xml:space="preserve"> (Nair and Howlett, 2017)</w:t>
      </w:r>
      <w:r w:rsidR="00D764B9">
        <w:rPr>
          <w:rFonts w:cstheme="minorHAnsi"/>
        </w:rPr>
        <w:t xml:space="preserve">. </w:t>
      </w:r>
    </w:p>
    <w:p w14:paraId="1674A6D8" w14:textId="1D018A19" w:rsidR="00D764B9" w:rsidRDefault="00D764B9" w:rsidP="00D764B9">
      <w:pPr>
        <w:spacing w:line="360" w:lineRule="auto"/>
        <w:jc w:val="both"/>
        <w:rPr>
          <w:rFonts w:cstheme="minorHAnsi"/>
        </w:rPr>
      </w:pPr>
      <w:r>
        <w:rPr>
          <w:rFonts w:cstheme="minorHAnsi"/>
        </w:rPr>
        <w:t>In 1969,</w:t>
      </w:r>
      <w:r w:rsidRPr="00E262B3">
        <w:rPr>
          <w:rFonts w:cstheme="minorHAnsi"/>
        </w:rPr>
        <w:t xml:space="preserve"> the U</w:t>
      </w:r>
      <w:r>
        <w:rPr>
          <w:rFonts w:cstheme="minorHAnsi"/>
        </w:rPr>
        <w:t>nited Kingdom (U</w:t>
      </w:r>
      <w:r w:rsidRPr="00E262B3">
        <w:rPr>
          <w:rFonts w:cstheme="minorHAnsi"/>
        </w:rPr>
        <w:t>K</w:t>
      </w:r>
      <w:r>
        <w:rPr>
          <w:rFonts w:cstheme="minorHAnsi"/>
        </w:rPr>
        <w:t>)</w:t>
      </w:r>
      <w:r w:rsidRPr="00E262B3">
        <w:rPr>
          <w:rFonts w:cstheme="minorHAnsi"/>
        </w:rPr>
        <w:t xml:space="preserve"> was the first democratic state to</w:t>
      </w:r>
      <w:r>
        <w:rPr>
          <w:rFonts w:cstheme="minorHAnsi"/>
        </w:rPr>
        <w:t xml:space="preserve"> lower the age of enfranchisement to 18. </w:t>
      </w:r>
      <w:r w:rsidR="003F7200">
        <w:rPr>
          <w:rFonts w:cstheme="minorHAnsi"/>
        </w:rPr>
        <w:t>At the same time</w:t>
      </w:r>
      <w:r w:rsidR="008F200E">
        <w:rPr>
          <w:rFonts w:cstheme="minorHAnsi"/>
        </w:rPr>
        <w:t xml:space="preserve">, </w:t>
      </w:r>
      <w:proofErr w:type="gramStart"/>
      <w:r w:rsidR="001C7C26">
        <w:rPr>
          <w:rFonts w:cstheme="minorHAnsi"/>
        </w:rPr>
        <w:t>policy-makers</w:t>
      </w:r>
      <w:proofErr w:type="gramEnd"/>
      <w:r w:rsidR="008F200E">
        <w:rPr>
          <w:rFonts w:cstheme="minorHAnsi"/>
        </w:rPr>
        <w:t xml:space="preserve"> lowered the age of majority to 18. </w:t>
      </w:r>
      <w:r>
        <w:rPr>
          <w:rFonts w:cstheme="minorHAnsi"/>
        </w:rPr>
        <w:t>Within a decade of this ground-breaking reform, nearly all democracies had followed</w:t>
      </w:r>
      <w:r w:rsidR="008F200E">
        <w:rPr>
          <w:rFonts w:cstheme="minorHAnsi"/>
        </w:rPr>
        <w:t xml:space="preserve"> the same policy pathway, lowering both the ages of enfranchisement and majority to 18</w:t>
      </w:r>
      <w:r>
        <w:rPr>
          <w:rFonts w:cstheme="minorHAnsi"/>
        </w:rPr>
        <w:t xml:space="preserve">. Those advocating a further lowering of the voting age to 16 have </w:t>
      </w:r>
      <w:r w:rsidRPr="00E262B3">
        <w:rPr>
          <w:rFonts w:cstheme="minorHAnsi"/>
        </w:rPr>
        <w:t>laud</w:t>
      </w:r>
      <w:r>
        <w:rPr>
          <w:rFonts w:cstheme="minorHAnsi"/>
        </w:rPr>
        <w:t>ed</w:t>
      </w:r>
      <w:r w:rsidRPr="00E262B3">
        <w:rPr>
          <w:rFonts w:cstheme="minorHAnsi"/>
        </w:rPr>
        <w:t xml:space="preserve"> the progressive nature of the UK’s franchise history, </w:t>
      </w:r>
      <w:r>
        <w:rPr>
          <w:rFonts w:cstheme="minorHAnsi"/>
        </w:rPr>
        <w:t>referencing and drawing parallels</w:t>
      </w:r>
      <w:r w:rsidRPr="00E262B3">
        <w:rPr>
          <w:rFonts w:cstheme="minorHAnsi"/>
        </w:rPr>
        <w:t xml:space="preserve"> to the </w:t>
      </w:r>
      <w:r>
        <w:rPr>
          <w:rFonts w:cstheme="minorHAnsi"/>
        </w:rPr>
        <w:t>introduction of</w:t>
      </w:r>
      <w:r w:rsidRPr="00E262B3">
        <w:rPr>
          <w:rFonts w:cstheme="minorHAnsi"/>
        </w:rPr>
        <w:t xml:space="preserve"> </w:t>
      </w:r>
      <w:r>
        <w:rPr>
          <w:rFonts w:cstheme="minorHAnsi"/>
        </w:rPr>
        <w:t>‘Votes-at-</w:t>
      </w:r>
      <w:r w:rsidRPr="00E262B3">
        <w:rPr>
          <w:rFonts w:cstheme="minorHAnsi"/>
        </w:rPr>
        <w:t>18</w:t>
      </w:r>
      <w:r>
        <w:rPr>
          <w:rFonts w:cstheme="minorHAnsi"/>
        </w:rPr>
        <w:t>’</w:t>
      </w:r>
      <w:r w:rsidRPr="00E262B3">
        <w:rPr>
          <w:rFonts w:cstheme="minorHAnsi"/>
        </w:rPr>
        <w:t xml:space="preserve"> in 1969 to support </w:t>
      </w:r>
      <w:r>
        <w:rPr>
          <w:rFonts w:cstheme="minorHAnsi"/>
        </w:rPr>
        <w:t>their cause</w:t>
      </w:r>
      <w:r w:rsidRPr="00E262B3">
        <w:rPr>
          <w:rFonts w:cstheme="minorHAnsi"/>
        </w:rPr>
        <w:t xml:space="preserve">. For example, the </w:t>
      </w:r>
      <w:r>
        <w:rPr>
          <w:rFonts w:cstheme="minorHAnsi"/>
        </w:rPr>
        <w:t xml:space="preserve">‘Votes-at-16 </w:t>
      </w:r>
      <w:r w:rsidRPr="00E262B3">
        <w:rPr>
          <w:rFonts w:cstheme="minorHAnsi"/>
        </w:rPr>
        <w:t>Coalition</w:t>
      </w:r>
      <w:r>
        <w:rPr>
          <w:rFonts w:cstheme="minorHAnsi"/>
        </w:rPr>
        <w:t xml:space="preserve">’ </w:t>
      </w:r>
      <w:r w:rsidRPr="00E262B3">
        <w:rPr>
          <w:rFonts w:cstheme="minorHAnsi"/>
        </w:rPr>
        <w:t>(2008: 30)</w:t>
      </w:r>
      <w:r>
        <w:rPr>
          <w:rFonts w:cstheme="minorHAnsi"/>
        </w:rPr>
        <w:t xml:space="preserve"> </w:t>
      </w:r>
      <w:r w:rsidR="00FC1E76">
        <w:rPr>
          <w:rFonts w:cstheme="minorHAnsi"/>
        </w:rPr>
        <w:t>justified</w:t>
      </w:r>
      <w:r>
        <w:rPr>
          <w:rFonts w:cstheme="minorHAnsi"/>
        </w:rPr>
        <w:t xml:space="preserve"> </w:t>
      </w:r>
      <w:r w:rsidR="00FC1E76">
        <w:rPr>
          <w:rFonts w:cstheme="minorHAnsi"/>
        </w:rPr>
        <w:t>‘Votes-at-16’</w:t>
      </w:r>
      <w:r>
        <w:rPr>
          <w:rFonts w:cstheme="minorHAnsi"/>
        </w:rPr>
        <w:t xml:space="preserve"> </w:t>
      </w:r>
      <w:r w:rsidR="00FC1E76">
        <w:rPr>
          <w:rFonts w:cstheme="minorHAnsi"/>
        </w:rPr>
        <w:t xml:space="preserve">by </w:t>
      </w:r>
      <w:r w:rsidRPr="00E262B3">
        <w:rPr>
          <w:rFonts w:cstheme="minorHAnsi"/>
        </w:rPr>
        <w:t>not</w:t>
      </w:r>
      <w:r w:rsidR="00FC1E76">
        <w:rPr>
          <w:rFonts w:cstheme="minorHAnsi"/>
        </w:rPr>
        <w:t>ing</w:t>
      </w:r>
      <w:r>
        <w:rPr>
          <w:rFonts w:cstheme="minorHAnsi"/>
        </w:rPr>
        <w:t xml:space="preserve">: </w:t>
      </w:r>
      <w:r w:rsidRPr="00E262B3">
        <w:rPr>
          <w:rFonts w:cstheme="minorHAnsi"/>
        </w:rPr>
        <w:t>‘the UK has a pace-setting precedent for delivering democracy for its people. As one of the oldest and most respected Parliaments in the world, when the UK lowered the voting age to 18 in 1969 France, Italy, Canada, Australia and the USA quickly followed’.</w:t>
      </w:r>
      <w:r>
        <w:rPr>
          <w:rFonts w:cstheme="minorHAnsi"/>
        </w:rPr>
        <w:t xml:space="preserve"> </w:t>
      </w:r>
    </w:p>
    <w:p w14:paraId="3382A0BA" w14:textId="78FE1308" w:rsidR="008F200E" w:rsidRDefault="00D764B9" w:rsidP="008F200E">
      <w:pPr>
        <w:spacing w:line="360" w:lineRule="auto"/>
        <w:jc w:val="both"/>
        <w:rPr>
          <w:rFonts w:cstheme="minorHAnsi"/>
        </w:rPr>
      </w:pPr>
      <w:r>
        <w:rPr>
          <w:rFonts w:cstheme="minorHAnsi"/>
        </w:rPr>
        <w:t>It is somewhat surprising therefore that the 50</w:t>
      </w:r>
      <w:r w:rsidRPr="00855040">
        <w:rPr>
          <w:rFonts w:cstheme="minorHAnsi"/>
          <w:vertAlign w:val="superscript"/>
        </w:rPr>
        <w:t>th</w:t>
      </w:r>
      <w:r>
        <w:rPr>
          <w:rFonts w:cstheme="minorHAnsi"/>
        </w:rPr>
        <w:t xml:space="preserve"> anniversary of the lowering of the voting age to 18 passed without significant acknowledgement by the UK parliament or supporters of ‘Votes-at-16’. Furthermore, g</w:t>
      </w:r>
      <w:r w:rsidRPr="00E262B3">
        <w:rPr>
          <w:rFonts w:cstheme="minorHAnsi"/>
        </w:rPr>
        <w:t>iven th</w:t>
      </w:r>
      <w:r>
        <w:rPr>
          <w:rFonts w:cstheme="minorHAnsi"/>
        </w:rPr>
        <w:t xml:space="preserve">e </w:t>
      </w:r>
      <w:r w:rsidRPr="00E262B3">
        <w:rPr>
          <w:rFonts w:cstheme="minorHAnsi"/>
        </w:rPr>
        <w:t xml:space="preserve">policy parallels drawn between the debates </w:t>
      </w:r>
      <w:r>
        <w:rPr>
          <w:rFonts w:cstheme="minorHAnsi"/>
        </w:rPr>
        <w:t>about voting age reform in</w:t>
      </w:r>
      <w:r w:rsidRPr="00E262B3">
        <w:rPr>
          <w:rFonts w:cstheme="minorHAnsi"/>
        </w:rPr>
        <w:t xml:space="preserve"> the </w:t>
      </w:r>
      <w:r w:rsidRPr="00E262B3">
        <w:rPr>
          <w:rFonts w:cstheme="minorHAnsi"/>
        </w:rPr>
        <w:lastRenderedPageBreak/>
        <w:t>1960s and those of the contemporary period</w:t>
      </w:r>
      <w:r>
        <w:rPr>
          <w:rFonts w:cstheme="minorHAnsi"/>
        </w:rPr>
        <w:t xml:space="preserve">, </w:t>
      </w:r>
      <w:r w:rsidR="008F200E">
        <w:rPr>
          <w:rFonts w:cstheme="minorHAnsi"/>
        </w:rPr>
        <w:t xml:space="preserve">parliamentarians and others </w:t>
      </w:r>
      <w:r>
        <w:rPr>
          <w:rFonts w:cstheme="minorHAnsi"/>
        </w:rPr>
        <w:t>debating the merits or otherwise of ‘Votes-at-16’</w:t>
      </w:r>
      <w:r w:rsidR="008F200E">
        <w:rPr>
          <w:rFonts w:cstheme="minorHAnsi"/>
        </w:rPr>
        <w:t>,</w:t>
      </w:r>
      <w:r>
        <w:rPr>
          <w:rFonts w:cstheme="minorHAnsi"/>
        </w:rPr>
        <w:t xml:space="preserve"> </w:t>
      </w:r>
      <w:r w:rsidR="008F200E">
        <w:rPr>
          <w:rFonts w:cstheme="minorHAnsi"/>
        </w:rPr>
        <w:t xml:space="preserve">as well as a number of official commissions, </w:t>
      </w:r>
      <w:r w:rsidRPr="00E262B3">
        <w:rPr>
          <w:rFonts w:cstheme="minorHAnsi"/>
        </w:rPr>
        <w:t xml:space="preserve">have </w:t>
      </w:r>
      <w:r w:rsidR="008F200E">
        <w:rPr>
          <w:rFonts w:cstheme="minorHAnsi"/>
        </w:rPr>
        <w:t xml:space="preserve">been unable or unwilling to </w:t>
      </w:r>
      <w:r>
        <w:rPr>
          <w:rFonts w:cstheme="minorHAnsi"/>
        </w:rPr>
        <w:t xml:space="preserve">reflect upon </w:t>
      </w:r>
      <w:r w:rsidRPr="00E262B3">
        <w:rPr>
          <w:rFonts w:cstheme="minorHAnsi"/>
        </w:rPr>
        <w:t xml:space="preserve">the </w:t>
      </w:r>
      <w:r>
        <w:rPr>
          <w:rFonts w:cstheme="minorHAnsi"/>
        </w:rPr>
        <w:t>decision</w:t>
      </w:r>
      <w:r w:rsidR="00626324">
        <w:rPr>
          <w:rFonts w:cstheme="minorHAnsi"/>
        </w:rPr>
        <w:t>s</w:t>
      </w:r>
      <w:r>
        <w:rPr>
          <w:rFonts w:cstheme="minorHAnsi"/>
        </w:rPr>
        <w:t xml:space="preserve"> </w:t>
      </w:r>
      <w:r w:rsidRPr="00E262B3">
        <w:rPr>
          <w:rFonts w:cstheme="minorHAnsi"/>
        </w:rPr>
        <w:t xml:space="preserve">to lower </w:t>
      </w:r>
      <w:r w:rsidR="008F200E">
        <w:rPr>
          <w:rFonts w:cstheme="minorHAnsi"/>
        </w:rPr>
        <w:t xml:space="preserve">the </w:t>
      </w:r>
      <w:r w:rsidRPr="00E262B3">
        <w:rPr>
          <w:rFonts w:cstheme="minorHAnsi"/>
        </w:rPr>
        <w:t>age</w:t>
      </w:r>
      <w:r w:rsidR="008F200E">
        <w:rPr>
          <w:rFonts w:cstheme="minorHAnsi"/>
        </w:rPr>
        <w:t xml:space="preserve"> of enfranchisement </w:t>
      </w:r>
      <w:r w:rsidR="00626324">
        <w:rPr>
          <w:rFonts w:cstheme="minorHAnsi"/>
        </w:rPr>
        <w:t xml:space="preserve">and </w:t>
      </w:r>
      <w:r w:rsidR="008F200E">
        <w:rPr>
          <w:rFonts w:cstheme="minorHAnsi"/>
        </w:rPr>
        <w:t>majority</w:t>
      </w:r>
      <w:r w:rsidR="0069653B">
        <w:rPr>
          <w:rFonts w:cstheme="minorHAnsi"/>
        </w:rPr>
        <w:t>.</w:t>
      </w:r>
      <w:r w:rsidR="008F200E">
        <w:rPr>
          <w:rFonts w:cstheme="minorHAnsi"/>
        </w:rPr>
        <w:t xml:space="preserve"> Moreover, the voting age in the UK has been lowered to 16 in Scotland and Wales for national and local elections without consideration of potential policy learning associated with ‘Votes-at-18’</w:t>
      </w:r>
      <w:r w:rsidR="001C7C26">
        <w:rPr>
          <w:rFonts w:cstheme="minorHAnsi"/>
        </w:rPr>
        <w:t>.</w:t>
      </w:r>
      <w:r w:rsidR="008F200E">
        <w:rPr>
          <w:rFonts w:cstheme="minorHAnsi"/>
        </w:rPr>
        <w:t xml:space="preserve"> </w:t>
      </w:r>
    </w:p>
    <w:p w14:paraId="4089BDF6" w14:textId="28E97CE2" w:rsidR="00D764B9" w:rsidRDefault="008F200E" w:rsidP="00D764B9">
      <w:pPr>
        <w:spacing w:line="360" w:lineRule="auto"/>
        <w:jc w:val="both"/>
        <w:rPr>
          <w:rFonts w:cstheme="minorHAnsi"/>
        </w:rPr>
      </w:pPr>
      <w:r w:rsidRPr="00E262B3">
        <w:rPr>
          <w:rFonts w:cstheme="minorHAnsi"/>
        </w:rPr>
        <w:t>Th</w:t>
      </w:r>
      <w:r>
        <w:rPr>
          <w:rFonts w:cstheme="minorHAnsi"/>
        </w:rPr>
        <w:t>e apparent absence of</w:t>
      </w:r>
      <w:r w:rsidRPr="00E262B3">
        <w:rPr>
          <w:rFonts w:cstheme="minorHAnsi"/>
        </w:rPr>
        <w:t xml:space="preserve"> policy </w:t>
      </w:r>
      <w:r>
        <w:rPr>
          <w:rFonts w:cstheme="minorHAnsi"/>
        </w:rPr>
        <w:t xml:space="preserve">memory </w:t>
      </w:r>
      <w:r w:rsidRPr="00E262B3">
        <w:rPr>
          <w:rFonts w:cstheme="minorHAnsi"/>
        </w:rPr>
        <w:t xml:space="preserve">suggests that contemporary </w:t>
      </w:r>
      <w:r>
        <w:rPr>
          <w:rFonts w:cstheme="minorHAnsi"/>
        </w:rPr>
        <w:t>analyses of the voting age question</w:t>
      </w:r>
      <w:r w:rsidRPr="00E262B3">
        <w:rPr>
          <w:rFonts w:cstheme="minorHAnsi"/>
        </w:rPr>
        <w:t xml:space="preserve"> </w:t>
      </w:r>
      <w:r w:rsidR="003B293F">
        <w:rPr>
          <w:rFonts w:cstheme="minorHAnsi"/>
        </w:rPr>
        <w:t>might</w:t>
      </w:r>
      <w:r>
        <w:rPr>
          <w:rFonts w:cstheme="minorHAnsi"/>
        </w:rPr>
        <w:t xml:space="preserve"> </w:t>
      </w:r>
      <w:r w:rsidRPr="00E262B3">
        <w:rPr>
          <w:rFonts w:cstheme="minorHAnsi"/>
        </w:rPr>
        <w:t>suffer from widespread</w:t>
      </w:r>
      <w:r>
        <w:rPr>
          <w:rFonts w:cstheme="minorHAnsi"/>
        </w:rPr>
        <w:t xml:space="preserve"> institutional amnesia which extends beyond the UK parliament to devolved legislatures and civil society</w:t>
      </w:r>
      <w:r w:rsidRPr="00E262B3">
        <w:rPr>
          <w:rFonts w:cstheme="minorHAnsi"/>
        </w:rPr>
        <w:t>.</w:t>
      </w:r>
      <w:r>
        <w:rPr>
          <w:rFonts w:cstheme="minorHAnsi"/>
        </w:rPr>
        <w:t xml:space="preserve"> It is noteworthy </w:t>
      </w:r>
      <w:r w:rsidR="00FC1E76">
        <w:rPr>
          <w:rFonts w:cstheme="minorHAnsi"/>
        </w:rPr>
        <w:t>that</w:t>
      </w:r>
      <w:r>
        <w:rPr>
          <w:rFonts w:cstheme="minorHAnsi"/>
        </w:rPr>
        <w:t xml:space="preserve"> </w:t>
      </w:r>
      <w:proofErr w:type="gramStart"/>
      <w:r>
        <w:rPr>
          <w:rFonts w:cstheme="minorHAnsi"/>
        </w:rPr>
        <w:t>policy</w:t>
      </w:r>
      <w:r w:rsidR="001C7C26">
        <w:rPr>
          <w:rFonts w:cstheme="minorHAnsi"/>
        </w:rPr>
        <w:t>-</w:t>
      </w:r>
      <w:r>
        <w:rPr>
          <w:rFonts w:cstheme="minorHAnsi"/>
        </w:rPr>
        <w:t>makers</w:t>
      </w:r>
      <w:proofErr w:type="gramEnd"/>
      <w:r>
        <w:rPr>
          <w:rFonts w:cstheme="minorHAnsi"/>
        </w:rPr>
        <w:t xml:space="preserve"> enacting voting age reform in the late 1960s did not integrate into their policy design any adaptive modes of evaluation to assess the effects of lowering the age of enfranchisement to 18. Moreover, they failed to consider how variations in the age-related rights of young people and wider changes in public attitudes to transitions to adulthood might </w:t>
      </w:r>
      <w:r w:rsidR="00FC1E76">
        <w:rPr>
          <w:rFonts w:cstheme="minorHAnsi"/>
        </w:rPr>
        <w:t xml:space="preserve">continue to </w:t>
      </w:r>
      <w:r>
        <w:rPr>
          <w:rFonts w:cstheme="minorHAnsi"/>
        </w:rPr>
        <w:t xml:space="preserve">impact on the age of majority and its relationship to enfranchisement. </w:t>
      </w:r>
      <w:r w:rsidR="00D764B9">
        <w:rPr>
          <w:rFonts w:cstheme="minorHAnsi"/>
        </w:rPr>
        <w:t>The absence of</w:t>
      </w:r>
      <w:r w:rsidR="00D764B9" w:rsidRPr="00E262B3">
        <w:rPr>
          <w:rFonts w:cstheme="minorHAnsi"/>
        </w:rPr>
        <w:t xml:space="preserve"> </w:t>
      </w:r>
      <w:r>
        <w:rPr>
          <w:rFonts w:cstheme="minorHAnsi"/>
        </w:rPr>
        <w:t>temporal</w:t>
      </w:r>
      <w:r w:rsidR="00D764B9" w:rsidRPr="00E262B3">
        <w:rPr>
          <w:rFonts w:cstheme="minorHAnsi"/>
        </w:rPr>
        <w:t xml:space="preserve"> </w:t>
      </w:r>
      <w:r w:rsidR="00D764B9">
        <w:rPr>
          <w:rFonts w:cstheme="minorHAnsi"/>
        </w:rPr>
        <w:t>analyses about</w:t>
      </w:r>
      <w:r w:rsidR="00D764B9" w:rsidRPr="00E262B3">
        <w:rPr>
          <w:rFonts w:cstheme="minorHAnsi"/>
        </w:rPr>
        <w:t xml:space="preserve"> </w:t>
      </w:r>
      <w:r w:rsidR="00D764B9">
        <w:rPr>
          <w:rFonts w:cstheme="minorHAnsi"/>
        </w:rPr>
        <w:t>the</w:t>
      </w:r>
      <w:r w:rsidR="00D764B9" w:rsidRPr="00E262B3">
        <w:rPr>
          <w:rFonts w:cstheme="minorHAnsi"/>
        </w:rPr>
        <w:t xml:space="preserve"> </w:t>
      </w:r>
      <w:r w:rsidR="00D764B9">
        <w:rPr>
          <w:rFonts w:cstheme="minorHAnsi"/>
        </w:rPr>
        <w:t xml:space="preserve">policy drivers and </w:t>
      </w:r>
      <w:r w:rsidR="00D764B9" w:rsidRPr="00E262B3">
        <w:rPr>
          <w:rFonts w:cstheme="minorHAnsi"/>
        </w:rPr>
        <w:t>effects</w:t>
      </w:r>
      <w:r w:rsidR="00D764B9">
        <w:rPr>
          <w:rFonts w:cstheme="minorHAnsi"/>
        </w:rPr>
        <w:t xml:space="preserve"> has stymied </w:t>
      </w:r>
      <w:r>
        <w:rPr>
          <w:rFonts w:cstheme="minorHAnsi"/>
        </w:rPr>
        <w:t>contemporary</w:t>
      </w:r>
      <w:r w:rsidR="00D764B9">
        <w:rPr>
          <w:rFonts w:cstheme="minorHAnsi"/>
        </w:rPr>
        <w:t xml:space="preserve"> policy learning </w:t>
      </w:r>
      <w:r>
        <w:rPr>
          <w:rFonts w:cstheme="minorHAnsi"/>
        </w:rPr>
        <w:t>about</w:t>
      </w:r>
      <w:r w:rsidR="00D764B9">
        <w:rPr>
          <w:rFonts w:cstheme="minorHAnsi"/>
        </w:rPr>
        <w:t xml:space="preserve"> the introduction of ‘Votes-at-18’,</w:t>
      </w:r>
      <w:r w:rsidR="002E6544">
        <w:rPr>
          <w:rFonts w:cstheme="minorHAnsi"/>
        </w:rPr>
        <w:t xml:space="preserve"> </w:t>
      </w:r>
      <w:r w:rsidR="00D764B9">
        <w:rPr>
          <w:rFonts w:cstheme="minorHAnsi"/>
        </w:rPr>
        <w:t xml:space="preserve">or </w:t>
      </w:r>
      <w:r w:rsidR="002E6544">
        <w:rPr>
          <w:rFonts w:cstheme="minorHAnsi"/>
        </w:rPr>
        <w:t>evidentially inform a</w:t>
      </w:r>
      <w:r w:rsidR="00D764B9" w:rsidRPr="00E262B3">
        <w:rPr>
          <w:rFonts w:cstheme="minorHAnsi"/>
        </w:rPr>
        <w:t xml:space="preserve"> </w:t>
      </w:r>
      <w:r>
        <w:rPr>
          <w:rFonts w:cstheme="minorHAnsi"/>
        </w:rPr>
        <w:t>historical</w:t>
      </w:r>
      <w:r w:rsidR="00D764B9" w:rsidRPr="00E262B3">
        <w:rPr>
          <w:rFonts w:cstheme="minorHAnsi"/>
        </w:rPr>
        <w:t xml:space="preserve"> </w:t>
      </w:r>
      <w:r>
        <w:rPr>
          <w:rFonts w:cstheme="minorHAnsi"/>
        </w:rPr>
        <w:t xml:space="preserve">policy </w:t>
      </w:r>
      <w:r w:rsidR="00D764B9" w:rsidRPr="00E262B3">
        <w:rPr>
          <w:rFonts w:cstheme="minorHAnsi"/>
        </w:rPr>
        <w:t>narrative of age-related franchise reform</w:t>
      </w:r>
      <w:r w:rsidR="00D764B9">
        <w:rPr>
          <w:rFonts w:cstheme="minorHAnsi"/>
        </w:rPr>
        <w:t xml:space="preserve">. </w:t>
      </w:r>
    </w:p>
    <w:p w14:paraId="3EFB785D" w14:textId="6B5635B0" w:rsidR="0040408C" w:rsidRDefault="0078665D" w:rsidP="009C6C24">
      <w:pPr>
        <w:spacing w:line="360" w:lineRule="auto"/>
        <w:jc w:val="both"/>
        <w:rPr>
          <w:rFonts w:cstheme="minorHAnsi"/>
        </w:rPr>
      </w:pPr>
      <w:r>
        <w:rPr>
          <w:rFonts w:cstheme="minorHAnsi"/>
        </w:rPr>
        <w:t xml:space="preserve">Lowering the voting age to 18 in 1969 provides an ideal case study to </w:t>
      </w:r>
      <w:r w:rsidR="00457DA2">
        <w:rPr>
          <w:rFonts w:cstheme="minorHAnsi"/>
        </w:rPr>
        <w:t>advance</w:t>
      </w:r>
      <w:r>
        <w:rPr>
          <w:rFonts w:cstheme="minorHAnsi"/>
        </w:rPr>
        <w:t xml:space="preserve"> understanding of the intersectionality between institutional amnesia and policy myopia</w:t>
      </w:r>
      <w:r w:rsidR="00457DA2">
        <w:rPr>
          <w:rFonts w:cstheme="minorHAnsi"/>
        </w:rPr>
        <w:t>, as a</w:t>
      </w:r>
      <w:r>
        <w:rPr>
          <w:rFonts w:cstheme="minorHAnsi"/>
        </w:rPr>
        <w:t xml:space="preserve">ge-related reform of the franchise has been undertaken rarely and over periods of time which extend beyond a single generation.  </w:t>
      </w:r>
      <w:r w:rsidR="00D764B9">
        <w:rPr>
          <w:rFonts w:cstheme="minorHAnsi"/>
        </w:rPr>
        <w:t xml:space="preserve">The article </w:t>
      </w:r>
      <w:r w:rsidR="002A4257">
        <w:rPr>
          <w:rFonts w:cstheme="minorHAnsi"/>
        </w:rPr>
        <w:t xml:space="preserve">first </w:t>
      </w:r>
      <w:r w:rsidR="00855040">
        <w:rPr>
          <w:rFonts w:cstheme="minorHAnsi"/>
        </w:rPr>
        <w:t>seeks to</w:t>
      </w:r>
      <w:r w:rsidR="001C1521" w:rsidRPr="00E262B3">
        <w:rPr>
          <w:rFonts w:cstheme="minorHAnsi"/>
        </w:rPr>
        <w:t xml:space="preserve"> </w:t>
      </w:r>
      <w:r w:rsidR="002A4257">
        <w:rPr>
          <w:rFonts w:cstheme="minorHAnsi"/>
        </w:rPr>
        <w:t xml:space="preserve">consider the role of </w:t>
      </w:r>
      <w:r w:rsidR="008F200E">
        <w:rPr>
          <w:rFonts w:cstheme="minorHAnsi"/>
        </w:rPr>
        <w:t xml:space="preserve">policy learning </w:t>
      </w:r>
      <w:r w:rsidR="002A4257">
        <w:rPr>
          <w:rFonts w:cstheme="minorHAnsi"/>
        </w:rPr>
        <w:t xml:space="preserve">in </w:t>
      </w:r>
      <w:proofErr w:type="gramStart"/>
      <w:r w:rsidR="002A4257">
        <w:rPr>
          <w:rFonts w:cstheme="minorHAnsi"/>
        </w:rPr>
        <w:t>policy-making</w:t>
      </w:r>
      <w:proofErr w:type="gramEnd"/>
      <w:r w:rsidR="002A4257">
        <w:rPr>
          <w:rFonts w:cstheme="minorHAnsi"/>
        </w:rPr>
        <w:t xml:space="preserve">, particularly the </w:t>
      </w:r>
      <w:r w:rsidR="00156718">
        <w:rPr>
          <w:rFonts w:cstheme="minorHAnsi"/>
        </w:rPr>
        <w:t>proposition</w:t>
      </w:r>
      <w:r w:rsidR="002A4257">
        <w:rPr>
          <w:rFonts w:cstheme="minorHAnsi"/>
        </w:rPr>
        <w:t xml:space="preserve"> that </w:t>
      </w:r>
      <w:r w:rsidR="00156718">
        <w:rPr>
          <w:rFonts w:cstheme="minorHAnsi"/>
        </w:rPr>
        <w:t xml:space="preserve">a lack of </w:t>
      </w:r>
      <w:r w:rsidR="008F200E">
        <w:rPr>
          <w:rFonts w:cstheme="minorHAnsi"/>
        </w:rPr>
        <w:t>memory</w:t>
      </w:r>
      <w:r w:rsidR="002A4257">
        <w:rPr>
          <w:rFonts w:cstheme="minorHAnsi"/>
        </w:rPr>
        <w:t xml:space="preserve"> </w:t>
      </w:r>
      <w:r w:rsidR="008F200E">
        <w:rPr>
          <w:rFonts w:cstheme="minorHAnsi"/>
        </w:rPr>
        <w:t>of</w:t>
      </w:r>
      <w:r w:rsidR="002A4257">
        <w:rPr>
          <w:rFonts w:cstheme="minorHAnsi"/>
        </w:rPr>
        <w:t xml:space="preserve"> past policy interventions </w:t>
      </w:r>
      <w:r w:rsidR="00156718">
        <w:rPr>
          <w:rFonts w:cstheme="minorHAnsi"/>
        </w:rPr>
        <w:t xml:space="preserve">can be a product of </w:t>
      </w:r>
      <w:r w:rsidR="00D764B9">
        <w:rPr>
          <w:rFonts w:cstheme="minorHAnsi"/>
        </w:rPr>
        <w:t xml:space="preserve">both </w:t>
      </w:r>
      <w:r w:rsidR="0092603E">
        <w:rPr>
          <w:rFonts w:cstheme="minorHAnsi"/>
        </w:rPr>
        <w:t>institutional</w:t>
      </w:r>
      <w:r w:rsidR="008C49EA">
        <w:rPr>
          <w:rFonts w:cstheme="minorHAnsi"/>
        </w:rPr>
        <w:t xml:space="preserve"> amnesia</w:t>
      </w:r>
      <w:r w:rsidR="00D764B9">
        <w:rPr>
          <w:rFonts w:cstheme="minorHAnsi"/>
        </w:rPr>
        <w:t xml:space="preserve"> </w:t>
      </w:r>
      <w:r w:rsidR="00457DA2" w:rsidRPr="00457DA2">
        <w:rPr>
          <w:rFonts w:cstheme="minorHAnsi"/>
          <w:i/>
          <w:iCs/>
        </w:rPr>
        <w:t>and</w:t>
      </w:r>
      <w:r w:rsidR="00457DA2">
        <w:rPr>
          <w:rFonts w:cstheme="minorHAnsi"/>
        </w:rPr>
        <w:t xml:space="preserve"> </w:t>
      </w:r>
      <w:r w:rsidR="001C7C26">
        <w:rPr>
          <w:rFonts w:cstheme="minorHAnsi"/>
        </w:rPr>
        <w:t xml:space="preserve">intentional and unintentional </w:t>
      </w:r>
      <w:r w:rsidR="00D764B9">
        <w:rPr>
          <w:rFonts w:cstheme="minorHAnsi"/>
        </w:rPr>
        <w:t xml:space="preserve">policy </w:t>
      </w:r>
      <w:r w:rsidR="008F200E">
        <w:rPr>
          <w:rFonts w:cstheme="minorHAnsi"/>
        </w:rPr>
        <w:t>myopia</w:t>
      </w:r>
      <w:r w:rsidR="0092603E">
        <w:rPr>
          <w:rFonts w:cstheme="minorHAnsi"/>
        </w:rPr>
        <w:t>.</w:t>
      </w:r>
      <w:r w:rsidR="00D764B9">
        <w:rPr>
          <w:rFonts w:cstheme="minorHAnsi"/>
        </w:rPr>
        <w:t xml:space="preserve"> </w:t>
      </w:r>
      <w:r w:rsidR="0092603E">
        <w:rPr>
          <w:rFonts w:cstheme="minorHAnsi"/>
        </w:rPr>
        <w:t xml:space="preserve">The article then </w:t>
      </w:r>
      <w:r w:rsidR="0020228E">
        <w:rPr>
          <w:rFonts w:cstheme="minorHAnsi"/>
        </w:rPr>
        <w:t>provide</w:t>
      </w:r>
      <w:r w:rsidR="00CD20E7">
        <w:rPr>
          <w:rFonts w:cstheme="minorHAnsi"/>
        </w:rPr>
        <w:t>s</w:t>
      </w:r>
      <w:r w:rsidR="0020228E">
        <w:rPr>
          <w:rFonts w:cstheme="minorHAnsi"/>
        </w:rPr>
        <w:t xml:space="preserve"> an overview of</w:t>
      </w:r>
      <w:r w:rsidR="000F79F2" w:rsidRPr="00E262B3">
        <w:rPr>
          <w:rFonts w:cstheme="minorHAnsi"/>
        </w:rPr>
        <w:t xml:space="preserve"> </w:t>
      </w:r>
      <w:r w:rsidR="00737C66" w:rsidRPr="00E262B3">
        <w:rPr>
          <w:rFonts w:cstheme="minorHAnsi"/>
        </w:rPr>
        <w:t xml:space="preserve">the </w:t>
      </w:r>
      <w:r w:rsidR="005173C8" w:rsidRPr="00E262B3">
        <w:rPr>
          <w:rFonts w:cstheme="minorHAnsi"/>
        </w:rPr>
        <w:t xml:space="preserve">policy debates </w:t>
      </w:r>
      <w:r w:rsidR="0020228E">
        <w:rPr>
          <w:rFonts w:cstheme="minorHAnsi"/>
        </w:rPr>
        <w:t>linked to</w:t>
      </w:r>
      <w:r w:rsidR="005173C8" w:rsidRPr="00E262B3">
        <w:rPr>
          <w:rFonts w:cstheme="minorHAnsi"/>
        </w:rPr>
        <w:t xml:space="preserve"> </w:t>
      </w:r>
      <w:r w:rsidR="00AE10DC" w:rsidRPr="00E262B3">
        <w:rPr>
          <w:rFonts w:cstheme="minorHAnsi"/>
        </w:rPr>
        <w:t xml:space="preserve">the </w:t>
      </w:r>
      <w:r w:rsidR="00737C66" w:rsidRPr="00E262B3">
        <w:rPr>
          <w:rFonts w:cstheme="minorHAnsi"/>
        </w:rPr>
        <w:t xml:space="preserve">lowering of the voting age to 18 </w:t>
      </w:r>
      <w:r w:rsidR="0092603E">
        <w:rPr>
          <w:rFonts w:cstheme="minorHAnsi"/>
        </w:rPr>
        <w:t xml:space="preserve">in the UK </w:t>
      </w:r>
      <w:r w:rsidR="005173C8" w:rsidRPr="00E262B3">
        <w:rPr>
          <w:rFonts w:cstheme="minorHAnsi"/>
        </w:rPr>
        <w:t xml:space="preserve">in </w:t>
      </w:r>
      <w:r w:rsidR="00CB211C" w:rsidRPr="00E262B3">
        <w:rPr>
          <w:rFonts w:cstheme="minorHAnsi"/>
        </w:rPr>
        <w:t>1969</w:t>
      </w:r>
      <w:r w:rsidR="009C6C24" w:rsidRPr="00E262B3">
        <w:rPr>
          <w:rFonts w:cstheme="minorHAnsi"/>
        </w:rPr>
        <w:t xml:space="preserve">. </w:t>
      </w:r>
      <w:r w:rsidR="0092603E">
        <w:rPr>
          <w:rFonts w:cstheme="minorHAnsi"/>
        </w:rPr>
        <w:t>We then</w:t>
      </w:r>
      <w:r w:rsidR="005173C8" w:rsidRPr="00E262B3">
        <w:rPr>
          <w:rFonts w:cstheme="minorHAnsi"/>
        </w:rPr>
        <w:t xml:space="preserve"> explore </w:t>
      </w:r>
      <w:r w:rsidR="009C6C24" w:rsidRPr="00E262B3">
        <w:rPr>
          <w:rFonts w:cstheme="minorHAnsi"/>
        </w:rPr>
        <w:t xml:space="preserve">the </w:t>
      </w:r>
      <w:r w:rsidR="005173C8" w:rsidRPr="00E262B3">
        <w:rPr>
          <w:rFonts w:cstheme="minorHAnsi"/>
        </w:rPr>
        <w:t xml:space="preserve">policy </w:t>
      </w:r>
      <w:r w:rsidR="009C6C24" w:rsidRPr="00E262B3">
        <w:rPr>
          <w:rFonts w:cstheme="minorHAnsi"/>
        </w:rPr>
        <w:t>effects</w:t>
      </w:r>
      <w:r w:rsidR="0092603E">
        <w:rPr>
          <w:rFonts w:cstheme="minorHAnsi"/>
        </w:rPr>
        <w:t xml:space="preserve"> and </w:t>
      </w:r>
      <w:r w:rsidR="008F200E">
        <w:rPr>
          <w:rFonts w:cstheme="minorHAnsi"/>
        </w:rPr>
        <w:t xml:space="preserve">potential policy </w:t>
      </w:r>
      <w:r w:rsidR="0092603E">
        <w:rPr>
          <w:rFonts w:cstheme="minorHAnsi"/>
        </w:rPr>
        <w:t>learning</w:t>
      </w:r>
      <w:r w:rsidR="009C6C24" w:rsidRPr="00E262B3">
        <w:rPr>
          <w:rFonts w:cstheme="minorHAnsi"/>
          <w:i/>
        </w:rPr>
        <w:t xml:space="preserve"> </w:t>
      </w:r>
      <w:r w:rsidR="009C6C24" w:rsidRPr="00E262B3">
        <w:rPr>
          <w:rFonts w:cstheme="minorHAnsi"/>
        </w:rPr>
        <w:t>of ‘</w:t>
      </w:r>
      <w:r w:rsidR="00863629">
        <w:rPr>
          <w:rFonts w:cstheme="minorHAnsi"/>
        </w:rPr>
        <w:t>Votes-at-18</w:t>
      </w:r>
      <w:r w:rsidR="009C6C24" w:rsidRPr="00E262B3">
        <w:rPr>
          <w:rFonts w:cstheme="minorHAnsi"/>
        </w:rPr>
        <w:t>’ since 1969</w:t>
      </w:r>
      <w:r w:rsidR="0020228E">
        <w:rPr>
          <w:rFonts w:cstheme="minorHAnsi"/>
        </w:rPr>
        <w:t>,</w:t>
      </w:r>
      <w:r w:rsidR="0092603E" w:rsidRPr="0092603E">
        <w:rPr>
          <w:rFonts w:cstheme="minorHAnsi"/>
        </w:rPr>
        <w:t xml:space="preserve"> </w:t>
      </w:r>
      <w:r w:rsidR="00457DA2">
        <w:rPr>
          <w:rFonts w:cstheme="minorHAnsi"/>
        </w:rPr>
        <w:t>highlighting the combination of institutional and policy myopia in shaping</w:t>
      </w:r>
      <w:r w:rsidR="0092603E">
        <w:rPr>
          <w:rFonts w:cstheme="minorHAnsi"/>
        </w:rPr>
        <w:t xml:space="preserve"> </w:t>
      </w:r>
      <w:r w:rsidR="0092603E" w:rsidRPr="00E262B3">
        <w:rPr>
          <w:rFonts w:cstheme="minorHAnsi"/>
        </w:rPr>
        <w:t xml:space="preserve">contemporary approaches to </w:t>
      </w:r>
      <w:r w:rsidR="0092603E">
        <w:rPr>
          <w:rFonts w:cstheme="minorHAnsi"/>
        </w:rPr>
        <w:t xml:space="preserve">voting age </w:t>
      </w:r>
      <w:proofErr w:type="gramStart"/>
      <w:r w:rsidR="0092603E" w:rsidRPr="00E262B3">
        <w:rPr>
          <w:rFonts w:cstheme="minorHAnsi"/>
        </w:rPr>
        <w:t>policy</w:t>
      </w:r>
      <w:r w:rsidR="0092603E">
        <w:rPr>
          <w:rFonts w:cstheme="minorHAnsi"/>
        </w:rPr>
        <w:t>-</w:t>
      </w:r>
      <w:r w:rsidR="0092603E" w:rsidRPr="00E262B3">
        <w:rPr>
          <w:rFonts w:cstheme="minorHAnsi"/>
        </w:rPr>
        <w:t>making</w:t>
      </w:r>
      <w:proofErr w:type="gramEnd"/>
      <w:r w:rsidR="0092603E">
        <w:rPr>
          <w:rFonts w:cstheme="minorHAnsi"/>
        </w:rPr>
        <w:t xml:space="preserve">. </w:t>
      </w:r>
      <w:r w:rsidR="008F200E">
        <w:rPr>
          <w:rFonts w:cstheme="minorHAnsi"/>
        </w:rPr>
        <w:t xml:space="preserve">We conclude by arguing that this proposition is of potential value </w:t>
      </w:r>
      <w:r w:rsidR="00162DE1">
        <w:rPr>
          <w:rFonts w:cstheme="minorHAnsi"/>
        </w:rPr>
        <w:t xml:space="preserve">for </w:t>
      </w:r>
      <w:r w:rsidR="008F200E">
        <w:rPr>
          <w:rFonts w:cstheme="minorHAnsi"/>
        </w:rPr>
        <w:t xml:space="preserve">policy learning in other areas of social and public </w:t>
      </w:r>
      <w:proofErr w:type="gramStart"/>
      <w:r w:rsidR="008F200E">
        <w:rPr>
          <w:rFonts w:cstheme="minorHAnsi"/>
        </w:rPr>
        <w:t>policy-making</w:t>
      </w:r>
      <w:proofErr w:type="gramEnd"/>
      <w:r w:rsidR="008F200E">
        <w:rPr>
          <w:rFonts w:cstheme="minorHAnsi"/>
        </w:rPr>
        <w:t xml:space="preserve">, </w:t>
      </w:r>
      <w:r w:rsidR="00162DE1">
        <w:rPr>
          <w:rFonts w:cstheme="minorHAnsi"/>
        </w:rPr>
        <w:t xml:space="preserve">contending </w:t>
      </w:r>
      <w:r w:rsidR="008F200E">
        <w:rPr>
          <w:rFonts w:cstheme="minorHAnsi"/>
        </w:rPr>
        <w:t>that</w:t>
      </w:r>
      <w:r w:rsidR="00971767">
        <w:rPr>
          <w:rFonts w:cstheme="minorHAnsi"/>
        </w:rPr>
        <w:t xml:space="preserve"> </w:t>
      </w:r>
      <w:r w:rsidR="0092603E" w:rsidRPr="00E262B3">
        <w:rPr>
          <w:rFonts w:cstheme="minorHAnsi"/>
        </w:rPr>
        <w:t xml:space="preserve">both advocates and opponents </w:t>
      </w:r>
      <w:r w:rsidR="00971767">
        <w:rPr>
          <w:rFonts w:cstheme="minorHAnsi"/>
        </w:rPr>
        <w:t xml:space="preserve">of </w:t>
      </w:r>
      <w:r w:rsidR="0092603E" w:rsidRPr="00E262B3">
        <w:rPr>
          <w:rFonts w:cstheme="minorHAnsi"/>
        </w:rPr>
        <w:t>‘</w:t>
      </w:r>
      <w:r w:rsidR="00863629">
        <w:rPr>
          <w:rFonts w:cstheme="minorHAnsi"/>
        </w:rPr>
        <w:t>Votes-at-16</w:t>
      </w:r>
      <w:r w:rsidR="0092603E" w:rsidRPr="00E262B3">
        <w:rPr>
          <w:rFonts w:cstheme="minorHAnsi"/>
        </w:rPr>
        <w:t>’</w:t>
      </w:r>
      <w:r w:rsidR="0092603E">
        <w:rPr>
          <w:rFonts w:cstheme="minorHAnsi"/>
        </w:rPr>
        <w:t xml:space="preserve"> </w:t>
      </w:r>
      <w:r w:rsidR="008F200E">
        <w:rPr>
          <w:rFonts w:cstheme="minorHAnsi"/>
        </w:rPr>
        <w:t xml:space="preserve">should </w:t>
      </w:r>
      <w:r w:rsidR="0092603E">
        <w:rPr>
          <w:rFonts w:cstheme="minorHAnsi"/>
        </w:rPr>
        <w:t xml:space="preserve">heed the </w:t>
      </w:r>
      <w:r w:rsidR="00863629">
        <w:rPr>
          <w:rFonts w:cstheme="minorHAnsi"/>
        </w:rPr>
        <w:t xml:space="preserve">policy </w:t>
      </w:r>
      <w:r w:rsidR="0092603E">
        <w:rPr>
          <w:rFonts w:cstheme="minorHAnsi"/>
        </w:rPr>
        <w:t xml:space="preserve">lessons with regards to lowering the voting age to 18.  </w:t>
      </w:r>
    </w:p>
    <w:p w14:paraId="429FA789" w14:textId="2BDF2648" w:rsidR="00925470" w:rsidRPr="00E262B3" w:rsidRDefault="003D7181" w:rsidP="00925470">
      <w:pPr>
        <w:spacing w:line="360" w:lineRule="auto"/>
        <w:jc w:val="both"/>
        <w:rPr>
          <w:rFonts w:cstheme="minorHAnsi"/>
          <w:b/>
        </w:rPr>
      </w:pPr>
      <w:r w:rsidRPr="00E262B3">
        <w:rPr>
          <w:rFonts w:cstheme="minorHAnsi"/>
          <w:b/>
        </w:rPr>
        <w:t xml:space="preserve">Learning from the past? </w:t>
      </w:r>
      <w:r w:rsidR="005A7D6A">
        <w:rPr>
          <w:rFonts w:cstheme="minorHAnsi"/>
          <w:b/>
        </w:rPr>
        <w:t xml:space="preserve">Policy memory, </w:t>
      </w:r>
      <w:r w:rsidR="008F200E">
        <w:rPr>
          <w:rFonts w:cstheme="minorHAnsi"/>
          <w:b/>
        </w:rPr>
        <w:t>Institutional</w:t>
      </w:r>
      <w:r w:rsidR="008D1836" w:rsidRPr="00E262B3">
        <w:rPr>
          <w:rFonts w:cstheme="minorHAnsi"/>
          <w:b/>
        </w:rPr>
        <w:t xml:space="preserve"> </w:t>
      </w:r>
      <w:r w:rsidR="00474915" w:rsidRPr="00E262B3">
        <w:rPr>
          <w:rFonts w:cstheme="minorHAnsi"/>
          <w:b/>
        </w:rPr>
        <w:t>a</w:t>
      </w:r>
      <w:r w:rsidR="0049039A" w:rsidRPr="00E262B3">
        <w:rPr>
          <w:rFonts w:cstheme="minorHAnsi"/>
          <w:b/>
        </w:rPr>
        <w:t>mnesia</w:t>
      </w:r>
      <w:r w:rsidR="005A7D6A">
        <w:rPr>
          <w:rFonts w:cstheme="minorHAnsi"/>
          <w:b/>
        </w:rPr>
        <w:t xml:space="preserve"> </w:t>
      </w:r>
      <w:r w:rsidRPr="00E262B3">
        <w:rPr>
          <w:rFonts w:cstheme="minorHAnsi"/>
          <w:b/>
        </w:rPr>
        <w:t xml:space="preserve">and </w:t>
      </w:r>
      <w:r w:rsidR="008F200E">
        <w:rPr>
          <w:rFonts w:cstheme="minorHAnsi"/>
          <w:b/>
        </w:rPr>
        <w:t xml:space="preserve">policy </w:t>
      </w:r>
      <w:r w:rsidRPr="00E262B3">
        <w:rPr>
          <w:rFonts w:cstheme="minorHAnsi"/>
          <w:b/>
        </w:rPr>
        <w:t>myopia</w:t>
      </w:r>
    </w:p>
    <w:p w14:paraId="4B32F6F3" w14:textId="5FF398C0" w:rsidR="00160943" w:rsidRPr="00E262B3" w:rsidRDefault="00B53C97" w:rsidP="0049039A">
      <w:pPr>
        <w:spacing w:line="360" w:lineRule="auto"/>
        <w:jc w:val="both"/>
      </w:pPr>
      <w:proofErr w:type="gramStart"/>
      <w:r w:rsidRPr="00E262B3">
        <w:rPr>
          <w:rFonts w:cstheme="minorHAnsi"/>
        </w:rPr>
        <w:t>P</w:t>
      </w:r>
      <w:r w:rsidR="00B26614" w:rsidRPr="00E262B3">
        <w:rPr>
          <w:rFonts w:cstheme="minorHAnsi"/>
        </w:rPr>
        <w:t>olicy-making</w:t>
      </w:r>
      <w:proofErr w:type="gramEnd"/>
      <w:r w:rsidR="00B26614" w:rsidRPr="00E262B3">
        <w:rPr>
          <w:rFonts w:cstheme="minorHAnsi"/>
        </w:rPr>
        <w:t xml:space="preserve"> </w:t>
      </w:r>
      <w:r w:rsidR="000306B1" w:rsidRPr="00E262B3">
        <w:rPr>
          <w:rFonts w:cstheme="minorHAnsi"/>
        </w:rPr>
        <w:t xml:space="preserve">typically seeks to reform or alter contemporary aspects of public and governmental behaviour for an agreed purpose. </w:t>
      </w:r>
      <w:r w:rsidR="008A6FB6">
        <w:rPr>
          <w:rFonts w:cstheme="minorHAnsi"/>
        </w:rPr>
        <w:t>U</w:t>
      </w:r>
      <w:r w:rsidRPr="00E262B3">
        <w:rPr>
          <w:rFonts w:cstheme="minorHAnsi"/>
        </w:rPr>
        <w:t>nless</w:t>
      </w:r>
      <w:r w:rsidR="00B26614" w:rsidRPr="00E262B3">
        <w:rPr>
          <w:rFonts w:cstheme="minorHAnsi"/>
        </w:rPr>
        <w:t xml:space="preserve"> addressing a completely new policy area, </w:t>
      </w:r>
      <w:r w:rsidRPr="00E262B3">
        <w:t xml:space="preserve">contemporary </w:t>
      </w:r>
      <w:proofErr w:type="gramStart"/>
      <w:r w:rsidRPr="00E262B3">
        <w:rPr>
          <w:rFonts w:cstheme="minorHAnsi"/>
        </w:rPr>
        <w:t>policy-making</w:t>
      </w:r>
      <w:proofErr w:type="gramEnd"/>
      <w:r w:rsidRPr="00E262B3">
        <w:rPr>
          <w:rFonts w:cstheme="minorHAnsi"/>
        </w:rPr>
        <w:t xml:space="preserve"> builds on </w:t>
      </w:r>
      <w:r w:rsidR="005F2F97" w:rsidRPr="00E262B3">
        <w:rPr>
          <w:rFonts w:cstheme="minorHAnsi"/>
        </w:rPr>
        <w:t>past</w:t>
      </w:r>
      <w:r w:rsidRPr="00E262B3">
        <w:rPr>
          <w:rFonts w:cstheme="minorHAnsi"/>
        </w:rPr>
        <w:t xml:space="preserve"> policy </w:t>
      </w:r>
      <w:r w:rsidR="005F2F97" w:rsidRPr="00E262B3">
        <w:rPr>
          <w:rFonts w:cstheme="minorHAnsi"/>
        </w:rPr>
        <w:t>interventions</w:t>
      </w:r>
      <w:r w:rsidRPr="00E262B3">
        <w:rPr>
          <w:rFonts w:cstheme="minorHAnsi"/>
        </w:rPr>
        <w:t>, and occurs within the confines of existing governance norms and policy logic.</w:t>
      </w:r>
      <w:r w:rsidR="00160943" w:rsidRPr="00E262B3">
        <w:rPr>
          <w:rFonts w:cstheme="minorHAnsi"/>
        </w:rPr>
        <w:t xml:space="preserve"> </w:t>
      </w:r>
      <w:r w:rsidR="008F619D" w:rsidRPr="00E262B3">
        <w:t>Past experiences and memories are</w:t>
      </w:r>
      <w:r w:rsidR="008A6FB6">
        <w:t xml:space="preserve"> </w:t>
      </w:r>
      <w:r w:rsidR="008F619D" w:rsidRPr="00E262B3">
        <w:t>instrumental in shaping the development and implementation of policy</w:t>
      </w:r>
      <w:r w:rsidR="00874BFC">
        <w:t xml:space="preserve"> (Pollitt, 2000)</w:t>
      </w:r>
      <w:r w:rsidR="009F50B0">
        <w:t>.</w:t>
      </w:r>
      <w:r w:rsidRPr="00E262B3">
        <w:rPr>
          <w:rFonts w:cstheme="minorHAnsi"/>
        </w:rPr>
        <w:t xml:space="preserve"> </w:t>
      </w:r>
      <w:r w:rsidR="008A6FB6">
        <w:rPr>
          <w:rFonts w:cstheme="minorHAnsi"/>
        </w:rPr>
        <w:t xml:space="preserve">This raises </w:t>
      </w:r>
      <w:r w:rsidRPr="00E262B3">
        <w:rPr>
          <w:rFonts w:cstheme="minorHAnsi"/>
        </w:rPr>
        <w:t xml:space="preserve">the potential for the </w:t>
      </w:r>
      <w:r w:rsidRPr="00E262B3">
        <w:rPr>
          <w:rFonts w:cstheme="minorHAnsi"/>
        </w:rPr>
        <w:lastRenderedPageBreak/>
        <w:t>accommodation of</w:t>
      </w:r>
      <w:r w:rsidR="009F50B0">
        <w:rPr>
          <w:rFonts w:cstheme="minorHAnsi"/>
        </w:rPr>
        <w:t xml:space="preserve"> the legacies of</w:t>
      </w:r>
      <w:r w:rsidRPr="00E262B3">
        <w:rPr>
          <w:rFonts w:cstheme="minorHAnsi"/>
        </w:rPr>
        <w:t xml:space="preserve"> incohere</w:t>
      </w:r>
      <w:r w:rsidR="00160943" w:rsidRPr="00E262B3">
        <w:rPr>
          <w:rFonts w:cstheme="minorHAnsi"/>
        </w:rPr>
        <w:t xml:space="preserve">nt policy objectives </w:t>
      </w:r>
      <w:r w:rsidRPr="00E262B3">
        <w:rPr>
          <w:rFonts w:cstheme="minorHAnsi"/>
        </w:rPr>
        <w:t xml:space="preserve">or </w:t>
      </w:r>
      <w:r w:rsidR="00160943" w:rsidRPr="00E262B3">
        <w:rPr>
          <w:rFonts w:cstheme="minorHAnsi"/>
        </w:rPr>
        <w:t>poor policy design</w:t>
      </w:r>
      <w:r w:rsidR="009F50B0">
        <w:rPr>
          <w:rFonts w:cstheme="minorHAnsi"/>
        </w:rPr>
        <w:t xml:space="preserve"> </w:t>
      </w:r>
      <w:r w:rsidR="008865E1">
        <w:rPr>
          <w:rFonts w:cstheme="minorHAnsi"/>
        </w:rPr>
        <w:t>(B</w:t>
      </w:r>
      <w:r w:rsidR="008865E1" w:rsidRPr="00E262B3">
        <w:rPr>
          <w:rFonts w:cstheme="minorHAnsi"/>
        </w:rPr>
        <w:t>enson and Jordan</w:t>
      </w:r>
      <w:r w:rsidR="008865E1">
        <w:rPr>
          <w:rFonts w:cstheme="minorHAnsi"/>
        </w:rPr>
        <w:t xml:space="preserve">, </w:t>
      </w:r>
      <w:r w:rsidR="008865E1" w:rsidRPr="00E262B3">
        <w:rPr>
          <w:rFonts w:cstheme="minorHAnsi"/>
        </w:rPr>
        <w:t>2011</w:t>
      </w:r>
      <w:r w:rsidR="008865E1">
        <w:rPr>
          <w:rFonts w:cstheme="minorHAnsi"/>
        </w:rPr>
        <w:t>)</w:t>
      </w:r>
      <w:r w:rsidRPr="00E262B3">
        <w:rPr>
          <w:rFonts w:cstheme="minorHAnsi"/>
        </w:rPr>
        <w:t xml:space="preserve">. </w:t>
      </w:r>
      <w:r w:rsidR="005F2F97" w:rsidRPr="00E262B3">
        <w:rPr>
          <w:rFonts w:cstheme="minorHAnsi"/>
        </w:rPr>
        <w:t xml:space="preserve">In considering whether they should redesign or replace existing policy, </w:t>
      </w:r>
      <w:proofErr w:type="gramStart"/>
      <w:r w:rsidR="005F2F97" w:rsidRPr="00E262B3">
        <w:rPr>
          <w:rFonts w:cstheme="minorHAnsi"/>
        </w:rPr>
        <w:t>policy-makers</w:t>
      </w:r>
      <w:proofErr w:type="gramEnd"/>
      <w:r w:rsidR="005F2F97" w:rsidRPr="00E262B3">
        <w:rPr>
          <w:rFonts w:cstheme="minorHAnsi"/>
        </w:rPr>
        <w:t xml:space="preserve"> must </w:t>
      </w:r>
      <w:r w:rsidR="00874BFC">
        <w:rPr>
          <w:rFonts w:cstheme="minorHAnsi"/>
        </w:rPr>
        <w:t>seek to both</w:t>
      </w:r>
      <w:r w:rsidR="005F2F97" w:rsidRPr="00E262B3">
        <w:rPr>
          <w:rFonts w:cstheme="minorHAnsi"/>
        </w:rPr>
        <w:t xml:space="preserve"> focus on short-term policy challenges while also acknowledging the strategic but potentially unknowable nature of future issues or events. </w:t>
      </w:r>
    </w:p>
    <w:p w14:paraId="272BE9E6" w14:textId="1A3DF34B" w:rsidR="00874BFC" w:rsidRDefault="00C56C83" w:rsidP="00874BFC">
      <w:pPr>
        <w:spacing w:line="360" w:lineRule="auto"/>
        <w:jc w:val="both"/>
        <w:rPr>
          <w:color w:val="000000" w:themeColor="text1"/>
        </w:rPr>
      </w:pPr>
      <w:r w:rsidRPr="00E262B3">
        <w:rPr>
          <w:rFonts w:cstheme="minorHAnsi"/>
        </w:rPr>
        <w:t xml:space="preserve">Policy learning </w:t>
      </w:r>
      <w:r w:rsidR="008F619D">
        <w:rPr>
          <w:rFonts w:cstheme="minorHAnsi"/>
        </w:rPr>
        <w:t xml:space="preserve">through analysis of past interventions </w:t>
      </w:r>
      <w:r w:rsidRPr="00E262B3">
        <w:rPr>
          <w:rFonts w:cstheme="minorHAnsi"/>
        </w:rPr>
        <w:t>can be instructive</w:t>
      </w:r>
      <w:r w:rsidR="00855040">
        <w:rPr>
          <w:rFonts w:cstheme="minorHAnsi"/>
        </w:rPr>
        <w:t xml:space="preserve">, </w:t>
      </w:r>
      <w:r w:rsidR="005F2F97" w:rsidRPr="00E262B3">
        <w:rPr>
          <w:rFonts w:cstheme="minorHAnsi"/>
        </w:rPr>
        <w:t xml:space="preserve">helping </w:t>
      </w:r>
      <w:proofErr w:type="gramStart"/>
      <w:r w:rsidR="005F2F97" w:rsidRPr="00E262B3">
        <w:rPr>
          <w:rFonts w:cstheme="minorHAnsi"/>
        </w:rPr>
        <w:t>policy-makers</w:t>
      </w:r>
      <w:proofErr w:type="gramEnd"/>
      <w:r w:rsidR="005F2F97" w:rsidRPr="00E262B3">
        <w:rPr>
          <w:rFonts w:cstheme="minorHAnsi"/>
        </w:rPr>
        <w:t xml:space="preserve"> address </w:t>
      </w:r>
      <w:r w:rsidR="008F619D">
        <w:rPr>
          <w:rFonts w:cstheme="minorHAnsi"/>
        </w:rPr>
        <w:t>contemporary</w:t>
      </w:r>
      <w:r w:rsidR="005F2F97" w:rsidRPr="00E262B3">
        <w:rPr>
          <w:rFonts w:cstheme="minorHAnsi"/>
        </w:rPr>
        <w:t xml:space="preserve"> challenges</w:t>
      </w:r>
      <w:r w:rsidR="00855040">
        <w:rPr>
          <w:rFonts w:cstheme="minorHAnsi"/>
        </w:rPr>
        <w:t xml:space="preserve"> </w:t>
      </w:r>
      <w:r w:rsidR="008F619D">
        <w:rPr>
          <w:rFonts w:cstheme="minorHAnsi"/>
        </w:rPr>
        <w:t>through the</w:t>
      </w:r>
      <w:r w:rsidR="00937DD4" w:rsidRPr="00E262B3">
        <w:rPr>
          <w:rFonts w:cstheme="minorHAnsi"/>
        </w:rPr>
        <w:t xml:space="preserve"> adopt</w:t>
      </w:r>
      <w:r w:rsidR="00855040">
        <w:rPr>
          <w:rFonts w:cstheme="minorHAnsi"/>
        </w:rPr>
        <w:t>ion</w:t>
      </w:r>
      <w:r w:rsidR="004F19BC">
        <w:rPr>
          <w:rFonts w:cstheme="minorHAnsi"/>
        </w:rPr>
        <w:t xml:space="preserve"> of</w:t>
      </w:r>
      <w:r w:rsidR="00855040">
        <w:rPr>
          <w:rFonts w:cstheme="minorHAnsi"/>
        </w:rPr>
        <w:t xml:space="preserve"> </w:t>
      </w:r>
      <w:r w:rsidR="00937DD4" w:rsidRPr="00E262B3">
        <w:rPr>
          <w:rFonts w:cstheme="minorHAnsi"/>
        </w:rPr>
        <w:t xml:space="preserve">a holistic view of historical precedents </w:t>
      </w:r>
      <w:r w:rsidR="0013141D">
        <w:rPr>
          <w:rFonts w:cstheme="minorHAnsi"/>
        </w:rPr>
        <w:t>to address</w:t>
      </w:r>
      <w:r w:rsidR="00937DD4" w:rsidRPr="00E262B3">
        <w:rPr>
          <w:rFonts w:cstheme="minorHAnsi"/>
        </w:rPr>
        <w:t xml:space="preserve"> anticipat</w:t>
      </w:r>
      <w:r w:rsidR="00855040">
        <w:rPr>
          <w:rFonts w:cstheme="minorHAnsi"/>
        </w:rPr>
        <w:t xml:space="preserve">ed </w:t>
      </w:r>
      <w:r w:rsidR="00937DD4" w:rsidRPr="00E262B3">
        <w:rPr>
          <w:rFonts w:cstheme="minorHAnsi"/>
        </w:rPr>
        <w:t xml:space="preserve">future </w:t>
      </w:r>
      <w:r w:rsidR="008F619D">
        <w:rPr>
          <w:rFonts w:cstheme="minorHAnsi"/>
        </w:rPr>
        <w:t xml:space="preserve">policy </w:t>
      </w:r>
      <w:r w:rsidR="00937DD4" w:rsidRPr="00E262B3">
        <w:rPr>
          <w:rFonts w:cstheme="minorHAnsi"/>
        </w:rPr>
        <w:t>needs</w:t>
      </w:r>
      <w:r w:rsidR="00D764B9">
        <w:rPr>
          <w:rFonts w:cstheme="minorHAnsi"/>
        </w:rPr>
        <w:t xml:space="preserve"> (Dolowitz and Marsh, 1996)</w:t>
      </w:r>
      <w:r w:rsidR="008F619D">
        <w:rPr>
          <w:rFonts w:cstheme="minorHAnsi"/>
        </w:rPr>
        <w:t xml:space="preserve">. This is achieved through </w:t>
      </w:r>
      <w:r w:rsidR="00937DD4" w:rsidRPr="00E262B3">
        <w:rPr>
          <w:rFonts w:cstheme="minorHAnsi"/>
        </w:rPr>
        <w:t xml:space="preserve">knowledge </w:t>
      </w:r>
      <w:r w:rsidR="008F619D">
        <w:rPr>
          <w:rFonts w:cstheme="minorHAnsi"/>
        </w:rPr>
        <w:t>concerning</w:t>
      </w:r>
      <w:r w:rsidR="00937DD4" w:rsidRPr="00E262B3">
        <w:rPr>
          <w:rFonts w:cstheme="minorHAnsi"/>
        </w:rPr>
        <w:t xml:space="preserve"> the drivers, process, implementation and effects of </w:t>
      </w:r>
      <w:r w:rsidR="008F619D">
        <w:rPr>
          <w:rFonts w:cstheme="minorHAnsi"/>
        </w:rPr>
        <w:t>existing policy</w:t>
      </w:r>
      <w:r w:rsidR="00937DD4" w:rsidRPr="00E262B3">
        <w:rPr>
          <w:rFonts w:cstheme="minorHAnsi"/>
        </w:rPr>
        <w:t xml:space="preserve">. </w:t>
      </w:r>
      <w:r w:rsidR="008F619D">
        <w:rPr>
          <w:rFonts w:cstheme="minorHAnsi"/>
        </w:rPr>
        <w:t>Policy learning</w:t>
      </w:r>
      <w:r w:rsidR="00937DD4" w:rsidRPr="00E262B3">
        <w:rPr>
          <w:rFonts w:cstheme="minorHAnsi"/>
        </w:rPr>
        <w:t xml:space="preserve"> requires institutional will, capacity and the appropriate mechanisms to assess the success or failure of past </w:t>
      </w:r>
      <w:proofErr w:type="gramStart"/>
      <w:r w:rsidR="00937DD4" w:rsidRPr="00E262B3">
        <w:rPr>
          <w:rFonts w:cstheme="minorHAnsi"/>
        </w:rPr>
        <w:t>policy-making</w:t>
      </w:r>
      <w:proofErr w:type="gramEnd"/>
      <w:r w:rsidR="00A40CC6" w:rsidRPr="00E262B3">
        <w:rPr>
          <w:rFonts w:cstheme="minorHAnsi"/>
        </w:rPr>
        <w:t xml:space="preserve">. </w:t>
      </w:r>
      <w:r w:rsidR="002E57AF" w:rsidRPr="00E262B3">
        <w:rPr>
          <w:rFonts w:ascii="Calibri" w:hAnsi="Calibri"/>
        </w:rPr>
        <w:t>A</w:t>
      </w:r>
      <w:r w:rsidR="007017E4" w:rsidRPr="00E262B3">
        <w:rPr>
          <w:rFonts w:ascii="Calibri" w:hAnsi="Calibri"/>
        </w:rPr>
        <w:t xml:space="preserve">ssessing policy through this </w:t>
      </w:r>
      <w:r w:rsidR="003D32FE" w:rsidRPr="00E262B3">
        <w:rPr>
          <w:rFonts w:ascii="Calibri" w:hAnsi="Calibri"/>
        </w:rPr>
        <w:t xml:space="preserve">binary </w:t>
      </w:r>
      <w:r w:rsidR="007017E4" w:rsidRPr="00E262B3">
        <w:rPr>
          <w:rFonts w:ascii="Calibri" w:hAnsi="Calibri"/>
        </w:rPr>
        <w:t>is difficult</w:t>
      </w:r>
      <w:r w:rsidR="00FA0F61">
        <w:rPr>
          <w:rFonts w:ascii="Calibri" w:hAnsi="Calibri"/>
        </w:rPr>
        <w:t>,</w:t>
      </w:r>
      <w:r w:rsidR="007017E4" w:rsidRPr="00E262B3">
        <w:rPr>
          <w:rFonts w:ascii="Calibri" w:hAnsi="Calibri"/>
        </w:rPr>
        <w:t xml:space="preserve"> due to </w:t>
      </w:r>
      <w:r w:rsidR="00937DD4" w:rsidRPr="00E262B3">
        <w:rPr>
          <w:rFonts w:ascii="Calibri" w:hAnsi="Calibri"/>
        </w:rPr>
        <w:t>challenges</w:t>
      </w:r>
      <w:r w:rsidR="007017E4" w:rsidRPr="00E262B3">
        <w:rPr>
          <w:rFonts w:ascii="Calibri" w:hAnsi="Calibri"/>
        </w:rPr>
        <w:t xml:space="preserve"> </w:t>
      </w:r>
      <w:r w:rsidR="00937DD4" w:rsidRPr="00E262B3">
        <w:rPr>
          <w:rFonts w:ascii="Calibri" w:hAnsi="Calibri"/>
        </w:rPr>
        <w:t>in quantifying success and failure over time</w:t>
      </w:r>
      <w:r w:rsidR="00863629">
        <w:rPr>
          <w:rFonts w:ascii="Calibri" w:hAnsi="Calibri"/>
        </w:rPr>
        <w:t xml:space="preserve"> </w:t>
      </w:r>
      <w:r w:rsidR="007017E4" w:rsidRPr="00E262B3">
        <w:rPr>
          <w:rFonts w:ascii="Calibri" w:hAnsi="Calibri"/>
        </w:rPr>
        <w:t xml:space="preserve">and </w:t>
      </w:r>
      <w:r w:rsidR="00FA0F61">
        <w:rPr>
          <w:rFonts w:ascii="Calibri" w:hAnsi="Calibri"/>
        </w:rPr>
        <w:t xml:space="preserve">problematic in assessing </w:t>
      </w:r>
      <w:r w:rsidR="003D32FE" w:rsidRPr="00E262B3">
        <w:rPr>
          <w:rFonts w:ascii="Calibri" w:hAnsi="Calibri"/>
        </w:rPr>
        <w:t xml:space="preserve">how </w:t>
      </w:r>
      <w:r w:rsidR="007017E4" w:rsidRPr="00E262B3">
        <w:rPr>
          <w:rFonts w:ascii="Calibri" w:hAnsi="Calibri"/>
        </w:rPr>
        <w:t xml:space="preserve">evidence </w:t>
      </w:r>
      <w:r w:rsidR="002E0D1D" w:rsidRPr="00E262B3">
        <w:rPr>
          <w:rFonts w:ascii="Calibri" w:hAnsi="Calibri"/>
        </w:rPr>
        <w:t xml:space="preserve">supporting such judgements </w:t>
      </w:r>
      <w:r w:rsidR="005F2F97" w:rsidRPr="00E262B3">
        <w:rPr>
          <w:rFonts w:ascii="Calibri" w:hAnsi="Calibri"/>
        </w:rPr>
        <w:t>can be</w:t>
      </w:r>
      <w:r w:rsidR="007017E4" w:rsidRPr="00E262B3">
        <w:rPr>
          <w:rFonts w:ascii="Calibri" w:hAnsi="Calibri"/>
        </w:rPr>
        <w:t xml:space="preserve"> captured </w:t>
      </w:r>
      <w:r w:rsidR="005F2F97" w:rsidRPr="00E262B3">
        <w:rPr>
          <w:rFonts w:ascii="Calibri" w:hAnsi="Calibri"/>
        </w:rPr>
        <w:t>and</w:t>
      </w:r>
      <w:r w:rsidR="007017E4" w:rsidRPr="00E262B3">
        <w:rPr>
          <w:rFonts w:ascii="Calibri" w:hAnsi="Calibri"/>
        </w:rPr>
        <w:t xml:space="preserve"> </w:t>
      </w:r>
      <w:r w:rsidR="00937DD4" w:rsidRPr="00E262B3">
        <w:rPr>
          <w:rFonts w:ascii="Calibri" w:hAnsi="Calibri"/>
        </w:rPr>
        <w:t>analysed</w:t>
      </w:r>
      <w:r w:rsidR="00D764B9">
        <w:rPr>
          <w:rFonts w:ascii="Calibri" w:hAnsi="Calibri"/>
        </w:rPr>
        <w:t xml:space="preserve"> (Begley et al., 2019)</w:t>
      </w:r>
      <w:r w:rsidR="007017E4" w:rsidRPr="00E262B3">
        <w:rPr>
          <w:rFonts w:ascii="Calibri" w:hAnsi="Calibri"/>
        </w:rPr>
        <w:t xml:space="preserve">. </w:t>
      </w:r>
      <w:r w:rsidRPr="00E262B3">
        <w:rPr>
          <w:rFonts w:ascii="Calibri" w:hAnsi="Calibri"/>
        </w:rPr>
        <w:t xml:space="preserve">Moreover, </w:t>
      </w:r>
      <w:r w:rsidR="00937DD4" w:rsidRPr="00E262B3">
        <w:rPr>
          <w:rFonts w:ascii="Calibri" w:hAnsi="Calibri"/>
        </w:rPr>
        <w:t>the</w:t>
      </w:r>
      <w:r w:rsidRPr="00E262B3">
        <w:rPr>
          <w:rFonts w:ascii="Calibri" w:hAnsi="Calibri"/>
        </w:rPr>
        <w:t xml:space="preserve"> success</w:t>
      </w:r>
      <w:r w:rsidR="00937DD4" w:rsidRPr="00E262B3">
        <w:rPr>
          <w:rFonts w:ascii="Calibri" w:hAnsi="Calibri"/>
        </w:rPr>
        <w:t xml:space="preserve"> </w:t>
      </w:r>
      <w:r w:rsidRPr="00E262B3">
        <w:rPr>
          <w:rFonts w:ascii="Calibri" w:hAnsi="Calibri"/>
        </w:rPr>
        <w:t xml:space="preserve">or failure </w:t>
      </w:r>
      <w:r w:rsidR="00937DD4" w:rsidRPr="00E262B3">
        <w:rPr>
          <w:rFonts w:ascii="Calibri" w:hAnsi="Calibri"/>
        </w:rPr>
        <w:t>of a policy is not</w:t>
      </w:r>
      <w:r w:rsidRPr="00E262B3">
        <w:rPr>
          <w:rFonts w:ascii="Calibri" w:hAnsi="Calibri"/>
        </w:rPr>
        <w:t xml:space="preserve"> mutually exclusiv</w:t>
      </w:r>
      <w:r w:rsidR="00937DD4" w:rsidRPr="00E262B3">
        <w:rPr>
          <w:rFonts w:ascii="Calibri" w:hAnsi="Calibri"/>
        </w:rPr>
        <w:t>e</w:t>
      </w:r>
      <w:r w:rsidR="00D764B9">
        <w:rPr>
          <w:rFonts w:ascii="Calibri" w:hAnsi="Calibri"/>
        </w:rPr>
        <w:t xml:space="preserve"> (McConnell, 2010)</w:t>
      </w:r>
      <w:r w:rsidR="00937DD4" w:rsidRPr="00E262B3">
        <w:rPr>
          <w:rFonts w:ascii="Calibri" w:hAnsi="Calibri"/>
        </w:rPr>
        <w:t xml:space="preserve">. </w:t>
      </w:r>
      <w:r w:rsidR="009F50B0">
        <w:rPr>
          <w:rFonts w:ascii="Calibri" w:hAnsi="Calibri"/>
        </w:rPr>
        <w:t xml:space="preserve">The various stages of </w:t>
      </w:r>
      <w:proofErr w:type="gramStart"/>
      <w:r w:rsidR="009F50B0">
        <w:rPr>
          <w:rFonts w:ascii="Calibri" w:hAnsi="Calibri"/>
        </w:rPr>
        <w:t>p</w:t>
      </w:r>
      <w:r w:rsidR="00937DD4" w:rsidRPr="00E262B3">
        <w:rPr>
          <w:rFonts w:ascii="Calibri" w:hAnsi="Calibri"/>
        </w:rPr>
        <w:t>olicy</w:t>
      </w:r>
      <w:r w:rsidR="009F50B0">
        <w:rPr>
          <w:rFonts w:ascii="Calibri" w:hAnsi="Calibri"/>
        </w:rPr>
        <w:t>-making</w:t>
      </w:r>
      <w:proofErr w:type="gramEnd"/>
      <w:r w:rsidR="009F50B0">
        <w:rPr>
          <w:rFonts w:ascii="Calibri" w:hAnsi="Calibri"/>
        </w:rPr>
        <w:t xml:space="preserve"> </w:t>
      </w:r>
      <w:r w:rsidR="00937DD4" w:rsidRPr="00E262B3">
        <w:rPr>
          <w:rFonts w:ascii="Calibri" w:hAnsi="Calibri"/>
        </w:rPr>
        <w:t>can</w:t>
      </w:r>
      <w:r w:rsidRPr="00E262B3">
        <w:rPr>
          <w:rFonts w:ascii="Calibri" w:hAnsi="Calibri"/>
        </w:rPr>
        <w:t xml:space="preserve"> </w:t>
      </w:r>
      <w:r w:rsidR="00937DD4" w:rsidRPr="00E262B3">
        <w:rPr>
          <w:rFonts w:ascii="Calibri" w:hAnsi="Calibri"/>
        </w:rPr>
        <w:t>be analysed independently</w:t>
      </w:r>
      <w:r w:rsidR="008F619D">
        <w:rPr>
          <w:rFonts w:ascii="Calibri" w:hAnsi="Calibri"/>
        </w:rPr>
        <w:t>,</w:t>
      </w:r>
      <w:r w:rsidR="00937DD4" w:rsidRPr="00E262B3">
        <w:rPr>
          <w:rFonts w:ascii="Calibri" w:hAnsi="Calibri"/>
        </w:rPr>
        <w:t xml:space="preserve"> and also understood across multiple</w:t>
      </w:r>
      <w:r w:rsidR="008F619D">
        <w:rPr>
          <w:rFonts w:ascii="Calibri" w:hAnsi="Calibri"/>
        </w:rPr>
        <w:t xml:space="preserve">, interconnected </w:t>
      </w:r>
      <w:r w:rsidRPr="00E262B3">
        <w:rPr>
          <w:rFonts w:ascii="Calibri" w:hAnsi="Calibri"/>
        </w:rPr>
        <w:t>policy contexts.</w:t>
      </w:r>
      <w:r w:rsidRPr="00E262B3">
        <w:t xml:space="preserve"> </w:t>
      </w:r>
      <w:r w:rsidR="00937DD4" w:rsidRPr="00E262B3">
        <w:t xml:space="preserve">Policy learning can also be skewed by the extent </w:t>
      </w:r>
      <w:proofErr w:type="gramStart"/>
      <w:r w:rsidR="00937DD4" w:rsidRPr="00E262B3">
        <w:t>policy-makers</w:t>
      </w:r>
      <w:proofErr w:type="gramEnd"/>
      <w:r w:rsidR="00937DD4" w:rsidRPr="00E262B3">
        <w:t xml:space="preserve"> adopt objective </w:t>
      </w:r>
      <w:r w:rsidR="00937DD4" w:rsidRPr="00E262B3">
        <w:rPr>
          <w:rFonts w:cstheme="minorHAnsi"/>
        </w:rPr>
        <w:t xml:space="preserve">or </w:t>
      </w:r>
      <w:r w:rsidR="007017E4" w:rsidRPr="00E262B3">
        <w:rPr>
          <w:rFonts w:ascii="Calibri" w:hAnsi="Calibri"/>
        </w:rPr>
        <w:t xml:space="preserve">subjective </w:t>
      </w:r>
      <w:r w:rsidR="008F619D">
        <w:rPr>
          <w:rFonts w:ascii="Calibri" w:hAnsi="Calibri"/>
        </w:rPr>
        <w:t>approaches</w:t>
      </w:r>
      <w:r w:rsidR="00937DD4" w:rsidRPr="00E262B3">
        <w:rPr>
          <w:rFonts w:ascii="Calibri" w:hAnsi="Calibri"/>
        </w:rPr>
        <w:t xml:space="preserve"> to support contemporary policy agendas</w:t>
      </w:r>
      <w:r w:rsidR="007017E4" w:rsidRPr="00E262B3">
        <w:rPr>
          <w:rFonts w:ascii="Calibri" w:hAnsi="Calibri"/>
        </w:rPr>
        <w:t xml:space="preserve">. </w:t>
      </w:r>
      <w:r w:rsidR="0051002C" w:rsidRPr="00E262B3">
        <w:t>Dunlop (2017</w:t>
      </w:r>
      <w:r w:rsidR="00BB411F">
        <w:t>:</w:t>
      </w:r>
      <w:r w:rsidR="009F50B0">
        <w:t xml:space="preserve"> 6</w:t>
      </w:r>
      <w:r w:rsidR="0051002C" w:rsidRPr="00E262B3">
        <w:t xml:space="preserve">) notes </w:t>
      </w:r>
      <w:r w:rsidR="00E13668">
        <w:t xml:space="preserve">how </w:t>
      </w:r>
      <w:r w:rsidR="00EF03BA" w:rsidRPr="00E262B3">
        <w:t>p</w:t>
      </w:r>
      <w:r w:rsidR="0051002C" w:rsidRPr="00E262B3">
        <w:t>olicy learning is not simply an analytical tool but also an ontology with which to observe individual and collective political behaviour.</w:t>
      </w:r>
      <w:r w:rsidR="0051002C" w:rsidRPr="00E262B3">
        <w:rPr>
          <w:rFonts w:ascii="Calibri" w:hAnsi="Calibri"/>
        </w:rPr>
        <w:t xml:space="preserve"> </w:t>
      </w:r>
      <w:r w:rsidR="0051002C" w:rsidRPr="00E262B3">
        <w:rPr>
          <w:rFonts w:cstheme="minorHAnsi"/>
        </w:rPr>
        <w:t xml:space="preserve">Crucial to this process is </w:t>
      </w:r>
      <w:r w:rsidR="001D775A">
        <w:rPr>
          <w:rFonts w:cstheme="minorHAnsi"/>
        </w:rPr>
        <w:t>the</w:t>
      </w:r>
      <w:r w:rsidR="0051002C" w:rsidRPr="00E262B3">
        <w:rPr>
          <w:rFonts w:cstheme="minorHAnsi"/>
        </w:rPr>
        <w:t xml:space="preserve"> desire </w:t>
      </w:r>
      <w:r w:rsidR="001D775A">
        <w:rPr>
          <w:rFonts w:cstheme="minorHAnsi"/>
        </w:rPr>
        <w:t xml:space="preserve">or otherwise of </w:t>
      </w:r>
      <w:proofErr w:type="gramStart"/>
      <w:r w:rsidR="001D775A">
        <w:rPr>
          <w:rFonts w:cstheme="minorHAnsi"/>
        </w:rPr>
        <w:t>policy-makers</w:t>
      </w:r>
      <w:proofErr w:type="gramEnd"/>
      <w:r w:rsidR="001D775A">
        <w:rPr>
          <w:rFonts w:cstheme="minorHAnsi"/>
        </w:rPr>
        <w:t xml:space="preserve"> </w:t>
      </w:r>
      <w:r w:rsidR="0051002C" w:rsidRPr="00E262B3">
        <w:rPr>
          <w:rFonts w:cstheme="minorHAnsi"/>
        </w:rPr>
        <w:t xml:space="preserve">to understand the context and process of past policy interventions </w:t>
      </w:r>
      <w:r w:rsidR="0051002C" w:rsidRPr="00E262B3">
        <w:rPr>
          <w:rFonts w:cstheme="minorHAnsi"/>
          <w:i/>
        </w:rPr>
        <w:t>and</w:t>
      </w:r>
      <w:r w:rsidR="0051002C" w:rsidRPr="00E262B3">
        <w:rPr>
          <w:rFonts w:cstheme="minorHAnsi"/>
        </w:rPr>
        <w:t xml:space="preserve"> to analyse </w:t>
      </w:r>
      <w:r w:rsidR="003245EC">
        <w:rPr>
          <w:rFonts w:cstheme="minorHAnsi"/>
        </w:rPr>
        <w:t>if</w:t>
      </w:r>
      <w:r w:rsidR="0051002C" w:rsidRPr="00E262B3">
        <w:rPr>
          <w:rFonts w:cstheme="minorHAnsi"/>
        </w:rPr>
        <w:t xml:space="preserve"> they met their planned objectives. </w:t>
      </w:r>
      <w:r w:rsidR="00B67D28" w:rsidRPr="00E262B3">
        <w:t xml:space="preserve">Policy learning </w:t>
      </w:r>
      <w:r w:rsidR="001C7C26">
        <w:t xml:space="preserve">thus </w:t>
      </w:r>
      <w:r w:rsidR="00EF03BA" w:rsidRPr="00E262B3">
        <w:t xml:space="preserve">involves </w:t>
      </w:r>
      <w:r w:rsidR="00B67D28" w:rsidRPr="00E262B3">
        <w:t xml:space="preserve">important questions as to the selective nature of who </w:t>
      </w:r>
      <w:r w:rsidR="00B67D28" w:rsidRPr="00E262B3">
        <w:rPr>
          <w:color w:val="000000" w:themeColor="text1"/>
        </w:rPr>
        <w:t>learns what and when</w:t>
      </w:r>
      <w:r w:rsidR="00E177AC">
        <w:rPr>
          <w:color w:val="000000" w:themeColor="text1"/>
        </w:rPr>
        <w:t>,</w:t>
      </w:r>
      <w:r w:rsidR="00B67D28" w:rsidRPr="00E262B3">
        <w:rPr>
          <w:color w:val="000000" w:themeColor="text1"/>
        </w:rPr>
        <w:t xml:space="preserve"> and how diverse approaches can shape current and future </w:t>
      </w:r>
      <w:proofErr w:type="gramStart"/>
      <w:r w:rsidR="00B67D28" w:rsidRPr="00E262B3">
        <w:rPr>
          <w:color w:val="000000" w:themeColor="text1"/>
        </w:rPr>
        <w:t>policy-making</w:t>
      </w:r>
      <w:proofErr w:type="gramEnd"/>
      <w:r w:rsidR="00B67D28" w:rsidRPr="00E262B3">
        <w:rPr>
          <w:color w:val="000000" w:themeColor="text1"/>
        </w:rPr>
        <w:t>.</w:t>
      </w:r>
      <w:r w:rsidR="009C7691" w:rsidRPr="00E262B3">
        <w:rPr>
          <w:color w:val="000000" w:themeColor="text1"/>
        </w:rPr>
        <w:t xml:space="preserve"> </w:t>
      </w:r>
    </w:p>
    <w:p w14:paraId="50699D87" w14:textId="13520AC8" w:rsidR="00874BFC" w:rsidRPr="00874BFC" w:rsidRDefault="00874BFC" w:rsidP="00874BFC">
      <w:pPr>
        <w:spacing w:line="360" w:lineRule="auto"/>
        <w:jc w:val="both"/>
      </w:pPr>
      <w:r w:rsidRPr="00874BFC">
        <w:rPr>
          <w:rFonts w:eastAsia="Times New Roman" w:cstheme="minorHAnsi"/>
          <w:lang w:eastAsia="en-GB"/>
        </w:rPr>
        <w:t>Corbett et al. (2018</w:t>
      </w:r>
      <w:r w:rsidR="00A553D4">
        <w:rPr>
          <w:rFonts w:eastAsia="Times New Roman" w:cstheme="minorHAnsi"/>
          <w:lang w:eastAsia="en-GB"/>
        </w:rPr>
        <w:t>b</w:t>
      </w:r>
      <w:r w:rsidRPr="00874BFC">
        <w:rPr>
          <w:rFonts w:eastAsia="Times New Roman" w:cstheme="minorHAnsi"/>
          <w:lang w:eastAsia="en-GB"/>
        </w:rPr>
        <w:t xml:space="preserve">: 556) </w:t>
      </w:r>
      <w:r>
        <w:rPr>
          <w:rFonts w:eastAsia="Times New Roman" w:cstheme="minorHAnsi"/>
          <w:lang w:eastAsia="en-GB"/>
        </w:rPr>
        <w:t>differentiate between</w:t>
      </w:r>
      <w:r w:rsidRPr="00874BFC">
        <w:rPr>
          <w:rFonts w:eastAsia="Times New Roman" w:cstheme="minorHAnsi"/>
          <w:lang w:eastAsia="en-GB"/>
        </w:rPr>
        <w:t xml:space="preserve"> </w:t>
      </w:r>
      <w:r>
        <w:rPr>
          <w:rFonts w:eastAsia="Times New Roman" w:cstheme="minorHAnsi"/>
          <w:lang w:eastAsia="en-GB"/>
        </w:rPr>
        <w:t xml:space="preserve">policy learning, </w:t>
      </w:r>
      <w:r w:rsidRPr="00874BFC">
        <w:rPr>
          <w:lang w:eastAsia="en-GB"/>
        </w:rPr>
        <w:t>primarily concerned with increasing or improving knowledge about policy</w:t>
      </w:r>
      <w:r>
        <w:rPr>
          <w:lang w:eastAsia="en-GB"/>
        </w:rPr>
        <w:t>, and institutional memory</w:t>
      </w:r>
      <w:r w:rsidR="001F4147">
        <w:rPr>
          <w:lang w:eastAsia="en-GB"/>
        </w:rPr>
        <w:t xml:space="preserve"> relating to </w:t>
      </w:r>
      <w:r w:rsidRPr="00874BFC">
        <w:rPr>
          <w:lang w:eastAsia="en-GB"/>
        </w:rPr>
        <w:t xml:space="preserve">how knowledge becomes embedded within </w:t>
      </w:r>
      <w:r w:rsidR="001D775A" w:rsidRPr="00874BFC">
        <w:rPr>
          <w:lang w:eastAsia="en-GB"/>
        </w:rPr>
        <w:t>official</w:t>
      </w:r>
      <w:r w:rsidRPr="00874BFC">
        <w:rPr>
          <w:lang w:eastAsia="en-GB"/>
        </w:rPr>
        <w:t xml:space="preserve"> processes.</w:t>
      </w:r>
      <w:r w:rsidR="001F4147">
        <w:rPr>
          <w:lang w:eastAsia="en-GB"/>
        </w:rPr>
        <w:t xml:space="preserve"> Institutional memory is not merely the </w:t>
      </w:r>
      <w:r w:rsidRPr="00992E43">
        <w:rPr>
          <w:rFonts w:eastAsia="Times New Roman" w:cstheme="minorHAnsi"/>
          <w:lang w:eastAsia="en-GB"/>
        </w:rPr>
        <w:t xml:space="preserve">study </w:t>
      </w:r>
      <w:r>
        <w:rPr>
          <w:rFonts w:eastAsia="Times New Roman" w:cstheme="minorHAnsi"/>
          <w:lang w:eastAsia="en-GB"/>
        </w:rPr>
        <w:t xml:space="preserve">of </w:t>
      </w:r>
      <w:r w:rsidRPr="00992E43">
        <w:rPr>
          <w:rFonts w:eastAsia="Times New Roman" w:cstheme="minorHAnsi"/>
          <w:lang w:eastAsia="en-GB"/>
        </w:rPr>
        <w:t>history to increase the reference points for analysis</w:t>
      </w:r>
      <w:r>
        <w:rPr>
          <w:rFonts w:eastAsia="Times New Roman" w:cstheme="minorHAnsi"/>
          <w:lang w:eastAsia="en-GB"/>
        </w:rPr>
        <w:t xml:space="preserve"> but </w:t>
      </w:r>
      <w:r w:rsidR="001F4147">
        <w:rPr>
          <w:rFonts w:eastAsia="Times New Roman" w:cstheme="minorHAnsi"/>
          <w:lang w:eastAsia="en-GB"/>
        </w:rPr>
        <w:t xml:space="preserve">also </w:t>
      </w:r>
      <w:r>
        <w:rPr>
          <w:rFonts w:eastAsia="Times New Roman" w:cstheme="minorHAnsi"/>
          <w:lang w:eastAsia="en-GB"/>
        </w:rPr>
        <w:t>allows institutions to understand the connectivity between the past, present, and future of politic</w:t>
      </w:r>
      <w:r w:rsidR="001F4147">
        <w:rPr>
          <w:rFonts w:eastAsia="Times New Roman" w:cstheme="minorHAnsi"/>
          <w:lang w:eastAsia="en-GB"/>
        </w:rPr>
        <w:t xml:space="preserve">al behaviour </w:t>
      </w:r>
      <w:r>
        <w:rPr>
          <w:rFonts w:eastAsia="Times New Roman" w:cstheme="minorHAnsi"/>
          <w:lang w:eastAsia="en-GB"/>
        </w:rPr>
        <w:t xml:space="preserve">and </w:t>
      </w:r>
      <w:proofErr w:type="gramStart"/>
      <w:r>
        <w:rPr>
          <w:rFonts w:eastAsia="Times New Roman" w:cstheme="minorHAnsi"/>
          <w:lang w:eastAsia="en-GB"/>
        </w:rPr>
        <w:t>policy-making</w:t>
      </w:r>
      <w:proofErr w:type="gramEnd"/>
      <w:r>
        <w:rPr>
          <w:rFonts w:eastAsia="Times New Roman" w:cstheme="minorHAnsi"/>
          <w:lang w:eastAsia="en-GB"/>
        </w:rPr>
        <w:t xml:space="preserve">. </w:t>
      </w:r>
      <w:r>
        <w:rPr>
          <w:rFonts w:cstheme="minorHAnsi"/>
        </w:rPr>
        <w:t xml:space="preserve">As </w:t>
      </w:r>
      <w:r>
        <w:rPr>
          <w:rFonts w:eastAsia="Times New Roman" w:cstheme="minorHAnsi"/>
          <w:lang w:eastAsia="en-GB"/>
        </w:rPr>
        <w:t>h</w:t>
      </w:r>
      <w:r w:rsidRPr="00992E43">
        <w:rPr>
          <w:rFonts w:eastAsia="Times New Roman" w:cstheme="minorHAnsi"/>
          <w:lang w:eastAsia="en-GB"/>
        </w:rPr>
        <w:t>istory is not a chain of independent events</w:t>
      </w:r>
      <w:r>
        <w:rPr>
          <w:rFonts w:eastAsia="Times New Roman" w:cstheme="minorHAnsi"/>
          <w:lang w:eastAsia="en-GB"/>
        </w:rPr>
        <w:t xml:space="preserve">, contemporary </w:t>
      </w:r>
      <w:proofErr w:type="gramStart"/>
      <w:r>
        <w:rPr>
          <w:rFonts w:eastAsia="Times New Roman" w:cstheme="minorHAnsi"/>
          <w:lang w:eastAsia="en-GB"/>
        </w:rPr>
        <w:t>policy-making</w:t>
      </w:r>
      <w:proofErr w:type="gramEnd"/>
      <w:r w:rsidRPr="00E94EA5">
        <w:rPr>
          <w:rFonts w:eastAsia="Times New Roman" w:cstheme="minorHAnsi"/>
          <w:lang w:eastAsia="en-GB"/>
        </w:rPr>
        <w:t xml:space="preserve"> happen</w:t>
      </w:r>
      <w:r>
        <w:rPr>
          <w:rFonts w:eastAsia="Times New Roman" w:cstheme="minorHAnsi"/>
          <w:lang w:eastAsia="en-GB"/>
        </w:rPr>
        <w:t>s</w:t>
      </w:r>
      <w:r w:rsidRPr="00E94EA5">
        <w:rPr>
          <w:rFonts w:eastAsia="Times New Roman" w:cstheme="minorHAnsi"/>
          <w:lang w:eastAsia="en-GB"/>
        </w:rPr>
        <w:t xml:space="preserve"> within historical context</w:t>
      </w:r>
      <w:r>
        <w:rPr>
          <w:rFonts w:eastAsia="Times New Roman" w:cstheme="minorHAnsi"/>
          <w:lang w:eastAsia="en-GB"/>
        </w:rPr>
        <w:t>s</w:t>
      </w:r>
      <w:r w:rsidRPr="00E94EA5">
        <w:rPr>
          <w:rFonts w:eastAsia="Times New Roman" w:cstheme="minorHAnsi"/>
          <w:lang w:eastAsia="en-GB"/>
        </w:rPr>
        <w:t xml:space="preserve"> which ha</w:t>
      </w:r>
      <w:r>
        <w:rPr>
          <w:rFonts w:eastAsia="Times New Roman" w:cstheme="minorHAnsi"/>
          <w:lang w:eastAsia="en-GB"/>
        </w:rPr>
        <w:t>ve</w:t>
      </w:r>
      <w:r w:rsidRPr="00E94EA5">
        <w:rPr>
          <w:rFonts w:eastAsia="Times New Roman" w:cstheme="minorHAnsi"/>
          <w:lang w:eastAsia="en-GB"/>
        </w:rPr>
        <w:t xml:space="preserve"> direct consequence</w:t>
      </w:r>
      <w:r>
        <w:rPr>
          <w:rFonts w:eastAsia="Times New Roman" w:cstheme="minorHAnsi"/>
          <w:lang w:eastAsia="en-GB"/>
        </w:rPr>
        <w:t>s</w:t>
      </w:r>
      <w:r w:rsidRPr="00E94EA5">
        <w:rPr>
          <w:rFonts w:eastAsia="Times New Roman" w:cstheme="minorHAnsi"/>
          <w:lang w:eastAsia="en-GB"/>
        </w:rPr>
        <w:t xml:space="preserve"> </w:t>
      </w:r>
      <w:r>
        <w:rPr>
          <w:rFonts w:eastAsia="Times New Roman" w:cstheme="minorHAnsi"/>
          <w:lang w:eastAsia="en-GB"/>
        </w:rPr>
        <w:t>in relation to</w:t>
      </w:r>
      <w:r w:rsidRPr="00E94EA5">
        <w:rPr>
          <w:rFonts w:eastAsia="Times New Roman" w:cstheme="minorHAnsi"/>
          <w:lang w:eastAsia="en-GB"/>
        </w:rPr>
        <w:t xml:space="preserve"> </w:t>
      </w:r>
      <w:r>
        <w:rPr>
          <w:rFonts w:eastAsia="Times New Roman" w:cstheme="minorHAnsi"/>
          <w:lang w:eastAsia="en-GB"/>
        </w:rPr>
        <w:t>past</w:t>
      </w:r>
      <w:r w:rsidRPr="00E94EA5">
        <w:rPr>
          <w:rFonts w:eastAsia="Times New Roman" w:cstheme="minorHAnsi"/>
          <w:lang w:eastAsia="en-GB"/>
        </w:rPr>
        <w:t xml:space="preserve"> decisions or events.</w:t>
      </w:r>
      <w:r w:rsidRPr="00992E43">
        <w:rPr>
          <w:rFonts w:eastAsia="Times New Roman" w:cstheme="minorHAnsi"/>
          <w:lang w:eastAsia="en-GB"/>
        </w:rPr>
        <w:t xml:space="preserve"> </w:t>
      </w:r>
      <w:r>
        <w:rPr>
          <w:rFonts w:eastAsia="Times New Roman" w:cstheme="minorHAnsi"/>
          <w:lang w:eastAsia="en-GB"/>
        </w:rPr>
        <w:t>History</w:t>
      </w:r>
      <w:r w:rsidRPr="00992E43">
        <w:rPr>
          <w:rFonts w:eastAsia="Times New Roman" w:cstheme="minorHAnsi"/>
          <w:lang w:eastAsia="en-GB"/>
        </w:rPr>
        <w:t xml:space="preserve"> </w:t>
      </w:r>
      <w:r>
        <w:rPr>
          <w:rFonts w:eastAsia="Times New Roman" w:cstheme="minorHAnsi"/>
          <w:lang w:eastAsia="en-GB"/>
        </w:rPr>
        <w:t xml:space="preserve">also </w:t>
      </w:r>
      <w:r w:rsidRPr="00992E43">
        <w:rPr>
          <w:rFonts w:eastAsia="Times New Roman" w:cstheme="minorHAnsi"/>
          <w:lang w:eastAsia="en-GB"/>
        </w:rPr>
        <w:t xml:space="preserve">matters because </w:t>
      </w:r>
      <w:r>
        <w:rPr>
          <w:rFonts w:eastAsia="Times New Roman" w:cstheme="minorHAnsi"/>
          <w:lang w:eastAsia="en-GB"/>
        </w:rPr>
        <w:t xml:space="preserve">policy </w:t>
      </w:r>
      <w:r w:rsidRPr="00992E43">
        <w:rPr>
          <w:rFonts w:eastAsia="Times New Roman" w:cstheme="minorHAnsi"/>
          <w:lang w:eastAsia="en-GB"/>
        </w:rPr>
        <w:t>actors can learn from experience</w:t>
      </w:r>
      <w:r>
        <w:rPr>
          <w:rFonts w:eastAsia="Times New Roman" w:cstheme="minorHAnsi"/>
          <w:lang w:eastAsia="en-GB"/>
        </w:rPr>
        <w:t xml:space="preserve"> by seeking to</w:t>
      </w:r>
      <w:r w:rsidRPr="00992E43">
        <w:rPr>
          <w:rFonts w:eastAsia="Times New Roman" w:cstheme="minorHAnsi"/>
          <w:lang w:eastAsia="en-GB"/>
        </w:rPr>
        <w:t xml:space="preserve"> understand </w:t>
      </w:r>
      <w:r>
        <w:rPr>
          <w:rFonts w:eastAsia="Times New Roman" w:cstheme="minorHAnsi"/>
          <w:lang w:eastAsia="en-GB"/>
        </w:rPr>
        <w:t>past</w:t>
      </w:r>
      <w:r w:rsidRPr="00992E43">
        <w:rPr>
          <w:rFonts w:eastAsia="Times New Roman" w:cstheme="minorHAnsi"/>
          <w:lang w:eastAsia="en-GB"/>
        </w:rPr>
        <w:t xml:space="preserve"> behaviour</w:t>
      </w:r>
      <w:r>
        <w:rPr>
          <w:rFonts w:eastAsia="Times New Roman" w:cstheme="minorHAnsi"/>
          <w:lang w:eastAsia="en-GB"/>
        </w:rPr>
        <w:t>.</w:t>
      </w:r>
      <w:r w:rsidRPr="00992E43">
        <w:rPr>
          <w:rFonts w:eastAsia="Times New Roman" w:cstheme="minorHAnsi"/>
          <w:lang w:eastAsia="en-GB"/>
        </w:rPr>
        <w:t xml:space="preserve"> </w:t>
      </w:r>
      <w:r>
        <w:rPr>
          <w:rFonts w:eastAsia="Times New Roman" w:cstheme="minorHAnsi"/>
          <w:lang w:eastAsia="en-GB"/>
        </w:rPr>
        <w:t xml:space="preserve">Contemporary </w:t>
      </w:r>
      <w:proofErr w:type="gramStart"/>
      <w:r>
        <w:rPr>
          <w:rFonts w:eastAsia="Times New Roman" w:cstheme="minorHAnsi"/>
          <w:lang w:eastAsia="en-GB"/>
        </w:rPr>
        <w:t>policy</w:t>
      </w:r>
      <w:r w:rsidR="001F4147">
        <w:rPr>
          <w:rFonts w:eastAsia="Times New Roman" w:cstheme="minorHAnsi"/>
          <w:lang w:eastAsia="en-GB"/>
        </w:rPr>
        <w:t>-making</w:t>
      </w:r>
      <w:proofErr w:type="gramEnd"/>
      <w:r>
        <w:rPr>
          <w:rFonts w:eastAsia="Times New Roman" w:cstheme="minorHAnsi"/>
          <w:lang w:eastAsia="en-GB"/>
        </w:rPr>
        <w:t xml:space="preserve"> </w:t>
      </w:r>
      <w:r w:rsidR="001F4147">
        <w:rPr>
          <w:rFonts w:eastAsia="Times New Roman" w:cstheme="minorHAnsi"/>
          <w:lang w:eastAsia="en-GB"/>
        </w:rPr>
        <w:t>is</w:t>
      </w:r>
      <w:r>
        <w:rPr>
          <w:rFonts w:eastAsia="Times New Roman" w:cstheme="minorHAnsi"/>
          <w:lang w:eastAsia="en-GB"/>
        </w:rPr>
        <w:t xml:space="preserve"> </w:t>
      </w:r>
      <w:r w:rsidR="00A553D4">
        <w:rPr>
          <w:rFonts w:eastAsia="Times New Roman" w:cstheme="minorHAnsi"/>
          <w:lang w:eastAsia="en-GB"/>
        </w:rPr>
        <w:t xml:space="preserve">therefore </w:t>
      </w:r>
      <w:r>
        <w:rPr>
          <w:rFonts w:eastAsia="Times New Roman" w:cstheme="minorHAnsi"/>
          <w:lang w:eastAsia="en-GB"/>
        </w:rPr>
        <w:t>made within</w:t>
      </w:r>
      <w:r w:rsidRPr="00992E43">
        <w:rPr>
          <w:rFonts w:eastAsia="Times New Roman" w:cstheme="minorHAnsi"/>
          <w:lang w:eastAsia="en-GB"/>
        </w:rPr>
        <w:t xml:space="preserve"> </w:t>
      </w:r>
      <w:r>
        <w:rPr>
          <w:rFonts w:eastAsia="Times New Roman" w:cstheme="minorHAnsi"/>
          <w:lang w:eastAsia="en-GB"/>
        </w:rPr>
        <w:t xml:space="preserve">particular historical </w:t>
      </w:r>
      <w:r w:rsidRPr="00992E43">
        <w:rPr>
          <w:rFonts w:eastAsia="Times New Roman" w:cstheme="minorHAnsi"/>
          <w:lang w:eastAsia="en-GB"/>
        </w:rPr>
        <w:t>contexts</w:t>
      </w:r>
      <w:r>
        <w:rPr>
          <w:rFonts w:eastAsia="Times New Roman" w:cstheme="minorHAnsi"/>
          <w:lang w:eastAsia="en-GB"/>
        </w:rPr>
        <w:t xml:space="preserve">, and </w:t>
      </w:r>
      <w:r w:rsidRPr="00E94EA5">
        <w:rPr>
          <w:rFonts w:eastAsia="Times New Roman" w:cstheme="minorHAnsi"/>
          <w:lang w:eastAsia="en-GB"/>
        </w:rPr>
        <w:t xml:space="preserve">expectations </w:t>
      </w:r>
      <w:r>
        <w:rPr>
          <w:rFonts w:eastAsia="Times New Roman" w:cstheme="minorHAnsi"/>
          <w:lang w:eastAsia="en-GB"/>
        </w:rPr>
        <w:t xml:space="preserve">of policy </w:t>
      </w:r>
      <w:r w:rsidRPr="00E94EA5">
        <w:rPr>
          <w:rFonts w:eastAsia="Times New Roman" w:cstheme="minorHAnsi"/>
          <w:lang w:eastAsia="en-GB"/>
        </w:rPr>
        <w:t>are</w:t>
      </w:r>
      <w:r>
        <w:rPr>
          <w:rFonts w:eastAsia="Times New Roman" w:cstheme="minorHAnsi"/>
          <w:lang w:eastAsia="en-GB"/>
        </w:rPr>
        <w:t xml:space="preserve"> thus</w:t>
      </w:r>
      <w:r w:rsidRPr="00E94EA5">
        <w:rPr>
          <w:rFonts w:eastAsia="Times New Roman" w:cstheme="minorHAnsi"/>
          <w:lang w:eastAsia="en-GB"/>
        </w:rPr>
        <w:t xml:space="preserve"> moulded by the past</w:t>
      </w:r>
      <w:r>
        <w:rPr>
          <w:rFonts w:eastAsia="Times New Roman" w:cstheme="minorHAnsi"/>
          <w:lang w:eastAsia="en-GB"/>
        </w:rPr>
        <w:t xml:space="preserve">. </w:t>
      </w:r>
    </w:p>
    <w:p w14:paraId="64A731EE" w14:textId="3C102B64" w:rsidR="00874BFC" w:rsidRPr="00A1534E" w:rsidRDefault="00874BFC" w:rsidP="00874BFC">
      <w:pPr>
        <w:spacing w:line="360" w:lineRule="auto"/>
        <w:jc w:val="both"/>
      </w:pPr>
      <w:r>
        <w:rPr>
          <w:rFonts w:eastAsia="Times New Roman" w:cstheme="minorHAnsi"/>
          <w:lang w:eastAsia="en-GB"/>
        </w:rPr>
        <w:t xml:space="preserve">Traditional explanations view </w:t>
      </w:r>
      <w:r w:rsidRPr="00992E43">
        <w:rPr>
          <w:rFonts w:eastAsia="Times New Roman" w:cstheme="minorHAnsi"/>
          <w:lang w:eastAsia="en-GB"/>
        </w:rPr>
        <w:t>institution</w:t>
      </w:r>
      <w:r>
        <w:rPr>
          <w:rFonts w:eastAsia="Times New Roman" w:cstheme="minorHAnsi"/>
          <w:lang w:eastAsia="en-GB"/>
        </w:rPr>
        <w:t xml:space="preserve">al memory as </w:t>
      </w:r>
      <w:r w:rsidRPr="00992E43">
        <w:rPr>
          <w:rFonts w:eastAsia="Times New Roman" w:cstheme="minorHAnsi"/>
          <w:lang w:eastAsia="en-GB"/>
        </w:rPr>
        <w:t>essentially stable</w:t>
      </w:r>
      <w:r w:rsidR="002A64B7">
        <w:rPr>
          <w:rFonts w:eastAsia="Times New Roman" w:cstheme="minorHAnsi"/>
          <w:lang w:eastAsia="en-GB"/>
        </w:rPr>
        <w:t>,</w:t>
      </w:r>
      <w:r>
        <w:rPr>
          <w:rFonts w:eastAsia="Times New Roman" w:cstheme="minorHAnsi"/>
          <w:lang w:eastAsia="en-GB"/>
        </w:rPr>
        <w:t xml:space="preserve"> with the repositories of past policies established, maintained, and updated through physical and online resources (Corbett et al., </w:t>
      </w:r>
      <w:r>
        <w:rPr>
          <w:rFonts w:eastAsia="Times New Roman" w:cstheme="minorHAnsi"/>
          <w:lang w:eastAsia="en-GB"/>
        </w:rPr>
        <w:lastRenderedPageBreak/>
        <w:t>2018</w:t>
      </w:r>
      <w:r w:rsidR="00A553D4">
        <w:rPr>
          <w:rFonts w:eastAsia="Times New Roman" w:cstheme="minorHAnsi"/>
          <w:lang w:eastAsia="en-GB"/>
        </w:rPr>
        <w:t>a</w:t>
      </w:r>
      <w:r>
        <w:rPr>
          <w:rFonts w:eastAsia="Times New Roman" w:cstheme="minorHAnsi"/>
          <w:lang w:eastAsia="en-GB"/>
        </w:rPr>
        <w:t xml:space="preserve">). </w:t>
      </w:r>
      <w:r w:rsidR="001F4147">
        <w:rPr>
          <w:rFonts w:eastAsia="Times New Roman" w:cstheme="minorHAnsi"/>
          <w:lang w:eastAsia="en-GB"/>
        </w:rPr>
        <w:t>Democratic institutions</w:t>
      </w:r>
      <w:r>
        <w:rPr>
          <w:rFonts w:eastAsia="Times New Roman" w:cstheme="minorHAnsi"/>
          <w:lang w:eastAsia="en-GB"/>
        </w:rPr>
        <w:t xml:space="preserve"> have been understood to be unique and authoritative in their knowledge of past </w:t>
      </w:r>
      <w:proofErr w:type="gramStart"/>
      <w:r>
        <w:rPr>
          <w:rFonts w:eastAsia="Times New Roman" w:cstheme="minorHAnsi"/>
          <w:lang w:eastAsia="en-GB"/>
        </w:rPr>
        <w:t>policy-making</w:t>
      </w:r>
      <w:proofErr w:type="gramEnd"/>
      <w:r w:rsidR="00F82D28">
        <w:rPr>
          <w:rFonts w:eastAsia="Times New Roman" w:cstheme="minorHAnsi"/>
          <w:lang w:eastAsia="en-GB"/>
        </w:rPr>
        <w:t>.</w:t>
      </w:r>
      <w:r>
        <w:rPr>
          <w:rFonts w:eastAsia="Times New Roman" w:cstheme="minorHAnsi"/>
          <w:lang w:eastAsia="en-GB"/>
        </w:rPr>
        <w:t xml:space="preserve"> </w:t>
      </w:r>
      <w:r w:rsidRPr="00E262B3">
        <w:rPr>
          <w:rFonts w:cstheme="minorHAnsi"/>
        </w:rPr>
        <w:t>Ther</w:t>
      </w:r>
      <w:r w:rsidRPr="00E262B3">
        <w:rPr>
          <w:rFonts w:cstheme="minorHAnsi"/>
          <w:color w:val="000000" w:themeColor="text1"/>
        </w:rPr>
        <w:t xml:space="preserve">e is </w:t>
      </w:r>
      <w:r>
        <w:rPr>
          <w:rFonts w:cstheme="minorHAnsi"/>
          <w:color w:val="000000" w:themeColor="text1"/>
        </w:rPr>
        <w:t xml:space="preserve">however a </w:t>
      </w:r>
      <w:r w:rsidRPr="00E262B3">
        <w:rPr>
          <w:rFonts w:cstheme="minorHAnsi"/>
          <w:color w:val="000000" w:themeColor="text1"/>
        </w:rPr>
        <w:t xml:space="preserve">growing recognition that policy learning </w:t>
      </w:r>
      <w:r>
        <w:rPr>
          <w:rFonts w:cstheme="minorHAnsi"/>
          <w:color w:val="000000" w:themeColor="text1"/>
        </w:rPr>
        <w:t>to inform contemporary</w:t>
      </w:r>
      <w:r w:rsidRPr="00E262B3">
        <w:rPr>
          <w:rFonts w:cstheme="minorHAnsi"/>
          <w:color w:val="000000" w:themeColor="text1"/>
        </w:rPr>
        <w:t xml:space="preserve"> </w:t>
      </w:r>
      <w:proofErr w:type="gramStart"/>
      <w:r w:rsidRPr="00E262B3">
        <w:rPr>
          <w:rFonts w:cstheme="minorHAnsi"/>
          <w:color w:val="000000" w:themeColor="text1"/>
        </w:rPr>
        <w:t>policy-making</w:t>
      </w:r>
      <w:proofErr w:type="gramEnd"/>
      <w:r w:rsidRPr="00E262B3">
        <w:rPr>
          <w:rFonts w:cstheme="minorHAnsi"/>
          <w:color w:val="000000" w:themeColor="text1"/>
        </w:rPr>
        <w:t xml:space="preserve"> can be affected by </w:t>
      </w:r>
      <w:r>
        <w:rPr>
          <w:rFonts w:cstheme="minorHAnsi"/>
          <w:color w:val="000000" w:themeColor="text1"/>
        </w:rPr>
        <w:t xml:space="preserve">institutional </w:t>
      </w:r>
      <w:r w:rsidRPr="00E262B3">
        <w:rPr>
          <w:rFonts w:cstheme="minorHAnsi"/>
          <w:color w:val="000000" w:themeColor="text1"/>
        </w:rPr>
        <w:t>memory loss about</w:t>
      </w:r>
      <w:r>
        <w:rPr>
          <w:rFonts w:cstheme="minorHAnsi"/>
          <w:color w:val="000000" w:themeColor="text1"/>
        </w:rPr>
        <w:t xml:space="preserve"> when, why and how </w:t>
      </w:r>
      <w:r w:rsidRPr="00E262B3">
        <w:rPr>
          <w:rFonts w:cstheme="minorHAnsi"/>
          <w:color w:val="000000" w:themeColor="text1"/>
        </w:rPr>
        <w:t xml:space="preserve">past policies have been introduced. </w:t>
      </w:r>
      <w:r w:rsidR="001D775A" w:rsidRPr="00874BFC">
        <w:rPr>
          <w:rFonts w:ascii="Calibri" w:hAnsi="Calibri"/>
          <w:lang w:eastAsia="en-GB"/>
        </w:rPr>
        <w:t>Pollitt (2000)</w:t>
      </w:r>
      <w:r w:rsidR="001D775A">
        <w:rPr>
          <w:rFonts w:ascii="Calibri" w:hAnsi="Calibri"/>
          <w:lang w:eastAsia="en-GB"/>
        </w:rPr>
        <w:t xml:space="preserve"> asserts</w:t>
      </w:r>
      <w:r w:rsidR="001D775A" w:rsidRPr="00874BFC">
        <w:rPr>
          <w:rFonts w:ascii="Calibri" w:hAnsi="Calibri"/>
          <w:lang w:eastAsia="en-GB"/>
        </w:rPr>
        <w:t xml:space="preserve"> that institutional memory has significantly declined in </w:t>
      </w:r>
      <w:r w:rsidR="001D775A">
        <w:rPr>
          <w:rFonts w:ascii="Calibri" w:hAnsi="Calibri"/>
          <w:lang w:eastAsia="en-GB"/>
        </w:rPr>
        <w:t>democratic</w:t>
      </w:r>
      <w:r w:rsidR="001D775A" w:rsidRPr="00874BFC">
        <w:rPr>
          <w:rFonts w:ascii="Calibri" w:hAnsi="Calibri"/>
          <w:lang w:eastAsia="en-GB"/>
        </w:rPr>
        <w:t xml:space="preserve"> democracies</w:t>
      </w:r>
      <w:r w:rsidR="001D775A">
        <w:rPr>
          <w:rFonts w:ascii="Calibri" w:hAnsi="Calibri"/>
          <w:lang w:eastAsia="en-GB"/>
        </w:rPr>
        <w:t xml:space="preserve"> due to </w:t>
      </w:r>
      <w:r w:rsidR="001D775A" w:rsidRPr="00874BFC">
        <w:rPr>
          <w:rFonts w:ascii="Calibri" w:hAnsi="Calibri"/>
          <w:lang w:eastAsia="en-GB"/>
        </w:rPr>
        <w:t>a failure to record data and decisions</w:t>
      </w:r>
      <w:r w:rsidR="001D775A">
        <w:rPr>
          <w:rFonts w:ascii="Calibri" w:hAnsi="Calibri"/>
          <w:lang w:eastAsia="en-GB"/>
        </w:rPr>
        <w:t xml:space="preserve">, </w:t>
      </w:r>
      <w:r w:rsidR="001D775A" w:rsidRPr="00874BFC">
        <w:rPr>
          <w:rFonts w:ascii="Calibri" w:hAnsi="Calibri"/>
          <w:lang w:eastAsia="en-GB"/>
        </w:rPr>
        <w:t>a loss of material once recorded</w:t>
      </w:r>
      <w:r w:rsidR="001D775A">
        <w:rPr>
          <w:rFonts w:ascii="Calibri" w:hAnsi="Calibri"/>
          <w:lang w:eastAsia="en-GB"/>
        </w:rPr>
        <w:t>,</w:t>
      </w:r>
      <w:r w:rsidR="001D775A" w:rsidRPr="00874BFC">
        <w:rPr>
          <w:rFonts w:ascii="Calibri" w:hAnsi="Calibri"/>
          <w:lang w:eastAsia="en-GB"/>
        </w:rPr>
        <w:t xml:space="preserve"> inadequate processes for retrieving data</w:t>
      </w:r>
      <w:r w:rsidR="001D775A">
        <w:rPr>
          <w:rFonts w:ascii="Calibri" w:hAnsi="Calibri"/>
          <w:lang w:eastAsia="en-GB"/>
        </w:rPr>
        <w:t xml:space="preserve">, </w:t>
      </w:r>
      <w:r w:rsidR="001D775A" w:rsidRPr="00874BFC">
        <w:rPr>
          <w:rFonts w:ascii="Calibri" w:hAnsi="Calibri"/>
          <w:lang w:eastAsia="en-GB"/>
        </w:rPr>
        <w:t>and</w:t>
      </w:r>
      <w:r w:rsidR="001D775A">
        <w:rPr>
          <w:rFonts w:ascii="Calibri" w:hAnsi="Calibri"/>
          <w:lang w:eastAsia="en-GB"/>
        </w:rPr>
        <w:t xml:space="preserve"> </w:t>
      </w:r>
      <w:r w:rsidR="001D775A" w:rsidRPr="00874BFC">
        <w:rPr>
          <w:rFonts w:ascii="Calibri" w:hAnsi="Calibri"/>
          <w:lang w:eastAsia="en-GB"/>
        </w:rPr>
        <w:t xml:space="preserve">a failure to </w:t>
      </w:r>
      <w:r w:rsidR="001D775A">
        <w:rPr>
          <w:rFonts w:ascii="Calibri" w:hAnsi="Calibri"/>
          <w:lang w:eastAsia="en-GB"/>
        </w:rPr>
        <w:t>sufficiently value and understand</w:t>
      </w:r>
      <w:r w:rsidR="001D775A" w:rsidRPr="00874BFC">
        <w:rPr>
          <w:rFonts w:ascii="Calibri" w:hAnsi="Calibri"/>
          <w:lang w:eastAsia="en-GB"/>
        </w:rPr>
        <w:t xml:space="preserve"> past </w:t>
      </w:r>
      <w:r w:rsidR="001D775A">
        <w:rPr>
          <w:rFonts w:ascii="Calibri" w:hAnsi="Calibri"/>
          <w:lang w:eastAsia="en-GB"/>
        </w:rPr>
        <w:t xml:space="preserve">policy </w:t>
      </w:r>
      <w:r w:rsidR="001D775A" w:rsidRPr="00874BFC">
        <w:rPr>
          <w:rFonts w:ascii="Calibri" w:hAnsi="Calibri"/>
          <w:lang w:eastAsia="en-GB"/>
        </w:rPr>
        <w:t>experience</w:t>
      </w:r>
      <w:r w:rsidR="001D775A">
        <w:rPr>
          <w:rFonts w:ascii="Calibri" w:hAnsi="Calibri"/>
          <w:lang w:eastAsia="en-GB"/>
        </w:rPr>
        <w:t>s</w:t>
      </w:r>
      <w:r w:rsidR="001D775A" w:rsidRPr="00874BFC">
        <w:rPr>
          <w:rFonts w:ascii="Calibri" w:hAnsi="Calibri"/>
          <w:lang w:eastAsia="en-GB"/>
        </w:rPr>
        <w:t>.</w:t>
      </w:r>
      <w:r w:rsidR="001D775A">
        <w:t xml:space="preserve"> </w:t>
      </w:r>
      <w:r w:rsidR="00E10CCC">
        <w:rPr>
          <w:rFonts w:ascii="Calibri" w:hAnsi="Calibri"/>
          <w:lang w:eastAsia="en-GB"/>
        </w:rPr>
        <w:t>G</w:t>
      </w:r>
      <w:r w:rsidR="00E10CCC" w:rsidRPr="00E262B3">
        <w:t xml:space="preserve">overnment or non-governmental agents and organisations </w:t>
      </w:r>
      <w:r w:rsidR="00E10CCC">
        <w:t xml:space="preserve">thus </w:t>
      </w:r>
      <w:r w:rsidR="00E10CCC" w:rsidRPr="00E262B3">
        <w:t>‘no longer remember or record policy-relevant lessons from the past’</w:t>
      </w:r>
      <w:r w:rsidR="00E10CCC">
        <w:t xml:space="preserve"> (</w:t>
      </w:r>
      <w:r w:rsidR="00E10CCC" w:rsidRPr="00E262B3">
        <w:t>Stark and Hea</w:t>
      </w:r>
      <w:r w:rsidR="00E10CCC">
        <w:t xml:space="preserve">d, </w:t>
      </w:r>
      <w:r w:rsidR="00E10CCC" w:rsidRPr="00E262B3">
        <w:t>201</w:t>
      </w:r>
      <w:r w:rsidR="00E10CCC">
        <w:t>9:</w:t>
      </w:r>
      <w:r w:rsidR="00E10CCC" w:rsidRPr="00E262B3">
        <w:t xml:space="preserve"> </w:t>
      </w:r>
      <w:r w:rsidR="00E10CCC">
        <w:t>1526</w:t>
      </w:r>
      <w:r w:rsidR="00E10CCC" w:rsidRPr="00E262B3">
        <w:t>)</w:t>
      </w:r>
      <w:r w:rsidR="00E10CCC">
        <w:t xml:space="preserve">. </w:t>
      </w:r>
      <w:r w:rsidR="001D775A">
        <w:rPr>
          <w:rFonts w:cstheme="minorHAnsi"/>
          <w:color w:val="000000" w:themeColor="text1"/>
        </w:rPr>
        <w:t>I</w:t>
      </w:r>
      <w:r w:rsidRPr="00E262B3">
        <w:rPr>
          <w:rFonts w:cstheme="minorHAnsi"/>
          <w:color w:val="000000" w:themeColor="text1"/>
        </w:rPr>
        <w:t xml:space="preserve">nstitutional amnesia is </w:t>
      </w:r>
      <w:r w:rsidR="001D775A">
        <w:rPr>
          <w:rFonts w:cstheme="minorHAnsi"/>
          <w:color w:val="000000" w:themeColor="text1"/>
        </w:rPr>
        <w:t xml:space="preserve">viewed as </w:t>
      </w:r>
      <w:r w:rsidRPr="00E262B3">
        <w:rPr>
          <w:rFonts w:cstheme="minorHAnsi"/>
          <w:color w:val="000000" w:themeColor="text1"/>
        </w:rPr>
        <w:t xml:space="preserve">manifest in contemporary </w:t>
      </w:r>
      <w:proofErr w:type="gramStart"/>
      <w:r w:rsidRPr="00E262B3">
        <w:rPr>
          <w:rFonts w:cstheme="minorHAnsi"/>
          <w:color w:val="000000" w:themeColor="text1"/>
        </w:rPr>
        <w:t>policy-making</w:t>
      </w:r>
      <w:proofErr w:type="gramEnd"/>
      <w:r w:rsidRPr="00E262B3">
        <w:rPr>
          <w:rFonts w:cstheme="minorHAnsi"/>
          <w:color w:val="000000" w:themeColor="text1"/>
        </w:rPr>
        <w:t xml:space="preserve">, meaning short-termism and cauterised memory prevails in the design and delivery of public policy (Pollitt and </w:t>
      </w:r>
      <w:proofErr w:type="spellStart"/>
      <w:r w:rsidRPr="00E262B3">
        <w:rPr>
          <w:rFonts w:cstheme="minorHAnsi"/>
          <w:color w:val="000000" w:themeColor="text1"/>
        </w:rPr>
        <w:t>Bouckaert</w:t>
      </w:r>
      <w:proofErr w:type="spellEnd"/>
      <w:r w:rsidRPr="00E262B3">
        <w:rPr>
          <w:rFonts w:cstheme="minorHAnsi"/>
          <w:color w:val="000000" w:themeColor="text1"/>
        </w:rPr>
        <w:t xml:space="preserve">, 2011). </w:t>
      </w:r>
    </w:p>
    <w:p w14:paraId="5B892E09" w14:textId="3B2CE68A" w:rsidR="00874BFC" w:rsidRDefault="007C0C8F" w:rsidP="00874BFC">
      <w:pPr>
        <w:spacing w:line="360" w:lineRule="auto"/>
        <w:jc w:val="both"/>
      </w:pPr>
      <w:r>
        <w:t>The</w:t>
      </w:r>
      <w:r w:rsidR="00874BFC">
        <w:t xml:space="preserve"> inability of </w:t>
      </w:r>
      <w:proofErr w:type="gramStart"/>
      <w:r w:rsidR="00874BFC">
        <w:t>policy-makers</w:t>
      </w:r>
      <w:proofErr w:type="gramEnd"/>
      <w:r w:rsidR="00874BFC">
        <w:t xml:space="preserve"> to </w:t>
      </w:r>
      <w:r>
        <w:t>recollect</w:t>
      </w:r>
      <w:r w:rsidR="00874BFC">
        <w:t xml:space="preserve"> or reference previous interventions due to circumstantial limitations</w:t>
      </w:r>
      <w:r>
        <w:t xml:space="preserve"> </w:t>
      </w:r>
      <w:r w:rsidR="002F6F41">
        <w:t>highlights</w:t>
      </w:r>
      <w:r>
        <w:t xml:space="preserve"> </w:t>
      </w:r>
      <w:r w:rsidR="00874BFC">
        <w:t>the effects of the passage of time</w:t>
      </w:r>
      <w:r w:rsidR="002F6F41">
        <w:t>,</w:t>
      </w:r>
      <w:r w:rsidR="00874BFC">
        <w:t xml:space="preserve"> which can compromise both institutional and personal forms of policy recollection.</w:t>
      </w:r>
      <w:r w:rsidR="002F6F41">
        <w:t xml:space="preserve"> </w:t>
      </w:r>
      <w:r w:rsidR="00D472CF">
        <w:t>P</w:t>
      </w:r>
      <w:r w:rsidR="002F6F41">
        <w:t xml:space="preserve">arliamentary approaches to pre- and post-legislative scrutiny can change over time, particularly in terms of the frequency and extent of knowledge collated, and depth of </w:t>
      </w:r>
      <w:r w:rsidR="007B7F9C">
        <w:t xml:space="preserve">policy </w:t>
      </w:r>
      <w:r w:rsidR="002F6F41">
        <w:t xml:space="preserve">analysis (see Thompson, 2015). As time passes after the implementation of a policy, the number of actors involved diminishes as they move on to new projects, retire and pass away. </w:t>
      </w:r>
      <w:r w:rsidR="002F6F41">
        <w:rPr>
          <w:rFonts w:cstheme="minorHAnsi"/>
        </w:rPr>
        <w:t>Institutional amnesia</w:t>
      </w:r>
      <w:r w:rsidR="00874BFC" w:rsidRPr="00BF7556">
        <w:rPr>
          <w:rFonts w:cstheme="minorHAnsi"/>
        </w:rPr>
        <w:t xml:space="preserve"> </w:t>
      </w:r>
      <w:r w:rsidR="00874BFC">
        <w:rPr>
          <w:rFonts w:cstheme="minorHAnsi"/>
        </w:rPr>
        <w:t xml:space="preserve">is </w:t>
      </w:r>
      <w:r w:rsidR="002F6F41">
        <w:rPr>
          <w:rFonts w:cstheme="minorHAnsi"/>
        </w:rPr>
        <w:t xml:space="preserve">thus somewhat </w:t>
      </w:r>
      <w:r w:rsidR="00874BFC" w:rsidRPr="00BF7556">
        <w:rPr>
          <w:rFonts w:cstheme="minorHAnsi"/>
        </w:rPr>
        <w:t xml:space="preserve">inevitable, </w:t>
      </w:r>
      <w:r w:rsidR="00874BFC">
        <w:rPr>
          <w:rFonts w:cstheme="minorHAnsi"/>
        </w:rPr>
        <w:t>highlight</w:t>
      </w:r>
      <w:r>
        <w:rPr>
          <w:rFonts w:cstheme="minorHAnsi"/>
        </w:rPr>
        <w:t>ing</w:t>
      </w:r>
      <w:r w:rsidR="00874BFC">
        <w:rPr>
          <w:rFonts w:cstheme="minorHAnsi"/>
        </w:rPr>
        <w:t xml:space="preserve"> differences in the</w:t>
      </w:r>
      <w:r w:rsidR="00874BFC" w:rsidRPr="00BF7556">
        <w:rPr>
          <w:rFonts w:cstheme="minorHAnsi"/>
        </w:rPr>
        <w:t xml:space="preserve"> longevity of </w:t>
      </w:r>
      <w:r w:rsidR="00874BFC">
        <w:rPr>
          <w:rFonts w:cstheme="minorHAnsi"/>
        </w:rPr>
        <w:t xml:space="preserve">some policies when compared to </w:t>
      </w:r>
      <w:r w:rsidR="00874BFC" w:rsidRPr="00BF7556">
        <w:rPr>
          <w:rFonts w:cstheme="minorHAnsi"/>
        </w:rPr>
        <w:t>human life</w:t>
      </w:r>
      <w:r w:rsidR="00874BFC">
        <w:rPr>
          <w:rFonts w:cstheme="minorHAnsi"/>
        </w:rPr>
        <w:t>.</w:t>
      </w:r>
    </w:p>
    <w:p w14:paraId="13B3F272" w14:textId="2CF17FAD" w:rsidR="005A7D6A" w:rsidRDefault="00DF0387" w:rsidP="001F4147">
      <w:pPr>
        <w:spacing w:line="360" w:lineRule="auto"/>
        <w:jc w:val="both"/>
        <w:rPr>
          <w:rFonts w:cstheme="minorHAnsi"/>
        </w:rPr>
      </w:pPr>
      <w:r>
        <w:rPr>
          <w:rFonts w:cstheme="minorHAnsi"/>
        </w:rPr>
        <w:t xml:space="preserve">Institutional </w:t>
      </w:r>
      <w:r>
        <w:t>amnesia</w:t>
      </w:r>
      <w:r w:rsidRPr="00874BFC">
        <w:t xml:space="preserve"> </w:t>
      </w:r>
      <w:r w:rsidR="00B72B05">
        <w:t xml:space="preserve">thus </w:t>
      </w:r>
      <w:r>
        <w:t xml:space="preserve">impairs policy memory through </w:t>
      </w:r>
      <w:r w:rsidRPr="00E262B3">
        <w:t xml:space="preserve">erosion of the organisational mechanisms </w:t>
      </w:r>
      <w:r>
        <w:t xml:space="preserve">and cultures </w:t>
      </w:r>
      <w:r w:rsidRPr="00E262B3">
        <w:t xml:space="preserve">of policy learning </w:t>
      </w:r>
      <w:r w:rsidRPr="00E262B3">
        <w:rPr>
          <w:i/>
        </w:rPr>
        <w:t>and</w:t>
      </w:r>
      <w:r w:rsidRPr="00E262B3">
        <w:t xml:space="preserve"> a lack of transfer of policy narratives (via </w:t>
      </w:r>
      <w:r w:rsidR="00BF617A" w:rsidRPr="00E262B3">
        <w:t>storytelling</w:t>
      </w:r>
      <w:r w:rsidRPr="00E262B3">
        <w:t>) between policy actors</w:t>
      </w:r>
      <w:r>
        <w:t xml:space="preserve"> </w:t>
      </w:r>
      <w:r w:rsidRPr="00E262B3">
        <w:t>(Stark, 2018</w:t>
      </w:r>
      <w:r>
        <w:t>:</w:t>
      </w:r>
      <w:r w:rsidRPr="00E262B3">
        <w:t xml:space="preserve"> 145-48).</w:t>
      </w:r>
      <w:r>
        <w:t xml:space="preserve"> T</w:t>
      </w:r>
      <w:r w:rsidR="00541D2D" w:rsidRPr="00E262B3">
        <w:t xml:space="preserve">he </w:t>
      </w:r>
      <w:r w:rsidR="00874BFC">
        <w:t xml:space="preserve">role of </w:t>
      </w:r>
      <w:r w:rsidR="009B3677">
        <w:t>elected representatives</w:t>
      </w:r>
      <w:r w:rsidR="00541D2D" w:rsidRPr="00E262B3">
        <w:t xml:space="preserve"> and civil serv</w:t>
      </w:r>
      <w:r w:rsidR="00F06F5F">
        <w:t>ants</w:t>
      </w:r>
      <w:r w:rsidR="00541D2D" w:rsidRPr="00E262B3">
        <w:t xml:space="preserve"> </w:t>
      </w:r>
      <w:r w:rsidR="00874BFC">
        <w:t>in</w:t>
      </w:r>
      <w:r w:rsidR="00541D2D" w:rsidRPr="00E262B3">
        <w:t xml:space="preserve"> establish</w:t>
      </w:r>
      <w:r w:rsidR="00874BFC">
        <w:t>ing</w:t>
      </w:r>
      <w:r w:rsidR="00541D2D" w:rsidRPr="00E262B3">
        <w:t xml:space="preserve"> and sustain</w:t>
      </w:r>
      <w:r w:rsidR="00874BFC">
        <w:t>ing</w:t>
      </w:r>
      <w:r w:rsidR="00541D2D" w:rsidRPr="00E262B3">
        <w:t xml:space="preserve"> narratives of past policy interventions</w:t>
      </w:r>
      <w:r w:rsidR="001D775A">
        <w:t xml:space="preserve"> -</w:t>
      </w:r>
      <w:r w:rsidR="00541D2D" w:rsidRPr="00E262B3">
        <w:t xml:space="preserve"> </w:t>
      </w:r>
      <w:r w:rsidR="00874BFC">
        <w:t>including</w:t>
      </w:r>
      <w:r w:rsidR="00541D2D" w:rsidRPr="00E262B3">
        <w:t xml:space="preserve"> their</w:t>
      </w:r>
      <w:r w:rsidR="00874BFC">
        <w:t xml:space="preserve"> perceived</w:t>
      </w:r>
      <w:r w:rsidR="00541D2D" w:rsidRPr="00E262B3">
        <w:t xml:space="preserve"> success or failure</w:t>
      </w:r>
      <w:r w:rsidR="001D775A">
        <w:t xml:space="preserve"> -</w:t>
      </w:r>
      <w:r w:rsidR="00874BFC">
        <w:t xml:space="preserve"> is critical</w:t>
      </w:r>
      <w:r w:rsidR="00B56046">
        <w:t xml:space="preserve"> </w:t>
      </w:r>
      <w:r w:rsidR="00B56046">
        <w:rPr>
          <w:rFonts w:cstheme="minorHAnsi"/>
        </w:rPr>
        <w:t>in the operationalisation of institutional memories through the selection of what policies are remembered, misremembered, or forgotten, and how and in what ways files and records held by institutions of past policies are utilised (Corbett et al., 2018b</w:t>
      </w:r>
      <w:r w:rsidR="00334361">
        <w:rPr>
          <w:rFonts w:cstheme="minorHAnsi"/>
        </w:rPr>
        <w:t>: 558</w:t>
      </w:r>
      <w:r w:rsidR="00B56046">
        <w:rPr>
          <w:rFonts w:cstheme="minorHAnsi"/>
        </w:rPr>
        <w:t xml:space="preserve">). </w:t>
      </w:r>
      <w:r w:rsidR="00B56046">
        <w:t xml:space="preserve">Their role is both </w:t>
      </w:r>
      <w:proofErr w:type="gramStart"/>
      <w:r w:rsidR="00874BFC">
        <w:rPr>
          <w:rFonts w:cstheme="minorHAnsi"/>
        </w:rPr>
        <w:t>fluid</w:t>
      </w:r>
      <w:proofErr w:type="gramEnd"/>
      <w:r w:rsidR="00874BFC">
        <w:rPr>
          <w:rFonts w:cstheme="minorHAnsi"/>
        </w:rPr>
        <w:t xml:space="preserve">, in that democratically-elected representatives are regularly rotated through elections, and stable, as civil servants are traditionally seen </w:t>
      </w:r>
      <w:r w:rsidR="00BF617A">
        <w:rPr>
          <w:rFonts w:cstheme="minorHAnsi"/>
        </w:rPr>
        <w:t>as</w:t>
      </w:r>
      <w:r w:rsidR="00874BFC">
        <w:rPr>
          <w:rFonts w:cstheme="minorHAnsi"/>
        </w:rPr>
        <w:t xml:space="preserve"> repositories of knowledge about past policies. </w:t>
      </w:r>
      <w:r w:rsidR="001F4147">
        <w:rPr>
          <w:color w:val="000000" w:themeColor="text1"/>
        </w:rPr>
        <w:t>Tingle (2015: 22-25)</w:t>
      </w:r>
      <w:r w:rsidR="001F4147">
        <w:rPr>
          <w:rFonts w:cstheme="minorHAnsi"/>
        </w:rPr>
        <w:t xml:space="preserve"> </w:t>
      </w:r>
      <w:r w:rsidR="00874BFC">
        <w:rPr>
          <w:rFonts w:cstheme="minorHAnsi"/>
        </w:rPr>
        <w:t>argue</w:t>
      </w:r>
      <w:r w:rsidR="001F4147">
        <w:rPr>
          <w:rFonts w:cstheme="minorHAnsi"/>
        </w:rPr>
        <w:t xml:space="preserve">s </w:t>
      </w:r>
      <w:r w:rsidR="005A7D6A">
        <w:rPr>
          <w:rFonts w:cstheme="minorHAnsi"/>
        </w:rPr>
        <w:t xml:space="preserve">however that </w:t>
      </w:r>
      <w:r w:rsidR="00B56046">
        <w:rPr>
          <w:rFonts w:cstheme="minorHAnsi"/>
        </w:rPr>
        <w:t xml:space="preserve">the </w:t>
      </w:r>
      <w:r w:rsidR="006F4B63" w:rsidRPr="00E262B3">
        <w:rPr>
          <w:rFonts w:cstheme="minorHAnsi"/>
        </w:rPr>
        <w:t>decline in the influence and expertise of the civil service due to continual reorganisation and uncertainty of tenure</w:t>
      </w:r>
      <w:r w:rsidR="005A7D6A" w:rsidRPr="005A7D6A">
        <w:rPr>
          <w:rFonts w:cstheme="minorHAnsi"/>
        </w:rPr>
        <w:t xml:space="preserve"> </w:t>
      </w:r>
      <w:r w:rsidR="005A7D6A" w:rsidRPr="00E262B3">
        <w:rPr>
          <w:rFonts w:cstheme="minorHAnsi"/>
        </w:rPr>
        <w:t xml:space="preserve">and </w:t>
      </w:r>
      <w:r w:rsidR="005A7D6A" w:rsidRPr="00E262B3">
        <w:rPr>
          <w:color w:val="000000" w:themeColor="text1"/>
        </w:rPr>
        <w:t>the increasing power of ministerial special advisers</w:t>
      </w:r>
      <w:r w:rsidR="005A7D6A">
        <w:rPr>
          <w:color w:val="000000" w:themeColor="text1"/>
        </w:rPr>
        <w:t xml:space="preserve"> </w:t>
      </w:r>
      <w:r w:rsidR="005A7D6A">
        <w:rPr>
          <w:rFonts w:cstheme="minorHAnsi"/>
        </w:rPr>
        <w:t xml:space="preserve">has cauterised </w:t>
      </w:r>
      <w:r w:rsidR="005A7D6A" w:rsidRPr="00E262B3">
        <w:rPr>
          <w:rFonts w:ascii="Calibri" w:hAnsi="Calibri" w:cstheme="minorHAnsi"/>
          <w:color w:val="000000" w:themeColor="text1"/>
        </w:rPr>
        <w:t>institutional memorie</w:t>
      </w:r>
      <w:r w:rsidR="005A7D6A">
        <w:rPr>
          <w:rFonts w:ascii="Calibri" w:hAnsi="Calibri" w:cstheme="minorHAnsi"/>
          <w:color w:val="000000" w:themeColor="text1"/>
        </w:rPr>
        <w:t>s</w:t>
      </w:r>
      <w:r w:rsidR="00B23C58">
        <w:rPr>
          <w:rFonts w:cstheme="minorHAnsi"/>
        </w:rPr>
        <w:t>.</w:t>
      </w:r>
      <w:r w:rsidR="00BF617A">
        <w:rPr>
          <w:rFonts w:cstheme="minorHAnsi"/>
        </w:rPr>
        <w:t xml:space="preserve"> </w:t>
      </w:r>
      <w:r w:rsidR="005A7D6A" w:rsidRPr="00E262B3">
        <w:rPr>
          <w:rFonts w:cstheme="minorHAnsi"/>
        </w:rPr>
        <w:t>Policy actors within contemporary government and non-government policy-networks are also increasingly transitory, often focusing on individual projects rather than strategic policy development.</w:t>
      </w:r>
      <w:r w:rsidR="005A7D6A">
        <w:rPr>
          <w:rFonts w:cstheme="minorHAnsi"/>
        </w:rPr>
        <w:t xml:space="preserve"> </w:t>
      </w:r>
      <w:r w:rsidR="00B23C58">
        <w:rPr>
          <w:rFonts w:cstheme="minorHAnsi"/>
        </w:rPr>
        <w:t>This</w:t>
      </w:r>
      <w:r w:rsidR="006F4B63" w:rsidRPr="00E262B3">
        <w:rPr>
          <w:rFonts w:cstheme="minorHAnsi"/>
        </w:rPr>
        <w:t xml:space="preserve"> trend </w:t>
      </w:r>
      <w:r w:rsidR="00B23C58">
        <w:rPr>
          <w:rFonts w:cstheme="minorHAnsi"/>
        </w:rPr>
        <w:t xml:space="preserve">has been </w:t>
      </w:r>
      <w:r w:rsidR="006F4B63" w:rsidRPr="00E262B3">
        <w:rPr>
          <w:rFonts w:cstheme="minorHAnsi"/>
        </w:rPr>
        <w:t xml:space="preserve">exacerbated by the growing </w:t>
      </w:r>
      <w:r w:rsidR="00BB411F">
        <w:rPr>
          <w:rFonts w:cstheme="minorHAnsi"/>
        </w:rPr>
        <w:t xml:space="preserve">political </w:t>
      </w:r>
      <w:r w:rsidR="006F4B63" w:rsidRPr="00E262B3">
        <w:rPr>
          <w:rFonts w:cstheme="minorHAnsi"/>
        </w:rPr>
        <w:t xml:space="preserve">presence of the private </w:t>
      </w:r>
      <w:r w:rsidR="00334361">
        <w:rPr>
          <w:rFonts w:cstheme="minorHAnsi"/>
        </w:rPr>
        <w:t>and</w:t>
      </w:r>
      <w:r w:rsidR="006F4B63" w:rsidRPr="00E262B3">
        <w:rPr>
          <w:rFonts w:cstheme="minorHAnsi"/>
        </w:rPr>
        <w:t xml:space="preserve"> third sector</w:t>
      </w:r>
      <w:r w:rsidR="00334361">
        <w:rPr>
          <w:rFonts w:cstheme="minorHAnsi"/>
        </w:rPr>
        <w:t>s</w:t>
      </w:r>
      <w:r w:rsidR="006F4B63" w:rsidRPr="00E262B3">
        <w:rPr>
          <w:rFonts w:cstheme="minorHAnsi"/>
        </w:rPr>
        <w:t xml:space="preserve"> in </w:t>
      </w:r>
      <w:proofErr w:type="gramStart"/>
      <w:r w:rsidR="006F4B63" w:rsidRPr="00E262B3">
        <w:rPr>
          <w:rFonts w:cstheme="minorHAnsi"/>
        </w:rPr>
        <w:t>policy-making</w:t>
      </w:r>
      <w:proofErr w:type="gramEnd"/>
      <w:r w:rsidR="006F4B63" w:rsidRPr="00E262B3">
        <w:rPr>
          <w:rFonts w:cstheme="minorHAnsi"/>
        </w:rPr>
        <w:t xml:space="preserve"> and </w:t>
      </w:r>
      <w:r w:rsidR="000F4F41" w:rsidRPr="00E262B3">
        <w:rPr>
          <w:rFonts w:cstheme="minorHAnsi"/>
        </w:rPr>
        <w:t xml:space="preserve">its </w:t>
      </w:r>
      <w:r w:rsidR="006F4B63" w:rsidRPr="00E262B3">
        <w:rPr>
          <w:rFonts w:cstheme="minorHAnsi"/>
        </w:rPr>
        <w:t>delivery</w:t>
      </w:r>
      <w:r w:rsidR="005A7D6A">
        <w:rPr>
          <w:rFonts w:cstheme="minorHAnsi"/>
        </w:rPr>
        <w:t xml:space="preserve">. </w:t>
      </w:r>
    </w:p>
    <w:p w14:paraId="6CBD03D9" w14:textId="0847E1F9" w:rsidR="00F84158" w:rsidRDefault="005A7D6A" w:rsidP="001F4147">
      <w:pPr>
        <w:spacing w:line="360" w:lineRule="auto"/>
        <w:jc w:val="both"/>
        <w:rPr>
          <w:rFonts w:cstheme="minorHAnsi"/>
        </w:rPr>
      </w:pPr>
      <w:r>
        <w:rPr>
          <w:rFonts w:cstheme="minorHAnsi"/>
        </w:rPr>
        <w:lastRenderedPageBreak/>
        <w:t xml:space="preserve">According to </w:t>
      </w:r>
      <w:r w:rsidR="00F84158">
        <w:rPr>
          <w:rFonts w:cstheme="minorHAnsi"/>
          <w:color w:val="000000" w:themeColor="text1"/>
        </w:rPr>
        <w:t>Corbett et al. (2018b</w:t>
      </w:r>
      <w:r w:rsidR="00334361">
        <w:rPr>
          <w:rFonts w:cstheme="minorHAnsi"/>
          <w:color w:val="000000" w:themeColor="text1"/>
        </w:rPr>
        <w:t>: 558</w:t>
      </w:r>
      <w:r w:rsidR="00F84158">
        <w:rPr>
          <w:rFonts w:cstheme="minorHAnsi"/>
          <w:color w:val="000000" w:themeColor="text1"/>
        </w:rPr>
        <w:t>)</w:t>
      </w:r>
      <w:r>
        <w:rPr>
          <w:rFonts w:cstheme="minorHAnsi"/>
          <w:color w:val="000000" w:themeColor="text1"/>
        </w:rPr>
        <w:t xml:space="preserve">, these changes highlight </w:t>
      </w:r>
      <w:r w:rsidR="005F2073">
        <w:rPr>
          <w:rFonts w:cstheme="minorHAnsi"/>
          <w:color w:val="000000" w:themeColor="text1"/>
        </w:rPr>
        <w:t xml:space="preserve">how </w:t>
      </w:r>
      <w:r>
        <w:rPr>
          <w:rFonts w:cstheme="minorHAnsi"/>
          <w:color w:val="000000" w:themeColor="text1"/>
        </w:rPr>
        <w:t>democratic institutions</w:t>
      </w:r>
      <w:r w:rsidR="001F4147">
        <w:rPr>
          <w:rFonts w:cstheme="minorHAnsi"/>
          <w:color w:val="000000" w:themeColor="text1"/>
        </w:rPr>
        <w:t xml:space="preserve"> are not the sole repositories and arbiters of policy memories</w:t>
      </w:r>
      <w:r>
        <w:rPr>
          <w:rFonts w:cstheme="minorHAnsi"/>
          <w:color w:val="000000" w:themeColor="text1"/>
        </w:rPr>
        <w:t xml:space="preserve">. Instead, </w:t>
      </w:r>
      <w:r w:rsidR="001F4147">
        <w:rPr>
          <w:rFonts w:cstheme="minorHAnsi"/>
          <w:color w:val="000000" w:themeColor="text1"/>
        </w:rPr>
        <w:t xml:space="preserve">there are multiple ‘representations of the past’ concerning past policy that exist in governmental systems which are multi-layered and amongst non-governmental organisations, particularly across civil society and in the media. </w:t>
      </w:r>
      <w:r>
        <w:rPr>
          <w:rFonts w:cstheme="minorHAnsi"/>
          <w:color w:val="000000" w:themeColor="text1"/>
        </w:rPr>
        <w:t>P</w:t>
      </w:r>
      <w:r w:rsidR="001F4147">
        <w:rPr>
          <w:rFonts w:cstheme="minorHAnsi"/>
          <w:color w:val="000000" w:themeColor="text1"/>
        </w:rPr>
        <w:t xml:space="preserve">olicy memory and institutional amnesia </w:t>
      </w:r>
      <w:r>
        <w:rPr>
          <w:rFonts w:cstheme="minorHAnsi"/>
          <w:color w:val="000000" w:themeColor="text1"/>
        </w:rPr>
        <w:t>thus incorporate</w:t>
      </w:r>
      <w:r w:rsidR="001F4147">
        <w:rPr>
          <w:rFonts w:cstheme="minorHAnsi"/>
          <w:color w:val="000000" w:themeColor="text1"/>
        </w:rPr>
        <w:t xml:space="preserve"> multiple ‘sites of memory’ which draw on shared and/or different processes and cultures in their recording and recall of past interventions. Furthermore, new democratic institutions </w:t>
      </w:r>
      <w:r w:rsidR="00226B8A">
        <w:rPr>
          <w:rFonts w:cstheme="minorHAnsi"/>
          <w:color w:val="000000" w:themeColor="text1"/>
        </w:rPr>
        <w:t xml:space="preserve">can </w:t>
      </w:r>
      <w:r w:rsidR="001F4147">
        <w:rPr>
          <w:rFonts w:cstheme="minorHAnsi"/>
          <w:color w:val="000000" w:themeColor="text1"/>
        </w:rPr>
        <w:t xml:space="preserve">suffer from institutional amnesia due to their </w:t>
      </w:r>
      <w:r w:rsidR="00C144DE">
        <w:rPr>
          <w:rFonts w:cstheme="minorHAnsi"/>
          <w:color w:val="000000" w:themeColor="text1"/>
        </w:rPr>
        <w:t>in</w:t>
      </w:r>
      <w:r w:rsidR="001F4147">
        <w:rPr>
          <w:rFonts w:cstheme="minorHAnsi"/>
          <w:color w:val="000000" w:themeColor="text1"/>
        </w:rPr>
        <w:t>ability</w:t>
      </w:r>
      <w:r w:rsidR="00C144DE">
        <w:rPr>
          <w:rFonts w:cstheme="minorHAnsi"/>
          <w:color w:val="000000" w:themeColor="text1"/>
        </w:rPr>
        <w:t xml:space="preserve"> or unwillingness</w:t>
      </w:r>
      <w:r w:rsidR="001F4147">
        <w:rPr>
          <w:rFonts w:cstheme="minorHAnsi"/>
          <w:color w:val="000000" w:themeColor="text1"/>
        </w:rPr>
        <w:t xml:space="preserve"> to connect with policy memories of existing institutions</w:t>
      </w:r>
      <w:r w:rsidR="00226B8A">
        <w:rPr>
          <w:rFonts w:cstheme="minorHAnsi"/>
          <w:color w:val="000000" w:themeColor="text1"/>
        </w:rPr>
        <w:t xml:space="preserve">. </w:t>
      </w:r>
      <w:r w:rsidR="001F4147" w:rsidRPr="001F4147">
        <w:rPr>
          <w:rFonts w:cstheme="minorHAnsi"/>
        </w:rPr>
        <w:t xml:space="preserve">Judge (2006) describes </w:t>
      </w:r>
      <w:r w:rsidR="00226B8A">
        <w:rPr>
          <w:rFonts w:cstheme="minorHAnsi"/>
        </w:rPr>
        <w:t xml:space="preserve">this </w:t>
      </w:r>
      <w:r w:rsidR="001F4147" w:rsidRPr="001F4147">
        <w:rPr>
          <w:rFonts w:cstheme="minorHAnsi"/>
        </w:rPr>
        <w:t>as ‘macular degeneration’</w:t>
      </w:r>
      <w:r w:rsidR="001F4147">
        <w:rPr>
          <w:rFonts w:cstheme="minorHAnsi"/>
        </w:rPr>
        <w:t>, a</w:t>
      </w:r>
      <w:r w:rsidR="001F4147" w:rsidRPr="001F4147">
        <w:rPr>
          <w:rFonts w:cstheme="minorHAnsi"/>
        </w:rPr>
        <w:t xml:space="preserve"> condition</w:t>
      </w:r>
      <w:r w:rsidR="00334361">
        <w:rPr>
          <w:rFonts w:cstheme="minorHAnsi"/>
        </w:rPr>
        <w:t xml:space="preserve"> </w:t>
      </w:r>
      <w:r w:rsidR="00F84158">
        <w:rPr>
          <w:rFonts w:cstheme="minorHAnsi"/>
        </w:rPr>
        <w:t>whereby</w:t>
      </w:r>
      <w:r w:rsidR="00F84158">
        <w:rPr>
          <w:lang w:eastAsia="en-GB"/>
        </w:rPr>
        <w:t xml:space="preserve"> </w:t>
      </w:r>
      <w:proofErr w:type="gramStart"/>
      <w:r w:rsidR="00C8576C">
        <w:rPr>
          <w:lang w:eastAsia="en-GB"/>
        </w:rPr>
        <w:t>policy-makers</w:t>
      </w:r>
      <w:proofErr w:type="gramEnd"/>
      <w:r w:rsidR="00C8576C">
        <w:rPr>
          <w:lang w:eastAsia="en-GB"/>
        </w:rPr>
        <w:t xml:space="preserve"> and </w:t>
      </w:r>
      <w:r w:rsidR="00F84158">
        <w:rPr>
          <w:lang w:eastAsia="en-GB"/>
        </w:rPr>
        <w:t>policy-mak</w:t>
      </w:r>
      <w:r w:rsidR="00C8576C">
        <w:rPr>
          <w:lang w:eastAsia="en-GB"/>
        </w:rPr>
        <w:t>ing</w:t>
      </w:r>
      <w:r w:rsidR="00F84158">
        <w:rPr>
          <w:lang w:eastAsia="en-GB"/>
        </w:rPr>
        <w:t xml:space="preserve"> </w:t>
      </w:r>
      <w:r w:rsidR="00334361">
        <w:rPr>
          <w:lang w:eastAsia="en-GB"/>
        </w:rPr>
        <w:t>in an increasingly decentralised multi-national state</w:t>
      </w:r>
      <w:r w:rsidR="00334361">
        <w:rPr>
          <w:rFonts w:cstheme="minorHAnsi"/>
        </w:rPr>
        <w:t xml:space="preserve"> </w:t>
      </w:r>
      <w:r w:rsidR="001F4147" w:rsidRPr="001F4147">
        <w:rPr>
          <w:rFonts w:cstheme="minorHAnsi"/>
        </w:rPr>
        <w:t>suffer from</w:t>
      </w:r>
      <w:r w:rsidR="00873C2C">
        <w:rPr>
          <w:rFonts w:cstheme="minorHAnsi"/>
        </w:rPr>
        <w:t xml:space="preserve"> </w:t>
      </w:r>
      <w:r w:rsidR="004E5E5A">
        <w:rPr>
          <w:rFonts w:cstheme="minorHAnsi"/>
        </w:rPr>
        <w:t>policy</w:t>
      </w:r>
      <w:r w:rsidR="001F4147" w:rsidRPr="001F4147">
        <w:rPr>
          <w:rFonts w:cstheme="minorHAnsi"/>
        </w:rPr>
        <w:t xml:space="preserve"> ‘</w:t>
      </w:r>
      <w:proofErr w:type="spellStart"/>
      <w:r w:rsidR="001F4147" w:rsidRPr="001F4147">
        <w:rPr>
          <w:rFonts w:cstheme="minorHAnsi"/>
        </w:rPr>
        <w:t>blindspots</w:t>
      </w:r>
      <w:proofErr w:type="spellEnd"/>
      <w:r w:rsidR="001F4147" w:rsidRPr="001F4147">
        <w:rPr>
          <w:rFonts w:cstheme="minorHAnsi"/>
        </w:rPr>
        <w:t>’</w:t>
      </w:r>
      <w:r w:rsidR="00FE506C" w:rsidRPr="00FE506C">
        <w:rPr>
          <w:rFonts w:cstheme="minorHAnsi"/>
        </w:rPr>
        <w:t xml:space="preserve"> </w:t>
      </w:r>
      <w:r w:rsidR="00FE506C">
        <w:rPr>
          <w:rFonts w:cstheme="minorHAnsi"/>
        </w:rPr>
        <w:t>which can sometimes be politically strategic</w:t>
      </w:r>
      <w:r w:rsidR="00F84158">
        <w:rPr>
          <w:rFonts w:cstheme="minorHAnsi"/>
        </w:rPr>
        <w:t>.</w:t>
      </w:r>
    </w:p>
    <w:p w14:paraId="1A78877E" w14:textId="36246BFF" w:rsidR="00C837D2" w:rsidRPr="008E2062" w:rsidRDefault="00873C2C" w:rsidP="00C837D2">
      <w:pPr>
        <w:spacing w:line="360" w:lineRule="auto"/>
        <w:jc w:val="both"/>
      </w:pPr>
      <w:r>
        <w:rPr>
          <w:lang w:eastAsia="en-GB"/>
        </w:rPr>
        <w:t xml:space="preserve">Judge’s thesis </w:t>
      </w:r>
      <w:r w:rsidR="001F4147">
        <w:rPr>
          <w:lang w:eastAsia="en-GB"/>
        </w:rPr>
        <w:t xml:space="preserve">raises questions about the extent to which institutional amnesia may </w:t>
      </w:r>
      <w:r w:rsidR="00891165">
        <w:rPr>
          <w:lang w:eastAsia="en-GB"/>
        </w:rPr>
        <w:t>be</w:t>
      </w:r>
      <w:r w:rsidR="001F4147">
        <w:rPr>
          <w:lang w:eastAsia="en-GB"/>
        </w:rPr>
        <w:t xml:space="preserve"> intentional in terms of politicised </w:t>
      </w:r>
      <w:r w:rsidR="001F4147" w:rsidRPr="001F4147">
        <w:rPr>
          <w:rFonts w:eastAsia="Times New Roman" w:cs="Times New Roman"/>
          <w:lang w:eastAsia="en-GB"/>
        </w:rPr>
        <w:t>agenda management, non-decision making and mobilisation of bia</w:t>
      </w:r>
      <w:r w:rsidR="001F4147">
        <w:rPr>
          <w:rFonts w:eastAsia="Times New Roman" w:cs="Times New Roman"/>
          <w:lang w:eastAsia="en-GB"/>
        </w:rPr>
        <w:t>s</w:t>
      </w:r>
      <w:r w:rsidR="001F4147" w:rsidRPr="001F4147">
        <w:rPr>
          <w:rFonts w:eastAsia="Times New Roman" w:cs="Times New Roman"/>
          <w:lang w:eastAsia="en-GB"/>
        </w:rPr>
        <w:t xml:space="preserve">. </w:t>
      </w:r>
      <w:r w:rsidR="00C837D2">
        <w:rPr>
          <w:rFonts w:cstheme="minorHAnsi"/>
          <w:color w:val="000000" w:themeColor="text1"/>
        </w:rPr>
        <w:t xml:space="preserve">Tingle (2015) </w:t>
      </w:r>
      <w:r w:rsidR="00C8576C">
        <w:rPr>
          <w:rFonts w:cstheme="minorHAnsi"/>
          <w:color w:val="000000" w:themeColor="text1"/>
        </w:rPr>
        <w:t>defines this as</w:t>
      </w:r>
      <w:r w:rsidR="00C837D2">
        <w:rPr>
          <w:rFonts w:cstheme="minorHAnsi"/>
          <w:color w:val="000000" w:themeColor="text1"/>
        </w:rPr>
        <w:t xml:space="preserve"> ‘political amnesia’</w:t>
      </w:r>
      <w:r w:rsidR="00C8576C">
        <w:rPr>
          <w:rFonts w:cstheme="minorHAnsi"/>
          <w:color w:val="000000" w:themeColor="text1"/>
        </w:rPr>
        <w:t xml:space="preserve">, arguing </w:t>
      </w:r>
      <w:r w:rsidR="008E2062">
        <w:rPr>
          <w:rFonts w:cstheme="minorHAnsi"/>
          <w:color w:val="000000" w:themeColor="text1"/>
        </w:rPr>
        <w:t>it</w:t>
      </w:r>
      <w:r w:rsidR="00C8576C">
        <w:rPr>
          <w:rFonts w:cstheme="minorHAnsi"/>
          <w:color w:val="000000" w:themeColor="text1"/>
        </w:rPr>
        <w:t xml:space="preserve"> </w:t>
      </w:r>
      <w:r w:rsidR="00C837D2">
        <w:rPr>
          <w:rFonts w:cstheme="minorHAnsi"/>
          <w:color w:val="000000" w:themeColor="text1"/>
        </w:rPr>
        <w:t>is a</w:t>
      </w:r>
      <w:r w:rsidR="00C837D2" w:rsidRPr="00E262B3">
        <w:rPr>
          <w:rFonts w:cstheme="minorHAnsi"/>
          <w:color w:val="000000" w:themeColor="text1"/>
        </w:rPr>
        <w:t xml:space="preserve"> product of the increased pressures placed on politicians to produce attractive policies within the demands of electoral and media cycles, meaning </w:t>
      </w:r>
      <w:r w:rsidR="00C837D2" w:rsidRPr="00E262B3">
        <w:rPr>
          <w:rFonts w:ascii="Calibri" w:hAnsi="Calibri" w:cstheme="minorHAnsi"/>
          <w:color w:val="000000" w:themeColor="text1"/>
        </w:rPr>
        <w:t xml:space="preserve">examination of past policy interventions </w:t>
      </w:r>
      <w:r w:rsidR="00C8576C">
        <w:rPr>
          <w:rFonts w:ascii="Calibri" w:hAnsi="Calibri" w:cstheme="minorHAnsi"/>
          <w:color w:val="000000" w:themeColor="text1"/>
        </w:rPr>
        <w:t>can be</w:t>
      </w:r>
      <w:r w:rsidR="00C837D2" w:rsidRPr="00E262B3">
        <w:rPr>
          <w:rFonts w:ascii="Calibri" w:hAnsi="Calibri" w:cstheme="minorHAnsi"/>
          <w:color w:val="000000" w:themeColor="text1"/>
        </w:rPr>
        <w:t xml:space="preserve"> </w:t>
      </w:r>
      <w:r w:rsidR="00C8576C">
        <w:rPr>
          <w:rFonts w:ascii="Calibri" w:hAnsi="Calibri" w:cstheme="minorHAnsi"/>
          <w:color w:val="000000" w:themeColor="text1"/>
        </w:rPr>
        <w:t>viewed</w:t>
      </w:r>
      <w:r w:rsidR="00C837D2" w:rsidRPr="00E262B3">
        <w:rPr>
          <w:rFonts w:ascii="Calibri" w:hAnsi="Calibri" w:cstheme="minorHAnsi"/>
          <w:color w:val="000000" w:themeColor="text1"/>
        </w:rPr>
        <w:t xml:space="preserve"> as a barrier to speedy </w:t>
      </w:r>
      <w:r w:rsidR="00C837D2">
        <w:rPr>
          <w:rFonts w:ascii="Calibri" w:hAnsi="Calibri" w:cstheme="minorHAnsi"/>
          <w:color w:val="000000" w:themeColor="text1"/>
        </w:rPr>
        <w:t xml:space="preserve">or popular </w:t>
      </w:r>
      <w:proofErr w:type="gramStart"/>
      <w:r w:rsidR="00C837D2" w:rsidRPr="00E262B3">
        <w:rPr>
          <w:rFonts w:ascii="Calibri" w:hAnsi="Calibri" w:cstheme="minorHAnsi"/>
          <w:color w:val="000000" w:themeColor="text1"/>
        </w:rPr>
        <w:t>policy-making</w:t>
      </w:r>
      <w:proofErr w:type="gramEnd"/>
      <w:r w:rsidR="00C837D2" w:rsidRPr="00E262B3">
        <w:rPr>
          <w:rFonts w:cstheme="minorHAnsi"/>
          <w:color w:val="000000" w:themeColor="text1"/>
        </w:rPr>
        <w:t>.</w:t>
      </w:r>
      <w:r w:rsidR="00C837D2">
        <w:rPr>
          <w:rFonts w:cstheme="minorHAnsi"/>
          <w:color w:val="000000" w:themeColor="text1"/>
        </w:rPr>
        <w:t xml:space="preserve"> </w:t>
      </w:r>
      <w:r w:rsidR="008E2062">
        <w:rPr>
          <w:rFonts w:cstheme="minorHAnsi"/>
        </w:rPr>
        <w:t>This suggests the</w:t>
      </w:r>
      <w:r w:rsidR="00C837D2">
        <w:t xml:space="preserve"> </w:t>
      </w:r>
      <w:r w:rsidR="00C837D2" w:rsidRPr="00E262B3">
        <w:t>selecti</w:t>
      </w:r>
      <w:r w:rsidR="00C837D2">
        <w:t>ve recollection of</w:t>
      </w:r>
      <w:r w:rsidR="00C837D2" w:rsidRPr="00E262B3">
        <w:t xml:space="preserve"> memor</w:t>
      </w:r>
      <w:r w:rsidR="00C837D2">
        <w:t>ies</w:t>
      </w:r>
      <w:r w:rsidR="00C837D2" w:rsidRPr="00E262B3">
        <w:t xml:space="preserve"> of </w:t>
      </w:r>
      <w:proofErr w:type="gramStart"/>
      <w:r w:rsidR="00C837D2" w:rsidRPr="00E262B3">
        <w:t>policy-making</w:t>
      </w:r>
      <w:proofErr w:type="gramEnd"/>
      <w:r w:rsidR="008E2062">
        <w:t xml:space="preserve"> can be intentional, and is </w:t>
      </w:r>
      <w:r w:rsidR="00C837D2">
        <w:t>motivated by</w:t>
      </w:r>
      <w:r w:rsidR="00C837D2" w:rsidRPr="00E262B3">
        <w:t xml:space="preserve"> political</w:t>
      </w:r>
      <w:r w:rsidR="00C837D2">
        <w:t xml:space="preserve"> gain </w:t>
      </w:r>
      <w:r w:rsidR="00C837D2" w:rsidRPr="00E262B3">
        <w:t>or ideolog</w:t>
      </w:r>
      <w:r w:rsidR="00C837D2">
        <w:t xml:space="preserve">y, particularly </w:t>
      </w:r>
      <w:r w:rsidR="00C837D2">
        <w:rPr>
          <w:rFonts w:cstheme="minorHAnsi"/>
        </w:rPr>
        <w:t>when</w:t>
      </w:r>
      <w:r w:rsidR="00C837D2" w:rsidRPr="00E262B3">
        <w:rPr>
          <w:rFonts w:cstheme="minorHAnsi"/>
        </w:rPr>
        <w:t xml:space="preserve"> the legacies of </w:t>
      </w:r>
      <w:r w:rsidR="00C837D2">
        <w:rPr>
          <w:rFonts w:cstheme="minorHAnsi"/>
        </w:rPr>
        <w:t>past</w:t>
      </w:r>
      <w:r w:rsidR="00C837D2" w:rsidRPr="00E262B3">
        <w:rPr>
          <w:rFonts w:cstheme="minorHAnsi"/>
        </w:rPr>
        <w:t xml:space="preserve"> interventions challenge or compromise the intent of contemporary policy-making</w:t>
      </w:r>
      <w:r w:rsidR="00C837D2">
        <w:rPr>
          <w:rFonts w:cstheme="minorHAnsi"/>
        </w:rPr>
        <w:t>.</w:t>
      </w:r>
      <w:r w:rsidR="00C837D2" w:rsidRPr="00E262B3">
        <w:rPr>
          <w:rFonts w:cstheme="minorHAnsi"/>
        </w:rPr>
        <w:t xml:space="preserve"> </w:t>
      </w:r>
      <w:r w:rsidR="00C837D2">
        <w:t>W</w:t>
      </w:r>
      <w:r w:rsidR="00C837D2" w:rsidRPr="00E262B3">
        <w:t xml:space="preserve">ilful </w:t>
      </w:r>
      <w:r w:rsidR="00C837D2">
        <w:t>or</w:t>
      </w:r>
      <w:r w:rsidR="00C837D2" w:rsidRPr="00E262B3">
        <w:t xml:space="preserve"> strategic memory loss </w:t>
      </w:r>
      <w:r w:rsidR="00C837D2">
        <w:rPr>
          <w:rFonts w:cstheme="minorHAnsi"/>
        </w:rPr>
        <w:t xml:space="preserve">can thus </w:t>
      </w:r>
      <w:r w:rsidR="00EB77D7">
        <w:rPr>
          <w:rFonts w:cstheme="minorHAnsi"/>
        </w:rPr>
        <w:t>encourage</w:t>
      </w:r>
      <w:r w:rsidR="00C837D2">
        <w:rPr>
          <w:rFonts w:cstheme="minorHAnsi"/>
        </w:rPr>
        <w:t xml:space="preserve"> the </w:t>
      </w:r>
      <w:r w:rsidR="00C837D2" w:rsidRPr="00E262B3">
        <w:rPr>
          <w:rFonts w:cstheme="minorHAnsi"/>
        </w:rPr>
        <w:t>distort</w:t>
      </w:r>
      <w:r w:rsidR="00C837D2">
        <w:rPr>
          <w:rFonts w:cstheme="minorHAnsi"/>
        </w:rPr>
        <w:t xml:space="preserve">ion, revision or negation of </w:t>
      </w:r>
      <w:r w:rsidR="00C837D2" w:rsidRPr="00E262B3">
        <w:rPr>
          <w:rFonts w:cstheme="minorHAnsi"/>
        </w:rPr>
        <w:t>the motivations and objectives of past policies</w:t>
      </w:r>
      <w:r w:rsidR="00C837D2">
        <w:rPr>
          <w:rFonts w:cstheme="minorHAnsi"/>
        </w:rPr>
        <w:t xml:space="preserve"> as policy </w:t>
      </w:r>
      <w:r w:rsidR="00C837D2" w:rsidRPr="00E262B3">
        <w:t xml:space="preserve">actors seek to encourage new policy thinking </w:t>
      </w:r>
      <w:r w:rsidR="00C837D2">
        <w:t>through the conscious</w:t>
      </w:r>
      <w:r w:rsidR="00C837D2" w:rsidRPr="00E262B3">
        <w:t xml:space="preserve"> ‘forgetting’ or ‘unlearning’ </w:t>
      </w:r>
      <w:r w:rsidR="00C837D2">
        <w:t>of past policy lessons</w:t>
      </w:r>
      <w:r w:rsidR="00C837D2" w:rsidRPr="00E262B3">
        <w:t xml:space="preserve">. </w:t>
      </w:r>
    </w:p>
    <w:p w14:paraId="2D609332" w14:textId="3EA5738F" w:rsidR="00E45DB0" w:rsidRDefault="008E2062" w:rsidP="00891165">
      <w:pPr>
        <w:spacing w:line="360" w:lineRule="auto"/>
        <w:jc w:val="both"/>
      </w:pPr>
      <w:r>
        <w:rPr>
          <w:rFonts w:cstheme="minorHAnsi"/>
        </w:rPr>
        <w:t>This framing of p</w:t>
      </w:r>
      <w:r w:rsidR="00F86308">
        <w:rPr>
          <w:rFonts w:cstheme="minorHAnsi"/>
        </w:rPr>
        <w:t>olitical amnesia</w:t>
      </w:r>
      <w:r>
        <w:rPr>
          <w:rFonts w:cstheme="minorHAnsi"/>
        </w:rPr>
        <w:t xml:space="preserve"> is noteworthy in that it</w:t>
      </w:r>
      <w:r w:rsidR="00C837D2">
        <w:rPr>
          <w:rFonts w:cstheme="minorHAnsi"/>
        </w:rPr>
        <w:t xml:space="preserve"> </w:t>
      </w:r>
      <w:r w:rsidR="00F86308">
        <w:rPr>
          <w:rFonts w:cstheme="minorHAnsi"/>
        </w:rPr>
        <w:t xml:space="preserve">intersects </w:t>
      </w:r>
      <w:r>
        <w:rPr>
          <w:rFonts w:cstheme="minorHAnsi"/>
        </w:rPr>
        <w:t>with</w:t>
      </w:r>
      <w:r w:rsidR="00C837D2">
        <w:rPr>
          <w:rFonts w:cstheme="minorHAnsi"/>
        </w:rPr>
        <w:t xml:space="preserve"> what </w:t>
      </w:r>
      <w:r w:rsidR="00F86308">
        <w:rPr>
          <w:rFonts w:cstheme="minorHAnsi"/>
        </w:rPr>
        <w:t>has been</w:t>
      </w:r>
      <w:r w:rsidR="00C837D2">
        <w:rPr>
          <w:rFonts w:cstheme="minorHAnsi"/>
        </w:rPr>
        <w:t xml:space="preserve"> described as </w:t>
      </w:r>
      <w:r w:rsidR="00C8576C">
        <w:rPr>
          <w:rFonts w:cstheme="minorHAnsi"/>
        </w:rPr>
        <w:t>‘</w:t>
      </w:r>
      <w:r w:rsidR="00C837D2">
        <w:rPr>
          <w:rFonts w:cstheme="minorHAnsi"/>
        </w:rPr>
        <w:t>policy myopia</w:t>
      </w:r>
      <w:r w:rsidR="00C8576C">
        <w:rPr>
          <w:rFonts w:cstheme="minorHAnsi"/>
        </w:rPr>
        <w:t>’</w:t>
      </w:r>
      <w:r w:rsidR="00C837D2">
        <w:rPr>
          <w:rFonts w:cstheme="minorHAnsi"/>
        </w:rPr>
        <w:t xml:space="preserve">, whereby </w:t>
      </w:r>
      <w:r w:rsidR="00C837D2">
        <w:t xml:space="preserve">policy learning from past interventions </w:t>
      </w:r>
      <w:r w:rsidR="00C8576C">
        <w:t xml:space="preserve">is limited </w:t>
      </w:r>
      <w:r w:rsidR="00C837D2">
        <w:rPr>
          <w:rFonts w:cstheme="minorHAnsi"/>
        </w:rPr>
        <w:t xml:space="preserve">due to contemporary </w:t>
      </w:r>
      <w:proofErr w:type="gramStart"/>
      <w:r w:rsidR="00C837D2">
        <w:rPr>
          <w:rFonts w:cstheme="minorHAnsi"/>
        </w:rPr>
        <w:t>policy-making</w:t>
      </w:r>
      <w:proofErr w:type="gramEnd"/>
      <w:r w:rsidR="00C837D2">
        <w:rPr>
          <w:rFonts w:cstheme="minorHAnsi"/>
        </w:rPr>
        <w:t xml:space="preserve"> lacking appropriate robustness, agility, and adaptability in its design, implementation and evaluation</w:t>
      </w:r>
      <w:r w:rsidR="000014A5">
        <w:rPr>
          <w:rFonts w:cstheme="minorHAnsi"/>
        </w:rPr>
        <w:t>.</w:t>
      </w:r>
      <w:r w:rsidR="00F86308" w:rsidRPr="00F86308">
        <w:rPr>
          <w:rFonts w:cstheme="minorHAnsi"/>
        </w:rPr>
        <w:t xml:space="preserve"> </w:t>
      </w:r>
      <w:r w:rsidR="00F86308">
        <w:rPr>
          <w:rFonts w:cstheme="minorHAnsi"/>
        </w:rPr>
        <w:t>According to Tingle (2015), political amnesia</w:t>
      </w:r>
      <w:r w:rsidR="00F86308" w:rsidRPr="00E262B3">
        <w:rPr>
          <w:rFonts w:cstheme="minorHAnsi"/>
        </w:rPr>
        <w:t xml:space="preserve"> </w:t>
      </w:r>
      <w:r w:rsidR="00F86308">
        <w:rPr>
          <w:rFonts w:cstheme="minorHAnsi"/>
        </w:rPr>
        <w:t xml:space="preserve">has led </w:t>
      </w:r>
      <w:r w:rsidR="00F86308" w:rsidRPr="00E262B3">
        <w:rPr>
          <w:rFonts w:cstheme="minorHAnsi"/>
        </w:rPr>
        <w:t>to a policy</w:t>
      </w:r>
      <w:r w:rsidR="00F86308">
        <w:rPr>
          <w:rFonts w:cstheme="minorHAnsi"/>
        </w:rPr>
        <w:t>-making</w:t>
      </w:r>
      <w:r w:rsidR="00F86308" w:rsidRPr="00E262B3">
        <w:rPr>
          <w:rFonts w:cstheme="minorHAnsi"/>
        </w:rPr>
        <w:t xml:space="preserve"> culture whereby the consequences of </w:t>
      </w:r>
      <w:r w:rsidR="00F86308">
        <w:rPr>
          <w:rFonts w:cstheme="minorHAnsi"/>
        </w:rPr>
        <w:t>interventions</w:t>
      </w:r>
      <w:r w:rsidR="00F86308" w:rsidRPr="00E262B3">
        <w:rPr>
          <w:rFonts w:cstheme="minorHAnsi"/>
        </w:rPr>
        <w:t xml:space="preserve"> are rarely longitudinally analysed</w:t>
      </w:r>
      <w:r w:rsidR="00F86308">
        <w:rPr>
          <w:rFonts w:cstheme="minorHAnsi"/>
        </w:rPr>
        <w:t xml:space="preserve"> and engagement with underpinning policy narratives are often peripheral or overlooked.</w:t>
      </w:r>
      <w:r w:rsidR="00C837D2">
        <w:rPr>
          <w:rFonts w:cstheme="minorHAnsi"/>
        </w:rPr>
        <w:t xml:space="preserve"> </w:t>
      </w:r>
      <w:r w:rsidR="00C837D2" w:rsidRPr="00E262B3">
        <w:rPr>
          <w:rFonts w:ascii="Calibri" w:hAnsi="Calibri"/>
        </w:rPr>
        <w:t>Nair and Howlett (2017</w:t>
      </w:r>
      <w:r w:rsidR="00C837D2">
        <w:rPr>
          <w:rFonts w:ascii="Calibri" w:hAnsi="Calibri"/>
        </w:rPr>
        <w:t>: 103</w:t>
      </w:r>
      <w:r w:rsidR="00C837D2" w:rsidRPr="00E262B3">
        <w:rPr>
          <w:rFonts w:ascii="Calibri" w:hAnsi="Calibri"/>
        </w:rPr>
        <w:t xml:space="preserve">) argue </w:t>
      </w:r>
      <w:r w:rsidR="00680C7E">
        <w:rPr>
          <w:rFonts w:ascii="Calibri" w:hAnsi="Calibri"/>
        </w:rPr>
        <w:t xml:space="preserve">however </w:t>
      </w:r>
      <w:r w:rsidR="00C837D2">
        <w:rPr>
          <w:rFonts w:ascii="Calibri" w:hAnsi="Calibri"/>
        </w:rPr>
        <w:t xml:space="preserve">that </w:t>
      </w:r>
      <w:r w:rsidR="00C837D2" w:rsidRPr="00E262B3">
        <w:rPr>
          <w:rFonts w:ascii="Calibri" w:hAnsi="Calibri"/>
        </w:rPr>
        <w:t>policy myopia</w:t>
      </w:r>
      <w:r w:rsidR="00680C7E">
        <w:rPr>
          <w:rFonts w:ascii="Calibri" w:hAnsi="Calibri"/>
        </w:rPr>
        <w:t xml:space="preserve"> is</w:t>
      </w:r>
      <w:r w:rsidR="00680C7E">
        <w:rPr>
          <w:rFonts w:cstheme="minorHAnsi"/>
        </w:rPr>
        <w:t xml:space="preserve"> sometimes </w:t>
      </w:r>
      <w:r w:rsidR="00C837D2">
        <w:rPr>
          <w:rFonts w:cstheme="minorHAnsi"/>
        </w:rPr>
        <w:t>u</w:t>
      </w:r>
      <w:r w:rsidR="00891165">
        <w:rPr>
          <w:rFonts w:cstheme="minorHAnsi"/>
        </w:rPr>
        <w:t>nintentional</w:t>
      </w:r>
      <w:r w:rsidR="00C837D2">
        <w:rPr>
          <w:rFonts w:cstheme="minorHAnsi"/>
        </w:rPr>
        <w:t xml:space="preserve"> </w:t>
      </w:r>
      <w:r w:rsidR="00891165">
        <w:rPr>
          <w:rFonts w:cstheme="minorHAnsi"/>
        </w:rPr>
        <w:t xml:space="preserve">in that there is a fundamental challenge </w:t>
      </w:r>
      <w:r w:rsidR="00E45DB0">
        <w:rPr>
          <w:rFonts w:cstheme="minorHAnsi"/>
        </w:rPr>
        <w:t xml:space="preserve">all </w:t>
      </w:r>
      <w:proofErr w:type="gramStart"/>
      <w:r w:rsidR="00891165">
        <w:rPr>
          <w:rFonts w:cstheme="minorHAnsi"/>
        </w:rPr>
        <w:t>policy-makers</w:t>
      </w:r>
      <w:proofErr w:type="gramEnd"/>
      <w:r w:rsidR="00891165">
        <w:rPr>
          <w:rFonts w:cstheme="minorHAnsi"/>
        </w:rPr>
        <w:t xml:space="preserve"> face in predicting an uncertain future. </w:t>
      </w:r>
      <w:r w:rsidR="00680C7E">
        <w:rPr>
          <w:rFonts w:cstheme="minorHAnsi"/>
        </w:rPr>
        <w:t>Intentional or unintentional</w:t>
      </w:r>
      <w:r w:rsidR="005B3D82">
        <w:rPr>
          <w:rFonts w:cstheme="minorHAnsi"/>
        </w:rPr>
        <w:t xml:space="preserve"> form</w:t>
      </w:r>
      <w:r w:rsidR="00680C7E">
        <w:rPr>
          <w:rFonts w:cstheme="minorHAnsi"/>
        </w:rPr>
        <w:t>s of policy myopia</w:t>
      </w:r>
      <w:r w:rsidR="005B3D82">
        <w:rPr>
          <w:rFonts w:cstheme="minorHAnsi"/>
        </w:rPr>
        <w:t xml:space="preserve"> can lead to the failure to build sufficient capacity to respond to uncertainty and change, particularly in terms of how and in what ways policy environments might change over time</w:t>
      </w:r>
      <w:r w:rsidR="00680C7E">
        <w:rPr>
          <w:rFonts w:cstheme="minorHAnsi"/>
        </w:rPr>
        <w:t>. This</w:t>
      </w:r>
      <w:r w:rsidR="005B3D82">
        <w:rPr>
          <w:rFonts w:cstheme="minorHAnsi"/>
        </w:rPr>
        <w:t xml:space="preserve"> </w:t>
      </w:r>
      <w:r w:rsidR="004E5E5A">
        <w:rPr>
          <w:rFonts w:cstheme="minorHAnsi"/>
        </w:rPr>
        <w:t xml:space="preserve">can </w:t>
      </w:r>
      <w:r w:rsidR="004E5E5A">
        <w:t xml:space="preserve">diminish the ability of policy actors and institutions to identify potential challenges and opportunities for contemporary and future </w:t>
      </w:r>
      <w:proofErr w:type="gramStart"/>
      <w:r w:rsidR="004E5E5A">
        <w:t>policy-making</w:t>
      </w:r>
      <w:proofErr w:type="gramEnd"/>
      <w:r w:rsidR="0050768F">
        <w:rPr>
          <w:rFonts w:cstheme="minorHAnsi"/>
        </w:rPr>
        <w:t xml:space="preserve">. </w:t>
      </w:r>
      <w:r w:rsidR="00680C7E">
        <w:rPr>
          <w:rFonts w:cstheme="minorHAnsi"/>
        </w:rPr>
        <w:t>L</w:t>
      </w:r>
      <w:r w:rsidR="005B3D82">
        <w:rPr>
          <w:rFonts w:cstheme="minorHAnsi"/>
        </w:rPr>
        <w:t>imit</w:t>
      </w:r>
      <w:r w:rsidR="00680C7E">
        <w:rPr>
          <w:rFonts w:cstheme="minorHAnsi"/>
        </w:rPr>
        <w:t>ations in</w:t>
      </w:r>
      <w:r w:rsidR="005B3D82">
        <w:rPr>
          <w:rFonts w:cstheme="minorHAnsi"/>
        </w:rPr>
        <w:t xml:space="preserve"> both policy analysis </w:t>
      </w:r>
      <w:r w:rsidR="005B3D82" w:rsidRPr="00E45DB0">
        <w:rPr>
          <w:rFonts w:cstheme="minorHAnsi"/>
          <w:i/>
          <w:iCs/>
        </w:rPr>
        <w:t>and</w:t>
      </w:r>
      <w:r w:rsidR="005B3D82">
        <w:rPr>
          <w:rFonts w:cstheme="minorHAnsi"/>
        </w:rPr>
        <w:t xml:space="preserve"> learning</w:t>
      </w:r>
      <w:r w:rsidR="00680C7E">
        <w:rPr>
          <w:rFonts w:cstheme="minorHAnsi"/>
        </w:rPr>
        <w:t xml:space="preserve"> can </w:t>
      </w:r>
      <w:r w:rsidR="005B3D82">
        <w:rPr>
          <w:rFonts w:cstheme="minorHAnsi"/>
        </w:rPr>
        <w:t xml:space="preserve">lead </w:t>
      </w:r>
      <w:r w:rsidR="005B3D82">
        <w:rPr>
          <w:rFonts w:cstheme="minorHAnsi"/>
        </w:rPr>
        <w:lastRenderedPageBreak/>
        <w:t xml:space="preserve">to policy instability </w:t>
      </w:r>
      <w:r w:rsidR="008A266A">
        <w:rPr>
          <w:rFonts w:cstheme="minorHAnsi"/>
        </w:rPr>
        <w:t xml:space="preserve">or </w:t>
      </w:r>
      <w:r w:rsidR="005B3D82">
        <w:rPr>
          <w:rFonts w:cstheme="minorHAnsi"/>
        </w:rPr>
        <w:t xml:space="preserve">failure, and can be </w:t>
      </w:r>
      <w:r w:rsidR="005B3D82">
        <w:t>realised at a personal level, within a particular institution, or across a wider system of networked institutions (</w:t>
      </w:r>
      <w:proofErr w:type="spellStart"/>
      <w:r w:rsidR="005B3D82">
        <w:t>Catino</w:t>
      </w:r>
      <w:proofErr w:type="spellEnd"/>
      <w:r w:rsidR="005B3D82">
        <w:t xml:space="preserve">, 2013: 95). </w:t>
      </w:r>
      <w:r w:rsidR="00E45DB0">
        <w:rPr>
          <w:rFonts w:cstheme="minorHAnsi"/>
        </w:rPr>
        <w:t>To avoid the introduction of myopic policy interventions, the temporal dynamics of effective policy design should be embraced to anticipate the evolution and potential change of policy environments (Mukherjee et a., 2021).</w:t>
      </w:r>
    </w:p>
    <w:p w14:paraId="653732A6" w14:textId="792CDB70" w:rsidR="003A34F1" w:rsidRPr="00E45DB0" w:rsidRDefault="000133E1" w:rsidP="0069009D">
      <w:pPr>
        <w:spacing w:line="360" w:lineRule="auto"/>
        <w:jc w:val="both"/>
        <w:rPr>
          <w:lang w:eastAsia="en-GB"/>
        </w:rPr>
      </w:pPr>
      <w:r>
        <w:rPr>
          <w:rFonts w:cstheme="minorHAnsi"/>
        </w:rPr>
        <w:t>To</w:t>
      </w:r>
      <w:r w:rsidR="00BF617A">
        <w:rPr>
          <w:rFonts w:cstheme="minorHAnsi"/>
        </w:rPr>
        <w:t xml:space="preserve"> </w:t>
      </w:r>
      <w:r w:rsidR="00F57390">
        <w:rPr>
          <w:rFonts w:cstheme="minorHAnsi"/>
        </w:rPr>
        <w:t>summarise</w:t>
      </w:r>
      <w:r>
        <w:rPr>
          <w:rFonts w:cstheme="minorHAnsi"/>
        </w:rPr>
        <w:t xml:space="preserve">, the combined </w:t>
      </w:r>
      <w:r w:rsidR="00680C7E">
        <w:rPr>
          <w:rFonts w:cstheme="minorHAnsi"/>
        </w:rPr>
        <w:t>effects</w:t>
      </w:r>
      <w:r w:rsidR="005B3D82">
        <w:rPr>
          <w:rFonts w:cstheme="minorHAnsi"/>
        </w:rPr>
        <w:t xml:space="preserve"> of institutional amnesia and policy myopia </w:t>
      </w:r>
      <w:r w:rsidR="00FC1E76">
        <w:rPr>
          <w:rFonts w:cstheme="minorHAnsi"/>
        </w:rPr>
        <w:t>can</w:t>
      </w:r>
      <w:r w:rsidR="005B3D82">
        <w:rPr>
          <w:rFonts w:cstheme="minorHAnsi"/>
        </w:rPr>
        <w:t xml:space="preserve"> encourage </w:t>
      </w:r>
      <w:r w:rsidR="005B3D82">
        <w:rPr>
          <w:rFonts w:ascii="Calibri" w:hAnsi="Calibri"/>
        </w:rPr>
        <w:t xml:space="preserve">short-term and </w:t>
      </w:r>
      <w:r w:rsidR="00680C7E" w:rsidRPr="00E262B3">
        <w:rPr>
          <w:rFonts w:cstheme="minorHAnsi"/>
        </w:rPr>
        <w:t>narrowly framed</w:t>
      </w:r>
      <w:r w:rsidR="005B3D82" w:rsidRPr="00E262B3">
        <w:rPr>
          <w:rFonts w:cstheme="minorHAnsi"/>
        </w:rPr>
        <w:t xml:space="preserve"> operational </w:t>
      </w:r>
      <w:proofErr w:type="gramStart"/>
      <w:r w:rsidR="005B3D82" w:rsidRPr="00E262B3">
        <w:rPr>
          <w:rFonts w:cstheme="minorHAnsi"/>
        </w:rPr>
        <w:t>policy-making</w:t>
      </w:r>
      <w:proofErr w:type="gramEnd"/>
      <w:r w:rsidR="005B3D82" w:rsidRPr="00E262B3">
        <w:rPr>
          <w:rFonts w:cstheme="minorHAnsi"/>
        </w:rPr>
        <w:t xml:space="preserve"> </w:t>
      </w:r>
      <w:r w:rsidR="00F57390">
        <w:rPr>
          <w:rFonts w:cstheme="minorHAnsi"/>
        </w:rPr>
        <w:t xml:space="preserve">with </w:t>
      </w:r>
      <w:r w:rsidR="005B3D82" w:rsidRPr="00E262B3">
        <w:rPr>
          <w:rFonts w:cstheme="minorHAnsi"/>
        </w:rPr>
        <w:t>little regard for ‘overspill’ or wider strategic implications</w:t>
      </w:r>
      <w:r w:rsidR="005B3D82">
        <w:rPr>
          <w:rFonts w:cstheme="minorHAnsi"/>
        </w:rPr>
        <w:t>.</w:t>
      </w:r>
      <w:r w:rsidR="00680C7E">
        <w:rPr>
          <w:rFonts w:ascii="Calibri" w:hAnsi="Calibri"/>
        </w:rPr>
        <w:t xml:space="preserve"> </w:t>
      </w:r>
      <w:r w:rsidR="00DD7B90" w:rsidRPr="00E262B3">
        <w:rPr>
          <w:rFonts w:cstheme="minorHAnsi"/>
        </w:rPr>
        <w:t>Hulme and Hulme (2012</w:t>
      </w:r>
      <w:r w:rsidR="00DD7B90">
        <w:rPr>
          <w:rFonts w:cstheme="minorHAnsi"/>
        </w:rPr>
        <w:t>:</w:t>
      </w:r>
      <w:r w:rsidR="00DD7B90" w:rsidRPr="00E262B3">
        <w:rPr>
          <w:rFonts w:cstheme="minorHAnsi"/>
        </w:rPr>
        <w:t xml:space="preserve"> 473</w:t>
      </w:r>
      <w:r w:rsidR="00DD7B90">
        <w:rPr>
          <w:rFonts w:cstheme="minorHAnsi"/>
        </w:rPr>
        <w:t>) note that p</w:t>
      </w:r>
      <w:r w:rsidR="00DB4D09" w:rsidRPr="00E262B3">
        <w:rPr>
          <w:rFonts w:cstheme="minorHAnsi"/>
        </w:rPr>
        <w:t xml:space="preserve">roponents </w:t>
      </w:r>
      <w:r>
        <w:rPr>
          <w:rFonts w:cstheme="minorHAnsi"/>
        </w:rPr>
        <w:t>support this</w:t>
      </w:r>
      <w:r w:rsidR="00DB4D09" w:rsidRPr="00E262B3">
        <w:rPr>
          <w:rFonts w:cstheme="minorHAnsi"/>
        </w:rPr>
        <w:t xml:space="preserve"> ‘</w:t>
      </w:r>
      <w:proofErr w:type="spellStart"/>
      <w:r w:rsidR="00DB4D09" w:rsidRPr="00E262B3">
        <w:rPr>
          <w:rFonts w:cstheme="minorHAnsi"/>
        </w:rPr>
        <w:t>presentist</w:t>
      </w:r>
      <w:proofErr w:type="spellEnd"/>
      <w:r w:rsidR="00DB4D09" w:rsidRPr="00E262B3">
        <w:rPr>
          <w:rFonts w:cstheme="minorHAnsi"/>
        </w:rPr>
        <w:t xml:space="preserve">’ </w:t>
      </w:r>
      <w:r>
        <w:rPr>
          <w:rFonts w:cstheme="minorHAnsi"/>
        </w:rPr>
        <w:t xml:space="preserve">approach to </w:t>
      </w:r>
      <w:proofErr w:type="gramStart"/>
      <w:r w:rsidR="00DB4D09" w:rsidRPr="00E262B3">
        <w:rPr>
          <w:rFonts w:cstheme="minorHAnsi"/>
        </w:rPr>
        <w:t>policy-making</w:t>
      </w:r>
      <w:proofErr w:type="gramEnd"/>
      <w:r>
        <w:rPr>
          <w:rFonts w:cstheme="minorHAnsi"/>
        </w:rPr>
        <w:t>,</w:t>
      </w:r>
      <w:r w:rsidR="00DB4D09" w:rsidRPr="00E262B3">
        <w:rPr>
          <w:rFonts w:cstheme="minorHAnsi"/>
        </w:rPr>
        <w:t xml:space="preserve"> argu</w:t>
      </w:r>
      <w:r>
        <w:rPr>
          <w:rFonts w:cstheme="minorHAnsi"/>
        </w:rPr>
        <w:t>ing</w:t>
      </w:r>
      <w:r w:rsidR="00DB4D09" w:rsidRPr="00E262B3">
        <w:rPr>
          <w:rFonts w:cstheme="minorHAnsi"/>
        </w:rPr>
        <w:t xml:space="preserve"> that analysis of the historical </w:t>
      </w:r>
      <w:r w:rsidR="00DB4D09" w:rsidRPr="00992E43">
        <w:rPr>
          <w:rFonts w:cstheme="minorHAnsi"/>
        </w:rPr>
        <w:t xml:space="preserve">circumstances and implications of policy-making can over-complicate and warp the focus of the contemporary issues to be addressed. </w:t>
      </w:r>
      <w:r w:rsidR="00BF617A">
        <w:rPr>
          <w:rFonts w:cstheme="minorHAnsi"/>
        </w:rPr>
        <w:t>They</w:t>
      </w:r>
      <w:r w:rsidRPr="00E262B3">
        <w:rPr>
          <w:rFonts w:cstheme="minorHAnsi"/>
        </w:rPr>
        <w:t xml:space="preserve"> </w:t>
      </w:r>
      <w:r>
        <w:rPr>
          <w:rFonts w:cstheme="minorHAnsi"/>
        </w:rPr>
        <w:t>argue</w:t>
      </w:r>
      <w:r w:rsidR="000F4F41" w:rsidRPr="00992E43">
        <w:rPr>
          <w:rFonts w:cstheme="minorHAnsi"/>
        </w:rPr>
        <w:t xml:space="preserve"> </w:t>
      </w:r>
      <w:r>
        <w:rPr>
          <w:rFonts w:cstheme="minorHAnsi"/>
        </w:rPr>
        <w:t xml:space="preserve">however </w:t>
      </w:r>
      <w:r w:rsidR="000F4F41" w:rsidRPr="00992E43">
        <w:rPr>
          <w:rFonts w:cstheme="minorHAnsi"/>
        </w:rPr>
        <w:t>that</w:t>
      </w:r>
      <w:r w:rsidR="009C6C24" w:rsidRPr="00992E43">
        <w:rPr>
          <w:rFonts w:cstheme="minorHAnsi"/>
        </w:rPr>
        <w:t xml:space="preserve"> </w:t>
      </w:r>
      <w:r w:rsidR="00DB4D09" w:rsidRPr="00992E43">
        <w:rPr>
          <w:rFonts w:cstheme="minorHAnsi"/>
        </w:rPr>
        <w:t xml:space="preserve">ignoring the historical development of </w:t>
      </w:r>
      <w:proofErr w:type="gramStart"/>
      <w:r w:rsidR="00DB4D09" w:rsidRPr="00992E43">
        <w:rPr>
          <w:rFonts w:cstheme="minorHAnsi"/>
        </w:rPr>
        <w:t>policy-making</w:t>
      </w:r>
      <w:proofErr w:type="gramEnd"/>
      <w:r w:rsidR="00DB4D09" w:rsidRPr="00992E43">
        <w:rPr>
          <w:rFonts w:cstheme="minorHAnsi"/>
        </w:rPr>
        <w:t xml:space="preserve"> can over-simplify complex issues and </w:t>
      </w:r>
      <w:r w:rsidR="005F5DEA">
        <w:rPr>
          <w:rFonts w:cstheme="minorHAnsi"/>
        </w:rPr>
        <w:t>fail to learn from past policy interventions.</w:t>
      </w:r>
      <w:r w:rsidR="00C4615A">
        <w:rPr>
          <w:rFonts w:cstheme="minorHAnsi"/>
        </w:rPr>
        <w:t xml:space="preserve"> </w:t>
      </w:r>
      <w:r w:rsidR="005F5DEA">
        <w:rPr>
          <w:rFonts w:cstheme="minorHAnsi"/>
        </w:rPr>
        <w:t xml:space="preserve">Moreover, presentism can </w:t>
      </w:r>
      <w:r w:rsidR="00DB4D09" w:rsidRPr="00992E43">
        <w:rPr>
          <w:rFonts w:cstheme="minorHAnsi"/>
        </w:rPr>
        <w:t xml:space="preserve">encourage </w:t>
      </w:r>
      <w:r w:rsidR="005F5DEA">
        <w:rPr>
          <w:rFonts w:cstheme="minorHAnsi"/>
        </w:rPr>
        <w:t>policy</w:t>
      </w:r>
      <w:r w:rsidR="00DB4D09" w:rsidRPr="00992E43">
        <w:rPr>
          <w:rFonts w:cstheme="minorHAnsi"/>
        </w:rPr>
        <w:t xml:space="preserve"> actors </w:t>
      </w:r>
      <w:r w:rsidR="005F5DEA">
        <w:rPr>
          <w:rFonts w:cstheme="minorHAnsi"/>
        </w:rPr>
        <w:t xml:space="preserve">who are determined to initiate or stymy new policy </w:t>
      </w:r>
      <w:r w:rsidR="00DB4D09" w:rsidRPr="00992E43">
        <w:rPr>
          <w:rFonts w:cstheme="minorHAnsi"/>
        </w:rPr>
        <w:t xml:space="preserve">to close down difficult </w:t>
      </w:r>
      <w:r w:rsidR="005B3D82">
        <w:rPr>
          <w:rFonts w:cstheme="minorHAnsi"/>
        </w:rPr>
        <w:t>or challenging debate</w:t>
      </w:r>
      <w:r w:rsidR="00DB4D09" w:rsidRPr="00992E43">
        <w:rPr>
          <w:rFonts w:cstheme="minorHAnsi"/>
        </w:rPr>
        <w:t xml:space="preserve"> of </w:t>
      </w:r>
      <w:r w:rsidR="005B3D82">
        <w:rPr>
          <w:rFonts w:cstheme="minorHAnsi"/>
        </w:rPr>
        <w:t xml:space="preserve">past </w:t>
      </w:r>
      <w:proofErr w:type="gramStart"/>
      <w:r w:rsidR="005B3D82">
        <w:rPr>
          <w:rFonts w:cstheme="minorHAnsi"/>
        </w:rPr>
        <w:t>policy-making</w:t>
      </w:r>
      <w:proofErr w:type="gramEnd"/>
      <w:r w:rsidR="005F5DEA">
        <w:rPr>
          <w:rFonts w:cstheme="minorHAnsi"/>
        </w:rPr>
        <w:t xml:space="preserve"> which might compromise their cause</w:t>
      </w:r>
      <w:r w:rsidR="00DB4D09" w:rsidRPr="00992E43">
        <w:rPr>
          <w:rFonts w:cstheme="minorHAnsi"/>
        </w:rPr>
        <w:t xml:space="preserve">. </w:t>
      </w:r>
      <w:r w:rsidR="005B3D82">
        <w:rPr>
          <w:rFonts w:eastAsia="Times New Roman" w:cstheme="minorHAnsi"/>
          <w:lang w:eastAsia="en-GB"/>
        </w:rPr>
        <w:t>Memory</w:t>
      </w:r>
      <w:r w:rsidR="00BB7853">
        <w:rPr>
          <w:rFonts w:eastAsia="Times New Roman" w:cstheme="minorHAnsi"/>
          <w:lang w:eastAsia="en-GB"/>
        </w:rPr>
        <w:t xml:space="preserve"> and politics thus relate and interact in consistently dynamic and evolutiona</w:t>
      </w:r>
      <w:r w:rsidR="00E20021">
        <w:rPr>
          <w:rFonts w:eastAsia="Times New Roman" w:cstheme="minorHAnsi"/>
          <w:lang w:eastAsia="en-GB"/>
        </w:rPr>
        <w:t xml:space="preserve">ry </w:t>
      </w:r>
      <w:r w:rsidR="00BB7853">
        <w:rPr>
          <w:rFonts w:eastAsia="Times New Roman" w:cstheme="minorHAnsi"/>
          <w:lang w:eastAsia="en-GB"/>
        </w:rPr>
        <w:t xml:space="preserve">ways which are non-linear and difficult to predict. </w:t>
      </w:r>
      <w:r w:rsidR="002A4257">
        <w:rPr>
          <w:rFonts w:cstheme="minorHAnsi"/>
        </w:rPr>
        <w:t>This</w:t>
      </w:r>
      <w:r>
        <w:rPr>
          <w:rFonts w:cstheme="minorHAnsi"/>
        </w:rPr>
        <w:t xml:space="preserve"> </w:t>
      </w:r>
      <w:r w:rsidR="002A4257">
        <w:rPr>
          <w:rFonts w:cstheme="minorHAnsi"/>
        </w:rPr>
        <w:t xml:space="preserve">has meant that </w:t>
      </w:r>
      <w:r w:rsidR="00541D2D" w:rsidRPr="00E262B3">
        <w:rPr>
          <w:rFonts w:cstheme="minorHAnsi"/>
        </w:rPr>
        <w:t>memory</w:t>
      </w:r>
      <w:r w:rsidR="008D1836" w:rsidRPr="00E262B3">
        <w:rPr>
          <w:rFonts w:cstheme="minorHAnsi"/>
        </w:rPr>
        <w:t xml:space="preserve"> </w:t>
      </w:r>
      <w:r w:rsidR="002A4257">
        <w:rPr>
          <w:rFonts w:cstheme="minorHAnsi"/>
        </w:rPr>
        <w:t>of past policy</w:t>
      </w:r>
      <w:r w:rsidR="00F34094" w:rsidRPr="00F34094">
        <w:rPr>
          <w:rFonts w:cstheme="minorHAnsi"/>
        </w:rPr>
        <w:t xml:space="preserve"> </w:t>
      </w:r>
      <w:r w:rsidR="00F34094">
        <w:rPr>
          <w:rFonts w:cstheme="minorHAnsi"/>
        </w:rPr>
        <w:t>interventions,</w:t>
      </w:r>
      <w:r w:rsidR="002A4257">
        <w:rPr>
          <w:rFonts w:cstheme="minorHAnsi"/>
        </w:rPr>
        <w:t xml:space="preserve"> </w:t>
      </w:r>
      <w:r w:rsidR="005B3D82">
        <w:rPr>
          <w:rFonts w:cstheme="minorHAnsi"/>
        </w:rPr>
        <w:t>as in our case study of the</w:t>
      </w:r>
      <w:r w:rsidR="00F34094">
        <w:rPr>
          <w:rFonts w:cstheme="minorHAnsi"/>
        </w:rPr>
        <w:t xml:space="preserve"> lowering the voting age to 18 in 1969, can</w:t>
      </w:r>
      <w:r w:rsidR="00541D2D" w:rsidRPr="00E262B3">
        <w:rPr>
          <w:rFonts w:cstheme="minorHAnsi"/>
        </w:rPr>
        <w:t xml:space="preserve"> </w:t>
      </w:r>
      <w:r w:rsidR="002A4257">
        <w:rPr>
          <w:rFonts w:cstheme="minorHAnsi"/>
        </w:rPr>
        <w:t>prove both influential</w:t>
      </w:r>
      <w:r w:rsidR="00541D2D" w:rsidRPr="00E262B3">
        <w:rPr>
          <w:rFonts w:cstheme="minorHAnsi"/>
        </w:rPr>
        <w:t xml:space="preserve"> </w:t>
      </w:r>
      <w:r w:rsidR="002A4257" w:rsidRPr="002A4257">
        <w:rPr>
          <w:rFonts w:cstheme="minorHAnsi"/>
          <w:i/>
          <w:iCs/>
        </w:rPr>
        <w:t>and</w:t>
      </w:r>
      <w:r w:rsidR="002A4257">
        <w:rPr>
          <w:rFonts w:cstheme="minorHAnsi"/>
        </w:rPr>
        <w:t xml:space="preserve"> absent </w:t>
      </w:r>
      <w:r w:rsidR="00541D2D" w:rsidRPr="00E262B3">
        <w:rPr>
          <w:rFonts w:cstheme="minorHAnsi"/>
        </w:rPr>
        <w:t xml:space="preserve">in </w:t>
      </w:r>
      <w:r w:rsidR="008D1836" w:rsidRPr="00E262B3">
        <w:rPr>
          <w:rFonts w:cstheme="minorHAnsi"/>
        </w:rPr>
        <w:t xml:space="preserve">shaping </w:t>
      </w:r>
      <w:r w:rsidR="00F108E8" w:rsidRPr="00E262B3">
        <w:rPr>
          <w:rFonts w:cstheme="minorHAnsi"/>
        </w:rPr>
        <w:t>policy learning</w:t>
      </w:r>
      <w:r w:rsidR="00541D2D" w:rsidRPr="00E262B3">
        <w:rPr>
          <w:rFonts w:cstheme="minorHAnsi"/>
        </w:rPr>
        <w:t xml:space="preserve">. </w:t>
      </w:r>
    </w:p>
    <w:p w14:paraId="0AC56BF3" w14:textId="77777777" w:rsidR="00F34094" w:rsidRDefault="00F34094" w:rsidP="0069009D">
      <w:pPr>
        <w:spacing w:line="360" w:lineRule="auto"/>
        <w:jc w:val="both"/>
        <w:rPr>
          <w:rFonts w:cstheme="minorHAnsi"/>
        </w:rPr>
      </w:pPr>
    </w:p>
    <w:p w14:paraId="00A8A9B5" w14:textId="6F98E08E" w:rsidR="00896AD2" w:rsidRPr="00E262B3" w:rsidRDefault="0079263A" w:rsidP="00896AD2">
      <w:pPr>
        <w:spacing w:line="360" w:lineRule="auto"/>
        <w:jc w:val="both"/>
        <w:rPr>
          <w:rFonts w:cstheme="minorHAnsi"/>
          <w:b/>
        </w:rPr>
      </w:pPr>
      <w:r w:rsidRPr="00E262B3">
        <w:rPr>
          <w:rFonts w:cstheme="minorHAnsi"/>
          <w:b/>
        </w:rPr>
        <w:t xml:space="preserve">The </w:t>
      </w:r>
      <w:r w:rsidR="00702AE1" w:rsidRPr="00E262B3">
        <w:rPr>
          <w:rFonts w:cstheme="minorHAnsi"/>
          <w:b/>
        </w:rPr>
        <w:t xml:space="preserve">policy </w:t>
      </w:r>
      <w:r w:rsidRPr="00E262B3">
        <w:rPr>
          <w:rFonts w:cstheme="minorHAnsi"/>
          <w:b/>
        </w:rPr>
        <w:t>pathway to ‘</w:t>
      </w:r>
      <w:r w:rsidR="00863629">
        <w:rPr>
          <w:rFonts w:cstheme="minorHAnsi"/>
          <w:b/>
        </w:rPr>
        <w:t>Votes-at-18</w:t>
      </w:r>
      <w:r w:rsidRPr="00E262B3">
        <w:rPr>
          <w:rFonts w:cstheme="minorHAnsi"/>
          <w:b/>
        </w:rPr>
        <w:t>’</w:t>
      </w:r>
    </w:p>
    <w:p w14:paraId="249A2157" w14:textId="24B38965" w:rsidR="00193D07" w:rsidRDefault="00182D75" w:rsidP="00896AD2">
      <w:pPr>
        <w:spacing w:line="360" w:lineRule="auto"/>
        <w:jc w:val="both"/>
        <w:rPr>
          <w:rFonts w:cstheme="minorHAnsi"/>
        </w:rPr>
      </w:pPr>
      <w:r w:rsidRPr="00E262B3">
        <w:rPr>
          <w:rFonts w:cstheme="minorHAnsi"/>
        </w:rPr>
        <w:t>While</w:t>
      </w:r>
      <w:r w:rsidRPr="00E262B3">
        <w:rPr>
          <w:rFonts w:eastAsia="Times New Roman" w:cs="Tahoma"/>
          <w:color w:val="000000"/>
        </w:rPr>
        <w:t xml:space="preserve"> the lowering of the voting age in 1969 is typically framed in progressive terms, it is not understood as part of the </w:t>
      </w:r>
      <w:r w:rsidRPr="00E262B3">
        <w:rPr>
          <w:rFonts w:eastAsia="Times New Roman" w:cs="Arial"/>
          <w:bCs/>
          <w:i/>
          <w:color w:val="222222"/>
        </w:rPr>
        <w:t xml:space="preserve">longue durée </w:t>
      </w:r>
      <w:r w:rsidRPr="00E262B3">
        <w:rPr>
          <w:rFonts w:eastAsia="Times New Roman" w:cs="Arial"/>
          <w:bCs/>
          <w:color w:val="222222"/>
        </w:rPr>
        <w:t>of</w:t>
      </w:r>
      <w:r w:rsidRPr="00E262B3">
        <w:rPr>
          <w:rFonts w:eastAsia="Times New Roman" w:cs="Arial"/>
          <w:bCs/>
          <w:i/>
          <w:color w:val="222222"/>
        </w:rPr>
        <w:t xml:space="preserve"> </w:t>
      </w:r>
      <w:r w:rsidRPr="00E262B3">
        <w:rPr>
          <w:rFonts w:eastAsia="Times New Roman" w:cs="Arial"/>
          <w:bCs/>
          <w:color w:val="222222"/>
        </w:rPr>
        <w:t>age-related electoral reform</w:t>
      </w:r>
      <w:r w:rsidR="00F34094">
        <w:rPr>
          <w:rFonts w:eastAsia="Times New Roman" w:cs="Arial"/>
          <w:bCs/>
          <w:color w:val="222222"/>
        </w:rPr>
        <w:t xml:space="preserve"> in the UK</w:t>
      </w:r>
      <w:r w:rsidRPr="00E262B3">
        <w:rPr>
          <w:rFonts w:eastAsia="Times New Roman" w:cs="Arial"/>
          <w:bCs/>
          <w:color w:val="222222"/>
        </w:rPr>
        <w:t xml:space="preserve">. </w:t>
      </w:r>
      <w:r w:rsidR="0047469C" w:rsidRPr="00E262B3">
        <w:t xml:space="preserve">Contemporary policy actors </w:t>
      </w:r>
      <w:r w:rsidR="00344594">
        <w:t xml:space="preserve">thus </w:t>
      </w:r>
      <w:r w:rsidR="0047469C" w:rsidRPr="00E262B3">
        <w:t>face an absence of a clear policy narrative</w:t>
      </w:r>
      <w:r w:rsidR="00D52645">
        <w:t>,</w:t>
      </w:r>
      <w:r w:rsidR="0047469C" w:rsidRPr="00E262B3">
        <w:t xml:space="preserve"> </w:t>
      </w:r>
      <w:r w:rsidR="009B3677">
        <w:t>as</w:t>
      </w:r>
      <w:r w:rsidR="0047469C" w:rsidRPr="00E262B3">
        <w:t xml:space="preserve"> voting age reform</w:t>
      </w:r>
      <w:r w:rsidR="009842B9">
        <w:t xml:space="preserve"> </w:t>
      </w:r>
      <w:r w:rsidR="0047469C" w:rsidRPr="00E262B3">
        <w:t xml:space="preserve">has </w:t>
      </w:r>
      <w:r w:rsidR="002C7945">
        <w:t xml:space="preserve">been </w:t>
      </w:r>
      <w:r w:rsidR="00C4615A">
        <w:t>peripheral</w:t>
      </w:r>
      <w:r w:rsidR="0047469C" w:rsidRPr="00E262B3">
        <w:t xml:space="preserve"> in </w:t>
      </w:r>
      <w:r w:rsidR="00C4615A">
        <w:t xml:space="preserve">the </w:t>
      </w:r>
      <w:r w:rsidR="0047469C" w:rsidRPr="00E262B3">
        <w:t xml:space="preserve">expansion of </w:t>
      </w:r>
      <w:r w:rsidR="00C4615A">
        <w:t xml:space="preserve">the </w:t>
      </w:r>
      <w:r w:rsidR="0047469C" w:rsidRPr="00E262B3">
        <w:t>British electoral franchise</w:t>
      </w:r>
      <w:r w:rsidR="00D764B9">
        <w:t xml:space="preserve"> (see, for example, </w:t>
      </w:r>
      <w:proofErr w:type="spellStart"/>
      <w:r w:rsidR="00D764B9">
        <w:t>Garrard</w:t>
      </w:r>
      <w:proofErr w:type="spellEnd"/>
      <w:r w:rsidR="00D764B9">
        <w:t>, 2001)</w:t>
      </w:r>
      <w:r w:rsidR="0047469C" w:rsidRPr="00E262B3">
        <w:t xml:space="preserve">. From the 1832 Great Reform Act until 1969, the </w:t>
      </w:r>
      <w:r w:rsidR="00D52645">
        <w:t xml:space="preserve">lowest </w:t>
      </w:r>
      <w:r w:rsidR="0047469C" w:rsidRPr="00E262B3">
        <w:t xml:space="preserve">age of enfranchisement was </w:t>
      </w:r>
      <w:r w:rsidR="00A417D2">
        <w:t xml:space="preserve">almost always </w:t>
      </w:r>
      <w:r w:rsidR="0047469C" w:rsidRPr="00E262B3">
        <w:t xml:space="preserve">21. However, </w:t>
      </w:r>
      <w:r w:rsidR="0047469C" w:rsidRPr="00E262B3">
        <w:rPr>
          <w:rFonts w:eastAsia="Times New Roman" w:cs="Tahoma"/>
          <w:color w:val="000000"/>
        </w:rPr>
        <w:t xml:space="preserve">reform of the franchise in 1832 </w:t>
      </w:r>
      <w:r w:rsidR="00344594">
        <w:rPr>
          <w:rFonts w:eastAsia="Times New Roman" w:cs="Tahoma"/>
          <w:color w:val="000000"/>
        </w:rPr>
        <w:t>is understood</w:t>
      </w:r>
      <w:r w:rsidR="0047469C" w:rsidRPr="00E262B3">
        <w:rPr>
          <w:rFonts w:eastAsia="Times New Roman" w:cs="Tahoma"/>
          <w:color w:val="000000"/>
        </w:rPr>
        <w:t xml:space="preserve"> principally </w:t>
      </w:r>
      <w:r w:rsidR="00344594">
        <w:rPr>
          <w:rFonts w:eastAsia="Times New Roman" w:cs="Tahoma"/>
          <w:color w:val="000000"/>
        </w:rPr>
        <w:t>within the context of</w:t>
      </w:r>
      <w:r w:rsidR="0047469C" w:rsidRPr="00E262B3">
        <w:rPr>
          <w:rFonts w:eastAsia="Times New Roman" w:cs="Tahoma"/>
          <w:color w:val="000000"/>
        </w:rPr>
        <w:t xml:space="preserve"> the relationship between class, property ownership, and voting rights. Similarly, the expansion of the vote in 1918</w:t>
      </w:r>
      <w:r w:rsidR="00F35914">
        <w:rPr>
          <w:rFonts w:eastAsia="Times New Roman" w:cs="Tahoma"/>
          <w:color w:val="000000"/>
        </w:rPr>
        <w:t xml:space="preserve"> and 1928</w:t>
      </w:r>
      <w:r w:rsidR="0047469C" w:rsidRPr="00E262B3">
        <w:rPr>
          <w:rFonts w:eastAsia="Times New Roman" w:cs="Tahoma"/>
          <w:color w:val="000000"/>
        </w:rPr>
        <w:t xml:space="preserve"> </w:t>
      </w:r>
      <w:r w:rsidRPr="00E262B3">
        <w:rPr>
          <w:rFonts w:eastAsia="Times New Roman" w:cs="Tahoma"/>
          <w:color w:val="000000"/>
        </w:rPr>
        <w:t>is predominantly understood in terms of female enfranchisement</w:t>
      </w:r>
      <w:r w:rsidR="00FC1E76">
        <w:rPr>
          <w:rFonts w:eastAsia="Times New Roman" w:cs="Tahoma"/>
          <w:color w:val="000000"/>
        </w:rPr>
        <w:t xml:space="preserve"> (Loughran et al., 2021a)</w:t>
      </w:r>
      <w:r>
        <w:rPr>
          <w:rFonts w:eastAsia="Times New Roman" w:cs="Tahoma"/>
          <w:color w:val="000000"/>
        </w:rPr>
        <w:t xml:space="preserve">. </w:t>
      </w:r>
    </w:p>
    <w:p w14:paraId="6F20B764" w14:textId="25595010" w:rsidR="00621C60" w:rsidRDefault="00995AAF" w:rsidP="00B03F11">
      <w:pPr>
        <w:spacing w:line="360" w:lineRule="auto"/>
        <w:jc w:val="both"/>
        <w:rPr>
          <w:rFonts w:cstheme="minorHAnsi"/>
        </w:rPr>
      </w:pPr>
      <w:r>
        <w:rPr>
          <w:rFonts w:cstheme="minorHAnsi"/>
        </w:rPr>
        <w:t>The</w:t>
      </w:r>
      <w:r w:rsidRPr="00E262B3">
        <w:rPr>
          <w:rFonts w:cstheme="minorHAnsi"/>
        </w:rPr>
        <w:t xml:space="preserve"> immediate post-war period </w:t>
      </w:r>
      <w:r>
        <w:rPr>
          <w:rFonts w:cstheme="minorHAnsi"/>
        </w:rPr>
        <w:t>saw</w:t>
      </w:r>
      <w:r w:rsidRPr="00E262B3">
        <w:rPr>
          <w:rFonts w:cstheme="minorHAnsi"/>
        </w:rPr>
        <w:t xml:space="preserve"> </w:t>
      </w:r>
      <w:r>
        <w:rPr>
          <w:rFonts w:cstheme="minorHAnsi"/>
        </w:rPr>
        <w:t>young people</w:t>
      </w:r>
      <w:r w:rsidR="00C4615A">
        <w:rPr>
          <w:rFonts w:cstheme="minorHAnsi"/>
        </w:rPr>
        <w:t>’s</w:t>
      </w:r>
      <w:r>
        <w:rPr>
          <w:rFonts w:cstheme="minorHAnsi"/>
        </w:rPr>
        <w:t xml:space="preserve"> engage</w:t>
      </w:r>
      <w:r w:rsidR="00C4615A">
        <w:rPr>
          <w:rFonts w:cstheme="minorHAnsi"/>
        </w:rPr>
        <w:t>ment</w:t>
      </w:r>
      <w:r>
        <w:rPr>
          <w:rFonts w:cstheme="minorHAnsi"/>
        </w:rPr>
        <w:t xml:space="preserve"> </w:t>
      </w:r>
      <w:r w:rsidR="00007A75" w:rsidRPr="00E262B3">
        <w:rPr>
          <w:rFonts w:cstheme="minorHAnsi"/>
        </w:rPr>
        <w:t>with electoral politics</w:t>
      </w:r>
      <w:r w:rsidR="00621C60">
        <w:rPr>
          <w:rFonts w:cstheme="minorHAnsi"/>
        </w:rPr>
        <w:t xml:space="preserve"> differ</w:t>
      </w:r>
      <w:r w:rsidR="00007A75" w:rsidRPr="00E262B3">
        <w:rPr>
          <w:rFonts w:cstheme="minorHAnsi"/>
        </w:rPr>
        <w:t xml:space="preserve"> </w:t>
      </w:r>
      <w:r w:rsidR="00896AD2" w:rsidRPr="00E262B3">
        <w:rPr>
          <w:rFonts w:cstheme="minorHAnsi"/>
        </w:rPr>
        <w:t xml:space="preserve">little </w:t>
      </w:r>
      <w:r w:rsidR="00621C60">
        <w:rPr>
          <w:rFonts w:cstheme="minorHAnsi"/>
        </w:rPr>
        <w:t xml:space="preserve">from older voters in terms of </w:t>
      </w:r>
      <w:r w:rsidR="00896AD2" w:rsidRPr="00E262B3">
        <w:rPr>
          <w:rFonts w:cstheme="minorHAnsi"/>
        </w:rPr>
        <w:t>voter turnout (</w:t>
      </w:r>
      <w:proofErr w:type="spellStart"/>
      <w:r w:rsidR="001460DA">
        <w:rPr>
          <w:rFonts w:cstheme="minorHAnsi"/>
        </w:rPr>
        <w:t>Uberoi</w:t>
      </w:r>
      <w:proofErr w:type="spellEnd"/>
      <w:r w:rsidR="00896AD2" w:rsidRPr="00E262B3">
        <w:rPr>
          <w:rFonts w:cstheme="minorHAnsi"/>
        </w:rPr>
        <w:t>, 201</w:t>
      </w:r>
      <w:r w:rsidR="001460DA">
        <w:rPr>
          <w:rFonts w:cstheme="minorHAnsi"/>
        </w:rPr>
        <w:t>9</w:t>
      </w:r>
      <w:r w:rsidR="00896AD2" w:rsidRPr="00E262B3">
        <w:rPr>
          <w:rFonts w:cstheme="minorHAnsi"/>
        </w:rPr>
        <w:t>)</w:t>
      </w:r>
      <w:r w:rsidR="00CF30B6">
        <w:rPr>
          <w:rFonts w:cstheme="minorHAnsi"/>
        </w:rPr>
        <w:t xml:space="preserve">, </w:t>
      </w:r>
      <w:r w:rsidR="00621C60">
        <w:rPr>
          <w:rFonts w:cstheme="minorHAnsi"/>
        </w:rPr>
        <w:t>and</w:t>
      </w:r>
      <w:r w:rsidR="00CF30B6">
        <w:rPr>
          <w:rFonts w:cstheme="minorHAnsi"/>
        </w:rPr>
        <w:t xml:space="preserve"> many </w:t>
      </w:r>
      <w:r>
        <w:rPr>
          <w:rFonts w:cstheme="minorHAnsi"/>
        </w:rPr>
        <w:t xml:space="preserve">also </w:t>
      </w:r>
      <w:r w:rsidR="00621C60">
        <w:rPr>
          <w:rFonts w:cstheme="minorHAnsi"/>
        </w:rPr>
        <w:t>joined</w:t>
      </w:r>
      <w:r w:rsidR="00896AD2" w:rsidRPr="00E262B3">
        <w:rPr>
          <w:rFonts w:cstheme="minorHAnsi"/>
        </w:rPr>
        <w:t xml:space="preserve"> youth organisations linked </w:t>
      </w:r>
      <w:r w:rsidR="00A51F51">
        <w:rPr>
          <w:rFonts w:cstheme="minorHAnsi"/>
        </w:rPr>
        <w:t>to</w:t>
      </w:r>
      <w:r w:rsidR="00896AD2" w:rsidRPr="00E262B3">
        <w:rPr>
          <w:rFonts w:cstheme="minorHAnsi"/>
        </w:rPr>
        <w:t xml:space="preserve"> the main political parties and </w:t>
      </w:r>
      <w:r w:rsidR="00C4615A">
        <w:rPr>
          <w:rFonts w:cstheme="minorHAnsi"/>
        </w:rPr>
        <w:t xml:space="preserve">the </w:t>
      </w:r>
      <w:r w:rsidR="00896AD2" w:rsidRPr="00E262B3">
        <w:rPr>
          <w:rFonts w:cstheme="minorHAnsi"/>
        </w:rPr>
        <w:t>trade union</w:t>
      </w:r>
      <w:r w:rsidR="00A51F51">
        <w:rPr>
          <w:rFonts w:cstheme="minorHAnsi"/>
        </w:rPr>
        <w:t xml:space="preserve"> movement</w:t>
      </w:r>
      <w:r w:rsidR="00007A75" w:rsidRPr="00E262B3">
        <w:rPr>
          <w:rFonts w:cstheme="minorHAnsi"/>
        </w:rPr>
        <w:t xml:space="preserve">. </w:t>
      </w:r>
      <w:r w:rsidR="00621C60">
        <w:rPr>
          <w:rFonts w:cstheme="minorHAnsi"/>
        </w:rPr>
        <w:t>C</w:t>
      </w:r>
      <w:r w:rsidR="000068B2" w:rsidRPr="00E262B3">
        <w:rPr>
          <w:rFonts w:cstheme="minorHAnsi"/>
        </w:rPr>
        <w:t>oncern</w:t>
      </w:r>
      <w:r w:rsidR="00CC0B3F">
        <w:rPr>
          <w:rFonts w:cstheme="minorHAnsi"/>
        </w:rPr>
        <w:t xml:space="preserve">s </w:t>
      </w:r>
      <w:r w:rsidR="000068B2" w:rsidRPr="00E262B3">
        <w:rPr>
          <w:rFonts w:cstheme="minorHAnsi"/>
        </w:rPr>
        <w:t>during the 1960</w:t>
      </w:r>
      <w:r w:rsidR="000068B2">
        <w:rPr>
          <w:rFonts w:cstheme="minorHAnsi"/>
        </w:rPr>
        <w:t>s</w:t>
      </w:r>
      <w:r w:rsidR="000068B2" w:rsidRPr="00E262B3">
        <w:rPr>
          <w:rFonts w:cstheme="minorHAnsi"/>
        </w:rPr>
        <w:t xml:space="preserve"> </w:t>
      </w:r>
      <w:r w:rsidR="00621C60">
        <w:rPr>
          <w:rFonts w:cstheme="minorHAnsi"/>
        </w:rPr>
        <w:t>about young people instead focused on their social alienation and potential they might</w:t>
      </w:r>
      <w:r w:rsidR="000068B2" w:rsidRPr="00E262B3">
        <w:rPr>
          <w:rFonts w:cstheme="minorHAnsi"/>
        </w:rPr>
        <w:t xml:space="preserve"> embrace of either </w:t>
      </w:r>
      <w:r w:rsidR="00BF617A">
        <w:rPr>
          <w:rFonts w:cstheme="minorHAnsi"/>
        </w:rPr>
        <w:t xml:space="preserve">radical </w:t>
      </w:r>
      <w:r w:rsidR="000068B2" w:rsidRPr="00E262B3">
        <w:rPr>
          <w:rFonts w:cstheme="minorHAnsi"/>
        </w:rPr>
        <w:t>left</w:t>
      </w:r>
      <w:r w:rsidR="00BF617A">
        <w:rPr>
          <w:rFonts w:cstheme="minorHAnsi"/>
        </w:rPr>
        <w:t>-wing</w:t>
      </w:r>
      <w:r w:rsidR="000068B2" w:rsidRPr="00E262B3">
        <w:rPr>
          <w:rFonts w:cstheme="minorHAnsi"/>
        </w:rPr>
        <w:t xml:space="preserve"> or nationalist causes</w:t>
      </w:r>
      <w:r w:rsidR="00621C60">
        <w:rPr>
          <w:rFonts w:cstheme="minorHAnsi"/>
        </w:rPr>
        <w:t xml:space="preserve"> </w:t>
      </w:r>
      <w:r w:rsidR="000068B2">
        <w:rPr>
          <w:rFonts w:cstheme="minorHAnsi"/>
        </w:rPr>
        <w:t>(Bingham, 2019)</w:t>
      </w:r>
      <w:r w:rsidR="000068B2" w:rsidRPr="00E262B3">
        <w:rPr>
          <w:rFonts w:cstheme="minorHAnsi"/>
        </w:rPr>
        <w:t xml:space="preserve">. </w:t>
      </w:r>
      <w:r w:rsidR="000068B2">
        <w:rPr>
          <w:rFonts w:cstheme="minorHAnsi"/>
        </w:rPr>
        <w:t>F</w:t>
      </w:r>
      <w:r w:rsidR="000068B2" w:rsidRPr="00E262B3">
        <w:rPr>
          <w:rFonts w:cstheme="minorHAnsi"/>
        </w:rPr>
        <w:t xml:space="preserve">ears that counter-cultural youth </w:t>
      </w:r>
      <w:r w:rsidR="00CC0B3F">
        <w:rPr>
          <w:rFonts w:cstheme="minorHAnsi"/>
        </w:rPr>
        <w:t>political activism</w:t>
      </w:r>
      <w:r w:rsidR="000068B2" w:rsidRPr="00E262B3">
        <w:rPr>
          <w:rFonts w:cstheme="minorHAnsi"/>
        </w:rPr>
        <w:t xml:space="preserve"> could mutate into revolutionary politics</w:t>
      </w:r>
      <w:r w:rsidR="000068B2">
        <w:rPr>
          <w:rFonts w:cstheme="minorHAnsi"/>
        </w:rPr>
        <w:t xml:space="preserve"> were not paramount</w:t>
      </w:r>
      <w:r w:rsidR="00BF617A">
        <w:rPr>
          <w:rFonts w:cstheme="minorHAnsi"/>
        </w:rPr>
        <w:t xml:space="preserve"> though </w:t>
      </w:r>
      <w:r w:rsidR="000068B2">
        <w:rPr>
          <w:rFonts w:cstheme="minorHAnsi"/>
        </w:rPr>
        <w:t xml:space="preserve">and </w:t>
      </w:r>
      <w:r w:rsidR="00621C60">
        <w:rPr>
          <w:rFonts w:cstheme="minorHAnsi"/>
        </w:rPr>
        <w:t xml:space="preserve">the </w:t>
      </w:r>
      <w:r w:rsidR="000068B2" w:rsidRPr="00E262B3">
        <w:rPr>
          <w:rFonts w:cstheme="minorHAnsi"/>
        </w:rPr>
        <w:t>Labour</w:t>
      </w:r>
      <w:r w:rsidR="00621C60">
        <w:rPr>
          <w:rFonts w:cstheme="minorHAnsi"/>
        </w:rPr>
        <w:t xml:space="preserve"> </w:t>
      </w:r>
      <w:r w:rsidR="00FD777F">
        <w:rPr>
          <w:rFonts w:cstheme="minorHAnsi"/>
        </w:rPr>
        <w:t>P</w:t>
      </w:r>
      <w:r w:rsidR="00621C60">
        <w:rPr>
          <w:rFonts w:cstheme="minorHAnsi"/>
        </w:rPr>
        <w:t xml:space="preserve">arty’s </w:t>
      </w:r>
      <w:r w:rsidR="00621C60">
        <w:rPr>
          <w:rFonts w:cstheme="minorHAnsi"/>
        </w:rPr>
        <w:lastRenderedPageBreak/>
        <w:t>interest in voting age reform</w:t>
      </w:r>
      <w:r w:rsidR="000068B2" w:rsidRPr="00E262B3">
        <w:rPr>
          <w:rFonts w:cstheme="minorHAnsi"/>
        </w:rPr>
        <w:t xml:space="preserve"> </w:t>
      </w:r>
      <w:r w:rsidR="000068B2">
        <w:rPr>
          <w:rFonts w:cstheme="minorHAnsi"/>
        </w:rPr>
        <w:t xml:space="preserve">appeared more </w:t>
      </w:r>
      <w:r w:rsidR="00621C60">
        <w:rPr>
          <w:rFonts w:cstheme="minorHAnsi"/>
        </w:rPr>
        <w:t>driven</w:t>
      </w:r>
      <w:r w:rsidR="000068B2" w:rsidRPr="00E262B3">
        <w:rPr>
          <w:rFonts w:cstheme="minorHAnsi"/>
        </w:rPr>
        <w:t xml:space="preserve"> </w:t>
      </w:r>
      <w:r w:rsidR="00621C60">
        <w:rPr>
          <w:rFonts w:cstheme="minorHAnsi"/>
        </w:rPr>
        <w:t>by</w:t>
      </w:r>
      <w:r w:rsidR="000068B2" w:rsidRPr="00E262B3">
        <w:rPr>
          <w:rFonts w:cstheme="minorHAnsi"/>
        </w:rPr>
        <w:t xml:space="preserve"> </w:t>
      </w:r>
      <w:r w:rsidR="00621C60">
        <w:rPr>
          <w:rFonts w:cstheme="minorHAnsi"/>
        </w:rPr>
        <w:t xml:space="preserve">growing difficulties in </w:t>
      </w:r>
      <w:r w:rsidR="000068B2" w:rsidRPr="00E262B3">
        <w:rPr>
          <w:rFonts w:cstheme="minorHAnsi"/>
        </w:rPr>
        <w:t>attract</w:t>
      </w:r>
      <w:r w:rsidR="00621C60">
        <w:rPr>
          <w:rFonts w:cstheme="minorHAnsi"/>
        </w:rPr>
        <w:t>ing</w:t>
      </w:r>
      <w:r w:rsidR="000068B2" w:rsidRPr="00E262B3">
        <w:rPr>
          <w:rFonts w:cstheme="minorHAnsi"/>
        </w:rPr>
        <w:t xml:space="preserve"> young members (Fielding</w:t>
      </w:r>
      <w:r w:rsidR="00EE4C77">
        <w:rPr>
          <w:rFonts w:cstheme="minorHAnsi"/>
        </w:rPr>
        <w:t>,</w:t>
      </w:r>
      <w:r w:rsidR="000068B2" w:rsidRPr="00E262B3">
        <w:rPr>
          <w:rFonts w:cstheme="minorHAnsi"/>
        </w:rPr>
        <w:t xml:space="preserve"> 2003</w:t>
      </w:r>
      <w:r w:rsidR="00BB411F">
        <w:rPr>
          <w:rFonts w:cstheme="minorHAnsi"/>
        </w:rPr>
        <w:t>:</w:t>
      </w:r>
      <w:r w:rsidR="00EE4C77">
        <w:rPr>
          <w:rFonts w:cstheme="minorHAnsi"/>
        </w:rPr>
        <w:t xml:space="preserve"> 183-4</w:t>
      </w:r>
      <w:r w:rsidR="000068B2" w:rsidRPr="00E262B3">
        <w:rPr>
          <w:rFonts w:cstheme="minorHAnsi"/>
        </w:rPr>
        <w:t xml:space="preserve">). </w:t>
      </w:r>
      <w:r w:rsidR="00621C60">
        <w:rPr>
          <w:rFonts w:cstheme="minorHAnsi"/>
        </w:rPr>
        <w:t>‘Votes-at-18’ was supported by a small number of</w:t>
      </w:r>
      <w:r w:rsidR="00621C60" w:rsidRPr="00E262B3">
        <w:rPr>
          <w:rFonts w:cstheme="minorHAnsi"/>
        </w:rPr>
        <w:t xml:space="preserve"> youth political advocacy groups </w:t>
      </w:r>
      <w:r w:rsidR="00621C60">
        <w:rPr>
          <w:rFonts w:cstheme="minorHAnsi"/>
        </w:rPr>
        <w:t>during the 1960s, but</w:t>
      </w:r>
      <w:r w:rsidR="00621C60" w:rsidRPr="00E262B3">
        <w:rPr>
          <w:rFonts w:cstheme="minorHAnsi"/>
        </w:rPr>
        <w:t xml:space="preserve"> the issue </w:t>
      </w:r>
      <w:r w:rsidR="00621C60">
        <w:rPr>
          <w:rFonts w:cstheme="minorHAnsi"/>
        </w:rPr>
        <w:t>of voting age reform did</w:t>
      </w:r>
      <w:r w:rsidR="00621C60" w:rsidRPr="00E262B3">
        <w:rPr>
          <w:rFonts w:cstheme="minorHAnsi"/>
        </w:rPr>
        <w:t xml:space="preserve"> not witness a sustained </w:t>
      </w:r>
      <w:r w:rsidR="00621C60">
        <w:rPr>
          <w:rFonts w:cstheme="minorHAnsi"/>
        </w:rPr>
        <w:t xml:space="preserve">organised </w:t>
      </w:r>
      <w:r w:rsidR="00621C60" w:rsidRPr="00E262B3">
        <w:rPr>
          <w:rFonts w:cstheme="minorHAnsi"/>
        </w:rPr>
        <w:t>campaign from young people.</w:t>
      </w:r>
      <w:r w:rsidR="001D775A">
        <w:rPr>
          <w:rFonts w:cstheme="minorHAnsi"/>
        </w:rPr>
        <w:t xml:space="preserve"> </w:t>
      </w:r>
      <w:r w:rsidR="000068B2" w:rsidRPr="00E262B3">
        <w:rPr>
          <w:rFonts w:cstheme="minorHAnsi"/>
        </w:rPr>
        <w:t xml:space="preserve">British political elites were </w:t>
      </w:r>
      <w:r w:rsidR="00EE4C77">
        <w:rPr>
          <w:rFonts w:cstheme="minorHAnsi"/>
        </w:rPr>
        <w:t>thus</w:t>
      </w:r>
      <w:r w:rsidR="000068B2">
        <w:rPr>
          <w:rFonts w:cstheme="minorHAnsi"/>
        </w:rPr>
        <w:t xml:space="preserve"> </w:t>
      </w:r>
      <w:r w:rsidR="000068B2" w:rsidRPr="00E262B3">
        <w:rPr>
          <w:rFonts w:cstheme="minorHAnsi"/>
        </w:rPr>
        <w:t xml:space="preserve">not incentivised into </w:t>
      </w:r>
      <w:r w:rsidR="000068B2">
        <w:rPr>
          <w:rFonts w:cstheme="minorHAnsi"/>
        </w:rPr>
        <w:t xml:space="preserve">supporting </w:t>
      </w:r>
      <w:r w:rsidR="000068B2" w:rsidRPr="00E262B3">
        <w:rPr>
          <w:rFonts w:cstheme="minorHAnsi"/>
        </w:rPr>
        <w:t xml:space="preserve">voting age </w:t>
      </w:r>
      <w:r w:rsidR="006071DF">
        <w:rPr>
          <w:rFonts w:cstheme="minorHAnsi"/>
        </w:rPr>
        <w:t>reform</w:t>
      </w:r>
      <w:r w:rsidR="000068B2" w:rsidRPr="00E262B3">
        <w:rPr>
          <w:rFonts w:cstheme="minorHAnsi"/>
        </w:rPr>
        <w:t xml:space="preserve"> through </w:t>
      </w:r>
      <w:r w:rsidR="000068B2">
        <w:rPr>
          <w:rFonts w:cstheme="minorHAnsi"/>
        </w:rPr>
        <w:t xml:space="preserve">a </w:t>
      </w:r>
      <w:r w:rsidR="000068B2" w:rsidRPr="00E262B3">
        <w:rPr>
          <w:rFonts w:cstheme="minorHAnsi"/>
        </w:rPr>
        <w:t xml:space="preserve">direct </w:t>
      </w:r>
      <w:r w:rsidR="000068B2">
        <w:rPr>
          <w:rFonts w:cstheme="minorHAnsi"/>
        </w:rPr>
        <w:t>exogenous</w:t>
      </w:r>
      <w:r w:rsidR="000068B2" w:rsidRPr="00E262B3">
        <w:rPr>
          <w:rFonts w:cstheme="minorHAnsi"/>
        </w:rPr>
        <w:t xml:space="preserve"> </w:t>
      </w:r>
      <w:r w:rsidR="000068B2">
        <w:rPr>
          <w:rFonts w:cstheme="minorHAnsi"/>
        </w:rPr>
        <w:t xml:space="preserve">shock via campaigning </w:t>
      </w:r>
      <w:r w:rsidR="000068B2" w:rsidRPr="00E262B3">
        <w:rPr>
          <w:rFonts w:cstheme="minorHAnsi"/>
        </w:rPr>
        <w:t>from young people</w:t>
      </w:r>
      <w:r w:rsidR="000068B2">
        <w:rPr>
          <w:rFonts w:cstheme="minorHAnsi"/>
        </w:rPr>
        <w:t xml:space="preserve"> or </w:t>
      </w:r>
      <w:r w:rsidR="00C4615A">
        <w:rPr>
          <w:rFonts w:cstheme="minorHAnsi"/>
        </w:rPr>
        <w:t>a youth-led</w:t>
      </w:r>
      <w:r w:rsidR="000068B2">
        <w:rPr>
          <w:rFonts w:cstheme="minorHAnsi"/>
        </w:rPr>
        <w:t xml:space="preserve"> </w:t>
      </w:r>
      <w:r w:rsidR="00CC0B3F">
        <w:rPr>
          <w:rFonts w:cstheme="minorHAnsi"/>
        </w:rPr>
        <w:t>challenge</w:t>
      </w:r>
      <w:r w:rsidR="00C4615A">
        <w:rPr>
          <w:rFonts w:cstheme="minorHAnsi"/>
        </w:rPr>
        <w:t xml:space="preserve"> </w:t>
      </w:r>
      <w:r w:rsidR="00CC0B3F">
        <w:rPr>
          <w:rFonts w:cstheme="minorHAnsi"/>
        </w:rPr>
        <w:t>to the legitimacy of British democracy</w:t>
      </w:r>
      <w:r w:rsidR="000068B2">
        <w:rPr>
          <w:rFonts w:cstheme="minorHAnsi"/>
        </w:rPr>
        <w:t xml:space="preserve">. </w:t>
      </w:r>
    </w:p>
    <w:p w14:paraId="53434720" w14:textId="775B21AE" w:rsidR="00B03F11" w:rsidRPr="00621C60" w:rsidRDefault="00CC0B3F" w:rsidP="00B03F11">
      <w:pPr>
        <w:spacing w:line="360" w:lineRule="auto"/>
        <w:jc w:val="both"/>
        <w:rPr>
          <w:rFonts w:cstheme="minorHAnsi"/>
        </w:rPr>
      </w:pPr>
      <w:r>
        <w:rPr>
          <w:rFonts w:cstheme="minorHAnsi"/>
        </w:rPr>
        <w:t>The policy pathway</w:t>
      </w:r>
      <w:r w:rsidR="00AF0FDA" w:rsidRPr="00E262B3">
        <w:rPr>
          <w:rFonts w:cstheme="minorHAnsi"/>
        </w:rPr>
        <w:t xml:space="preserve"> </w:t>
      </w:r>
      <w:r>
        <w:rPr>
          <w:rFonts w:cstheme="minorHAnsi"/>
        </w:rPr>
        <w:t>to</w:t>
      </w:r>
      <w:r w:rsidR="00AF0FDA" w:rsidRPr="00E262B3">
        <w:rPr>
          <w:rFonts w:cstheme="minorHAnsi"/>
        </w:rPr>
        <w:t xml:space="preserve"> lowering the voting age to 18 </w:t>
      </w:r>
      <w:r>
        <w:rPr>
          <w:rFonts w:cstheme="minorHAnsi"/>
        </w:rPr>
        <w:t>was</w:t>
      </w:r>
      <w:r w:rsidR="00AF0FDA">
        <w:rPr>
          <w:rFonts w:cstheme="minorHAnsi"/>
        </w:rPr>
        <w:t xml:space="preserve"> </w:t>
      </w:r>
      <w:r w:rsidR="000068B2">
        <w:rPr>
          <w:rFonts w:cstheme="minorHAnsi"/>
        </w:rPr>
        <w:t xml:space="preserve">instead </w:t>
      </w:r>
      <w:r>
        <w:rPr>
          <w:rFonts w:cstheme="minorHAnsi"/>
        </w:rPr>
        <w:t>elite-driven</w:t>
      </w:r>
      <w:r w:rsidR="00C4615A">
        <w:rPr>
          <w:rFonts w:cstheme="minorHAnsi"/>
        </w:rPr>
        <w:t xml:space="preserve">, </w:t>
      </w:r>
      <w:r w:rsidR="00AF0FDA">
        <w:rPr>
          <w:rFonts w:cstheme="minorHAnsi"/>
        </w:rPr>
        <w:t xml:space="preserve">primarily </w:t>
      </w:r>
      <w:r w:rsidR="00C4615A">
        <w:rPr>
          <w:rFonts w:cstheme="minorHAnsi"/>
        </w:rPr>
        <w:t>motivated by</w:t>
      </w:r>
      <w:r w:rsidR="00AF0FDA" w:rsidRPr="00E262B3">
        <w:rPr>
          <w:rFonts w:cstheme="minorHAnsi"/>
        </w:rPr>
        <w:t xml:space="preserve"> </w:t>
      </w:r>
      <w:proofErr w:type="gramStart"/>
      <w:r w:rsidR="00AF0FDA">
        <w:rPr>
          <w:rFonts w:cstheme="minorHAnsi"/>
        </w:rPr>
        <w:t>widely-held</w:t>
      </w:r>
      <w:proofErr w:type="gramEnd"/>
      <w:r w:rsidR="00AF0FDA" w:rsidRPr="00E262B3">
        <w:rPr>
          <w:rFonts w:cstheme="minorHAnsi"/>
        </w:rPr>
        <w:t xml:space="preserve"> perceptions that </w:t>
      </w:r>
      <w:r w:rsidR="004F0250">
        <w:rPr>
          <w:rFonts w:cstheme="minorHAnsi"/>
        </w:rPr>
        <w:t xml:space="preserve">the post-war period had seen </w:t>
      </w:r>
      <w:r w:rsidR="00AF0FDA" w:rsidRPr="00E262B3">
        <w:rPr>
          <w:rFonts w:cstheme="minorHAnsi"/>
        </w:rPr>
        <w:t xml:space="preserve">a substantial shift </w:t>
      </w:r>
      <w:r w:rsidR="00AF0FDA">
        <w:rPr>
          <w:rFonts w:cstheme="minorHAnsi"/>
        </w:rPr>
        <w:t xml:space="preserve">in the </w:t>
      </w:r>
      <w:r w:rsidR="00AF0FDA" w:rsidRPr="00E262B3">
        <w:rPr>
          <w:rFonts w:cstheme="minorHAnsi"/>
        </w:rPr>
        <w:t xml:space="preserve">transitions </w:t>
      </w:r>
      <w:r w:rsidR="00AF0FDA">
        <w:rPr>
          <w:rFonts w:cstheme="minorHAnsi"/>
        </w:rPr>
        <w:t xml:space="preserve">of young people </w:t>
      </w:r>
      <w:r w:rsidR="00AF0FDA" w:rsidRPr="00E262B3">
        <w:rPr>
          <w:rFonts w:cstheme="minorHAnsi"/>
        </w:rPr>
        <w:t>to adulthood</w:t>
      </w:r>
      <w:r w:rsidR="006071DF">
        <w:rPr>
          <w:rFonts w:cstheme="minorHAnsi"/>
        </w:rPr>
        <w:t xml:space="preserve"> (Fielding 2003)</w:t>
      </w:r>
      <w:r w:rsidR="00AF0FDA">
        <w:rPr>
          <w:rFonts w:cstheme="minorHAnsi"/>
        </w:rPr>
        <w:t xml:space="preserve">. </w:t>
      </w:r>
      <w:r w:rsidR="00B64555">
        <w:rPr>
          <w:rFonts w:cstheme="minorHAnsi"/>
        </w:rPr>
        <w:t xml:space="preserve">The origins of ‘Votes-at-18’ were party </w:t>
      </w:r>
      <w:r w:rsidR="00E177AC">
        <w:rPr>
          <w:rFonts w:cstheme="minorHAnsi"/>
        </w:rPr>
        <w:t>political and</w:t>
      </w:r>
      <w:r w:rsidR="00EB0287">
        <w:rPr>
          <w:rFonts w:cstheme="minorHAnsi"/>
        </w:rPr>
        <w:t xml:space="preserve"> were</w:t>
      </w:r>
      <w:r w:rsidR="00482F56">
        <w:rPr>
          <w:rFonts w:cstheme="minorHAnsi"/>
        </w:rPr>
        <w:t xml:space="preserve"> first </w:t>
      </w:r>
      <w:r w:rsidR="00B725A2">
        <w:rPr>
          <w:rFonts w:cstheme="minorHAnsi"/>
        </w:rPr>
        <w:t>proposed</w:t>
      </w:r>
      <w:r w:rsidR="00482F56">
        <w:rPr>
          <w:rFonts w:cstheme="minorHAnsi"/>
        </w:rPr>
        <w:t xml:space="preserve"> in 1959 </w:t>
      </w:r>
      <w:r w:rsidR="006C7C47">
        <w:rPr>
          <w:rFonts w:cstheme="minorHAnsi"/>
        </w:rPr>
        <w:t xml:space="preserve">in </w:t>
      </w:r>
      <w:r w:rsidR="00482F56">
        <w:rPr>
          <w:rFonts w:cstheme="minorHAnsi"/>
        </w:rPr>
        <w:t xml:space="preserve">the report of </w:t>
      </w:r>
      <w:r w:rsidR="008E34AE" w:rsidRPr="00E262B3">
        <w:rPr>
          <w:rFonts w:cstheme="minorHAnsi"/>
        </w:rPr>
        <w:t>the Labour</w:t>
      </w:r>
      <w:r w:rsidR="00896AD2" w:rsidRPr="00E262B3">
        <w:rPr>
          <w:rFonts w:cstheme="minorHAnsi"/>
        </w:rPr>
        <w:t xml:space="preserve"> </w:t>
      </w:r>
      <w:r w:rsidR="008E34AE" w:rsidRPr="00E262B3">
        <w:rPr>
          <w:rFonts w:cstheme="minorHAnsi"/>
        </w:rPr>
        <w:t>Party</w:t>
      </w:r>
      <w:r w:rsidR="00482F56">
        <w:rPr>
          <w:rFonts w:cstheme="minorHAnsi"/>
        </w:rPr>
        <w:t xml:space="preserve">’s </w:t>
      </w:r>
      <w:r w:rsidR="00896AD2" w:rsidRPr="00E262B3">
        <w:rPr>
          <w:rFonts w:cstheme="minorHAnsi"/>
        </w:rPr>
        <w:t>Youth Commission</w:t>
      </w:r>
      <w:r w:rsidR="00117A4B" w:rsidRPr="00E262B3">
        <w:rPr>
          <w:rFonts w:cstheme="minorHAnsi"/>
        </w:rPr>
        <w:t>.</w:t>
      </w:r>
      <w:r w:rsidR="002073EE" w:rsidRPr="00E262B3">
        <w:rPr>
          <w:rFonts w:cstheme="minorHAnsi"/>
        </w:rPr>
        <w:t xml:space="preserve"> </w:t>
      </w:r>
      <w:r w:rsidR="006821DA">
        <w:rPr>
          <w:rFonts w:cstheme="minorHAnsi"/>
        </w:rPr>
        <w:t xml:space="preserve">But </w:t>
      </w:r>
      <w:r w:rsidR="00482F56">
        <w:rPr>
          <w:rFonts w:cstheme="minorHAnsi"/>
        </w:rPr>
        <w:t xml:space="preserve">while </w:t>
      </w:r>
      <w:r w:rsidR="007A0CF1" w:rsidRPr="00E262B3">
        <w:rPr>
          <w:rFonts w:cstheme="minorHAnsi"/>
        </w:rPr>
        <w:t xml:space="preserve">Labour </w:t>
      </w:r>
      <w:r w:rsidR="001B3FD5" w:rsidRPr="00E262B3">
        <w:rPr>
          <w:rFonts w:cstheme="minorHAnsi"/>
        </w:rPr>
        <w:t xml:space="preserve">publicly </w:t>
      </w:r>
      <w:r w:rsidR="002073EE" w:rsidRPr="00E262B3">
        <w:rPr>
          <w:rFonts w:cstheme="minorHAnsi"/>
        </w:rPr>
        <w:t>committ</w:t>
      </w:r>
      <w:r w:rsidR="00482F56">
        <w:rPr>
          <w:rFonts w:cstheme="minorHAnsi"/>
        </w:rPr>
        <w:t xml:space="preserve">ed </w:t>
      </w:r>
      <w:r w:rsidR="001B3FD5" w:rsidRPr="00E262B3">
        <w:rPr>
          <w:rFonts w:cstheme="minorHAnsi"/>
        </w:rPr>
        <w:t xml:space="preserve">to </w:t>
      </w:r>
      <w:r w:rsidR="002073EE" w:rsidRPr="00E262B3">
        <w:rPr>
          <w:rFonts w:cstheme="minorHAnsi"/>
        </w:rPr>
        <w:t>‘Votes</w:t>
      </w:r>
      <w:r w:rsidR="00EB769C">
        <w:rPr>
          <w:rFonts w:cstheme="minorHAnsi"/>
        </w:rPr>
        <w:t>-</w:t>
      </w:r>
      <w:r w:rsidR="002073EE" w:rsidRPr="00E262B3">
        <w:rPr>
          <w:rFonts w:cstheme="minorHAnsi"/>
        </w:rPr>
        <w:t>at</w:t>
      </w:r>
      <w:r w:rsidR="00EB769C">
        <w:rPr>
          <w:rFonts w:cstheme="minorHAnsi"/>
        </w:rPr>
        <w:t>-</w:t>
      </w:r>
      <w:r w:rsidR="002073EE" w:rsidRPr="00E262B3">
        <w:rPr>
          <w:rFonts w:cstheme="minorHAnsi"/>
        </w:rPr>
        <w:t>18’</w:t>
      </w:r>
      <w:r w:rsidR="00EB769C">
        <w:rPr>
          <w:rFonts w:cstheme="minorHAnsi"/>
        </w:rPr>
        <w:t xml:space="preserve">, </w:t>
      </w:r>
      <w:r w:rsidR="007A0CF1" w:rsidRPr="00E262B3">
        <w:rPr>
          <w:rFonts w:cstheme="minorHAnsi"/>
        </w:rPr>
        <w:t>the policy</w:t>
      </w:r>
      <w:r w:rsidR="009A0675" w:rsidRPr="00E262B3">
        <w:rPr>
          <w:rFonts w:cstheme="minorHAnsi"/>
        </w:rPr>
        <w:t xml:space="preserve"> was</w:t>
      </w:r>
      <w:r w:rsidR="002073EE" w:rsidRPr="00E262B3">
        <w:rPr>
          <w:rFonts w:cstheme="minorHAnsi"/>
        </w:rPr>
        <w:t xml:space="preserve"> not included </w:t>
      </w:r>
      <w:r w:rsidR="001B3FD5" w:rsidRPr="00E262B3">
        <w:rPr>
          <w:rFonts w:cstheme="minorHAnsi"/>
        </w:rPr>
        <w:t xml:space="preserve">in its </w:t>
      </w:r>
      <w:r w:rsidR="002073EE" w:rsidRPr="00E262B3">
        <w:rPr>
          <w:rFonts w:cstheme="minorHAnsi"/>
        </w:rPr>
        <w:t>1959</w:t>
      </w:r>
      <w:r w:rsidR="008C7332">
        <w:rPr>
          <w:rFonts w:cstheme="minorHAnsi"/>
        </w:rPr>
        <w:t xml:space="preserve"> or 1964</w:t>
      </w:r>
      <w:r w:rsidR="002073EE" w:rsidRPr="00E262B3">
        <w:rPr>
          <w:rFonts w:cstheme="minorHAnsi"/>
        </w:rPr>
        <w:t xml:space="preserve"> general election</w:t>
      </w:r>
      <w:r w:rsidR="001B3FD5" w:rsidRPr="00E262B3">
        <w:rPr>
          <w:rFonts w:cstheme="minorHAnsi"/>
        </w:rPr>
        <w:t xml:space="preserve"> manifesto</w:t>
      </w:r>
      <w:r w:rsidR="008C7332">
        <w:rPr>
          <w:rFonts w:cstheme="minorHAnsi"/>
        </w:rPr>
        <w:t>es</w:t>
      </w:r>
      <w:r w:rsidR="007A0CF1" w:rsidRPr="00E262B3">
        <w:rPr>
          <w:rFonts w:cstheme="minorHAnsi"/>
        </w:rPr>
        <w:t>.</w:t>
      </w:r>
      <w:r w:rsidR="002073EE" w:rsidRPr="00E262B3">
        <w:rPr>
          <w:rFonts w:cstheme="minorHAnsi"/>
        </w:rPr>
        <w:t xml:space="preserve"> </w:t>
      </w:r>
      <w:r w:rsidR="00B725A2">
        <w:rPr>
          <w:rFonts w:cstheme="minorHAnsi"/>
        </w:rPr>
        <w:t>T</w:t>
      </w:r>
      <w:r w:rsidR="006821DA">
        <w:rPr>
          <w:rFonts w:cstheme="minorHAnsi"/>
        </w:rPr>
        <w:t>wo</w:t>
      </w:r>
      <w:r w:rsidR="002073EE" w:rsidRPr="00E262B3">
        <w:rPr>
          <w:rFonts w:cstheme="minorHAnsi"/>
        </w:rPr>
        <w:t xml:space="preserve"> Private Members’ Bill</w:t>
      </w:r>
      <w:r w:rsidR="0056214A">
        <w:rPr>
          <w:rFonts w:cstheme="minorHAnsi"/>
        </w:rPr>
        <w:t>s</w:t>
      </w:r>
      <w:r w:rsidR="002073EE" w:rsidRPr="00E262B3">
        <w:rPr>
          <w:rFonts w:cstheme="minorHAnsi"/>
        </w:rPr>
        <w:t xml:space="preserve"> </w:t>
      </w:r>
      <w:r w:rsidR="008C7332">
        <w:rPr>
          <w:rFonts w:cstheme="minorHAnsi"/>
        </w:rPr>
        <w:t xml:space="preserve">were </w:t>
      </w:r>
      <w:r w:rsidR="002073EE" w:rsidRPr="00E262B3">
        <w:rPr>
          <w:rFonts w:cstheme="minorHAnsi"/>
        </w:rPr>
        <w:t>introduced by Labour MP</w:t>
      </w:r>
      <w:r w:rsidR="006821DA">
        <w:rPr>
          <w:rFonts w:cstheme="minorHAnsi"/>
        </w:rPr>
        <w:t>s</w:t>
      </w:r>
      <w:r w:rsidR="002073EE" w:rsidRPr="00E262B3">
        <w:rPr>
          <w:rFonts w:cstheme="minorHAnsi"/>
        </w:rPr>
        <w:t xml:space="preserve"> in 1960</w:t>
      </w:r>
      <w:r w:rsidR="006821DA">
        <w:rPr>
          <w:rFonts w:cstheme="minorHAnsi"/>
        </w:rPr>
        <w:t xml:space="preserve"> and </w:t>
      </w:r>
      <w:r w:rsidR="006821DA" w:rsidRPr="00E262B3">
        <w:rPr>
          <w:rFonts w:cstheme="minorHAnsi"/>
          <w:color w:val="000000" w:themeColor="text1"/>
        </w:rPr>
        <w:t>1965</w:t>
      </w:r>
      <w:r w:rsidR="006821DA">
        <w:rPr>
          <w:rFonts w:cstheme="minorHAnsi"/>
          <w:color w:val="000000" w:themeColor="text1"/>
        </w:rPr>
        <w:t xml:space="preserve"> </w:t>
      </w:r>
      <w:r w:rsidR="008C7332">
        <w:rPr>
          <w:rFonts w:cstheme="minorHAnsi"/>
          <w:color w:val="000000" w:themeColor="text1"/>
        </w:rPr>
        <w:t xml:space="preserve">but both </w:t>
      </w:r>
      <w:r w:rsidR="006821DA" w:rsidRPr="00E262B3">
        <w:rPr>
          <w:rFonts w:cstheme="minorHAnsi"/>
        </w:rPr>
        <w:t xml:space="preserve">failed to capture significant parliamentary </w:t>
      </w:r>
      <w:r w:rsidR="006821DA">
        <w:rPr>
          <w:rFonts w:cstheme="minorHAnsi"/>
        </w:rPr>
        <w:t xml:space="preserve">support, particularly as the </w:t>
      </w:r>
      <w:r w:rsidR="006821DA" w:rsidRPr="00E262B3">
        <w:rPr>
          <w:rFonts w:cstheme="minorHAnsi"/>
        </w:rPr>
        <w:t xml:space="preserve">Conservative </w:t>
      </w:r>
      <w:r w:rsidR="006821DA">
        <w:rPr>
          <w:rFonts w:cstheme="minorHAnsi"/>
        </w:rPr>
        <w:t>party</w:t>
      </w:r>
      <w:r w:rsidR="006821DA" w:rsidRPr="00E262B3">
        <w:rPr>
          <w:rFonts w:cstheme="minorHAnsi"/>
        </w:rPr>
        <w:t xml:space="preserve"> did not share concerns about youth electoral rights or radicalisation.</w:t>
      </w:r>
      <w:r w:rsidR="006821DA">
        <w:rPr>
          <w:rFonts w:cstheme="minorHAnsi"/>
        </w:rPr>
        <w:t xml:space="preserve"> </w:t>
      </w:r>
      <w:r w:rsidR="00F53C0B" w:rsidRPr="00E262B3">
        <w:rPr>
          <w:rFonts w:cstheme="minorHAnsi"/>
        </w:rPr>
        <w:t xml:space="preserve">Furthermore, </w:t>
      </w:r>
      <w:r w:rsidR="00B64555">
        <w:rPr>
          <w:rFonts w:cstheme="minorHAnsi"/>
        </w:rPr>
        <w:t xml:space="preserve">the limited </w:t>
      </w:r>
      <w:r w:rsidR="00A51F51">
        <w:rPr>
          <w:rFonts w:cstheme="minorHAnsi"/>
        </w:rPr>
        <w:t>polling on the issue</w:t>
      </w:r>
      <w:r w:rsidR="00F53C0B" w:rsidRPr="00E262B3">
        <w:rPr>
          <w:rFonts w:cstheme="minorHAnsi"/>
        </w:rPr>
        <w:t xml:space="preserve"> </w:t>
      </w:r>
      <w:r w:rsidR="00B64555">
        <w:rPr>
          <w:rFonts w:cstheme="minorHAnsi"/>
        </w:rPr>
        <w:t xml:space="preserve">undertaken </w:t>
      </w:r>
      <w:r w:rsidR="00A51F51">
        <w:rPr>
          <w:rFonts w:cstheme="minorHAnsi"/>
        </w:rPr>
        <w:t>indicated</w:t>
      </w:r>
      <w:r w:rsidR="00F53C0B" w:rsidRPr="00E262B3">
        <w:rPr>
          <w:rFonts w:cstheme="minorHAnsi"/>
        </w:rPr>
        <w:t xml:space="preserve"> </w:t>
      </w:r>
      <w:r w:rsidR="00B64555">
        <w:rPr>
          <w:rFonts w:cstheme="minorHAnsi"/>
        </w:rPr>
        <w:t>a lack of</w:t>
      </w:r>
      <w:r w:rsidR="00F53C0B" w:rsidRPr="00E262B3">
        <w:rPr>
          <w:rFonts w:cstheme="minorHAnsi"/>
        </w:rPr>
        <w:t xml:space="preserve"> support</w:t>
      </w:r>
      <w:r w:rsidR="00A51F51">
        <w:rPr>
          <w:rFonts w:cstheme="minorHAnsi"/>
        </w:rPr>
        <w:t xml:space="preserve"> </w:t>
      </w:r>
      <w:r w:rsidR="008C7332">
        <w:rPr>
          <w:rFonts w:cstheme="minorHAnsi"/>
        </w:rPr>
        <w:t xml:space="preserve">amongst the </w:t>
      </w:r>
      <w:proofErr w:type="gramStart"/>
      <w:r w:rsidR="008C7332">
        <w:rPr>
          <w:rFonts w:cstheme="minorHAnsi"/>
        </w:rPr>
        <w:t>general public</w:t>
      </w:r>
      <w:proofErr w:type="gramEnd"/>
      <w:r w:rsidR="008C7332">
        <w:rPr>
          <w:rFonts w:cstheme="minorHAnsi"/>
        </w:rPr>
        <w:t xml:space="preserve"> or indeed young people</w:t>
      </w:r>
      <w:r w:rsidR="00B64555">
        <w:rPr>
          <w:rFonts w:cstheme="minorHAnsi"/>
        </w:rPr>
        <w:t xml:space="preserve"> </w:t>
      </w:r>
      <w:r w:rsidR="00A51F51">
        <w:rPr>
          <w:rFonts w:cstheme="minorHAnsi"/>
        </w:rPr>
        <w:t>(Bingham, 2019</w:t>
      </w:r>
      <w:r w:rsidR="008C7332">
        <w:rPr>
          <w:rFonts w:cstheme="minorHAnsi"/>
        </w:rPr>
        <w:t>)</w:t>
      </w:r>
      <w:r w:rsidR="00F53C0B" w:rsidRPr="00E262B3">
        <w:rPr>
          <w:rFonts w:cstheme="minorHAnsi"/>
        </w:rPr>
        <w:t xml:space="preserve">. </w:t>
      </w:r>
    </w:p>
    <w:p w14:paraId="5E10181B" w14:textId="7E280AB7" w:rsidR="006071DF" w:rsidRDefault="009F6E02" w:rsidP="00F6132E">
      <w:pPr>
        <w:spacing w:line="360" w:lineRule="auto"/>
        <w:jc w:val="both"/>
        <w:rPr>
          <w:rFonts w:cstheme="minorHAnsi"/>
        </w:rPr>
      </w:pPr>
      <w:r w:rsidRPr="00E262B3">
        <w:rPr>
          <w:rFonts w:cstheme="minorHAnsi"/>
        </w:rPr>
        <w:t>It was only after Labour won</w:t>
      </w:r>
      <w:r w:rsidR="006847F9" w:rsidRPr="00E262B3">
        <w:rPr>
          <w:rFonts w:cstheme="minorHAnsi"/>
        </w:rPr>
        <w:t xml:space="preserve"> the 196</w:t>
      </w:r>
      <w:r w:rsidR="006821DA">
        <w:rPr>
          <w:rFonts w:cstheme="minorHAnsi"/>
        </w:rPr>
        <w:t>6</w:t>
      </w:r>
      <w:r w:rsidR="006847F9" w:rsidRPr="00E262B3">
        <w:rPr>
          <w:rFonts w:cstheme="minorHAnsi"/>
        </w:rPr>
        <w:t xml:space="preserve"> general election</w:t>
      </w:r>
      <w:r w:rsidRPr="00E262B3">
        <w:rPr>
          <w:rFonts w:cstheme="minorHAnsi"/>
        </w:rPr>
        <w:t xml:space="preserve"> that voting age reform</w:t>
      </w:r>
      <w:r w:rsidR="009A0675" w:rsidRPr="00E262B3">
        <w:rPr>
          <w:rFonts w:cstheme="minorHAnsi"/>
        </w:rPr>
        <w:t xml:space="preserve"> emerged as a salient </w:t>
      </w:r>
      <w:r w:rsidRPr="00E262B3">
        <w:rPr>
          <w:rFonts w:cstheme="minorHAnsi"/>
        </w:rPr>
        <w:t xml:space="preserve">political </w:t>
      </w:r>
      <w:r w:rsidR="009A0675" w:rsidRPr="00E262B3">
        <w:rPr>
          <w:rFonts w:cstheme="minorHAnsi"/>
        </w:rPr>
        <w:t>issue</w:t>
      </w:r>
      <w:r w:rsidR="00496512">
        <w:rPr>
          <w:rFonts w:cstheme="minorHAnsi"/>
        </w:rPr>
        <w:t xml:space="preserve">. </w:t>
      </w:r>
      <w:r w:rsidR="008C7332">
        <w:rPr>
          <w:rFonts w:cstheme="minorHAnsi"/>
        </w:rPr>
        <w:t>I</w:t>
      </w:r>
      <w:r w:rsidR="008C7332" w:rsidRPr="00E262B3">
        <w:rPr>
          <w:rFonts w:cstheme="minorHAnsi"/>
        </w:rPr>
        <w:t xml:space="preserve">n their manifesto </w:t>
      </w:r>
      <w:r w:rsidR="00A417D2">
        <w:rPr>
          <w:rFonts w:cstheme="minorHAnsi"/>
        </w:rPr>
        <w:t xml:space="preserve">the </w:t>
      </w:r>
      <w:r w:rsidR="00D96D04" w:rsidRPr="00E262B3">
        <w:rPr>
          <w:rFonts w:cstheme="minorHAnsi"/>
        </w:rPr>
        <w:t xml:space="preserve">Labour </w:t>
      </w:r>
      <w:r w:rsidR="00A417D2" w:rsidRPr="00E262B3">
        <w:rPr>
          <w:rFonts w:cstheme="minorHAnsi"/>
        </w:rPr>
        <w:t xml:space="preserve">Party </w:t>
      </w:r>
      <w:r w:rsidR="00A417D2">
        <w:rPr>
          <w:rFonts w:cstheme="minorHAnsi"/>
        </w:rPr>
        <w:t>(</w:t>
      </w:r>
      <w:r w:rsidR="00A417D2" w:rsidRPr="00E262B3">
        <w:rPr>
          <w:rFonts w:cstheme="minorHAnsi"/>
        </w:rPr>
        <w:t xml:space="preserve">1966: pt. 5, para </w:t>
      </w:r>
      <w:r w:rsidR="00A417D2">
        <w:rPr>
          <w:rFonts w:cstheme="minorHAnsi"/>
        </w:rPr>
        <w:t>2.3</w:t>
      </w:r>
      <w:r w:rsidR="00A417D2" w:rsidRPr="00E262B3">
        <w:rPr>
          <w:rFonts w:eastAsia="Times New Roman" w:cs="Times New Roman"/>
          <w:color w:val="000000"/>
        </w:rPr>
        <w:t>)</w:t>
      </w:r>
      <w:r w:rsidR="00A417D2">
        <w:rPr>
          <w:rFonts w:eastAsia="Times New Roman" w:cs="Times New Roman"/>
          <w:color w:val="000000"/>
        </w:rPr>
        <w:t xml:space="preserve"> </w:t>
      </w:r>
      <w:r w:rsidR="00D96D04" w:rsidRPr="00E262B3">
        <w:rPr>
          <w:rFonts w:cstheme="minorHAnsi"/>
        </w:rPr>
        <w:t xml:space="preserve">formally </w:t>
      </w:r>
      <w:r w:rsidR="008C7332">
        <w:rPr>
          <w:rFonts w:cstheme="minorHAnsi"/>
        </w:rPr>
        <w:t>promised</w:t>
      </w:r>
      <w:r w:rsidR="006821DA">
        <w:rPr>
          <w:rFonts w:cstheme="minorHAnsi"/>
        </w:rPr>
        <w:t xml:space="preserve"> </w:t>
      </w:r>
      <w:r w:rsidR="00B03F11" w:rsidRPr="00E262B3">
        <w:rPr>
          <w:rFonts w:cstheme="minorHAnsi"/>
        </w:rPr>
        <w:t xml:space="preserve">a Speaker’s Conference </w:t>
      </w:r>
      <w:r w:rsidR="00B64555">
        <w:rPr>
          <w:rFonts w:cstheme="minorHAnsi"/>
        </w:rPr>
        <w:t xml:space="preserve">on Electoral Law which would consider </w:t>
      </w:r>
      <w:r w:rsidR="008C7332">
        <w:rPr>
          <w:rFonts w:cstheme="minorHAnsi"/>
        </w:rPr>
        <w:t>the introduction of</w:t>
      </w:r>
      <w:r w:rsidR="00544361" w:rsidRPr="00E262B3">
        <w:rPr>
          <w:rFonts w:cstheme="minorHAnsi"/>
        </w:rPr>
        <w:t xml:space="preserve"> </w:t>
      </w:r>
      <w:r w:rsidR="00D96D04" w:rsidRPr="00E262B3">
        <w:rPr>
          <w:rFonts w:cstheme="minorHAnsi"/>
        </w:rPr>
        <w:t>‘</w:t>
      </w:r>
      <w:r w:rsidR="00863629">
        <w:rPr>
          <w:rFonts w:cstheme="minorHAnsi"/>
        </w:rPr>
        <w:t>Votes-at-18</w:t>
      </w:r>
      <w:r w:rsidR="00D96D04" w:rsidRPr="00E262B3">
        <w:rPr>
          <w:rFonts w:cstheme="minorHAnsi"/>
        </w:rPr>
        <w:t>’</w:t>
      </w:r>
      <w:r w:rsidR="008C7332">
        <w:rPr>
          <w:rFonts w:cstheme="minorHAnsi"/>
        </w:rPr>
        <w:t xml:space="preserve"> </w:t>
      </w:r>
      <w:r w:rsidR="00B64555">
        <w:rPr>
          <w:rFonts w:cstheme="minorHAnsi"/>
        </w:rPr>
        <w:t xml:space="preserve">to </w:t>
      </w:r>
      <w:r w:rsidR="00B03F11" w:rsidRPr="00E262B3">
        <w:rPr>
          <w:rFonts w:cstheme="minorHAnsi"/>
        </w:rPr>
        <w:t>‘</w:t>
      </w:r>
      <w:r w:rsidR="00B03F11" w:rsidRPr="00E262B3">
        <w:rPr>
          <w:rFonts w:eastAsia="Times New Roman" w:cs="Times New Roman"/>
          <w:color w:val="000000"/>
        </w:rPr>
        <w:t>add a necessary political dimension to the increasingly important economic and social position of young people’.</w:t>
      </w:r>
      <w:r w:rsidR="001460DA">
        <w:rPr>
          <w:rFonts w:cstheme="minorHAnsi"/>
        </w:rPr>
        <w:t xml:space="preserve"> </w:t>
      </w:r>
      <w:r w:rsidR="00462C3D" w:rsidRPr="00E262B3">
        <w:rPr>
          <w:rFonts w:cstheme="minorHAnsi"/>
        </w:rPr>
        <w:t>However</w:t>
      </w:r>
      <w:r w:rsidRPr="00E262B3">
        <w:rPr>
          <w:rFonts w:cstheme="minorHAnsi"/>
        </w:rPr>
        <w:t xml:space="preserve">, </w:t>
      </w:r>
      <w:r w:rsidR="00896AD2" w:rsidRPr="00E262B3">
        <w:rPr>
          <w:rFonts w:cstheme="minorHAnsi"/>
        </w:rPr>
        <w:t xml:space="preserve">Labour </w:t>
      </w:r>
      <w:r w:rsidR="00462C3D" w:rsidRPr="00E262B3">
        <w:rPr>
          <w:rFonts w:cstheme="minorHAnsi"/>
        </w:rPr>
        <w:t xml:space="preserve">first </w:t>
      </w:r>
      <w:r w:rsidR="00896AD2" w:rsidRPr="00E262B3">
        <w:rPr>
          <w:rFonts w:cstheme="minorHAnsi"/>
        </w:rPr>
        <w:t>established a committee</w:t>
      </w:r>
      <w:r w:rsidR="000B64BE" w:rsidRPr="00E262B3">
        <w:rPr>
          <w:rFonts w:cstheme="minorHAnsi"/>
        </w:rPr>
        <w:t>,</w:t>
      </w:r>
      <w:r w:rsidR="00896AD2" w:rsidRPr="00E262B3">
        <w:rPr>
          <w:rFonts w:cstheme="minorHAnsi"/>
        </w:rPr>
        <w:t xml:space="preserve"> chaired by Justice John </w:t>
      </w:r>
      <w:proofErr w:type="spellStart"/>
      <w:r w:rsidR="00896AD2" w:rsidRPr="00E262B3">
        <w:rPr>
          <w:rFonts w:cstheme="minorHAnsi"/>
        </w:rPr>
        <w:t>Latey</w:t>
      </w:r>
      <w:proofErr w:type="spellEnd"/>
      <w:r w:rsidR="000B64BE" w:rsidRPr="00E262B3">
        <w:rPr>
          <w:rFonts w:cstheme="minorHAnsi"/>
        </w:rPr>
        <w:t>,</w:t>
      </w:r>
      <w:r w:rsidR="00896AD2" w:rsidRPr="00E262B3">
        <w:rPr>
          <w:rFonts w:cstheme="minorHAnsi"/>
        </w:rPr>
        <w:t xml:space="preserve"> </w:t>
      </w:r>
      <w:r w:rsidR="00890BFD" w:rsidRPr="00E262B3">
        <w:rPr>
          <w:rFonts w:cstheme="minorHAnsi"/>
        </w:rPr>
        <w:t>to</w:t>
      </w:r>
      <w:r w:rsidR="00890BFD">
        <w:rPr>
          <w:rFonts w:cstheme="minorHAnsi"/>
        </w:rPr>
        <w:t xml:space="preserve"> consider</w:t>
      </w:r>
      <w:r w:rsidR="00890BFD" w:rsidRPr="00E262B3">
        <w:rPr>
          <w:rFonts w:cstheme="minorHAnsi"/>
        </w:rPr>
        <w:t xml:space="preserve"> </w:t>
      </w:r>
      <w:r w:rsidR="006071DF">
        <w:rPr>
          <w:rFonts w:cstheme="minorHAnsi"/>
        </w:rPr>
        <w:t>reform of the age of majority</w:t>
      </w:r>
      <w:r w:rsidR="00890BFD" w:rsidRPr="00E262B3">
        <w:rPr>
          <w:rFonts w:cstheme="minorHAnsi"/>
        </w:rPr>
        <w:t>.</w:t>
      </w:r>
      <w:r w:rsidR="00890BFD">
        <w:rPr>
          <w:rFonts w:cstheme="minorHAnsi"/>
        </w:rPr>
        <w:t xml:space="preserve"> </w:t>
      </w:r>
      <w:r w:rsidR="0030366D">
        <w:rPr>
          <w:rFonts w:cstheme="minorHAnsi"/>
        </w:rPr>
        <w:t>I</w:t>
      </w:r>
      <w:r w:rsidR="00890BFD" w:rsidRPr="00E262B3">
        <w:rPr>
          <w:rFonts w:cstheme="minorHAnsi"/>
        </w:rPr>
        <w:t>ts 1967</w:t>
      </w:r>
      <w:r w:rsidR="0030366D">
        <w:rPr>
          <w:rFonts w:cstheme="minorHAnsi"/>
        </w:rPr>
        <w:t xml:space="preserve"> report</w:t>
      </w:r>
      <w:r w:rsidR="00863629">
        <w:rPr>
          <w:rFonts w:cstheme="minorHAnsi"/>
        </w:rPr>
        <w:t xml:space="preserve"> recommend</w:t>
      </w:r>
      <w:r w:rsidR="00533DC3">
        <w:rPr>
          <w:rFonts w:cstheme="minorHAnsi"/>
        </w:rPr>
        <w:t>ed</w:t>
      </w:r>
      <w:r w:rsidR="00792942">
        <w:rPr>
          <w:rFonts w:cstheme="minorHAnsi"/>
        </w:rPr>
        <w:t xml:space="preserve"> </w:t>
      </w:r>
      <w:r w:rsidR="00890BFD">
        <w:rPr>
          <w:rFonts w:cstheme="minorHAnsi"/>
        </w:rPr>
        <w:t xml:space="preserve">the </w:t>
      </w:r>
      <w:r w:rsidR="003947EA" w:rsidRPr="00E262B3">
        <w:rPr>
          <w:rFonts w:cstheme="minorHAnsi"/>
        </w:rPr>
        <w:t>align</w:t>
      </w:r>
      <w:r w:rsidR="00890BFD">
        <w:rPr>
          <w:rFonts w:cstheme="minorHAnsi"/>
        </w:rPr>
        <w:t xml:space="preserve">ment </w:t>
      </w:r>
      <w:r w:rsidR="008C7332">
        <w:rPr>
          <w:rFonts w:cstheme="minorHAnsi"/>
        </w:rPr>
        <w:t xml:space="preserve">of </w:t>
      </w:r>
      <w:r w:rsidR="003947EA" w:rsidRPr="00E262B3">
        <w:rPr>
          <w:rFonts w:cstheme="minorHAnsi"/>
        </w:rPr>
        <w:t xml:space="preserve">various </w:t>
      </w:r>
      <w:r w:rsidR="008C7332">
        <w:rPr>
          <w:rFonts w:cstheme="minorHAnsi"/>
        </w:rPr>
        <w:t>rights</w:t>
      </w:r>
      <w:r w:rsidR="006071DF">
        <w:rPr>
          <w:rFonts w:cstheme="minorHAnsi"/>
        </w:rPr>
        <w:t xml:space="preserve"> </w:t>
      </w:r>
      <w:r w:rsidR="008C7332">
        <w:rPr>
          <w:rFonts w:cstheme="minorHAnsi"/>
        </w:rPr>
        <w:t>associated with adulthood</w:t>
      </w:r>
      <w:r w:rsidR="00792942">
        <w:rPr>
          <w:rFonts w:cstheme="minorHAnsi"/>
        </w:rPr>
        <w:t>, via</w:t>
      </w:r>
      <w:r w:rsidR="008C7332">
        <w:rPr>
          <w:rFonts w:cstheme="minorHAnsi"/>
        </w:rPr>
        <w:t xml:space="preserve"> the</w:t>
      </w:r>
      <w:r w:rsidR="003947EA">
        <w:rPr>
          <w:rFonts w:cstheme="minorHAnsi"/>
        </w:rPr>
        <w:t xml:space="preserve"> </w:t>
      </w:r>
      <w:r w:rsidR="008C7332">
        <w:rPr>
          <w:rFonts w:cstheme="minorHAnsi"/>
        </w:rPr>
        <w:t>reduction of</w:t>
      </w:r>
      <w:r w:rsidR="00896AD2" w:rsidRPr="00E262B3">
        <w:rPr>
          <w:rFonts w:cstheme="minorHAnsi"/>
        </w:rPr>
        <w:t xml:space="preserve"> the </w:t>
      </w:r>
      <w:r w:rsidR="008C7332">
        <w:rPr>
          <w:rFonts w:cstheme="minorHAnsi"/>
        </w:rPr>
        <w:t xml:space="preserve">ages of responsibility linked to </w:t>
      </w:r>
      <w:r w:rsidR="00896AD2" w:rsidRPr="00E262B3">
        <w:rPr>
          <w:rFonts w:cstheme="minorHAnsi"/>
        </w:rPr>
        <w:t>marriage, property ownership</w:t>
      </w:r>
      <w:r w:rsidR="003947EA">
        <w:rPr>
          <w:rFonts w:cstheme="minorHAnsi"/>
        </w:rPr>
        <w:t>,</w:t>
      </w:r>
      <w:r w:rsidR="00896AD2" w:rsidRPr="00E262B3">
        <w:rPr>
          <w:rFonts w:cstheme="minorHAnsi"/>
        </w:rPr>
        <w:t xml:space="preserve"> contract purchasing</w:t>
      </w:r>
      <w:r w:rsidR="003947EA">
        <w:rPr>
          <w:rFonts w:cstheme="minorHAnsi"/>
        </w:rPr>
        <w:t>, welfare and civil law</w:t>
      </w:r>
      <w:r w:rsidR="00896AD2" w:rsidRPr="00E262B3">
        <w:rPr>
          <w:rFonts w:cstheme="minorHAnsi"/>
        </w:rPr>
        <w:t xml:space="preserve"> </w:t>
      </w:r>
      <w:r w:rsidR="00CC0B3F">
        <w:rPr>
          <w:rFonts w:cstheme="minorHAnsi"/>
        </w:rPr>
        <w:t>to 18</w:t>
      </w:r>
      <w:r w:rsidR="00BE23F5">
        <w:rPr>
          <w:rFonts w:cstheme="minorHAnsi"/>
        </w:rPr>
        <w:t xml:space="preserve">. </w:t>
      </w:r>
    </w:p>
    <w:p w14:paraId="4BC5FB5E" w14:textId="4F17FB39" w:rsidR="00631FB1" w:rsidRDefault="005E7427" w:rsidP="00F6132E">
      <w:pPr>
        <w:spacing w:line="360" w:lineRule="auto"/>
        <w:jc w:val="both"/>
        <w:rPr>
          <w:rFonts w:cstheme="minorHAnsi"/>
        </w:rPr>
      </w:pPr>
      <w:r w:rsidRPr="00E262B3">
        <w:rPr>
          <w:rFonts w:cstheme="minorHAnsi"/>
        </w:rPr>
        <w:t xml:space="preserve">There were political tensions in </w:t>
      </w:r>
      <w:r w:rsidR="00C4615A">
        <w:rPr>
          <w:rFonts w:cstheme="minorHAnsi"/>
        </w:rPr>
        <w:t>agreeing</w:t>
      </w:r>
      <w:r w:rsidRPr="00E262B3">
        <w:rPr>
          <w:rFonts w:cstheme="minorHAnsi"/>
        </w:rPr>
        <w:t xml:space="preserve"> a new age of </w:t>
      </w:r>
      <w:r w:rsidR="006071DF">
        <w:rPr>
          <w:rFonts w:cstheme="minorHAnsi"/>
        </w:rPr>
        <w:t>majority</w:t>
      </w:r>
      <w:r w:rsidR="00A05543">
        <w:rPr>
          <w:rFonts w:cstheme="minorHAnsi"/>
        </w:rPr>
        <w:t>,</w:t>
      </w:r>
      <w:r w:rsidRPr="00E262B3">
        <w:rPr>
          <w:rFonts w:cstheme="minorHAnsi"/>
        </w:rPr>
        <w:t xml:space="preserve"> which meant the </w:t>
      </w:r>
      <w:proofErr w:type="spellStart"/>
      <w:r w:rsidRPr="00E262B3">
        <w:rPr>
          <w:rFonts w:cstheme="minorHAnsi"/>
        </w:rPr>
        <w:t>Latey</w:t>
      </w:r>
      <w:proofErr w:type="spellEnd"/>
      <w:r w:rsidRPr="00E262B3">
        <w:rPr>
          <w:rFonts w:cstheme="minorHAnsi"/>
        </w:rPr>
        <w:t xml:space="preserve"> Committee failed to reach unanimity</w:t>
      </w:r>
      <w:r>
        <w:rPr>
          <w:rFonts w:cstheme="minorHAnsi"/>
        </w:rPr>
        <w:t xml:space="preserve">, with two Conservative </w:t>
      </w:r>
      <w:r w:rsidRPr="00E262B3">
        <w:rPr>
          <w:rFonts w:cstheme="minorHAnsi"/>
        </w:rPr>
        <w:t>members</w:t>
      </w:r>
      <w:r>
        <w:rPr>
          <w:rFonts w:cstheme="minorHAnsi"/>
        </w:rPr>
        <w:t xml:space="preserve"> </w:t>
      </w:r>
      <w:r w:rsidRPr="00E262B3">
        <w:rPr>
          <w:rFonts w:cstheme="minorHAnsi"/>
        </w:rPr>
        <w:t>dissent</w:t>
      </w:r>
      <w:r>
        <w:rPr>
          <w:rFonts w:cstheme="minorHAnsi"/>
        </w:rPr>
        <w:t>ing</w:t>
      </w:r>
      <w:r w:rsidRPr="00E262B3">
        <w:rPr>
          <w:rFonts w:cstheme="minorHAnsi"/>
        </w:rPr>
        <w:t xml:space="preserve"> and produc</w:t>
      </w:r>
      <w:r>
        <w:rPr>
          <w:rFonts w:cstheme="minorHAnsi"/>
        </w:rPr>
        <w:t>ing</w:t>
      </w:r>
      <w:r w:rsidRPr="00E262B3">
        <w:rPr>
          <w:rFonts w:cstheme="minorHAnsi"/>
        </w:rPr>
        <w:t xml:space="preserve"> a minority report.</w:t>
      </w:r>
      <w:r w:rsidRPr="005E7427">
        <w:rPr>
          <w:rFonts w:cstheme="minorHAnsi"/>
        </w:rPr>
        <w:t xml:space="preserve"> </w:t>
      </w:r>
      <w:r w:rsidRPr="00E262B3">
        <w:rPr>
          <w:rFonts w:cstheme="minorHAnsi"/>
        </w:rPr>
        <w:t xml:space="preserve">Moreover, </w:t>
      </w:r>
      <w:proofErr w:type="spellStart"/>
      <w:r w:rsidR="008C7332">
        <w:rPr>
          <w:rFonts w:cstheme="minorHAnsi"/>
        </w:rPr>
        <w:t>Latey’s</w:t>
      </w:r>
      <w:proofErr w:type="spellEnd"/>
      <w:r w:rsidR="008C7332">
        <w:rPr>
          <w:rFonts w:cstheme="minorHAnsi"/>
        </w:rPr>
        <w:t xml:space="preserve"> recommendations appeared</w:t>
      </w:r>
      <w:r w:rsidRPr="00E262B3">
        <w:rPr>
          <w:rFonts w:cstheme="minorHAnsi"/>
        </w:rPr>
        <w:t xml:space="preserve"> to contradict the </w:t>
      </w:r>
      <w:r>
        <w:rPr>
          <w:rFonts w:cstheme="minorHAnsi"/>
        </w:rPr>
        <w:t>views</w:t>
      </w:r>
      <w:r w:rsidRPr="00E262B3">
        <w:rPr>
          <w:rFonts w:cstheme="minorHAnsi"/>
        </w:rPr>
        <w:t xml:space="preserve"> of young people themselves, </w:t>
      </w:r>
      <w:r>
        <w:rPr>
          <w:rFonts w:cstheme="minorHAnsi"/>
        </w:rPr>
        <w:t>with</w:t>
      </w:r>
      <w:r w:rsidRPr="00E262B3">
        <w:rPr>
          <w:rFonts w:cstheme="minorHAnsi"/>
        </w:rPr>
        <w:t xml:space="preserve"> National Opinion Polls suggesting that two out of three </w:t>
      </w:r>
      <w:proofErr w:type="gramStart"/>
      <w:r w:rsidRPr="00E262B3">
        <w:rPr>
          <w:rFonts w:cstheme="minorHAnsi"/>
        </w:rPr>
        <w:t>16-20 year-olds</w:t>
      </w:r>
      <w:proofErr w:type="gramEnd"/>
      <w:r w:rsidRPr="00E262B3">
        <w:rPr>
          <w:rFonts w:cstheme="minorHAnsi"/>
        </w:rPr>
        <w:t xml:space="preserve"> concurred with a minimum age of 21 for credit purchases, home ownership and marriage without parental consent.</w:t>
      </w:r>
      <w:r w:rsidR="00B64555">
        <w:rPr>
          <w:rFonts w:cstheme="minorHAnsi"/>
        </w:rPr>
        <w:t xml:space="preserve"> </w:t>
      </w:r>
      <w:r w:rsidR="00C53788">
        <w:rPr>
          <w:rFonts w:cstheme="minorHAnsi"/>
        </w:rPr>
        <w:t>T</w:t>
      </w:r>
      <w:r w:rsidR="00C53788" w:rsidRPr="00E262B3">
        <w:rPr>
          <w:rFonts w:cstheme="minorHAnsi"/>
        </w:rPr>
        <w:t xml:space="preserve">he impetus for </w:t>
      </w:r>
      <w:r w:rsidR="006071DF">
        <w:rPr>
          <w:rFonts w:cstheme="minorHAnsi"/>
        </w:rPr>
        <w:t>voting age reform</w:t>
      </w:r>
      <w:r w:rsidR="00C53788" w:rsidRPr="00E262B3">
        <w:rPr>
          <w:rFonts w:cstheme="minorHAnsi"/>
        </w:rPr>
        <w:t xml:space="preserve"> was </w:t>
      </w:r>
      <w:r w:rsidR="00C53788">
        <w:rPr>
          <w:rFonts w:cstheme="minorHAnsi"/>
        </w:rPr>
        <w:t xml:space="preserve">however </w:t>
      </w:r>
      <w:r w:rsidR="00C53788" w:rsidRPr="00E262B3">
        <w:rPr>
          <w:rFonts w:cstheme="minorHAnsi"/>
        </w:rPr>
        <w:t xml:space="preserve">enhanced by </w:t>
      </w:r>
      <w:proofErr w:type="spellStart"/>
      <w:r w:rsidR="006071DF">
        <w:rPr>
          <w:rFonts w:cstheme="minorHAnsi"/>
        </w:rPr>
        <w:t>Latey’s</w:t>
      </w:r>
      <w:proofErr w:type="spellEnd"/>
      <w:r w:rsidR="00C53788" w:rsidRPr="00E262B3">
        <w:rPr>
          <w:rFonts w:cstheme="minorHAnsi"/>
        </w:rPr>
        <w:t xml:space="preserve"> recommendations.</w:t>
      </w:r>
      <w:r w:rsidR="00B64555">
        <w:rPr>
          <w:rFonts w:cstheme="minorHAnsi"/>
        </w:rPr>
        <w:t xml:space="preserve"> </w:t>
      </w:r>
      <w:r w:rsidR="003B5764" w:rsidRPr="00E262B3">
        <w:rPr>
          <w:rFonts w:cstheme="minorHAnsi"/>
        </w:rPr>
        <w:t>Labour ignored</w:t>
      </w:r>
      <w:r w:rsidR="00631FB1">
        <w:rPr>
          <w:rFonts w:cstheme="minorHAnsi"/>
        </w:rPr>
        <w:t xml:space="preserve"> </w:t>
      </w:r>
      <w:r w:rsidR="00C53788">
        <w:rPr>
          <w:rFonts w:cstheme="minorHAnsi"/>
        </w:rPr>
        <w:t xml:space="preserve">the </w:t>
      </w:r>
      <w:r w:rsidR="00104B68">
        <w:rPr>
          <w:rFonts w:cstheme="minorHAnsi"/>
        </w:rPr>
        <w:t xml:space="preserve">subsequent </w:t>
      </w:r>
      <w:r w:rsidR="00105A09" w:rsidRPr="00E262B3">
        <w:rPr>
          <w:rFonts w:cstheme="minorHAnsi"/>
        </w:rPr>
        <w:t xml:space="preserve">1968 </w:t>
      </w:r>
      <w:r w:rsidR="00462C3D" w:rsidRPr="00E262B3">
        <w:rPr>
          <w:rFonts w:cstheme="minorHAnsi"/>
        </w:rPr>
        <w:t xml:space="preserve">Speaker’s </w:t>
      </w:r>
      <w:r w:rsidR="003B5764" w:rsidRPr="00E262B3">
        <w:rPr>
          <w:rFonts w:cstheme="minorHAnsi"/>
        </w:rPr>
        <w:t>Conference</w:t>
      </w:r>
      <w:r w:rsidR="006071DF">
        <w:rPr>
          <w:rFonts w:cstheme="minorHAnsi"/>
        </w:rPr>
        <w:t xml:space="preserve"> on the age of enfranchisement</w:t>
      </w:r>
      <w:r w:rsidR="00491728">
        <w:rPr>
          <w:rFonts w:cstheme="minorHAnsi"/>
        </w:rPr>
        <w:t>,</w:t>
      </w:r>
      <w:r w:rsidR="00462C3D" w:rsidRPr="00E262B3">
        <w:rPr>
          <w:rFonts w:cstheme="minorHAnsi"/>
        </w:rPr>
        <w:t xml:space="preserve"> </w:t>
      </w:r>
      <w:r w:rsidR="00631FB1">
        <w:rPr>
          <w:rFonts w:cstheme="minorHAnsi"/>
        </w:rPr>
        <w:t xml:space="preserve">which </w:t>
      </w:r>
      <w:r w:rsidR="00491728">
        <w:rPr>
          <w:rFonts w:cstheme="minorHAnsi"/>
        </w:rPr>
        <w:t xml:space="preserve">the party had convened but which had </w:t>
      </w:r>
      <w:r w:rsidR="00631FB1">
        <w:rPr>
          <w:rFonts w:cstheme="minorHAnsi"/>
        </w:rPr>
        <w:t>overwhelmingly concluded th</w:t>
      </w:r>
      <w:r w:rsidR="006071DF">
        <w:rPr>
          <w:rFonts w:cstheme="minorHAnsi"/>
        </w:rPr>
        <w:t xml:space="preserve">e voting age </w:t>
      </w:r>
      <w:r w:rsidR="00F53C0B" w:rsidRPr="00E262B3">
        <w:rPr>
          <w:rFonts w:cstheme="minorHAnsi"/>
        </w:rPr>
        <w:t>should be lowered to 20</w:t>
      </w:r>
      <w:r w:rsidR="008C7332">
        <w:rPr>
          <w:rFonts w:cstheme="minorHAnsi"/>
        </w:rPr>
        <w:t>.</w:t>
      </w:r>
      <w:r w:rsidR="00BE23F5">
        <w:rPr>
          <w:rFonts w:cstheme="minorHAnsi"/>
        </w:rPr>
        <w:t xml:space="preserve"> </w:t>
      </w:r>
      <w:r w:rsidR="00C53788">
        <w:rPr>
          <w:rFonts w:cstheme="minorHAnsi"/>
        </w:rPr>
        <w:lastRenderedPageBreak/>
        <w:t xml:space="preserve">Instead, Labour sought to </w:t>
      </w:r>
      <w:r w:rsidR="003B5764" w:rsidRPr="00E262B3">
        <w:rPr>
          <w:rFonts w:cstheme="minorHAnsi"/>
        </w:rPr>
        <w:t>streamlin</w:t>
      </w:r>
      <w:r w:rsidR="00BE23F5">
        <w:rPr>
          <w:rFonts w:cstheme="minorHAnsi"/>
        </w:rPr>
        <w:t>e</w:t>
      </w:r>
      <w:r w:rsidR="003B5764" w:rsidRPr="00E262B3">
        <w:rPr>
          <w:rFonts w:cstheme="minorHAnsi"/>
        </w:rPr>
        <w:t xml:space="preserve"> ages of responsibility</w:t>
      </w:r>
      <w:r w:rsidR="00BE23F5">
        <w:rPr>
          <w:rFonts w:cstheme="minorHAnsi"/>
        </w:rPr>
        <w:t xml:space="preserve"> and enfranchisement</w:t>
      </w:r>
      <w:r w:rsidR="00C53788">
        <w:rPr>
          <w:rFonts w:cstheme="minorHAnsi"/>
        </w:rPr>
        <w:t xml:space="preserve"> at 18</w:t>
      </w:r>
      <w:r w:rsidR="008C7332">
        <w:rPr>
          <w:rFonts w:cstheme="minorHAnsi"/>
        </w:rPr>
        <w:t xml:space="preserve">, </w:t>
      </w:r>
      <w:r w:rsidR="00C53788">
        <w:rPr>
          <w:rFonts w:cstheme="minorHAnsi"/>
        </w:rPr>
        <w:t>thus underlining the</w:t>
      </w:r>
      <w:r w:rsidR="008C7332">
        <w:rPr>
          <w:rFonts w:cstheme="minorHAnsi"/>
        </w:rPr>
        <w:t xml:space="preserve"> party</w:t>
      </w:r>
      <w:r w:rsidR="00C53788">
        <w:rPr>
          <w:rFonts w:cstheme="minorHAnsi"/>
        </w:rPr>
        <w:t xml:space="preserve">’s </w:t>
      </w:r>
      <w:r w:rsidR="003245EC">
        <w:rPr>
          <w:rFonts w:cstheme="minorHAnsi"/>
        </w:rPr>
        <w:t xml:space="preserve">‘modern’ </w:t>
      </w:r>
      <w:r w:rsidR="00C53788">
        <w:rPr>
          <w:rFonts w:cstheme="minorHAnsi"/>
        </w:rPr>
        <w:t xml:space="preserve">appeal to young voters </w:t>
      </w:r>
      <w:r w:rsidR="008C7332">
        <w:rPr>
          <w:rFonts w:cstheme="minorHAnsi"/>
        </w:rPr>
        <w:t>(Fielding, 2003</w:t>
      </w:r>
      <w:r w:rsidR="00BB411F">
        <w:rPr>
          <w:rFonts w:cstheme="minorHAnsi"/>
        </w:rPr>
        <w:t xml:space="preserve">: </w:t>
      </w:r>
      <w:r w:rsidR="008C7332">
        <w:rPr>
          <w:rFonts w:cstheme="minorHAnsi"/>
        </w:rPr>
        <w:t>184)</w:t>
      </w:r>
      <w:r w:rsidR="003B5764" w:rsidRPr="00E262B3">
        <w:rPr>
          <w:rFonts w:cstheme="minorHAnsi"/>
        </w:rPr>
        <w:t xml:space="preserve">. </w:t>
      </w:r>
    </w:p>
    <w:p w14:paraId="2A488A8D" w14:textId="10CAB261" w:rsidR="008521E1" w:rsidRDefault="00104B68" w:rsidP="00724B29">
      <w:pPr>
        <w:spacing w:line="360" w:lineRule="auto"/>
        <w:jc w:val="both"/>
        <w:rPr>
          <w:rFonts w:cstheme="minorHAnsi"/>
        </w:rPr>
      </w:pPr>
      <w:r>
        <w:rPr>
          <w:rFonts w:cstheme="minorHAnsi"/>
        </w:rPr>
        <w:t>P</w:t>
      </w:r>
      <w:r w:rsidR="00E262B3" w:rsidRPr="00E262B3">
        <w:rPr>
          <w:rFonts w:cstheme="minorHAnsi"/>
        </w:rPr>
        <w:t xml:space="preserve">arliamentary debates over the </w:t>
      </w:r>
      <w:r w:rsidR="00792942">
        <w:rPr>
          <w:rFonts w:cstheme="minorHAnsi"/>
        </w:rPr>
        <w:t xml:space="preserve">final reports of the </w:t>
      </w:r>
      <w:proofErr w:type="spellStart"/>
      <w:r w:rsidR="00E262B3" w:rsidRPr="00E262B3">
        <w:rPr>
          <w:rFonts w:cstheme="minorHAnsi"/>
        </w:rPr>
        <w:t>Latey</w:t>
      </w:r>
      <w:proofErr w:type="spellEnd"/>
      <w:r w:rsidR="00E262B3" w:rsidRPr="00E262B3">
        <w:rPr>
          <w:rFonts w:cstheme="minorHAnsi"/>
        </w:rPr>
        <w:t xml:space="preserve"> Committee and Speaker’s Conference saw</w:t>
      </w:r>
      <w:r w:rsidR="003E427E">
        <w:rPr>
          <w:rFonts w:cstheme="minorHAnsi"/>
        </w:rPr>
        <w:t xml:space="preserve"> </w:t>
      </w:r>
      <w:r w:rsidR="00E262B3" w:rsidRPr="00E262B3">
        <w:rPr>
          <w:rFonts w:cstheme="minorHAnsi"/>
        </w:rPr>
        <w:t xml:space="preserve">disagreements expressed over </w:t>
      </w:r>
      <w:r w:rsidR="008C7332">
        <w:rPr>
          <w:rFonts w:cstheme="minorHAnsi"/>
        </w:rPr>
        <w:t>the relationship between adulthood and</w:t>
      </w:r>
      <w:r w:rsidR="00E262B3" w:rsidRPr="00E262B3">
        <w:rPr>
          <w:rFonts w:cstheme="minorHAnsi"/>
        </w:rPr>
        <w:t xml:space="preserve"> </w:t>
      </w:r>
      <w:proofErr w:type="spellStart"/>
      <w:r w:rsidR="003245EC">
        <w:rPr>
          <w:rFonts w:cstheme="minorHAnsi"/>
        </w:rPr>
        <w:t>enfanchisement</w:t>
      </w:r>
      <w:proofErr w:type="spellEnd"/>
      <w:r w:rsidR="00E262B3" w:rsidRPr="00E262B3">
        <w:rPr>
          <w:rFonts w:cstheme="minorHAnsi"/>
        </w:rPr>
        <w:t xml:space="preserve"> </w:t>
      </w:r>
      <w:r w:rsidR="00631FB1">
        <w:rPr>
          <w:rFonts w:cstheme="minorHAnsi"/>
        </w:rPr>
        <w:t>(Loughran et al.</w:t>
      </w:r>
      <w:r w:rsidR="00AB78DF">
        <w:rPr>
          <w:rFonts w:cstheme="minorHAnsi"/>
        </w:rPr>
        <w:t>,</w:t>
      </w:r>
      <w:r w:rsidR="00631FB1">
        <w:rPr>
          <w:rFonts w:cstheme="minorHAnsi"/>
        </w:rPr>
        <w:t xml:space="preserve"> 20</w:t>
      </w:r>
      <w:r w:rsidR="00AB78DF">
        <w:rPr>
          <w:rFonts w:cstheme="minorHAnsi"/>
        </w:rPr>
        <w:t>21a</w:t>
      </w:r>
      <w:r w:rsidR="00631FB1">
        <w:rPr>
          <w:rFonts w:cstheme="minorHAnsi"/>
        </w:rPr>
        <w:t>)</w:t>
      </w:r>
      <w:r w:rsidR="00E262B3" w:rsidRPr="00E262B3">
        <w:rPr>
          <w:rFonts w:cstheme="minorHAnsi"/>
        </w:rPr>
        <w:t>.</w:t>
      </w:r>
      <w:r w:rsidR="008C7332">
        <w:rPr>
          <w:rFonts w:cstheme="minorHAnsi"/>
        </w:rPr>
        <w:t xml:space="preserve"> Supporters and opponents of ‘Votes-at-18’</w:t>
      </w:r>
      <w:r w:rsidR="002C415A" w:rsidRPr="00E262B3">
        <w:rPr>
          <w:rFonts w:cstheme="minorHAnsi"/>
        </w:rPr>
        <w:t xml:space="preserve"> </w:t>
      </w:r>
      <w:r w:rsidR="00631FB1">
        <w:rPr>
          <w:rFonts w:cstheme="minorHAnsi"/>
        </w:rPr>
        <w:t>frequently</w:t>
      </w:r>
      <w:r w:rsidR="009409C4" w:rsidRPr="00E262B3">
        <w:rPr>
          <w:rFonts w:cstheme="minorHAnsi"/>
        </w:rPr>
        <w:t xml:space="preserve"> </w:t>
      </w:r>
      <w:r w:rsidR="008C7332">
        <w:rPr>
          <w:rFonts w:cstheme="minorHAnsi"/>
        </w:rPr>
        <w:t>presented competing views</w:t>
      </w:r>
      <w:r w:rsidR="007D1BA5" w:rsidRPr="00E262B3">
        <w:rPr>
          <w:rFonts w:cstheme="minorHAnsi"/>
        </w:rPr>
        <w:t xml:space="preserve"> </w:t>
      </w:r>
      <w:r w:rsidR="008C7332">
        <w:rPr>
          <w:rFonts w:cstheme="minorHAnsi"/>
        </w:rPr>
        <w:t>as to</w:t>
      </w:r>
      <w:r w:rsidR="009409C4" w:rsidRPr="00E262B3">
        <w:rPr>
          <w:rFonts w:cstheme="minorHAnsi"/>
        </w:rPr>
        <w:t xml:space="preserve"> what constituted the appropriate age of</w:t>
      </w:r>
      <w:r w:rsidR="002D3C43">
        <w:rPr>
          <w:rFonts w:cstheme="minorHAnsi"/>
        </w:rPr>
        <w:t xml:space="preserve"> </w:t>
      </w:r>
      <w:r w:rsidR="009409C4" w:rsidRPr="00E262B3">
        <w:rPr>
          <w:rFonts w:cstheme="minorHAnsi"/>
        </w:rPr>
        <w:t>matur</w:t>
      </w:r>
      <w:r w:rsidR="002D3C43">
        <w:rPr>
          <w:rFonts w:cstheme="minorHAnsi"/>
        </w:rPr>
        <w:t xml:space="preserve">ity and </w:t>
      </w:r>
      <w:r w:rsidR="002C415A" w:rsidRPr="00E262B3">
        <w:rPr>
          <w:rFonts w:cstheme="minorHAnsi"/>
        </w:rPr>
        <w:t>the extent young people were competent</w:t>
      </w:r>
      <w:r w:rsidR="00DE6A50">
        <w:rPr>
          <w:rFonts w:cstheme="minorHAnsi"/>
        </w:rPr>
        <w:t xml:space="preserve"> </w:t>
      </w:r>
      <w:r w:rsidR="00D53B24">
        <w:rPr>
          <w:rFonts w:cstheme="minorHAnsi"/>
        </w:rPr>
        <w:t>to vote</w:t>
      </w:r>
      <w:r w:rsidR="002C415A" w:rsidRPr="00E262B3">
        <w:rPr>
          <w:rFonts w:cstheme="minorHAnsi"/>
        </w:rPr>
        <w:t xml:space="preserve"> </w:t>
      </w:r>
      <w:r w:rsidR="00DF1AA8">
        <w:rPr>
          <w:rFonts w:cstheme="minorHAnsi"/>
        </w:rPr>
        <w:t>(Norton, 1975</w:t>
      </w:r>
      <w:r w:rsidR="00BB411F">
        <w:rPr>
          <w:rFonts w:cstheme="minorHAnsi"/>
        </w:rPr>
        <w:t>:</w:t>
      </w:r>
      <w:r w:rsidR="00DF1AA8">
        <w:rPr>
          <w:rFonts w:cstheme="minorHAnsi"/>
        </w:rPr>
        <w:t xml:space="preserve"> 306)</w:t>
      </w:r>
      <w:r w:rsidR="009409C4" w:rsidRPr="00E262B3">
        <w:rPr>
          <w:rFonts w:cstheme="minorHAnsi"/>
        </w:rPr>
        <w:t xml:space="preserve">. </w:t>
      </w:r>
      <w:r w:rsidR="005818E6">
        <w:rPr>
          <w:rFonts w:cstheme="minorHAnsi"/>
        </w:rPr>
        <w:t>T</w:t>
      </w:r>
      <w:r w:rsidR="00940706">
        <w:rPr>
          <w:rFonts w:cstheme="minorHAnsi"/>
        </w:rPr>
        <w:t>here was also dissent on the issue within Harold Wilson’s cabinet</w:t>
      </w:r>
      <w:r w:rsidR="002D3C43">
        <w:rPr>
          <w:rFonts w:cstheme="minorHAnsi"/>
        </w:rPr>
        <w:t xml:space="preserve"> (Bin</w:t>
      </w:r>
      <w:r w:rsidR="005818E6">
        <w:rPr>
          <w:rFonts w:cstheme="minorHAnsi"/>
        </w:rPr>
        <w:t>g</w:t>
      </w:r>
      <w:r w:rsidR="002D3C43">
        <w:rPr>
          <w:rFonts w:cstheme="minorHAnsi"/>
        </w:rPr>
        <w:t>ham, 2019)</w:t>
      </w:r>
      <w:r w:rsidR="005818E6">
        <w:rPr>
          <w:rFonts w:cstheme="minorHAnsi"/>
        </w:rPr>
        <w:t xml:space="preserve"> and disquiet among a minority of L</w:t>
      </w:r>
      <w:r w:rsidR="008A6D3E">
        <w:rPr>
          <w:rFonts w:cstheme="minorHAnsi"/>
        </w:rPr>
        <w:t>abour MPs (Fielding 2003)</w:t>
      </w:r>
      <w:r w:rsidR="00940706">
        <w:rPr>
          <w:rFonts w:cstheme="minorHAnsi"/>
        </w:rPr>
        <w:t xml:space="preserve">. </w:t>
      </w:r>
      <w:r w:rsidR="00237A0A" w:rsidRPr="00E262B3">
        <w:rPr>
          <w:rFonts w:cstheme="minorHAnsi"/>
        </w:rPr>
        <w:t xml:space="preserve">For </w:t>
      </w:r>
      <w:r w:rsidR="008C7332">
        <w:rPr>
          <w:rFonts w:cstheme="minorHAnsi"/>
        </w:rPr>
        <w:t>this</w:t>
      </w:r>
      <w:r w:rsidR="00237A0A" w:rsidRPr="00E262B3">
        <w:rPr>
          <w:rFonts w:cstheme="minorHAnsi"/>
        </w:rPr>
        <w:t xml:space="preserve"> reason, the Labour government whipped </w:t>
      </w:r>
      <w:r w:rsidR="00940706">
        <w:rPr>
          <w:rFonts w:cstheme="minorHAnsi"/>
        </w:rPr>
        <w:t>the</w:t>
      </w:r>
      <w:r w:rsidR="00237A0A" w:rsidRPr="00E262B3">
        <w:rPr>
          <w:rFonts w:cstheme="minorHAnsi"/>
        </w:rPr>
        <w:t xml:space="preserve"> parliamentary vote, having initially </w:t>
      </w:r>
      <w:r w:rsidR="009B2F9D" w:rsidRPr="00E262B3">
        <w:rPr>
          <w:rFonts w:cstheme="minorHAnsi"/>
        </w:rPr>
        <w:t xml:space="preserve">indicated </w:t>
      </w:r>
      <w:r w:rsidR="00237A0A" w:rsidRPr="00E262B3">
        <w:rPr>
          <w:rFonts w:cstheme="minorHAnsi"/>
        </w:rPr>
        <w:t>that a free vote would be offered. Conservative resistance to a reduction</w:t>
      </w:r>
      <w:r w:rsidR="009B2F9D" w:rsidRPr="00E262B3">
        <w:rPr>
          <w:rFonts w:cstheme="minorHAnsi"/>
        </w:rPr>
        <w:t xml:space="preserve"> </w:t>
      </w:r>
      <w:r w:rsidR="0032072E" w:rsidRPr="00E262B3">
        <w:rPr>
          <w:rFonts w:cstheme="minorHAnsi"/>
        </w:rPr>
        <w:t>of the voting age</w:t>
      </w:r>
      <w:r w:rsidR="00237A0A" w:rsidRPr="00E262B3">
        <w:rPr>
          <w:rFonts w:cstheme="minorHAnsi"/>
        </w:rPr>
        <w:t xml:space="preserve"> </w:t>
      </w:r>
      <w:r w:rsidR="0032072E" w:rsidRPr="00E262B3">
        <w:rPr>
          <w:rFonts w:cstheme="minorHAnsi"/>
        </w:rPr>
        <w:t xml:space="preserve">to 18 </w:t>
      </w:r>
      <w:r w:rsidR="00237A0A" w:rsidRPr="00E262B3">
        <w:rPr>
          <w:rFonts w:cstheme="minorHAnsi"/>
        </w:rPr>
        <w:t xml:space="preserve">was </w:t>
      </w:r>
      <w:r w:rsidR="008C7332">
        <w:rPr>
          <w:rFonts w:cstheme="minorHAnsi"/>
        </w:rPr>
        <w:t xml:space="preserve">however </w:t>
      </w:r>
      <w:r w:rsidR="002B55AF">
        <w:rPr>
          <w:rFonts w:cstheme="minorHAnsi"/>
        </w:rPr>
        <w:t>brief and lacking in resolution</w:t>
      </w:r>
      <w:r w:rsidR="008C7332">
        <w:rPr>
          <w:rFonts w:cstheme="minorHAnsi"/>
        </w:rPr>
        <w:t xml:space="preserve">, with the party choosing to </w:t>
      </w:r>
      <w:r w:rsidR="002B55AF">
        <w:rPr>
          <w:rFonts w:cstheme="minorHAnsi"/>
        </w:rPr>
        <w:t xml:space="preserve">not </w:t>
      </w:r>
      <w:r w:rsidR="008C7332">
        <w:rPr>
          <w:rFonts w:cstheme="minorHAnsi"/>
        </w:rPr>
        <w:t xml:space="preserve">whip its MPs </w:t>
      </w:r>
      <w:r w:rsidR="00EA3D33">
        <w:rPr>
          <w:rFonts w:cstheme="minorHAnsi"/>
        </w:rPr>
        <w:t xml:space="preserve">in opposition. </w:t>
      </w:r>
      <w:r w:rsidR="008C7332">
        <w:rPr>
          <w:rFonts w:cstheme="minorHAnsi"/>
        </w:rPr>
        <w:t xml:space="preserve">When offered the opportunity to </w:t>
      </w:r>
      <w:r w:rsidR="00237A0A" w:rsidRPr="00E262B3">
        <w:rPr>
          <w:rFonts w:cstheme="minorHAnsi"/>
        </w:rPr>
        <w:t xml:space="preserve">vote in favour of an amendment </w:t>
      </w:r>
      <w:r w:rsidR="009757C7" w:rsidRPr="00E262B3">
        <w:rPr>
          <w:rFonts w:cstheme="minorHAnsi"/>
        </w:rPr>
        <w:t xml:space="preserve">to </w:t>
      </w:r>
      <w:r w:rsidR="00237A0A" w:rsidRPr="00E262B3">
        <w:rPr>
          <w:rFonts w:cstheme="minorHAnsi"/>
        </w:rPr>
        <w:t>lowe</w:t>
      </w:r>
      <w:r w:rsidR="009757C7" w:rsidRPr="00E262B3">
        <w:rPr>
          <w:rFonts w:cstheme="minorHAnsi"/>
        </w:rPr>
        <w:t>r</w:t>
      </w:r>
      <w:r w:rsidR="00237A0A" w:rsidRPr="00E262B3">
        <w:rPr>
          <w:rFonts w:cstheme="minorHAnsi"/>
        </w:rPr>
        <w:t xml:space="preserve"> the voting age </w:t>
      </w:r>
      <w:r w:rsidR="00EA3D33">
        <w:rPr>
          <w:rFonts w:cstheme="minorHAnsi"/>
        </w:rPr>
        <w:t xml:space="preserve">much more modestly, </w:t>
      </w:r>
      <w:r w:rsidR="00237A0A" w:rsidRPr="00E262B3">
        <w:rPr>
          <w:rFonts w:cstheme="minorHAnsi"/>
        </w:rPr>
        <w:t>from 21 to 20</w:t>
      </w:r>
      <w:r w:rsidR="008C7332">
        <w:rPr>
          <w:rFonts w:cstheme="minorHAnsi"/>
        </w:rPr>
        <w:t xml:space="preserve">, </w:t>
      </w:r>
      <w:r w:rsidR="008C7332" w:rsidRPr="00E262B3">
        <w:rPr>
          <w:rFonts w:cstheme="minorHAnsi"/>
        </w:rPr>
        <w:t xml:space="preserve">less than half of </w:t>
      </w:r>
      <w:r w:rsidR="002B55AF">
        <w:rPr>
          <w:rFonts w:cstheme="minorHAnsi"/>
        </w:rPr>
        <w:t>Conservative MPs</w:t>
      </w:r>
      <w:r w:rsidR="008C7332">
        <w:rPr>
          <w:rFonts w:cstheme="minorHAnsi"/>
        </w:rPr>
        <w:t xml:space="preserve"> voted in support</w:t>
      </w:r>
      <w:r w:rsidR="00237A0A" w:rsidRPr="00E262B3">
        <w:rPr>
          <w:rFonts w:cstheme="minorHAnsi"/>
        </w:rPr>
        <w:t xml:space="preserve">. </w:t>
      </w:r>
    </w:p>
    <w:p w14:paraId="46B612E6" w14:textId="31D13C22" w:rsidR="00E901BA" w:rsidRDefault="008521E1" w:rsidP="00724B29">
      <w:pPr>
        <w:spacing w:line="360" w:lineRule="auto"/>
        <w:jc w:val="both"/>
        <w:rPr>
          <w:rFonts w:cstheme="minorHAnsi"/>
        </w:rPr>
      </w:pPr>
      <w:r>
        <w:rPr>
          <w:rFonts w:cstheme="minorHAnsi"/>
        </w:rPr>
        <w:t xml:space="preserve">In debating </w:t>
      </w:r>
      <w:r w:rsidR="00D06540">
        <w:rPr>
          <w:rFonts w:cstheme="minorHAnsi"/>
        </w:rPr>
        <w:t xml:space="preserve">voting age </w:t>
      </w:r>
      <w:r w:rsidR="00E20021">
        <w:rPr>
          <w:rFonts w:cstheme="minorHAnsi"/>
        </w:rPr>
        <w:t>reform</w:t>
      </w:r>
      <w:r w:rsidR="00E901BA">
        <w:rPr>
          <w:rFonts w:cstheme="minorHAnsi"/>
        </w:rPr>
        <w:t>s</w:t>
      </w:r>
      <w:r>
        <w:rPr>
          <w:rFonts w:cstheme="minorHAnsi"/>
        </w:rPr>
        <w:t>,</w:t>
      </w:r>
      <w:r w:rsidR="00E20021">
        <w:rPr>
          <w:rFonts w:cstheme="minorHAnsi"/>
        </w:rPr>
        <w:t xml:space="preserve"> </w:t>
      </w:r>
      <w:r>
        <w:rPr>
          <w:rFonts w:cstheme="minorHAnsi"/>
        </w:rPr>
        <w:t>p</w:t>
      </w:r>
      <w:r w:rsidR="00E20021">
        <w:rPr>
          <w:rFonts w:cstheme="minorHAnsi"/>
        </w:rPr>
        <w:t>arliamentarians made</w:t>
      </w:r>
      <w:r w:rsidR="00146D08">
        <w:rPr>
          <w:rFonts w:cstheme="minorHAnsi"/>
        </w:rPr>
        <w:t xml:space="preserve"> scant </w:t>
      </w:r>
      <w:r w:rsidR="00F806D3">
        <w:rPr>
          <w:rFonts w:cstheme="minorHAnsi"/>
        </w:rPr>
        <w:t>reference</w:t>
      </w:r>
      <w:r w:rsidR="00146D08">
        <w:rPr>
          <w:rFonts w:cstheme="minorHAnsi"/>
        </w:rPr>
        <w:t xml:space="preserve"> </w:t>
      </w:r>
      <w:r w:rsidR="00EA3D33">
        <w:rPr>
          <w:rFonts w:cstheme="minorHAnsi"/>
        </w:rPr>
        <w:t xml:space="preserve">to </w:t>
      </w:r>
      <w:r w:rsidR="00BD2FE3">
        <w:rPr>
          <w:rFonts w:cstheme="minorHAnsi"/>
        </w:rPr>
        <w:t xml:space="preserve">institutional </w:t>
      </w:r>
      <w:r w:rsidR="005C5E8C">
        <w:rPr>
          <w:rFonts w:cstheme="minorHAnsi"/>
        </w:rPr>
        <w:t xml:space="preserve">or personal </w:t>
      </w:r>
      <w:r w:rsidR="00BD2FE3">
        <w:rPr>
          <w:rFonts w:cstheme="minorHAnsi"/>
        </w:rPr>
        <w:t>memor</w:t>
      </w:r>
      <w:r w:rsidR="00146D08">
        <w:rPr>
          <w:rFonts w:cstheme="minorHAnsi"/>
        </w:rPr>
        <w:t>ies</w:t>
      </w:r>
      <w:r w:rsidR="00BD2FE3">
        <w:rPr>
          <w:rFonts w:cstheme="minorHAnsi"/>
        </w:rPr>
        <w:t xml:space="preserve"> of the 1918 and 1928 reforms of the electoral franchise</w:t>
      </w:r>
      <w:r w:rsidR="00892064">
        <w:rPr>
          <w:rFonts w:cstheme="minorHAnsi"/>
        </w:rPr>
        <w:t>.</w:t>
      </w:r>
      <w:r w:rsidR="00571AD8">
        <w:rPr>
          <w:rFonts w:cstheme="minorHAnsi"/>
        </w:rPr>
        <w:t xml:space="preserve"> </w:t>
      </w:r>
      <w:r w:rsidR="001460DA">
        <w:rPr>
          <w:rFonts w:cstheme="minorHAnsi"/>
        </w:rPr>
        <w:t>This in part was due to</w:t>
      </w:r>
      <w:r w:rsidR="00104B68">
        <w:rPr>
          <w:rFonts w:cstheme="minorHAnsi"/>
        </w:rPr>
        <w:t xml:space="preserve"> the absence of any formal parliamentary review of the universal lowering </w:t>
      </w:r>
      <w:r w:rsidR="004E2199">
        <w:rPr>
          <w:rFonts w:cstheme="minorHAnsi"/>
        </w:rPr>
        <w:t xml:space="preserve">of </w:t>
      </w:r>
      <w:r w:rsidR="00104B68">
        <w:rPr>
          <w:rFonts w:cstheme="minorHAnsi"/>
        </w:rPr>
        <w:t xml:space="preserve">the voting age to </w:t>
      </w:r>
      <w:r w:rsidR="00A928E8">
        <w:rPr>
          <w:rFonts w:cstheme="minorHAnsi"/>
        </w:rPr>
        <w:t>21 but</w:t>
      </w:r>
      <w:r w:rsidR="00E901BA">
        <w:rPr>
          <w:rFonts w:cstheme="minorHAnsi"/>
        </w:rPr>
        <w:t xml:space="preserve"> </w:t>
      </w:r>
      <w:r w:rsidR="0073706E">
        <w:rPr>
          <w:rFonts w:cstheme="minorHAnsi"/>
        </w:rPr>
        <w:t xml:space="preserve">was </w:t>
      </w:r>
      <w:r w:rsidR="00E901BA">
        <w:rPr>
          <w:rFonts w:cstheme="minorHAnsi"/>
        </w:rPr>
        <w:t xml:space="preserve">also </w:t>
      </w:r>
      <w:r w:rsidR="0073706E">
        <w:rPr>
          <w:rFonts w:cstheme="minorHAnsi"/>
        </w:rPr>
        <w:t xml:space="preserve">a consequence of the lack of interest in past </w:t>
      </w:r>
      <w:proofErr w:type="gramStart"/>
      <w:r w:rsidR="00A928E8">
        <w:rPr>
          <w:rFonts w:cstheme="minorHAnsi"/>
        </w:rPr>
        <w:t>policy-making</w:t>
      </w:r>
      <w:proofErr w:type="gramEnd"/>
      <w:r w:rsidR="00A928E8">
        <w:rPr>
          <w:rFonts w:cstheme="minorHAnsi"/>
        </w:rPr>
        <w:t xml:space="preserve"> </w:t>
      </w:r>
      <w:r w:rsidR="0073706E">
        <w:rPr>
          <w:rFonts w:cstheme="minorHAnsi"/>
        </w:rPr>
        <w:t xml:space="preserve">by </w:t>
      </w:r>
      <w:r w:rsidR="00104B68">
        <w:rPr>
          <w:rFonts w:cstheme="minorHAnsi"/>
        </w:rPr>
        <w:t xml:space="preserve">the </w:t>
      </w:r>
      <w:proofErr w:type="spellStart"/>
      <w:r w:rsidR="00104B68">
        <w:rPr>
          <w:rFonts w:cstheme="minorHAnsi"/>
        </w:rPr>
        <w:t>Latey</w:t>
      </w:r>
      <w:proofErr w:type="spellEnd"/>
      <w:r w:rsidR="00104B68">
        <w:rPr>
          <w:rFonts w:cstheme="minorHAnsi"/>
        </w:rPr>
        <w:t xml:space="preserve"> Committee or Speaker’s Conference</w:t>
      </w:r>
      <w:r w:rsidR="00AB78DF">
        <w:rPr>
          <w:rFonts w:cstheme="minorHAnsi"/>
        </w:rPr>
        <w:t xml:space="preserve"> (Loughran et al., 2021a)</w:t>
      </w:r>
      <w:r w:rsidR="00104B68">
        <w:rPr>
          <w:rFonts w:cstheme="minorHAnsi"/>
        </w:rPr>
        <w:t xml:space="preserve">. There was also a </w:t>
      </w:r>
      <w:r w:rsidR="00321906">
        <w:rPr>
          <w:rFonts w:cstheme="minorHAnsi"/>
        </w:rPr>
        <w:t xml:space="preserve">limited </w:t>
      </w:r>
      <w:r w:rsidR="00104B68">
        <w:rPr>
          <w:rFonts w:cstheme="minorHAnsi"/>
        </w:rPr>
        <w:t xml:space="preserve">policy memory </w:t>
      </w:r>
      <w:r w:rsidR="00321906">
        <w:rPr>
          <w:rFonts w:cstheme="minorHAnsi"/>
        </w:rPr>
        <w:t xml:space="preserve">or recollection </w:t>
      </w:r>
      <w:r w:rsidR="00104B68">
        <w:rPr>
          <w:rFonts w:cstheme="minorHAnsi"/>
        </w:rPr>
        <w:t>as there were no</w:t>
      </w:r>
      <w:r w:rsidR="005C5E8C">
        <w:rPr>
          <w:rFonts w:cstheme="minorHAnsi"/>
        </w:rPr>
        <w:t xml:space="preserve"> </w:t>
      </w:r>
      <w:r w:rsidR="001460DA">
        <w:rPr>
          <w:rFonts w:cstheme="minorHAnsi"/>
        </w:rPr>
        <w:t>serving MPs from either the 1918 or 1924 parliaments</w:t>
      </w:r>
      <w:r w:rsidR="00104B68">
        <w:rPr>
          <w:rFonts w:cstheme="minorHAnsi"/>
        </w:rPr>
        <w:t xml:space="preserve">. </w:t>
      </w:r>
      <w:r w:rsidR="00E901BA">
        <w:rPr>
          <w:rFonts w:cstheme="minorHAnsi"/>
        </w:rPr>
        <w:t>The few</w:t>
      </w:r>
      <w:r w:rsidR="00571AD8">
        <w:rPr>
          <w:rFonts w:cstheme="minorHAnsi"/>
        </w:rPr>
        <w:t xml:space="preserve"> reference</w:t>
      </w:r>
      <w:r w:rsidR="00E901BA">
        <w:rPr>
          <w:rFonts w:cstheme="minorHAnsi"/>
        </w:rPr>
        <w:t>s in parliamentary debates</w:t>
      </w:r>
      <w:r w:rsidR="00571AD8">
        <w:rPr>
          <w:rFonts w:cstheme="minorHAnsi"/>
        </w:rPr>
        <w:t xml:space="preserve"> </w:t>
      </w:r>
      <w:r w:rsidR="00EA3D33">
        <w:rPr>
          <w:rFonts w:cstheme="minorHAnsi"/>
        </w:rPr>
        <w:t xml:space="preserve">to </w:t>
      </w:r>
      <w:r w:rsidR="00DD2A8A">
        <w:rPr>
          <w:rFonts w:cstheme="minorHAnsi"/>
        </w:rPr>
        <w:t xml:space="preserve">electoral franchise reforms adopted after the First World War </w:t>
      </w:r>
      <w:r w:rsidR="00571AD8">
        <w:rPr>
          <w:rFonts w:cstheme="minorHAnsi"/>
        </w:rPr>
        <w:t xml:space="preserve">overlooked age-related dimensions, </w:t>
      </w:r>
      <w:r w:rsidR="00DD2A8A">
        <w:rPr>
          <w:rFonts w:cstheme="minorHAnsi"/>
        </w:rPr>
        <w:t xml:space="preserve">instead </w:t>
      </w:r>
      <w:r w:rsidR="00571AD8">
        <w:rPr>
          <w:rFonts w:cstheme="minorHAnsi"/>
        </w:rPr>
        <w:t>compar</w:t>
      </w:r>
      <w:r w:rsidR="00DD2A8A">
        <w:rPr>
          <w:rFonts w:cstheme="minorHAnsi"/>
        </w:rPr>
        <w:t>ing</w:t>
      </w:r>
      <w:r w:rsidR="00571AD8">
        <w:rPr>
          <w:rFonts w:cstheme="minorHAnsi"/>
        </w:rPr>
        <w:t xml:space="preserve"> spurious </w:t>
      </w:r>
      <w:r w:rsidR="00571AD8" w:rsidRPr="00E262B3">
        <w:rPr>
          <w:rFonts w:cstheme="minorHAnsi"/>
        </w:rPr>
        <w:t xml:space="preserve">arguments regarding female voter capacity made during the passage of the 1917 Representation of the People Bill </w:t>
      </w:r>
      <w:r w:rsidR="005002A7">
        <w:rPr>
          <w:rFonts w:cstheme="minorHAnsi"/>
        </w:rPr>
        <w:t xml:space="preserve">to </w:t>
      </w:r>
      <w:r w:rsidR="00571AD8">
        <w:rPr>
          <w:rFonts w:cstheme="minorHAnsi"/>
        </w:rPr>
        <w:t>objections</w:t>
      </w:r>
      <w:r w:rsidR="00571AD8" w:rsidRPr="00E262B3">
        <w:rPr>
          <w:rFonts w:cstheme="minorHAnsi"/>
        </w:rPr>
        <w:t xml:space="preserve"> raised in the late 1960s </w:t>
      </w:r>
      <w:r w:rsidR="00571AD8">
        <w:rPr>
          <w:rFonts w:cstheme="minorHAnsi"/>
        </w:rPr>
        <w:t>regarding</w:t>
      </w:r>
      <w:r w:rsidR="00571AD8" w:rsidRPr="00E262B3">
        <w:rPr>
          <w:rFonts w:cstheme="minorHAnsi"/>
        </w:rPr>
        <w:t xml:space="preserve"> young people</w:t>
      </w:r>
      <w:r w:rsidR="00571AD8">
        <w:rPr>
          <w:rFonts w:cstheme="minorHAnsi"/>
        </w:rPr>
        <w:t xml:space="preserve"> (</w:t>
      </w:r>
      <w:proofErr w:type="spellStart"/>
      <w:r w:rsidR="001279EF">
        <w:rPr>
          <w:rFonts w:cstheme="minorHAnsi"/>
        </w:rPr>
        <w:t>Mycock</w:t>
      </w:r>
      <w:proofErr w:type="spellEnd"/>
      <w:r w:rsidR="001279EF">
        <w:rPr>
          <w:rFonts w:cstheme="minorHAnsi"/>
        </w:rPr>
        <w:t xml:space="preserve"> et al.</w:t>
      </w:r>
      <w:r w:rsidR="00333DA5">
        <w:rPr>
          <w:rFonts w:cstheme="minorHAnsi"/>
        </w:rPr>
        <w:t>,</w:t>
      </w:r>
      <w:r w:rsidR="00571AD8">
        <w:rPr>
          <w:rFonts w:cstheme="minorHAnsi"/>
        </w:rPr>
        <w:t xml:space="preserve"> 2020</w:t>
      </w:r>
      <w:r w:rsidR="00BB411F">
        <w:rPr>
          <w:rFonts w:cstheme="minorHAnsi"/>
        </w:rPr>
        <w:t>:</w:t>
      </w:r>
      <w:r w:rsidR="00571AD8">
        <w:rPr>
          <w:rFonts w:cstheme="minorHAnsi"/>
        </w:rPr>
        <w:t xml:space="preserve"> 48).</w:t>
      </w:r>
      <w:r w:rsidR="00DD2A8A">
        <w:rPr>
          <w:rFonts w:cstheme="minorHAnsi"/>
        </w:rPr>
        <w:t xml:space="preserve"> </w:t>
      </w:r>
      <w:r w:rsidR="00D06540">
        <w:rPr>
          <w:rFonts w:cstheme="minorHAnsi"/>
        </w:rPr>
        <w:t>Analysis of v</w:t>
      </w:r>
      <w:r w:rsidR="001460DA">
        <w:rPr>
          <w:rFonts w:cstheme="minorHAnsi"/>
        </w:rPr>
        <w:t xml:space="preserve">oting age reform in the late 1960s </w:t>
      </w:r>
      <w:r w:rsidR="00E901BA">
        <w:rPr>
          <w:rFonts w:cstheme="minorHAnsi"/>
        </w:rPr>
        <w:t xml:space="preserve">thus </w:t>
      </w:r>
      <w:r w:rsidR="00A928E8">
        <w:rPr>
          <w:rFonts w:cstheme="minorHAnsi"/>
        </w:rPr>
        <w:t xml:space="preserve">highlights </w:t>
      </w:r>
      <w:r w:rsidR="003245EC">
        <w:rPr>
          <w:rFonts w:cstheme="minorHAnsi"/>
        </w:rPr>
        <w:t>both</w:t>
      </w:r>
      <w:r w:rsidR="00A928E8">
        <w:rPr>
          <w:rFonts w:cstheme="minorHAnsi"/>
        </w:rPr>
        <w:t xml:space="preserve"> </w:t>
      </w:r>
      <w:r w:rsidR="00321906">
        <w:rPr>
          <w:rFonts w:cstheme="minorHAnsi"/>
        </w:rPr>
        <w:t>unintentional</w:t>
      </w:r>
      <w:r w:rsidR="00E868E7">
        <w:rPr>
          <w:rFonts w:cstheme="minorHAnsi"/>
        </w:rPr>
        <w:t xml:space="preserve"> policy </w:t>
      </w:r>
      <w:r w:rsidR="00321906">
        <w:rPr>
          <w:rFonts w:cstheme="minorHAnsi"/>
        </w:rPr>
        <w:t>myopia</w:t>
      </w:r>
      <w:r w:rsidR="00E901BA">
        <w:rPr>
          <w:rFonts w:cstheme="minorHAnsi"/>
        </w:rPr>
        <w:t xml:space="preserve"> and institutional amnesia</w:t>
      </w:r>
      <w:r w:rsidR="00E56445">
        <w:rPr>
          <w:rFonts w:cstheme="minorHAnsi"/>
        </w:rPr>
        <w:t xml:space="preserve">. </w:t>
      </w:r>
    </w:p>
    <w:p w14:paraId="0E6E919F" w14:textId="1DDE6C6A" w:rsidR="00DA281B" w:rsidRDefault="00667646" w:rsidP="00237A0A">
      <w:pPr>
        <w:spacing w:line="360" w:lineRule="auto"/>
        <w:jc w:val="both"/>
        <w:rPr>
          <w:rFonts w:cstheme="minorHAnsi"/>
        </w:rPr>
      </w:pPr>
      <w:r>
        <w:rPr>
          <w:rFonts w:cstheme="minorHAnsi"/>
        </w:rPr>
        <w:t>The passage of t</w:t>
      </w:r>
      <w:r w:rsidRPr="00E262B3">
        <w:rPr>
          <w:rFonts w:cstheme="minorHAnsi"/>
        </w:rPr>
        <w:t xml:space="preserve">he Representation of the People Act (1969) </w:t>
      </w:r>
      <w:r>
        <w:rPr>
          <w:rFonts w:cstheme="minorHAnsi"/>
        </w:rPr>
        <w:t>was an elite-led process driven by a desire to streamline</w:t>
      </w:r>
      <w:r w:rsidRPr="00E262B3">
        <w:rPr>
          <w:rFonts w:cstheme="minorHAnsi"/>
        </w:rPr>
        <w:t xml:space="preserve"> the age of adulthood at 18</w:t>
      </w:r>
      <w:r>
        <w:rPr>
          <w:rFonts w:cstheme="minorHAnsi"/>
        </w:rPr>
        <w:t xml:space="preserve">, with </w:t>
      </w:r>
      <w:r w:rsidR="004E4ACC">
        <w:rPr>
          <w:rFonts w:cstheme="minorHAnsi"/>
        </w:rPr>
        <w:t>little evidence of demand for reform from young people or the voting public</w:t>
      </w:r>
      <w:r w:rsidR="00E56445">
        <w:rPr>
          <w:rFonts w:cstheme="minorHAnsi"/>
        </w:rPr>
        <w:t>. As such, divisions</w:t>
      </w:r>
      <w:r w:rsidR="00A8045C">
        <w:rPr>
          <w:rFonts w:cstheme="minorHAnsi"/>
        </w:rPr>
        <w:t xml:space="preserve"> </w:t>
      </w:r>
      <w:r w:rsidR="00DA281B">
        <w:rPr>
          <w:rFonts w:cstheme="minorHAnsi"/>
        </w:rPr>
        <w:t>on</w:t>
      </w:r>
      <w:r w:rsidR="00A8045C">
        <w:rPr>
          <w:rFonts w:cstheme="minorHAnsi"/>
        </w:rPr>
        <w:t xml:space="preserve"> the voting age</w:t>
      </w:r>
      <w:r w:rsidR="00DA281B">
        <w:rPr>
          <w:rFonts w:cstheme="minorHAnsi"/>
        </w:rPr>
        <w:t xml:space="preserve"> question</w:t>
      </w:r>
      <w:r w:rsidR="00A8045C">
        <w:rPr>
          <w:rFonts w:cstheme="minorHAnsi"/>
        </w:rPr>
        <w:t xml:space="preserve"> focused principally on the relationship between enfranchisement and </w:t>
      </w:r>
      <w:r>
        <w:rPr>
          <w:rFonts w:cstheme="minorHAnsi"/>
        </w:rPr>
        <w:t xml:space="preserve">maturity, </w:t>
      </w:r>
      <w:r w:rsidR="00DA281B">
        <w:rPr>
          <w:rFonts w:cstheme="minorHAnsi"/>
        </w:rPr>
        <w:t>reveal</w:t>
      </w:r>
      <w:r>
        <w:rPr>
          <w:rFonts w:cstheme="minorHAnsi"/>
        </w:rPr>
        <w:t>ing</w:t>
      </w:r>
      <w:r w:rsidR="00DA281B">
        <w:rPr>
          <w:rFonts w:cstheme="minorHAnsi"/>
        </w:rPr>
        <w:t xml:space="preserve"> </w:t>
      </w:r>
      <w:r>
        <w:rPr>
          <w:rFonts w:cstheme="minorHAnsi"/>
        </w:rPr>
        <w:t xml:space="preserve">profound </w:t>
      </w:r>
      <w:r w:rsidR="00DA281B">
        <w:rPr>
          <w:rFonts w:cstheme="minorHAnsi"/>
        </w:rPr>
        <w:t xml:space="preserve">differences </w:t>
      </w:r>
      <w:r>
        <w:rPr>
          <w:rFonts w:cstheme="minorHAnsi"/>
        </w:rPr>
        <w:t xml:space="preserve">in how youth transitions to adulthood </w:t>
      </w:r>
      <w:r w:rsidR="00261C72">
        <w:rPr>
          <w:rFonts w:cstheme="minorHAnsi"/>
        </w:rPr>
        <w:t>were understood which crossed party lines. The Labour government had to push through the policy in the face of challenges from a Speaker’s Conference which it ordained, and</w:t>
      </w:r>
      <w:r w:rsidR="00261C72" w:rsidRPr="0066708C">
        <w:rPr>
          <w:rFonts w:cstheme="minorHAnsi"/>
        </w:rPr>
        <w:t xml:space="preserve"> </w:t>
      </w:r>
      <w:r w:rsidR="00261C72">
        <w:rPr>
          <w:rFonts w:cstheme="minorHAnsi"/>
        </w:rPr>
        <w:t xml:space="preserve">against the wishes of a sizeable minority of its own and opposition MPs. This noted, </w:t>
      </w:r>
      <w:r w:rsidR="00DA281B">
        <w:rPr>
          <w:rFonts w:cstheme="minorHAnsi"/>
        </w:rPr>
        <w:t xml:space="preserve">ideology and </w:t>
      </w:r>
      <w:r w:rsidR="00261C72">
        <w:rPr>
          <w:rFonts w:cstheme="minorHAnsi"/>
        </w:rPr>
        <w:t>party-</w:t>
      </w:r>
      <w:r w:rsidR="00DA281B">
        <w:rPr>
          <w:rFonts w:cstheme="minorHAnsi"/>
        </w:rPr>
        <w:t>political opportunism were influential factors driving support or opposition for franchise reform.</w:t>
      </w:r>
      <w:r w:rsidR="00DE022B">
        <w:rPr>
          <w:rFonts w:cstheme="minorHAnsi"/>
        </w:rPr>
        <w:t xml:space="preserve"> </w:t>
      </w:r>
      <w:r w:rsidR="0012011B">
        <w:rPr>
          <w:rFonts w:cstheme="minorHAnsi"/>
        </w:rPr>
        <w:t>D</w:t>
      </w:r>
      <w:r w:rsidR="001635B0">
        <w:rPr>
          <w:rFonts w:cstheme="minorHAnsi"/>
        </w:rPr>
        <w:t xml:space="preserve">iscussions about the extent of youth democratic participation, or the potential need to socialise </w:t>
      </w:r>
      <w:r w:rsidR="001635B0">
        <w:rPr>
          <w:rFonts w:cstheme="minorHAnsi"/>
        </w:rPr>
        <w:lastRenderedPageBreak/>
        <w:t>young people to ensure they were sufficiently well-prepared to vote, were peripheral during the passage or implementation of ‘Votes-at-18’.</w:t>
      </w:r>
    </w:p>
    <w:p w14:paraId="65759D01" w14:textId="77777777" w:rsidR="00416BA9" w:rsidRDefault="00416BA9" w:rsidP="00237A0A">
      <w:pPr>
        <w:spacing w:line="360" w:lineRule="auto"/>
        <w:jc w:val="both"/>
        <w:rPr>
          <w:rFonts w:cstheme="minorHAnsi"/>
        </w:rPr>
      </w:pPr>
    </w:p>
    <w:p w14:paraId="424A89FC" w14:textId="200FE49F" w:rsidR="003243A1" w:rsidRPr="00E262B3" w:rsidRDefault="00E61C45" w:rsidP="003243A1">
      <w:pPr>
        <w:spacing w:line="360" w:lineRule="auto"/>
        <w:jc w:val="both"/>
        <w:rPr>
          <w:rFonts w:cstheme="minorHAnsi"/>
          <w:b/>
          <w:iCs/>
        </w:rPr>
      </w:pPr>
      <w:r>
        <w:rPr>
          <w:rFonts w:cstheme="minorHAnsi"/>
          <w:b/>
          <w:iCs/>
        </w:rPr>
        <w:t xml:space="preserve">Policy </w:t>
      </w:r>
      <w:r w:rsidR="00273CAD">
        <w:rPr>
          <w:rFonts w:cstheme="minorHAnsi"/>
          <w:b/>
          <w:iCs/>
        </w:rPr>
        <w:t>Acceptance and Impact</w:t>
      </w:r>
      <w:r w:rsidR="003243A1" w:rsidRPr="00E262B3">
        <w:rPr>
          <w:rFonts w:cstheme="minorHAnsi"/>
          <w:b/>
          <w:iCs/>
        </w:rPr>
        <w:t xml:space="preserve"> </w:t>
      </w:r>
      <w:r w:rsidR="00273CAD">
        <w:rPr>
          <w:rFonts w:cstheme="minorHAnsi"/>
          <w:b/>
          <w:iCs/>
        </w:rPr>
        <w:t>of</w:t>
      </w:r>
      <w:r w:rsidR="003243A1" w:rsidRPr="00E262B3">
        <w:rPr>
          <w:rFonts w:cstheme="minorHAnsi"/>
          <w:b/>
          <w:iCs/>
        </w:rPr>
        <w:t xml:space="preserve"> </w:t>
      </w:r>
      <w:r w:rsidR="008E2BDE">
        <w:rPr>
          <w:rFonts w:cstheme="minorHAnsi"/>
          <w:b/>
          <w:iCs/>
        </w:rPr>
        <w:t>‘Votes-at-18’</w:t>
      </w:r>
    </w:p>
    <w:p w14:paraId="2CF4BC97" w14:textId="42EEA15B" w:rsidR="00A45A63" w:rsidRPr="00F87288" w:rsidRDefault="00F87288" w:rsidP="009B5904">
      <w:pPr>
        <w:spacing w:line="360" w:lineRule="auto"/>
        <w:jc w:val="both"/>
        <w:rPr>
          <w:rFonts w:cstheme="minorHAnsi"/>
        </w:rPr>
      </w:pPr>
      <w:r>
        <w:rPr>
          <w:rFonts w:cstheme="minorHAnsi"/>
        </w:rPr>
        <w:t>Policy myopia in the late 1960s was in part driven by the singular</w:t>
      </w:r>
      <w:r w:rsidRPr="00BF7556">
        <w:rPr>
          <w:rFonts w:cstheme="minorHAnsi"/>
        </w:rPr>
        <w:t xml:space="preserve"> desire to equalise </w:t>
      </w:r>
      <w:r>
        <w:rPr>
          <w:rFonts w:cstheme="minorHAnsi"/>
        </w:rPr>
        <w:t>the age of majority</w:t>
      </w:r>
      <w:r w:rsidRPr="00BF7556">
        <w:rPr>
          <w:rFonts w:cstheme="minorHAnsi"/>
        </w:rPr>
        <w:t xml:space="preserve"> and voting rights</w:t>
      </w:r>
      <w:r>
        <w:rPr>
          <w:rFonts w:cstheme="minorHAnsi"/>
        </w:rPr>
        <w:t xml:space="preserve">, and to </w:t>
      </w:r>
      <w:r w:rsidRPr="00BF7556">
        <w:rPr>
          <w:rFonts w:cstheme="minorHAnsi"/>
        </w:rPr>
        <w:t xml:space="preserve">coalesce adulthood around </w:t>
      </w:r>
      <w:r>
        <w:rPr>
          <w:rFonts w:cstheme="minorHAnsi"/>
        </w:rPr>
        <w:t xml:space="preserve">these </w:t>
      </w:r>
      <w:r w:rsidRPr="00BF7556">
        <w:rPr>
          <w:rFonts w:cstheme="minorHAnsi"/>
        </w:rPr>
        <w:t>key rights</w:t>
      </w:r>
      <w:r>
        <w:rPr>
          <w:rFonts w:cstheme="minorHAnsi"/>
        </w:rPr>
        <w:t xml:space="preserve">. There was no </w:t>
      </w:r>
      <w:r w:rsidRPr="00BF7556">
        <w:rPr>
          <w:rFonts w:cstheme="minorHAnsi"/>
        </w:rPr>
        <w:t xml:space="preserve">thought </w:t>
      </w:r>
      <w:r>
        <w:rPr>
          <w:rFonts w:cstheme="minorHAnsi"/>
        </w:rPr>
        <w:t xml:space="preserve">given that </w:t>
      </w:r>
      <w:proofErr w:type="gramStart"/>
      <w:r>
        <w:rPr>
          <w:rFonts w:cstheme="minorHAnsi"/>
        </w:rPr>
        <w:t>policy-makers</w:t>
      </w:r>
      <w:proofErr w:type="gramEnd"/>
      <w:r>
        <w:rPr>
          <w:rFonts w:cstheme="minorHAnsi"/>
        </w:rPr>
        <w:t xml:space="preserve"> or</w:t>
      </w:r>
      <w:r w:rsidRPr="00BF7556">
        <w:rPr>
          <w:rFonts w:cstheme="minorHAnsi"/>
        </w:rPr>
        <w:t xml:space="preserve"> young people</w:t>
      </w:r>
      <w:r>
        <w:rPr>
          <w:rFonts w:cstheme="minorHAnsi"/>
        </w:rPr>
        <w:t xml:space="preserve"> might seek to amend the ages these</w:t>
      </w:r>
      <w:r w:rsidRPr="00BF7556">
        <w:rPr>
          <w:rFonts w:cstheme="minorHAnsi"/>
        </w:rPr>
        <w:t xml:space="preserve"> rights</w:t>
      </w:r>
      <w:r>
        <w:rPr>
          <w:rFonts w:cstheme="minorHAnsi"/>
        </w:rPr>
        <w:t xml:space="preserve"> were realised in future</w:t>
      </w:r>
      <w:r w:rsidRPr="00BF7556">
        <w:rPr>
          <w:rFonts w:cstheme="minorHAnsi"/>
        </w:rPr>
        <w:t xml:space="preserve">, the impact </w:t>
      </w:r>
      <w:r>
        <w:rPr>
          <w:rFonts w:cstheme="minorHAnsi"/>
        </w:rPr>
        <w:t>of voting age reform on participation in elections</w:t>
      </w:r>
      <w:r w:rsidRPr="00BF7556">
        <w:rPr>
          <w:rFonts w:cstheme="minorHAnsi"/>
        </w:rPr>
        <w:t xml:space="preserve">, </w:t>
      </w:r>
      <w:r>
        <w:rPr>
          <w:rFonts w:cstheme="minorHAnsi"/>
        </w:rPr>
        <w:t>or</w:t>
      </w:r>
      <w:r w:rsidRPr="00BF7556">
        <w:rPr>
          <w:rFonts w:cstheme="minorHAnsi"/>
        </w:rPr>
        <w:t xml:space="preserve"> how the impact of </w:t>
      </w:r>
      <w:r>
        <w:rPr>
          <w:rFonts w:cstheme="minorHAnsi"/>
        </w:rPr>
        <w:t xml:space="preserve">policy </w:t>
      </w:r>
      <w:r w:rsidRPr="00BF7556">
        <w:rPr>
          <w:rFonts w:cstheme="minorHAnsi"/>
        </w:rPr>
        <w:t>change might be measured</w:t>
      </w:r>
      <w:r>
        <w:rPr>
          <w:rFonts w:cstheme="minorHAnsi"/>
        </w:rPr>
        <w:t>. Moreover, c</w:t>
      </w:r>
      <w:r w:rsidR="00D92095">
        <w:rPr>
          <w:rFonts w:cstheme="minorHAnsi"/>
        </w:rPr>
        <w:t xml:space="preserve">onsidering the national and international significance of lowering the voting age to 18, </w:t>
      </w:r>
      <w:r w:rsidR="00EF7185">
        <w:rPr>
          <w:rFonts w:cstheme="minorHAnsi"/>
        </w:rPr>
        <w:t>there</w:t>
      </w:r>
      <w:r w:rsidR="00D92095">
        <w:rPr>
          <w:rFonts w:cstheme="minorHAnsi"/>
        </w:rPr>
        <w:t xml:space="preserve"> </w:t>
      </w:r>
      <w:r w:rsidR="003245EC">
        <w:rPr>
          <w:rFonts w:cstheme="minorHAnsi"/>
        </w:rPr>
        <w:t>was</w:t>
      </w:r>
      <w:r w:rsidR="00D92095">
        <w:rPr>
          <w:rFonts w:cstheme="minorHAnsi"/>
        </w:rPr>
        <w:t xml:space="preserve"> a remarkable lack of interest </w:t>
      </w:r>
      <w:r w:rsidR="00FD478A">
        <w:rPr>
          <w:rFonts w:cstheme="minorHAnsi"/>
        </w:rPr>
        <w:t xml:space="preserve">in </w:t>
      </w:r>
      <w:r w:rsidR="001635B0">
        <w:rPr>
          <w:rFonts w:cstheme="minorHAnsi"/>
        </w:rPr>
        <w:t>examining its impacts and effects</w:t>
      </w:r>
      <w:r w:rsidR="005B661D">
        <w:rPr>
          <w:rFonts w:cstheme="minorHAnsi"/>
        </w:rPr>
        <w:t xml:space="preserve"> </w:t>
      </w:r>
      <w:r w:rsidR="00D92095">
        <w:rPr>
          <w:rFonts w:cstheme="minorHAnsi"/>
        </w:rPr>
        <w:t xml:space="preserve">since 1969. </w:t>
      </w:r>
      <w:r>
        <w:rPr>
          <w:rFonts w:cstheme="minorHAnsi"/>
        </w:rPr>
        <w:t xml:space="preserve">This in part can be explained by the extent to which the </w:t>
      </w:r>
      <w:r w:rsidR="00836BFB">
        <w:rPr>
          <w:rFonts w:cstheme="minorHAnsi"/>
        </w:rPr>
        <w:t>synchronisation of the ages of enfranchisement and majority</w:t>
      </w:r>
      <w:r>
        <w:rPr>
          <w:rFonts w:cstheme="minorHAnsi"/>
        </w:rPr>
        <w:t xml:space="preserve"> </w:t>
      </w:r>
      <w:r w:rsidR="00836BFB">
        <w:rPr>
          <w:rFonts w:cstheme="minorHAnsi"/>
        </w:rPr>
        <w:t>were</w:t>
      </w:r>
      <w:r>
        <w:rPr>
          <w:rFonts w:cstheme="minorHAnsi"/>
        </w:rPr>
        <w:t xml:space="preserve"> considered a success</w:t>
      </w:r>
      <w:r w:rsidR="00836BFB">
        <w:rPr>
          <w:rFonts w:cstheme="minorHAnsi"/>
        </w:rPr>
        <w:t xml:space="preserve"> both by </w:t>
      </w:r>
      <w:proofErr w:type="gramStart"/>
      <w:r w:rsidR="00836BFB">
        <w:rPr>
          <w:rFonts w:cstheme="minorHAnsi"/>
        </w:rPr>
        <w:t>policy-makers</w:t>
      </w:r>
      <w:proofErr w:type="gramEnd"/>
      <w:r w:rsidR="00836BFB">
        <w:rPr>
          <w:rFonts w:cstheme="minorHAnsi"/>
        </w:rPr>
        <w:t xml:space="preserve"> and the general public both in the UK and elsewhere. There have been no attempts to reverse the policy, and </w:t>
      </w:r>
      <w:r w:rsidR="00D92095" w:rsidRPr="00E262B3">
        <w:rPr>
          <w:color w:val="000000" w:themeColor="text1"/>
        </w:rPr>
        <w:t xml:space="preserve">Westminster has never formally </w:t>
      </w:r>
      <w:r w:rsidR="00FD478A">
        <w:rPr>
          <w:color w:val="000000" w:themeColor="text1"/>
        </w:rPr>
        <w:t xml:space="preserve">debated or </w:t>
      </w:r>
      <w:r w:rsidR="00D92095" w:rsidRPr="00E262B3">
        <w:rPr>
          <w:color w:val="000000" w:themeColor="text1"/>
        </w:rPr>
        <w:t>scrutinised its decision</w:t>
      </w:r>
      <w:r w:rsidR="00D92095">
        <w:rPr>
          <w:color w:val="000000" w:themeColor="text1"/>
        </w:rPr>
        <w:t xml:space="preserve"> </w:t>
      </w:r>
      <w:r w:rsidR="00FD478A">
        <w:rPr>
          <w:color w:val="000000" w:themeColor="text1"/>
        </w:rPr>
        <w:t>to reduce the voting age</w:t>
      </w:r>
      <w:r w:rsidR="00836BFB">
        <w:rPr>
          <w:color w:val="000000" w:themeColor="text1"/>
        </w:rPr>
        <w:t xml:space="preserve"> </w:t>
      </w:r>
      <w:r w:rsidR="00DA281B">
        <w:rPr>
          <w:color w:val="000000" w:themeColor="text1"/>
        </w:rPr>
        <w:t>or</w:t>
      </w:r>
      <w:r w:rsidR="00D92095" w:rsidRPr="00E262B3">
        <w:rPr>
          <w:color w:val="000000" w:themeColor="text1"/>
        </w:rPr>
        <w:t xml:space="preserve"> evaluate</w:t>
      </w:r>
      <w:r w:rsidR="00DA281B">
        <w:rPr>
          <w:color w:val="000000" w:themeColor="text1"/>
        </w:rPr>
        <w:t>d</w:t>
      </w:r>
      <w:r w:rsidR="00D92095" w:rsidRPr="00E262B3">
        <w:rPr>
          <w:color w:val="000000" w:themeColor="text1"/>
        </w:rPr>
        <w:t xml:space="preserve"> the effects of the policy via a departmental select committee or commission - or even identify what mechanisms or indicators might </w:t>
      </w:r>
      <w:r w:rsidR="005B661D">
        <w:rPr>
          <w:color w:val="000000" w:themeColor="text1"/>
        </w:rPr>
        <w:t xml:space="preserve">help </w:t>
      </w:r>
      <w:r w:rsidR="00D92095" w:rsidRPr="00E262B3">
        <w:rPr>
          <w:color w:val="000000" w:themeColor="text1"/>
        </w:rPr>
        <w:t xml:space="preserve">facilitate policy learning. </w:t>
      </w:r>
      <w:r w:rsidR="00836BFB">
        <w:rPr>
          <w:color w:val="000000" w:themeColor="text1"/>
        </w:rPr>
        <w:t>Furthermore</w:t>
      </w:r>
      <w:r w:rsidR="00261C72">
        <w:rPr>
          <w:color w:val="000000" w:themeColor="text1"/>
        </w:rPr>
        <w:t xml:space="preserve">, there has been no </w:t>
      </w:r>
      <w:r w:rsidR="00A45A63">
        <w:rPr>
          <w:color w:val="000000" w:themeColor="text1"/>
        </w:rPr>
        <w:t xml:space="preserve">detailed </w:t>
      </w:r>
      <w:r w:rsidR="00FD478A">
        <w:rPr>
          <w:color w:val="000000" w:themeColor="text1"/>
        </w:rPr>
        <w:t xml:space="preserve">non-governmental or </w:t>
      </w:r>
      <w:r w:rsidR="00261C72">
        <w:rPr>
          <w:color w:val="000000" w:themeColor="text1"/>
        </w:rPr>
        <w:t xml:space="preserve">academic analysis of the policy </w:t>
      </w:r>
      <w:r w:rsidR="005B661D">
        <w:rPr>
          <w:color w:val="000000" w:themeColor="text1"/>
        </w:rPr>
        <w:t xml:space="preserve">drivers </w:t>
      </w:r>
      <w:r w:rsidR="00261C72">
        <w:rPr>
          <w:color w:val="000000" w:themeColor="text1"/>
        </w:rPr>
        <w:t>of lowering the voting age to 18</w:t>
      </w:r>
      <w:r w:rsidR="00D26CB6">
        <w:rPr>
          <w:color w:val="000000" w:themeColor="text1"/>
        </w:rPr>
        <w:t xml:space="preserve">, or consideration of its </w:t>
      </w:r>
      <w:r w:rsidR="005B661D">
        <w:rPr>
          <w:color w:val="000000" w:themeColor="text1"/>
        </w:rPr>
        <w:t xml:space="preserve">impacts and </w:t>
      </w:r>
      <w:r w:rsidR="00D26CB6">
        <w:rPr>
          <w:color w:val="000000" w:themeColor="text1"/>
        </w:rPr>
        <w:t>legacies by advocates or opponents of ‘Votes-at-16’. This collective</w:t>
      </w:r>
      <w:r w:rsidR="00DA281B">
        <w:rPr>
          <w:color w:val="000000" w:themeColor="text1"/>
        </w:rPr>
        <w:t xml:space="preserve"> oversight is somewhat surprising</w:t>
      </w:r>
      <w:r w:rsidR="00D26CB6">
        <w:rPr>
          <w:color w:val="000000" w:themeColor="text1"/>
        </w:rPr>
        <w:t xml:space="preserve"> as the policy lessons from 1969 offer important insights regarding </w:t>
      </w:r>
      <w:r w:rsidR="00261C72">
        <w:rPr>
          <w:color w:val="000000" w:themeColor="text1"/>
        </w:rPr>
        <w:t xml:space="preserve">the </w:t>
      </w:r>
      <w:r w:rsidR="005B661D">
        <w:rPr>
          <w:color w:val="000000" w:themeColor="text1"/>
        </w:rPr>
        <w:t xml:space="preserve">potential </w:t>
      </w:r>
      <w:r w:rsidR="00864E86">
        <w:rPr>
          <w:color w:val="000000" w:themeColor="text1"/>
        </w:rPr>
        <w:t>immediate and longer-term</w:t>
      </w:r>
      <w:r w:rsidR="00261C72">
        <w:rPr>
          <w:color w:val="000000" w:themeColor="text1"/>
        </w:rPr>
        <w:t xml:space="preserve"> effects</w:t>
      </w:r>
      <w:r w:rsidR="00864E86">
        <w:rPr>
          <w:color w:val="000000" w:themeColor="text1"/>
        </w:rPr>
        <w:t xml:space="preserve"> of voting age reform</w:t>
      </w:r>
      <w:r w:rsidR="00261C72">
        <w:rPr>
          <w:color w:val="000000" w:themeColor="text1"/>
        </w:rPr>
        <w:t xml:space="preserve">. </w:t>
      </w:r>
    </w:p>
    <w:p w14:paraId="2BC9F910" w14:textId="3F5EBBE5" w:rsidR="00A45A63" w:rsidRDefault="003245EC" w:rsidP="00A45A63">
      <w:pPr>
        <w:spacing w:line="360" w:lineRule="auto"/>
        <w:jc w:val="both"/>
        <w:rPr>
          <w:rFonts w:cs="Arial"/>
          <w:color w:val="222222"/>
          <w:shd w:val="clear" w:color="auto" w:fill="FFFFFF"/>
        </w:rPr>
      </w:pPr>
      <w:r>
        <w:rPr>
          <w:rFonts w:cstheme="minorHAnsi"/>
        </w:rPr>
        <w:t>W</w:t>
      </w:r>
      <w:r w:rsidR="00836BFB">
        <w:rPr>
          <w:rFonts w:cstheme="minorHAnsi"/>
        </w:rPr>
        <w:t xml:space="preserve">hile voting age reform was widely accepted by </w:t>
      </w:r>
      <w:proofErr w:type="gramStart"/>
      <w:r w:rsidR="00836BFB">
        <w:rPr>
          <w:rFonts w:cstheme="minorHAnsi"/>
        </w:rPr>
        <w:t>policy-makers</w:t>
      </w:r>
      <w:proofErr w:type="gramEnd"/>
      <w:r w:rsidR="00836BFB">
        <w:rPr>
          <w:rFonts w:cstheme="minorHAnsi"/>
        </w:rPr>
        <w:t xml:space="preserve"> and public alike, the extent it was a policy success is less clear. </w:t>
      </w:r>
      <w:r w:rsidR="00F806D3">
        <w:rPr>
          <w:rFonts w:cstheme="minorHAnsi"/>
        </w:rPr>
        <w:t xml:space="preserve">The </w:t>
      </w:r>
      <w:r w:rsidR="00A45A63" w:rsidRPr="00E262B3">
        <w:rPr>
          <w:rFonts w:cstheme="minorHAnsi"/>
        </w:rPr>
        <w:t xml:space="preserve">principal </w:t>
      </w:r>
      <w:r w:rsidR="00A45A63">
        <w:rPr>
          <w:rFonts w:cstheme="minorHAnsi"/>
        </w:rPr>
        <w:t>policy objective</w:t>
      </w:r>
      <w:r w:rsidR="00FD478A">
        <w:rPr>
          <w:rFonts w:cstheme="minorHAnsi"/>
        </w:rPr>
        <w:t xml:space="preserve"> in 1969</w:t>
      </w:r>
      <w:r w:rsidR="00A45A63" w:rsidRPr="00E262B3">
        <w:rPr>
          <w:rFonts w:cstheme="minorHAnsi"/>
        </w:rPr>
        <w:t xml:space="preserve"> </w:t>
      </w:r>
      <w:r w:rsidR="00A45A63">
        <w:rPr>
          <w:rFonts w:cstheme="minorHAnsi"/>
        </w:rPr>
        <w:t xml:space="preserve">to </w:t>
      </w:r>
      <w:r w:rsidR="00A45A63" w:rsidRPr="00E262B3">
        <w:rPr>
          <w:rFonts w:cstheme="minorHAnsi"/>
        </w:rPr>
        <w:t>synchronis</w:t>
      </w:r>
      <w:r w:rsidR="00A45A63">
        <w:rPr>
          <w:rFonts w:cstheme="minorHAnsi"/>
        </w:rPr>
        <w:t>e</w:t>
      </w:r>
      <w:r w:rsidR="00A45A63" w:rsidRPr="00E262B3">
        <w:rPr>
          <w:rFonts w:cstheme="minorHAnsi"/>
        </w:rPr>
        <w:t xml:space="preserve"> and reify 18 as the age of adulthood</w:t>
      </w:r>
      <w:r w:rsidR="00A45A63">
        <w:rPr>
          <w:rFonts w:cstheme="minorHAnsi"/>
        </w:rPr>
        <w:t xml:space="preserve"> </w:t>
      </w:r>
      <w:r w:rsidR="00D26CB6">
        <w:rPr>
          <w:rFonts w:cstheme="minorHAnsi"/>
        </w:rPr>
        <w:t xml:space="preserve">has </w:t>
      </w:r>
      <w:r w:rsidR="00A45A63">
        <w:rPr>
          <w:rFonts w:cstheme="minorHAnsi"/>
        </w:rPr>
        <w:t>prove</w:t>
      </w:r>
      <w:r w:rsidR="00D26CB6">
        <w:rPr>
          <w:rFonts w:cstheme="minorHAnsi"/>
        </w:rPr>
        <w:t>d</w:t>
      </w:r>
      <w:r w:rsidR="00A45A63">
        <w:rPr>
          <w:rFonts w:cstheme="minorHAnsi"/>
        </w:rPr>
        <w:t xml:space="preserve"> largely successful</w:t>
      </w:r>
      <w:r w:rsidR="00D26CB6">
        <w:rPr>
          <w:rFonts w:cstheme="minorHAnsi"/>
        </w:rPr>
        <w:t xml:space="preserve"> over the past 50 years</w:t>
      </w:r>
      <w:r w:rsidR="00A45A63" w:rsidRPr="00E262B3">
        <w:rPr>
          <w:rFonts w:cstheme="minorHAnsi"/>
        </w:rPr>
        <w:t xml:space="preserve">. </w:t>
      </w:r>
      <w:r w:rsidR="00D26CB6">
        <w:rPr>
          <w:rFonts w:cstheme="minorHAnsi"/>
        </w:rPr>
        <w:t xml:space="preserve">The </w:t>
      </w:r>
      <w:r w:rsidR="00A45A63" w:rsidRPr="00E262B3">
        <w:rPr>
          <w:rFonts w:cstheme="minorHAnsi"/>
        </w:rPr>
        <w:t xml:space="preserve">age of majority established in the late 1960s </w:t>
      </w:r>
      <w:r w:rsidR="00D26CB6">
        <w:rPr>
          <w:rFonts w:cstheme="minorHAnsi"/>
        </w:rPr>
        <w:t>has</w:t>
      </w:r>
      <w:r w:rsidR="00A45A63">
        <w:rPr>
          <w:rFonts w:cstheme="minorHAnsi"/>
        </w:rPr>
        <w:t xml:space="preserve"> </w:t>
      </w:r>
      <w:r w:rsidR="00A45A63" w:rsidRPr="00E262B3">
        <w:rPr>
          <w:rFonts w:cstheme="minorHAnsi"/>
        </w:rPr>
        <w:t>remained static</w:t>
      </w:r>
      <w:r w:rsidR="00A45A63">
        <w:rPr>
          <w:rFonts w:cstheme="minorHAnsi"/>
        </w:rPr>
        <w:t xml:space="preserve"> and public opinion concur</w:t>
      </w:r>
      <w:r w:rsidR="008E4593">
        <w:rPr>
          <w:rFonts w:cstheme="minorHAnsi"/>
        </w:rPr>
        <w:t>s</w:t>
      </w:r>
      <w:r w:rsidR="00A45A63">
        <w:rPr>
          <w:rFonts w:cstheme="minorHAnsi"/>
        </w:rPr>
        <w:t xml:space="preserve"> that 18 is the age mostly commonly associated with adulthood</w:t>
      </w:r>
      <w:r w:rsidR="00F806D3">
        <w:rPr>
          <w:rFonts w:cstheme="minorHAnsi"/>
        </w:rPr>
        <w:t xml:space="preserve"> (</w:t>
      </w:r>
      <w:proofErr w:type="spellStart"/>
      <w:r w:rsidR="001279EF">
        <w:rPr>
          <w:rFonts w:cstheme="minorHAnsi"/>
        </w:rPr>
        <w:t>Mycock</w:t>
      </w:r>
      <w:proofErr w:type="spellEnd"/>
      <w:r w:rsidR="001279EF">
        <w:rPr>
          <w:rFonts w:cstheme="minorHAnsi"/>
        </w:rPr>
        <w:t xml:space="preserve"> et al.</w:t>
      </w:r>
      <w:r w:rsidR="00F806D3">
        <w:rPr>
          <w:rFonts w:cstheme="minorHAnsi"/>
        </w:rPr>
        <w:t>, 2020)</w:t>
      </w:r>
      <w:r w:rsidR="00A45A63">
        <w:rPr>
          <w:rFonts w:cstheme="minorHAnsi"/>
        </w:rPr>
        <w:t xml:space="preserve">. </w:t>
      </w:r>
      <w:r w:rsidR="00FD478A">
        <w:rPr>
          <w:rFonts w:cstheme="minorHAnsi"/>
        </w:rPr>
        <w:t>Indeed</w:t>
      </w:r>
      <w:r w:rsidR="00A45A63">
        <w:rPr>
          <w:rFonts w:cstheme="minorHAnsi"/>
        </w:rPr>
        <w:t xml:space="preserve">, </w:t>
      </w:r>
      <w:proofErr w:type="gramStart"/>
      <w:r w:rsidR="00A45A63">
        <w:rPr>
          <w:rFonts w:cstheme="minorHAnsi"/>
        </w:rPr>
        <w:t>policy-makers</w:t>
      </w:r>
      <w:proofErr w:type="gramEnd"/>
      <w:r w:rsidR="00A45A63">
        <w:rPr>
          <w:rFonts w:cstheme="minorHAnsi"/>
        </w:rPr>
        <w:t xml:space="preserve"> have </w:t>
      </w:r>
      <w:r w:rsidR="00D26CB6">
        <w:rPr>
          <w:rFonts w:cstheme="minorHAnsi"/>
        </w:rPr>
        <w:t>continued to</w:t>
      </w:r>
      <w:r w:rsidR="00A45A63">
        <w:rPr>
          <w:rFonts w:cstheme="minorHAnsi"/>
        </w:rPr>
        <w:t xml:space="preserve"> coalesce protective, civic, and welfare rights around the age of 18.</w:t>
      </w:r>
      <w:r w:rsidR="00A45A63">
        <w:rPr>
          <w:rFonts w:eastAsia="Times New Roman" w:cs="Arial"/>
          <w:color w:val="222222"/>
          <w:shd w:val="clear" w:color="auto" w:fill="FFFFFF"/>
        </w:rPr>
        <w:t xml:space="preserve"> </w:t>
      </w:r>
      <w:r w:rsidR="00FD478A">
        <w:rPr>
          <w:rFonts w:eastAsia="Times New Roman" w:cs="Arial"/>
          <w:color w:val="222222"/>
          <w:shd w:val="clear" w:color="auto" w:fill="FFFFFF"/>
        </w:rPr>
        <w:t>For example, t</w:t>
      </w:r>
      <w:r w:rsidR="00491D67">
        <w:rPr>
          <w:rFonts w:eastAsia="Times New Roman" w:cs="Arial"/>
          <w:color w:val="222222"/>
          <w:shd w:val="clear" w:color="auto" w:fill="FFFFFF"/>
        </w:rPr>
        <w:t xml:space="preserve">he age of </w:t>
      </w:r>
      <w:r w:rsidR="00E62CBE">
        <w:rPr>
          <w:rFonts w:eastAsia="Times New Roman" w:cs="Arial"/>
          <w:color w:val="222222"/>
          <w:shd w:val="clear" w:color="auto" w:fill="FFFFFF"/>
        </w:rPr>
        <w:t xml:space="preserve">jury service was lowered to 18 in 1972 and </w:t>
      </w:r>
      <w:r w:rsidR="00FD478A">
        <w:rPr>
          <w:rFonts w:eastAsia="Times New Roman" w:cs="Arial"/>
          <w:color w:val="222222"/>
          <w:shd w:val="clear" w:color="auto" w:fill="FFFFFF"/>
        </w:rPr>
        <w:t xml:space="preserve">the age of </w:t>
      </w:r>
      <w:r w:rsidR="00491D67">
        <w:rPr>
          <w:rFonts w:eastAsia="Times New Roman" w:cs="Arial"/>
          <w:color w:val="222222"/>
          <w:shd w:val="clear" w:color="auto" w:fill="FFFFFF"/>
        </w:rPr>
        <w:t xml:space="preserve">candidacy </w:t>
      </w:r>
      <w:r w:rsidR="00E62CBE">
        <w:rPr>
          <w:rFonts w:eastAsia="Times New Roman" w:cs="Arial"/>
          <w:color w:val="222222"/>
          <w:shd w:val="clear" w:color="auto" w:fill="FFFFFF"/>
        </w:rPr>
        <w:t>followed suit</w:t>
      </w:r>
      <w:r w:rsidR="00491D67">
        <w:rPr>
          <w:rFonts w:eastAsia="Times New Roman" w:cs="Arial"/>
          <w:color w:val="222222"/>
          <w:shd w:val="clear" w:color="auto" w:fill="FFFFFF"/>
        </w:rPr>
        <w:t xml:space="preserve"> in 200</w:t>
      </w:r>
      <w:r w:rsidR="00E62CBE">
        <w:rPr>
          <w:rFonts w:eastAsia="Times New Roman" w:cs="Arial"/>
          <w:color w:val="222222"/>
          <w:shd w:val="clear" w:color="auto" w:fill="FFFFFF"/>
        </w:rPr>
        <w:t>6</w:t>
      </w:r>
      <w:r w:rsidR="00491D67">
        <w:rPr>
          <w:rFonts w:eastAsia="Times New Roman" w:cs="Arial"/>
          <w:color w:val="222222"/>
          <w:shd w:val="clear" w:color="auto" w:fill="FFFFFF"/>
        </w:rPr>
        <w:t xml:space="preserve">. </w:t>
      </w:r>
      <w:r w:rsidR="00A45A63">
        <w:rPr>
          <w:rFonts w:eastAsia="Times New Roman" w:cs="Arial"/>
          <w:color w:val="222222"/>
          <w:shd w:val="clear" w:color="auto" w:fill="FFFFFF"/>
        </w:rPr>
        <w:t>T</w:t>
      </w:r>
      <w:r w:rsidR="00A45A63" w:rsidRPr="00E262B3">
        <w:rPr>
          <w:rFonts w:eastAsia="Times New Roman" w:cs="Arial"/>
          <w:bCs/>
          <w:color w:val="222222"/>
        </w:rPr>
        <w:t xml:space="preserve">he introduction of the Children Act 1989 appeared to confirm that </w:t>
      </w:r>
      <w:proofErr w:type="gramStart"/>
      <w:r w:rsidR="00A45A63" w:rsidRPr="00E262B3">
        <w:rPr>
          <w:rFonts w:eastAsia="Times New Roman" w:cs="Arial"/>
          <w:bCs/>
          <w:color w:val="222222"/>
        </w:rPr>
        <w:t>policy-makers</w:t>
      </w:r>
      <w:proofErr w:type="gramEnd"/>
      <w:r w:rsidR="00A45A63" w:rsidRPr="00E262B3">
        <w:rPr>
          <w:rFonts w:eastAsia="Times New Roman" w:cs="Arial"/>
          <w:bCs/>
          <w:color w:val="222222"/>
        </w:rPr>
        <w:t xml:space="preserve"> considered 18 the age of adulthood</w:t>
      </w:r>
      <w:r w:rsidR="00FA052E">
        <w:rPr>
          <w:rFonts w:eastAsia="Times New Roman" w:cs="Arial"/>
          <w:bCs/>
          <w:color w:val="222222"/>
        </w:rPr>
        <w:t>,</w:t>
      </w:r>
      <w:r w:rsidR="00A45A63" w:rsidRPr="00E262B3">
        <w:rPr>
          <w:rFonts w:eastAsia="Times New Roman" w:cs="Arial"/>
          <w:color w:val="222222"/>
          <w:shd w:val="clear" w:color="auto" w:fill="FFFFFF"/>
        </w:rPr>
        <w:t xml:space="preserve"> as it compelled local authorities, courts, parents, and other agencies to promote the safeguarding and welfare of all young people under 18. </w:t>
      </w:r>
      <w:r w:rsidR="00A45A63" w:rsidRPr="00E262B3">
        <w:rPr>
          <w:rFonts w:cstheme="minorHAnsi"/>
        </w:rPr>
        <w:t xml:space="preserve">In England and Wales, </w:t>
      </w:r>
      <w:r w:rsidR="00A45A63" w:rsidRPr="00E262B3">
        <w:rPr>
          <w:rFonts w:cs="Arial"/>
          <w:color w:val="222222"/>
          <w:shd w:val="clear" w:color="auto" w:fill="FFFFFF"/>
        </w:rPr>
        <w:t>legislation came into force between 2008 and 2015 which determined th</w:t>
      </w:r>
      <w:r w:rsidR="00FD478A">
        <w:rPr>
          <w:rFonts w:cs="Arial"/>
          <w:color w:val="222222"/>
          <w:shd w:val="clear" w:color="auto" w:fill="FFFFFF"/>
        </w:rPr>
        <w:t>at</w:t>
      </w:r>
      <w:r w:rsidR="00A45A63" w:rsidRPr="00E262B3">
        <w:rPr>
          <w:rFonts w:cs="Arial"/>
          <w:color w:val="222222"/>
          <w:shd w:val="clear" w:color="auto" w:fill="FFFFFF"/>
        </w:rPr>
        <w:t xml:space="preserve"> young people must remain in some form of statutory education or volunteering until 18. </w:t>
      </w:r>
    </w:p>
    <w:p w14:paraId="7DD3FB9C" w14:textId="1266E2AA" w:rsidR="00F806D3" w:rsidRDefault="005D2528" w:rsidP="009B5904">
      <w:pPr>
        <w:spacing w:line="360" w:lineRule="auto"/>
        <w:jc w:val="both"/>
        <w:rPr>
          <w:rFonts w:cstheme="minorHAnsi"/>
        </w:rPr>
      </w:pPr>
      <w:r>
        <w:rPr>
          <w:rFonts w:cstheme="minorHAnsi"/>
        </w:rPr>
        <w:lastRenderedPageBreak/>
        <w:t>During the same period,</w:t>
      </w:r>
      <w:r w:rsidR="00A45A63">
        <w:rPr>
          <w:rFonts w:cstheme="minorHAnsi"/>
        </w:rPr>
        <w:t xml:space="preserve"> the acquisition of age-related rights and responsibilities </w:t>
      </w:r>
      <w:r w:rsidR="00F806D3">
        <w:rPr>
          <w:rFonts w:cstheme="minorHAnsi"/>
        </w:rPr>
        <w:t>have</w:t>
      </w:r>
      <w:r w:rsidR="00A45A63">
        <w:rPr>
          <w:rFonts w:cstheme="minorHAnsi"/>
        </w:rPr>
        <w:t xml:space="preserve"> </w:t>
      </w:r>
      <w:r>
        <w:rPr>
          <w:rFonts w:cstheme="minorHAnsi"/>
        </w:rPr>
        <w:t xml:space="preserve">also </w:t>
      </w:r>
      <w:r w:rsidR="00A45A63">
        <w:rPr>
          <w:rFonts w:cstheme="minorHAnsi"/>
        </w:rPr>
        <w:t>become increasingly stratified and extended</w:t>
      </w:r>
      <w:r w:rsidR="00EF7185">
        <w:rPr>
          <w:rFonts w:cstheme="minorHAnsi"/>
        </w:rPr>
        <w:t>, thus r</w:t>
      </w:r>
      <w:r w:rsidR="00E61C45">
        <w:rPr>
          <w:rFonts w:cstheme="minorHAnsi"/>
        </w:rPr>
        <w:t>ecalibrati</w:t>
      </w:r>
      <w:r w:rsidR="00EF7185">
        <w:rPr>
          <w:rFonts w:cstheme="minorHAnsi"/>
        </w:rPr>
        <w:t>ng</w:t>
      </w:r>
      <w:r w:rsidR="00E61C45">
        <w:rPr>
          <w:rFonts w:cstheme="minorHAnsi"/>
        </w:rPr>
        <w:t xml:space="preserve"> </w:t>
      </w:r>
      <w:r w:rsidR="00F806D3">
        <w:rPr>
          <w:rFonts w:cstheme="minorHAnsi"/>
        </w:rPr>
        <w:t>youth</w:t>
      </w:r>
      <w:r w:rsidR="00A45A63">
        <w:rPr>
          <w:rFonts w:cstheme="minorHAnsi"/>
        </w:rPr>
        <w:t xml:space="preserve"> transitions to adulthood</w:t>
      </w:r>
      <w:r w:rsidR="00E61C45">
        <w:rPr>
          <w:rFonts w:cstheme="minorHAnsi"/>
        </w:rPr>
        <w:t xml:space="preserve"> as understood in the late 1960s. S</w:t>
      </w:r>
      <w:r w:rsidR="00A45A63" w:rsidRPr="00E262B3">
        <w:rPr>
          <w:rFonts w:cstheme="minorHAnsi"/>
        </w:rPr>
        <w:t>ocio-cultural change has seen maturity framed and understood in ways which have altered public perceptions of youthhood and adulthood</w:t>
      </w:r>
      <w:r w:rsidR="00D764B9">
        <w:rPr>
          <w:rFonts w:cstheme="minorHAnsi"/>
        </w:rPr>
        <w:t xml:space="preserve"> (Furlong, 2016)</w:t>
      </w:r>
      <w:r w:rsidR="00A45A63" w:rsidRPr="00E262B3">
        <w:rPr>
          <w:rFonts w:cstheme="minorHAnsi"/>
        </w:rPr>
        <w:t xml:space="preserve">. For example, many of the established markers </w:t>
      </w:r>
      <w:r w:rsidR="00DE022B">
        <w:rPr>
          <w:rFonts w:cstheme="minorHAnsi"/>
        </w:rPr>
        <w:t>connected to</w:t>
      </w:r>
      <w:r w:rsidR="00A45A63" w:rsidRPr="00E262B3">
        <w:rPr>
          <w:rFonts w:cstheme="minorHAnsi"/>
        </w:rPr>
        <w:t xml:space="preserve"> adulthood, including leaving home, buying </w:t>
      </w:r>
      <w:r w:rsidR="00E20021">
        <w:rPr>
          <w:rFonts w:cstheme="minorHAnsi"/>
        </w:rPr>
        <w:t xml:space="preserve">a </w:t>
      </w:r>
      <w:r w:rsidR="00A45A63" w:rsidRPr="00E262B3">
        <w:rPr>
          <w:rFonts w:cstheme="minorHAnsi"/>
        </w:rPr>
        <w:t>house, getting married, or having children, are</w:t>
      </w:r>
      <w:r w:rsidR="00F806D3">
        <w:rPr>
          <w:rFonts w:cstheme="minorHAnsi"/>
        </w:rPr>
        <w:t xml:space="preserve"> now</w:t>
      </w:r>
      <w:r w:rsidR="00A45A63" w:rsidRPr="00E262B3">
        <w:rPr>
          <w:rFonts w:cstheme="minorHAnsi"/>
        </w:rPr>
        <w:t xml:space="preserve"> increasingly deferred by young people</w:t>
      </w:r>
      <w:r w:rsidR="00D764B9">
        <w:rPr>
          <w:rFonts w:cstheme="minorHAnsi"/>
        </w:rPr>
        <w:t xml:space="preserve"> (Gifford et al., 2014)</w:t>
      </w:r>
      <w:r w:rsidR="00A45A63" w:rsidRPr="00E262B3">
        <w:rPr>
          <w:rFonts w:cstheme="minorHAnsi"/>
        </w:rPr>
        <w:t>. Conversely, a range of economic and social rights and responsibilities are realised at 16 years of age</w:t>
      </w:r>
      <w:r w:rsidR="00F806D3">
        <w:rPr>
          <w:rFonts w:cstheme="minorHAnsi"/>
        </w:rPr>
        <w:t xml:space="preserve"> or earlier</w:t>
      </w:r>
      <w:r w:rsidR="00A45A63" w:rsidRPr="00E262B3">
        <w:rPr>
          <w:rFonts w:cstheme="minorHAnsi"/>
        </w:rPr>
        <w:t xml:space="preserve">, such as </w:t>
      </w:r>
      <w:r w:rsidR="00A45A63">
        <w:rPr>
          <w:rFonts w:cstheme="minorHAnsi"/>
        </w:rPr>
        <w:t>medical consent,</w:t>
      </w:r>
      <w:r w:rsidR="0029243A" w:rsidDel="0029243A">
        <w:rPr>
          <w:rFonts w:cstheme="minorHAnsi"/>
        </w:rPr>
        <w:t xml:space="preserve"> </w:t>
      </w:r>
      <w:r w:rsidR="00AE125C">
        <w:rPr>
          <w:rFonts w:cstheme="minorHAnsi"/>
        </w:rPr>
        <w:t xml:space="preserve">paying tax, </w:t>
      </w:r>
      <w:r w:rsidR="00A45A63" w:rsidRPr="00E262B3">
        <w:rPr>
          <w:rFonts w:cstheme="minorHAnsi"/>
        </w:rPr>
        <w:t>consensual sex and marriage, and military service</w:t>
      </w:r>
      <w:r w:rsidR="00F806D3">
        <w:rPr>
          <w:rFonts w:cstheme="minorHAnsi"/>
        </w:rPr>
        <w:t>.</w:t>
      </w:r>
      <w:r w:rsidR="00EF7185">
        <w:rPr>
          <w:rFonts w:cstheme="minorHAnsi"/>
        </w:rPr>
        <w:t xml:space="preserve"> Since the late 1990s, d</w:t>
      </w:r>
      <w:r w:rsidR="00D26CB6">
        <w:rPr>
          <w:rFonts w:cstheme="minorHAnsi"/>
        </w:rPr>
        <w:t xml:space="preserve">evolution across the UK has </w:t>
      </w:r>
      <w:r w:rsidR="00E61C45">
        <w:rPr>
          <w:rFonts w:cstheme="minorHAnsi"/>
        </w:rPr>
        <w:t xml:space="preserve">also </w:t>
      </w:r>
      <w:r w:rsidR="00D26CB6">
        <w:rPr>
          <w:rFonts w:cstheme="minorHAnsi"/>
        </w:rPr>
        <w:t xml:space="preserve">seen ages of majority become increasingly </w:t>
      </w:r>
      <w:r w:rsidR="00E61C45">
        <w:rPr>
          <w:rFonts w:cstheme="minorHAnsi"/>
        </w:rPr>
        <w:t>differentiated</w:t>
      </w:r>
      <w:r w:rsidR="00D26CB6">
        <w:rPr>
          <w:rFonts w:cstheme="minorHAnsi"/>
        </w:rPr>
        <w:t xml:space="preserve"> </w:t>
      </w:r>
      <w:r w:rsidR="00EF7185">
        <w:rPr>
          <w:rFonts w:cstheme="minorHAnsi"/>
        </w:rPr>
        <w:t xml:space="preserve">in sub-state </w:t>
      </w:r>
      <w:r w:rsidR="00D26CB6">
        <w:rPr>
          <w:rFonts w:cstheme="minorHAnsi"/>
        </w:rPr>
        <w:t xml:space="preserve">national or regional contexts. </w:t>
      </w:r>
    </w:p>
    <w:p w14:paraId="7693D4F1" w14:textId="564BAE11" w:rsidR="00A45A63" w:rsidRPr="00A45A63" w:rsidRDefault="00273CAD" w:rsidP="009B5904">
      <w:pPr>
        <w:spacing w:line="360" w:lineRule="auto"/>
        <w:jc w:val="both"/>
        <w:rPr>
          <w:rFonts w:cstheme="minorHAnsi"/>
        </w:rPr>
      </w:pPr>
      <w:r>
        <w:rPr>
          <w:rFonts w:cstheme="minorHAnsi"/>
        </w:rPr>
        <w:t>It is noteworthy that this</w:t>
      </w:r>
      <w:r w:rsidR="00D26CB6" w:rsidRPr="00E262B3">
        <w:rPr>
          <w:rFonts w:cstheme="minorHAnsi"/>
        </w:rPr>
        <w:t xml:space="preserve"> variable geometry of adulthood </w:t>
      </w:r>
      <w:r w:rsidR="0066172B">
        <w:rPr>
          <w:rFonts w:cstheme="minorHAnsi"/>
        </w:rPr>
        <w:t xml:space="preserve">is </w:t>
      </w:r>
      <w:r w:rsidR="00661CEF">
        <w:rPr>
          <w:rFonts w:cstheme="minorHAnsi"/>
        </w:rPr>
        <w:t>a critical theme in debates concerning</w:t>
      </w:r>
      <w:r w:rsidR="00D26CB6" w:rsidRPr="00E262B3">
        <w:rPr>
          <w:rFonts w:cstheme="minorHAnsi"/>
        </w:rPr>
        <w:t xml:space="preserve"> ‘</w:t>
      </w:r>
      <w:r w:rsidR="00D26CB6">
        <w:rPr>
          <w:rFonts w:cstheme="minorHAnsi"/>
        </w:rPr>
        <w:t>V</w:t>
      </w:r>
      <w:r w:rsidR="00D26CB6" w:rsidRPr="00E262B3">
        <w:rPr>
          <w:rFonts w:cstheme="minorHAnsi"/>
        </w:rPr>
        <w:t>otes</w:t>
      </w:r>
      <w:r w:rsidR="00D26CB6">
        <w:rPr>
          <w:rFonts w:cstheme="minorHAnsi"/>
        </w:rPr>
        <w:t>-</w:t>
      </w:r>
      <w:r w:rsidR="00D26CB6" w:rsidRPr="00E262B3">
        <w:rPr>
          <w:rFonts w:cstheme="minorHAnsi"/>
        </w:rPr>
        <w:t>at</w:t>
      </w:r>
      <w:r w:rsidR="00D26CB6">
        <w:rPr>
          <w:rFonts w:cstheme="minorHAnsi"/>
        </w:rPr>
        <w:t>-</w:t>
      </w:r>
      <w:r w:rsidR="00D26CB6" w:rsidRPr="00E262B3">
        <w:rPr>
          <w:rFonts w:cstheme="minorHAnsi"/>
        </w:rPr>
        <w:t>16’</w:t>
      </w:r>
      <w:r w:rsidR="00661CEF">
        <w:rPr>
          <w:rFonts w:cstheme="minorHAnsi"/>
        </w:rPr>
        <w:t xml:space="preserve">, with both </w:t>
      </w:r>
      <w:r w:rsidR="00661CEF" w:rsidRPr="00E262B3">
        <w:rPr>
          <w:rFonts w:cstheme="minorHAnsi"/>
        </w:rPr>
        <w:t xml:space="preserve">advocates </w:t>
      </w:r>
      <w:r w:rsidR="00661CEF" w:rsidRPr="00E262B3">
        <w:rPr>
          <w:rFonts w:cstheme="minorHAnsi"/>
          <w:i/>
        </w:rPr>
        <w:t>and</w:t>
      </w:r>
      <w:r w:rsidR="00661CEF" w:rsidRPr="00E262B3">
        <w:rPr>
          <w:rFonts w:cstheme="minorHAnsi"/>
        </w:rPr>
        <w:t xml:space="preserve"> opponents </w:t>
      </w:r>
      <w:r w:rsidR="00D26CB6">
        <w:rPr>
          <w:rFonts w:cstheme="minorHAnsi"/>
        </w:rPr>
        <w:t>reproduc</w:t>
      </w:r>
      <w:r w:rsidR="00661CEF">
        <w:rPr>
          <w:rFonts w:cstheme="minorHAnsi"/>
        </w:rPr>
        <w:t>ing</w:t>
      </w:r>
      <w:r w:rsidR="00D26CB6" w:rsidRPr="00E262B3">
        <w:rPr>
          <w:rFonts w:cstheme="minorHAnsi"/>
        </w:rPr>
        <w:t xml:space="preserve"> age symmetry arguments which were influential in </w:t>
      </w:r>
      <w:r w:rsidR="00D26CB6">
        <w:rPr>
          <w:rFonts w:cstheme="minorHAnsi"/>
        </w:rPr>
        <w:t xml:space="preserve">shaping </w:t>
      </w:r>
      <w:r w:rsidR="00D26CB6" w:rsidRPr="00E262B3">
        <w:rPr>
          <w:rFonts w:cstheme="minorHAnsi"/>
        </w:rPr>
        <w:t>debates in the late 1960s.</w:t>
      </w:r>
      <w:r w:rsidR="00D26CB6">
        <w:rPr>
          <w:rFonts w:cstheme="minorHAnsi"/>
        </w:rPr>
        <w:t xml:space="preserve"> Supporters</w:t>
      </w:r>
      <w:r w:rsidR="00F806D3" w:rsidRPr="00E262B3">
        <w:rPr>
          <w:rFonts w:cstheme="minorHAnsi"/>
        </w:rPr>
        <w:t xml:space="preserve"> of </w:t>
      </w:r>
      <w:r>
        <w:rPr>
          <w:rFonts w:cstheme="minorHAnsi"/>
        </w:rPr>
        <w:t xml:space="preserve">‘Votes-at-16’ </w:t>
      </w:r>
      <w:r w:rsidR="00A45A63" w:rsidRPr="00E262B3">
        <w:rPr>
          <w:rFonts w:cstheme="minorHAnsi"/>
        </w:rPr>
        <w:t xml:space="preserve">argue </w:t>
      </w:r>
      <w:r w:rsidR="005D2528">
        <w:rPr>
          <w:rFonts w:cstheme="minorHAnsi"/>
        </w:rPr>
        <w:t xml:space="preserve">the </w:t>
      </w:r>
      <w:r w:rsidR="00A45A63" w:rsidRPr="00E262B3">
        <w:rPr>
          <w:rFonts w:cstheme="minorHAnsi"/>
        </w:rPr>
        <w:t>significan</w:t>
      </w:r>
      <w:r w:rsidR="005D2528">
        <w:rPr>
          <w:rFonts w:cstheme="minorHAnsi"/>
        </w:rPr>
        <w:t xml:space="preserve">ce of the rights acquired at </w:t>
      </w:r>
      <w:r>
        <w:rPr>
          <w:rFonts w:cstheme="minorHAnsi"/>
        </w:rPr>
        <w:t>that age</w:t>
      </w:r>
      <w:r w:rsidR="005D2528">
        <w:rPr>
          <w:rFonts w:cstheme="minorHAnsi"/>
        </w:rPr>
        <w:t xml:space="preserve"> </w:t>
      </w:r>
      <w:r w:rsidR="00A45A63" w:rsidRPr="00E262B3">
        <w:rPr>
          <w:rFonts w:cstheme="minorHAnsi"/>
        </w:rPr>
        <w:t xml:space="preserve">mark </w:t>
      </w:r>
      <w:r w:rsidR="005D2528">
        <w:rPr>
          <w:rFonts w:cstheme="minorHAnsi"/>
        </w:rPr>
        <w:t>the beginning of</w:t>
      </w:r>
      <w:r w:rsidR="00A45A63" w:rsidRPr="00E262B3">
        <w:rPr>
          <w:rFonts w:cstheme="minorHAnsi"/>
        </w:rPr>
        <w:t xml:space="preserve"> adulthood </w:t>
      </w:r>
      <w:r w:rsidR="005D2528">
        <w:rPr>
          <w:rFonts w:cstheme="minorHAnsi"/>
        </w:rPr>
        <w:t>and should</w:t>
      </w:r>
      <w:r w:rsidR="00A45A63" w:rsidRPr="00E262B3">
        <w:rPr>
          <w:rFonts w:cstheme="minorHAnsi"/>
        </w:rPr>
        <w:t xml:space="preserve"> be complemented with the right to vote (</w:t>
      </w:r>
      <w:r w:rsidR="008A76DD">
        <w:rPr>
          <w:rFonts w:cstheme="minorHAnsi"/>
        </w:rPr>
        <w:t xml:space="preserve">e.g. </w:t>
      </w:r>
      <w:r w:rsidR="00A45A63" w:rsidRPr="00E262B3">
        <w:rPr>
          <w:rFonts w:cstheme="minorHAnsi"/>
        </w:rPr>
        <w:t>Adonis and Tyndall, 2013). Those supporting th</w:t>
      </w:r>
      <w:r>
        <w:rPr>
          <w:rFonts w:cstheme="minorHAnsi"/>
        </w:rPr>
        <w:t>e age of enfranchisement at 18</w:t>
      </w:r>
      <w:r w:rsidR="00A45A63" w:rsidRPr="00E262B3">
        <w:rPr>
          <w:rFonts w:cstheme="minorHAnsi"/>
        </w:rPr>
        <w:t xml:space="preserve"> respond by noting </w:t>
      </w:r>
      <w:r w:rsidR="00BD2679">
        <w:rPr>
          <w:rFonts w:cstheme="minorHAnsi"/>
        </w:rPr>
        <w:t xml:space="preserve">that </w:t>
      </w:r>
      <w:r>
        <w:rPr>
          <w:rFonts w:cstheme="minorHAnsi"/>
        </w:rPr>
        <w:t>it</w:t>
      </w:r>
      <w:r w:rsidR="00A45A63" w:rsidRPr="00E262B3">
        <w:rPr>
          <w:rFonts w:cstheme="minorHAnsi"/>
        </w:rPr>
        <w:t xml:space="preserve"> remains the age where most </w:t>
      </w:r>
      <w:r>
        <w:rPr>
          <w:rFonts w:cstheme="minorHAnsi"/>
        </w:rPr>
        <w:t xml:space="preserve">significant </w:t>
      </w:r>
      <w:r w:rsidR="00A45A63" w:rsidRPr="00E262B3">
        <w:rPr>
          <w:rFonts w:cstheme="minorHAnsi"/>
        </w:rPr>
        <w:t>rights coalesce and are realised</w:t>
      </w:r>
      <w:r w:rsidR="00DE022B">
        <w:rPr>
          <w:rFonts w:cstheme="minorHAnsi"/>
        </w:rPr>
        <w:t>,</w:t>
      </w:r>
      <w:r w:rsidR="00A45A63" w:rsidRPr="00E262B3">
        <w:rPr>
          <w:rFonts w:cstheme="minorHAnsi"/>
        </w:rPr>
        <w:t xml:space="preserve"> and that there </w:t>
      </w:r>
      <w:r w:rsidR="00D7520D">
        <w:rPr>
          <w:rFonts w:cstheme="minorHAnsi"/>
        </w:rPr>
        <w:t>has been</w:t>
      </w:r>
      <w:r w:rsidR="00A45A63" w:rsidRPr="00E262B3">
        <w:rPr>
          <w:rFonts w:cstheme="minorHAnsi"/>
        </w:rPr>
        <w:t xml:space="preserve"> a general upward trajectory in ages of responsibility </w:t>
      </w:r>
      <w:r w:rsidR="00D7520D">
        <w:rPr>
          <w:rFonts w:cstheme="minorHAnsi"/>
        </w:rPr>
        <w:t xml:space="preserve">over the past two decades or so </w:t>
      </w:r>
      <w:r w:rsidR="00A45A63" w:rsidRPr="00E262B3">
        <w:rPr>
          <w:rFonts w:cstheme="minorHAnsi"/>
        </w:rPr>
        <w:t>(</w:t>
      </w:r>
      <w:proofErr w:type="gramStart"/>
      <w:r w:rsidR="00A45A63" w:rsidRPr="00E262B3">
        <w:rPr>
          <w:rFonts w:cstheme="minorHAnsi"/>
        </w:rPr>
        <w:t>e.g.</w:t>
      </w:r>
      <w:proofErr w:type="gramEnd"/>
      <w:r w:rsidR="00A45A63" w:rsidRPr="00E262B3">
        <w:rPr>
          <w:rFonts w:cstheme="minorHAnsi"/>
        </w:rPr>
        <w:t xml:space="preserve"> Russell, 2014).</w:t>
      </w:r>
      <w:r>
        <w:rPr>
          <w:rFonts w:ascii="Calibri" w:hAnsi="Calibri"/>
        </w:rPr>
        <w:t xml:space="preserve"> However, s</w:t>
      </w:r>
      <w:r w:rsidR="00A45A63">
        <w:rPr>
          <w:rFonts w:ascii="Calibri" w:hAnsi="Calibri"/>
        </w:rPr>
        <w:t>uccessive UK governments</w:t>
      </w:r>
      <w:r w:rsidR="00D7520D">
        <w:rPr>
          <w:rFonts w:ascii="Calibri" w:hAnsi="Calibri"/>
        </w:rPr>
        <w:t xml:space="preserve">, </w:t>
      </w:r>
      <w:r w:rsidR="00661CEF">
        <w:rPr>
          <w:rFonts w:ascii="Calibri" w:hAnsi="Calibri"/>
        </w:rPr>
        <w:t>and</w:t>
      </w:r>
      <w:r w:rsidR="00D7520D">
        <w:rPr>
          <w:rFonts w:ascii="Calibri" w:hAnsi="Calibri"/>
        </w:rPr>
        <w:t xml:space="preserve"> their devolved sub-state national counterparts, </w:t>
      </w:r>
      <w:r>
        <w:rPr>
          <w:rFonts w:ascii="Calibri" w:hAnsi="Calibri"/>
        </w:rPr>
        <w:t>have not sought to</w:t>
      </w:r>
      <w:r w:rsidR="00A45A63">
        <w:rPr>
          <w:rFonts w:ascii="Calibri" w:hAnsi="Calibri"/>
        </w:rPr>
        <w:t xml:space="preserve"> undertake </w:t>
      </w:r>
      <w:r>
        <w:rPr>
          <w:rFonts w:ascii="Calibri" w:hAnsi="Calibri"/>
        </w:rPr>
        <w:t>further</w:t>
      </w:r>
      <w:r w:rsidR="00A45A63">
        <w:rPr>
          <w:rFonts w:ascii="Calibri" w:hAnsi="Calibri"/>
        </w:rPr>
        <w:t xml:space="preserve"> review </w:t>
      </w:r>
      <w:r w:rsidR="001737DC">
        <w:rPr>
          <w:rFonts w:ascii="Calibri" w:hAnsi="Calibri"/>
        </w:rPr>
        <w:t xml:space="preserve">of </w:t>
      </w:r>
      <w:r w:rsidR="00661CEF">
        <w:rPr>
          <w:rFonts w:ascii="Calibri" w:hAnsi="Calibri"/>
        </w:rPr>
        <w:t>the age of majority</w:t>
      </w:r>
      <w:r w:rsidR="00BF617A">
        <w:rPr>
          <w:rFonts w:ascii="Calibri" w:hAnsi="Calibri"/>
        </w:rPr>
        <w:t xml:space="preserve"> </w:t>
      </w:r>
      <w:r w:rsidR="001737DC">
        <w:rPr>
          <w:rFonts w:ascii="Calibri" w:hAnsi="Calibri"/>
        </w:rPr>
        <w:t>akin to that</w:t>
      </w:r>
      <w:r w:rsidR="00BD2679">
        <w:rPr>
          <w:rFonts w:ascii="Calibri" w:hAnsi="Calibri"/>
        </w:rPr>
        <w:t xml:space="preserve"> </w:t>
      </w:r>
      <w:r w:rsidR="00A45A63">
        <w:rPr>
          <w:rFonts w:ascii="Calibri" w:hAnsi="Calibri"/>
        </w:rPr>
        <w:t xml:space="preserve">the </w:t>
      </w:r>
      <w:proofErr w:type="spellStart"/>
      <w:r w:rsidR="00A45A63">
        <w:rPr>
          <w:rFonts w:ascii="Calibri" w:hAnsi="Calibri"/>
        </w:rPr>
        <w:t>Latey</w:t>
      </w:r>
      <w:proofErr w:type="spellEnd"/>
      <w:r w:rsidR="00A45A63">
        <w:rPr>
          <w:rFonts w:ascii="Calibri" w:hAnsi="Calibri"/>
        </w:rPr>
        <w:t xml:space="preserve"> Commission</w:t>
      </w:r>
      <w:r w:rsidR="001737DC">
        <w:rPr>
          <w:rFonts w:ascii="Calibri" w:hAnsi="Calibri"/>
        </w:rPr>
        <w:t>,</w:t>
      </w:r>
      <w:r w:rsidR="00A45A63">
        <w:rPr>
          <w:rFonts w:ascii="Calibri" w:hAnsi="Calibri"/>
        </w:rPr>
        <w:t xml:space="preserve"> </w:t>
      </w:r>
      <w:r w:rsidR="00661CEF">
        <w:rPr>
          <w:rFonts w:ascii="Calibri" w:hAnsi="Calibri"/>
        </w:rPr>
        <w:t>or consider its</w:t>
      </w:r>
      <w:r w:rsidR="00A45A63">
        <w:rPr>
          <w:rFonts w:ascii="Calibri" w:hAnsi="Calibri"/>
        </w:rPr>
        <w:t xml:space="preserve"> relationship </w:t>
      </w:r>
      <w:r w:rsidR="001737DC">
        <w:rPr>
          <w:rFonts w:ascii="Calibri" w:hAnsi="Calibri"/>
        </w:rPr>
        <w:t xml:space="preserve">to </w:t>
      </w:r>
      <w:r w:rsidR="00A45A63">
        <w:rPr>
          <w:rFonts w:ascii="Calibri" w:hAnsi="Calibri"/>
        </w:rPr>
        <w:t xml:space="preserve">the voting age. </w:t>
      </w:r>
    </w:p>
    <w:p w14:paraId="5981E4D1" w14:textId="42DF73BB" w:rsidR="00D7520D" w:rsidRDefault="00DD4322" w:rsidP="009B5904">
      <w:pPr>
        <w:spacing w:line="360" w:lineRule="auto"/>
        <w:jc w:val="both"/>
        <w:rPr>
          <w:rFonts w:cs="Arial"/>
          <w:shd w:val="clear" w:color="auto" w:fill="FFFFFF"/>
        </w:rPr>
      </w:pPr>
      <w:r>
        <w:rPr>
          <w:rFonts w:cstheme="minorHAnsi"/>
        </w:rPr>
        <w:t xml:space="preserve">The impact of lowering the voting age to 18 </w:t>
      </w:r>
      <w:r w:rsidR="00D7520D">
        <w:rPr>
          <w:rFonts w:cstheme="minorHAnsi"/>
        </w:rPr>
        <w:t>was also</w:t>
      </w:r>
      <w:r>
        <w:rPr>
          <w:rFonts w:cstheme="minorHAnsi"/>
        </w:rPr>
        <w:t xml:space="preserve"> far-reaching and unprecedented in terms of youth </w:t>
      </w:r>
      <w:r w:rsidR="00EF7185">
        <w:rPr>
          <w:rFonts w:cstheme="minorHAnsi"/>
        </w:rPr>
        <w:t>political</w:t>
      </w:r>
      <w:r>
        <w:rPr>
          <w:rFonts w:cstheme="minorHAnsi"/>
        </w:rPr>
        <w:t xml:space="preserve"> participation</w:t>
      </w:r>
      <w:r w:rsidR="00EF7185">
        <w:rPr>
          <w:rFonts w:cstheme="minorHAnsi"/>
        </w:rPr>
        <w:t xml:space="preserve">, particularly </w:t>
      </w:r>
      <w:r w:rsidR="00D7520D">
        <w:rPr>
          <w:rFonts w:cstheme="minorHAnsi"/>
        </w:rPr>
        <w:t xml:space="preserve">voting in </w:t>
      </w:r>
      <w:r w:rsidR="00EF7185">
        <w:rPr>
          <w:rFonts w:cstheme="minorHAnsi"/>
        </w:rPr>
        <w:t>elections</w:t>
      </w:r>
      <w:r>
        <w:rPr>
          <w:rFonts w:cstheme="minorHAnsi"/>
        </w:rPr>
        <w:t xml:space="preserve">. </w:t>
      </w:r>
      <w:r w:rsidR="00DA281B" w:rsidRPr="00E262B3">
        <w:rPr>
          <w:rFonts w:cstheme="minorHAnsi"/>
        </w:rPr>
        <w:t>Fielding</w:t>
      </w:r>
      <w:r w:rsidR="00DA281B">
        <w:rPr>
          <w:rFonts w:cstheme="minorHAnsi"/>
        </w:rPr>
        <w:t xml:space="preserve"> (</w:t>
      </w:r>
      <w:r w:rsidR="00DA281B" w:rsidRPr="00E262B3">
        <w:rPr>
          <w:rFonts w:cstheme="minorHAnsi"/>
        </w:rPr>
        <w:t>2003: 185</w:t>
      </w:r>
      <w:r w:rsidR="00DA281B">
        <w:rPr>
          <w:rFonts w:cstheme="minorHAnsi"/>
        </w:rPr>
        <w:t>) notes</w:t>
      </w:r>
      <w:r w:rsidR="00864E86">
        <w:rPr>
          <w:rFonts w:cstheme="minorHAnsi"/>
        </w:rPr>
        <w:t xml:space="preserve"> </w:t>
      </w:r>
      <w:r w:rsidR="00DA281B">
        <w:rPr>
          <w:rFonts w:cstheme="minorHAnsi"/>
        </w:rPr>
        <w:t xml:space="preserve">lowering the voting age in 1969 was </w:t>
      </w:r>
      <w:r w:rsidR="00DA281B" w:rsidRPr="00E262B3">
        <w:rPr>
          <w:rFonts w:cstheme="minorHAnsi"/>
        </w:rPr>
        <w:t>unquestionably an ‘electoral leap in the dark’</w:t>
      </w:r>
      <w:r>
        <w:rPr>
          <w:rFonts w:cstheme="minorHAnsi"/>
        </w:rPr>
        <w:t xml:space="preserve"> for political parties</w:t>
      </w:r>
      <w:r w:rsidR="00DA281B">
        <w:rPr>
          <w:rFonts w:cstheme="minorHAnsi"/>
        </w:rPr>
        <w:t>.</w:t>
      </w:r>
      <w:r>
        <w:rPr>
          <w:rFonts w:cs="Arial"/>
          <w:shd w:val="clear" w:color="auto" w:fill="FFFFFF"/>
        </w:rPr>
        <w:t xml:space="preserve"> Hopes</w:t>
      </w:r>
      <w:r w:rsidR="00D92095">
        <w:rPr>
          <w:rFonts w:cs="Arial"/>
          <w:shd w:val="clear" w:color="auto" w:fill="FFFFFF"/>
        </w:rPr>
        <w:t xml:space="preserve"> that support for </w:t>
      </w:r>
      <w:r w:rsidR="001460DA">
        <w:rPr>
          <w:rFonts w:cs="Arial"/>
          <w:shd w:val="clear" w:color="auto" w:fill="FFFFFF"/>
        </w:rPr>
        <w:t xml:space="preserve">‘Votes-at-18’ </w:t>
      </w:r>
      <w:r w:rsidR="00D92095">
        <w:rPr>
          <w:rFonts w:cs="Arial"/>
          <w:shd w:val="clear" w:color="auto" w:fill="FFFFFF"/>
        </w:rPr>
        <w:t xml:space="preserve">might prove electorally advantageous for Labour </w:t>
      </w:r>
      <w:r>
        <w:rPr>
          <w:rFonts w:cs="Arial"/>
          <w:shd w:val="clear" w:color="auto" w:fill="FFFFFF"/>
        </w:rPr>
        <w:t>were</w:t>
      </w:r>
      <w:r w:rsidR="005979EC" w:rsidRPr="00E262B3">
        <w:rPr>
          <w:rFonts w:cs="Arial"/>
          <w:shd w:val="clear" w:color="auto" w:fill="FFFFFF"/>
        </w:rPr>
        <w:t xml:space="preserve"> </w:t>
      </w:r>
      <w:r w:rsidR="00D92095">
        <w:rPr>
          <w:rFonts w:cs="Arial"/>
          <w:shd w:val="clear" w:color="auto" w:fill="FFFFFF"/>
        </w:rPr>
        <w:t xml:space="preserve">quickly </w:t>
      </w:r>
      <w:r w:rsidR="005979EC" w:rsidRPr="00E262B3">
        <w:rPr>
          <w:rFonts w:cs="Arial"/>
          <w:shd w:val="clear" w:color="auto" w:fill="FFFFFF"/>
        </w:rPr>
        <w:t>dashed</w:t>
      </w:r>
      <w:r w:rsidR="001460DA">
        <w:rPr>
          <w:rFonts w:cs="Arial"/>
          <w:shd w:val="clear" w:color="auto" w:fill="FFFFFF"/>
        </w:rPr>
        <w:t xml:space="preserve"> as </w:t>
      </w:r>
      <w:r>
        <w:rPr>
          <w:rFonts w:cs="Arial"/>
          <w:shd w:val="clear" w:color="auto" w:fill="FFFFFF"/>
        </w:rPr>
        <w:t>the party</w:t>
      </w:r>
      <w:r w:rsidR="001460DA">
        <w:rPr>
          <w:rFonts w:cs="Arial"/>
          <w:shd w:val="clear" w:color="auto" w:fill="FFFFFF"/>
        </w:rPr>
        <w:t xml:space="preserve"> lost </w:t>
      </w:r>
      <w:r w:rsidR="001460DA" w:rsidRPr="00E262B3">
        <w:rPr>
          <w:rFonts w:cs="Arial"/>
          <w:shd w:val="clear" w:color="auto" w:fill="FFFFFF"/>
        </w:rPr>
        <w:t xml:space="preserve">the first contest under the new </w:t>
      </w:r>
      <w:r w:rsidR="001460DA">
        <w:rPr>
          <w:rFonts w:cs="Arial"/>
          <w:shd w:val="clear" w:color="auto" w:fill="FFFFFF"/>
        </w:rPr>
        <w:t xml:space="preserve">franchise </w:t>
      </w:r>
      <w:r w:rsidR="00D7520D">
        <w:rPr>
          <w:rFonts w:cs="Arial"/>
          <w:shd w:val="clear" w:color="auto" w:fill="FFFFFF"/>
        </w:rPr>
        <w:t xml:space="preserve">– the </w:t>
      </w:r>
      <w:r w:rsidR="00EC3194">
        <w:rPr>
          <w:rFonts w:cs="Arial"/>
          <w:shd w:val="clear" w:color="auto" w:fill="FFFFFF"/>
        </w:rPr>
        <w:t xml:space="preserve">Bridgwater </w:t>
      </w:r>
      <w:r w:rsidR="00D7520D">
        <w:t xml:space="preserve">by-election of </w:t>
      </w:r>
      <w:r w:rsidR="006B27B1" w:rsidRPr="00E262B3">
        <w:rPr>
          <w:rFonts w:cs="Arial"/>
          <w:shd w:val="clear" w:color="auto" w:fill="FFFFFF"/>
        </w:rPr>
        <w:t>March 1970</w:t>
      </w:r>
      <w:r w:rsidR="001460DA">
        <w:rPr>
          <w:rFonts w:cs="Arial"/>
          <w:shd w:val="clear" w:color="auto" w:fill="FFFFFF"/>
        </w:rPr>
        <w:t xml:space="preserve"> – and</w:t>
      </w:r>
      <w:r w:rsidR="00D92095">
        <w:rPr>
          <w:rFonts w:cs="Arial"/>
          <w:shd w:val="clear" w:color="auto" w:fill="FFFFFF"/>
        </w:rPr>
        <w:t xml:space="preserve"> t</w:t>
      </w:r>
      <w:r w:rsidR="00CF7389" w:rsidRPr="00E262B3">
        <w:rPr>
          <w:rFonts w:cs="Arial"/>
          <w:shd w:val="clear" w:color="auto" w:fill="FFFFFF"/>
        </w:rPr>
        <w:t xml:space="preserve">he </w:t>
      </w:r>
      <w:r w:rsidR="00D92095">
        <w:rPr>
          <w:rFonts w:cs="Arial"/>
          <w:shd w:val="clear" w:color="auto" w:fill="FFFFFF"/>
        </w:rPr>
        <w:t>subsequent UK</w:t>
      </w:r>
      <w:r w:rsidR="006B27B1" w:rsidRPr="00E262B3">
        <w:rPr>
          <w:rFonts w:cs="Arial"/>
          <w:shd w:val="clear" w:color="auto" w:fill="FFFFFF"/>
        </w:rPr>
        <w:t xml:space="preserve"> general election</w:t>
      </w:r>
      <w:r w:rsidR="00D92095">
        <w:rPr>
          <w:rFonts w:cs="Arial"/>
          <w:shd w:val="clear" w:color="auto" w:fill="FFFFFF"/>
        </w:rPr>
        <w:t xml:space="preserve"> in June 1970</w:t>
      </w:r>
      <w:r w:rsidR="006B27B1" w:rsidRPr="00E262B3">
        <w:rPr>
          <w:rFonts w:cs="Arial"/>
          <w:shd w:val="clear" w:color="auto" w:fill="FFFFFF"/>
        </w:rPr>
        <w:t>.</w:t>
      </w:r>
      <w:r w:rsidR="00D92095">
        <w:rPr>
          <w:rFonts w:cs="Arial"/>
          <w:shd w:val="clear" w:color="auto" w:fill="FFFFFF"/>
        </w:rPr>
        <w:t xml:space="preserve"> </w:t>
      </w:r>
      <w:r w:rsidR="00625D51">
        <w:rPr>
          <w:rFonts w:cs="Arial"/>
          <w:shd w:val="clear" w:color="auto" w:fill="FFFFFF"/>
        </w:rPr>
        <w:t>‘Votes-at-18’ was seen as a</w:t>
      </w:r>
      <w:r w:rsidR="00625D51">
        <w:t xml:space="preserve"> strategic statement of political recognition though</w:t>
      </w:r>
      <w:r w:rsidR="00E61C45">
        <w:rPr>
          <w:rFonts w:cs="Arial"/>
          <w:shd w:val="clear" w:color="auto" w:fill="FFFFFF"/>
        </w:rPr>
        <w:t>,</w:t>
      </w:r>
      <w:r w:rsidR="00625D51">
        <w:rPr>
          <w:rFonts w:cs="Arial"/>
          <w:shd w:val="clear" w:color="auto" w:fill="FFFFFF"/>
        </w:rPr>
        <w:t xml:space="preserve"> and</w:t>
      </w:r>
      <w:r w:rsidR="00E61C45">
        <w:rPr>
          <w:rFonts w:cs="Arial"/>
          <w:shd w:val="clear" w:color="auto" w:fill="FFFFFF"/>
        </w:rPr>
        <w:t xml:space="preserve"> Labour has increasingly attracted the support of younger voters</w:t>
      </w:r>
      <w:r w:rsidR="00625D51">
        <w:rPr>
          <w:rFonts w:cs="Arial"/>
          <w:shd w:val="clear" w:color="auto" w:fill="FFFFFF"/>
        </w:rPr>
        <w:t xml:space="preserve"> since then</w:t>
      </w:r>
      <w:r w:rsidR="00D7520D">
        <w:rPr>
          <w:rFonts w:cs="Arial"/>
          <w:shd w:val="clear" w:color="auto" w:fill="FFFFFF"/>
        </w:rPr>
        <w:t xml:space="preserve">. </w:t>
      </w:r>
    </w:p>
    <w:p w14:paraId="7D8C65C7" w14:textId="0B3AB1CC" w:rsidR="009B5904" w:rsidRPr="00D7520D" w:rsidRDefault="001A4569" w:rsidP="009B5904">
      <w:pPr>
        <w:spacing w:line="360" w:lineRule="auto"/>
        <w:jc w:val="both"/>
        <w:rPr>
          <w:rFonts w:cstheme="minorHAnsi"/>
        </w:rPr>
      </w:pPr>
      <w:r>
        <w:rPr>
          <w:rFonts w:cstheme="minorHAnsi"/>
        </w:rPr>
        <w:t xml:space="preserve">Two </w:t>
      </w:r>
      <w:r w:rsidR="001460DA">
        <w:rPr>
          <w:rFonts w:cstheme="minorHAnsi"/>
        </w:rPr>
        <w:t xml:space="preserve">important </w:t>
      </w:r>
      <w:r w:rsidR="00DD4322">
        <w:rPr>
          <w:rFonts w:cstheme="minorHAnsi"/>
        </w:rPr>
        <w:t xml:space="preserve">long-term </w:t>
      </w:r>
      <w:r w:rsidR="001460DA">
        <w:rPr>
          <w:rFonts w:cstheme="minorHAnsi"/>
        </w:rPr>
        <w:t xml:space="preserve">trends </w:t>
      </w:r>
      <w:r w:rsidR="00D7520D">
        <w:rPr>
          <w:rFonts w:cstheme="minorHAnsi"/>
        </w:rPr>
        <w:t xml:space="preserve">also </w:t>
      </w:r>
      <w:r w:rsidR="00DA281B">
        <w:rPr>
          <w:rFonts w:cstheme="minorHAnsi"/>
        </w:rPr>
        <w:t>emerged</w:t>
      </w:r>
      <w:r w:rsidR="001460DA">
        <w:rPr>
          <w:rFonts w:cstheme="minorHAnsi"/>
        </w:rPr>
        <w:t xml:space="preserve"> with regards to the electoral participation of</w:t>
      </w:r>
      <w:r w:rsidR="001E0024">
        <w:rPr>
          <w:rFonts w:cstheme="minorHAnsi"/>
        </w:rPr>
        <w:t xml:space="preserve"> the</w:t>
      </w:r>
      <w:r w:rsidR="001460DA">
        <w:rPr>
          <w:rFonts w:cstheme="minorHAnsi"/>
        </w:rPr>
        <w:t xml:space="preserve"> </w:t>
      </w:r>
      <w:proofErr w:type="gramStart"/>
      <w:r w:rsidR="001460DA">
        <w:rPr>
          <w:rFonts w:cstheme="minorHAnsi"/>
        </w:rPr>
        <w:t>newly-enfranchised</w:t>
      </w:r>
      <w:proofErr w:type="gramEnd"/>
      <w:r w:rsidR="001460DA">
        <w:rPr>
          <w:rFonts w:cstheme="minorHAnsi"/>
        </w:rPr>
        <w:t xml:space="preserve"> voters.</w:t>
      </w:r>
      <w:r w:rsidR="00D7520D">
        <w:rPr>
          <w:rFonts w:cstheme="minorHAnsi"/>
        </w:rPr>
        <w:t xml:space="preserve"> </w:t>
      </w:r>
      <w:r w:rsidR="001460DA">
        <w:rPr>
          <w:rFonts w:cstheme="minorHAnsi"/>
        </w:rPr>
        <w:t>First,</w:t>
      </w:r>
      <w:r w:rsidR="008D41BB">
        <w:rPr>
          <w:rFonts w:cstheme="minorHAnsi"/>
        </w:rPr>
        <w:t xml:space="preserve"> turnout </w:t>
      </w:r>
      <w:r w:rsidR="00DE022B">
        <w:rPr>
          <w:rFonts w:cstheme="minorHAnsi"/>
        </w:rPr>
        <w:t>of</w:t>
      </w:r>
      <w:r w:rsidR="001460DA">
        <w:rPr>
          <w:rFonts w:cstheme="minorHAnsi"/>
        </w:rPr>
        <w:t xml:space="preserve"> the </w:t>
      </w:r>
      <w:proofErr w:type="gramStart"/>
      <w:r w:rsidR="001460DA">
        <w:rPr>
          <w:rFonts w:cstheme="minorHAnsi"/>
        </w:rPr>
        <w:t>18-24 year-old</w:t>
      </w:r>
      <w:proofErr w:type="gramEnd"/>
      <w:r w:rsidR="001460DA">
        <w:rPr>
          <w:rFonts w:cstheme="minorHAnsi"/>
        </w:rPr>
        <w:t xml:space="preserve"> cohort </w:t>
      </w:r>
      <w:r w:rsidR="007079D8">
        <w:rPr>
          <w:rFonts w:cstheme="minorHAnsi"/>
        </w:rPr>
        <w:t xml:space="preserve">has </w:t>
      </w:r>
      <w:r w:rsidR="001460DA">
        <w:rPr>
          <w:rFonts w:cstheme="minorHAnsi"/>
        </w:rPr>
        <w:t>prove</w:t>
      </w:r>
      <w:r w:rsidR="009463E9">
        <w:rPr>
          <w:rFonts w:cstheme="minorHAnsi"/>
        </w:rPr>
        <w:t>d</w:t>
      </w:r>
      <w:r w:rsidR="001460DA">
        <w:rPr>
          <w:rFonts w:cstheme="minorHAnsi"/>
        </w:rPr>
        <w:t xml:space="preserve"> to be consistently lower than the average turnout</w:t>
      </w:r>
      <w:r w:rsidR="006D2C4D">
        <w:rPr>
          <w:rFonts w:cstheme="minorHAnsi"/>
        </w:rPr>
        <w:t>,</w:t>
      </w:r>
      <w:r w:rsidR="00022AEE">
        <w:rPr>
          <w:rFonts w:cstheme="minorHAnsi"/>
        </w:rPr>
        <w:t xml:space="preserve"> with </w:t>
      </w:r>
      <w:r w:rsidR="00197C42">
        <w:rPr>
          <w:rFonts w:cstheme="minorHAnsi"/>
        </w:rPr>
        <w:t>higher</w:t>
      </w:r>
      <w:r w:rsidR="00022AEE">
        <w:rPr>
          <w:rFonts w:cstheme="minorHAnsi"/>
        </w:rPr>
        <w:t xml:space="preserve"> </w:t>
      </w:r>
      <w:r w:rsidR="00197C42">
        <w:rPr>
          <w:rFonts w:cstheme="minorHAnsi"/>
        </w:rPr>
        <w:t xml:space="preserve">levels of non-participation </w:t>
      </w:r>
      <w:r w:rsidR="004232D7">
        <w:rPr>
          <w:rFonts w:cstheme="minorHAnsi"/>
        </w:rPr>
        <w:t>than all other cohorts</w:t>
      </w:r>
      <w:r w:rsidR="00DE022B">
        <w:rPr>
          <w:rFonts w:cstheme="minorHAnsi"/>
        </w:rPr>
        <w:t xml:space="preserve"> </w:t>
      </w:r>
      <w:r w:rsidR="006D2C4D">
        <w:rPr>
          <w:rFonts w:cstheme="minorHAnsi"/>
        </w:rPr>
        <w:t xml:space="preserve">at </w:t>
      </w:r>
      <w:r w:rsidR="001460DA">
        <w:rPr>
          <w:rFonts w:cstheme="minorHAnsi"/>
        </w:rPr>
        <w:t>every</w:t>
      </w:r>
      <w:r w:rsidR="00D92095">
        <w:rPr>
          <w:rFonts w:cstheme="minorHAnsi"/>
        </w:rPr>
        <w:t xml:space="preserve"> UK</w:t>
      </w:r>
      <w:r w:rsidR="001460DA">
        <w:rPr>
          <w:rFonts w:cstheme="minorHAnsi"/>
        </w:rPr>
        <w:t xml:space="preserve"> general election</w:t>
      </w:r>
      <w:r w:rsidR="000107CC">
        <w:rPr>
          <w:rFonts w:cstheme="minorHAnsi"/>
        </w:rPr>
        <w:t xml:space="preserve"> </w:t>
      </w:r>
      <w:r w:rsidR="00CC0D4B">
        <w:rPr>
          <w:rFonts w:cstheme="minorHAnsi"/>
        </w:rPr>
        <w:t>since 1969</w:t>
      </w:r>
      <w:r w:rsidR="00863629">
        <w:rPr>
          <w:rFonts w:cstheme="minorHAnsi"/>
        </w:rPr>
        <w:t xml:space="preserve"> </w:t>
      </w:r>
      <w:r w:rsidR="001460DA">
        <w:rPr>
          <w:rFonts w:cstheme="minorHAnsi"/>
        </w:rPr>
        <w:t>(</w:t>
      </w:r>
      <w:proofErr w:type="spellStart"/>
      <w:r w:rsidR="001460DA">
        <w:rPr>
          <w:rFonts w:cstheme="minorHAnsi"/>
        </w:rPr>
        <w:t>Uberoi</w:t>
      </w:r>
      <w:proofErr w:type="spellEnd"/>
      <w:r w:rsidR="001460DA">
        <w:rPr>
          <w:rFonts w:cstheme="minorHAnsi"/>
        </w:rPr>
        <w:t xml:space="preserve">, 2019). Second, the </w:t>
      </w:r>
      <w:r w:rsidR="009463E9">
        <w:rPr>
          <w:rFonts w:cstheme="minorHAnsi"/>
        </w:rPr>
        <w:t xml:space="preserve">overall </w:t>
      </w:r>
      <w:r w:rsidR="00503975" w:rsidRPr="00E262B3">
        <w:rPr>
          <w:rFonts w:cstheme="minorHAnsi"/>
        </w:rPr>
        <w:t xml:space="preserve">turnout of </w:t>
      </w:r>
      <w:proofErr w:type="gramStart"/>
      <w:r w:rsidR="00503975" w:rsidRPr="00E262B3">
        <w:rPr>
          <w:rFonts w:cstheme="minorHAnsi"/>
        </w:rPr>
        <w:t>18-24 year-olds</w:t>
      </w:r>
      <w:proofErr w:type="gramEnd"/>
      <w:r w:rsidR="00E021BA" w:rsidRPr="00E262B3">
        <w:rPr>
          <w:rFonts w:cstheme="minorHAnsi"/>
        </w:rPr>
        <w:t xml:space="preserve"> </w:t>
      </w:r>
      <w:r w:rsidR="009463E9">
        <w:rPr>
          <w:rFonts w:cstheme="minorHAnsi"/>
        </w:rPr>
        <w:t>in UK g</w:t>
      </w:r>
      <w:r w:rsidR="009463E9" w:rsidRPr="00E262B3">
        <w:rPr>
          <w:rFonts w:cstheme="minorHAnsi"/>
        </w:rPr>
        <w:t>eneral election</w:t>
      </w:r>
      <w:r w:rsidR="009463E9">
        <w:rPr>
          <w:rFonts w:cstheme="minorHAnsi"/>
        </w:rPr>
        <w:t xml:space="preserve">s has </w:t>
      </w:r>
      <w:r w:rsidR="007079D8">
        <w:rPr>
          <w:rFonts w:cstheme="minorHAnsi"/>
        </w:rPr>
        <w:t xml:space="preserve">been </w:t>
      </w:r>
      <w:r w:rsidR="00D92095">
        <w:rPr>
          <w:rFonts w:cstheme="minorHAnsi"/>
        </w:rPr>
        <w:t>considerably</w:t>
      </w:r>
      <w:r w:rsidR="001460DA">
        <w:rPr>
          <w:rFonts w:cstheme="minorHAnsi"/>
        </w:rPr>
        <w:t xml:space="preserve"> more variable than all other age cohorts, ranging from a high </w:t>
      </w:r>
      <w:r w:rsidR="001460DA">
        <w:rPr>
          <w:rFonts w:cstheme="minorHAnsi"/>
        </w:rPr>
        <w:lastRenderedPageBreak/>
        <w:t>of 70.2 per cent in February 1974 to a low of 38.2 per cent in 2005.</w:t>
      </w:r>
      <w:r w:rsidR="00AF6D7A" w:rsidRPr="00E262B3">
        <w:rPr>
          <w:rFonts w:cstheme="minorHAnsi"/>
        </w:rPr>
        <w:t xml:space="preserve"> </w:t>
      </w:r>
      <w:r w:rsidR="00E021BA" w:rsidRPr="00E262B3">
        <w:rPr>
          <w:rFonts w:cstheme="minorHAnsi"/>
        </w:rPr>
        <w:t>Th</w:t>
      </w:r>
      <w:r w:rsidR="00D92095">
        <w:rPr>
          <w:rFonts w:cstheme="minorHAnsi"/>
        </w:rPr>
        <w:t>ese trends</w:t>
      </w:r>
      <w:r w:rsidR="00E021BA" w:rsidRPr="00E262B3">
        <w:rPr>
          <w:rFonts w:cstheme="minorHAnsi"/>
        </w:rPr>
        <w:t xml:space="preserve"> correlate with reductions in turnouts for elections experienced by other </w:t>
      </w:r>
      <w:r w:rsidR="002E7932" w:rsidRPr="00E262B3">
        <w:rPr>
          <w:rFonts w:cstheme="minorHAnsi"/>
        </w:rPr>
        <w:t>states who</w:t>
      </w:r>
      <w:r w:rsidR="00AF6D7A" w:rsidRPr="00E262B3">
        <w:rPr>
          <w:rFonts w:cstheme="minorHAnsi"/>
        </w:rPr>
        <w:t xml:space="preserve"> lowered their age of enfranchisement from 21 to 18 in the 1970s</w:t>
      </w:r>
      <w:r w:rsidR="00E021BA" w:rsidRPr="00E262B3">
        <w:rPr>
          <w:rFonts w:cstheme="minorHAnsi"/>
        </w:rPr>
        <w:t xml:space="preserve"> </w:t>
      </w:r>
      <w:r w:rsidR="00AF6D7A" w:rsidRPr="00E262B3">
        <w:rPr>
          <w:rFonts w:cstheme="minorHAnsi"/>
        </w:rPr>
        <w:t xml:space="preserve">(Franklin, 2004). </w:t>
      </w:r>
    </w:p>
    <w:p w14:paraId="7559943F" w14:textId="02D2A05C" w:rsidR="00222965" w:rsidRDefault="00DD4322" w:rsidP="00B045C5">
      <w:pPr>
        <w:spacing w:line="360" w:lineRule="auto"/>
        <w:jc w:val="both"/>
        <w:rPr>
          <w:rFonts w:cstheme="minorHAnsi"/>
        </w:rPr>
      </w:pPr>
      <w:r>
        <w:rPr>
          <w:rFonts w:cstheme="minorHAnsi"/>
        </w:rPr>
        <w:t>The</w:t>
      </w:r>
      <w:r w:rsidR="00213E97">
        <w:rPr>
          <w:rFonts w:cstheme="minorHAnsi"/>
        </w:rPr>
        <w:t xml:space="preserve"> dramatic fall in the turnout of </w:t>
      </w:r>
      <w:proofErr w:type="gramStart"/>
      <w:r w:rsidR="00213E97">
        <w:rPr>
          <w:rFonts w:cstheme="minorHAnsi"/>
        </w:rPr>
        <w:t>18-24 year-olds</w:t>
      </w:r>
      <w:proofErr w:type="gramEnd"/>
      <w:r w:rsidR="00213E97">
        <w:rPr>
          <w:rFonts w:cstheme="minorHAnsi"/>
        </w:rPr>
        <w:t xml:space="preserve"> in the 1997 UK general election </w:t>
      </w:r>
      <w:r w:rsidR="0047534C">
        <w:rPr>
          <w:rFonts w:cstheme="minorHAnsi"/>
        </w:rPr>
        <w:t>stimulate</w:t>
      </w:r>
      <w:r>
        <w:rPr>
          <w:rFonts w:cstheme="minorHAnsi"/>
        </w:rPr>
        <w:t>d</w:t>
      </w:r>
      <w:r w:rsidR="0047534C">
        <w:rPr>
          <w:rFonts w:cstheme="minorHAnsi"/>
        </w:rPr>
        <w:t xml:space="preserve"> </w:t>
      </w:r>
      <w:r w:rsidR="00E60D1C">
        <w:rPr>
          <w:rFonts w:cstheme="minorHAnsi"/>
        </w:rPr>
        <w:t xml:space="preserve">widespread </w:t>
      </w:r>
      <w:r w:rsidR="0047534C">
        <w:rPr>
          <w:rFonts w:cstheme="minorHAnsi"/>
        </w:rPr>
        <w:t>concerns regarding youth democratic participation</w:t>
      </w:r>
      <w:r w:rsidR="00E60D1C">
        <w:rPr>
          <w:rFonts w:cstheme="minorHAnsi"/>
        </w:rPr>
        <w:t xml:space="preserve">, </w:t>
      </w:r>
      <w:r w:rsidR="00875ED8">
        <w:rPr>
          <w:rFonts w:cstheme="minorHAnsi"/>
        </w:rPr>
        <w:t>energis</w:t>
      </w:r>
      <w:r w:rsidR="00E60D1C">
        <w:rPr>
          <w:rFonts w:cstheme="minorHAnsi"/>
        </w:rPr>
        <w:t>ing</w:t>
      </w:r>
      <w:r w:rsidR="00774DBF">
        <w:rPr>
          <w:rFonts w:cstheme="minorHAnsi"/>
        </w:rPr>
        <w:t xml:space="preserve"> policy debate</w:t>
      </w:r>
      <w:r w:rsidR="00E63E4F">
        <w:rPr>
          <w:rFonts w:cstheme="minorHAnsi"/>
        </w:rPr>
        <w:t xml:space="preserve">s </w:t>
      </w:r>
      <w:r w:rsidR="0047534C">
        <w:rPr>
          <w:rFonts w:cstheme="minorHAnsi"/>
        </w:rPr>
        <w:t xml:space="preserve">regarding the </w:t>
      </w:r>
      <w:r w:rsidR="00774DBF">
        <w:rPr>
          <w:rFonts w:cstheme="minorHAnsi"/>
        </w:rPr>
        <w:t>need for</w:t>
      </w:r>
      <w:r w:rsidR="00E021BA" w:rsidRPr="00E262B3">
        <w:rPr>
          <w:rFonts w:cstheme="minorHAnsi"/>
        </w:rPr>
        <w:t xml:space="preserve"> </w:t>
      </w:r>
      <w:r w:rsidR="00105D09">
        <w:rPr>
          <w:rFonts w:cstheme="minorHAnsi"/>
        </w:rPr>
        <w:t>citizenship</w:t>
      </w:r>
      <w:r w:rsidR="00E021BA" w:rsidRPr="00E262B3">
        <w:rPr>
          <w:rFonts w:cstheme="minorHAnsi"/>
        </w:rPr>
        <w:t xml:space="preserve"> </w:t>
      </w:r>
      <w:r w:rsidR="00B24EDF">
        <w:rPr>
          <w:rFonts w:cstheme="minorHAnsi"/>
        </w:rPr>
        <w:t xml:space="preserve">or political </w:t>
      </w:r>
      <w:r w:rsidR="00E021BA" w:rsidRPr="00E262B3">
        <w:rPr>
          <w:rFonts w:cstheme="minorHAnsi"/>
        </w:rPr>
        <w:t xml:space="preserve">education to instil young people with the requisite political knowledge and skills to vote. </w:t>
      </w:r>
      <w:r w:rsidR="00E63E4F">
        <w:rPr>
          <w:rFonts w:cstheme="minorHAnsi"/>
        </w:rPr>
        <w:t xml:space="preserve">This </w:t>
      </w:r>
      <w:r w:rsidR="00661CEF">
        <w:rPr>
          <w:rFonts w:cstheme="minorHAnsi"/>
        </w:rPr>
        <w:t xml:space="preserve">policy ‘overspill’ </w:t>
      </w:r>
      <w:r w:rsidR="00880F53">
        <w:rPr>
          <w:rFonts w:cstheme="minorHAnsi"/>
        </w:rPr>
        <w:t>wa</w:t>
      </w:r>
      <w:r w:rsidR="00E63E4F">
        <w:rPr>
          <w:rFonts w:cstheme="minorHAnsi"/>
        </w:rPr>
        <w:t xml:space="preserve">s not considered by </w:t>
      </w:r>
      <w:proofErr w:type="gramStart"/>
      <w:r w:rsidR="00E63E4F">
        <w:rPr>
          <w:rFonts w:cstheme="minorHAnsi"/>
        </w:rPr>
        <w:t>policy-makers</w:t>
      </w:r>
      <w:proofErr w:type="gramEnd"/>
      <w:r w:rsidR="00E63E4F">
        <w:rPr>
          <w:rFonts w:cstheme="minorHAnsi"/>
        </w:rPr>
        <w:t xml:space="preserve"> in the late 1960s</w:t>
      </w:r>
      <w:r w:rsidR="00661CEF">
        <w:rPr>
          <w:rFonts w:cstheme="minorHAnsi"/>
        </w:rPr>
        <w:t xml:space="preserve">. </w:t>
      </w:r>
      <w:r w:rsidR="00B24EDF">
        <w:rPr>
          <w:rFonts w:cstheme="minorHAnsi"/>
        </w:rPr>
        <w:t>Indeed</w:t>
      </w:r>
      <w:r w:rsidR="00661CEF">
        <w:rPr>
          <w:rFonts w:cstheme="minorHAnsi"/>
        </w:rPr>
        <w:t>, a</w:t>
      </w:r>
      <w:r w:rsidR="00213E97">
        <w:rPr>
          <w:rFonts w:cstheme="minorHAnsi"/>
        </w:rPr>
        <w:t xml:space="preserve">ttempts in the 1970s by </w:t>
      </w:r>
      <w:r w:rsidR="00774DBF">
        <w:rPr>
          <w:rFonts w:cstheme="minorHAnsi"/>
        </w:rPr>
        <w:t>a</w:t>
      </w:r>
      <w:r w:rsidR="00E021BA" w:rsidRPr="00E262B3">
        <w:rPr>
          <w:rFonts w:cstheme="minorHAnsi"/>
        </w:rPr>
        <w:t xml:space="preserve"> new generation of politicised, </w:t>
      </w:r>
      <w:proofErr w:type="gramStart"/>
      <w:r w:rsidR="00E021BA" w:rsidRPr="00E262B3">
        <w:rPr>
          <w:rFonts w:cstheme="minorHAnsi"/>
        </w:rPr>
        <w:t>radicalised</w:t>
      </w:r>
      <w:proofErr w:type="gramEnd"/>
      <w:r w:rsidR="00E021BA" w:rsidRPr="00E262B3">
        <w:rPr>
          <w:rFonts w:cstheme="minorHAnsi"/>
        </w:rPr>
        <w:t xml:space="preserve"> and motivated teachers </w:t>
      </w:r>
      <w:r w:rsidR="00E35E0E" w:rsidRPr="00E262B3">
        <w:rPr>
          <w:rFonts w:cstheme="minorHAnsi"/>
        </w:rPr>
        <w:t>and academics to promote political education</w:t>
      </w:r>
      <w:r w:rsidR="00213E97">
        <w:rPr>
          <w:rFonts w:cstheme="minorHAnsi"/>
        </w:rPr>
        <w:t xml:space="preserve"> failed</w:t>
      </w:r>
      <w:r w:rsidR="00223C09">
        <w:rPr>
          <w:rFonts w:cstheme="minorHAnsi"/>
        </w:rPr>
        <w:t>,</w:t>
      </w:r>
      <w:r w:rsidR="00213E97">
        <w:rPr>
          <w:rFonts w:cstheme="minorHAnsi"/>
        </w:rPr>
        <w:t xml:space="preserve"> due to a lack of</w:t>
      </w:r>
      <w:r w:rsidR="00213E97" w:rsidRPr="00E262B3">
        <w:rPr>
          <w:rFonts w:cstheme="minorHAnsi"/>
        </w:rPr>
        <w:t xml:space="preserve"> significant political party support</w:t>
      </w:r>
      <w:r w:rsidR="00B24EDF">
        <w:rPr>
          <w:rFonts w:cstheme="minorHAnsi"/>
        </w:rPr>
        <w:t xml:space="preserve"> underpinned by </w:t>
      </w:r>
      <w:r w:rsidR="00213E97">
        <w:rPr>
          <w:rFonts w:cstheme="minorHAnsi"/>
        </w:rPr>
        <w:t>concerns about</w:t>
      </w:r>
      <w:r w:rsidR="00213E97" w:rsidRPr="00E262B3">
        <w:rPr>
          <w:rFonts w:cstheme="minorHAnsi"/>
        </w:rPr>
        <w:t xml:space="preserve"> </w:t>
      </w:r>
      <w:r w:rsidR="00213E97">
        <w:rPr>
          <w:rFonts w:cstheme="minorHAnsi"/>
        </w:rPr>
        <w:t xml:space="preserve">the </w:t>
      </w:r>
      <w:r w:rsidR="00FA3C76">
        <w:rPr>
          <w:rFonts w:cstheme="minorHAnsi"/>
        </w:rPr>
        <w:t>possibility that</w:t>
      </w:r>
      <w:r w:rsidR="00FA3C76" w:rsidRPr="00E262B3">
        <w:rPr>
          <w:rFonts w:cstheme="minorHAnsi"/>
        </w:rPr>
        <w:t xml:space="preserve"> </w:t>
      </w:r>
      <w:r w:rsidR="00213E97">
        <w:rPr>
          <w:rFonts w:cstheme="minorHAnsi"/>
        </w:rPr>
        <w:t xml:space="preserve">young people </w:t>
      </w:r>
      <w:r w:rsidR="00213E97" w:rsidRPr="00E262B3">
        <w:rPr>
          <w:rFonts w:cstheme="minorHAnsi"/>
        </w:rPr>
        <w:t>were susceptible to</w:t>
      </w:r>
      <w:r w:rsidR="00213E97">
        <w:rPr>
          <w:rFonts w:cstheme="minorHAnsi"/>
        </w:rPr>
        <w:t xml:space="preserve"> </w:t>
      </w:r>
      <w:r w:rsidR="00213E97" w:rsidRPr="00E262B3">
        <w:rPr>
          <w:rFonts w:cstheme="minorHAnsi"/>
        </w:rPr>
        <w:t xml:space="preserve">indoctrination </w:t>
      </w:r>
      <w:r w:rsidR="00E35E0E" w:rsidRPr="00E262B3">
        <w:rPr>
          <w:rFonts w:cstheme="minorHAnsi"/>
        </w:rPr>
        <w:t>(</w:t>
      </w:r>
      <w:r w:rsidR="00D92095" w:rsidRPr="00E262B3">
        <w:rPr>
          <w:rFonts w:cstheme="minorHAnsi"/>
        </w:rPr>
        <w:t>Crick and Porter 1978).</w:t>
      </w:r>
      <w:r w:rsidR="00213E97">
        <w:rPr>
          <w:rFonts w:cstheme="minorHAnsi"/>
        </w:rPr>
        <w:t xml:space="preserve"> </w:t>
      </w:r>
      <w:r w:rsidR="00864764">
        <w:rPr>
          <w:rFonts w:cstheme="minorHAnsi"/>
        </w:rPr>
        <w:t>However, the</w:t>
      </w:r>
      <w:r w:rsidR="00213E97">
        <w:rPr>
          <w:rFonts w:cstheme="minorHAnsi"/>
        </w:rPr>
        <w:t xml:space="preserve"> </w:t>
      </w:r>
      <w:r w:rsidR="00223C09">
        <w:rPr>
          <w:rFonts w:cstheme="minorHAnsi"/>
        </w:rPr>
        <w:t xml:space="preserve">sharp fall in election turnout among young people by </w:t>
      </w:r>
      <w:r w:rsidR="00213E97">
        <w:rPr>
          <w:rFonts w:cstheme="minorHAnsi"/>
        </w:rPr>
        <w:t xml:space="preserve">1997 </w:t>
      </w:r>
      <w:r w:rsidR="00E60D1C">
        <w:rPr>
          <w:rFonts w:cstheme="minorHAnsi"/>
        </w:rPr>
        <w:t>facilitated</w:t>
      </w:r>
      <w:r w:rsidR="00213E97">
        <w:rPr>
          <w:rFonts w:cstheme="minorHAnsi"/>
        </w:rPr>
        <w:t xml:space="preserve"> the</w:t>
      </w:r>
      <w:r w:rsidR="00222965">
        <w:rPr>
          <w:rFonts w:cstheme="minorHAnsi"/>
        </w:rPr>
        <w:t xml:space="preserve"> introduction of</w:t>
      </w:r>
      <w:r w:rsidR="00E021BA" w:rsidRPr="00E262B3">
        <w:rPr>
          <w:rFonts w:cstheme="minorHAnsi"/>
        </w:rPr>
        <w:t xml:space="preserve"> citizenship education as a statutory subject in the English National Curriculum</w:t>
      </w:r>
      <w:r w:rsidR="00875ED8">
        <w:rPr>
          <w:rFonts w:cstheme="minorHAnsi"/>
        </w:rPr>
        <w:t xml:space="preserve"> and </w:t>
      </w:r>
      <w:r w:rsidR="00E35E0E" w:rsidRPr="00E262B3">
        <w:rPr>
          <w:rFonts w:cstheme="minorHAnsi"/>
        </w:rPr>
        <w:t xml:space="preserve">across the rest of the UK in differing formats. </w:t>
      </w:r>
      <w:r w:rsidR="00B24EDF">
        <w:rPr>
          <w:rFonts w:cstheme="minorHAnsi"/>
        </w:rPr>
        <w:t>C</w:t>
      </w:r>
      <w:r w:rsidR="00213E97" w:rsidRPr="00E262B3">
        <w:rPr>
          <w:rFonts w:cstheme="minorHAnsi"/>
        </w:rPr>
        <w:t xml:space="preserve">itizenship education </w:t>
      </w:r>
      <w:r w:rsidR="00213E97">
        <w:rPr>
          <w:rFonts w:cstheme="minorHAnsi"/>
        </w:rPr>
        <w:t xml:space="preserve">has </w:t>
      </w:r>
      <w:r w:rsidR="00B24EDF">
        <w:rPr>
          <w:rFonts w:cstheme="minorHAnsi"/>
        </w:rPr>
        <w:t>suffered from a lack of concerted political support</w:t>
      </w:r>
      <w:r w:rsidR="00FD777F">
        <w:rPr>
          <w:rFonts w:cstheme="minorHAnsi"/>
        </w:rPr>
        <w:t xml:space="preserve"> across the UK</w:t>
      </w:r>
      <w:r w:rsidR="00B24EDF">
        <w:rPr>
          <w:rFonts w:cstheme="minorHAnsi"/>
        </w:rPr>
        <w:t xml:space="preserve">, </w:t>
      </w:r>
      <w:r w:rsidR="00C6128F">
        <w:rPr>
          <w:rFonts w:cstheme="minorHAnsi"/>
        </w:rPr>
        <w:t>with its quality and quantity</w:t>
      </w:r>
      <w:r w:rsidR="00B24EDF">
        <w:rPr>
          <w:rFonts w:cstheme="minorHAnsi"/>
        </w:rPr>
        <w:t xml:space="preserve"> </w:t>
      </w:r>
      <w:r w:rsidR="00C6128F">
        <w:rPr>
          <w:rFonts w:cstheme="minorHAnsi"/>
        </w:rPr>
        <w:t>proving</w:t>
      </w:r>
      <w:r w:rsidR="0004310C">
        <w:rPr>
          <w:rFonts w:cstheme="minorHAnsi"/>
        </w:rPr>
        <w:t xml:space="preserve"> </w:t>
      </w:r>
      <w:r w:rsidR="00661CEF">
        <w:rPr>
          <w:rFonts w:cstheme="minorHAnsi"/>
        </w:rPr>
        <w:t>variable</w:t>
      </w:r>
      <w:r w:rsidR="00B24EDF">
        <w:rPr>
          <w:rFonts w:cstheme="minorHAnsi"/>
        </w:rPr>
        <w:t xml:space="preserve"> </w:t>
      </w:r>
      <w:r w:rsidR="00C6128F">
        <w:rPr>
          <w:rFonts w:cstheme="minorHAnsi"/>
        </w:rPr>
        <w:t xml:space="preserve">due to a </w:t>
      </w:r>
      <w:r w:rsidR="00B24EDF">
        <w:rPr>
          <w:rFonts w:cstheme="minorHAnsi"/>
        </w:rPr>
        <w:t>lack of</w:t>
      </w:r>
      <w:r w:rsidR="00213E97" w:rsidRPr="00E262B3">
        <w:rPr>
          <w:rFonts w:cstheme="minorHAnsi"/>
        </w:rPr>
        <w:t xml:space="preserve"> </w:t>
      </w:r>
      <w:r w:rsidR="001A7DAA">
        <w:rPr>
          <w:rFonts w:cstheme="minorHAnsi"/>
        </w:rPr>
        <w:t>non-specialist</w:t>
      </w:r>
      <w:r w:rsidR="00213E97" w:rsidRPr="00E262B3">
        <w:rPr>
          <w:rFonts w:cstheme="minorHAnsi"/>
        </w:rPr>
        <w:t xml:space="preserve"> teachers, </w:t>
      </w:r>
      <w:r w:rsidR="00213E97">
        <w:rPr>
          <w:rFonts w:cstheme="minorHAnsi"/>
        </w:rPr>
        <w:t xml:space="preserve">resources </w:t>
      </w:r>
      <w:r w:rsidR="00213E97" w:rsidRPr="00E262B3">
        <w:rPr>
          <w:rFonts w:cstheme="minorHAnsi"/>
        </w:rPr>
        <w:t xml:space="preserve">and curriculum </w:t>
      </w:r>
      <w:r w:rsidR="00213E97">
        <w:rPr>
          <w:rFonts w:cstheme="minorHAnsi"/>
        </w:rPr>
        <w:t>space</w:t>
      </w:r>
      <w:r w:rsidR="00C6128F">
        <w:rPr>
          <w:rFonts w:cstheme="minorHAnsi"/>
        </w:rPr>
        <w:t xml:space="preserve"> and status</w:t>
      </w:r>
      <w:r w:rsidR="00213E97" w:rsidRPr="00E262B3">
        <w:rPr>
          <w:rFonts w:cstheme="minorHAnsi"/>
        </w:rPr>
        <w:t xml:space="preserve"> (</w:t>
      </w:r>
      <w:proofErr w:type="spellStart"/>
      <w:r w:rsidR="00213E97" w:rsidRPr="00E262B3">
        <w:rPr>
          <w:rFonts w:cstheme="minorHAnsi"/>
        </w:rPr>
        <w:t>Kisby</w:t>
      </w:r>
      <w:proofErr w:type="spellEnd"/>
      <w:r w:rsidR="00213E97" w:rsidRPr="00E262B3">
        <w:rPr>
          <w:rFonts w:cstheme="minorHAnsi"/>
        </w:rPr>
        <w:t xml:space="preserve"> and </w:t>
      </w:r>
      <w:proofErr w:type="spellStart"/>
      <w:r w:rsidR="00213E97" w:rsidRPr="00E262B3">
        <w:rPr>
          <w:rFonts w:cstheme="minorHAnsi"/>
        </w:rPr>
        <w:t>Sloam</w:t>
      </w:r>
      <w:proofErr w:type="spellEnd"/>
      <w:r w:rsidR="00213E97" w:rsidRPr="00E262B3">
        <w:rPr>
          <w:rFonts w:cstheme="minorHAnsi"/>
        </w:rPr>
        <w:t>, 2012)</w:t>
      </w:r>
      <w:r w:rsidR="00213E97">
        <w:rPr>
          <w:rFonts w:cstheme="minorHAnsi"/>
        </w:rPr>
        <w:t xml:space="preserve">. </w:t>
      </w:r>
      <w:r w:rsidR="00B24EDF">
        <w:rPr>
          <w:rFonts w:cstheme="minorHAnsi"/>
        </w:rPr>
        <w:t>M</w:t>
      </w:r>
      <w:r w:rsidR="004C6302">
        <w:rPr>
          <w:rFonts w:cstheme="minorHAnsi"/>
        </w:rPr>
        <w:t>any</w:t>
      </w:r>
      <w:r w:rsidR="00213E97">
        <w:rPr>
          <w:rFonts w:cstheme="minorHAnsi"/>
        </w:rPr>
        <w:t xml:space="preserve"> </w:t>
      </w:r>
      <w:r w:rsidR="00213E97" w:rsidRPr="00E262B3">
        <w:rPr>
          <w:rFonts w:cstheme="minorHAnsi"/>
        </w:rPr>
        <w:t xml:space="preserve">young people </w:t>
      </w:r>
      <w:r w:rsidR="00213E97">
        <w:rPr>
          <w:rFonts w:cstheme="minorHAnsi"/>
        </w:rPr>
        <w:t xml:space="preserve">still </w:t>
      </w:r>
      <w:r w:rsidR="00213E97" w:rsidRPr="00E262B3">
        <w:rPr>
          <w:rFonts w:cstheme="minorHAnsi"/>
        </w:rPr>
        <w:t xml:space="preserve">receive </w:t>
      </w:r>
      <w:r w:rsidR="00213E97">
        <w:rPr>
          <w:rFonts w:cstheme="minorHAnsi"/>
        </w:rPr>
        <w:t>little</w:t>
      </w:r>
      <w:r w:rsidR="00213E97" w:rsidRPr="00E262B3">
        <w:rPr>
          <w:rFonts w:cstheme="minorHAnsi"/>
        </w:rPr>
        <w:t xml:space="preserve"> or no </w:t>
      </w:r>
      <w:r w:rsidR="00213E97">
        <w:rPr>
          <w:rFonts w:cstheme="minorHAnsi"/>
        </w:rPr>
        <w:t>political</w:t>
      </w:r>
      <w:r w:rsidR="00213E97" w:rsidRPr="00E262B3">
        <w:rPr>
          <w:rFonts w:cstheme="minorHAnsi"/>
        </w:rPr>
        <w:t xml:space="preserve"> education before they vote</w:t>
      </w:r>
      <w:r w:rsidR="00864764">
        <w:rPr>
          <w:rFonts w:cstheme="minorHAnsi"/>
        </w:rPr>
        <w:t xml:space="preserve">, </w:t>
      </w:r>
      <w:r w:rsidR="00E431AB">
        <w:rPr>
          <w:rFonts w:cstheme="minorHAnsi"/>
        </w:rPr>
        <w:t xml:space="preserve">despite </w:t>
      </w:r>
      <w:r w:rsidR="00213E97">
        <w:rPr>
          <w:rFonts w:cstheme="minorHAnsi"/>
        </w:rPr>
        <w:t>the strong</w:t>
      </w:r>
      <w:r w:rsidR="00E35E0E" w:rsidRPr="00E262B3">
        <w:rPr>
          <w:rFonts w:cstheme="minorHAnsi"/>
        </w:rPr>
        <w:t xml:space="preserve"> evidence regarding its </w:t>
      </w:r>
      <w:r w:rsidR="001279EF">
        <w:rPr>
          <w:rFonts w:cstheme="minorHAnsi"/>
        </w:rPr>
        <w:t>positiv</w:t>
      </w:r>
      <w:r w:rsidR="00E35E0E" w:rsidRPr="00E262B3">
        <w:rPr>
          <w:rFonts w:cstheme="minorHAnsi"/>
        </w:rPr>
        <w:t>e effect on youth political knowledge, interest</w:t>
      </w:r>
      <w:r w:rsidR="00B24EDF">
        <w:rPr>
          <w:rFonts w:cstheme="minorHAnsi"/>
        </w:rPr>
        <w:t xml:space="preserve">, </w:t>
      </w:r>
      <w:proofErr w:type="gramStart"/>
      <w:r w:rsidR="00E35E0E" w:rsidRPr="00E262B3">
        <w:rPr>
          <w:rFonts w:cstheme="minorHAnsi"/>
        </w:rPr>
        <w:t>activism</w:t>
      </w:r>
      <w:proofErr w:type="gramEnd"/>
      <w:r w:rsidR="00E35E0E" w:rsidRPr="00E262B3">
        <w:rPr>
          <w:rFonts w:cstheme="minorHAnsi"/>
        </w:rPr>
        <w:t xml:space="preserve"> </w:t>
      </w:r>
      <w:r w:rsidR="00B24EDF">
        <w:rPr>
          <w:rFonts w:cstheme="minorHAnsi"/>
        </w:rPr>
        <w:t xml:space="preserve">and </w:t>
      </w:r>
      <w:r w:rsidR="00E35E0E" w:rsidRPr="00E262B3">
        <w:rPr>
          <w:rFonts w:cstheme="minorHAnsi"/>
        </w:rPr>
        <w:t>potential to vote (</w:t>
      </w:r>
      <w:proofErr w:type="spellStart"/>
      <w:r w:rsidR="001279EF">
        <w:rPr>
          <w:rFonts w:cstheme="minorHAnsi"/>
        </w:rPr>
        <w:t>Tonge</w:t>
      </w:r>
      <w:proofErr w:type="spellEnd"/>
      <w:r w:rsidR="001279EF">
        <w:rPr>
          <w:rFonts w:cstheme="minorHAnsi"/>
        </w:rPr>
        <w:t xml:space="preserve"> et al.</w:t>
      </w:r>
      <w:r w:rsidR="00E35E0E" w:rsidRPr="00E262B3">
        <w:rPr>
          <w:rFonts w:cstheme="minorHAnsi"/>
        </w:rPr>
        <w:t>, 2012)</w:t>
      </w:r>
      <w:r w:rsidR="00456D0A" w:rsidRPr="00E262B3">
        <w:rPr>
          <w:rFonts w:cstheme="minorHAnsi"/>
        </w:rPr>
        <w:t xml:space="preserve">. </w:t>
      </w:r>
    </w:p>
    <w:p w14:paraId="234E1682" w14:textId="2A691FB4" w:rsidR="00EC499B" w:rsidRDefault="008E2BDE" w:rsidP="00B045C5">
      <w:pPr>
        <w:spacing w:line="360" w:lineRule="auto"/>
        <w:jc w:val="both"/>
        <w:rPr>
          <w:rFonts w:cstheme="minorHAnsi"/>
        </w:rPr>
      </w:pPr>
      <w:r>
        <w:rPr>
          <w:rFonts w:cstheme="minorHAnsi"/>
        </w:rPr>
        <w:t xml:space="preserve">Initial calls to lower the voting age to 16 originated in the decline of the electoral participation of </w:t>
      </w:r>
      <w:proofErr w:type="gramStart"/>
      <w:r>
        <w:rPr>
          <w:rFonts w:cstheme="minorHAnsi"/>
        </w:rPr>
        <w:t>18-24 year-olds</w:t>
      </w:r>
      <w:proofErr w:type="gramEnd"/>
      <w:r>
        <w:rPr>
          <w:rFonts w:cstheme="minorHAnsi"/>
        </w:rPr>
        <w:t xml:space="preserve"> in the late 1990s, but were largely disconnected from the policy debate about citizenship education across the UK</w:t>
      </w:r>
      <w:r w:rsidR="00C6128F">
        <w:rPr>
          <w:rFonts w:cstheme="minorHAnsi"/>
        </w:rPr>
        <w:t xml:space="preserve"> or the shifting contours of youth and adult citizenship</w:t>
      </w:r>
      <w:r>
        <w:rPr>
          <w:rFonts w:cstheme="minorHAnsi"/>
        </w:rPr>
        <w:t>.</w:t>
      </w:r>
      <w:r w:rsidR="001A7DAA">
        <w:rPr>
          <w:rFonts w:cstheme="minorHAnsi"/>
        </w:rPr>
        <w:t xml:space="preserve"> </w:t>
      </w:r>
      <w:r w:rsidR="00836BFB">
        <w:rPr>
          <w:rFonts w:cstheme="minorHAnsi"/>
        </w:rPr>
        <w:t xml:space="preserve">This initial oversight </w:t>
      </w:r>
      <w:r w:rsidR="00E24B6B">
        <w:rPr>
          <w:rFonts w:cstheme="minorHAnsi"/>
        </w:rPr>
        <w:t xml:space="preserve">can be explained by the </w:t>
      </w:r>
      <w:r>
        <w:rPr>
          <w:rFonts w:cstheme="minorHAnsi"/>
        </w:rPr>
        <w:t xml:space="preserve">extent to which the acceptance </w:t>
      </w:r>
      <w:r w:rsidR="001A7DAA">
        <w:rPr>
          <w:rFonts w:cstheme="minorHAnsi"/>
        </w:rPr>
        <w:t xml:space="preserve">of ‘Votes-at-18’ as </w:t>
      </w:r>
      <w:r w:rsidR="00C6128F">
        <w:rPr>
          <w:rFonts w:cstheme="minorHAnsi"/>
        </w:rPr>
        <w:t xml:space="preserve">a </w:t>
      </w:r>
      <w:r w:rsidR="001A7DAA">
        <w:rPr>
          <w:rFonts w:cstheme="minorHAnsi"/>
        </w:rPr>
        <w:t>policy</w:t>
      </w:r>
      <w:r w:rsidR="00C6128F">
        <w:rPr>
          <w:rFonts w:cstheme="minorHAnsi"/>
        </w:rPr>
        <w:t xml:space="preserve"> success</w:t>
      </w:r>
      <w:r w:rsidR="001A7DAA">
        <w:rPr>
          <w:rFonts w:cstheme="minorHAnsi"/>
        </w:rPr>
        <w:t xml:space="preserve">, and a failure to consider its </w:t>
      </w:r>
      <w:r w:rsidR="00C6128F">
        <w:rPr>
          <w:rFonts w:cstheme="minorHAnsi"/>
        </w:rPr>
        <w:t xml:space="preserve">wider </w:t>
      </w:r>
      <w:r w:rsidR="001A7DAA">
        <w:rPr>
          <w:rFonts w:cstheme="minorHAnsi"/>
        </w:rPr>
        <w:t xml:space="preserve">impacts. </w:t>
      </w:r>
      <w:r w:rsidR="00C6128F">
        <w:rPr>
          <w:rFonts w:cstheme="minorHAnsi"/>
        </w:rPr>
        <w:t>As we discuss in the next section, the</w:t>
      </w:r>
      <w:r w:rsidR="001A7DAA">
        <w:rPr>
          <w:rFonts w:cstheme="minorHAnsi"/>
        </w:rPr>
        <w:t xml:space="preserve"> lack of evidenced-based </w:t>
      </w:r>
      <w:r w:rsidR="00DE64BE">
        <w:rPr>
          <w:rFonts w:cstheme="minorHAnsi"/>
        </w:rPr>
        <w:t xml:space="preserve">analysis </w:t>
      </w:r>
      <w:r w:rsidR="001A7DAA">
        <w:rPr>
          <w:rFonts w:cstheme="minorHAnsi"/>
        </w:rPr>
        <w:t>of lowering the voting age to 18 has</w:t>
      </w:r>
      <w:r w:rsidR="002B2471">
        <w:rPr>
          <w:rFonts w:cstheme="minorHAnsi"/>
        </w:rPr>
        <w:t xml:space="preserve"> ensured</w:t>
      </w:r>
      <w:r w:rsidR="00C6128F">
        <w:rPr>
          <w:rFonts w:cstheme="minorHAnsi"/>
        </w:rPr>
        <w:t xml:space="preserve"> </w:t>
      </w:r>
      <w:r w:rsidR="0019356C">
        <w:rPr>
          <w:rFonts w:cstheme="minorHAnsi"/>
        </w:rPr>
        <w:t xml:space="preserve">that debates about ‘Votes-at-16’ </w:t>
      </w:r>
      <w:r w:rsidR="00EF7185">
        <w:rPr>
          <w:rFonts w:cstheme="minorHAnsi"/>
        </w:rPr>
        <w:t xml:space="preserve">have </w:t>
      </w:r>
      <w:r w:rsidR="00C6128F">
        <w:rPr>
          <w:rFonts w:cstheme="minorHAnsi"/>
        </w:rPr>
        <w:t xml:space="preserve">proven </w:t>
      </w:r>
      <w:r w:rsidR="00EF7185">
        <w:rPr>
          <w:rFonts w:cstheme="minorHAnsi"/>
        </w:rPr>
        <w:t xml:space="preserve">similar to those </w:t>
      </w:r>
      <w:r w:rsidR="0019356C">
        <w:rPr>
          <w:rFonts w:cstheme="minorHAnsi"/>
        </w:rPr>
        <w:t>outlined in the late 1960s</w:t>
      </w:r>
      <w:r w:rsidR="00C6128F">
        <w:rPr>
          <w:rFonts w:cstheme="minorHAnsi"/>
        </w:rPr>
        <w:t xml:space="preserve">. It has also limited severely potential policy learning from that period, particularly as the passing of time has meant that the policy memory of reform of the ages of enfranchisement and majority has declined. </w:t>
      </w:r>
    </w:p>
    <w:p w14:paraId="23E981E9" w14:textId="77777777" w:rsidR="004C6302" w:rsidRDefault="004C6302" w:rsidP="00451E7F">
      <w:pPr>
        <w:spacing w:line="360" w:lineRule="auto"/>
        <w:jc w:val="both"/>
        <w:rPr>
          <w:rFonts w:cstheme="minorHAnsi"/>
          <w:b/>
          <w:iCs/>
        </w:rPr>
      </w:pPr>
    </w:p>
    <w:p w14:paraId="2EEC3F41" w14:textId="22A242DC" w:rsidR="00E61C45" w:rsidRPr="00E61C45" w:rsidRDefault="006245F8" w:rsidP="00451E7F">
      <w:pPr>
        <w:spacing w:line="360" w:lineRule="auto"/>
        <w:jc w:val="both"/>
        <w:rPr>
          <w:rFonts w:cstheme="minorHAnsi"/>
          <w:b/>
          <w:iCs/>
        </w:rPr>
      </w:pPr>
      <w:r>
        <w:rPr>
          <w:rFonts w:cstheme="minorHAnsi"/>
          <w:b/>
          <w:iCs/>
        </w:rPr>
        <w:t xml:space="preserve">‘Votes at 16’, </w:t>
      </w:r>
      <w:r w:rsidR="00CF2009">
        <w:rPr>
          <w:rFonts w:cstheme="minorHAnsi"/>
          <w:b/>
          <w:iCs/>
        </w:rPr>
        <w:t>Institutional</w:t>
      </w:r>
      <w:r w:rsidR="00CF2009" w:rsidRPr="00E262B3">
        <w:rPr>
          <w:rFonts w:cstheme="minorHAnsi"/>
          <w:b/>
          <w:iCs/>
        </w:rPr>
        <w:t xml:space="preserve"> </w:t>
      </w:r>
      <w:r w:rsidR="00CF2009">
        <w:rPr>
          <w:rFonts w:cstheme="minorHAnsi"/>
          <w:b/>
          <w:iCs/>
        </w:rPr>
        <w:t>Amnesia</w:t>
      </w:r>
      <w:r w:rsidR="00CF2009" w:rsidRPr="00E262B3">
        <w:rPr>
          <w:rFonts w:cstheme="minorHAnsi"/>
          <w:b/>
          <w:iCs/>
        </w:rPr>
        <w:t xml:space="preserve"> </w:t>
      </w:r>
      <w:r w:rsidR="00CF2009">
        <w:rPr>
          <w:rFonts w:cstheme="minorHAnsi"/>
          <w:b/>
          <w:iCs/>
        </w:rPr>
        <w:t>and</w:t>
      </w:r>
      <w:r w:rsidR="00CF2009" w:rsidRPr="00E262B3">
        <w:rPr>
          <w:rFonts w:cstheme="minorHAnsi"/>
          <w:b/>
          <w:iCs/>
        </w:rPr>
        <w:t xml:space="preserve"> </w:t>
      </w:r>
      <w:r w:rsidR="00CF2009">
        <w:rPr>
          <w:rFonts w:cstheme="minorHAnsi"/>
          <w:b/>
          <w:iCs/>
        </w:rPr>
        <w:t>Policy</w:t>
      </w:r>
      <w:r w:rsidR="00CF2009" w:rsidRPr="00E262B3">
        <w:rPr>
          <w:rFonts w:cstheme="minorHAnsi"/>
          <w:b/>
          <w:iCs/>
        </w:rPr>
        <w:t xml:space="preserve"> </w:t>
      </w:r>
      <w:r w:rsidR="00CF2009">
        <w:rPr>
          <w:rFonts w:cstheme="minorHAnsi"/>
          <w:b/>
          <w:iCs/>
        </w:rPr>
        <w:t>Myopia</w:t>
      </w:r>
      <w:r w:rsidR="00CF2009" w:rsidRPr="00E262B3">
        <w:rPr>
          <w:rFonts w:cstheme="minorHAnsi"/>
          <w:b/>
          <w:iCs/>
        </w:rPr>
        <w:t xml:space="preserve"> </w:t>
      </w:r>
    </w:p>
    <w:p w14:paraId="02691A46" w14:textId="4E1AF71D" w:rsidR="00451E7F" w:rsidRPr="00246929" w:rsidRDefault="006245F8" w:rsidP="00451E7F">
      <w:pPr>
        <w:spacing w:line="360" w:lineRule="auto"/>
        <w:jc w:val="both"/>
        <w:rPr>
          <w:rFonts w:ascii="Calibri" w:eastAsia="Times New Roman" w:hAnsi="Calibri" w:cs="Times New Roman"/>
          <w:bdr w:val="none" w:sz="0" w:space="0" w:color="auto" w:frame="1"/>
        </w:rPr>
      </w:pPr>
      <w:r>
        <w:rPr>
          <w:rFonts w:cstheme="minorHAnsi"/>
        </w:rPr>
        <w:t>When the UK Parliament</w:t>
      </w:r>
      <w:r w:rsidR="00EB5DF9" w:rsidRPr="00E262B3">
        <w:rPr>
          <w:rFonts w:cstheme="minorHAnsi"/>
        </w:rPr>
        <w:t xml:space="preserve"> </w:t>
      </w:r>
      <w:r>
        <w:rPr>
          <w:rFonts w:cstheme="minorHAnsi"/>
        </w:rPr>
        <w:t>first</w:t>
      </w:r>
      <w:r w:rsidR="00EB5DF9">
        <w:rPr>
          <w:rFonts w:cstheme="minorHAnsi"/>
        </w:rPr>
        <w:t xml:space="preserve"> </w:t>
      </w:r>
      <w:r w:rsidR="00EB5DF9" w:rsidRPr="00E262B3">
        <w:rPr>
          <w:rFonts w:cstheme="minorHAnsi"/>
        </w:rPr>
        <w:t>debat</w:t>
      </w:r>
      <w:r>
        <w:rPr>
          <w:rFonts w:cstheme="minorHAnsi"/>
        </w:rPr>
        <w:t>ed</w:t>
      </w:r>
      <w:r w:rsidR="00EB5DF9" w:rsidRPr="00E262B3">
        <w:rPr>
          <w:rFonts w:cstheme="minorHAnsi"/>
        </w:rPr>
        <w:t xml:space="preserve"> </w:t>
      </w:r>
      <w:r w:rsidR="00DA1D16">
        <w:rPr>
          <w:rFonts w:cstheme="minorHAnsi"/>
        </w:rPr>
        <w:t xml:space="preserve">the </w:t>
      </w:r>
      <w:r>
        <w:rPr>
          <w:rFonts w:cstheme="minorHAnsi"/>
        </w:rPr>
        <w:t>issue</w:t>
      </w:r>
      <w:r w:rsidR="00DA1D16">
        <w:rPr>
          <w:rFonts w:cstheme="minorHAnsi"/>
        </w:rPr>
        <w:t xml:space="preserve"> </w:t>
      </w:r>
      <w:r w:rsidR="00FA3C76">
        <w:rPr>
          <w:rFonts w:cstheme="minorHAnsi"/>
        </w:rPr>
        <w:t xml:space="preserve">of </w:t>
      </w:r>
      <w:r w:rsidR="00EB5DF9" w:rsidRPr="00E262B3">
        <w:rPr>
          <w:rFonts w:cstheme="minorHAnsi"/>
        </w:rPr>
        <w:t>lower</w:t>
      </w:r>
      <w:r w:rsidR="00EB5DF9">
        <w:rPr>
          <w:rFonts w:cstheme="minorHAnsi"/>
        </w:rPr>
        <w:t>ing</w:t>
      </w:r>
      <w:r w:rsidR="00EB5DF9" w:rsidRPr="00E262B3">
        <w:rPr>
          <w:rFonts w:cstheme="minorHAnsi"/>
        </w:rPr>
        <w:t xml:space="preserve"> the voting age to 16 in the late 1990s</w:t>
      </w:r>
      <w:r>
        <w:rPr>
          <w:rFonts w:cstheme="minorHAnsi"/>
        </w:rPr>
        <w:t>, institutional memories were evident</w:t>
      </w:r>
      <w:r w:rsidR="00966B58">
        <w:rPr>
          <w:rFonts w:cstheme="minorHAnsi"/>
        </w:rPr>
        <w:t>,</w:t>
      </w:r>
      <w:r>
        <w:rPr>
          <w:rFonts w:cstheme="minorHAnsi"/>
        </w:rPr>
        <w:t xml:space="preserve"> as some </w:t>
      </w:r>
      <w:r w:rsidR="00EB5DF9" w:rsidRPr="00E262B3">
        <w:rPr>
          <w:rFonts w:ascii="Calibri" w:hAnsi="Calibri" w:cstheme="minorHAnsi"/>
        </w:rPr>
        <w:t>policy actors</w:t>
      </w:r>
      <w:r w:rsidR="00DA1D16">
        <w:rPr>
          <w:rFonts w:ascii="Calibri" w:hAnsi="Calibri" w:cstheme="minorHAnsi"/>
        </w:rPr>
        <w:t xml:space="preserve"> </w:t>
      </w:r>
      <w:r>
        <w:rPr>
          <w:rFonts w:ascii="Calibri" w:hAnsi="Calibri" w:cstheme="minorHAnsi"/>
        </w:rPr>
        <w:t xml:space="preserve">made </w:t>
      </w:r>
      <w:r w:rsidR="004C6302">
        <w:rPr>
          <w:rFonts w:ascii="Calibri" w:hAnsi="Calibri" w:cstheme="minorHAnsi"/>
        </w:rPr>
        <w:t xml:space="preserve">anecdotal </w:t>
      </w:r>
      <w:r w:rsidR="00EB5DF9" w:rsidRPr="00E262B3">
        <w:rPr>
          <w:rFonts w:ascii="Calibri" w:hAnsi="Calibri" w:cstheme="minorHAnsi"/>
        </w:rPr>
        <w:t>reference</w:t>
      </w:r>
      <w:r w:rsidR="004C6302">
        <w:rPr>
          <w:rFonts w:ascii="Calibri" w:hAnsi="Calibri" w:cstheme="minorHAnsi"/>
        </w:rPr>
        <w:t>s</w:t>
      </w:r>
      <w:r w:rsidR="00EB5DF9" w:rsidRPr="00E262B3">
        <w:rPr>
          <w:rFonts w:ascii="Calibri" w:hAnsi="Calibri" w:cstheme="minorHAnsi"/>
        </w:rPr>
        <w:t xml:space="preserve"> to </w:t>
      </w:r>
      <w:r w:rsidR="00DA1D16">
        <w:rPr>
          <w:rFonts w:ascii="Calibri" w:hAnsi="Calibri" w:cstheme="minorHAnsi"/>
        </w:rPr>
        <w:t xml:space="preserve">the introduction of </w:t>
      </w:r>
      <w:r w:rsidR="00EB5DF9" w:rsidRPr="00E262B3">
        <w:rPr>
          <w:rFonts w:ascii="Calibri" w:hAnsi="Calibri" w:cstheme="minorHAnsi"/>
        </w:rPr>
        <w:t>‘</w:t>
      </w:r>
      <w:r w:rsidR="00863629">
        <w:rPr>
          <w:rFonts w:ascii="Calibri" w:hAnsi="Calibri" w:cstheme="minorHAnsi"/>
        </w:rPr>
        <w:t>Votes-at-18</w:t>
      </w:r>
      <w:r w:rsidR="00EB5DF9" w:rsidRPr="00E262B3">
        <w:rPr>
          <w:rFonts w:ascii="Calibri" w:hAnsi="Calibri" w:cstheme="minorHAnsi"/>
        </w:rPr>
        <w:t>’</w:t>
      </w:r>
      <w:r w:rsidR="00EF7185">
        <w:rPr>
          <w:rFonts w:ascii="Calibri" w:hAnsi="Calibri" w:cstheme="minorHAnsi"/>
        </w:rPr>
        <w:t xml:space="preserve">. </w:t>
      </w:r>
      <w:r w:rsidR="00B831F0">
        <w:rPr>
          <w:rFonts w:ascii="Calibri" w:hAnsi="Calibri" w:cstheme="minorHAnsi"/>
        </w:rPr>
        <w:t>For</w:t>
      </w:r>
      <w:r w:rsidR="00AF75D3" w:rsidRPr="00E262B3">
        <w:rPr>
          <w:rFonts w:ascii="Calibri" w:hAnsi="Calibri" w:cstheme="minorHAnsi"/>
        </w:rPr>
        <w:t xml:space="preserve"> example, </w:t>
      </w:r>
      <w:r w:rsidR="004C6302">
        <w:rPr>
          <w:rFonts w:ascii="Calibri" w:hAnsi="Calibri" w:cstheme="minorHAnsi"/>
        </w:rPr>
        <w:t>during a parliamentary debate</w:t>
      </w:r>
      <w:r w:rsidR="00AF75D3" w:rsidRPr="00E262B3">
        <w:rPr>
          <w:rFonts w:ascii="Calibri" w:hAnsi="Calibri" w:cstheme="minorHAnsi"/>
        </w:rPr>
        <w:t xml:space="preserve"> </w:t>
      </w:r>
      <w:r w:rsidR="004C6302">
        <w:rPr>
          <w:rFonts w:ascii="Calibri" w:hAnsi="Calibri" w:cstheme="minorHAnsi"/>
        </w:rPr>
        <w:t>on</w:t>
      </w:r>
      <w:r w:rsidR="00AF75D3" w:rsidRPr="00E262B3">
        <w:rPr>
          <w:rFonts w:ascii="Calibri" w:hAnsi="Calibri" w:cstheme="minorHAnsi"/>
        </w:rPr>
        <w:t xml:space="preserve"> what would become the </w:t>
      </w:r>
      <w:r w:rsidR="00AF75D3" w:rsidRPr="00E262B3">
        <w:rPr>
          <w:rFonts w:ascii="Calibri" w:hAnsi="Calibri" w:cstheme="minorHAnsi"/>
        </w:rPr>
        <w:lastRenderedPageBreak/>
        <w:t>Representation of the People Act (2000)</w:t>
      </w:r>
      <w:r w:rsidR="004C6302">
        <w:rPr>
          <w:rFonts w:ascii="Calibri" w:eastAsia="Times New Roman" w:hAnsi="Calibri" w:cs="Times New Roman"/>
          <w:bdr w:val="none" w:sz="0" w:space="0" w:color="auto" w:frame="1"/>
        </w:rPr>
        <w:t>,</w:t>
      </w:r>
      <w:r w:rsidR="009667BA">
        <w:rPr>
          <w:rFonts w:ascii="Calibri" w:eastAsia="Times New Roman" w:hAnsi="Calibri" w:cs="Times New Roman"/>
          <w:bdr w:val="none" w:sz="0" w:space="0" w:color="auto" w:frame="1"/>
        </w:rPr>
        <w:t xml:space="preserve"> </w:t>
      </w:r>
      <w:r w:rsidR="003940A6" w:rsidRPr="00E262B3">
        <w:rPr>
          <w:rFonts w:ascii="Calibri" w:hAnsi="Calibri" w:cstheme="minorHAnsi"/>
        </w:rPr>
        <w:t xml:space="preserve">Labour MP </w:t>
      </w:r>
      <w:r w:rsidR="00AF75D3" w:rsidRPr="00E262B3">
        <w:rPr>
          <w:rFonts w:ascii="Calibri" w:hAnsi="Calibri"/>
          <w:bCs/>
        </w:rPr>
        <w:t>David Winnick</w:t>
      </w:r>
      <w:r w:rsidR="003940A6" w:rsidRPr="00E262B3">
        <w:rPr>
          <w:rFonts w:ascii="Calibri" w:hAnsi="Calibri"/>
          <w:bCs/>
        </w:rPr>
        <w:t xml:space="preserve"> </w:t>
      </w:r>
      <w:r w:rsidR="004C6302">
        <w:rPr>
          <w:rFonts w:ascii="Calibri" w:hAnsi="Calibri"/>
          <w:bCs/>
        </w:rPr>
        <w:t xml:space="preserve">argued </w:t>
      </w:r>
      <w:r w:rsidR="004C6302">
        <w:rPr>
          <w:rFonts w:ascii="Calibri" w:eastAsia="Times New Roman" w:hAnsi="Calibri" w:cs="Times New Roman"/>
          <w:bdr w:val="none" w:sz="0" w:space="0" w:color="auto" w:frame="1"/>
        </w:rPr>
        <w:t>against lowering the voting age to 16,</w:t>
      </w:r>
      <w:r w:rsidR="004C6302">
        <w:rPr>
          <w:rFonts w:ascii="Calibri" w:hAnsi="Calibri"/>
          <w:bCs/>
        </w:rPr>
        <w:t xml:space="preserve"> noting</w:t>
      </w:r>
      <w:r w:rsidR="00AF75D3" w:rsidRPr="00E262B3">
        <w:rPr>
          <w:rFonts w:ascii="Calibri" w:hAnsi="Calibri"/>
          <w:b/>
          <w:bCs/>
        </w:rPr>
        <w:t xml:space="preserve"> </w:t>
      </w:r>
      <w:bookmarkStart w:id="0" w:name="91215-16_para4"/>
      <w:r w:rsidR="003940A6" w:rsidRPr="00E262B3">
        <w:rPr>
          <w:rFonts w:ascii="Calibri" w:hAnsi="Calibri"/>
          <w:b/>
          <w:bCs/>
        </w:rPr>
        <w:t>‘</w:t>
      </w:r>
      <w:r w:rsidR="00AF75D3" w:rsidRPr="00E262B3">
        <w:rPr>
          <w:rFonts w:ascii="Calibri" w:hAnsi="Calibri"/>
          <w:bdr w:val="none" w:sz="0" w:space="0" w:color="auto" w:frame="1"/>
        </w:rPr>
        <w:t>I was a Member of the House when the voting age was lowered from 21 to 18 in 1969, and I did not receive a single letter on the subject</w:t>
      </w:r>
      <w:bookmarkStart w:id="1" w:name="91215-18_para11"/>
      <w:bookmarkEnd w:id="0"/>
      <w:r w:rsidR="00A72878" w:rsidRPr="00E262B3">
        <w:rPr>
          <w:rFonts w:ascii="Calibri" w:hAnsi="Calibri"/>
          <w:bdr w:val="none" w:sz="0" w:space="0" w:color="auto" w:frame="1"/>
        </w:rPr>
        <w:t>’</w:t>
      </w:r>
      <w:r w:rsidR="003940A6" w:rsidRPr="00E262B3">
        <w:rPr>
          <w:rFonts w:ascii="Calibri" w:eastAsia="Times New Roman" w:hAnsi="Calibri" w:cs="Times New Roman"/>
          <w:bdr w:val="none" w:sz="0" w:space="0" w:color="auto" w:frame="1"/>
        </w:rPr>
        <w:t>. H</w:t>
      </w:r>
      <w:r w:rsidR="00EF7185">
        <w:rPr>
          <w:rFonts w:ascii="Calibri" w:eastAsia="Times New Roman" w:hAnsi="Calibri" w:cs="Times New Roman"/>
          <w:bdr w:val="none" w:sz="0" w:space="0" w:color="auto" w:frame="1"/>
        </w:rPr>
        <w:t xml:space="preserve">is </w:t>
      </w:r>
      <w:r w:rsidR="00B744AF">
        <w:rPr>
          <w:rFonts w:ascii="Calibri" w:eastAsia="Times New Roman" w:hAnsi="Calibri" w:cs="Times New Roman"/>
          <w:bdr w:val="none" w:sz="0" w:space="0" w:color="auto" w:frame="1"/>
        </w:rPr>
        <w:t>recollections</w:t>
      </w:r>
      <w:r w:rsidR="00EF7185">
        <w:rPr>
          <w:rFonts w:ascii="Calibri" w:eastAsia="Times New Roman" w:hAnsi="Calibri" w:cs="Times New Roman"/>
          <w:bdr w:val="none" w:sz="0" w:space="0" w:color="auto" w:frame="1"/>
        </w:rPr>
        <w:t xml:space="preserve"> </w:t>
      </w:r>
      <w:r w:rsidR="00B744AF">
        <w:rPr>
          <w:rFonts w:ascii="Calibri" w:eastAsia="Times New Roman" w:hAnsi="Calibri" w:cs="Times New Roman"/>
          <w:bdr w:val="none" w:sz="0" w:space="0" w:color="auto" w:frame="1"/>
        </w:rPr>
        <w:t xml:space="preserve">appeared somewhat </w:t>
      </w:r>
      <w:r w:rsidR="00EF7185">
        <w:rPr>
          <w:rFonts w:ascii="Calibri" w:eastAsia="Times New Roman" w:hAnsi="Calibri" w:cs="Times New Roman"/>
          <w:bdr w:val="none" w:sz="0" w:space="0" w:color="auto" w:frame="1"/>
        </w:rPr>
        <w:t>uncertain</w:t>
      </w:r>
      <w:r w:rsidR="00BE4156">
        <w:rPr>
          <w:rFonts w:ascii="Calibri" w:eastAsia="Times New Roman" w:hAnsi="Calibri" w:cs="Times New Roman"/>
          <w:bdr w:val="none" w:sz="0" w:space="0" w:color="auto" w:frame="1"/>
        </w:rPr>
        <w:t xml:space="preserve"> </w:t>
      </w:r>
      <w:r w:rsidR="00577809">
        <w:rPr>
          <w:rFonts w:ascii="Calibri" w:eastAsia="Times New Roman" w:hAnsi="Calibri" w:cs="Times New Roman"/>
          <w:bdr w:val="none" w:sz="0" w:space="0" w:color="auto" w:frame="1"/>
        </w:rPr>
        <w:t>nonetheless</w:t>
      </w:r>
      <w:r w:rsidR="003940A6" w:rsidRPr="00E262B3">
        <w:rPr>
          <w:rFonts w:ascii="Calibri" w:eastAsia="Times New Roman" w:hAnsi="Calibri" w:cs="Times New Roman"/>
          <w:bdr w:val="none" w:sz="0" w:space="0" w:color="auto" w:frame="1"/>
        </w:rPr>
        <w:t>,</w:t>
      </w:r>
      <w:r w:rsidR="00EF7185">
        <w:rPr>
          <w:rFonts w:ascii="Calibri" w:eastAsia="Times New Roman" w:hAnsi="Calibri" w:cs="Times New Roman"/>
          <w:bdr w:val="none" w:sz="0" w:space="0" w:color="auto" w:frame="1"/>
        </w:rPr>
        <w:t xml:space="preserve"> </w:t>
      </w:r>
      <w:r w:rsidR="00B744AF">
        <w:rPr>
          <w:rFonts w:ascii="Calibri" w:eastAsia="Times New Roman" w:hAnsi="Calibri" w:cs="Times New Roman"/>
          <w:bdr w:val="none" w:sz="0" w:space="0" w:color="auto" w:frame="1"/>
        </w:rPr>
        <w:t>as he mused</w:t>
      </w:r>
      <w:r w:rsidR="0056214A">
        <w:rPr>
          <w:rFonts w:ascii="Calibri" w:eastAsia="Times New Roman" w:hAnsi="Calibri" w:cs="Times New Roman"/>
          <w:bdr w:val="none" w:sz="0" w:space="0" w:color="auto" w:frame="1"/>
        </w:rPr>
        <w:t>:</w:t>
      </w:r>
      <w:r w:rsidR="003940A6" w:rsidRPr="00E262B3">
        <w:rPr>
          <w:rFonts w:ascii="Calibri" w:eastAsia="Times New Roman" w:hAnsi="Calibri" w:cs="Times New Roman"/>
          <w:bdr w:val="none" w:sz="0" w:space="0" w:color="auto" w:frame="1"/>
        </w:rPr>
        <w:t xml:space="preserve"> ‘</w:t>
      </w:r>
      <w:r w:rsidR="00AF75D3" w:rsidRPr="00E262B3">
        <w:rPr>
          <w:rFonts w:ascii="Calibri" w:eastAsia="Times New Roman" w:hAnsi="Calibri" w:cs="Times New Roman"/>
          <w:bdr w:val="none" w:sz="0" w:space="0" w:color="auto" w:frame="1"/>
        </w:rPr>
        <w:t>I must be quite honest--not having checked </w:t>
      </w:r>
      <w:r w:rsidR="00AF75D3" w:rsidRPr="00E262B3">
        <w:rPr>
          <w:rFonts w:ascii="Calibri" w:eastAsia="Times New Roman" w:hAnsi="Calibri" w:cs="Times New Roman"/>
          <w:i/>
          <w:iCs/>
          <w:bdr w:val="none" w:sz="0" w:space="0" w:color="auto" w:frame="1"/>
        </w:rPr>
        <w:t>Hansard</w:t>
      </w:r>
      <w:r w:rsidR="00AF75D3" w:rsidRPr="00E262B3">
        <w:rPr>
          <w:rFonts w:ascii="Calibri" w:eastAsia="Times New Roman" w:hAnsi="Calibri" w:cs="Times New Roman"/>
          <w:bdr w:val="none" w:sz="0" w:space="0" w:color="auto" w:frame="1"/>
        </w:rPr>
        <w:t>, I am not sure whether the Conservatives opposed it</w:t>
      </w:r>
      <w:r w:rsidR="00916FB5" w:rsidRPr="00E262B3">
        <w:rPr>
          <w:rFonts w:ascii="Calibri" w:eastAsia="Times New Roman" w:hAnsi="Calibri" w:cs="Times New Roman"/>
          <w:bdr w:val="none" w:sz="0" w:space="0" w:color="auto" w:frame="1"/>
        </w:rPr>
        <w:t>’</w:t>
      </w:r>
      <w:r w:rsidR="006C2805" w:rsidRPr="00E262B3">
        <w:rPr>
          <w:rFonts w:ascii="Calibri" w:eastAsia="Times New Roman" w:hAnsi="Calibri" w:cs="Times New Roman"/>
          <w:bdr w:val="none" w:sz="0" w:space="0" w:color="auto" w:frame="1"/>
        </w:rPr>
        <w:t xml:space="preserve"> (HC Deb, 15 December 1999</w:t>
      </w:r>
      <w:r w:rsidR="00BB411F">
        <w:rPr>
          <w:rFonts w:ascii="Calibri" w:eastAsia="Times New Roman" w:hAnsi="Calibri" w:cs="Times New Roman"/>
          <w:bdr w:val="none" w:sz="0" w:space="0" w:color="auto" w:frame="1"/>
        </w:rPr>
        <w:t xml:space="preserve">: </w:t>
      </w:r>
      <w:r w:rsidR="006C2805" w:rsidRPr="00E262B3">
        <w:rPr>
          <w:rFonts w:ascii="Calibri" w:eastAsia="Times New Roman" w:hAnsi="Calibri" w:cs="Times New Roman"/>
          <w:bdr w:val="none" w:sz="0" w:space="0" w:color="auto" w:frame="1"/>
        </w:rPr>
        <w:t>c.293</w:t>
      </w:r>
      <w:bookmarkEnd w:id="1"/>
      <w:r w:rsidR="0056214A">
        <w:rPr>
          <w:rFonts w:ascii="Calibri" w:eastAsia="Times New Roman" w:hAnsi="Calibri" w:cs="Times New Roman"/>
          <w:bdr w:val="none" w:sz="0" w:space="0" w:color="auto" w:frame="1"/>
        </w:rPr>
        <w:t>.</w:t>
      </w:r>
      <w:r w:rsidR="003940A6" w:rsidRPr="00E262B3">
        <w:rPr>
          <w:rFonts w:ascii="Calibri" w:eastAsia="Times New Roman" w:hAnsi="Calibri" w:cs="Times New Roman"/>
          <w:bdr w:val="none" w:sz="0" w:space="0" w:color="auto" w:frame="1"/>
        </w:rPr>
        <w:t xml:space="preserve"> </w:t>
      </w:r>
      <w:r w:rsidR="00B744AF">
        <w:rPr>
          <w:rFonts w:ascii="Calibri" w:eastAsia="Times New Roman" w:hAnsi="Calibri" w:cs="Times New Roman"/>
          <w:bdr w:val="none" w:sz="0" w:space="0" w:color="auto" w:frame="1"/>
        </w:rPr>
        <w:t xml:space="preserve">In </w:t>
      </w:r>
      <w:r w:rsidR="002839E6">
        <w:rPr>
          <w:rFonts w:ascii="Calibri" w:eastAsia="Times New Roman" w:hAnsi="Calibri" w:cs="Times New Roman"/>
          <w:bdr w:val="none" w:sz="0" w:space="0" w:color="auto" w:frame="1"/>
        </w:rPr>
        <w:t>arguing i</w:t>
      </w:r>
      <w:r w:rsidR="00B744AF">
        <w:rPr>
          <w:rFonts w:ascii="Calibri" w:eastAsia="Times New Roman" w:hAnsi="Calibri" w:cs="Times New Roman"/>
          <w:bdr w:val="none" w:sz="0" w:space="0" w:color="auto" w:frame="1"/>
        </w:rPr>
        <w:t xml:space="preserve">n support of ‘Votes-at-16’, </w:t>
      </w:r>
      <w:r w:rsidR="00B744AF" w:rsidRPr="00E262B3">
        <w:rPr>
          <w:rFonts w:ascii="Calibri" w:eastAsia="Times New Roman" w:hAnsi="Calibri" w:cs="Times New Roman"/>
          <w:bdr w:val="none" w:sz="0" w:space="0" w:color="auto" w:frame="1"/>
        </w:rPr>
        <w:t xml:space="preserve">Liberal Democrat MP, Bob </w:t>
      </w:r>
      <w:proofErr w:type="spellStart"/>
      <w:r w:rsidR="00B744AF" w:rsidRPr="00E262B3">
        <w:rPr>
          <w:rFonts w:ascii="Calibri" w:eastAsia="Times New Roman" w:hAnsi="Calibri" w:cs="Times New Roman"/>
          <w:bdr w:val="none" w:sz="0" w:space="0" w:color="auto" w:frame="1"/>
        </w:rPr>
        <w:t>Maclennan</w:t>
      </w:r>
      <w:proofErr w:type="spellEnd"/>
      <w:r w:rsidR="002839E6">
        <w:rPr>
          <w:rFonts w:ascii="Calibri" w:eastAsia="Times New Roman" w:hAnsi="Calibri" w:cs="Times New Roman"/>
          <w:bdr w:val="none" w:sz="0" w:space="0" w:color="auto" w:frame="1"/>
        </w:rPr>
        <w:t xml:space="preserve"> reflected on</w:t>
      </w:r>
      <w:r w:rsidR="002839E6" w:rsidRPr="00E262B3">
        <w:rPr>
          <w:rFonts w:ascii="Calibri" w:eastAsia="Times New Roman" w:hAnsi="Calibri" w:cs="Times New Roman"/>
          <w:bdr w:val="none" w:sz="0" w:space="0" w:color="auto" w:frame="1"/>
        </w:rPr>
        <w:t xml:space="preserve"> his own memories of </w:t>
      </w:r>
      <w:bookmarkStart w:id="2" w:name="91215-19_spnew2"/>
      <w:bookmarkEnd w:id="2"/>
      <w:r w:rsidR="002839E6">
        <w:rPr>
          <w:rFonts w:ascii="Calibri" w:eastAsia="Times New Roman" w:hAnsi="Calibri" w:cs="Times New Roman"/>
          <w:bdr w:val="none" w:sz="0" w:space="0" w:color="auto" w:frame="1"/>
        </w:rPr>
        <w:t xml:space="preserve">the </w:t>
      </w:r>
      <w:r w:rsidR="002839E6" w:rsidRPr="00E262B3">
        <w:rPr>
          <w:rFonts w:ascii="Calibri" w:hAnsi="Calibri"/>
        </w:rPr>
        <w:t xml:space="preserve">passage of the 1969 </w:t>
      </w:r>
      <w:r w:rsidR="002839E6">
        <w:rPr>
          <w:rFonts w:ascii="Calibri" w:hAnsi="Calibri"/>
        </w:rPr>
        <w:t>Ac</w:t>
      </w:r>
      <w:r w:rsidR="002839E6">
        <w:rPr>
          <w:rFonts w:ascii="Calibri" w:eastAsia="Times New Roman" w:hAnsi="Calibri" w:cs="Times New Roman"/>
          <w:bdr w:val="none" w:sz="0" w:space="0" w:color="auto" w:frame="1"/>
        </w:rPr>
        <w:t xml:space="preserve">t, </w:t>
      </w:r>
      <w:r w:rsidR="00EF7185">
        <w:rPr>
          <w:rFonts w:ascii="Calibri" w:hAnsi="Calibri"/>
        </w:rPr>
        <w:t>not</w:t>
      </w:r>
      <w:r w:rsidR="002839E6">
        <w:rPr>
          <w:rFonts w:ascii="Calibri" w:hAnsi="Calibri"/>
        </w:rPr>
        <w:t>ing</w:t>
      </w:r>
      <w:r w:rsidR="00EF7185">
        <w:rPr>
          <w:rFonts w:ascii="Calibri" w:hAnsi="Calibri"/>
        </w:rPr>
        <w:t xml:space="preserve"> that </w:t>
      </w:r>
      <w:r w:rsidR="00B744AF">
        <w:rPr>
          <w:rFonts w:ascii="Calibri" w:hAnsi="Calibri"/>
        </w:rPr>
        <w:t xml:space="preserve">(as a </w:t>
      </w:r>
      <w:r w:rsidR="00EF7185">
        <w:rPr>
          <w:rFonts w:ascii="Calibri" w:hAnsi="Calibri"/>
        </w:rPr>
        <w:t>Labour MP at the time</w:t>
      </w:r>
      <w:r w:rsidR="00B744AF">
        <w:rPr>
          <w:rFonts w:ascii="Calibri" w:hAnsi="Calibri"/>
        </w:rPr>
        <w:t>)</w:t>
      </w:r>
      <w:r w:rsidR="00EF7185">
        <w:rPr>
          <w:rFonts w:ascii="Calibri" w:hAnsi="Calibri"/>
        </w:rPr>
        <w:t xml:space="preserve"> </w:t>
      </w:r>
      <w:r w:rsidR="00B744AF">
        <w:rPr>
          <w:rFonts w:ascii="Calibri" w:hAnsi="Calibri"/>
        </w:rPr>
        <w:t>he</w:t>
      </w:r>
      <w:r w:rsidR="00EF7185">
        <w:rPr>
          <w:rFonts w:ascii="Calibri" w:hAnsi="Calibri"/>
        </w:rPr>
        <w:t xml:space="preserve"> served</w:t>
      </w:r>
      <w:r w:rsidR="00451E7F" w:rsidRPr="00E262B3">
        <w:rPr>
          <w:rFonts w:ascii="Calibri" w:hAnsi="Calibri"/>
        </w:rPr>
        <w:t xml:space="preserve"> </w:t>
      </w:r>
      <w:r w:rsidR="0056214A">
        <w:rPr>
          <w:rFonts w:ascii="Calibri" w:hAnsi="Calibri"/>
        </w:rPr>
        <w:t xml:space="preserve">on </w:t>
      </w:r>
      <w:r w:rsidR="00451E7F" w:rsidRPr="00E262B3">
        <w:rPr>
          <w:rFonts w:ascii="Calibri" w:hAnsi="Calibri"/>
        </w:rPr>
        <w:t xml:space="preserve">the </w:t>
      </w:r>
      <w:proofErr w:type="spellStart"/>
      <w:r w:rsidR="00451E7F" w:rsidRPr="00E262B3">
        <w:rPr>
          <w:rFonts w:ascii="Calibri" w:hAnsi="Calibri"/>
        </w:rPr>
        <w:t>Latey</w:t>
      </w:r>
      <w:proofErr w:type="spellEnd"/>
      <w:r w:rsidR="00451E7F" w:rsidRPr="00E262B3">
        <w:rPr>
          <w:rFonts w:ascii="Calibri" w:hAnsi="Calibri"/>
        </w:rPr>
        <w:t xml:space="preserve"> Committee</w:t>
      </w:r>
      <w:r w:rsidR="0098586C">
        <w:rPr>
          <w:rFonts w:ascii="Calibri" w:hAnsi="Calibri"/>
          <w:bdr w:val="none" w:sz="0" w:space="0" w:color="auto" w:frame="1"/>
        </w:rPr>
        <w:t xml:space="preserve"> </w:t>
      </w:r>
      <w:r w:rsidR="00EF7185">
        <w:rPr>
          <w:rFonts w:ascii="Calibri" w:hAnsi="Calibri"/>
          <w:bdr w:val="none" w:sz="0" w:space="0" w:color="auto" w:frame="1"/>
        </w:rPr>
        <w:t>but also</w:t>
      </w:r>
      <w:r w:rsidR="0098586C">
        <w:rPr>
          <w:rFonts w:ascii="Calibri" w:hAnsi="Calibri"/>
          <w:bdr w:val="none" w:sz="0" w:space="0" w:color="auto" w:frame="1"/>
        </w:rPr>
        <w:t xml:space="preserve"> </w:t>
      </w:r>
      <w:r w:rsidR="0098586C" w:rsidRPr="00E262B3">
        <w:rPr>
          <w:rFonts w:ascii="Calibri" w:hAnsi="Calibri"/>
          <w:bdr w:val="none" w:sz="0" w:space="0" w:color="auto" w:frame="1"/>
        </w:rPr>
        <w:t>support</w:t>
      </w:r>
      <w:r w:rsidR="00EF7185">
        <w:rPr>
          <w:rFonts w:ascii="Calibri" w:hAnsi="Calibri"/>
          <w:bdr w:val="none" w:sz="0" w:space="0" w:color="auto" w:frame="1"/>
        </w:rPr>
        <w:t>ed</w:t>
      </w:r>
      <w:r w:rsidR="0098586C">
        <w:rPr>
          <w:rFonts w:ascii="Calibri" w:hAnsi="Calibri"/>
          <w:bdr w:val="none" w:sz="0" w:space="0" w:color="auto" w:frame="1"/>
        </w:rPr>
        <w:t xml:space="preserve"> </w:t>
      </w:r>
      <w:r w:rsidR="0098586C" w:rsidRPr="00E262B3">
        <w:rPr>
          <w:rFonts w:ascii="Calibri" w:hAnsi="Calibri"/>
          <w:bdr w:val="none" w:sz="0" w:space="0" w:color="auto" w:frame="1"/>
        </w:rPr>
        <w:t xml:space="preserve">the Speaker’s Commission </w:t>
      </w:r>
      <w:r w:rsidR="0098586C">
        <w:rPr>
          <w:rFonts w:ascii="Calibri" w:hAnsi="Calibri"/>
          <w:bdr w:val="none" w:sz="0" w:space="0" w:color="auto" w:frame="1"/>
        </w:rPr>
        <w:t xml:space="preserve">recommendation </w:t>
      </w:r>
      <w:r w:rsidR="0098586C" w:rsidRPr="00E262B3">
        <w:rPr>
          <w:rFonts w:ascii="Calibri" w:hAnsi="Calibri"/>
          <w:bdr w:val="none" w:sz="0" w:space="0" w:color="auto" w:frame="1"/>
        </w:rPr>
        <w:t>that the voting age should be lowered to 20 and not 18</w:t>
      </w:r>
      <w:r w:rsidR="00A02ECE">
        <w:rPr>
          <w:rFonts w:ascii="Calibri" w:hAnsi="Calibri"/>
        </w:rPr>
        <w:t xml:space="preserve">. He </w:t>
      </w:r>
      <w:r w:rsidR="00451E7F" w:rsidRPr="00E262B3">
        <w:rPr>
          <w:rFonts w:ascii="Calibri" w:hAnsi="Calibri"/>
        </w:rPr>
        <w:t>highlight</w:t>
      </w:r>
      <w:r w:rsidR="00A02ECE">
        <w:rPr>
          <w:rFonts w:ascii="Calibri" w:hAnsi="Calibri"/>
        </w:rPr>
        <w:t>ed</w:t>
      </w:r>
      <w:r w:rsidR="00451E7F" w:rsidRPr="00E262B3">
        <w:rPr>
          <w:rFonts w:ascii="Calibri" w:hAnsi="Calibri"/>
        </w:rPr>
        <w:t xml:space="preserve"> </w:t>
      </w:r>
      <w:r w:rsidR="00EF7185">
        <w:rPr>
          <w:rFonts w:ascii="Calibri" w:hAnsi="Calibri"/>
        </w:rPr>
        <w:t>the</w:t>
      </w:r>
      <w:r w:rsidR="00A02ECE">
        <w:rPr>
          <w:rFonts w:ascii="Calibri" w:hAnsi="Calibri"/>
        </w:rPr>
        <w:t xml:space="preserve"> </w:t>
      </w:r>
      <w:r w:rsidR="00A72878" w:rsidRPr="00E262B3">
        <w:rPr>
          <w:rFonts w:ascii="Calibri" w:hAnsi="Calibri"/>
          <w:bdr w:val="none" w:sz="0" w:space="0" w:color="auto" w:frame="1"/>
        </w:rPr>
        <w:t>segregation of</w:t>
      </w:r>
      <w:r w:rsidR="00451E7F" w:rsidRPr="00E262B3">
        <w:rPr>
          <w:rFonts w:ascii="Calibri" w:hAnsi="Calibri"/>
          <w:bdr w:val="none" w:sz="0" w:space="0" w:color="auto" w:frame="1"/>
        </w:rPr>
        <w:t xml:space="preserve"> </w:t>
      </w:r>
      <w:r w:rsidR="00887FA8" w:rsidRPr="00E262B3">
        <w:rPr>
          <w:rFonts w:ascii="Calibri" w:hAnsi="Calibri"/>
          <w:bdr w:val="none" w:sz="0" w:space="0" w:color="auto" w:frame="1"/>
        </w:rPr>
        <w:t xml:space="preserve">the question of the voting age </w:t>
      </w:r>
      <w:r w:rsidR="00A72878" w:rsidRPr="00E262B3">
        <w:rPr>
          <w:rFonts w:ascii="Calibri" w:hAnsi="Calibri"/>
          <w:bdr w:val="none" w:sz="0" w:space="0" w:color="auto" w:frame="1"/>
        </w:rPr>
        <w:t>and</w:t>
      </w:r>
      <w:r w:rsidR="00887FA8" w:rsidRPr="00E262B3">
        <w:rPr>
          <w:rFonts w:ascii="Calibri" w:hAnsi="Calibri"/>
          <w:bdr w:val="none" w:sz="0" w:space="0" w:color="auto" w:frame="1"/>
        </w:rPr>
        <w:t xml:space="preserve"> the age of majority</w:t>
      </w:r>
      <w:r w:rsidR="00451E7F" w:rsidRPr="00E262B3">
        <w:rPr>
          <w:rFonts w:ascii="Calibri" w:hAnsi="Calibri"/>
          <w:bdr w:val="none" w:sz="0" w:space="0" w:color="auto" w:frame="1"/>
        </w:rPr>
        <w:t xml:space="preserve"> </w:t>
      </w:r>
      <w:r w:rsidR="00EF7185">
        <w:rPr>
          <w:rFonts w:ascii="Calibri" w:hAnsi="Calibri"/>
          <w:bdr w:val="none" w:sz="0" w:space="0" w:color="auto" w:frame="1"/>
        </w:rPr>
        <w:t xml:space="preserve">in the late 1960s </w:t>
      </w:r>
      <w:r w:rsidR="006C2805" w:rsidRPr="00E262B3">
        <w:rPr>
          <w:rFonts w:ascii="Calibri" w:hAnsi="Calibri"/>
          <w:bdr w:val="none" w:sz="0" w:space="0" w:color="auto" w:frame="1"/>
        </w:rPr>
        <w:t xml:space="preserve">and </w:t>
      </w:r>
      <w:r w:rsidR="00451E7F" w:rsidRPr="00E262B3">
        <w:rPr>
          <w:rFonts w:ascii="Calibri" w:hAnsi="Calibri"/>
          <w:bdr w:val="none" w:sz="0" w:space="0" w:color="auto" w:frame="1"/>
        </w:rPr>
        <w:t>e</w:t>
      </w:r>
      <w:r w:rsidR="0098586C">
        <w:rPr>
          <w:rFonts w:ascii="Calibri" w:hAnsi="Calibri"/>
          <w:bdr w:val="none" w:sz="0" w:space="0" w:color="auto" w:frame="1"/>
        </w:rPr>
        <w:t>ncouraged</w:t>
      </w:r>
      <w:r w:rsidR="00451E7F" w:rsidRPr="00E262B3">
        <w:rPr>
          <w:rFonts w:ascii="Calibri" w:hAnsi="Calibri"/>
          <w:bdr w:val="none" w:sz="0" w:space="0" w:color="auto" w:frame="1"/>
        </w:rPr>
        <w:t xml:space="preserve"> </w:t>
      </w:r>
      <w:r w:rsidR="0098586C">
        <w:rPr>
          <w:rFonts w:ascii="Calibri" w:hAnsi="Calibri"/>
          <w:bdr w:val="none" w:sz="0" w:space="0" w:color="auto" w:frame="1"/>
        </w:rPr>
        <w:t>its adoption for</w:t>
      </w:r>
      <w:r w:rsidR="00451E7F" w:rsidRPr="00E262B3">
        <w:rPr>
          <w:rFonts w:ascii="Calibri" w:hAnsi="Calibri"/>
          <w:bdr w:val="none" w:sz="0" w:space="0" w:color="auto" w:frame="1"/>
        </w:rPr>
        <w:t xml:space="preserve"> considering ‘</w:t>
      </w:r>
      <w:r w:rsidR="00863629">
        <w:rPr>
          <w:rFonts w:ascii="Calibri" w:hAnsi="Calibri"/>
          <w:bdr w:val="none" w:sz="0" w:space="0" w:color="auto" w:frame="1"/>
        </w:rPr>
        <w:t>Votes-at-16</w:t>
      </w:r>
      <w:r w:rsidR="00451E7F" w:rsidRPr="00E262B3">
        <w:rPr>
          <w:rFonts w:ascii="Calibri" w:hAnsi="Calibri"/>
          <w:bdr w:val="none" w:sz="0" w:space="0" w:color="auto" w:frame="1"/>
        </w:rPr>
        <w:t>’</w:t>
      </w:r>
      <w:r w:rsidR="00EF7185">
        <w:rPr>
          <w:rFonts w:ascii="Calibri" w:hAnsi="Calibri"/>
          <w:bdr w:val="none" w:sz="0" w:space="0" w:color="auto" w:frame="1"/>
        </w:rPr>
        <w:t xml:space="preserve">, </w:t>
      </w:r>
      <w:r w:rsidR="00451E7F" w:rsidRPr="00E262B3">
        <w:rPr>
          <w:rFonts w:ascii="Calibri" w:hAnsi="Calibri"/>
          <w:bdr w:val="none" w:sz="0" w:space="0" w:color="auto" w:frame="1"/>
        </w:rPr>
        <w:t>conclud</w:t>
      </w:r>
      <w:r w:rsidR="00EF7185">
        <w:rPr>
          <w:rFonts w:ascii="Calibri" w:hAnsi="Calibri"/>
          <w:bdr w:val="none" w:sz="0" w:space="0" w:color="auto" w:frame="1"/>
        </w:rPr>
        <w:t>ing</w:t>
      </w:r>
      <w:bookmarkStart w:id="3" w:name="91215-19_para4"/>
      <w:bookmarkEnd w:id="3"/>
      <w:r w:rsidR="00EF7185">
        <w:rPr>
          <w:rFonts w:ascii="Calibri" w:hAnsi="Calibri"/>
          <w:bdr w:val="none" w:sz="0" w:space="0" w:color="auto" w:frame="1"/>
        </w:rPr>
        <w:t xml:space="preserve"> </w:t>
      </w:r>
      <w:r w:rsidR="00451E7F" w:rsidRPr="00E262B3">
        <w:rPr>
          <w:rFonts w:ascii="Calibri" w:hAnsi="Calibri"/>
          <w:bdr w:val="none" w:sz="0" w:space="0" w:color="auto" w:frame="1"/>
        </w:rPr>
        <w:t>‘</w:t>
      </w:r>
      <w:bookmarkStart w:id="4" w:name="91215-19_para6"/>
      <w:bookmarkStart w:id="5" w:name="91215-19_para8"/>
      <w:bookmarkEnd w:id="4"/>
      <w:bookmarkEnd w:id="5"/>
      <w:r w:rsidR="00451E7F" w:rsidRPr="00E262B3">
        <w:rPr>
          <w:rFonts w:ascii="Calibri" w:hAnsi="Calibri"/>
          <w:bdr w:val="none" w:sz="0" w:space="0" w:color="auto" w:frame="1"/>
        </w:rPr>
        <w:t>t</w:t>
      </w:r>
      <w:r w:rsidR="00887FA8" w:rsidRPr="00E262B3">
        <w:rPr>
          <w:rFonts w:ascii="Calibri" w:hAnsi="Calibri"/>
          <w:bdr w:val="none" w:sz="0" w:space="0" w:color="auto" w:frame="1"/>
        </w:rPr>
        <w:t>he lessons of 1969 are that we are right to raise the issue here in the context of the reform of our franchise and our voting systems, and of making the vote more accessible</w:t>
      </w:r>
      <w:r w:rsidR="00451E7F" w:rsidRPr="00E262B3">
        <w:rPr>
          <w:rFonts w:ascii="Calibri" w:hAnsi="Calibri"/>
          <w:bdr w:val="none" w:sz="0" w:space="0" w:color="auto" w:frame="1"/>
        </w:rPr>
        <w:t>’</w:t>
      </w:r>
      <w:r w:rsidR="006C2805" w:rsidRPr="00E262B3">
        <w:rPr>
          <w:rFonts w:ascii="Calibri" w:hAnsi="Calibri"/>
          <w:bdr w:val="none" w:sz="0" w:space="0" w:color="auto" w:frame="1"/>
        </w:rPr>
        <w:t xml:space="preserve"> (HC Deb, 15 December 1999</w:t>
      </w:r>
      <w:r w:rsidR="00BB411F">
        <w:rPr>
          <w:rFonts w:ascii="Calibri" w:hAnsi="Calibri"/>
          <w:bdr w:val="none" w:sz="0" w:space="0" w:color="auto" w:frame="1"/>
        </w:rPr>
        <w:t>:</w:t>
      </w:r>
      <w:r w:rsidR="006C2805" w:rsidRPr="00E262B3">
        <w:rPr>
          <w:rFonts w:ascii="Calibri" w:hAnsi="Calibri"/>
          <w:bdr w:val="none" w:sz="0" w:space="0" w:color="auto" w:frame="1"/>
        </w:rPr>
        <w:t xml:space="preserve"> c.294)</w:t>
      </w:r>
      <w:r w:rsidR="0084489E" w:rsidRPr="00E262B3">
        <w:rPr>
          <w:rFonts w:ascii="Calibri" w:hAnsi="Calibri"/>
          <w:bdr w:val="none" w:sz="0" w:space="0" w:color="auto" w:frame="1"/>
        </w:rPr>
        <w:t>.</w:t>
      </w:r>
      <w:r w:rsidR="00887FA8" w:rsidRPr="00E262B3">
        <w:rPr>
          <w:rFonts w:ascii="Verdana" w:hAnsi="Verdana"/>
          <w:bdr w:val="none" w:sz="0" w:space="0" w:color="auto" w:frame="1"/>
        </w:rPr>
        <w:t xml:space="preserve"> </w:t>
      </w:r>
    </w:p>
    <w:p w14:paraId="10A74DA3" w14:textId="48FF69AA" w:rsidR="00EA587A" w:rsidRDefault="008317B6" w:rsidP="00992CB3">
      <w:pPr>
        <w:spacing w:line="360" w:lineRule="auto"/>
        <w:jc w:val="both"/>
        <w:rPr>
          <w:rFonts w:cs="Times New Roman"/>
        </w:rPr>
      </w:pPr>
      <w:r w:rsidRPr="00020D03">
        <w:rPr>
          <w:color w:val="000000" w:themeColor="text1"/>
          <w:bdr w:val="none" w:sz="0" w:space="0" w:color="auto" w:frame="1"/>
        </w:rPr>
        <w:t xml:space="preserve">Subsequent </w:t>
      </w:r>
      <w:r>
        <w:rPr>
          <w:color w:val="000000" w:themeColor="text1"/>
          <w:bdr w:val="none" w:sz="0" w:space="0" w:color="auto" w:frame="1"/>
        </w:rPr>
        <w:t xml:space="preserve">parliamentary </w:t>
      </w:r>
      <w:r w:rsidRPr="00020D03">
        <w:rPr>
          <w:color w:val="000000" w:themeColor="text1"/>
          <w:bdr w:val="none" w:sz="0" w:space="0" w:color="auto" w:frame="1"/>
        </w:rPr>
        <w:t xml:space="preserve">debates </w:t>
      </w:r>
      <w:r>
        <w:rPr>
          <w:color w:val="000000" w:themeColor="text1"/>
          <w:bdr w:val="none" w:sz="0" w:space="0" w:color="auto" w:frame="1"/>
        </w:rPr>
        <w:t xml:space="preserve">witnessed a growing institutional amnesia regarding voting age reform in the late 1960s. </w:t>
      </w:r>
      <w:r w:rsidR="00B91D7A">
        <w:rPr>
          <w:rFonts w:ascii="Calibri" w:hAnsi="Calibri" w:cstheme="minorHAnsi"/>
        </w:rPr>
        <w:t>T</w:t>
      </w:r>
      <w:r>
        <w:rPr>
          <w:rFonts w:ascii="Calibri" w:hAnsi="Calibri" w:cstheme="minorHAnsi"/>
        </w:rPr>
        <w:t xml:space="preserve">he </w:t>
      </w:r>
      <w:r w:rsidR="00B91D7A">
        <w:rPr>
          <w:rFonts w:ascii="Calibri" w:hAnsi="Calibri" w:cstheme="minorHAnsi"/>
        </w:rPr>
        <w:t xml:space="preserve">MP </w:t>
      </w:r>
      <w:r>
        <w:rPr>
          <w:rFonts w:ascii="Calibri" w:hAnsi="Calibri" w:cstheme="minorHAnsi"/>
        </w:rPr>
        <w:t>who led the initial call to lower the voting age to 16,</w:t>
      </w:r>
      <w:r w:rsidRPr="00E262B3">
        <w:rPr>
          <w:rFonts w:ascii="Calibri" w:hAnsi="Calibri" w:cstheme="minorHAnsi"/>
        </w:rPr>
        <w:t xml:space="preserve"> Liberal Democrat Simon Hughes</w:t>
      </w:r>
      <w:r>
        <w:rPr>
          <w:rFonts w:ascii="Calibri" w:hAnsi="Calibri" w:cstheme="minorHAnsi"/>
        </w:rPr>
        <w:t>,</w:t>
      </w:r>
      <w:r w:rsidRPr="00E262B3">
        <w:rPr>
          <w:rFonts w:ascii="Calibri" w:hAnsi="Calibri" w:cstheme="minorHAnsi"/>
        </w:rPr>
        <w:t xml:space="preserve"> </w:t>
      </w:r>
      <w:r>
        <w:rPr>
          <w:rFonts w:ascii="Calibri" w:hAnsi="Calibri" w:cstheme="minorHAnsi"/>
        </w:rPr>
        <w:t xml:space="preserve">did not have direct parliamentary experience of ‘Votes-at-18’. Instead, his support stemmed from when he </w:t>
      </w:r>
      <w:r w:rsidRPr="00E262B3">
        <w:rPr>
          <w:rFonts w:ascii="Calibri" w:hAnsi="Calibri" w:cstheme="minorHAnsi"/>
        </w:rPr>
        <w:t>‘</w:t>
      </w:r>
      <w:r w:rsidRPr="00E262B3">
        <w:rPr>
          <w:rFonts w:ascii="Calibri" w:eastAsia="Times New Roman" w:hAnsi="Calibri" w:cs="Times New Roman"/>
          <w:bdr w:val="none" w:sz="0" w:space="0" w:color="auto" w:frame="1"/>
        </w:rPr>
        <w:t>became entitled to vote on 1 January 1970, and it was lucky that a general election took place in that year, when I could exercise my right to vote’</w:t>
      </w:r>
      <w:r>
        <w:rPr>
          <w:rFonts w:ascii="Calibri" w:eastAsia="Times New Roman" w:hAnsi="Calibri" w:cs="Times New Roman"/>
          <w:bdr w:val="none" w:sz="0" w:space="0" w:color="auto" w:frame="1"/>
        </w:rPr>
        <w:t xml:space="preserve"> </w:t>
      </w:r>
      <w:r w:rsidRPr="00E262B3">
        <w:rPr>
          <w:rFonts w:ascii="Calibri" w:eastAsia="Times New Roman" w:hAnsi="Calibri" w:cs="Times New Roman"/>
          <w:bdr w:val="none" w:sz="0" w:space="0" w:color="auto" w:frame="1"/>
        </w:rPr>
        <w:t>(HC Deb, 15 December 1999</w:t>
      </w:r>
      <w:r>
        <w:rPr>
          <w:rFonts w:ascii="Calibri" w:eastAsia="Times New Roman" w:hAnsi="Calibri" w:cs="Times New Roman"/>
          <w:bdr w:val="none" w:sz="0" w:space="0" w:color="auto" w:frame="1"/>
        </w:rPr>
        <w:t>:</w:t>
      </w:r>
      <w:r w:rsidRPr="00E262B3">
        <w:rPr>
          <w:rFonts w:ascii="Calibri" w:eastAsia="Times New Roman" w:hAnsi="Calibri" w:cs="Times New Roman"/>
          <w:bdr w:val="none" w:sz="0" w:space="0" w:color="auto" w:frame="1"/>
        </w:rPr>
        <w:t xml:space="preserve"> c.</w:t>
      </w:r>
      <w:r>
        <w:rPr>
          <w:rFonts w:ascii="Calibri" w:eastAsia="Times New Roman" w:hAnsi="Calibri" w:cs="Times New Roman"/>
          <w:bdr w:val="none" w:sz="0" w:space="0" w:color="auto" w:frame="1"/>
        </w:rPr>
        <w:t>305</w:t>
      </w:r>
      <w:r w:rsidRPr="00E262B3">
        <w:rPr>
          <w:rFonts w:ascii="Calibri" w:eastAsia="Times New Roman" w:hAnsi="Calibri" w:cs="Times New Roman"/>
          <w:bdr w:val="none" w:sz="0" w:space="0" w:color="auto" w:frame="1"/>
        </w:rPr>
        <w:t>).</w:t>
      </w:r>
      <w:r>
        <w:rPr>
          <w:rFonts w:ascii="Calibri" w:eastAsia="Times New Roman" w:hAnsi="Calibri" w:cs="Times New Roman"/>
          <w:bdr w:val="none" w:sz="0" w:space="0" w:color="auto" w:frame="1"/>
        </w:rPr>
        <w:t xml:space="preserve"> </w:t>
      </w:r>
      <w:r>
        <w:rPr>
          <w:color w:val="000000" w:themeColor="text1"/>
          <w:bdr w:val="none" w:sz="0" w:space="0" w:color="auto" w:frame="1"/>
        </w:rPr>
        <w:t>P</w:t>
      </w:r>
      <w:r w:rsidR="00CC2EFE" w:rsidRPr="00020D03">
        <w:rPr>
          <w:color w:val="000000" w:themeColor="text1"/>
          <w:bdr w:val="none" w:sz="0" w:space="0" w:color="auto" w:frame="1"/>
        </w:rPr>
        <w:t>olicy actors</w:t>
      </w:r>
      <w:r w:rsidR="006245F8">
        <w:rPr>
          <w:color w:val="000000" w:themeColor="text1"/>
          <w:bdr w:val="none" w:sz="0" w:space="0" w:color="auto" w:frame="1"/>
        </w:rPr>
        <w:t xml:space="preserve"> </w:t>
      </w:r>
      <w:r>
        <w:rPr>
          <w:color w:val="000000" w:themeColor="text1"/>
          <w:bdr w:val="none" w:sz="0" w:space="0" w:color="auto" w:frame="1"/>
        </w:rPr>
        <w:t>w</w:t>
      </w:r>
      <w:r w:rsidR="00B744AF">
        <w:rPr>
          <w:color w:val="000000" w:themeColor="text1"/>
          <w:bdr w:val="none" w:sz="0" w:space="0" w:color="auto" w:frame="1"/>
        </w:rPr>
        <w:t>ho were</w:t>
      </w:r>
      <w:r w:rsidR="00FC6028">
        <w:rPr>
          <w:color w:val="000000" w:themeColor="text1"/>
          <w:bdr w:val="none" w:sz="0" w:space="0" w:color="auto" w:frame="1"/>
        </w:rPr>
        <w:t xml:space="preserve"> not directly involved in </w:t>
      </w:r>
      <w:r w:rsidR="00114DD1">
        <w:rPr>
          <w:color w:val="000000" w:themeColor="text1"/>
          <w:bdr w:val="none" w:sz="0" w:space="0" w:color="auto" w:frame="1"/>
        </w:rPr>
        <w:t xml:space="preserve">the decision to </w:t>
      </w:r>
      <w:r w:rsidR="00FC6028">
        <w:rPr>
          <w:color w:val="000000" w:themeColor="text1"/>
          <w:bdr w:val="none" w:sz="0" w:space="0" w:color="auto" w:frame="1"/>
        </w:rPr>
        <w:t>lower the age</w:t>
      </w:r>
      <w:r w:rsidR="006245F8">
        <w:rPr>
          <w:color w:val="000000" w:themeColor="text1"/>
          <w:bdr w:val="none" w:sz="0" w:space="0" w:color="auto" w:frame="1"/>
        </w:rPr>
        <w:t>s of enfranchisement and majority</w:t>
      </w:r>
      <w:r w:rsidR="00FC6028">
        <w:rPr>
          <w:color w:val="000000" w:themeColor="text1"/>
          <w:bdr w:val="none" w:sz="0" w:space="0" w:color="auto" w:frame="1"/>
        </w:rPr>
        <w:t xml:space="preserve"> to 18</w:t>
      </w:r>
      <w:r w:rsidR="006245F8">
        <w:rPr>
          <w:color w:val="000000" w:themeColor="text1"/>
          <w:bdr w:val="none" w:sz="0" w:space="0" w:color="auto" w:frame="1"/>
        </w:rPr>
        <w:t xml:space="preserve"> </w:t>
      </w:r>
      <w:r>
        <w:rPr>
          <w:color w:val="000000" w:themeColor="text1"/>
          <w:bdr w:val="none" w:sz="0" w:space="0" w:color="auto" w:frame="1"/>
        </w:rPr>
        <w:t xml:space="preserve">did </w:t>
      </w:r>
      <w:r w:rsidR="006245F8">
        <w:rPr>
          <w:color w:val="000000" w:themeColor="text1"/>
          <w:bdr w:val="none" w:sz="0" w:space="0" w:color="auto" w:frame="1"/>
        </w:rPr>
        <w:t>mak</w:t>
      </w:r>
      <w:r>
        <w:rPr>
          <w:color w:val="000000" w:themeColor="text1"/>
          <w:bdr w:val="none" w:sz="0" w:space="0" w:color="auto" w:frame="1"/>
        </w:rPr>
        <w:t>e</w:t>
      </w:r>
      <w:r w:rsidR="00913F36">
        <w:rPr>
          <w:color w:val="000000" w:themeColor="text1"/>
          <w:bdr w:val="none" w:sz="0" w:space="0" w:color="auto" w:frame="1"/>
        </w:rPr>
        <w:t xml:space="preserve"> </w:t>
      </w:r>
      <w:r w:rsidR="00246929">
        <w:rPr>
          <w:color w:val="000000" w:themeColor="text1"/>
          <w:bdr w:val="none" w:sz="0" w:space="0" w:color="auto" w:frame="1"/>
        </w:rPr>
        <w:t xml:space="preserve">occasional </w:t>
      </w:r>
      <w:r w:rsidR="00DC4CD5">
        <w:rPr>
          <w:color w:val="000000" w:themeColor="text1"/>
          <w:bdr w:val="none" w:sz="0" w:space="0" w:color="auto" w:frame="1"/>
        </w:rPr>
        <w:t xml:space="preserve">but evidentially unsupported </w:t>
      </w:r>
      <w:r w:rsidR="00913F36">
        <w:rPr>
          <w:color w:val="000000" w:themeColor="text1"/>
          <w:bdr w:val="none" w:sz="0" w:space="0" w:color="auto" w:frame="1"/>
        </w:rPr>
        <w:t xml:space="preserve">references </w:t>
      </w:r>
      <w:r w:rsidR="00114DD1">
        <w:rPr>
          <w:color w:val="000000" w:themeColor="text1"/>
          <w:bdr w:val="none" w:sz="0" w:space="0" w:color="auto" w:frame="1"/>
        </w:rPr>
        <w:t xml:space="preserve">in support or opposition </w:t>
      </w:r>
      <w:r w:rsidR="00FA3C76">
        <w:rPr>
          <w:color w:val="000000" w:themeColor="text1"/>
          <w:bdr w:val="none" w:sz="0" w:space="0" w:color="auto" w:frame="1"/>
        </w:rPr>
        <w:t xml:space="preserve">to </w:t>
      </w:r>
      <w:r w:rsidR="00114DD1">
        <w:rPr>
          <w:color w:val="000000" w:themeColor="text1"/>
          <w:bdr w:val="none" w:sz="0" w:space="0" w:color="auto" w:frame="1"/>
        </w:rPr>
        <w:t>‘Votes-at-16’</w:t>
      </w:r>
      <w:r w:rsidR="00FC6028">
        <w:rPr>
          <w:color w:val="000000" w:themeColor="text1"/>
          <w:bdr w:val="none" w:sz="0" w:space="0" w:color="auto" w:frame="1"/>
        </w:rPr>
        <w:t xml:space="preserve">. </w:t>
      </w:r>
      <w:r w:rsidR="00B831F0">
        <w:rPr>
          <w:bdr w:val="none" w:sz="0" w:space="0" w:color="auto" w:frame="1"/>
        </w:rPr>
        <w:t>For</w:t>
      </w:r>
      <w:r w:rsidR="00CC2EFE" w:rsidRPr="00E262B3">
        <w:rPr>
          <w:bdr w:val="none" w:sz="0" w:space="0" w:color="auto" w:frame="1"/>
        </w:rPr>
        <w:t xml:space="preserve"> example</w:t>
      </w:r>
      <w:r w:rsidR="00B831F0">
        <w:rPr>
          <w:bdr w:val="none" w:sz="0" w:space="0" w:color="auto" w:frame="1"/>
        </w:rPr>
        <w:t xml:space="preserve">, </w:t>
      </w:r>
      <w:r w:rsidR="00114DD1" w:rsidRPr="00E262B3">
        <w:rPr>
          <w:rFonts w:eastAsia="Times New Roman" w:cs="Times New Roman"/>
          <w:bdr w:val="none" w:sz="0" w:space="0" w:color="auto" w:frame="1"/>
        </w:rPr>
        <w:t xml:space="preserve">Liberal Democrat MP, </w:t>
      </w:r>
      <w:r w:rsidR="00114DD1" w:rsidRPr="00E262B3">
        <w:rPr>
          <w:rFonts w:eastAsia="Times New Roman" w:cs="Times New Roman"/>
          <w:shd w:val="clear" w:color="auto" w:fill="FFFFFF"/>
        </w:rPr>
        <w:t>Stephen Williams</w:t>
      </w:r>
      <w:r w:rsidR="0056214A">
        <w:rPr>
          <w:rFonts w:eastAsia="Times New Roman" w:cs="Times New Roman"/>
          <w:shd w:val="clear" w:color="auto" w:fill="FFFFFF"/>
        </w:rPr>
        <w:t>,</w:t>
      </w:r>
      <w:r w:rsidR="00114DD1" w:rsidRPr="00E262B3">
        <w:rPr>
          <w:rFonts w:eastAsia="Times New Roman" w:cs="Times New Roman"/>
          <w:bdr w:val="none" w:sz="0" w:space="0" w:color="auto" w:frame="1"/>
        </w:rPr>
        <w:t xml:space="preserve"> </w:t>
      </w:r>
      <w:r w:rsidR="00CC2EFE" w:rsidRPr="00E262B3">
        <w:rPr>
          <w:rFonts w:eastAsia="Times New Roman" w:cs="Times New Roman"/>
          <w:bdr w:val="none" w:sz="0" w:space="0" w:color="auto" w:frame="1"/>
        </w:rPr>
        <w:t>introduc</w:t>
      </w:r>
      <w:r w:rsidR="00114DD1">
        <w:rPr>
          <w:rFonts w:eastAsia="Times New Roman" w:cs="Times New Roman"/>
          <w:bdr w:val="none" w:sz="0" w:space="0" w:color="auto" w:frame="1"/>
        </w:rPr>
        <w:t>ed</w:t>
      </w:r>
      <w:r w:rsidR="00CC2EFE" w:rsidRPr="00E262B3">
        <w:rPr>
          <w:rFonts w:eastAsia="Times New Roman" w:cs="Times New Roman"/>
          <w:bdr w:val="none" w:sz="0" w:space="0" w:color="auto" w:frame="1"/>
        </w:rPr>
        <w:t xml:space="preserve"> his </w:t>
      </w:r>
      <w:r w:rsidR="00DA276C" w:rsidRPr="00E262B3">
        <w:rPr>
          <w:rFonts w:eastAsia="Times New Roman" w:cs="Times New Roman"/>
          <w:bdr w:val="none" w:sz="0" w:space="0" w:color="auto" w:frame="1"/>
        </w:rPr>
        <w:t>P</w:t>
      </w:r>
      <w:r w:rsidR="00CC2EFE" w:rsidRPr="00E262B3">
        <w:rPr>
          <w:rFonts w:eastAsia="Times New Roman" w:cs="Times New Roman"/>
          <w:bdr w:val="none" w:sz="0" w:space="0" w:color="auto" w:frame="1"/>
        </w:rPr>
        <w:t>rivate Member</w:t>
      </w:r>
      <w:r w:rsidR="00DA276C" w:rsidRPr="00E262B3">
        <w:rPr>
          <w:rFonts w:eastAsia="Times New Roman" w:cs="Times New Roman"/>
          <w:bdr w:val="none" w:sz="0" w:space="0" w:color="auto" w:frame="1"/>
        </w:rPr>
        <w:t>s</w:t>
      </w:r>
      <w:r w:rsidR="00DD3213" w:rsidRPr="00E262B3">
        <w:rPr>
          <w:rFonts w:eastAsia="Times New Roman" w:cs="Times New Roman"/>
          <w:bdr w:val="none" w:sz="0" w:space="0" w:color="auto" w:frame="1"/>
        </w:rPr>
        <w:t>’</w:t>
      </w:r>
      <w:r w:rsidR="00CC2EFE" w:rsidRPr="00E262B3">
        <w:rPr>
          <w:rFonts w:eastAsia="Times New Roman" w:cs="Times New Roman"/>
          <w:bdr w:val="none" w:sz="0" w:space="0" w:color="auto" w:frame="1"/>
        </w:rPr>
        <w:t xml:space="preserve"> Bill on ‘</w:t>
      </w:r>
      <w:r w:rsidR="00114DD1">
        <w:rPr>
          <w:rFonts w:eastAsia="Times New Roman" w:cs="Times New Roman"/>
          <w:bdr w:val="none" w:sz="0" w:space="0" w:color="auto" w:frame="1"/>
        </w:rPr>
        <w:t>Vo</w:t>
      </w:r>
      <w:r w:rsidR="00CC2EFE" w:rsidRPr="00E262B3">
        <w:rPr>
          <w:rFonts w:eastAsia="Times New Roman" w:cs="Times New Roman"/>
          <w:bdr w:val="none" w:sz="0" w:space="0" w:color="auto" w:frame="1"/>
        </w:rPr>
        <w:t>tes</w:t>
      </w:r>
      <w:r w:rsidR="00114DD1">
        <w:rPr>
          <w:rFonts w:eastAsia="Times New Roman" w:cs="Times New Roman"/>
          <w:bdr w:val="none" w:sz="0" w:space="0" w:color="auto" w:frame="1"/>
        </w:rPr>
        <w:t>-</w:t>
      </w:r>
      <w:r w:rsidR="00CC2EFE" w:rsidRPr="00E262B3">
        <w:rPr>
          <w:rFonts w:eastAsia="Times New Roman" w:cs="Times New Roman"/>
          <w:bdr w:val="none" w:sz="0" w:space="0" w:color="auto" w:frame="1"/>
        </w:rPr>
        <w:t>at</w:t>
      </w:r>
      <w:r w:rsidR="00114DD1">
        <w:rPr>
          <w:rFonts w:eastAsia="Times New Roman" w:cs="Times New Roman"/>
          <w:bdr w:val="none" w:sz="0" w:space="0" w:color="auto" w:frame="1"/>
        </w:rPr>
        <w:t>-</w:t>
      </w:r>
      <w:r w:rsidR="00CC2EFE" w:rsidRPr="00E262B3">
        <w:rPr>
          <w:rFonts w:eastAsia="Times New Roman" w:cs="Times New Roman"/>
          <w:bdr w:val="none" w:sz="0" w:space="0" w:color="auto" w:frame="1"/>
        </w:rPr>
        <w:t>16’</w:t>
      </w:r>
      <w:r w:rsidR="00114DD1">
        <w:rPr>
          <w:rFonts w:eastAsia="Times New Roman" w:cs="Times New Roman"/>
          <w:bdr w:val="none" w:sz="0" w:space="0" w:color="auto" w:frame="1"/>
        </w:rPr>
        <w:t xml:space="preserve"> by</w:t>
      </w:r>
      <w:r w:rsidR="00CC2EFE" w:rsidRPr="00E262B3">
        <w:rPr>
          <w:rFonts w:eastAsia="Times New Roman" w:cs="Times New Roman"/>
          <w:shd w:val="clear" w:color="auto" w:fill="FFFFFF"/>
        </w:rPr>
        <w:t xml:space="preserve"> </w:t>
      </w:r>
      <w:r w:rsidR="00114DD1">
        <w:rPr>
          <w:rFonts w:eastAsia="Times New Roman" w:cs="Times New Roman"/>
          <w:shd w:val="clear" w:color="auto" w:fill="FFFFFF"/>
        </w:rPr>
        <w:t>asserting</w:t>
      </w:r>
      <w:r w:rsidR="00CC2EFE" w:rsidRPr="00E262B3">
        <w:rPr>
          <w:rFonts w:eastAsia="Times New Roman" w:cs="Times New Roman"/>
          <w:shd w:val="clear" w:color="auto" w:fill="FFFFFF"/>
        </w:rPr>
        <w:t xml:space="preserve"> ‘</w:t>
      </w:r>
      <w:r w:rsidR="00B6110A" w:rsidRPr="00E262B3">
        <w:rPr>
          <w:rFonts w:eastAsia="Times New Roman" w:cs="Times New Roman"/>
          <w:shd w:val="clear" w:color="auto" w:fill="FFFFFF"/>
        </w:rPr>
        <w:t>that today's teenagers have the same social interests as their</w:t>
      </w:r>
      <w:r w:rsidR="00F77CB8" w:rsidRPr="00E262B3">
        <w:rPr>
          <w:rFonts w:eastAsia="Times New Roman" w:cs="Times New Roman"/>
          <w:shd w:val="clear" w:color="auto" w:fill="FFFFFF"/>
        </w:rPr>
        <w:t xml:space="preserve"> </w:t>
      </w:r>
      <w:bookmarkStart w:id="6" w:name="column_139"/>
      <w:bookmarkEnd w:id="6"/>
      <w:r w:rsidR="00B6110A" w:rsidRPr="00E262B3">
        <w:rPr>
          <w:rFonts w:eastAsia="Times New Roman" w:cs="Times New Roman"/>
          <w:shd w:val="clear" w:color="auto" w:fill="FFFFFF"/>
        </w:rPr>
        <w:t>counterparts in the 1960s, but this decade's 16-year-olds are better informed and of a similar maturity to 18-year-olds of nearly 40 years ago</w:t>
      </w:r>
      <w:r w:rsidR="00CC2EFE" w:rsidRPr="00E262B3">
        <w:rPr>
          <w:rFonts w:eastAsia="Times New Roman" w:cs="Times New Roman"/>
          <w:shd w:val="clear" w:color="auto" w:fill="FFFFFF"/>
        </w:rPr>
        <w:t>’</w:t>
      </w:r>
      <w:r w:rsidR="00255BE4" w:rsidRPr="00E262B3">
        <w:rPr>
          <w:rFonts w:eastAsia="Times New Roman" w:cs="Times New Roman"/>
          <w:shd w:val="clear" w:color="auto" w:fill="FFFFFF"/>
        </w:rPr>
        <w:t xml:space="preserve"> (HC Deb 29 November 2005</w:t>
      </w:r>
      <w:r w:rsidR="00BB411F">
        <w:rPr>
          <w:rFonts w:eastAsia="Times New Roman" w:cs="Times New Roman"/>
          <w:shd w:val="clear" w:color="auto" w:fill="FFFFFF"/>
        </w:rPr>
        <w:t>:</w:t>
      </w:r>
      <w:r w:rsidR="00255BE4" w:rsidRPr="00E262B3">
        <w:rPr>
          <w:rFonts w:eastAsia="Times New Roman" w:cs="Times New Roman"/>
          <w:shd w:val="clear" w:color="auto" w:fill="FFFFFF"/>
        </w:rPr>
        <w:t xml:space="preserve"> c138-9)</w:t>
      </w:r>
      <w:r w:rsidR="00B6110A" w:rsidRPr="00E262B3">
        <w:rPr>
          <w:rFonts w:eastAsia="Times New Roman" w:cs="Times New Roman"/>
          <w:shd w:val="clear" w:color="auto" w:fill="FFFFFF"/>
        </w:rPr>
        <w:t>.</w:t>
      </w:r>
      <w:r w:rsidR="0033057C" w:rsidRPr="00E262B3">
        <w:rPr>
          <w:rFonts w:eastAsia="Times New Roman" w:cs="Times New Roman"/>
          <w:shd w:val="clear" w:color="auto" w:fill="FFFFFF"/>
        </w:rPr>
        <w:t xml:space="preserve"> </w:t>
      </w:r>
      <w:r w:rsidR="00EF7185" w:rsidRPr="00E262B3">
        <w:rPr>
          <w:rFonts w:cs="Times New Roman"/>
        </w:rPr>
        <w:t xml:space="preserve">Labour Peer, Baroness Hayter, </w:t>
      </w:r>
      <w:r w:rsidR="00EF7185">
        <w:rPr>
          <w:rFonts w:cs="Times New Roman"/>
        </w:rPr>
        <w:t xml:space="preserve">drew attention to similarities between contemporary debates and those in the 1960s, noting </w:t>
      </w:r>
      <w:r w:rsidR="00EF7185" w:rsidRPr="00E262B3">
        <w:rPr>
          <w:rFonts w:cs="Times New Roman"/>
        </w:rPr>
        <w:t>‘</w:t>
      </w:r>
      <w:r w:rsidR="00C93DD6">
        <w:rPr>
          <w:rFonts w:cs="Times New Roman"/>
        </w:rPr>
        <w:t>e</w:t>
      </w:r>
      <w:r w:rsidR="00EF7185" w:rsidRPr="00E262B3">
        <w:rPr>
          <w:rFonts w:cs="Times New Roman"/>
        </w:rPr>
        <w:t>xactly the same arguments were used in 1968 against lowering the age from 21</w:t>
      </w:r>
      <w:r w:rsidR="00C93DD6">
        <w:rPr>
          <w:rFonts w:cs="Times New Roman"/>
        </w:rPr>
        <w:t>’</w:t>
      </w:r>
      <w:r w:rsidR="00EF7185" w:rsidRPr="00E262B3">
        <w:rPr>
          <w:rFonts w:cs="Times New Roman"/>
        </w:rPr>
        <w:t>. (HL Deb, 27 February 2013</w:t>
      </w:r>
      <w:r w:rsidR="00BB411F">
        <w:rPr>
          <w:rFonts w:cs="Times New Roman"/>
        </w:rPr>
        <w:t>:</w:t>
      </w:r>
      <w:r w:rsidR="00EF7185" w:rsidRPr="00E262B3">
        <w:rPr>
          <w:rFonts w:cs="Times New Roman"/>
        </w:rPr>
        <w:t xml:space="preserve"> c186). </w:t>
      </w:r>
      <w:r w:rsidR="00913F36">
        <w:rPr>
          <w:rFonts w:eastAsia="Times New Roman" w:cs="Times New Roman"/>
          <w:shd w:val="clear" w:color="auto" w:fill="FFFFFF"/>
        </w:rPr>
        <w:t xml:space="preserve">Conversely, </w:t>
      </w:r>
      <w:r w:rsidR="00992CB3" w:rsidRPr="00E262B3">
        <w:rPr>
          <w:rFonts w:eastAsia="Times New Roman" w:cs="Times New Roman"/>
          <w:bdr w:val="none" w:sz="0" w:space="0" w:color="auto" w:frame="1"/>
        </w:rPr>
        <w:t xml:space="preserve">Conservative peer, </w:t>
      </w:r>
      <w:r w:rsidR="00A72878" w:rsidRPr="00E262B3">
        <w:rPr>
          <w:rFonts w:eastAsia="Times New Roman" w:cs="Times New Roman"/>
          <w:bdr w:val="none" w:sz="0" w:space="0" w:color="auto" w:frame="1"/>
        </w:rPr>
        <w:t xml:space="preserve">Lord Norton of Louth, </w:t>
      </w:r>
      <w:r w:rsidR="00913F36">
        <w:rPr>
          <w:rFonts w:eastAsia="Times New Roman" w:cs="Times New Roman"/>
          <w:bdr w:val="none" w:sz="0" w:space="0" w:color="auto" w:frame="1"/>
        </w:rPr>
        <w:t>noted</w:t>
      </w:r>
      <w:r w:rsidR="00A72878" w:rsidRPr="00E262B3">
        <w:rPr>
          <w:rFonts w:eastAsia="Times New Roman" w:cs="Times New Roman"/>
          <w:bdr w:val="none" w:sz="0" w:space="0" w:color="auto" w:frame="1"/>
        </w:rPr>
        <w:t xml:space="preserve"> </w:t>
      </w:r>
      <w:r w:rsidR="00A6602A" w:rsidRPr="00E262B3">
        <w:rPr>
          <w:rFonts w:eastAsia="Times New Roman" w:cs="Times New Roman"/>
          <w:bdr w:val="none" w:sz="0" w:space="0" w:color="auto" w:frame="1"/>
        </w:rPr>
        <w:t xml:space="preserve">that </w:t>
      </w:r>
      <w:r w:rsidR="00A72878" w:rsidRPr="00E262B3">
        <w:rPr>
          <w:rFonts w:eastAsia="Times New Roman" w:cs="Times New Roman"/>
          <w:bdr w:val="none" w:sz="0" w:space="0" w:color="auto" w:frame="1"/>
        </w:rPr>
        <w:t xml:space="preserve">‘lowering the voting age </w:t>
      </w:r>
      <w:r w:rsidR="00A72878" w:rsidRPr="00E262B3">
        <w:rPr>
          <w:rFonts w:cs="Times New Roman"/>
        </w:rPr>
        <w:t>is not likely to have a positive impact on turnout any more than it did when it was lowered to 18 in 1969. It did not promote participation in democracy, but rather served to demonstrate what we already knew: young people are among the groups least likely to vote.’</w:t>
      </w:r>
      <w:r w:rsidR="00255BE4" w:rsidRPr="00E262B3">
        <w:rPr>
          <w:rFonts w:cs="Times New Roman"/>
        </w:rPr>
        <w:t xml:space="preserve"> (HL Deb, 27 February 2013</w:t>
      </w:r>
      <w:r w:rsidR="00BB411F">
        <w:rPr>
          <w:rFonts w:cs="Times New Roman"/>
        </w:rPr>
        <w:t>:</w:t>
      </w:r>
      <w:r w:rsidR="00255BE4" w:rsidRPr="00E262B3">
        <w:rPr>
          <w:rFonts w:cs="Times New Roman"/>
        </w:rPr>
        <w:t xml:space="preserve"> c178)</w:t>
      </w:r>
      <w:r w:rsidR="00A72878" w:rsidRPr="00E262B3">
        <w:rPr>
          <w:rFonts w:cs="Times New Roman"/>
        </w:rPr>
        <w:t xml:space="preserve">. </w:t>
      </w:r>
      <w:proofErr w:type="gramStart"/>
      <w:r w:rsidR="0093455E">
        <w:rPr>
          <w:rFonts w:cstheme="minorHAnsi"/>
        </w:rPr>
        <w:t>Following the 2019 UK general election, there</w:t>
      </w:r>
      <w:proofErr w:type="gramEnd"/>
      <w:r w:rsidR="0093455E">
        <w:rPr>
          <w:rFonts w:cstheme="minorHAnsi"/>
        </w:rPr>
        <w:t xml:space="preserve"> are no </w:t>
      </w:r>
      <w:r w:rsidR="0093455E" w:rsidRPr="00E262B3">
        <w:rPr>
          <w:rFonts w:cstheme="minorHAnsi"/>
        </w:rPr>
        <w:t xml:space="preserve">serving MPs in the House of Commons elected </w:t>
      </w:r>
      <w:r w:rsidR="0093455E">
        <w:rPr>
          <w:rFonts w:cstheme="minorHAnsi"/>
        </w:rPr>
        <w:t xml:space="preserve">prior to 1975 or </w:t>
      </w:r>
      <w:r w:rsidR="0093455E" w:rsidRPr="00E262B3">
        <w:rPr>
          <w:rFonts w:cstheme="minorHAnsi"/>
        </w:rPr>
        <w:t xml:space="preserve">civil servants associated with </w:t>
      </w:r>
      <w:r w:rsidR="0093455E">
        <w:rPr>
          <w:rFonts w:cstheme="minorHAnsi"/>
        </w:rPr>
        <w:t xml:space="preserve">introducing </w:t>
      </w:r>
      <w:r w:rsidR="0093455E" w:rsidRPr="00E262B3">
        <w:rPr>
          <w:rFonts w:cstheme="minorHAnsi"/>
        </w:rPr>
        <w:t>‘Votes</w:t>
      </w:r>
      <w:r w:rsidR="0093455E">
        <w:rPr>
          <w:rFonts w:cstheme="minorHAnsi"/>
        </w:rPr>
        <w:t>-a</w:t>
      </w:r>
      <w:r w:rsidR="0093455E" w:rsidRPr="00E262B3">
        <w:rPr>
          <w:rFonts w:cstheme="minorHAnsi"/>
        </w:rPr>
        <w:t>t</w:t>
      </w:r>
      <w:r w:rsidR="0093455E">
        <w:rPr>
          <w:rFonts w:cstheme="minorHAnsi"/>
        </w:rPr>
        <w:t>-</w:t>
      </w:r>
      <w:r w:rsidR="0093455E" w:rsidRPr="00E262B3">
        <w:rPr>
          <w:rFonts w:cstheme="minorHAnsi"/>
        </w:rPr>
        <w:t xml:space="preserve">18’ </w:t>
      </w:r>
      <w:r w:rsidR="0093455E">
        <w:rPr>
          <w:rFonts w:cstheme="minorHAnsi"/>
        </w:rPr>
        <w:t xml:space="preserve">still </w:t>
      </w:r>
      <w:r w:rsidR="0093455E" w:rsidRPr="00E262B3">
        <w:rPr>
          <w:rFonts w:cstheme="minorHAnsi"/>
        </w:rPr>
        <w:t>of working age</w:t>
      </w:r>
      <w:r w:rsidR="0093455E">
        <w:rPr>
          <w:rFonts w:cstheme="minorHAnsi"/>
        </w:rPr>
        <w:t>.</w:t>
      </w:r>
    </w:p>
    <w:p w14:paraId="1920A2AE" w14:textId="013A3A07" w:rsidR="00246929" w:rsidRPr="00DC4CD5" w:rsidRDefault="00DC4CD5" w:rsidP="0097586F">
      <w:pPr>
        <w:spacing w:line="360" w:lineRule="auto"/>
        <w:jc w:val="both"/>
        <w:rPr>
          <w:rFonts w:cs="Times New Roman"/>
        </w:rPr>
      </w:pPr>
      <w:r>
        <w:rPr>
          <w:rFonts w:cstheme="minorHAnsi"/>
        </w:rPr>
        <w:t xml:space="preserve">Increasingly, </w:t>
      </w:r>
      <w:r>
        <w:rPr>
          <w:rFonts w:eastAsia="Times New Roman" w:cs="Times New Roman"/>
          <w:bdr w:val="none" w:sz="0" w:space="0" w:color="auto" w:frame="1"/>
        </w:rPr>
        <w:t xml:space="preserve">debates about ‘Votes-at-16’ have highlighted how </w:t>
      </w:r>
      <w:r w:rsidR="0093455E">
        <w:rPr>
          <w:rFonts w:eastAsia="Times New Roman" w:cs="Times New Roman"/>
          <w:bdr w:val="none" w:sz="0" w:space="0" w:color="auto" w:frame="1"/>
        </w:rPr>
        <w:t xml:space="preserve">this </w:t>
      </w:r>
      <w:r>
        <w:rPr>
          <w:rFonts w:eastAsia="Times New Roman" w:cs="Times New Roman"/>
          <w:bdr w:val="none" w:sz="0" w:space="0" w:color="auto" w:frame="1"/>
        </w:rPr>
        <w:t xml:space="preserve">institutional amnesia interconnects with </w:t>
      </w:r>
      <w:r>
        <w:rPr>
          <w:rFonts w:ascii="Calibri" w:hAnsi="Calibri"/>
        </w:rPr>
        <w:t>policy myopia</w:t>
      </w:r>
      <w:r>
        <w:rPr>
          <w:rFonts w:eastAsia="Times New Roman" w:cs="Times New Roman"/>
          <w:bdr w:val="none" w:sz="0" w:space="0" w:color="auto" w:frame="1"/>
        </w:rPr>
        <w:t xml:space="preserve">. </w:t>
      </w:r>
      <w:r w:rsidR="0093455E">
        <w:rPr>
          <w:rFonts w:eastAsia="Times New Roman" w:cs="Times New Roman"/>
          <w:bdr w:val="none" w:sz="0" w:space="0" w:color="auto" w:frame="1"/>
        </w:rPr>
        <w:t>P</w:t>
      </w:r>
      <w:r w:rsidR="00E6699B">
        <w:rPr>
          <w:rFonts w:cstheme="minorHAnsi"/>
        </w:rPr>
        <w:t xml:space="preserve">arliamentary </w:t>
      </w:r>
      <w:r w:rsidR="00B744AF">
        <w:rPr>
          <w:rFonts w:cstheme="minorHAnsi"/>
        </w:rPr>
        <w:t>committees</w:t>
      </w:r>
      <w:r w:rsidR="00E6699B">
        <w:rPr>
          <w:rFonts w:cstheme="minorHAnsi"/>
        </w:rPr>
        <w:t xml:space="preserve"> </w:t>
      </w:r>
      <w:r w:rsidR="00B744AF">
        <w:rPr>
          <w:rFonts w:cstheme="minorHAnsi"/>
        </w:rPr>
        <w:t xml:space="preserve">engaging with </w:t>
      </w:r>
      <w:r w:rsidR="00E6699B">
        <w:rPr>
          <w:rFonts w:cstheme="minorHAnsi"/>
        </w:rPr>
        <w:t>the voting age question</w:t>
      </w:r>
      <w:r w:rsidR="00B744AF">
        <w:rPr>
          <w:rFonts w:cstheme="minorHAnsi"/>
        </w:rPr>
        <w:t xml:space="preserve"> </w:t>
      </w:r>
      <w:r w:rsidR="00BE4156">
        <w:rPr>
          <w:rFonts w:cstheme="minorHAnsi"/>
        </w:rPr>
        <w:lastRenderedPageBreak/>
        <w:t>have</w:t>
      </w:r>
      <w:r>
        <w:rPr>
          <w:rFonts w:cstheme="minorHAnsi"/>
        </w:rPr>
        <w:t xml:space="preserve"> not</w:t>
      </w:r>
      <w:r w:rsidR="00BE4156">
        <w:rPr>
          <w:rFonts w:cstheme="minorHAnsi"/>
        </w:rPr>
        <w:t xml:space="preserve"> </w:t>
      </w:r>
      <w:r>
        <w:rPr>
          <w:rFonts w:cstheme="minorHAnsi"/>
        </w:rPr>
        <w:t xml:space="preserve">been able to </w:t>
      </w:r>
      <w:r w:rsidR="0093455E">
        <w:rPr>
          <w:rFonts w:cstheme="minorHAnsi"/>
        </w:rPr>
        <w:t xml:space="preserve">call on the memories of policy actors or </w:t>
      </w:r>
      <w:r>
        <w:rPr>
          <w:rFonts w:cstheme="minorHAnsi"/>
        </w:rPr>
        <w:t xml:space="preserve">draw on parliamentary or academic analyses of </w:t>
      </w:r>
      <w:r w:rsidR="0093455E">
        <w:rPr>
          <w:rFonts w:cstheme="minorHAnsi"/>
        </w:rPr>
        <w:t>the</w:t>
      </w:r>
      <w:r>
        <w:rPr>
          <w:rFonts w:cstheme="minorHAnsi"/>
        </w:rPr>
        <w:t xml:space="preserve"> drivers, </w:t>
      </w:r>
      <w:proofErr w:type="gramStart"/>
      <w:r>
        <w:rPr>
          <w:rFonts w:cstheme="minorHAnsi"/>
        </w:rPr>
        <w:t>implementation</w:t>
      </w:r>
      <w:proofErr w:type="gramEnd"/>
      <w:r>
        <w:rPr>
          <w:rFonts w:cstheme="minorHAnsi"/>
        </w:rPr>
        <w:t xml:space="preserve"> or effects</w:t>
      </w:r>
      <w:r w:rsidR="0093455E">
        <w:rPr>
          <w:rFonts w:cstheme="minorHAnsi"/>
        </w:rPr>
        <w:t xml:space="preserve"> of ‘Votes-at-18’</w:t>
      </w:r>
      <w:r>
        <w:rPr>
          <w:rFonts w:cstheme="minorHAnsi"/>
        </w:rPr>
        <w:t xml:space="preserve"> </w:t>
      </w:r>
      <w:r w:rsidR="0093455E">
        <w:rPr>
          <w:rFonts w:cstheme="minorHAnsi"/>
        </w:rPr>
        <w:t>to support</w:t>
      </w:r>
      <w:r w:rsidR="00BE4156">
        <w:rPr>
          <w:rFonts w:cstheme="minorHAnsi"/>
        </w:rPr>
        <w:t xml:space="preserve"> </w:t>
      </w:r>
      <w:r w:rsidR="00B744AF">
        <w:rPr>
          <w:rFonts w:cstheme="minorHAnsi"/>
        </w:rPr>
        <w:t xml:space="preserve">policy </w:t>
      </w:r>
      <w:r w:rsidR="00EA587A">
        <w:rPr>
          <w:rFonts w:cstheme="minorHAnsi"/>
        </w:rPr>
        <w:t xml:space="preserve">learning </w:t>
      </w:r>
      <w:r w:rsidR="00B744AF">
        <w:rPr>
          <w:rFonts w:cstheme="minorHAnsi"/>
        </w:rPr>
        <w:t xml:space="preserve">(see, </w:t>
      </w:r>
      <w:r w:rsidR="0056214A">
        <w:rPr>
          <w:rFonts w:cstheme="minorHAnsi"/>
        </w:rPr>
        <w:t xml:space="preserve">as </w:t>
      </w:r>
      <w:r w:rsidR="00B744AF">
        <w:rPr>
          <w:rFonts w:cstheme="minorHAnsi"/>
        </w:rPr>
        <w:t>example</w:t>
      </w:r>
      <w:r w:rsidR="0056214A">
        <w:rPr>
          <w:rFonts w:cstheme="minorHAnsi"/>
        </w:rPr>
        <w:t>s</w:t>
      </w:r>
      <w:r w:rsidR="00B744AF">
        <w:rPr>
          <w:rFonts w:cstheme="minorHAnsi"/>
        </w:rPr>
        <w:t xml:space="preserve">, </w:t>
      </w:r>
      <w:r w:rsidR="00B744AF" w:rsidRPr="00E262B3">
        <w:rPr>
          <w:rFonts w:cstheme="minorHAnsi"/>
        </w:rPr>
        <w:t>House of Commons</w:t>
      </w:r>
      <w:r w:rsidR="008246D4">
        <w:rPr>
          <w:rFonts w:cstheme="minorHAnsi"/>
        </w:rPr>
        <w:t>, 2</w:t>
      </w:r>
      <w:r w:rsidR="00B744AF" w:rsidRPr="00E262B3">
        <w:rPr>
          <w:rFonts w:cstheme="minorHAnsi"/>
        </w:rPr>
        <w:t>014</w:t>
      </w:r>
      <w:r w:rsidR="00B744AF">
        <w:rPr>
          <w:rFonts w:cstheme="minorHAnsi"/>
        </w:rPr>
        <w:t xml:space="preserve">; </w:t>
      </w:r>
      <w:r w:rsidR="00B744AF" w:rsidRPr="00E262B3">
        <w:rPr>
          <w:rFonts w:cstheme="minorHAnsi"/>
        </w:rPr>
        <w:t>House of Lords</w:t>
      </w:r>
      <w:r w:rsidR="008246D4">
        <w:rPr>
          <w:rFonts w:cstheme="minorHAnsi"/>
        </w:rPr>
        <w:t xml:space="preserve">, </w:t>
      </w:r>
      <w:r w:rsidR="00B744AF" w:rsidRPr="00E262B3">
        <w:rPr>
          <w:rFonts w:cstheme="minorHAnsi"/>
        </w:rPr>
        <w:t>2018</w:t>
      </w:r>
      <w:r w:rsidR="008246D4">
        <w:rPr>
          <w:rFonts w:cstheme="minorHAnsi"/>
        </w:rPr>
        <w:t>)</w:t>
      </w:r>
      <w:r w:rsidR="00B744AF">
        <w:rPr>
          <w:rFonts w:cstheme="minorHAnsi"/>
        </w:rPr>
        <w:t>.</w:t>
      </w:r>
      <w:r w:rsidR="00EA587A">
        <w:rPr>
          <w:rFonts w:cstheme="minorHAnsi"/>
        </w:rPr>
        <w:t xml:space="preserve"> </w:t>
      </w:r>
      <w:r w:rsidR="00EF7185">
        <w:rPr>
          <w:rFonts w:ascii="Calibri" w:hAnsi="Calibri" w:cstheme="minorHAnsi"/>
        </w:rPr>
        <w:t xml:space="preserve">Other opportunities to reflect on the experiences and legacies of ‘Votes-at-18’ suggest </w:t>
      </w:r>
      <w:r w:rsidR="002839E6">
        <w:rPr>
          <w:rFonts w:ascii="Calibri" w:hAnsi="Calibri" w:cstheme="minorHAnsi"/>
        </w:rPr>
        <w:t xml:space="preserve">institutional amnesia and </w:t>
      </w:r>
      <w:r w:rsidR="00EF7185">
        <w:rPr>
          <w:rFonts w:ascii="Calibri" w:hAnsi="Calibri" w:cstheme="minorHAnsi"/>
        </w:rPr>
        <w:t xml:space="preserve">unintentional policy myopia </w:t>
      </w:r>
      <w:r w:rsidR="002839E6">
        <w:rPr>
          <w:rFonts w:ascii="Calibri" w:hAnsi="Calibri" w:cstheme="minorHAnsi"/>
        </w:rPr>
        <w:t>are</w:t>
      </w:r>
      <w:r w:rsidR="00EF7185">
        <w:rPr>
          <w:rFonts w:ascii="Calibri" w:hAnsi="Calibri" w:cstheme="minorHAnsi"/>
        </w:rPr>
        <w:t xml:space="preserve"> not </w:t>
      </w:r>
      <w:r w:rsidR="007C1143">
        <w:rPr>
          <w:rFonts w:ascii="Calibri" w:hAnsi="Calibri" w:cstheme="minorHAnsi"/>
        </w:rPr>
        <w:t xml:space="preserve">solely </w:t>
      </w:r>
      <w:r w:rsidR="00EF7185">
        <w:rPr>
          <w:rFonts w:ascii="Calibri" w:hAnsi="Calibri" w:cstheme="minorHAnsi"/>
        </w:rPr>
        <w:t>the preserve of Westminster</w:t>
      </w:r>
      <w:r w:rsidR="008246D4">
        <w:rPr>
          <w:rFonts w:ascii="Calibri" w:hAnsi="Calibri" w:cstheme="minorHAnsi"/>
        </w:rPr>
        <w:t xml:space="preserve"> or Whitehall</w:t>
      </w:r>
      <w:r w:rsidR="00EF7185">
        <w:rPr>
          <w:rFonts w:ascii="Calibri" w:hAnsi="Calibri" w:cstheme="minorHAnsi"/>
        </w:rPr>
        <w:t xml:space="preserve">. </w:t>
      </w:r>
      <w:r w:rsidR="0097586F" w:rsidRPr="00E262B3">
        <w:rPr>
          <w:rFonts w:ascii="Calibri" w:hAnsi="Calibri" w:cstheme="minorHAnsi"/>
        </w:rPr>
        <w:t xml:space="preserve">Two </w:t>
      </w:r>
      <w:r w:rsidR="00020D03">
        <w:rPr>
          <w:rFonts w:ascii="Calibri" w:hAnsi="Calibri" w:cstheme="minorHAnsi"/>
        </w:rPr>
        <w:t xml:space="preserve">government-sponsored </w:t>
      </w:r>
      <w:r w:rsidR="000D52DE" w:rsidRPr="007C1143">
        <w:rPr>
          <w:rFonts w:cstheme="minorHAnsi"/>
        </w:rPr>
        <w:t xml:space="preserve">but </w:t>
      </w:r>
      <w:r w:rsidR="0097586F" w:rsidRPr="007C1143">
        <w:rPr>
          <w:rFonts w:cstheme="minorHAnsi"/>
        </w:rPr>
        <w:t>independent commissions - the Electoral Commission (200</w:t>
      </w:r>
      <w:r w:rsidR="00920F46" w:rsidRPr="007C1143">
        <w:rPr>
          <w:rFonts w:cstheme="minorHAnsi"/>
        </w:rPr>
        <w:t>2</w:t>
      </w:r>
      <w:r w:rsidR="0097586F" w:rsidRPr="007C1143">
        <w:rPr>
          <w:rFonts w:cstheme="minorHAnsi"/>
        </w:rPr>
        <w:t xml:space="preserve">-4) </w:t>
      </w:r>
      <w:r w:rsidR="0097586F" w:rsidRPr="007C1143">
        <w:t xml:space="preserve">and </w:t>
      </w:r>
      <w:r w:rsidR="0097586F" w:rsidRPr="007C1143">
        <w:rPr>
          <w:rFonts w:cstheme="minorHAnsi"/>
        </w:rPr>
        <w:t>the Youth Citizenship Commission</w:t>
      </w:r>
      <w:r w:rsidR="007C1143">
        <w:rPr>
          <w:rFonts w:cstheme="minorHAnsi"/>
        </w:rPr>
        <w:t xml:space="preserve"> (YCC)</w:t>
      </w:r>
      <w:r w:rsidR="0097586F" w:rsidRPr="007C1143">
        <w:rPr>
          <w:rFonts w:cstheme="minorHAnsi"/>
        </w:rPr>
        <w:t xml:space="preserve"> (2008-9) </w:t>
      </w:r>
      <w:r w:rsidR="000D52DE" w:rsidRPr="007C1143">
        <w:rPr>
          <w:rFonts w:cstheme="minorHAnsi"/>
        </w:rPr>
        <w:t>–</w:t>
      </w:r>
      <w:r w:rsidR="00AD67B5" w:rsidRPr="007C1143">
        <w:rPr>
          <w:rFonts w:cstheme="minorHAnsi"/>
        </w:rPr>
        <w:t xml:space="preserve"> </w:t>
      </w:r>
      <w:r w:rsidR="007C1143" w:rsidRPr="007C1143">
        <w:rPr>
          <w:rFonts w:cstheme="minorHAnsi"/>
        </w:rPr>
        <w:t>were</w:t>
      </w:r>
      <w:r w:rsidR="00EF7185" w:rsidRPr="007C1143">
        <w:rPr>
          <w:rFonts w:cstheme="minorHAnsi"/>
        </w:rPr>
        <w:t xml:space="preserve"> convened to</w:t>
      </w:r>
      <w:r w:rsidR="00FE6F8E" w:rsidRPr="007C1143">
        <w:rPr>
          <w:rFonts w:cstheme="minorHAnsi"/>
        </w:rPr>
        <w:t xml:space="preserve"> consider the</w:t>
      </w:r>
      <w:r w:rsidR="00382954" w:rsidRPr="007C1143">
        <w:rPr>
          <w:rFonts w:cstheme="minorHAnsi"/>
        </w:rPr>
        <w:t xml:space="preserve"> potential reform of the </w:t>
      </w:r>
      <w:r w:rsidR="000D52DE" w:rsidRPr="007C1143">
        <w:rPr>
          <w:rFonts w:cstheme="minorHAnsi"/>
        </w:rPr>
        <w:t>voting age to 16</w:t>
      </w:r>
      <w:r w:rsidR="00EF7185" w:rsidRPr="007C1143">
        <w:rPr>
          <w:rFonts w:cstheme="minorHAnsi"/>
        </w:rPr>
        <w:t xml:space="preserve">. Both commissions </w:t>
      </w:r>
      <w:r w:rsidR="00DE225C" w:rsidRPr="007C1143">
        <w:t>acknowledge</w:t>
      </w:r>
      <w:r w:rsidR="004C77DD">
        <w:t>d</w:t>
      </w:r>
      <w:r w:rsidR="00DE225C" w:rsidRPr="007C1143">
        <w:t xml:space="preserve"> the importance of the Representation of the People Act (1969) </w:t>
      </w:r>
      <w:r w:rsidR="00CE4746" w:rsidRPr="007C1143">
        <w:t xml:space="preserve">and </w:t>
      </w:r>
      <w:r w:rsidR="00DE225C" w:rsidRPr="007C1143">
        <w:t xml:space="preserve">the </w:t>
      </w:r>
      <w:proofErr w:type="spellStart"/>
      <w:r w:rsidR="00DE225C" w:rsidRPr="007C1143">
        <w:t>Latey</w:t>
      </w:r>
      <w:proofErr w:type="spellEnd"/>
      <w:r w:rsidR="00DE225C" w:rsidRPr="007C1143">
        <w:t xml:space="preserve"> Commission</w:t>
      </w:r>
      <w:r w:rsidR="00EF7185" w:rsidRPr="007C1143">
        <w:t xml:space="preserve"> in their final reports. </w:t>
      </w:r>
      <w:r w:rsidR="005E7A19" w:rsidRPr="00E262B3">
        <w:rPr>
          <w:rFonts w:cstheme="minorHAnsi"/>
        </w:rPr>
        <w:t>T</w:t>
      </w:r>
      <w:r w:rsidR="0097586F" w:rsidRPr="00E262B3">
        <w:rPr>
          <w:rFonts w:cstheme="minorHAnsi"/>
        </w:rPr>
        <w:t>wo non-government commissioned reviews</w:t>
      </w:r>
      <w:r w:rsidR="005E7A19" w:rsidRPr="00E262B3">
        <w:rPr>
          <w:rFonts w:cstheme="minorHAnsi"/>
        </w:rPr>
        <w:t xml:space="preserve"> </w:t>
      </w:r>
      <w:r w:rsidR="00CE4746" w:rsidRPr="00E262B3">
        <w:rPr>
          <w:rFonts w:cstheme="minorHAnsi"/>
        </w:rPr>
        <w:t>–</w:t>
      </w:r>
      <w:r w:rsidR="00463536">
        <w:rPr>
          <w:rFonts w:cstheme="minorHAnsi"/>
        </w:rPr>
        <w:t xml:space="preserve"> </w:t>
      </w:r>
      <w:r w:rsidR="0097586F" w:rsidRPr="00E262B3">
        <w:rPr>
          <w:rFonts w:cstheme="minorHAnsi"/>
        </w:rPr>
        <w:t>the Power Commission (</w:t>
      </w:r>
      <w:r w:rsidR="004C77DD">
        <w:rPr>
          <w:rFonts w:cstheme="minorHAnsi"/>
        </w:rPr>
        <w:t>2004-</w:t>
      </w:r>
      <w:r w:rsidR="0097586F" w:rsidRPr="00E262B3">
        <w:rPr>
          <w:rFonts w:cstheme="minorHAnsi"/>
        </w:rPr>
        <w:t xml:space="preserve">6) and the British Youth Council </w:t>
      </w:r>
      <w:r w:rsidR="005E7A19" w:rsidRPr="00E262B3">
        <w:rPr>
          <w:rFonts w:cstheme="minorHAnsi"/>
        </w:rPr>
        <w:t xml:space="preserve">(BYC) </w:t>
      </w:r>
      <w:r w:rsidR="0097586F" w:rsidRPr="00E262B3">
        <w:rPr>
          <w:rFonts w:cstheme="minorHAnsi"/>
        </w:rPr>
        <w:t>(2014)</w:t>
      </w:r>
      <w:r w:rsidR="005E7A19" w:rsidRPr="00E262B3">
        <w:rPr>
          <w:rFonts w:cstheme="minorHAnsi"/>
        </w:rPr>
        <w:t xml:space="preserve"> </w:t>
      </w:r>
      <w:r w:rsidR="004C77DD">
        <w:rPr>
          <w:rFonts w:cstheme="minorHAnsi"/>
        </w:rPr>
        <w:t xml:space="preserve">have also considered the voting age question. </w:t>
      </w:r>
      <w:r w:rsidR="00246929">
        <w:rPr>
          <w:rFonts w:ascii="Calibri" w:hAnsi="Calibri"/>
        </w:rPr>
        <w:t xml:space="preserve">Each of these four Commissions adopted similar approaches </w:t>
      </w:r>
      <w:r w:rsidR="00E6699B">
        <w:rPr>
          <w:rFonts w:ascii="Calibri" w:hAnsi="Calibri"/>
        </w:rPr>
        <w:t xml:space="preserve">– if not depth - </w:t>
      </w:r>
      <w:r w:rsidR="00246929">
        <w:rPr>
          <w:rFonts w:ascii="Calibri" w:hAnsi="Calibri"/>
        </w:rPr>
        <w:t xml:space="preserve">to evidence-gathering, evaluating arguments for and against voting age reform via a mix of focus groups, interviews, public opinion data and literature reviews. </w:t>
      </w:r>
      <w:r w:rsidR="00E6699B">
        <w:rPr>
          <w:rFonts w:cstheme="minorHAnsi"/>
        </w:rPr>
        <w:t xml:space="preserve">However, no policy actors who contributed to either the </w:t>
      </w:r>
      <w:proofErr w:type="spellStart"/>
      <w:r w:rsidR="00E6699B">
        <w:rPr>
          <w:rFonts w:cstheme="minorHAnsi"/>
        </w:rPr>
        <w:t>Latey</w:t>
      </w:r>
      <w:proofErr w:type="spellEnd"/>
      <w:r w:rsidR="00E6699B">
        <w:rPr>
          <w:rFonts w:cstheme="minorHAnsi"/>
        </w:rPr>
        <w:t xml:space="preserve"> Commission or the Speaker’s Commission in the late 1960s sat on any of the Commissions or gave evidence</w:t>
      </w:r>
      <w:r w:rsidR="00200C95">
        <w:rPr>
          <w:rFonts w:cstheme="minorHAnsi"/>
        </w:rPr>
        <w:t>.</w:t>
      </w:r>
      <w:r w:rsidR="00E6699B">
        <w:rPr>
          <w:rFonts w:cstheme="minorHAnsi"/>
        </w:rPr>
        <w:t xml:space="preserve"> </w:t>
      </w:r>
      <w:r w:rsidR="0093455E">
        <w:rPr>
          <w:rFonts w:ascii="Calibri" w:hAnsi="Calibri"/>
        </w:rPr>
        <w:t xml:space="preserve">The Electoral Commission and YCC both concluded that they had not received </w:t>
      </w:r>
      <w:r w:rsidR="0093455E" w:rsidRPr="00E262B3">
        <w:rPr>
          <w:rFonts w:cstheme="minorHAnsi"/>
        </w:rPr>
        <w:t>sufficient evidence</w:t>
      </w:r>
      <w:r w:rsidR="0093455E">
        <w:rPr>
          <w:rFonts w:cstheme="minorHAnsi"/>
        </w:rPr>
        <w:t xml:space="preserve"> to support lowering the voting age. Conversely, the Power Commission and BYC claimed </w:t>
      </w:r>
      <w:r w:rsidR="0093455E">
        <w:rPr>
          <w:rFonts w:ascii="Calibri" w:hAnsi="Calibri"/>
        </w:rPr>
        <w:t xml:space="preserve">they had </w:t>
      </w:r>
      <w:r w:rsidR="0093455E" w:rsidRPr="008246D4">
        <w:rPr>
          <w:rFonts w:ascii="Calibri" w:hAnsi="Calibri"/>
        </w:rPr>
        <w:t>not</w:t>
      </w:r>
      <w:r w:rsidR="0093455E">
        <w:rPr>
          <w:rFonts w:ascii="Calibri" w:hAnsi="Calibri"/>
        </w:rPr>
        <w:t xml:space="preserve"> received </w:t>
      </w:r>
      <w:r w:rsidR="0093455E" w:rsidRPr="00E262B3">
        <w:rPr>
          <w:rFonts w:cstheme="minorHAnsi"/>
        </w:rPr>
        <w:t>sufficient evidence</w:t>
      </w:r>
      <w:r w:rsidR="0093455E">
        <w:rPr>
          <w:rFonts w:cstheme="minorHAnsi"/>
        </w:rPr>
        <w:t xml:space="preserve"> to defer implementing ‘Votes-at-16’. </w:t>
      </w:r>
      <w:r w:rsidR="0093455E">
        <w:t>It is noteworthy that</w:t>
      </w:r>
      <w:r w:rsidR="00E6699B" w:rsidRPr="007C1143">
        <w:t xml:space="preserve"> </w:t>
      </w:r>
      <w:r w:rsidR="00E6699B">
        <w:t xml:space="preserve">no </w:t>
      </w:r>
      <w:r w:rsidR="0093455E">
        <w:t xml:space="preserve">parliamentary committee or any of the </w:t>
      </w:r>
      <w:r w:rsidR="00E6699B">
        <w:t>commission</w:t>
      </w:r>
      <w:r w:rsidR="0093455E">
        <w:t>s</w:t>
      </w:r>
      <w:r w:rsidR="00E6699B" w:rsidRPr="007C1143">
        <w:t xml:space="preserve"> </w:t>
      </w:r>
      <w:r w:rsidR="00E6699B">
        <w:t>sought to</w:t>
      </w:r>
      <w:r w:rsidR="00E6699B" w:rsidRPr="007C1143">
        <w:t xml:space="preserve"> </w:t>
      </w:r>
      <w:r w:rsidR="0093455E">
        <w:t xml:space="preserve">undertake a </w:t>
      </w:r>
      <w:r w:rsidR="00E6699B">
        <w:t>review</w:t>
      </w:r>
      <w:r w:rsidR="00E6699B" w:rsidRPr="007C1143">
        <w:t xml:space="preserve"> </w:t>
      </w:r>
      <w:r w:rsidR="00E6699B">
        <w:t>the</w:t>
      </w:r>
      <w:r w:rsidR="00E6699B" w:rsidRPr="007C1143">
        <w:t xml:space="preserve"> </w:t>
      </w:r>
      <w:r w:rsidR="00E6699B">
        <w:t xml:space="preserve">impact of </w:t>
      </w:r>
      <w:r w:rsidR="0093455E">
        <w:t xml:space="preserve">‘Votes-at-18’ themselves </w:t>
      </w:r>
      <w:r w:rsidR="00E6699B">
        <w:t xml:space="preserve">to inform </w:t>
      </w:r>
      <w:r w:rsidR="00E6699B" w:rsidRPr="007C1143">
        <w:t xml:space="preserve">contemporary </w:t>
      </w:r>
      <w:r w:rsidR="00E6699B" w:rsidRPr="00E262B3">
        <w:rPr>
          <w:rFonts w:cstheme="minorHAnsi"/>
        </w:rPr>
        <w:t>policy learning</w:t>
      </w:r>
      <w:r w:rsidR="00E6699B">
        <w:rPr>
          <w:rFonts w:cstheme="minorHAnsi"/>
        </w:rPr>
        <w:t>.</w:t>
      </w:r>
      <w:r w:rsidR="00E6699B" w:rsidRPr="00246929">
        <w:rPr>
          <w:rFonts w:cstheme="minorHAnsi"/>
        </w:rPr>
        <w:t xml:space="preserve"> </w:t>
      </w:r>
    </w:p>
    <w:p w14:paraId="052EFAE8" w14:textId="7CF1027B" w:rsidR="004C77DD" w:rsidRPr="00E6699B" w:rsidRDefault="008246D4" w:rsidP="0097586F">
      <w:pPr>
        <w:spacing w:line="360" w:lineRule="auto"/>
        <w:jc w:val="both"/>
        <w:rPr>
          <w:rFonts w:cstheme="minorHAnsi"/>
        </w:rPr>
      </w:pPr>
      <w:r>
        <w:rPr>
          <w:rFonts w:cstheme="minorHAnsi"/>
        </w:rPr>
        <w:t xml:space="preserve">Government and non-governmental considerations of </w:t>
      </w:r>
      <w:r w:rsidR="00E6699B">
        <w:rPr>
          <w:rFonts w:cstheme="minorHAnsi"/>
        </w:rPr>
        <w:t>the voting age question</w:t>
      </w:r>
      <w:r w:rsidR="004C77DD">
        <w:rPr>
          <w:rFonts w:cstheme="minorHAnsi"/>
        </w:rPr>
        <w:t xml:space="preserve"> </w:t>
      </w:r>
      <w:r w:rsidR="00E6699B">
        <w:rPr>
          <w:rFonts w:cstheme="minorHAnsi"/>
        </w:rPr>
        <w:t xml:space="preserve">over </w:t>
      </w:r>
      <w:r w:rsidR="00200C95">
        <w:rPr>
          <w:rFonts w:cstheme="minorHAnsi"/>
        </w:rPr>
        <w:t xml:space="preserve">recent </w:t>
      </w:r>
      <w:r w:rsidR="00E6699B">
        <w:rPr>
          <w:rFonts w:cstheme="minorHAnsi"/>
        </w:rPr>
        <w:t xml:space="preserve">decades </w:t>
      </w:r>
      <w:r>
        <w:rPr>
          <w:rFonts w:cstheme="minorHAnsi"/>
        </w:rPr>
        <w:t xml:space="preserve">have </w:t>
      </w:r>
      <w:r w:rsidR="00E6699B">
        <w:rPr>
          <w:rFonts w:cstheme="minorHAnsi"/>
        </w:rPr>
        <w:t xml:space="preserve">also </w:t>
      </w:r>
      <w:r w:rsidR="00A163E1">
        <w:rPr>
          <w:rFonts w:cstheme="minorHAnsi"/>
        </w:rPr>
        <w:t>acknowledged</w:t>
      </w:r>
      <w:r w:rsidR="004C77DD">
        <w:rPr>
          <w:rFonts w:cstheme="minorHAnsi"/>
        </w:rPr>
        <w:t xml:space="preserve"> </w:t>
      </w:r>
      <w:r w:rsidR="00E6699B">
        <w:rPr>
          <w:rFonts w:cstheme="minorHAnsi"/>
        </w:rPr>
        <w:t xml:space="preserve">its </w:t>
      </w:r>
      <w:r w:rsidR="004C77DD">
        <w:rPr>
          <w:rFonts w:cstheme="minorHAnsi"/>
        </w:rPr>
        <w:t>wider policy implications and overspill</w:t>
      </w:r>
      <w:r w:rsidR="00E6699B">
        <w:rPr>
          <w:rFonts w:cstheme="minorHAnsi"/>
        </w:rPr>
        <w:t>, particularly the relationship</w:t>
      </w:r>
      <w:r w:rsidR="004C77DD">
        <w:rPr>
          <w:rFonts w:cstheme="minorHAnsi"/>
        </w:rPr>
        <w:t xml:space="preserve"> between </w:t>
      </w:r>
      <w:r w:rsidR="001D692E" w:rsidRPr="00E262B3">
        <w:rPr>
          <w:rFonts w:cstheme="minorHAnsi"/>
        </w:rPr>
        <w:t>ages of majority</w:t>
      </w:r>
      <w:r w:rsidR="004C77DD">
        <w:rPr>
          <w:rFonts w:cstheme="minorHAnsi"/>
        </w:rPr>
        <w:t xml:space="preserve"> and </w:t>
      </w:r>
      <w:r w:rsidR="00412DCA">
        <w:rPr>
          <w:rFonts w:cstheme="minorHAnsi"/>
        </w:rPr>
        <w:t>enfranchisement</w:t>
      </w:r>
      <w:r w:rsidR="00470B88">
        <w:rPr>
          <w:rFonts w:cstheme="minorHAnsi"/>
        </w:rPr>
        <w:t>,</w:t>
      </w:r>
      <w:r w:rsidR="00DE225C" w:rsidRPr="00E262B3">
        <w:rPr>
          <w:rFonts w:cstheme="minorHAnsi"/>
        </w:rPr>
        <w:t xml:space="preserve"> </w:t>
      </w:r>
      <w:r w:rsidR="00A3502D" w:rsidRPr="00E262B3">
        <w:rPr>
          <w:rFonts w:cstheme="minorHAnsi"/>
        </w:rPr>
        <w:t>and</w:t>
      </w:r>
      <w:r w:rsidR="00412DCA">
        <w:rPr>
          <w:rFonts w:cstheme="minorHAnsi"/>
        </w:rPr>
        <w:t xml:space="preserve"> the socialising </w:t>
      </w:r>
      <w:r w:rsidR="00A163E1">
        <w:rPr>
          <w:rFonts w:cstheme="minorHAnsi"/>
        </w:rPr>
        <w:t xml:space="preserve">of </w:t>
      </w:r>
      <w:r w:rsidR="00412DCA">
        <w:rPr>
          <w:rFonts w:cstheme="minorHAnsi"/>
        </w:rPr>
        <w:t>democratically engaged and participative citizens</w:t>
      </w:r>
      <w:r w:rsidR="00463536">
        <w:rPr>
          <w:rFonts w:cstheme="minorHAnsi"/>
        </w:rPr>
        <w:t>.</w:t>
      </w:r>
      <w:r w:rsidR="00D048DF" w:rsidRPr="00E262B3">
        <w:rPr>
          <w:rFonts w:cstheme="minorHAnsi"/>
        </w:rPr>
        <w:t xml:space="preserve"> </w:t>
      </w:r>
      <w:r w:rsidR="00E6699B">
        <w:rPr>
          <w:rFonts w:cstheme="minorHAnsi"/>
        </w:rPr>
        <w:t>Those</w:t>
      </w:r>
      <w:r w:rsidR="00A163E1">
        <w:rPr>
          <w:rFonts w:cstheme="minorHAnsi"/>
        </w:rPr>
        <w:t xml:space="preserve"> opposed</w:t>
      </w:r>
      <w:r w:rsidR="00657E00">
        <w:rPr>
          <w:rFonts w:cstheme="minorHAnsi"/>
        </w:rPr>
        <w:t xml:space="preserve"> to</w:t>
      </w:r>
      <w:r w:rsidR="004C77DD">
        <w:rPr>
          <w:rFonts w:cstheme="minorHAnsi"/>
        </w:rPr>
        <w:t xml:space="preserve"> </w:t>
      </w:r>
      <w:r w:rsidR="004C77DD">
        <w:rPr>
          <w:rFonts w:ascii="Calibri" w:hAnsi="Calibri"/>
        </w:rPr>
        <w:t xml:space="preserve">‘Votes-at-16’ </w:t>
      </w:r>
      <w:r>
        <w:rPr>
          <w:rFonts w:ascii="Calibri" w:hAnsi="Calibri"/>
        </w:rPr>
        <w:t xml:space="preserve">have </w:t>
      </w:r>
      <w:r w:rsidR="00E6699B">
        <w:rPr>
          <w:rFonts w:ascii="Calibri" w:hAnsi="Calibri"/>
        </w:rPr>
        <w:t xml:space="preserve">argued </w:t>
      </w:r>
      <w:r w:rsidR="00E6699B" w:rsidRPr="00E262B3">
        <w:rPr>
          <w:rFonts w:ascii="Calibri" w:hAnsi="Calibri" w:cstheme="minorHAnsi"/>
        </w:rPr>
        <w:t>a review of the ages of majorit</w:t>
      </w:r>
      <w:r w:rsidR="00E6699B">
        <w:rPr>
          <w:rFonts w:ascii="Calibri" w:hAnsi="Calibri" w:cstheme="minorHAnsi"/>
        </w:rPr>
        <w:t xml:space="preserve">y </w:t>
      </w:r>
      <w:r>
        <w:rPr>
          <w:rFonts w:ascii="Calibri" w:hAnsi="Calibri" w:cstheme="minorHAnsi"/>
        </w:rPr>
        <w:t xml:space="preserve">should </w:t>
      </w:r>
      <w:r w:rsidR="00E6699B">
        <w:rPr>
          <w:rFonts w:ascii="Calibri" w:hAnsi="Calibri" w:cstheme="minorHAnsi"/>
        </w:rPr>
        <w:t xml:space="preserve">be undertaken and improved </w:t>
      </w:r>
      <w:r>
        <w:rPr>
          <w:rFonts w:ascii="Calibri" w:hAnsi="Calibri" w:cstheme="minorHAnsi"/>
        </w:rPr>
        <w:t xml:space="preserve">universal provision of </w:t>
      </w:r>
      <w:r w:rsidR="004C77DD" w:rsidRPr="00E262B3">
        <w:rPr>
          <w:rFonts w:ascii="Calibri" w:hAnsi="Calibri" w:cstheme="minorHAnsi"/>
        </w:rPr>
        <w:t xml:space="preserve">citizenship education should be </w:t>
      </w:r>
      <w:r>
        <w:rPr>
          <w:rFonts w:ascii="Calibri" w:hAnsi="Calibri" w:cstheme="minorHAnsi"/>
        </w:rPr>
        <w:t>introduced</w:t>
      </w:r>
      <w:r w:rsidR="004C77DD" w:rsidRPr="00E262B3">
        <w:rPr>
          <w:rFonts w:ascii="Calibri" w:hAnsi="Calibri" w:cstheme="minorHAnsi"/>
        </w:rPr>
        <w:t xml:space="preserve"> </w:t>
      </w:r>
      <w:r w:rsidR="004C77DD" w:rsidRPr="00E262B3">
        <w:rPr>
          <w:rFonts w:ascii="Calibri" w:hAnsi="Calibri" w:cstheme="minorHAnsi"/>
          <w:i/>
        </w:rPr>
        <w:t>before</w:t>
      </w:r>
      <w:r w:rsidR="004C77DD" w:rsidRPr="00E262B3">
        <w:rPr>
          <w:rFonts w:ascii="Calibri" w:hAnsi="Calibri" w:cstheme="minorHAnsi"/>
        </w:rPr>
        <w:t xml:space="preserve"> any further reform of the voting age</w:t>
      </w:r>
      <w:r w:rsidR="00E6699B">
        <w:rPr>
          <w:rFonts w:ascii="Calibri" w:hAnsi="Calibri" w:cstheme="minorHAnsi"/>
        </w:rPr>
        <w:t xml:space="preserve">. </w:t>
      </w:r>
      <w:r w:rsidR="00E6699B">
        <w:rPr>
          <w:rFonts w:cstheme="minorHAnsi"/>
        </w:rPr>
        <w:t>A</w:t>
      </w:r>
      <w:r w:rsidR="00246929">
        <w:rPr>
          <w:rFonts w:cstheme="minorHAnsi"/>
        </w:rPr>
        <w:t xml:space="preserve">dvocates </w:t>
      </w:r>
      <w:r>
        <w:rPr>
          <w:rFonts w:cstheme="minorHAnsi"/>
        </w:rPr>
        <w:t>of voting age reform have alternatively argued that</w:t>
      </w:r>
      <w:r w:rsidR="00246929">
        <w:rPr>
          <w:rFonts w:cstheme="minorHAnsi"/>
        </w:rPr>
        <w:t xml:space="preserve"> </w:t>
      </w:r>
      <w:r>
        <w:rPr>
          <w:rFonts w:cstheme="minorHAnsi"/>
        </w:rPr>
        <w:t>these</w:t>
      </w:r>
      <w:r w:rsidR="00E6699B">
        <w:rPr>
          <w:rFonts w:cstheme="minorHAnsi"/>
        </w:rPr>
        <w:t xml:space="preserve"> </w:t>
      </w:r>
      <w:r>
        <w:rPr>
          <w:rFonts w:cstheme="minorHAnsi"/>
        </w:rPr>
        <w:t>initiatives</w:t>
      </w:r>
      <w:r w:rsidR="00E6699B">
        <w:rPr>
          <w:rFonts w:cstheme="minorHAnsi"/>
        </w:rPr>
        <w:t xml:space="preserve"> </w:t>
      </w:r>
      <w:r>
        <w:rPr>
          <w:rFonts w:cstheme="minorHAnsi"/>
        </w:rPr>
        <w:t xml:space="preserve">should </w:t>
      </w:r>
      <w:r w:rsidR="00E6699B">
        <w:rPr>
          <w:rFonts w:cstheme="minorHAnsi"/>
        </w:rPr>
        <w:t>be under</w:t>
      </w:r>
      <w:r w:rsidR="00246929">
        <w:rPr>
          <w:rFonts w:cstheme="minorHAnsi"/>
        </w:rPr>
        <w:t>taken</w:t>
      </w:r>
      <w:r>
        <w:rPr>
          <w:rFonts w:cstheme="minorHAnsi"/>
        </w:rPr>
        <w:t xml:space="preserve"> but only</w:t>
      </w:r>
      <w:r w:rsidR="00246929">
        <w:rPr>
          <w:rFonts w:cstheme="minorHAnsi"/>
        </w:rPr>
        <w:t xml:space="preserve"> after lowering the franchise age to 16</w:t>
      </w:r>
      <w:r w:rsidR="00A60232">
        <w:rPr>
          <w:rFonts w:cstheme="minorHAnsi"/>
        </w:rPr>
        <w:t xml:space="preserve"> (</w:t>
      </w:r>
      <w:proofErr w:type="spellStart"/>
      <w:r w:rsidR="00B421DD">
        <w:rPr>
          <w:rFonts w:cstheme="minorHAnsi"/>
        </w:rPr>
        <w:t>Mycock</w:t>
      </w:r>
      <w:proofErr w:type="spellEnd"/>
      <w:r w:rsidR="00B421DD">
        <w:rPr>
          <w:rFonts w:cstheme="minorHAnsi"/>
        </w:rPr>
        <w:t xml:space="preserve"> et al., 2020</w:t>
      </w:r>
      <w:r w:rsidR="00A60232">
        <w:rPr>
          <w:rFonts w:cstheme="minorHAnsi"/>
        </w:rPr>
        <w:t>)</w:t>
      </w:r>
      <w:r w:rsidR="004C77DD">
        <w:rPr>
          <w:rFonts w:cstheme="minorHAnsi"/>
        </w:rPr>
        <w:t xml:space="preserve">. </w:t>
      </w:r>
      <w:r w:rsidR="004C77DD">
        <w:rPr>
          <w:rFonts w:ascii="Calibri" w:hAnsi="Calibri"/>
        </w:rPr>
        <w:t>T</w:t>
      </w:r>
      <w:r w:rsidR="004C77DD">
        <w:t xml:space="preserve">he </w:t>
      </w:r>
      <w:r w:rsidR="004C77DD" w:rsidRPr="007C1143">
        <w:t>Electoral Commission</w:t>
      </w:r>
      <w:r w:rsidR="004C77DD">
        <w:t xml:space="preserve"> also reviewed whether the</w:t>
      </w:r>
      <w:r w:rsidR="004C77DD" w:rsidRPr="007C1143">
        <w:t xml:space="preserve"> age of candidacy</w:t>
      </w:r>
      <w:r w:rsidR="004C77DD">
        <w:t xml:space="preserve"> should also </w:t>
      </w:r>
      <w:r w:rsidR="004C77DD" w:rsidRPr="007C1143">
        <w:t>be lowered from 21 to 18</w:t>
      </w:r>
      <w:r w:rsidR="004C77DD">
        <w:t>. Interestingly, on this issue they noted</w:t>
      </w:r>
      <w:r w:rsidR="00A60232">
        <w:t xml:space="preserve"> (incorrectly) that</w:t>
      </w:r>
      <w:r w:rsidR="004C77DD">
        <w:t xml:space="preserve"> </w:t>
      </w:r>
      <w:r w:rsidR="004C77DD" w:rsidRPr="007C1143">
        <w:t>‘</w:t>
      </w:r>
      <w:r w:rsidR="004C77DD" w:rsidRPr="007C1143">
        <w:rPr>
          <w:rFonts w:cs="Arial"/>
        </w:rPr>
        <w:t>there does not seem to be any record of either Cabinet or Parliament giving consideration to lowering the candidacy age when they lowered the voting age in 1969</w:t>
      </w:r>
      <w:r w:rsidR="004C77DD">
        <w:rPr>
          <w:rFonts w:ascii="Arial" w:hAnsi="Arial" w:cs="Arial"/>
        </w:rPr>
        <w:t xml:space="preserve">’ </w:t>
      </w:r>
      <w:r w:rsidR="004C77DD">
        <w:t>(Electoral Commission 2003</w:t>
      </w:r>
      <w:r w:rsidR="00BB411F">
        <w:t>:</w:t>
      </w:r>
      <w:r w:rsidR="004C77DD">
        <w:t xml:space="preserve"> 12). </w:t>
      </w:r>
      <w:r w:rsidR="00E6699B">
        <w:rPr>
          <w:rFonts w:ascii="Calibri" w:hAnsi="Calibri"/>
        </w:rPr>
        <w:t xml:space="preserve">The Power Inquiry </w:t>
      </w:r>
      <w:r>
        <w:rPr>
          <w:rFonts w:ascii="Calibri" w:hAnsi="Calibri"/>
        </w:rPr>
        <w:t xml:space="preserve">subsequently </w:t>
      </w:r>
      <w:r w:rsidR="00E6699B">
        <w:rPr>
          <w:rFonts w:ascii="Calibri" w:hAnsi="Calibri"/>
        </w:rPr>
        <w:t>proposed the age of candidacy should be reduced to 16</w:t>
      </w:r>
      <w:r>
        <w:rPr>
          <w:rFonts w:ascii="Calibri" w:hAnsi="Calibri"/>
        </w:rPr>
        <w:t xml:space="preserve">, but without considering the significant complexities </w:t>
      </w:r>
      <w:r w:rsidR="00961E5A">
        <w:rPr>
          <w:rFonts w:ascii="Calibri" w:hAnsi="Calibri"/>
        </w:rPr>
        <w:t>this</w:t>
      </w:r>
      <w:r>
        <w:rPr>
          <w:rFonts w:ascii="Calibri" w:hAnsi="Calibri"/>
        </w:rPr>
        <w:t xml:space="preserve"> would entail in terms of child protection and statutory education conventions that would apply to elected representatives under the age of 18</w:t>
      </w:r>
      <w:r w:rsidR="00E6699B">
        <w:rPr>
          <w:rFonts w:ascii="Calibri" w:hAnsi="Calibri"/>
        </w:rPr>
        <w:t xml:space="preserve">. </w:t>
      </w:r>
      <w:r w:rsidR="004C77DD">
        <w:t xml:space="preserve">The YCC was principally tasked with addressing why </w:t>
      </w:r>
      <w:r w:rsidR="004C77DD" w:rsidRPr="00E262B3">
        <w:rPr>
          <w:rFonts w:ascii="Calibri" w:hAnsi="Calibri"/>
        </w:rPr>
        <w:t xml:space="preserve">young people </w:t>
      </w:r>
      <w:r w:rsidR="004C77DD">
        <w:rPr>
          <w:rFonts w:ascii="Calibri" w:hAnsi="Calibri"/>
        </w:rPr>
        <w:t xml:space="preserve">were increasingly disengaged from politics, raising concerns </w:t>
      </w:r>
      <w:r w:rsidR="003245EC">
        <w:rPr>
          <w:rFonts w:ascii="Calibri" w:hAnsi="Calibri"/>
        </w:rPr>
        <w:lastRenderedPageBreak/>
        <w:t>that</w:t>
      </w:r>
      <w:r w:rsidR="004C77DD">
        <w:rPr>
          <w:rFonts w:ascii="Calibri" w:hAnsi="Calibri"/>
        </w:rPr>
        <w:t xml:space="preserve"> </w:t>
      </w:r>
      <w:r w:rsidR="00725D75">
        <w:rPr>
          <w:rFonts w:ascii="Calibri" w:hAnsi="Calibri"/>
        </w:rPr>
        <w:t xml:space="preserve">‘Votes-at-16’ </w:t>
      </w:r>
      <w:r w:rsidR="00A163E1">
        <w:rPr>
          <w:rFonts w:ascii="Calibri" w:hAnsi="Calibri"/>
        </w:rPr>
        <w:t>was</w:t>
      </w:r>
      <w:r w:rsidR="004C77DD">
        <w:rPr>
          <w:rFonts w:ascii="Calibri" w:hAnsi="Calibri"/>
        </w:rPr>
        <w:t xml:space="preserve"> ‘bolted on’ and somewhat overshadowed its other work (</w:t>
      </w:r>
      <w:proofErr w:type="spellStart"/>
      <w:r w:rsidR="001279EF">
        <w:rPr>
          <w:rFonts w:ascii="Calibri" w:hAnsi="Calibri"/>
        </w:rPr>
        <w:t>Tonge</w:t>
      </w:r>
      <w:proofErr w:type="spellEnd"/>
      <w:r w:rsidR="001279EF">
        <w:rPr>
          <w:rFonts w:ascii="Calibri" w:hAnsi="Calibri"/>
        </w:rPr>
        <w:t xml:space="preserve"> and </w:t>
      </w:r>
      <w:proofErr w:type="spellStart"/>
      <w:r w:rsidR="001279EF">
        <w:rPr>
          <w:rFonts w:ascii="Calibri" w:hAnsi="Calibri"/>
        </w:rPr>
        <w:t>Mycock</w:t>
      </w:r>
      <w:proofErr w:type="spellEnd"/>
      <w:r w:rsidR="00772273">
        <w:rPr>
          <w:rFonts w:ascii="Calibri" w:hAnsi="Calibri"/>
        </w:rPr>
        <w:t>,</w:t>
      </w:r>
      <w:r w:rsidR="004C77DD">
        <w:rPr>
          <w:rFonts w:ascii="Calibri" w:hAnsi="Calibri"/>
        </w:rPr>
        <w:t xml:space="preserve"> 20</w:t>
      </w:r>
      <w:r w:rsidR="00772273">
        <w:rPr>
          <w:rFonts w:ascii="Calibri" w:hAnsi="Calibri"/>
        </w:rPr>
        <w:t>10</w:t>
      </w:r>
      <w:r w:rsidR="00E6699B">
        <w:rPr>
          <w:rFonts w:ascii="Calibri" w:hAnsi="Calibri"/>
        </w:rPr>
        <w:t>).</w:t>
      </w:r>
    </w:p>
    <w:p w14:paraId="4FD4BF1C" w14:textId="0ED2D0ED" w:rsidR="007A4A93" w:rsidRDefault="00EB4922" w:rsidP="00E6699B">
      <w:pPr>
        <w:spacing w:line="360" w:lineRule="auto"/>
        <w:jc w:val="both"/>
        <w:rPr>
          <w:rFonts w:cstheme="minorHAnsi"/>
        </w:rPr>
      </w:pPr>
      <w:r>
        <w:rPr>
          <w:rFonts w:cstheme="minorHAnsi"/>
        </w:rPr>
        <w:t xml:space="preserve">An absence of </w:t>
      </w:r>
      <w:r w:rsidR="00D048DF" w:rsidRPr="00E262B3">
        <w:rPr>
          <w:rFonts w:cstheme="minorHAnsi"/>
        </w:rPr>
        <w:t>policy learning with regards to ‘</w:t>
      </w:r>
      <w:r w:rsidR="00863629">
        <w:rPr>
          <w:rFonts w:cstheme="minorHAnsi"/>
        </w:rPr>
        <w:t>V</w:t>
      </w:r>
      <w:r w:rsidR="00D048DF" w:rsidRPr="00E262B3">
        <w:rPr>
          <w:rFonts w:cstheme="minorHAnsi"/>
        </w:rPr>
        <w:t>otes</w:t>
      </w:r>
      <w:r w:rsidR="00863629">
        <w:rPr>
          <w:rFonts w:cstheme="minorHAnsi"/>
        </w:rPr>
        <w:t>-</w:t>
      </w:r>
      <w:r w:rsidR="00D048DF" w:rsidRPr="00E262B3">
        <w:rPr>
          <w:rFonts w:cstheme="minorHAnsi"/>
        </w:rPr>
        <w:t>at</w:t>
      </w:r>
      <w:r w:rsidR="00863629">
        <w:rPr>
          <w:rFonts w:cstheme="minorHAnsi"/>
        </w:rPr>
        <w:t>-</w:t>
      </w:r>
      <w:r w:rsidR="00D048DF" w:rsidRPr="00E262B3">
        <w:rPr>
          <w:rFonts w:cstheme="minorHAnsi"/>
        </w:rPr>
        <w:t>18’ has also been a feature of</w:t>
      </w:r>
      <w:r w:rsidR="00A60232">
        <w:rPr>
          <w:rFonts w:cstheme="minorHAnsi"/>
        </w:rPr>
        <w:t xml:space="preserve"> recent</w:t>
      </w:r>
      <w:r w:rsidR="00D048DF" w:rsidRPr="00E262B3">
        <w:rPr>
          <w:rFonts w:cstheme="minorHAnsi"/>
        </w:rPr>
        <w:t xml:space="preserve"> voting age reform</w:t>
      </w:r>
      <w:r w:rsidR="00A60232">
        <w:rPr>
          <w:rFonts w:cstheme="minorHAnsi"/>
        </w:rPr>
        <w:t>s</w:t>
      </w:r>
      <w:r w:rsidR="00D048DF" w:rsidRPr="00E262B3">
        <w:rPr>
          <w:rFonts w:cstheme="minorHAnsi"/>
        </w:rPr>
        <w:t xml:space="preserve"> in </w:t>
      </w:r>
      <w:r w:rsidR="00DA486E">
        <w:rPr>
          <w:rFonts w:cstheme="minorHAnsi"/>
        </w:rPr>
        <w:t>Scotland and Wales</w:t>
      </w:r>
      <w:r>
        <w:rPr>
          <w:rFonts w:cstheme="minorHAnsi"/>
        </w:rPr>
        <w:t xml:space="preserve">, </w:t>
      </w:r>
      <w:r w:rsidR="009619BC" w:rsidRPr="00E262B3">
        <w:rPr>
          <w:rFonts w:cstheme="minorHAnsi"/>
        </w:rPr>
        <w:t xml:space="preserve">where the age </w:t>
      </w:r>
      <w:r>
        <w:rPr>
          <w:rFonts w:cstheme="minorHAnsi"/>
        </w:rPr>
        <w:t xml:space="preserve">of enfranchisement </w:t>
      </w:r>
      <w:r w:rsidR="009619BC" w:rsidRPr="00E262B3">
        <w:rPr>
          <w:rFonts w:cstheme="minorHAnsi"/>
        </w:rPr>
        <w:t>has</w:t>
      </w:r>
      <w:r w:rsidR="00550AE2" w:rsidRPr="00E262B3">
        <w:rPr>
          <w:rFonts w:cstheme="minorHAnsi"/>
        </w:rPr>
        <w:t xml:space="preserve"> been</w:t>
      </w:r>
      <w:r w:rsidR="00EF7185">
        <w:rPr>
          <w:rFonts w:cstheme="minorHAnsi"/>
        </w:rPr>
        <w:t xml:space="preserve"> </w:t>
      </w:r>
      <w:r w:rsidR="009619BC" w:rsidRPr="00E262B3">
        <w:rPr>
          <w:rFonts w:cstheme="minorHAnsi"/>
        </w:rPr>
        <w:t>lowered to 16</w:t>
      </w:r>
      <w:r w:rsidR="00EF7185">
        <w:rPr>
          <w:rFonts w:cstheme="minorHAnsi"/>
        </w:rPr>
        <w:t xml:space="preserve"> for local and sub-state national elections</w:t>
      </w:r>
      <w:r w:rsidR="009619BC" w:rsidRPr="00E262B3">
        <w:rPr>
          <w:rFonts w:cstheme="minorHAnsi"/>
        </w:rPr>
        <w:t xml:space="preserve">. </w:t>
      </w:r>
      <w:r w:rsidR="00ED2A86">
        <w:rPr>
          <w:rFonts w:cstheme="minorHAnsi"/>
        </w:rPr>
        <w:t>In some ways this</w:t>
      </w:r>
      <w:r w:rsidR="009619BC" w:rsidRPr="00E262B3">
        <w:rPr>
          <w:rFonts w:cstheme="minorHAnsi"/>
        </w:rPr>
        <w:t xml:space="preserve"> is</w:t>
      </w:r>
      <w:r w:rsidR="0099030E" w:rsidRPr="00E262B3">
        <w:rPr>
          <w:rFonts w:cstheme="minorHAnsi"/>
        </w:rPr>
        <w:t xml:space="preserve"> </w:t>
      </w:r>
      <w:r w:rsidR="00FE506C">
        <w:rPr>
          <w:rFonts w:cstheme="minorHAnsi"/>
        </w:rPr>
        <w:t>can be understood as institutional amnesia through of ‘</w:t>
      </w:r>
      <w:r w:rsidR="00FE506C" w:rsidRPr="001F4147">
        <w:rPr>
          <w:rFonts w:cstheme="minorHAnsi"/>
        </w:rPr>
        <w:t>macular degeneration’</w:t>
      </w:r>
      <w:r w:rsidR="006200FA">
        <w:rPr>
          <w:rFonts w:cstheme="minorHAnsi"/>
        </w:rPr>
        <w:t xml:space="preserve">, </w:t>
      </w:r>
      <w:r>
        <w:rPr>
          <w:rFonts w:cstheme="minorHAnsi"/>
        </w:rPr>
        <w:t>as</w:t>
      </w:r>
      <w:r w:rsidR="007E4ABB" w:rsidRPr="00E262B3">
        <w:rPr>
          <w:rFonts w:cstheme="minorHAnsi"/>
        </w:rPr>
        <w:t xml:space="preserve"> </w:t>
      </w:r>
      <w:r w:rsidR="009619BC" w:rsidRPr="00E262B3">
        <w:rPr>
          <w:rFonts w:cstheme="minorHAnsi"/>
        </w:rPr>
        <w:t xml:space="preserve">the creation of the Scottish Parliament and Welsh Assembly </w:t>
      </w:r>
      <w:r w:rsidR="00EF7185">
        <w:rPr>
          <w:rFonts w:cstheme="minorHAnsi"/>
        </w:rPr>
        <w:t xml:space="preserve">both </w:t>
      </w:r>
      <w:r w:rsidR="009619BC" w:rsidRPr="00E262B3">
        <w:rPr>
          <w:rFonts w:cstheme="minorHAnsi"/>
        </w:rPr>
        <w:t xml:space="preserve">post-date </w:t>
      </w:r>
      <w:r w:rsidR="00A46CBD">
        <w:rPr>
          <w:rFonts w:cstheme="minorHAnsi"/>
        </w:rPr>
        <w:t>‘Votes-at-18’</w:t>
      </w:r>
      <w:r w:rsidR="006200FA">
        <w:rPr>
          <w:rFonts w:cstheme="minorHAnsi"/>
        </w:rPr>
        <w:t xml:space="preserve"> </w:t>
      </w:r>
      <w:r>
        <w:rPr>
          <w:rFonts w:cstheme="minorHAnsi"/>
        </w:rPr>
        <w:t xml:space="preserve">and </w:t>
      </w:r>
      <w:r w:rsidR="007032E6">
        <w:rPr>
          <w:rFonts w:cstheme="minorHAnsi"/>
        </w:rPr>
        <w:t xml:space="preserve">their </w:t>
      </w:r>
      <w:r>
        <w:rPr>
          <w:rFonts w:cstheme="minorHAnsi"/>
        </w:rPr>
        <w:t>policy actors</w:t>
      </w:r>
      <w:r w:rsidR="004C77DD">
        <w:rPr>
          <w:rFonts w:cstheme="minorHAnsi"/>
        </w:rPr>
        <w:t xml:space="preserve"> lack </w:t>
      </w:r>
      <w:r>
        <w:rPr>
          <w:rFonts w:cstheme="minorHAnsi"/>
        </w:rPr>
        <w:t xml:space="preserve">a </w:t>
      </w:r>
      <w:r w:rsidR="004C77DD">
        <w:rPr>
          <w:rFonts w:cstheme="minorHAnsi"/>
        </w:rPr>
        <w:t xml:space="preserve">direct </w:t>
      </w:r>
      <w:r>
        <w:rPr>
          <w:rFonts w:cstheme="minorHAnsi"/>
        </w:rPr>
        <w:t xml:space="preserve">connection with Westminster’s </w:t>
      </w:r>
      <w:r w:rsidR="004C77DD">
        <w:rPr>
          <w:rFonts w:cstheme="minorHAnsi"/>
        </w:rPr>
        <w:t>historical policy</w:t>
      </w:r>
      <w:r w:rsidR="00B950E4" w:rsidRPr="00E262B3">
        <w:rPr>
          <w:rFonts w:cstheme="minorHAnsi"/>
        </w:rPr>
        <w:t xml:space="preserve"> </w:t>
      </w:r>
      <w:r>
        <w:rPr>
          <w:rFonts w:cstheme="minorHAnsi"/>
        </w:rPr>
        <w:t>narratives</w:t>
      </w:r>
      <w:r w:rsidR="00DA486E">
        <w:rPr>
          <w:rFonts w:cstheme="minorHAnsi"/>
        </w:rPr>
        <w:t xml:space="preserve"> </w:t>
      </w:r>
      <w:r>
        <w:rPr>
          <w:rFonts w:cstheme="minorHAnsi"/>
        </w:rPr>
        <w:t>and</w:t>
      </w:r>
      <w:r w:rsidR="00DA486E">
        <w:rPr>
          <w:rFonts w:cstheme="minorHAnsi"/>
        </w:rPr>
        <w:t xml:space="preserve"> </w:t>
      </w:r>
      <w:r>
        <w:rPr>
          <w:rFonts w:cstheme="minorHAnsi"/>
        </w:rPr>
        <w:t>recollections</w:t>
      </w:r>
      <w:r w:rsidR="009619BC" w:rsidRPr="00E262B3">
        <w:rPr>
          <w:rFonts w:cstheme="minorHAnsi"/>
        </w:rPr>
        <w:t>.</w:t>
      </w:r>
      <w:r w:rsidR="00B950E4" w:rsidRPr="00E262B3">
        <w:rPr>
          <w:rFonts w:cstheme="minorHAnsi"/>
        </w:rPr>
        <w:t xml:space="preserve"> </w:t>
      </w:r>
      <w:r w:rsidR="00ED2A86">
        <w:rPr>
          <w:rFonts w:cstheme="minorHAnsi"/>
        </w:rPr>
        <w:t xml:space="preserve">This noted, </w:t>
      </w:r>
      <w:r w:rsidR="00EF7185">
        <w:rPr>
          <w:rFonts w:cstheme="minorHAnsi"/>
        </w:rPr>
        <w:t>intentional policy myopia</w:t>
      </w:r>
      <w:r w:rsidR="00547BD9">
        <w:rPr>
          <w:rFonts w:cstheme="minorHAnsi"/>
        </w:rPr>
        <w:t xml:space="preserve"> may </w:t>
      </w:r>
      <w:r w:rsidR="00200C95">
        <w:rPr>
          <w:rFonts w:cstheme="minorHAnsi"/>
        </w:rPr>
        <w:t xml:space="preserve">also </w:t>
      </w:r>
      <w:r w:rsidR="00547BD9">
        <w:rPr>
          <w:rFonts w:cstheme="minorHAnsi"/>
        </w:rPr>
        <w:t>be a factor</w:t>
      </w:r>
      <w:r w:rsidR="00200C95">
        <w:rPr>
          <w:rFonts w:cstheme="minorHAnsi"/>
        </w:rPr>
        <w:t>.</w:t>
      </w:r>
      <w:r w:rsidR="00EF7185">
        <w:rPr>
          <w:rFonts w:cstheme="minorHAnsi"/>
        </w:rPr>
        <w:t xml:space="preserve"> In both </w:t>
      </w:r>
      <w:r w:rsidR="00FE506C">
        <w:rPr>
          <w:rFonts w:cstheme="minorHAnsi"/>
        </w:rPr>
        <w:t>Scotland and Wales</w:t>
      </w:r>
      <w:r w:rsidR="00EF7185">
        <w:rPr>
          <w:rFonts w:cstheme="minorHAnsi"/>
        </w:rPr>
        <w:t xml:space="preserve">, </w:t>
      </w:r>
      <w:r w:rsidR="00DA486E">
        <w:rPr>
          <w:rFonts w:cstheme="minorHAnsi"/>
        </w:rPr>
        <w:t xml:space="preserve">the introduction of </w:t>
      </w:r>
      <w:r w:rsidR="00547BD9">
        <w:rPr>
          <w:rFonts w:cstheme="minorHAnsi"/>
        </w:rPr>
        <w:t>‘Votes</w:t>
      </w:r>
      <w:r w:rsidR="00EF7185">
        <w:rPr>
          <w:rFonts w:cstheme="minorHAnsi"/>
        </w:rPr>
        <w:t>-</w:t>
      </w:r>
      <w:r w:rsidR="00547BD9">
        <w:rPr>
          <w:rFonts w:cstheme="minorHAnsi"/>
        </w:rPr>
        <w:t>at</w:t>
      </w:r>
      <w:r w:rsidR="00EF7185">
        <w:rPr>
          <w:rFonts w:cstheme="minorHAnsi"/>
        </w:rPr>
        <w:t>-</w:t>
      </w:r>
      <w:r w:rsidR="00547BD9">
        <w:rPr>
          <w:rFonts w:cstheme="minorHAnsi"/>
        </w:rPr>
        <w:t xml:space="preserve">16’ </w:t>
      </w:r>
      <w:r w:rsidR="00F91501">
        <w:rPr>
          <w:rFonts w:cstheme="minorHAnsi"/>
        </w:rPr>
        <w:t xml:space="preserve">has been </w:t>
      </w:r>
      <w:r w:rsidR="00DA486E">
        <w:rPr>
          <w:rFonts w:cstheme="minorHAnsi"/>
        </w:rPr>
        <w:t xml:space="preserve">primarily driven by devolved political elites who </w:t>
      </w:r>
      <w:r w:rsidR="007C1143">
        <w:rPr>
          <w:rFonts w:cstheme="minorHAnsi"/>
        </w:rPr>
        <w:t>consciously</w:t>
      </w:r>
      <w:r w:rsidR="00487EFD">
        <w:rPr>
          <w:rFonts w:cstheme="minorHAnsi"/>
        </w:rPr>
        <w:t xml:space="preserve"> </w:t>
      </w:r>
      <w:r w:rsidR="00F91501">
        <w:rPr>
          <w:rFonts w:cstheme="minorHAnsi"/>
        </w:rPr>
        <w:t xml:space="preserve">framed </w:t>
      </w:r>
      <w:r w:rsidR="00DA486E">
        <w:rPr>
          <w:rFonts w:cstheme="minorHAnsi"/>
        </w:rPr>
        <w:t>voting age reform</w:t>
      </w:r>
      <w:r w:rsidR="00F91501">
        <w:rPr>
          <w:rFonts w:cstheme="minorHAnsi"/>
        </w:rPr>
        <w:t xml:space="preserve"> </w:t>
      </w:r>
      <w:r w:rsidR="00FA3C76">
        <w:rPr>
          <w:rFonts w:cstheme="minorHAnsi"/>
        </w:rPr>
        <w:t xml:space="preserve">in </w:t>
      </w:r>
      <w:r w:rsidR="00F91501">
        <w:rPr>
          <w:rFonts w:cstheme="minorHAnsi"/>
        </w:rPr>
        <w:t xml:space="preserve">terms of the </w:t>
      </w:r>
      <w:r w:rsidR="00B950E4" w:rsidRPr="00E262B3">
        <w:rPr>
          <w:rFonts w:cstheme="minorHAnsi"/>
        </w:rPr>
        <w:t>‘modernis</w:t>
      </w:r>
      <w:r w:rsidR="00F91501">
        <w:rPr>
          <w:rFonts w:cstheme="minorHAnsi"/>
        </w:rPr>
        <w:t>ation</w:t>
      </w:r>
      <w:r w:rsidR="00B950E4" w:rsidRPr="00E262B3">
        <w:rPr>
          <w:rFonts w:cstheme="minorHAnsi"/>
        </w:rPr>
        <w:t xml:space="preserve">’ </w:t>
      </w:r>
      <w:r w:rsidR="00F91501">
        <w:rPr>
          <w:rFonts w:cstheme="minorHAnsi"/>
        </w:rPr>
        <w:t xml:space="preserve">of </w:t>
      </w:r>
      <w:r w:rsidR="00913F36">
        <w:rPr>
          <w:rFonts w:cstheme="minorHAnsi"/>
        </w:rPr>
        <w:t xml:space="preserve">devolved </w:t>
      </w:r>
      <w:r w:rsidR="00F91501">
        <w:rPr>
          <w:rFonts w:cstheme="minorHAnsi"/>
        </w:rPr>
        <w:t xml:space="preserve">national </w:t>
      </w:r>
      <w:r w:rsidR="00913F36">
        <w:rPr>
          <w:rFonts w:cstheme="minorHAnsi"/>
        </w:rPr>
        <w:t>institutions</w:t>
      </w:r>
      <w:r w:rsidR="00F91501">
        <w:rPr>
          <w:rFonts w:cstheme="minorHAnsi"/>
        </w:rPr>
        <w:t xml:space="preserve"> compared to </w:t>
      </w:r>
      <w:r w:rsidR="00487EFD">
        <w:rPr>
          <w:rFonts w:cstheme="minorHAnsi"/>
        </w:rPr>
        <w:t>what is framed as an</w:t>
      </w:r>
      <w:r w:rsidR="00F91501">
        <w:rPr>
          <w:rFonts w:cstheme="minorHAnsi"/>
        </w:rPr>
        <w:t xml:space="preserve"> increasingly archaic Westminster</w:t>
      </w:r>
      <w:r w:rsidR="00A60232">
        <w:rPr>
          <w:rFonts w:cstheme="minorHAnsi"/>
        </w:rPr>
        <w:t xml:space="preserve"> (</w:t>
      </w:r>
      <w:r w:rsidR="00B421DD">
        <w:rPr>
          <w:rFonts w:cstheme="minorHAnsi"/>
        </w:rPr>
        <w:t>Loughran</w:t>
      </w:r>
      <w:r w:rsidR="00A60232">
        <w:rPr>
          <w:rFonts w:cstheme="minorHAnsi"/>
        </w:rPr>
        <w:t xml:space="preserve"> et al., 2021</w:t>
      </w:r>
      <w:r w:rsidR="00AB78DF">
        <w:rPr>
          <w:rFonts w:cstheme="minorHAnsi"/>
        </w:rPr>
        <w:t>b</w:t>
      </w:r>
      <w:r w:rsidR="00A60232">
        <w:rPr>
          <w:rFonts w:cstheme="minorHAnsi"/>
        </w:rPr>
        <w:t>)</w:t>
      </w:r>
      <w:r w:rsidR="00483311">
        <w:rPr>
          <w:rFonts w:cstheme="minorHAnsi"/>
        </w:rPr>
        <w:t>.</w:t>
      </w:r>
      <w:r w:rsidR="00483311" w:rsidRPr="00483311">
        <w:rPr>
          <w:rFonts w:cstheme="minorHAnsi"/>
        </w:rPr>
        <w:t xml:space="preserve"> </w:t>
      </w:r>
      <w:r w:rsidR="00D736EB">
        <w:rPr>
          <w:rFonts w:cstheme="minorHAnsi"/>
        </w:rPr>
        <w:t>Pre-legislative scrutiny in Scotland and Wales was also compromised as it was undertaken only after the passing of confirmatory legislative votes in support of voting age reform.</w:t>
      </w:r>
      <w:r w:rsidR="00FE506C">
        <w:rPr>
          <w:rFonts w:cstheme="minorHAnsi"/>
        </w:rPr>
        <w:t xml:space="preserve"> There was thus little incentive to undertake a critical </w:t>
      </w:r>
      <w:r w:rsidR="0093455E">
        <w:rPr>
          <w:rFonts w:cstheme="minorHAnsi"/>
        </w:rPr>
        <w:t xml:space="preserve">review </w:t>
      </w:r>
      <w:r w:rsidR="00FE506C">
        <w:rPr>
          <w:rFonts w:cstheme="minorHAnsi"/>
        </w:rPr>
        <w:t>of previous voting age reforms in the UK.</w:t>
      </w:r>
      <w:r w:rsidR="00A60232">
        <w:rPr>
          <w:rFonts w:cstheme="minorHAnsi"/>
        </w:rPr>
        <w:t xml:space="preserve"> </w:t>
      </w:r>
    </w:p>
    <w:p w14:paraId="2F8A7AC7" w14:textId="20AF3187" w:rsidR="00DE6A50" w:rsidRDefault="00721817" w:rsidP="004747B3">
      <w:pPr>
        <w:spacing w:line="360" w:lineRule="auto"/>
        <w:jc w:val="both"/>
        <w:rPr>
          <w:rFonts w:cstheme="minorHAnsi"/>
        </w:rPr>
      </w:pPr>
      <w:r>
        <w:rPr>
          <w:rFonts w:cstheme="minorHAnsi"/>
        </w:rPr>
        <w:t xml:space="preserve">Policy myopia has also been evident in Scotland as </w:t>
      </w:r>
      <w:proofErr w:type="gramStart"/>
      <w:r w:rsidR="00A60232">
        <w:rPr>
          <w:rFonts w:cstheme="minorHAnsi"/>
        </w:rPr>
        <w:t>policy-makers</w:t>
      </w:r>
      <w:proofErr w:type="gramEnd"/>
      <w:r w:rsidR="00A60232">
        <w:rPr>
          <w:rFonts w:cstheme="minorHAnsi"/>
        </w:rPr>
        <w:t xml:space="preserve"> </w:t>
      </w:r>
      <w:r>
        <w:rPr>
          <w:rFonts w:cstheme="minorHAnsi"/>
        </w:rPr>
        <w:t>did not design any significant evaluation of the introduction of the policy in 2014, and have</w:t>
      </w:r>
      <w:r w:rsidR="00A60232">
        <w:rPr>
          <w:rFonts w:cstheme="minorHAnsi"/>
        </w:rPr>
        <w:t xml:space="preserve"> not </w:t>
      </w:r>
      <w:r>
        <w:rPr>
          <w:rFonts w:cstheme="minorHAnsi"/>
        </w:rPr>
        <w:t>subsequently sought to</w:t>
      </w:r>
      <w:r w:rsidR="00A60232">
        <w:rPr>
          <w:rFonts w:cstheme="minorHAnsi"/>
        </w:rPr>
        <w:t xml:space="preserve"> evaluate </w:t>
      </w:r>
      <w:r>
        <w:rPr>
          <w:rFonts w:cstheme="minorHAnsi"/>
        </w:rPr>
        <w:t>its</w:t>
      </w:r>
      <w:r w:rsidR="00A60232">
        <w:rPr>
          <w:rFonts w:cstheme="minorHAnsi"/>
        </w:rPr>
        <w:t xml:space="preserve"> success or otherwise</w:t>
      </w:r>
      <w:r w:rsidR="007A4A93">
        <w:rPr>
          <w:rFonts w:cstheme="minorHAnsi"/>
        </w:rPr>
        <w:t xml:space="preserve">. </w:t>
      </w:r>
      <w:r w:rsidR="00D0782F">
        <w:rPr>
          <w:rFonts w:cstheme="minorHAnsi"/>
        </w:rPr>
        <w:t>This</w:t>
      </w:r>
      <w:r>
        <w:rPr>
          <w:rFonts w:cstheme="minorHAnsi"/>
        </w:rPr>
        <w:t xml:space="preserve"> </w:t>
      </w:r>
      <w:r w:rsidR="008317B6">
        <w:rPr>
          <w:rFonts w:cstheme="minorHAnsi"/>
        </w:rPr>
        <w:t>oversight may well be both intentional</w:t>
      </w:r>
      <w:r w:rsidR="00DA486E">
        <w:rPr>
          <w:rFonts w:cstheme="minorHAnsi"/>
        </w:rPr>
        <w:t>.</w:t>
      </w:r>
      <w:r>
        <w:rPr>
          <w:rFonts w:cstheme="minorHAnsi"/>
        </w:rPr>
        <w:t xml:space="preserve"> </w:t>
      </w:r>
      <w:r w:rsidR="00DE6A50">
        <w:rPr>
          <w:rFonts w:cstheme="minorHAnsi"/>
        </w:rPr>
        <w:t>T</w:t>
      </w:r>
      <w:r w:rsidR="00B41392">
        <w:rPr>
          <w:rFonts w:cstheme="minorHAnsi"/>
        </w:rPr>
        <w:t>he</w:t>
      </w:r>
      <w:r w:rsidR="00483311">
        <w:rPr>
          <w:rFonts w:cstheme="minorHAnsi"/>
        </w:rPr>
        <w:t xml:space="preserve"> </w:t>
      </w:r>
      <w:r w:rsidR="00483311" w:rsidRPr="00E262B3">
        <w:rPr>
          <w:rFonts w:cstheme="minorHAnsi"/>
        </w:rPr>
        <w:t>S</w:t>
      </w:r>
      <w:r w:rsidR="00483311">
        <w:rPr>
          <w:rFonts w:cstheme="minorHAnsi"/>
        </w:rPr>
        <w:t xml:space="preserve">cottish National </w:t>
      </w:r>
      <w:r w:rsidR="00483311" w:rsidRPr="00E262B3">
        <w:rPr>
          <w:rFonts w:cstheme="minorHAnsi"/>
        </w:rPr>
        <w:t>P</w:t>
      </w:r>
      <w:r w:rsidR="00483311">
        <w:rPr>
          <w:rFonts w:cstheme="minorHAnsi"/>
        </w:rPr>
        <w:t>arty</w:t>
      </w:r>
      <w:r w:rsidR="00483311" w:rsidRPr="00E262B3">
        <w:rPr>
          <w:rFonts w:cstheme="minorHAnsi"/>
        </w:rPr>
        <w:t xml:space="preserve">-led </w:t>
      </w:r>
      <w:r w:rsidR="00483311">
        <w:rPr>
          <w:rFonts w:cstheme="minorHAnsi"/>
        </w:rPr>
        <w:t xml:space="preserve">Scottish </w:t>
      </w:r>
      <w:r w:rsidR="00DA486E">
        <w:rPr>
          <w:rFonts w:cstheme="minorHAnsi"/>
        </w:rPr>
        <w:t>G</w:t>
      </w:r>
      <w:r w:rsidR="00483311" w:rsidRPr="00E262B3">
        <w:rPr>
          <w:rFonts w:cstheme="minorHAnsi"/>
        </w:rPr>
        <w:t xml:space="preserve">overnment </w:t>
      </w:r>
      <w:r w:rsidR="00483311">
        <w:rPr>
          <w:rFonts w:cstheme="minorHAnsi"/>
        </w:rPr>
        <w:t xml:space="preserve">lowered the voting age to 16 </w:t>
      </w:r>
      <w:r w:rsidR="00DA486E">
        <w:rPr>
          <w:rFonts w:cstheme="minorHAnsi"/>
        </w:rPr>
        <w:t xml:space="preserve">for the 2014 Scottish independence referendum </w:t>
      </w:r>
      <w:r w:rsidR="00483311" w:rsidRPr="00E262B3">
        <w:rPr>
          <w:rFonts w:cstheme="minorHAnsi"/>
        </w:rPr>
        <w:t>hop</w:t>
      </w:r>
      <w:r w:rsidR="00DA486E">
        <w:rPr>
          <w:rFonts w:cstheme="minorHAnsi"/>
        </w:rPr>
        <w:t>ing</w:t>
      </w:r>
      <w:r w:rsidR="00483311" w:rsidRPr="00E262B3">
        <w:rPr>
          <w:rFonts w:cstheme="minorHAnsi"/>
        </w:rPr>
        <w:t xml:space="preserve"> that it would </w:t>
      </w:r>
      <w:r w:rsidR="00DA486E">
        <w:rPr>
          <w:rFonts w:cstheme="minorHAnsi"/>
        </w:rPr>
        <w:t>enfranchise</w:t>
      </w:r>
      <w:r w:rsidR="00483311" w:rsidRPr="00E262B3">
        <w:rPr>
          <w:rFonts w:cstheme="minorHAnsi"/>
        </w:rPr>
        <w:t xml:space="preserve"> young people </w:t>
      </w:r>
      <w:r w:rsidR="00DA486E">
        <w:rPr>
          <w:rFonts w:cstheme="minorHAnsi"/>
        </w:rPr>
        <w:t>who were thought more likely to support their cause</w:t>
      </w:r>
      <w:r w:rsidR="00DE6A50">
        <w:rPr>
          <w:rFonts w:cstheme="minorHAnsi"/>
        </w:rPr>
        <w:t xml:space="preserve"> </w:t>
      </w:r>
      <w:r w:rsidR="00B41392">
        <w:rPr>
          <w:rFonts w:cstheme="minorHAnsi"/>
        </w:rPr>
        <w:t>(</w:t>
      </w:r>
      <w:proofErr w:type="spellStart"/>
      <w:r w:rsidR="001279EF">
        <w:rPr>
          <w:rFonts w:cstheme="minorHAnsi"/>
        </w:rPr>
        <w:t>Mycock</w:t>
      </w:r>
      <w:proofErr w:type="spellEnd"/>
      <w:r w:rsidR="00B41392">
        <w:rPr>
          <w:rFonts w:cstheme="minorHAnsi"/>
        </w:rPr>
        <w:t>, 2015).</w:t>
      </w:r>
      <w:r w:rsidR="008317B6">
        <w:rPr>
          <w:rFonts w:cstheme="minorHAnsi"/>
        </w:rPr>
        <w:t xml:space="preserve"> </w:t>
      </w:r>
      <w:r w:rsidR="001279EF">
        <w:rPr>
          <w:rFonts w:cstheme="minorHAnsi"/>
        </w:rPr>
        <w:t>P</w:t>
      </w:r>
      <w:r w:rsidR="00B41392">
        <w:rPr>
          <w:rFonts w:cstheme="minorHAnsi"/>
        </w:rPr>
        <w:t>olicy learning in Scotland</w:t>
      </w:r>
      <w:r w:rsidR="001279EF">
        <w:rPr>
          <w:rFonts w:cstheme="minorHAnsi"/>
        </w:rPr>
        <w:t xml:space="preserve"> has thus been </w:t>
      </w:r>
      <w:r w:rsidR="00350B2D">
        <w:rPr>
          <w:rFonts w:cstheme="minorHAnsi"/>
        </w:rPr>
        <w:t>constrained and has</w:t>
      </w:r>
      <w:r w:rsidR="00B41392">
        <w:rPr>
          <w:rFonts w:cstheme="minorHAnsi"/>
        </w:rPr>
        <w:t xml:space="preserve"> seen </w:t>
      </w:r>
      <w:r w:rsidR="001279EF">
        <w:rPr>
          <w:rFonts w:cstheme="minorHAnsi"/>
        </w:rPr>
        <w:t>a</w:t>
      </w:r>
      <w:r w:rsidR="00B41392">
        <w:rPr>
          <w:rFonts w:cstheme="minorHAnsi"/>
        </w:rPr>
        <w:t xml:space="preserve"> replication of some of the policy </w:t>
      </w:r>
      <w:r w:rsidR="001279EF">
        <w:rPr>
          <w:rFonts w:cstheme="minorHAnsi"/>
        </w:rPr>
        <w:t>effects</w:t>
      </w:r>
      <w:r w:rsidR="00B41392">
        <w:rPr>
          <w:rFonts w:cstheme="minorHAnsi"/>
        </w:rPr>
        <w:t xml:space="preserve"> associated with ‘Votes-at-18’.</w:t>
      </w:r>
      <w:r w:rsidR="00DA486E">
        <w:rPr>
          <w:rFonts w:cstheme="minorHAnsi"/>
        </w:rPr>
        <w:t xml:space="preserve"> </w:t>
      </w:r>
      <w:r w:rsidR="00350B2D">
        <w:rPr>
          <w:rFonts w:cstheme="minorHAnsi"/>
        </w:rPr>
        <w:t>V</w:t>
      </w:r>
      <w:r w:rsidR="00483311">
        <w:rPr>
          <w:rFonts w:cstheme="minorHAnsi"/>
        </w:rPr>
        <w:t xml:space="preserve">oting age reform in Scotland has not – as yet </w:t>
      </w:r>
      <w:r w:rsidR="00DA486E">
        <w:rPr>
          <w:rFonts w:cstheme="minorHAnsi"/>
        </w:rPr>
        <w:t>–</w:t>
      </w:r>
      <w:r w:rsidR="00483311">
        <w:rPr>
          <w:rFonts w:cstheme="minorHAnsi"/>
        </w:rPr>
        <w:t xml:space="preserve"> </w:t>
      </w:r>
      <w:r w:rsidR="00DA486E">
        <w:rPr>
          <w:rFonts w:cstheme="minorHAnsi"/>
        </w:rPr>
        <w:t xml:space="preserve">redressed </w:t>
      </w:r>
      <w:r w:rsidR="00D736EB">
        <w:rPr>
          <w:rFonts w:cstheme="minorHAnsi"/>
        </w:rPr>
        <w:t>disparities</w:t>
      </w:r>
      <w:r w:rsidR="00DA486E">
        <w:rPr>
          <w:rFonts w:cstheme="minorHAnsi"/>
        </w:rPr>
        <w:t xml:space="preserve"> in </w:t>
      </w:r>
      <w:r w:rsidR="00483311">
        <w:rPr>
          <w:rFonts w:cstheme="minorHAnsi"/>
        </w:rPr>
        <w:t>voter turnout</w:t>
      </w:r>
      <w:r w:rsidR="00DA486E">
        <w:rPr>
          <w:rFonts w:cstheme="minorHAnsi"/>
        </w:rPr>
        <w:t xml:space="preserve"> between younger and older citizens which first emerged after the voting age was lowered to 18</w:t>
      </w:r>
      <w:r w:rsidR="00483311">
        <w:rPr>
          <w:rFonts w:cstheme="minorHAnsi"/>
        </w:rPr>
        <w:t>.</w:t>
      </w:r>
      <w:r w:rsidR="00FE506C">
        <w:rPr>
          <w:rFonts w:cstheme="minorHAnsi"/>
        </w:rPr>
        <w:t xml:space="preserve"> </w:t>
      </w:r>
      <w:r w:rsidR="00DA486E">
        <w:rPr>
          <w:rFonts w:cstheme="minorHAnsi"/>
        </w:rPr>
        <w:t>Although p</w:t>
      </w:r>
      <w:r w:rsidR="006C4F11" w:rsidRPr="00E262B3">
        <w:rPr>
          <w:rFonts w:cstheme="minorHAnsi"/>
        </w:rPr>
        <w:t xml:space="preserve">ost-referendum evaluations </w:t>
      </w:r>
      <w:r w:rsidR="00483311">
        <w:rPr>
          <w:rFonts w:cstheme="minorHAnsi"/>
        </w:rPr>
        <w:t xml:space="preserve">undertaken by the Scottish </w:t>
      </w:r>
      <w:r w:rsidR="00DA486E">
        <w:rPr>
          <w:rFonts w:cstheme="minorHAnsi"/>
        </w:rPr>
        <w:t>Government lauded</w:t>
      </w:r>
      <w:r w:rsidR="00B058BF" w:rsidRPr="00E262B3">
        <w:rPr>
          <w:rFonts w:cstheme="minorHAnsi"/>
        </w:rPr>
        <w:t xml:space="preserve"> the exceptional turnout of 75 per cent of under-18s</w:t>
      </w:r>
      <w:r w:rsidR="00DD752A" w:rsidRPr="00E262B3">
        <w:rPr>
          <w:rFonts w:cstheme="minorHAnsi"/>
        </w:rPr>
        <w:t xml:space="preserve"> </w:t>
      </w:r>
      <w:r w:rsidR="00DA486E">
        <w:rPr>
          <w:rFonts w:cstheme="minorHAnsi"/>
        </w:rPr>
        <w:t>(</w:t>
      </w:r>
      <w:r w:rsidR="00DD752A" w:rsidRPr="00E262B3">
        <w:rPr>
          <w:rFonts w:cstheme="minorHAnsi"/>
        </w:rPr>
        <w:t xml:space="preserve">when </w:t>
      </w:r>
      <w:r w:rsidR="003B087E" w:rsidRPr="00E262B3">
        <w:rPr>
          <w:rFonts w:cstheme="minorHAnsi"/>
        </w:rPr>
        <w:t xml:space="preserve">compared with </w:t>
      </w:r>
      <w:r w:rsidR="00DD752A" w:rsidRPr="00E262B3">
        <w:rPr>
          <w:rFonts w:cstheme="minorHAnsi"/>
        </w:rPr>
        <w:t xml:space="preserve">the </w:t>
      </w:r>
      <w:r w:rsidR="003B087E" w:rsidRPr="00E262B3">
        <w:rPr>
          <w:rFonts w:cstheme="minorHAnsi"/>
        </w:rPr>
        <w:t>5</w:t>
      </w:r>
      <w:r w:rsidR="00DD752A" w:rsidRPr="00E262B3">
        <w:rPr>
          <w:rFonts w:cstheme="minorHAnsi"/>
        </w:rPr>
        <w:t>4 per cent</w:t>
      </w:r>
      <w:r w:rsidR="003B087E" w:rsidRPr="00E262B3">
        <w:rPr>
          <w:rFonts w:cstheme="minorHAnsi"/>
        </w:rPr>
        <w:t xml:space="preserve"> of </w:t>
      </w:r>
      <w:proofErr w:type="gramStart"/>
      <w:r w:rsidR="003B087E" w:rsidRPr="00E262B3">
        <w:rPr>
          <w:rFonts w:cstheme="minorHAnsi"/>
        </w:rPr>
        <w:t>18-24 year-olds</w:t>
      </w:r>
      <w:proofErr w:type="gramEnd"/>
      <w:r w:rsidR="00DD752A" w:rsidRPr="00E262B3">
        <w:rPr>
          <w:rFonts w:cstheme="minorHAnsi"/>
        </w:rPr>
        <w:t xml:space="preserve"> who voted</w:t>
      </w:r>
      <w:r w:rsidR="00DA486E">
        <w:rPr>
          <w:rFonts w:cstheme="minorHAnsi"/>
        </w:rPr>
        <w:t xml:space="preserve">), they overlooked – possibly </w:t>
      </w:r>
      <w:r w:rsidR="001279EF">
        <w:rPr>
          <w:rFonts w:cstheme="minorHAnsi"/>
        </w:rPr>
        <w:t>due to intentional policy myopia</w:t>
      </w:r>
      <w:r w:rsidR="00DA486E">
        <w:rPr>
          <w:rFonts w:cstheme="minorHAnsi"/>
        </w:rPr>
        <w:t xml:space="preserve"> – the 10</w:t>
      </w:r>
      <w:r w:rsidR="00A74B85" w:rsidRPr="00E262B3">
        <w:rPr>
          <w:rFonts w:cstheme="minorHAnsi"/>
        </w:rPr>
        <w:t xml:space="preserve"> per cent </w:t>
      </w:r>
      <w:r w:rsidR="00DA486E">
        <w:rPr>
          <w:rFonts w:cstheme="minorHAnsi"/>
        </w:rPr>
        <w:t>deficit</w:t>
      </w:r>
      <w:r w:rsidR="00A74B85" w:rsidRPr="00E262B3">
        <w:rPr>
          <w:rFonts w:cstheme="minorHAnsi"/>
        </w:rPr>
        <w:t xml:space="preserve"> </w:t>
      </w:r>
      <w:r w:rsidR="00DA486E">
        <w:rPr>
          <w:rFonts w:cstheme="minorHAnsi"/>
        </w:rPr>
        <w:t>when compared to</w:t>
      </w:r>
      <w:r w:rsidR="00A74B85" w:rsidRPr="00E262B3">
        <w:rPr>
          <w:rFonts w:cstheme="minorHAnsi"/>
        </w:rPr>
        <w:t xml:space="preserve"> the </w:t>
      </w:r>
      <w:r w:rsidR="001279EF">
        <w:rPr>
          <w:rFonts w:cstheme="minorHAnsi"/>
        </w:rPr>
        <w:t>overall electorate</w:t>
      </w:r>
      <w:r w:rsidR="00A74B85" w:rsidRPr="00E262B3">
        <w:rPr>
          <w:rFonts w:cstheme="minorHAnsi"/>
        </w:rPr>
        <w:t xml:space="preserve"> </w:t>
      </w:r>
      <w:r w:rsidR="00DA486E">
        <w:rPr>
          <w:rFonts w:cstheme="minorHAnsi"/>
        </w:rPr>
        <w:t xml:space="preserve">turnout </w:t>
      </w:r>
      <w:r w:rsidR="00A74B85" w:rsidRPr="00E262B3">
        <w:rPr>
          <w:rFonts w:cstheme="minorHAnsi"/>
        </w:rPr>
        <w:t>of 85 per cent</w:t>
      </w:r>
      <w:r w:rsidR="004C77DD">
        <w:rPr>
          <w:rFonts w:cstheme="minorHAnsi"/>
        </w:rPr>
        <w:t xml:space="preserve">. </w:t>
      </w:r>
      <w:r w:rsidR="00DA486E">
        <w:rPr>
          <w:rFonts w:cstheme="minorHAnsi"/>
        </w:rPr>
        <w:t xml:space="preserve">Subsequent </w:t>
      </w:r>
      <w:r w:rsidR="00D62467" w:rsidRPr="00E262B3">
        <w:rPr>
          <w:rFonts w:cstheme="minorHAnsi"/>
        </w:rPr>
        <w:t>increase</w:t>
      </w:r>
      <w:r w:rsidR="00547BD9">
        <w:rPr>
          <w:rFonts w:cstheme="minorHAnsi"/>
        </w:rPr>
        <w:t>s</w:t>
      </w:r>
      <w:r w:rsidR="00D62467" w:rsidRPr="00E262B3">
        <w:rPr>
          <w:rFonts w:cstheme="minorHAnsi"/>
        </w:rPr>
        <w:t xml:space="preserve"> in </w:t>
      </w:r>
      <w:r w:rsidR="00DA486E">
        <w:rPr>
          <w:rFonts w:cstheme="minorHAnsi"/>
        </w:rPr>
        <w:t xml:space="preserve">voter </w:t>
      </w:r>
      <w:r w:rsidR="00D62467" w:rsidRPr="00E262B3">
        <w:rPr>
          <w:rFonts w:cstheme="minorHAnsi"/>
        </w:rPr>
        <w:t xml:space="preserve">turnout in </w:t>
      </w:r>
      <w:r w:rsidR="00547BD9">
        <w:rPr>
          <w:rFonts w:cstheme="minorHAnsi"/>
        </w:rPr>
        <w:t xml:space="preserve">both the 2016 Scottish Parliament and 2017 Scottish local government </w:t>
      </w:r>
      <w:r w:rsidR="00D62467" w:rsidRPr="00E262B3">
        <w:rPr>
          <w:rFonts w:cstheme="minorHAnsi"/>
        </w:rPr>
        <w:t>elections</w:t>
      </w:r>
      <w:r w:rsidR="00DA486E">
        <w:rPr>
          <w:rFonts w:cstheme="minorHAnsi"/>
        </w:rPr>
        <w:t xml:space="preserve"> </w:t>
      </w:r>
      <w:r w:rsidR="001279EF">
        <w:rPr>
          <w:rFonts w:cstheme="minorHAnsi"/>
        </w:rPr>
        <w:t>have been attributed to</w:t>
      </w:r>
      <w:r w:rsidR="00D62467" w:rsidRPr="00E262B3">
        <w:rPr>
          <w:rFonts w:cstheme="minorHAnsi"/>
        </w:rPr>
        <w:t xml:space="preserve"> the</w:t>
      </w:r>
      <w:r w:rsidR="00A74B85" w:rsidRPr="00E262B3">
        <w:rPr>
          <w:rFonts w:cstheme="minorHAnsi"/>
        </w:rPr>
        <w:t xml:space="preserve"> ongoing resonance of the independence question </w:t>
      </w:r>
      <w:r w:rsidR="00D62467" w:rsidRPr="00E262B3">
        <w:rPr>
          <w:rFonts w:cstheme="minorHAnsi"/>
        </w:rPr>
        <w:t>amongst older voters</w:t>
      </w:r>
      <w:r w:rsidR="001279EF">
        <w:rPr>
          <w:rFonts w:cstheme="minorHAnsi"/>
        </w:rPr>
        <w:t xml:space="preserve"> rather</w:t>
      </w:r>
      <w:r w:rsidR="00D62467" w:rsidRPr="00E262B3">
        <w:rPr>
          <w:rFonts w:cstheme="minorHAnsi"/>
        </w:rPr>
        <w:t xml:space="preserve"> </w:t>
      </w:r>
      <w:r w:rsidR="00A74B85" w:rsidRPr="00E262B3">
        <w:rPr>
          <w:rFonts w:cstheme="minorHAnsi"/>
        </w:rPr>
        <w:t xml:space="preserve">than the impact of voting age reform. </w:t>
      </w:r>
      <w:r w:rsidR="00BB411F">
        <w:rPr>
          <w:rFonts w:cstheme="minorHAnsi"/>
        </w:rPr>
        <w:t xml:space="preserve">Indeed, </w:t>
      </w:r>
      <w:proofErr w:type="gramStart"/>
      <w:r w:rsidR="00BB411F">
        <w:rPr>
          <w:rFonts w:cstheme="minorHAnsi"/>
        </w:rPr>
        <w:t>16 and 17 year-olds</w:t>
      </w:r>
      <w:proofErr w:type="gramEnd"/>
      <w:r w:rsidR="00BB411F">
        <w:rPr>
          <w:rFonts w:cstheme="minorHAnsi"/>
        </w:rPr>
        <w:t xml:space="preserve"> voters in Scotland</w:t>
      </w:r>
      <w:r w:rsidR="00DE6A50">
        <w:rPr>
          <w:rFonts w:cstheme="minorHAnsi"/>
        </w:rPr>
        <w:t xml:space="preserve"> are </w:t>
      </w:r>
      <w:r w:rsidR="00BB411F">
        <w:rPr>
          <w:rFonts w:cstheme="minorHAnsi"/>
        </w:rPr>
        <w:t>– so far - voting at lower levels than all other age cohorts, with the exception of 18-24 year-olds</w:t>
      </w:r>
      <w:r w:rsidR="00DE6A50">
        <w:rPr>
          <w:rFonts w:cstheme="minorHAnsi"/>
        </w:rPr>
        <w:t xml:space="preserve"> (Electoral Commission, 2017)</w:t>
      </w:r>
      <w:r w:rsidR="00BB411F">
        <w:rPr>
          <w:rFonts w:cstheme="minorHAnsi"/>
        </w:rPr>
        <w:t>.</w:t>
      </w:r>
      <w:r w:rsidR="00DE6A50">
        <w:rPr>
          <w:rFonts w:cstheme="minorHAnsi"/>
        </w:rPr>
        <w:t xml:space="preserve"> </w:t>
      </w:r>
    </w:p>
    <w:p w14:paraId="08403C89" w14:textId="32BE6614" w:rsidR="004747B3" w:rsidRDefault="00B41392" w:rsidP="004747B3">
      <w:pPr>
        <w:spacing w:line="360" w:lineRule="auto"/>
        <w:jc w:val="both"/>
        <w:rPr>
          <w:rFonts w:cstheme="minorHAnsi"/>
        </w:rPr>
      </w:pPr>
      <w:r>
        <w:rPr>
          <w:rFonts w:cstheme="minorHAnsi"/>
        </w:rPr>
        <w:lastRenderedPageBreak/>
        <w:t>The failure of the Scottish Government to undertake evaluation of the introduction of ‘Votes-at</w:t>
      </w:r>
      <w:r w:rsidR="00237696">
        <w:rPr>
          <w:rFonts w:cstheme="minorHAnsi"/>
        </w:rPr>
        <w:t>-16’ has had cross-national implications, particularly in countries that have sought to follow the example of Scotland and lower the age of enfranchisement in some or all elections (</w:t>
      </w:r>
      <w:proofErr w:type="spellStart"/>
      <w:r w:rsidR="00237696">
        <w:rPr>
          <w:rFonts w:cstheme="minorHAnsi"/>
        </w:rPr>
        <w:t>Mycock</w:t>
      </w:r>
      <w:proofErr w:type="spellEnd"/>
      <w:r w:rsidR="00237696">
        <w:rPr>
          <w:rFonts w:cstheme="minorHAnsi"/>
        </w:rPr>
        <w:t xml:space="preserve"> et al., 2020). For example, e</w:t>
      </w:r>
      <w:r w:rsidR="00EE05E7">
        <w:rPr>
          <w:rFonts w:cstheme="minorHAnsi"/>
        </w:rPr>
        <w:t xml:space="preserve">vidence gathering </w:t>
      </w:r>
      <w:r w:rsidR="007A4A93">
        <w:rPr>
          <w:rFonts w:cstheme="minorHAnsi"/>
        </w:rPr>
        <w:t xml:space="preserve">in Wales undertaken in 2018 signposted the turnout of three-quarters of </w:t>
      </w:r>
      <w:proofErr w:type="gramStart"/>
      <w:r w:rsidR="007A4A93">
        <w:rPr>
          <w:rFonts w:cstheme="minorHAnsi"/>
        </w:rPr>
        <w:t>16-17 year-olds</w:t>
      </w:r>
      <w:proofErr w:type="gramEnd"/>
      <w:r w:rsidR="007A4A93">
        <w:rPr>
          <w:rFonts w:cstheme="minorHAnsi"/>
        </w:rPr>
        <w:t xml:space="preserve"> in Scotland in 2014</w:t>
      </w:r>
      <w:r w:rsidR="00833882">
        <w:rPr>
          <w:rFonts w:cstheme="minorHAnsi"/>
        </w:rPr>
        <w:t xml:space="preserve"> but chose to highlight their increased turnout in subsequent Scottish elections when compared with 18-24 year-olds rather than the continued deficit with older cohorts or the overall electorate. </w:t>
      </w:r>
      <w:r w:rsidR="003F76C3">
        <w:rPr>
          <w:rFonts w:cstheme="minorHAnsi"/>
        </w:rPr>
        <w:t>N</w:t>
      </w:r>
      <w:r w:rsidR="004747B3">
        <w:rPr>
          <w:rFonts w:cstheme="minorHAnsi"/>
        </w:rPr>
        <w:t xml:space="preserve">either Scotland </w:t>
      </w:r>
      <w:r w:rsidR="00EB3806">
        <w:rPr>
          <w:rFonts w:cstheme="minorHAnsi"/>
        </w:rPr>
        <w:t>n</w:t>
      </w:r>
      <w:r w:rsidR="004747B3">
        <w:rPr>
          <w:rFonts w:cstheme="minorHAnsi"/>
        </w:rPr>
        <w:t xml:space="preserve">or Wales </w:t>
      </w:r>
      <w:r w:rsidR="00EB3806">
        <w:rPr>
          <w:rFonts w:cstheme="minorHAnsi"/>
        </w:rPr>
        <w:t>introduced</w:t>
      </w:r>
      <w:r w:rsidR="004747B3">
        <w:rPr>
          <w:rFonts w:cstheme="minorHAnsi"/>
        </w:rPr>
        <w:t xml:space="preserve"> </w:t>
      </w:r>
      <w:r w:rsidR="00EB3806">
        <w:rPr>
          <w:rFonts w:cstheme="minorHAnsi"/>
        </w:rPr>
        <w:t>enhanced</w:t>
      </w:r>
      <w:r w:rsidR="00B421DD">
        <w:rPr>
          <w:rFonts w:cstheme="minorHAnsi"/>
        </w:rPr>
        <w:t xml:space="preserve">, universal political education </w:t>
      </w:r>
      <w:r w:rsidR="004747B3">
        <w:rPr>
          <w:rFonts w:cstheme="minorHAnsi"/>
        </w:rPr>
        <w:t xml:space="preserve">provision to accompany voting age reform. In the case of Scotland, research </w:t>
      </w:r>
      <w:r w:rsidR="00EB3806">
        <w:rPr>
          <w:rFonts w:cstheme="minorHAnsi"/>
        </w:rPr>
        <w:t>highlighted</w:t>
      </w:r>
      <w:r w:rsidR="004747B3">
        <w:rPr>
          <w:rFonts w:cstheme="minorHAnsi"/>
        </w:rPr>
        <w:t xml:space="preserve"> that the two-year campaign period prior to the 2014 independence referendum saw discussions of politics in some schools and colleges</w:t>
      </w:r>
      <w:r w:rsidR="00EB3806">
        <w:rPr>
          <w:rFonts w:cstheme="minorHAnsi"/>
        </w:rPr>
        <w:t xml:space="preserve"> </w:t>
      </w:r>
      <w:r w:rsidR="00B421DD">
        <w:rPr>
          <w:rFonts w:cstheme="minorHAnsi"/>
        </w:rPr>
        <w:t xml:space="preserve">have </w:t>
      </w:r>
      <w:r w:rsidR="00EB3806">
        <w:rPr>
          <w:rFonts w:cstheme="minorHAnsi"/>
        </w:rPr>
        <w:t xml:space="preserve">a positive impact on </w:t>
      </w:r>
      <w:r w:rsidR="00B421DD">
        <w:rPr>
          <w:rFonts w:cstheme="minorHAnsi"/>
        </w:rPr>
        <w:t>youth political engagement and the</w:t>
      </w:r>
      <w:r w:rsidR="00EB3806">
        <w:rPr>
          <w:rFonts w:cstheme="minorHAnsi"/>
        </w:rPr>
        <w:t xml:space="preserve"> turnout of </w:t>
      </w:r>
      <w:proofErr w:type="gramStart"/>
      <w:r w:rsidR="00EB3806">
        <w:rPr>
          <w:rFonts w:cstheme="minorHAnsi"/>
        </w:rPr>
        <w:t>newly-enfranchised</w:t>
      </w:r>
      <w:proofErr w:type="gramEnd"/>
      <w:r w:rsidR="00EB3806">
        <w:rPr>
          <w:rFonts w:cstheme="minorHAnsi"/>
        </w:rPr>
        <w:t xml:space="preserve"> voters (Eichhorn, 2018). </w:t>
      </w:r>
      <w:r w:rsidR="008F3B1E">
        <w:rPr>
          <w:rFonts w:cstheme="minorHAnsi"/>
        </w:rPr>
        <w:t>However</w:t>
      </w:r>
      <w:r w:rsidR="00EB3806">
        <w:rPr>
          <w:rFonts w:cstheme="minorHAnsi"/>
        </w:rPr>
        <w:t xml:space="preserve">, </w:t>
      </w:r>
      <w:r w:rsidR="004747B3">
        <w:rPr>
          <w:rFonts w:cstheme="minorHAnsi"/>
        </w:rPr>
        <w:t xml:space="preserve">the Scottish Government </w:t>
      </w:r>
      <w:r w:rsidR="00B421DD">
        <w:rPr>
          <w:rFonts w:cstheme="minorHAnsi"/>
        </w:rPr>
        <w:t xml:space="preserve">did not </w:t>
      </w:r>
      <w:r w:rsidR="007B77A5">
        <w:rPr>
          <w:rFonts w:cstheme="minorHAnsi"/>
        </w:rPr>
        <w:t>create</w:t>
      </w:r>
      <w:r w:rsidR="00B421DD">
        <w:rPr>
          <w:rFonts w:cstheme="minorHAnsi"/>
        </w:rPr>
        <w:t xml:space="preserve"> a universal </w:t>
      </w:r>
      <w:r w:rsidR="007B77A5">
        <w:rPr>
          <w:rFonts w:cstheme="minorHAnsi"/>
        </w:rPr>
        <w:t>political literacy</w:t>
      </w:r>
      <w:r w:rsidR="004747B3">
        <w:rPr>
          <w:rFonts w:cstheme="minorHAnsi"/>
        </w:rPr>
        <w:t xml:space="preserve"> </w:t>
      </w:r>
      <w:r w:rsidR="007B77A5">
        <w:rPr>
          <w:rFonts w:cstheme="minorHAnsi"/>
        </w:rPr>
        <w:t>programme for</w:t>
      </w:r>
      <w:r w:rsidR="004747B3">
        <w:rPr>
          <w:rFonts w:cstheme="minorHAnsi"/>
        </w:rPr>
        <w:t xml:space="preserve"> first voters aged 16 and 17</w:t>
      </w:r>
      <w:r w:rsidR="00EB3806">
        <w:rPr>
          <w:rFonts w:cstheme="minorHAnsi"/>
        </w:rPr>
        <w:t>, meaning many young people did</w:t>
      </w:r>
      <w:r w:rsidR="007B77A5">
        <w:rPr>
          <w:rFonts w:cstheme="minorHAnsi"/>
        </w:rPr>
        <w:t xml:space="preserve"> not</w:t>
      </w:r>
      <w:r w:rsidR="00EB3806">
        <w:rPr>
          <w:rFonts w:cstheme="minorHAnsi"/>
        </w:rPr>
        <w:t xml:space="preserve"> have opportunities to learn about or discuss the referendum. </w:t>
      </w:r>
      <w:r w:rsidR="004747B3">
        <w:rPr>
          <w:rFonts w:cstheme="minorHAnsi"/>
        </w:rPr>
        <w:t xml:space="preserve">Although subsequent research has raised significant questions about </w:t>
      </w:r>
      <w:r w:rsidR="007B77A5">
        <w:rPr>
          <w:rFonts w:cstheme="minorHAnsi"/>
        </w:rPr>
        <w:t>disparities in the</w:t>
      </w:r>
      <w:r w:rsidR="004747B3">
        <w:rPr>
          <w:rFonts w:cstheme="minorHAnsi"/>
        </w:rPr>
        <w:t xml:space="preserve"> political socialisation and literacy of</w:t>
      </w:r>
      <w:r w:rsidR="007B77A5">
        <w:rPr>
          <w:rFonts w:cstheme="minorHAnsi"/>
        </w:rPr>
        <w:t xml:space="preserve"> Scottish</w:t>
      </w:r>
      <w:r w:rsidR="004747B3">
        <w:rPr>
          <w:rFonts w:cstheme="minorHAnsi"/>
        </w:rPr>
        <w:t xml:space="preserve"> first</w:t>
      </w:r>
      <w:r w:rsidR="00EB3806">
        <w:rPr>
          <w:rFonts w:cstheme="minorHAnsi"/>
        </w:rPr>
        <w:t>-</w:t>
      </w:r>
      <w:r w:rsidR="004747B3">
        <w:rPr>
          <w:rFonts w:cstheme="minorHAnsi"/>
        </w:rPr>
        <w:t>time voters</w:t>
      </w:r>
      <w:r w:rsidR="006D6D67">
        <w:rPr>
          <w:rFonts w:cstheme="minorHAnsi"/>
        </w:rPr>
        <w:t xml:space="preserve"> </w:t>
      </w:r>
      <w:r w:rsidR="00350B2D">
        <w:rPr>
          <w:rFonts w:cstheme="minorHAnsi"/>
        </w:rPr>
        <w:t>(</w:t>
      </w:r>
      <w:r w:rsidR="006D6D67">
        <w:rPr>
          <w:rFonts w:cstheme="minorHAnsi"/>
        </w:rPr>
        <w:t>Scottish Youth Parliament</w:t>
      </w:r>
      <w:r w:rsidR="00350B2D">
        <w:rPr>
          <w:rFonts w:cstheme="minorHAnsi"/>
        </w:rPr>
        <w:t xml:space="preserve"> and </w:t>
      </w:r>
      <w:proofErr w:type="spellStart"/>
      <w:r w:rsidR="00350B2D">
        <w:rPr>
          <w:rFonts w:cstheme="minorHAnsi"/>
        </w:rPr>
        <w:t>Mycock</w:t>
      </w:r>
      <w:proofErr w:type="spellEnd"/>
      <w:r w:rsidR="006D6D67">
        <w:rPr>
          <w:rFonts w:cstheme="minorHAnsi"/>
        </w:rPr>
        <w:t>, 2019)</w:t>
      </w:r>
      <w:r w:rsidR="004747B3">
        <w:rPr>
          <w:rFonts w:cstheme="minorHAnsi"/>
        </w:rPr>
        <w:t xml:space="preserve">, there is still no statutory provision of political education in Scotland. </w:t>
      </w:r>
      <w:r w:rsidR="007B77A5">
        <w:rPr>
          <w:rFonts w:cstheme="minorHAnsi"/>
        </w:rPr>
        <w:t>Moreover, while</w:t>
      </w:r>
      <w:r w:rsidR="006D6D67">
        <w:rPr>
          <w:rFonts w:cstheme="minorHAnsi"/>
        </w:rPr>
        <w:t xml:space="preserve"> the Expert Panel appointed by the Welsh Assembly recommended that a universal programme of political education should accompany</w:t>
      </w:r>
      <w:r w:rsidR="00EB3806">
        <w:rPr>
          <w:rFonts w:cstheme="minorHAnsi"/>
        </w:rPr>
        <w:t xml:space="preserve"> voting age </w:t>
      </w:r>
      <w:r w:rsidR="006D6D67">
        <w:rPr>
          <w:rFonts w:cstheme="minorHAnsi"/>
        </w:rPr>
        <w:t xml:space="preserve">reform </w:t>
      </w:r>
      <w:r w:rsidR="00EB3806">
        <w:rPr>
          <w:rFonts w:cstheme="minorHAnsi"/>
        </w:rPr>
        <w:t>in Wales</w:t>
      </w:r>
      <w:r w:rsidR="006D6D67">
        <w:rPr>
          <w:rFonts w:cstheme="minorHAnsi"/>
        </w:rPr>
        <w:t xml:space="preserve"> (McAllister et al., 2018: 204), </w:t>
      </w:r>
      <w:r w:rsidR="007B77A5">
        <w:rPr>
          <w:rFonts w:cstheme="minorHAnsi"/>
        </w:rPr>
        <w:t>this</w:t>
      </w:r>
      <w:r w:rsidR="006D6D67">
        <w:rPr>
          <w:rFonts w:cstheme="minorHAnsi"/>
        </w:rPr>
        <w:t xml:space="preserve"> has not </w:t>
      </w:r>
      <w:r w:rsidR="007B77A5">
        <w:rPr>
          <w:rFonts w:cstheme="minorHAnsi"/>
        </w:rPr>
        <w:t xml:space="preserve">as yet </w:t>
      </w:r>
      <w:r w:rsidR="006D6D67">
        <w:rPr>
          <w:rFonts w:cstheme="minorHAnsi"/>
        </w:rPr>
        <w:t xml:space="preserve">been enacted. </w:t>
      </w:r>
    </w:p>
    <w:p w14:paraId="629AE683" w14:textId="5B2D7F08" w:rsidR="000B4AE9" w:rsidRDefault="00A46CBD" w:rsidP="000B4AE9">
      <w:pPr>
        <w:spacing w:line="360" w:lineRule="auto"/>
        <w:jc w:val="both"/>
        <w:rPr>
          <w:rFonts w:cstheme="minorHAnsi"/>
        </w:rPr>
      </w:pPr>
      <w:r>
        <w:rPr>
          <w:rFonts w:cstheme="minorHAnsi"/>
        </w:rPr>
        <w:t>T</w:t>
      </w:r>
      <w:r w:rsidR="00D05422">
        <w:rPr>
          <w:rFonts w:cstheme="minorHAnsi"/>
        </w:rPr>
        <w:t>here</w:t>
      </w:r>
      <w:r w:rsidR="0024566F">
        <w:rPr>
          <w:rFonts w:cstheme="minorHAnsi"/>
        </w:rPr>
        <w:t xml:space="preserve"> has </w:t>
      </w:r>
      <w:r>
        <w:rPr>
          <w:rFonts w:cstheme="minorHAnsi"/>
        </w:rPr>
        <w:t xml:space="preserve">also been </w:t>
      </w:r>
      <w:r w:rsidR="00D05422">
        <w:rPr>
          <w:rFonts w:cstheme="minorHAnsi"/>
        </w:rPr>
        <w:t>no</w:t>
      </w:r>
      <w:r w:rsidR="0024566F">
        <w:rPr>
          <w:rFonts w:cstheme="minorHAnsi"/>
        </w:rPr>
        <w:t xml:space="preserve"> formal review of the age of majority, or its relationship with </w:t>
      </w:r>
      <w:r w:rsidR="00D05422">
        <w:rPr>
          <w:rFonts w:cstheme="minorHAnsi"/>
        </w:rPr>
        <w:t>enfranchisement</w:t>
      </w:r>
      <w:r w:rsidR="0024566F">
        <w:rPr>
          <w:rFonts w:cstheme="minorHAnsi"/>
        </w:rPr>
        <w:t xml:space="preserve">, </w:t>
      </w:r>
      <w:r w:rsidR="00D05422">
        <w:rPr>
          <w:rFonts w:cstheme="minorHAnsi"/>
        </w:rPr>
        <w:t>in</w:t>
      </w:r>
      <w:r w:rsidR="0024566F">
        <w:rPr>
          <w:rFonts w:cstheme="minorHAnsi"/>
        </w:rPr>
        <w:t xml:space="preserve"> </w:t>
      </w:r>
      <w:r w:rsidR="00D05422">
        <w:rPr>
          <w:rFonts w:cstheme="minorHAnsi"/>
        </w:rPr>
        <w:t>introducing</w:t>
      </w:r>
      <w:r w:rsidR="0024566F">
        <w:rPr>
          <w:rFonts w:cstheme="minorHAnsi"/>
        </w:rPr>
        <w:t xml:space="preserve"> ‘Votes-at-16’ or after its implementation in Scotland or Wales. Indeed, in both cases there has been an identifiable pattern whereby the minimum age of various </w:t>
      </w:r>
      <w:r w:rsidR="00D05422">
        <w:rPr>
          <w:rFonts w:cstheme="minorHAnsi"/>
        </w:rPr>
        <w:t xml:space="preserve">– particularly protective - </w:t>
      </w:r>
      <w:r w:rsidR="0024566F">
        <w:rPr>
          <w:rFonts w:cstheme="minorHAnsi"/>
        </w:rPr>
        <w:t xml:space="preserve">rights </w:t>
      </w:r>
      <w:r w:rsidR="00D05422">
        <w:rPr>
          <w:rFonts w:cstheme="minorHAnsi"/>
        </w:rPr>
        <w:t>have</w:t>
      </w:r>
      <w:r w:rsidR="0024566F">
        <w:rPr>
          <w:rFonts w:cstheme="minorHAnsi"/>
        </w:rPr>
        <w:t xml:space="preserve"> been raised to 18 </w:t>
      </w:r>
      <w:r w:rsidR="00D05422">
        <w:rPr>
          <w:rFonts w:cstheme="minorHAnsi"/>
        </w:rPr>
        <w:t>in both the period prior to and after</w:t>
      </w:r>
      <w:r w:rsidR="0024566F">
        <w:rPr>
          <w:rFonts w:cstheme="minorHAnsi"/>
        </w:rPr>
        <w:t xml:space="preserve"> </w:t>
      </w:r>
      <w:r w:rsidR="00D05422">
        <w:rPr>
          <w:rFonts w:cstheme="minorHAnsi"/>
        </w:rPr>
        <w:t>lowering the</w:t>
      </w:r>
      <w:r w:rsidR="0024566F">
        <w:rPr>
          <w:rFonts w:cstheme="minorHAnsi"/>
        </w:rPr>
        <w:t xml:space="preserve"> voting age to 16. This may seem contradictory</w:t>
      </w:r>
      <w:r w:rsidR="00D05422">
        <w:rPr>
          <w:rFonts w:cstheme="minorHAnsi"/>
        </w:rPr>
        <w:t xml:space="preserve"> in terms of correlating adulthood with </w:t>
      </w:r>
      <w:r w:rsidR="007E53A0">
        <w:rPr>
          <w:rFonts w:cstheme="minorHAnsi"/>
        </w:rPr>
        <w:t>enfranchisement</w:t>
      </w:r>
      <w:r w:rsidR="0024566F">
        <w:rPr>
          <w:rFonts w:cstheme="minorHAnsi"/>
        </w:rPr>
        <w:t xml:space="preserve"> but </w:t>
      </w:r>
      <w:r>
        <w:rPr>
          <w:rFonts w:cstheme="minorHAnsi"/>
        </w:rPr>
        <w:t>mirrors</w:t>
      </w:r>
      <w:r w:rsidR="0024566F">
        <w:rPr>
          <w:rFonts w:cstheme="minorHAnsi"/>
        </w:rPr>
        <w:t xml:space="preserve"> dissonance in opinion in debates </w:t>
      </w:r>
      <w:r w:rsidR="000B4AE9">
        <w:rPr>
          <w:rFonts w:cstheme="minorHAnsi"/>
        </w:rPr>
        <w:t>about ‘Votes-at-18’</w:t>
      </w:r>
      <w:r w:rsidR="008F3B1E">
        <w:rPr>
          <w:rFonts w:cstheme="minorHAnsi"/>
        </w:rPr>
        <w:t xml:space="preserve"> and the age of majority in the late 1960s</w:t>
      </w:r>
      <w:r w:rsidR="000B4AE9">
        <w:rPr>
          <w:rFonts w:cstheme="minorHAnsi"/>
        </w:rPr>
        <w:t xml:space="preserve">. </w:t>
      </w:r>
      <w:r w:rsidR="008F3B1E">
        <w:rPr>
          <w:rFonts w:cstheme="minorHAnsi"/>
        </w:rPr>
        <w:t>In contrast to the debates of 1969, policy-makers have</w:t>
      </w:r>
      <w:r w:rsidR="000B4AE9">
        <w:rPr>
          <w:rFonts w:cstheme="minorHAnsi"/>
        </w:rPr>
        <w:t xml:space="preserve"> </w:t>
      </w:r>
      <w:r w:rsidR="008F3B1E">
        <w:rPr>
          <w:rFonts w:cstheme="minorHAnsi"/>
        </w:rPr>
        <w:t>acknowledged the</w:t>
      </w:r>
      <w:r w:rsidR="000B4AE9">
        <w:rPr>
          <w:rFonts w:cstheme="minorHAnsi"/>
        </w:rPr>
        <w:t xml:space="preserve"> cumulative aggregation of </w:t>
      </w:r>
      <w:r w:rsidR="00B93B8E">
        <w:rPr>
          <w:rFonts w:cstheme="minorHAnsi"/>
        </w:rPr>
        <w:t>citizenship</w:t>
      </w:r>
      <w:r w:rsidR="000B4AE9">
        <w:rPr>
          <w:rFonts w:cstheme="minorHAnsi"/>
        </w:rPr>
        <w:t xml:space="preserve"> rights inform</w:t>
      </w:r>
      <w:r w:rsidR="008F3B1E">
        <w:rPr>
          <w:rFonts w:cstheme="minorHAnsi"/>
        </w:rPr>
        <w:t xml:space="preserve">ing </w:t>
      </w:r>
      <w:r w:rsidR="000B4AE9">
        <w:rPr>
          <w:rFonts w:cstheme="minorHAnsi"/>
        </w:rPr>
        <w:t>youth transition to adulthood.</w:t>
      </w:r>
      <w:r w:rsidR="008F3B1E">
        <w:rPr>
          <w:rFonts w:cstheme="minorHAnsi"/>
        </w:rPr>
        <w:t xml:space="preserve"> As </w:t>
      </w:r>
      <w:r w:rsidR="000B4AE9">
        <w:rPr>
          <w:rFonts w:cstheme="minorHAnsi"/>
        </w:rPr>
        <w:t xml:space="preserve">the Welsh Assembly Expert Panel (McAllister et al., 2018: 187) </w:t>
      </w:r>
      <w:r w:rsidR="007E53A0">
        <w:rPr>
          <w:rFonts w:cstheme="minorHAnsi"/>
        </w:rPr>
        <w:t>concluded</w:t>
      </w:r>
      <w:r w:rsidR="000B4AE9">
        <w:rPr>
          <w:rFonts w:cstheme="minorHAnsi"/>
        </w:rPr>
        <w:t xml:space="preserve">, </w:t>
      </w:r>
    </w:p>
    <w:p w14:paraId="16B5670A" w14:textId="01F556CB" w:rsidR="003E5AB3" w:rsidRDefault="00833882" w:rsidP="00A46CBD">
      <w:pPr>
        <w:spacing w:line="360" w:lineRule="auto"/>
        <w:ind w:left="720"/>
        <w:jc w:val="both"/>
        <w:rPr>
          <w:rFonts w:cstheme="minorHAnsi"/>
        </w:rPr>
      </w:pPr>
      <w:r w:rsidRPr="00833882">
        <w:rPr>
          <w:rFonts w:eastAsia="Times New Roman" w:cstheme="minorHAnsi"/>
          <w:color w:val="000000" w:themeColor="text1"/>
          <w:lang w:eastAsia="en-GB"/>
        </w:rPr>
        <w:t>While comparisons between the ages at which young people acquire rights and responsibilities, or start to exercise those rights and responsibilities, may be relevant, we do not find them compelling in making the case for or against a reduction in the voting age</w:t>
      </w:r>
      <w:r w:rsidR="000B4AE9">
        <w:rPr>
          <w:rFonts w:eastAsia="Times New Roman" w:cstheme="minorHAnsi"/>
          <w:color w:val="000000" w:themeColor="text1"/>
          <w:lang w:eastAsia="en-GB"/>
        </w:rPr>
        <w:t>’</w:t>
      </w:r>
      <w:r w:rsidRPr="00833882">
        <w:rPr>
          <w:rFonts w:eastAsia="Times New Roman" w:cstheme="minorHAnsi"/>
          <w:color w:val="000000" w:themeColor="text1"/>
          <w:lang w:eastAsia="en-GB"/>
        </w:rPr>
        <w:t xml:space="preserve">. </w:t>
      </w:r>
    </w:p>
    <w:p w14:paraId="39AD3D1F" w14:textId="50D4129D" w:rsidR="008F3B1E" w:rsidRDefault="008F3B1E" w:rsidP="00483311">
      <w:pPr>
        <w:spacing w:line="360" w:lineRule="auto"/>
        <w:jc w:val="both"/>
        <w:rPr>
          <w:rFonts w:cstheme="minorHAnsi"/>
        </w:rPr>
      </w:pPr>
      <w:r>
        <w:rPr>
          <w:rFonts w:cstheme="minorHAnsi"/>
        </w:rPr>
        <w:t xml:space="preserve">This noted, the wider implications of </w:t>
      </w:r>
      <w:proofErr w:type="gramStart"/>
      <w:r>
        <w:rPr>
          <w:rFonts w:cstheme="minorHAnsi"/>
        </w:rPr>
        <w:t>16-17 year-olds</w:t>
      </w:r>
      <w:proofErr w:type="gramEnd"/>
      <w:r>
        <w:rPr>
          <w:rFonts w:cstheme="minorHAnsi"/>
        </w:rPr>
        <w:t xml:space="preserve"> being ‘adults in the making’ with fewer rights that ‘adult’ voters, and thus being seen as ‘second-class citizens’</w:t>
      </w:r>
      <w:r w:rsidR="00725D75">
        <w:rPr>
          <w:rFonts w:cstheme="minorHAnsi"/>
        </w:rPr>
        <w:t>, in terms of the cohesion of the electorate as a whole</w:t>
      </w:r>
      <w:r>
        <w:rPr>
          <w:rFonts w:cstheme="minorHAnsi"/>
        </w:rPr>
        <w:t xml:space="preserve"> has yet to be considered (</w:t>
      </w:r>
      <w:proofErr w:type="spellStart"/>
      <w:r>
        <w:rPr>
          <w:rFonts w:cstheme="minorHAnsi"/>
        </w:rPr>
        <w:t>Mycock</w:t>
      </w:r>
      <w:proofErr w:type="spellEnd"/>
      <w:r>
        <w:rPr>
          <w:rFonts w:cstheme="minorHAnsi"/>
        </w:rPr>
        <w:t xml:space="preserve"> et al., 2020)</w:t>
      </w:r>
    </w:p>
    <w:p w14:paraId="7285EBA6" w14:textId="08582C6E" w:rsidR="00200C95" w:rsidRPr="00D736EB" w:rsidRDefault="007E53A0" w:rsidP="00483311">
      <w:pPr>
        <w:spacing w:line="360" w:lineRule="auto"/>
        <w:jc w:val="both"/>
        <w:rPr>
          <w:rFonts w:cstheme="minorHAnsi"/>
        </w:rPr>
      </w:pPr>
      <w:r>
        <w:rPr>
          <w:rFonts w:cstheme="minorHAnsi"/>
        </w:rPr>
        <w:lastRenderedPageBreak/>
        <w:t>In Scotland</w:t>
      </w:r>
      <w:r w:rsidR="00AB78DF">
        <w:rPr>
          <w:rFonts w:cstheme="minorHAnsi"/>
        </w:rPr>
        <w:t>,</w:t>
      </w:r>
      <w:r>
        <w:rPr>
          <w:rFonts w:cstheme="minorHAnsi"/>
        </w:rPr>
        <w:t xml:space="preserve"> significant</w:t>
      </w:r>
      <w:r w:rsidR="00AB78DF">
        <w:rPr>
          <w:rFonts w:cstheme="minorHAnsi"/>
        </w:rPr>
        <w:t xml:space="preserve"> </w:t>
      </w:r>
      <w:r w:rsidR="00A46CBD">
        <w:rPr>
          <w:rFonts w:cstheme="minorHAnsi"/>
        </w:rPr>
        <w:t xml:space="preserve">– if not universal - </w:t>
      </w:r>
      <w:r>
        <w:rPr>
          <w:rFonts w:cstheme="minorHAnsi"/>
        </w:rPr>
        <w:t xml:space="preserve">public </w:t>
      </w:r>
      <w:r w:rsidR="00D713D6">
        <w:rPr>
          <w:rFonts w:cstheme="minorHAnsi"/>
        </w:rPr>
        <w:t>support</w:t>
      </w:r>
      <w:r w:rsidR="00A46CBD">
        <w:rPr>
          <w:rFonts w:cstheme="minorHAnsi"/>
        </w:rPr>
        <w:t xml:space="preserve"> for ‘Votes-at-16’ and backing from a</w:t>
      </w:r>
      <w:r w:rsidR="00350B2D">
        <w:rPr>
          <w:rFonts w:cstheme="minorHAnsi"/>
        </w:rPr>
        <w:t xml:space="preserve">ll the main </w:t>
      </w:r>
      <w:r w:rsidR="000B4AE9">
        <w:rPr>
          <w:rFonts w:cstheme="minorHAnsi"/>
        </w:rPr>
        <w:t xml:space="preserve">Scottish </w:t>
      </w:r>
      <w:r w:rsidR="00350B2D">
        <w:rPr>
          <w:rFonts w:cstheme="minorHAnsi"/>
        </w:rPr>
        <w:t>political parties</w:t>
      </w:r>
      <w:r w:rsidR="00A46CBD">
        <w:rPr>
          <w:rFonts w:cstheme="minorHAnsi"/>
        </w:rPr>
        <w:t xml:space="preserve">, meaning </w:t>
      </w:r>
      <w:r w:rsidR="00AB78DF">
        <w:rPr>
          <w:rFonts w:cstheme="minorHAnsi"/>
        </w:rPr>
        <w:t xml:space="preserve">it is highly unlikely that there will be any attempts </w:t>
      </w:r>
      <w:r w:rsidR="00FA2EFF">
        <w:rPr>
          <w:rFonts w:cstheme="minorHAnsi"/>
        </w:rPr>
        <w:t xml:space="preserve">at </w:t>
      </w:r>
      <w:r w:rsidR="00AB78DF">
        <w:rPr>
          <w:rFonts w:cstheme="minorHAnsi"/>
        </w:rPr>
        <w:t>repeal</w:t>
      </w:r>
      <w:r w:rsidR="00FA2EFF">
        <w:rPr>
          <w:rFonts w:cstheme="minorHAnsi"/>
        </w:rPr>
        <w:t>.</w:t>
      </w:r>
      <w:r w:rsidR="00AB78DF">
        <w:rPr>
          <w:rFonts w:cstheme="minorHAnsi"/>
        </w:rPr>
        <w:t xml:space="preserve"> </w:t>
      </w:r>
      <w:r w:rsidR="00D713D6">
        <w:rPr>
          <w:rFonts w:cstheme="minorHAnsi"/>
        </w:rPr>
        <w:t xml:space="preserve">The picture elsewhere is more complicated. Recent research suggests that while there is a slight overall majority in support </w:t>
      </w:r>
      <w:r w:rsidR="00CA1E64">
        <w:rPr>
          <w:rFonts w:cstheme="minorHAnsi"/>
        </w:rPr>
        <w:t>for change</w:t>
      </w:r>
      <w:r w:rsidR="003B04C9">
        <w:rPr>
          <w:rFonts w:cstheme="minorHAnsi"/>
        </w:rPr>
        <w:t>,</w:t>
      </w:r>
      <w:r w:rsidR="00D713D6">
        <w:rPr>
          <w:rFonts w:cstheme="minorHAnsi"/>
        </w:rPr>
        <w:t xml:space="preserve"> opinion divides on a number of significant partisan political, age, and educational fault-lines</w:t>
      </w:r>
      <w:r w:rsidR="000A7E65">
        <w:rPr>
          <w:rFonts w:cstheme="minorHAnsi"/>
        </w:rPr>
        <w:t xml:space="preserve"> (Loughran et al., 2021</w:t>
      </w:r>
      <w:r w:rsidR="00AB78DF">
        <w:rPr>
          <w:rFonts w:cstheme="minorHAnsi"/>
        </w:rPr>
        <w:t>b</w:t>
      </w:r>
      <w:r w:rsidR="000A7E65">
        <w:rPr>
          <w:rFonts w:cstheme="minorHAnsi"/>
        </w:rPr>
        <w:t>)</w:t>
      </w:r>
      <w:r w:rsidR="00D713D6">
        <w:rPr>
          <w:rFonts w:cstheme="minorHAnsi"/>
        </w:rPr>
        <w:t>. Moreover, support or opposition at Westminster is founded on an ideological divide between so-called ‘progressive’ and ‘conservative’</w:t>
      </w:r>
      <w:r w:rsidR="000A7E65">
        <w:rPr>
          <w:rFonts w:cstheme="minorHAnsi"/>
        </w:rPr>
        <w:t xml:space="preserve"> parties whereby differences of opinion on adulthood, maturity, and enfranchisement are key</w:t>
      </w:r>
      <w:r w:rsidR="00D713D6">
        <w:rPr>
          <w:rFonts w:cstheme="minorHAnsi"/>
        </w:rPr>
        <w:t xml:space="preserve"> (</w:t>
      </w:r>
      <w:proofErr w:type="spellStart"/>
      <w:r w:rsidR="000A7E65">
        <w:rPr>
          <w:rFonts w:cstheme="minorHAnsi"/>
        </w:rPr>
        <w:t>Mycock</w:t>
      </w:r>
      <w:proofErr w:type="spellEnd"/>
      <w:r w:rsidR="000A7E65">
        <w:rPr>
          <w:rFonts w:cstheme="minorHAnsi"/>
        </w:rPr>
        <w:t xml:space="preserve"> et al</w:t>
      </w:r>
      <w:r w:rsidR="00D713D6">
        <w:rPr>
          <w:rFonts w:cstheme="minorHAnsi"/>
        </w:rPr>
        <w:t>., 202</w:t>
      </w:r>
      <w:r w:rsidR="000A7E65">
        <w:rPr>
          <w:rFonts w:cstheme="minorHAnsi"/>
        </w:rPr>
        <w:t>0</w:t>
      </w:r>
      <w:r w:rsidR="00D713D6">
        <w:rPr>
          <w:rFonts w:cstheme="minorHAnsi"/>
        </w:rPr>
        <w:t>)</w:t>
      </w:r>
      <w:r w:rsidR="000A7E65">
        <w:rPr>
          <w:rFonts w:cstheme="minorHAnsi"/>
        </w:rPr>
        <w:t xml:space="preserve">. Research indicates that lowering the voting age might have significant implications for </w:t>
      </w:r>
      <w:r w:rsidR="00A46CBD">
        <w:rPr>
          <w:rFonts w:cstheme="minorHAnsi"/>
        </w:rPr>
        <w:t xml:space="preserve">Westminster </w:t>
      </w:r>
      <w:r w:rsidR="000A7E65">
        <w:rPr>
          <w:rFonts w:cstheme="minorHAnsi"/>
        </w:rPr>
        <w:t xml:space="preserve">election outcomes (National Audit Office, 2017), meaning </w:t>
      </w:r>
      <w:r w:rsidR="00E278C9">
        <w:rPr>
          <w:rFonts w:cstheme="minorHAnsi"/>
        </w:rPr>
        <w:t xml:space="preserve">attitudes to the issue have strengthened and </w:t>
      </w:r>
      <w:r w:rsidR="00AB78DF">
        <w:rPr>
          <w:rFonts w:cstheme="minorHAnsi"/>
        </w:rPr>
        <w:t>polarised</w:t>
      </w:r>
      <w:r w:rsidR="00E278C9">
        <w:rPr>
          <w:rFonts w:cstheme="minorHAnsi"/>
        </w:rPr>
        <w:t>. The failure to adopt a comprehensive review of how and in what ways youth and adult citizenship relate and intersect could mean that</w:t>
      </w:r>
      <w:r w:rsidR="003E01F9">
        <w:rPr>
          <w:rFonts w:cstheme="minorHAnsi"/>
        </w:rPr>
        <w:t>,</w:t>
      </w:r>
      <w:r w:rsidR="00E278C9">
        <w:rPr>
          <w:rFonts w:cstheme="minorHAnsi"/>
        </w:rPr>
        <w:t xml:space="preserve"> unlike in 1969</w:t>
      </w:r>
      <w:r w:rsidR="003E01F9">
        <w:rPr>
          <w:rFonts w:cstheme="minorHAnsi"/>
        </w:rPr>
        <w:t>,</w:t>
      </w:r>
      <w:r w:rsidR="00E278C9">
        <w:rPr>
          <w:rFonts w:cstheme="minorHAnsi"/>
        </w:rPr>
        <w:t xml:space="preserve"> voting age reform is not universally </w:t>
      </w:r>
      <w:r w:rsidR="00A46CBD">
        <w:rPr>
          <w:rFonts w:cstheme="minorHAnsi"/>
        </w:rPr>
        <w:t>implemented or accepted for some time across the UK</w:t>
      </w:r>
      <w:r w:rsidR="00E278C9">
        <w:rPr>
          <w:rFonts w:cstheme="minorHAnsi"/>
        </w:rPr>
        <w:t xml:space="preserve">. </w:t>
      </w:r>
    </w:p>
    <w:p w14:paraId="5D307E7F" w14:textId="57CA7F9D" w:rsidR="001B4AA3" w:rsidRPr="00E262B3" w:rsidRDefault="00F6132E" w:rsidP="001B4AA3">
      <w:pPr>
        <w:spacing w:line="360" w:lineRule="auto"/>
        <w:jc w:val="both"/>
        <w:rPr>
          <w:rFonts w:cstheme="minorHAnsi"/>
        </w:rPr>
      </w:pPr>
      <w:r w:rsidRPr="00E262B3">
        <w:rPr>
          <w:rFonts w:cstheme="minorHAnsi"/>
          <w:b/>
        </w:rPr>
        <w:t>Conclusion</w:t>
      </w:r>
      <w:r w:rsidR="0097586F" w:rsidRPr="00E262B3">
        <w:rPr>
          <w:rFonts w:cstheme="minorHAnsi"/>
        </w:rPr>
        <w:t xml:space="preserve"> </w:t>
      </w:r>
    </w:p>
    <w:p w14:paraId="4D4E1C7C" w14:textId="57577D9E" w:rsidR="00434E67" w:rsidRDefault="00E278C9" w:rsidP="00016CAF">
      <w:pPr>
        <w:spacing w:line="360" w:lineRule="auto"/>
        <w:jc w:val="both"/>
        <w:rPr>
          <w:rFonts w:cstheme="minorHAnsi"/>
        </w:rPr>
      </w:pPr>
      <w:r>
        <w:rPr>
          <w:rFonts w:cstheme="minorHAnsi"/>
        </w:rPr>
        <w:t xml:space="preserve">This article has sought to </w:t>
      </w:r>
      <w:r w:rsidR="00AE4568">
        <w:rPr>
          <w:rFonts w:cstheme="minorHAnsi"/>
        </w:rPr>
        <w:t>enhance</w:t>
      </w:r>
      <w:r>
        <w:rPr>
          <w:rFonts w:cstheme="minorHAnsi"/>
        </w:rPr>
        <w:t xml:space="preserve"> understanding of how policy learning can be impacted </w:t>
      </w:r>
      <w:r w:rsidR="0004563B">
        <w:rPr>
          <w:rFonts w:cstheme="minorHAnsi"/>
        </w:rPr>
        <w:t xml:space="preserve">and impaired </w:t>
      </w:r>
      <w:r>
        <w:rPr>
          <w:rFonts w:cstheme="minorHAnsi"/>
        </w:rPr>
        <w:t xml:space="preserve">by policy memory through the </w:t>
      </w:r>
      <w:r w:rsidR="0004563B">
        <w:rPr>
          <w:rFonts w:cstheme="minorHAnsi"/>
        </w:rPr>
        <w:t>interconnected lens of institutional amnesia and policy myopia</w:t>
      </w:r>
      <w:r w:rsidR="00016CAF">
        <w:rPr>
          <w:rFonts w:cstheme="minorHAnsi"/>
        </w:rPr>
        <w:t xml:space="preserve">. </w:t>
      </w:r>
      <w:r w:rsidR="005D2A9F">
        <w:rPr>
          <w:rFonts w:cstheme="minorHAnsi"/>
        </w:rPr>
        <w:t>Our</w:t>
      </w:r>
      <w:r w:rsidR="00016CAF">
        <w:rPr>
          <w:rFonts w:cstheme="minorHAnsi"/>
        </w:rPr>
        <w:t xml:space="preserve"> case study of the lowering of the voting age to 18 in</w:t>
      </w:r>
      <w:r w:rsidR="0004563B">
        <w:rPr>
          <w:rFonts w:cstheme="minorHAnsi"/>
        </w:rPr>
        <w:t xml:space="preserve"> </w:t>
      </w:r>
      <w:r w:rsidR="00016CAF">
        <w:rPr>
          <w:rFonts w:cstheme="minorHAnsi"/>
        </w:rPr>
        <w:t>1969</w:t>
      </w:r>
      <w:r w:rsidR="005D2A9F">
        <w:rPr>
          <w:rFonts w:cstheme="minorHAnsi"/>
        </w:rPr>
        <w:t xml:space="preserve"> has </w:t>
      </w:r>
      <w:r w:rsidR="00016CAF">
        <w:rPr>
          <w:rFonts w:cstheme="minorHAnsi"/>
        </w:rPr>
        <w:t xml:space="preserve">highlighted </w:t>
      </w:r>
      <w:r w:rsidR="0004563B">
        <w:rPr>
          <w:rFonts w:cstheme="minorHAnsi"/>
        </w:rPr>
        <w:t xml:space="preserve">that the ability of institutions and policy actors to reflect and learn from past policies, particularly those which span more than one generation, </w:t>
      </w:r>
      <w:r w:rsidR="00434E67">
        <w:rPr>
          <w:rFonts w:cstheme="minorHAnsi"/>
        </w:rPr>
        <w:t>can be</w:t>
      </w:r>
      <w:r w:rsidR="0004563B">
        <w:rPr>
          <w:rFonts w:cstheme="minorHAnsi"/>
        </w:rPr>
        <w:t xml:space="preserve"> significantly impaired by memory loss associated with the passage of time and changes in how and why policy is made. </w:t>
      </w:r>
      <w:r w:rsidR="007B18C9">
        <w:rPr>
          <w:rFonts w:cstheme="minorHAnsi"/>
        </w:rPr>
        <w:t>Diminishing</w:t>
      </w:r>
      <w:r w:rsidR="007B18C9" w:rsidRPr="00E262B3">
        <w:rPr>
          <w:rFonts w:cstheme="minorHAnsi"/>
        </w:rPr>
        <w:t xml:space="preserve"> institutional </w:t>
      </w:r>
      <w:r w:rsidR="007B18C9">
        <w:rPr>
          <w:rFonts w:cstheme="minorHAnsi"/>
        </w:rPr>
        <w:t xml:space="preserve">and personal </w:t>
      </w:r>
      <w:r w:rsidR="007B18C9" w:rsidRPr="00E262B3">
        <w:rPr>
          <w:rFonts w:cstheme="minorHAnsi"/>
        </w:rPr>
        <w:t>memor</w:t>
      </w:r>
      <w:r w:rsidR="007B18C9">
        <w:rPr>
          <w:rFonts w:cstheme="minorHAnsi"/>
        </w:rPr>
        <w:t xml:space="preserve">ies, and the revision of mechanisms to promote recollection, can significantly degrade the capacity to analyse past policy interventions. </w:t>
      </w:r>
      <w:r w:rsidR="00016CAF">
        <w:rPr>
          <w:rFonts w:cstheme="minorHAnsi"/>
        </w:rPr>
        <w:t>We have argued however, that i</w:t>
      </w:r>
      <w:r w:rsidR="0004563B">
        <w:rPr>
          <w:rFonts w:cstheme="minorHAnsi"/>
        </w:rPr>
        <w:t xml:space="preserve">nstitutional amnesia is compounded by policy myopia, whereby policy actors fail to </w:t>
      </w:r>
      <w:r w:rsidR="00FA4E6A">
        <w:rPr>
          <w:rFonts w:cstheme="minorHAnsi"/>
        </w:rPr>
        <w:t xml:space="preserve">examine the lessons of the past and do not build into </w:t>
      </w:r>
      <w:r w:rsidR="0004563B">
        <w:rPr>
          <w:rFonts w:cstheme="minorHAnsi"/>
        </w:rPr>
        <w:t xml:space="preserve">policy </w:t>
      </w:r>
      <w:r w:rsidR="00FA4E6A">
        <w:rPr>
          <w:rFonts w:cstheme="minorHAnsi"/>
        </w:rPr>
        <w:t xml:space="preserve">methods of evaluation </w:t>
      </w:r>
      <w:r w:rsidR="00BC6E83">
        <w:rPr>
          <w:rFonts w:cstheme="minorHAnsi"/>
        </w:rPr>
        <w:t xml:space="preserve">of benefit to </w:t>
      </w:r>
      <w:r w:rsidR="00FA4E6A">
        <w:rPr>
          <w:rFonts w:cstheme="minorHAnsi"/>
        </w:rPr>
        <w:t xml:space="preserve">future </w:t>
      </w:r>
      <w:proofErr w:type="gramStart"/>
      <w:r w:rsidR="0004563B">
        <w:rPr>
          <w:rFonts w:cstheme="minorHAnsi"/>
        </w:rPr>
        <w:t>policy-makers</w:t>
      </w:r>
      <w:proofErr w:type="gramEnd"/>
      <w:r w:rsidR="0004563B">
        <w:rPr>
          <w:rFonts w:cstheme="minorHAnsi"/>
        </w:rPr>
        <w:t xml:space="preserve">. The intersectionality of institutional amnesia and policy myopia has not as yet been </w:t>
      </w:r>
      <w:r w:rsidR="00016CAF">
        <w:rPr>
          <w:rFonts w:cstheme="minorHAnsi"/>
        </w:rPr>
        <w:t>recognised but</w:t>
      </w:r>
      <w:r w:rsidR="0004563B">
        <w:rPr>
          <w:rFonts w:cstheme="minorHAnsi"/>
        </w:rPr>
        <w:t xml:space="preserve"> </w:t>
      </w:r>
      <w:r w:rsidR="00016CAF">
        <w:rPr>
          <w:rFonts w:cstheme="minorHAnsi"/>
        </w:rPr>
        <w:t>is</w:t>
      </w:r>
      <w:r w:rsidR="0004563B">
        <w:rPr>
          <w:rFonts w:cstheme="minorHAnsi"/>
        </w:rPr>
        <w:t xml:space="preserve"> evident in </w:t>
      </w:r>
      <w:proofErr w:type="gramStart"/>
      <w:r w:rsidR="00855EBE">
        <w:rPr>
          <w:rFonts w:cstheme="minorHAnsi"/>
        </w:rPr>
        <w:t>policy-making</w:t>
      </w:r>
      <w:proofErr w:type="gramEnd"/>
      <w:r w:rsidR="00855EBE">
        <w:rPr>
          <w:rFonts w:cstheme="minorHAnsi"/>
        </w:rPr>
        <w:t xml:space="preserve"> focused on</w:t>
      </w:r>
      <w:r w:rsidR="0004563B">
        <w:rPr>
          <w:rFonts w:cstheme="minorHAnsi"/>
        </w:rPr>
        <w:t xml:space="preserve"> </w:t>
      </w:r>
      <w:r w:rsidR="00016CAF">
        <w:rPr>
          <w:rFonts w:cstheme="minorHAnsi"/>
        </w:rPr>
        <w:t xml:space="preserve">reform of </w:t>
      </w:r>
      <w:r w:rsidR="0004563B">
        <w:rPr>
          <w:rFonts w:cstheme="minorHAnsi"/>
        </w:rPr>
        <w:t>the age of enfranchisement over the past sixty years</w:t>
      </w:r>
      <w:r w:rsidR="00942923">
        <w:rPr>
          <w:rFonts w:cstheme="minorHAnsi"/>
        </w:rPr>
        <w:t>.</w:t>
      </w:r>
      <w:r w:rsidR="00A46CBD">
        <w:rPr>
          <w:rFonts w:cstheme="minorHAnsi"/>
        </w:rPr>
        <w:t xml:space="preserve"> </w:t>
      </w:r>
      <w:r w:rsidR="00016CAF">
        <w:rPr>
          <w:rFonts w:cstheme="minorHAnsi"/>
        </w:rPr>
        <w:t xml:space="preserve">By </w:t>
      </w:r>
      <w:r w:rsidR="005878DB">
        <w:rPr>
          <w:rFonts w:cstheme="minorHAnsi"/>
        </w:rPr>
        <w:t>acknowledging the interconnections between institutional amnesia and policy myopia</w:t>
      </w:r>
      <w:r w:rsidR="00016CAF">
        <w:rPr>
          <w:rFonts w:cstheme="minorHAnsi"/>
        </w:rPr>
        <w:t>, our article</w:t>
      </w:r>
      <w:r w:rsidR="005878DB">
        <w:rPr>
          <w:rFonts w:cstheme="minorHAnsi"/>
        </w:rPr>
        <w:t xml:space="preserve"> reveal</w:t>
      </w:r>
      <w:r w:rsidR="00016CAF">
        <w:rPr>
          <w:rFonts w:cstheme="minorHAnsi"/>
        </w:rPr>
        <w:t>s</w:t>
      </w:r>
      <w:r w:rsidR="005878DB">
        <w:rPr>
          <w:rFonts w:cstheme="minorHAnsi"/>
        </w:rPr>
        <w:t xml:space="preserve"> that policy memory and policy learning are strongly shaped by the processes of remembering and forgetting. </w:t>
      </w:r>
    </w:p>
    <w:p w14:paraId="19009BF3" w14:textId="3B4136BF" w:rsidR="001E097B" w:rsidRDefault="00016CAF" w:rsidP="00161109">
      <w:pPr>
        <w:spacing w:line="360" w:lineRule="auto"/>
        <w:jc w:val="both"/>
        <w:rPr>
          <w:rFonts w:cstheme="minorHAnsi"/>
        </w:rPr>
      </w:pPr>
      <w:r>
        <w:rPr>
          <w:rFonts w:eastAsia="Times New Roman" w:cstheme="minorHAnsi"/>
          <w:color w:val="000000"/>
          <w:bdr w:val="none" w:sz="0" w:space="0" w:color="auto" w:frame="1"/>
          <w:lang w:eastAsia="en-GB"/>
        </w:rPr>
        <w:t xml:space="preserve">The case of ‘Votes-at-18’ highlights that </w:t>
      </w:r>
      <w:r w:rsidR="007B18C9">
        <w:rPr>
          <w:rFonts w:eastAsia="Times New Roman" w:cstheme="minorHAnsi"/>
          <w:color w:val="000000"/>
          <w:bdr w:val="none" w:sz="0" w:space="0" w:color="auto" w:frame="1"/>
          <w:lang w:eastAsia="en-GB"/>
        </w:rPr>
        <w:t xml:space="preserve">institutional amnesia and </w:t>
      </w:r>
      <w:r>
        <w:rPr>
          <w:rFonts w:eastAsia="Times New Roman" w:cstheme="minorHAnsi"/>
          <w:color w:val="000000"/>
          <w:bdr w:val="none" w:sz="0" w:space="0" w:color="auto" w:frame="1"/>
          <w:lang w:eastAsia="en-GB"/>
        </w:rPr>
        <w:t xml:space="preserve">policy </w:t>
      </w:r>
      <w:r w:rsidRPr="00B3046C">
        <w:rPr>
          <w:rFonts w:eastAsia="Times New Roman" w:cstheme="minorHAnsi"/>
          <w:color w:val="000000"/>
          <w:bdr w:val="none" w:sz="0" w:space="0" w:color="auto" w:frame="1"/>
          <w:lang w:eastAsia="en-GB"/>
        </w:rPr>
        <w:t xml:space="preserve">myopia can co-exist </w:t>
      </w:r>
      <w:r w:rsidR="001E097B">
        <w:rPr>
          <w:rFonts w:eastAsia="Times New Roman" w:cstheme="minorHAnsi"/>
          <w:color w:val="000000"/>
          <w:bdr w:val="none" w:sz="0" w:space="0" w:color="auto" w:frame="1"/>
          <w:lang w:eastAsia="en-GB"/>
        </w:rPr>
        <w:t>in supporting</w:t>
      </w:r>
      <w:r w:rsidR="007B18C9">
        <w:rPr>
          <w:rFonts w:eastAsia="Times New Roman" w:cstheme="minorHAnsi"/>
          <w:color w:val="000000"/>
          <w:bdr w:val="none" w:sz="0" w:space="0" w:color="auto" w:frame="1"/>
          <w:lang w:eastAsia="en-GB"/>
        </w:rPr>
        <w:t xml:space="preserve"> </w:t>
      </w:r>
      <w:r w:rsidR="005E5A37">
        <w:rPr>
          <w:rFonts w:eastAsia="Times New Roman" w:cstheme="minorHAnsi"/>
          <w:color w:val="000000"/>
          <w:bdr w:val="none" w:sz="0" w:space="0" w:color="auto" w:frame="1"/>
          <w:lang w:eastAsia="en-GB"/>
        </w:rPr>
        <w:t xml:space="preserve">policy-making </w:t>
      </w:r>
      <w:r w:rsidR="007B18C9">
        <w:rPr>
          <w:rFonts w:eastAsia="Times New Roman" w:cstheme="minorHAnsi"/>
          <w:color w:val="000000"/>
          <w:bdr w:val="none" w:sz="0" w:space="0" w:color="auto" w:frame="1"/>
          <w:lang w:eastAsia="en-GB"/>
        </w:rPr>
        <w:t>narrative</w:t>
      </w:r>
      <w:r w:rsidR="005E5A37">
        <w:rPr>
          <w:rFonts w:eastAsia="Times New Roman" w:cstheme="minorHAnsi"/>
          <w:color w:val="000000"/>
          <w:bdr w:val="none" w:sz="0" w:space="0" w:color="auto" w:frame="1"/>
          <w:lang w:eastAsia="en-GB"/>
        </w:rPr>
        <w:t>s</w:t>
      </w:r>
      <w:r w:rsidR="007B18C9">
        <w:rPr>
          <w:rFonts w:eastAsia="Times New Roman" w:cstheme="minorHAnsi"/>
          <w:color w:val="000000"/>
          <w:bdr w:val="none" w:sz="0" w:space="0" w:color="auto" w:frame="1"/>
          <w:lang w:eastAsia="en-GB"/>
        </w:rPr>
        <w:t xml:space="preserve"> whereby a </w:t>
      </w:r>
      <w:r w:rsidRPr="00B3046C">
        <w:rPr>
          <w:rFonts w:eastAsia="Times New Roman" w:cstheme="minorHAnsi"/>
          <w:color w:val="000000"/>
          <w:bdr w:val="none" w:sz="0" w:space="0" w:color="auto" w:frame="1"/>
          <w:lang w:eastAsia="en-GB"/>
        </w:rPr>
        <w:t>policy</w:t>
      </w:r>
      <w:r w:rsidR="007B18C9">
        <w:rPr>
          <w:rFonts w:eastAsia="Times New Roman" w:cstheme="minorHAnsi"/>
          <w:color w:val="000000"/>
          <w:bdr w:val="none" w:sz="0" w:space="0" w:color="auto" w:frame="1"/>
          <w:lang w:eastAsia="en-GB"/>
        </w:rPr>
        <w:t xml:space="preserve"> is accepted and viewed as a success, even </w:t>
      </w:r>
      <w:r w:rsidRPr="00B3046C">
        <w:rPr>
          <w:rFonts w:eastAsia="Times New Roman" w:cstheme="minorHAnsi"/>
          <w:color w:val="000000"/>
          <w:bdr w:val="none" w:sz="0" w:space="0" w:color="auto" w:frame="1"/>
          <w:lang w:eastAsia="en-GB"/>
        </w:rPr>
        <w:t xml:space="preserve">though </w:t>
      </w:r>
      <w:r w:rsidR="007B18C9">
        <w:rPr>
          <w:rFonts w:eastAsia="Times New Roman" w:cstheme="minorHAnsi"/>
          <w:color w:val="000000"/>
          <w:bdr w:val="none" w:sz="0" w:space="0" w:color="auto" w:frame="1"/>
          <w:lang w:eastAsia="en-GB"/>
        </w:rPr>
        <w:t>some policy impacts are more</w:t>
      </w:r>
      <w:r w:rsidRPr="00B3046C">
        <w:rPr>
          <w:rFonts w:eastAsia="Times New Roman" w:cstheme="minorHAnsi"/>
          <w:color w:val="000000"/>
          <w:bdr w:val="none" w:sz="0" w:space="0" w:color="auto" w:frame="1"/>
          <w:lang w:eastAsia="en-GB"/>
        </w:rPr>
        <w:t xml:space="preserve"> commonly associated with policy failure</w:t>
      </w:r>
      <w:r w:rsidR="00434E67">
        <w:rPr>
          <w:rFonts w:cstheme="minorHAnsi"/>
        </w:rPr>
        <w:t>. P</w:t>
      </w:r>
      <w:r w:rsidR="00A939D0">
        <w:rPr>
          <w:rFonts w:cstheme="minorHAnsi"/>
        </w:rPr>
        <w:t>olicy actors and institutions</w:t>
      </w:r>
      <w:r w:rsidR="003245EC">
        <w:rPr>
          <w:rFonts w:cstheme="minorHAnsi"/>
        </w:rPr>
        <w:t>, and the public,</w:t>
      </w:r>
      <w:r w:rsidR="00A939D0">
        <w:rPr>
          <w:rFonts w:cstheme="minorHAnsi"/>
        </w:rPr>
        <w:t xml:space="preserve"> </w:t>
      </w:r>
      <w:r w:rsidR="00BF067F">
        <w:rPr>
          <w:rFonts w:cstheme="minorHAnsi"/>
        </w:rPr>
        <w:t>have often</w:t>
      </w:r>
      <w:r w:rsidR="00A939D0">
        <w:rPr>
          <w:rFonts w:cstheme="minorHAnsi"/>
        </w:rPr>
        <w:t xml:space="preserve"> laud</w:t>
      </w:r>
      <w:r w:rsidR="00BF067F">
        <w:rPr>
          <w:rFonts w:cstheme="minorHAnsi"/>
        </w:rPr>
        <w:t>ed</w:t>
      </w:r>
      <w:r w:rsidR="00A939D0">
        <w:rPr>
          <w:rFonts w:cstheme="minorHAnsi"/>
        </w:rPr>
        <w:t xml:space="preserve"> the significance</w:t>
      </w:r>
      <w:r w:rsidR="008F0429">
        <w:rPr>
          <w:rFonts w:cstheme="minorHAnsi"/>
        </w:rPr>
        <w:t xml:space="preserve"> of</w:t>
      </w:r>
      <w:r w:rsidR="00A939D0">
        <w:rPr>
          <w:rFonts w:cstheme="minorHAnsi"/>
        </w:rPr>
        <w:t xml:space="preserve"> lowering the voting age to 18 as an exemplar of the progressive development of British democracy. </w:t>
      </w:r>
      <w:r w:rsidR="003245EC">
        <w:rPr>
          <w:rFonts w:cstheme="minorHAnsi"/>
        </w:rPr>
        <w:t xml:space="preserve">In this sense, we can judge ‘Votes-at-18’ a policy success. </w:t>
      </w:r>
      <w:r w:rsidR="00BF067F">
        <w:rPr>
          <w:color w:val="000000" w:themeColor="text1"/>
        </w:rPr>
        <w:t>We</w:t>
      </w:r>
      <w:r w:rsidR="001522A5">
        <w:rPr>
          <w:color w:val="000000" w:themeColor="text1"/>
        </w:rPr>
        <w:t xml:space="preserve"> argue </w:t>
      </w:r>
      <w:r w:rsidR="00A939D0">
        <w:rPr>
          <w:color w:val="000000" w:themeColor="text1"/>
        </w:rPr>
        <w:t xml:space="preserve">however </w:t>
      </w:r>
      <w:r w:rsidR="001522A5">
        <w:rPr>
          <w:color w:val="000000" w:themeColor="text1"/>
        </w:rPr>
        <w:t>that the</w:t>
      </w:r>
      <w:r w:rsidR="001B4AA3" w:rsidRPr="00E262B3">
        <w:rPr>
          <w:color w:val="000000" w:themeColor="text1"/>
        </w:rPr>
        <w:t xml:space="preserve"> decision to the lower the voting age to 18 pass</w:t>
      </w:r>
      <w:r w:rsidR="00BF067F">
        <w:rPr>
          <w:color w:val="000000" w:themeColor="text1"/>
        </w:rPr>
        <w:t>ed</w:t>
      </w:r>
      <w:r w:rsidR="001B4AA3" w:rsidRPr="00E262B3">
        <w:rPr>
          <w:color w:val="000000" w:themeColor="text1"/>
        </w:rPr>
        <w:t xml:space="preserve"> </w:t>
      </w:r>
      <w:r w:rsidR="001B4AA3" w:rsidRPr="00E262B3">
        <w:rPr>
          <w:color w:val="000000" w:themeColor="text1"/>
        </w:rPr>
        <w:lastRenderedPageBreak/>
        <w:t xml:space="preserve">from memory to history without any attempts to </w:t>
      </w:r>
      <w:r w:rsidR="0065675B" w:rsidRPr="00E262B3">
        <w:rPr>
          <w:color w:val="000000" w:themeColor="text1"/>
        </w:rPr>
        <w:t xml:space="preserve">systematically </w:t>
      </w:r>
      <w:r w:rsidR="001B4AA3" w:rsidRPr="00E262B3">
        <w:rPr>
          <w:color w:val="000000" w:themeColor="text1"/>
        </w:rPr>
        <w:t>undertake policy learning</w:t>
      </w:r>
      <w:r w:rsidR="00200C95">
        <w:rPr>
          <w:color w:val="000000" w:themeColor="text1"/>
        </w:rPr>
        <w:t xml:space="preserve"> from that decision</w:t>
      </w:r>
      <w:r w:rsidR="001E097B">
        <w:rPr>
          <w:rFonts w:cstheme="minorHAnsi"/>
        </w:rPr>
        <w:t xml:space="preserve"> in </w:t>
      </w:r>
      <w:r w:rsidR="005878DB" w:rsidRPr="00E262B3">
        <w:rPr>
          <w:rFonts w:cstheme="minorHAnsi"/>
        </w:rPr>
        <w:t>a systemic, transparent, critical, and cognitive manner</w:t>
      </w:r>
      <w:r w:rsidR="005878DB">
        <w:rPr>
          <w:rFonts w:cstheme="minorHAnsi"/>
        </w:rPr>
        <w:t xml:space="preserve">. The failure to establish formal </w:t>
      </w:r>
      <w:r w:rsidR="005878DB" w:rsidRPr="00E262B3">
        <w:rPr>
          <w:rFonts w:cstheme="minorHAnsi"/>
        </w:rPr>
        <w:t xml:space="preserve">policy feedback ‘loops’ </w:t>
      </w:r>
      <w:r w:rsidR="005878DB">
        <w:rPr>
          <w:rFonts w:cstheme="minorHAnsi"/>
        </w:rPr>
        <w:t>after</w:t>
      </w:r>
      <w:r w:rsidR="005878DB" w:rsidRPr="00E262B3">
        <w:rPr>
          <w:rFonts w:cstheme="minorHAnsi"/>
        </w:rPr>
        <w:t xml:space="preserve"> 1969</w:t>
      </w:r>
      <w:r w:rsidR="005878DB">
        <w:rPr>
          <w:rFonts w:cstheme="minorHAnsi"/>
        </w:rPr>
        <w:t xml:space="preserve"> has meant that </w:t>
      </w:r>
      <w:r w:rsidR="005878DB" w:rsidRPr="00E262B3">
        <w:rPr>
          <w:rFonts w:cstheme="minorHAnsi"/>
        </w:rPr>
        <w:t xml:space="preserve">early indications that voting age reform had had </w:t>
      </w:r>
      <w:r w:rsidR="005878DB">
        <w:rPr>
          <w:rFonts w:cstheme="minorHAnsi"/>
        </w:rPr>
        <w:t>diverse</w:t>
      </w:r>
      <w:r w:rsidR="005878DB" w:rsidRPr="00E262B3">
        <w:rPr>
          <w:rFonts w:cstheme="minorHAnsi"/>
        </w:rPr>
        <w:t xml:space="preserve"> impacts on youth electoral turnout and political engagement were not identified. </w:t>
      </w:r>
      <w:r w:rsidR="005878DB">
        <w:rPr>
          <w:rFonts w:cstheme="minorHAnsi"/>
        </w:rPr>
        <w:t>O</w:t>
      </w:r>
      <w:r w:rsidR="005878DB" w:rsidRPr="00E262B3">
        <w:rPr>
          <w:rFonts w:cstheme="minorHAnsi"/>
        </w:rPr>
        <w:t xml:space="preserve">nly when the steady decline in youth political participation reached crisis point </w:t>
      </w:r>
      <w:r w:rsidR="005878DB">
        <w:rPr>
          <w:rFonts w:cstheme="minorHAnsi"/>
        </w:rPr>
        <w:t>by the late 1990s did</w:t>
      </w:r>
      <w:r w:rsidR="005878DB" w:rsidRPr="00E262B3">
        <w:rPr>
          <w:rFonts w:cstheme="minorHAnsi"/>
        </w:rPr>
        <w:t xml:space="preserve"> policy actors respond with </w:t>
      </w:r>
      <w:r w:rsidR="005878DB">
        <w:rPr>
          <w:rFonts w:cstheme="minorHAnsi"/>
        </w:rPr>
        <w:t xml:space="preserve">a </w:t>
      </w:r>
      <w:r w:rsidR="005878DB" w:rsidRPr="00E262B3">
        <w:rPr>
          <w:rFonts w:cstheme="minorHAnsi"/>
        </w:rPr>
        <w:t xml:space="preserve">patchwork </w:t>
      </w:r>
      <w:r w:rsidR="005878DB">
        <w:rPr>
          <w:rFonts w:cstheme="minorHAnsi"/>
        </w:rPr>
        <w:t xml:space="preserve">of </w:t>
      </w:r>
      <w:r w:rsidR="005878DB" w:rsidRPr="00E262B3">
        <w:rPr>
          <w:rFonts w:cstheme="minorHAnsi"/>
        </w:rPr>
        <w:t xml:space="preserve">policy interventions, </w:t>
      </w:r>
      <w:r w:rsidR="001E097B">
        <w:rPr>
          <w:rFonts w:cstheme="minorHAnsi"/>
        </w:rPr>
        <w:t>particularly</w:t>
      </w:r>
      <w:r w:rsidR="005878DB" w:rsidRPr="00E262B3">
        <w:rPr>
          <w:rFonts w:cstheme="minorHAnsi"/>
        </w:rPr>
        <w:t xml:space="preserve"> the introduction of citizenship education</w:t>
      </w:r>
      <w:r w:rsidR="005878DB">
        <w:rPr>
          <w:rFonts w:cstheme="minorHAnsi"/>
        </w:rPr>
        <w:t xml:space="preserve">. </w:t>
      </w:r>
    </w:p>
    <w:p w14:paraId="7511801D" w14:textId="77777777" w:rsidR="00B93B8E" w:rsidRDefault="00F83FC4" w:rsidP="00161109">
      <w:pPr>
        <w:spacing w:line="360" w:lineRule="auto"/>
        <w:jc w:val="both"/>
        <w:rPr>
          <w:rFonts w:cstheme="minorHAnsi"/>
        </w:rPr>
      </w:pPr>
      <w:r>
        <w:rPr>
          <w:rFonts w:cstheme="minorHAnsi"/>
        </w:rPr>
        <w:t>It appears somewhat counter-intuitive that</w:t>
      </w:r>
      <w:r w:rsidRPr="00E262B3">
        <w:rPr>
          <w:rFonts w:cstheme="minorHAnsi"/>
        </w:rPr>
        <w:t xml:space="preserve"> an increasing number of governmental and non-governmental policy actors</w:t>
      </w:r>
      <w:r>
        <w:rPr>
          <w:rFonts w:cstheme="minorHAnsi"/>
        </w:rPr>
        <w:t xml:space="preserve"> have sought to address</w:t>
      </w:r>
      <w:r w:rsidRPr="00E262B3">
        <w:rPr>
          <w:rFonts w:cstheme="minorHAnsi"/>
        </w:rPr>
        <w:t xml:space="preserve"> mass youth </w:t>
      </w:r>
      <w:r>
        <w:rPr>
          <w:rFonts w:cstheme="minorHAnsi"/>
        </w:rPr>
        <w:t xml:space="preserve">electoral </w:t>
      </w:r>
      <w:r w:rsidRPr="00E262B3">
        <w:rPr>
          <w:rFonts w:cstheme="minorHAnsi"/>
        </w:rPr>
        <w:t xml:space="preserve">abstention </w:t>
      </w:r>
      <w:r>
        <w:rPr>
          <w:rFonts w:cstheme="minorHAnsi"/>
        </w:rPr>
        <w:t>by</w:t>
      </w:r>
      <w:r w:rsidRPr="00E262B3">
        <w:rPr>
          <w:rFonts w:cstheme="minorHAnsi"/>
        </w:rPr>
        <w:t xml:space="preserve"> campaign</w:t>
      </w:r>
      <w:r>
        <w:rPr>
          <w:rFonts w:cstheme="minorHAnsi"/>
        </w:rPr>
        <w:t>ing</w:t>
      </w:r>
      <w:r w:rsidRPr="00E262B3">
        <w:rPr>
          <w:rFonts w:cstheme="minorHAnsi"/>
        </w:rPr>
        <w:t xml:space="preserve"> for further voting age reform</w:t>
      </w:r>
      <w:r>
        <w:rPr>
          <w:rFonts w:cstheme="minorHAnsi"/>
        </w:rPr>
        <w:t xml:space="preserve"> without considering the effects of previous policy interventions</w:t>
      </w:r>
      <w:r w:rsidRPr="00E262B3">
        <w:rPr>
          <w:rFonts w:cstheme="minorHAnsi"/>
        </w:rPr>
        <w:t xml:space="preserve">. </w:t>
      </w:r>
      <w:r>
        <w:rPr>
          <w:rFonts w:cstheme="minorHAnsi"/>
        </w:rPr>
        <w:t xml:space="preserve">There are </w:t>
      </w:r>
      <w:r w:rsidR="00E10CCC">
        <w:rPr>
          <w:rFonts w:cstheme="minorHAnsi"/>
        </w:rPr>
        <w:t>several</w:t>
      </w:r>
      <w:r>
        <w:rPr>
          <w:rFonts w:cstheme="minorHAnsi"/>
        </w:rPr>
        <w:t xml:space="preserve"> ‘lessons from 1969’ which are of value to supporters and opponents of lowering the voting age to 16, even if </w:t>
      </w:r>
      <w:r w:rsidRPr="00E262B3">
        <w:rPr>
          <w:rFonts w:cstheme="minorHAnsi"/>
        </w:rPr>
        <w:t xml:space="preserve">circumstances informing the deliberations in the late 1960s </w:t>
      </w:r>
      <w:r>
        <w:rPr>
          <w:rFonts w:cstheme="minorHAnsi"/>
        </w:rPr>
        <w:t>are</w:t>
      </w:r>
      <w:r w:rsidRPr="00E262B3">
        <w:rPr>
          <w:rFonts w:cstheme="minorHAnsi"/>
        </w:rPr>
        <w:t xml:space="preserve"> not entirely replicated</w:t>
      </w:r>
      <w:r>
        <w:rPr>
          <w:rFonts w:cstheme="minorHAnsi"/>
        </w:rPr>
        <w:t xml:space="preserve">. Proponents must </w:t>
      </w:r>
      <w:r w:rsidR="00E10CCC">
        <w:rPr>
          <w:rFonts w:cstheme="minorHAnsi"/>
        </w:rPr>
        <w:t xml:space="preserve">acknowledge there are two </w:t>
      </w:r>
      <w:r w:rsidR="00B93B8E">
        <w:rPr>
          <w:rFonts w:cstheme="minorHAnsi"/>
        </w:rPr>
        <w:t>significant</w:t>
      </w:r>
      <w:r w:rsidR="00E10CCC">
        <w:rPr>
          <w:rFonts w:cstheme="minorHAnsi"/>
        </w:rPr>
        <w:t xml:space="preserve"> ‘lessons of 1969’ which must be </w:t>
      </w:r>
      <w:r w:rsidR="005D2A9F">
        <w:rPr>
          <w:rFonts w:cstheme="minorHAnsi"/>
        </w:rPr>
        <w:t>addressed</w:t>
      </w:r>
      <w:r>
        <w:rPr>
          <w:rFonts w:cstheme="minorHAnsi"/>
        </w:rPr>
        <w:t xml:space="preserve"> to enhance policy success and establish widespread political and public support for ‘Votes-at-16’</w:t>
      </w:r>
      <w:r w:rsidR="00621C60">
        <w:rPr>
          <w:rFonts w:cstheme="minorHAnsi"/>
        </w:rPr>
        <w:t>.</w:t>
      </w:r>
      <w:r w:rsidR="005E5A37">
        <w:rPr>
          <w:rFonts w:cstheme="minorHAnsi"/>
        </w:rPr>
        <w:t xml:space="preserve"> </w:t>
      </w:r>
      <w:r w:rsidR="005878DB">
        <w:rPr>
          <w:rFonts w:cstheme="minorHAnsi"/>
        </w:rPr>
        <w:t>First,</w:t>
      </w:r>
      <w:r w:rsidR="006200FA">
        <w:rPr>
          <w:rFonts w:cstheme="minorHAnsi"/>
        </w:rPr>
        <w:t xml:space="preserve"> </w:t>
      </w:r>
      <w:r w:rsidR="005878DB">
        <w:rPr>
          <w:rFonts w:cstheme="minorHAnsi"/>
        </w:rPr>
        <w:t>it</w:t>
      </w:r>
      <w:r w:rsidR="006200FA">
        <w:rPr>
          <w:rFonts w:cstheme="minorHAnsi"/>
        </w:rPr>
        <w:t xml:space="preserve"> is vital </w:t>
      </w:r>
      <w:r w:rsidR="007D510E">
        <w:rPr>
          <w:rFonts w:cstheme="minorHAnsi"/>
        </w:rPr>
        <w:t xml:space="preserve">that voting age reform is matched by </w:t>
      </w:r>
      <w:r w:rsidR="00895795">
        <w:rPr>
          <w:rFonts w:cstheme="minorHAnsi"/>
        </w:rPr>
        <w:t>adequate</w:t>
      </w:r>
      <w:r w:rsidR="00621C60">
        <w:rPr>
          <w:rFonts w:cstheme="minorHAnsi"/>
        </w:rPr>
        <w:t>, appropriate,</w:t>
      </w:r>
      <w:r w:rsidR="00225C1F">
        <w:rPr>
          <w:rFonts w:cstheme="minorHAnsi"/>
        </w:rPr>
        <w:t xml:space="preserve"> and </w:t>
      </w:r>
      <w:r w:rsidR="00621C60">
        <w:rPr>
          <w:rFonts w:cstheme="minorHAnsi"/>
        </w:rPr>
        <w:t>universal</w:t>
      </w:r>
      <w:r w:rsidR="00895795">
        <w:rPr>
          <w:rFonts w:cstheme="minorHAnsi"/>
        </w:rPr>
        <w:t xml:space="preserve"> provision of </w:t>
      </w:r>
      <w:r w:rsidR="006200FA">
        <w:rPr>
          <w:rFonts w:cstheme="minorHAnsi"/>
        </w:rPr>
        <w:t>democratic</w:t>
      </w:r>
      <w:r w:rsidR="00895795">
        <w:rPr>
          <w:rFonts w:cstheme="minorHAnsi"/>
        </w:rPr>
        <w:t xml:space="preserve"> education for newly enfranchised vote</w:t>
      </w:r>
      <w:r w:rsidR="00FA3C76">
        <w:rPr>
          <w:rFonts w:cstheme="minorHAnsi"/>
        </w:rPr>
        <w:t>r</w:t>
      </w:r>
      <w:r w:rsidR="00895795">
        <w:rPr>
          <w:rFonts w:cstheme="minorHAnsi"/>
        </w:rPr>
        <w:t>s</w:t>
      </w:r>
      <w:r w:rsidR="005878DB">
        <w:rPr>
          <w:rFonts w:cstheme="minorHAnsi"/>
        </w:rPr>
        <w:t xml:space="preserve">. </w:t>
      </w:r>
      <w:r w:rsidR="00621C60">
        <w:rPr>
          <w:rFonts w:cstheme="minorHAnsi"/>
        </w:rPr>
        <w:t xml:space="preserve">The democratic socialisation of young people is proven to enhance the potential for lifelong voting and civic engagement but has been overlooked thus far where ‘Votes-at-16’ has been in introduced. </w:t>
      </w:r>
    </w:p>
    <w:p w14:paraId="79EAAEDB" w14:textId="5A6F0C16" w:rsidR="00B93B8E" w:rsidRDefault="005878DB" w:rsidP="00161109">
      <w:pPr>
        <w:spacing w:line="360" w:lineRule="auto"/>
        <w:jc w:val="both"/>
        <w:rPr>
          <w:rFonts w:cstheme="minorHAnsi"/>
        </w:rPr>
      </w:pPr>
      <w:r>
        <w:rPr>
          <w:rFonts w:cstheme="minorHAnsi"/>
        </w:rPr>
        <w:t>Second,</w:t>
      </w:r>
      <w:r w:rsidR="005D550F">
        <w:rPr>
          <w:rFonts w:cstheme="minorHAnsi"/>
        </w:rPr>
        <w:t xml:space="preserve"> franchise</w:t>
      </w:r>
      <w:r w:rsidR="00CE28BE">
        <w:rPr>
          <w:rFonts w:cstheme="minorHAnsi"/>
        </w:rPr>
        <w:t xml:space="preserve"> reform </w:t>
      </w:r>
      <w:r>
        <w:rPr>
          <w:rFonts w:cstheme="minorHAnsi"/>
        </w:rPr>
        <w:t xml:space="preserve">needs to be undertaken in a manner which </w:t>
      </w:r>
      <w:r w:rsidR="00EB0287">
        <w:rPr>
          <w:rFonts w:cstheme="minorHAnsi"/>
        </w:rPr>
        <w:t>engages with and is</w:t>
      </w:r>
      <w:r>
        <w:rPr>
          <w:rFonts w:cstheme="minorHAnsi"/>
        </w:rPr>
        <w:t xml:space="preserve"> sympathetic </w:t>
      </w:r>
      <w:r w:rsidR="00EB0287">
        <w:rPr>
          <w:rFonts w:cstheme="minorHAnsi"/>
        </w:rPr>
        <w:t>to</w:t>
      </w:r>
      <w:r>
        <w:rPr>
          <w:rFonts w:cstheme="minorHAnsi"/>
        </w:rPr>
        <w:t xml:space="preserve"> </w:t>
      </w:r>
      <w:r w:rsidR="00CE28BE">
        <w:rPr>
          <w:rFonts w:cstheme="minorHAnsi"/>
        </w:rPr>
        <w:t xml:space="preserve">the wider ecology of </w:t>
      </w:r>
      <w:r w:rsidR="005D550F">
        <w:rPr>
          <w:rFonts w:cstheme="minorHAnsi"/>
        </w:rPr>
        <w:t xml:space="preserve">young people’s </w:t>
      </w:r>
      <w:r w:rsidR="003E113F">
        <w:rPr>
          <w:rFonts w:cstheme="minorHAnsi"/>
        </w:rPr>
        <w:t xml:space="preserve">transitions to adulthood. </w:t>
      </w:r>
      <w:r w:rsidR="00621C60">
        <w:rPr>
          <w:rFonts w:cstheme="minorHAnsi"/>
        </w:rPr>
        <w:t xml:space="preserve">Debates about ‘Votes-at-16’ have focused on the relationship between the ages of enfranchisement and majority – often via the lens of voter maturity – without reference to the uncertainties which informed their synchronisation in 1969. </w:t>
      </w:r>
      <w:r w:rsidR="00EB0287">
        <w:rPr>
          <w:rFonts w:cstheme="minorHAnsi"/>
        </w:rPr>
        <w:t xml:space="preserve">As in the late 1960s, citizenship rights are accumulated, and adulthood is not realised at one specific age. </w:t>
      </w:r>
      <w:r w:rsidR="00B93B8E">
        <w:rPr>
          <w:rFonts w:cstheme="minorHAnsi"/>
        </w:rPr>
        <w:t xml:space="preserve">However, there is a lesson for opponents too who need to acknowledge that when voting age reform is undertaken, it is unlikely to be repealed. At present, incremental reform of the voting age to 16 means young people across the UK have asymmetric political rights due to the devolution of electoral franchise powers by Conservative governments who are formally opposed to ‘Votes-at-16’ as a policy. Opponents should accept the need to ‘level-up’ voting rights for young people in England and Northern Ireland, while continuing to debate its appropriateness for Westminster elections. </w:t>
      </w:r>
    </w:p>
    <w:p w14:paraId="40CE2581" w14:textId="4D85FD1C" w:rsidR="00B3046C" w:rsidRDefault="002F3AA5" w:rsidP="004C77DD">
      <w:pPr>
        <w:spacing w:line="360" w:lineRule="auto"/>
        <w:jc w:val="both"/>
        <w:rPr>
          <w:rFonts w:cstheme="minorHAnsi"/>
        </w:rPr>
      </w:pPr>
      <w:proofErr w:type="gramStart"/>
      <w:r w:rsidRPr="00E262B3">
        <w:rPr>
          <w:rFonts w:ascii="Calibri" w:hAnsi="Calibri"/>
        </w:rPr>
        <w:t xml:space="preserve">That </w:t>
      </w:r>
      <w:r>
        <w:rPr>
          <w:rFonts w:ascii="Calibri" w:hAnsi="Calibri"/>
        </w:rPr>
        <w:t>contemporary approaches</w:t>
      </w:r>
      <w:proofErr w:type="gramEnd"/>
      <w:r>
        <w:rPr>
          <w:rFonts w:ascii="Calibri" w:hAnsi="Calibri"/>
        </w:rPr>
        <w:t xml:space="preserve"> to voting age reform </w:t>
      </w:r>
      <w:r w:rsidRPr="00E262B3">
        <w:rPr>
          <w:rFonts w:cstheme="minorHAnsi"/>
        </w:rPr>
        <w:t xml:space="preserve">overlook </w:t>
      </w:r>
      <w:r w:rsidR="003B293F">
        <w:rPr>
          <w:rFonts w:cstheme="minorHAnsi"/>
        </w:rPr>
        <w:t>learning</w:t>
      </w:r>
      <w:r>
        <w:rPr>
          <w:rFonts w:cstheme="minorHAnsi"/>
        </w:rPr>
        <w:t xml:space="preserve"> </w:t>
      </w:r>
      <w:r w:rsidR="003B293F">
        <w:rPr>
          <w:rFonts w:cstheme="minorHAnsi"/>
        </w:rPr>
        <w:t>from</w:t>
      </w:r>
      <w:r>
        <w:rPr>
          <w:rFonts w:cstheme="minorHAnsi"/>
        </w:rPr>
        <w:t xml:space="preserve"> </w:t>
      </w:r>
      <w:r w:rsidR="005D2A9F">
        <w:rPr>
          <w:rFonts w:cstheme="minorHAnsi"/>
        </w:rPr>
        <w:t xml:space="preserve">‘Votes-at-18’ </w:t>
      </w:r>
      <w:r w:rsidRPr="00E262B3">
        <w:rPr>
          <w:rFonts w:cstheme="minorHAnsi"/>
        </w:rPr>
        <w:t>confirm</w:t>
      </w:r>
      <w:r w:rsidR="00ED15FF">
        <w:rPr>
          <w:rFonts w:cstheme="minorHAnsi"/>
        </w:rPr>
        <w:t>s</w:t>
      </w:r>
      <w:r w:rsidRPr="00E262B3">
        <w:rPr>
          <w:rFonts w:cstheme="minorHAnsi"/>
        </w:rPr>
        <w:t xml:space="preserve"> that </w:t>
      </w:r>
      <w:r>
        <w:rPr>
          <w:rFonts w:cstheme="minorHAnsi"/>
        </w:rPr>
        <w:t xml:space="preserve">institutional amnesia and policy myopia </w:t>
      </w:r>
      <w:r w:rsidR="00867EF4">
        <w:rPr>
          <w:rFonts w:ascii="Calibri" w:hAnsi="Calibri"/>
        </w:rPr>
        <w:t>are</w:t>
      </w:r>
      <w:r w:rsidRPr="00E262B3">
        <w:rPr>
          <w:rFonts w:ascii="Calibri" w:hAnsi="Calibri"/>
        </w:rPr>
        <w:t xml:space="preserve"> intimately linked with the political present </w:t>
      </w:r>
      <w:r w:rsidR="00867EF4">
        <w:rPr>
          <w:rFonts w:ascii="Calibri" w:hAnsi="Calibri"/>
        </w:rPr>
        <w:t xml:space="preserve">and can encourage policy-making </w:t>
      </w:r>
      <w:r w:rsidRPr="00E262B3">
        <w:rPr>
          <w:rFonts w:cstheme="minorHAnsi"/>
          <w:color w:val="000000" w:themeColor="text1"/>
        </w:rPr>
        <w:t xml:space="preserve">without </w:t>
      </w:r>
      <w:r w:rsidR="00867EF4">
        <w:rPr>
          <w:rFonts w:cstheme="minorHAnsi"/>
          <w:color w:val="000000" w:themeColor="text1"/>
        </w:rPr>
        <w:t>a</w:t>
      </w:r>
      <w:r w:rsidRPr="00E262B3">
        <w:rPr>
          <w:rFonts w:cstheme="minorHAnsi"/>
          <w:color w:val="000000" w:themeColor="text1"/>
        </w:rPr>
        <w:t xml:space="preserve"> deeper referent of policy </w:t>
      </w:r>
      <w:r w:rsidR="003B293F">
        <w:rPr>
          <w:rFonts w:cstheme="minorHAnsi"/>
          <w:color w:val="000000" w:themeColor="text1"/>
        </w:rPr>
        <w:t>learning</w:t>
      </w:r>
      <w:r w:rsidRPr="00E262B3">
        <w:rPr>
          <w:rFonts w:cstheme="minorHAnsi"/>
          <w:color w:val="000000" w:themeColor="text1"/>
        </w:rPr>
        <w:t>.</w:t>
      </w:r>
      <w:r>
        <w:rPr>
          <w:rFonts w:cstheme="minorHAnsi"/>
          <w:color w:val="000000" w:themeColor="text1"/>
        </w:rPr>
        <w:t xml:space="preserve"> </w:t>
      </w:r>
      <w:r>
        <w:rPr>
          <w:rFonts w:cstheme="minorHAnsi"/>
        </w:rPr>
        <w:t xml:space="preserve">We believe our thesis has value for those seeking to understand </w:t>
      </w:r>
      <w:proofErr w:type="gramStart"/>
      <w:r>
        <w:rPr>
          <w:rFonts w:cstheme="minorHAnsi"/>
        </w:rPr>
        <w:t>policy-making</w:t>
      </w:r>
      <w:proofErr w:type="gramEnd"/>
      <w:r>
        <w:rPr>
          <w:rFonts w:cstheme="minorHAnsi"/>
        </w:rPr>
        <w:t xml:space="preserve"> in areas where significant </w:t>
      </w:r>
      <w:r w:rsidR="00ED15FF">
        <w:rPr>
          <w:rFonts w:cstheme="minorHAnsi"/>
        </w:rPr>
        <w:t xml:space="preserve">policy </w:t>
      </w:r>
      <w:r>
        <w:rPr>
          <w:rFonts w:cstheme="minorHAnsi"/>
        </w:rPr>
        <w:t>change takes place</w:t>
      </w:r>
      <w:r w:rsidR="00ED15FF">
        <w:rPr>
          <w:rFonts w:cstheme="minorHAnsi"/>
        </w:rPr>
        <w:t xml:space="preserve"> </w:t>
      </w:r>
      <w:r w:rsidR="00ED15FF">
        <w:rPr>
          <w:rFonts w:cstheme="minorHAnsi"/>
        </w:rPr>
        <w:lastRenderedPageBreak/>
        <w:t xml:space="preserve">rarely and over period of time </w:t>
      </w:r>
      <w:r w:rsidR="001B4CBA">
        <w:rPr>
          <w:rFonts w:cstheme="minorHAnsi"/>
        </w:rPr>
        <w:t>often extending</w:t>
      </w:r>
      <w:r w:rsidR="00ED15FF">
        <w:rPr>
          <w:rFonts w:cstheme="minorHAnsi"/>
        </w:rPr>
        <w:t xml:space="preserve"> </w:t>
      </w:r>
      <w:r w:rsidR="001B4CBA">
        <w:rPr>
          <w:rFonts w:cstheme="minorHAnsi"/>
        </w:rPr>
        <w:t>beyond</w:t>
      </w:r>
      <w:r w:rsidR="00ED15FF">
        <w:rPr>
          <w:rFonts w:cstheme="minorHAnsi"/>
        </w:rPr>
        <w:t xml:space="preserve"> generation</w:t>
      </w:r>
      <w:r w:rsidR="001B4CBA">
        <w:rPr>
          <w:rFonts w:cstheme="minorHAnsi"/>
        </w:rPr>
        <w:t>al memory</w:t>
      </w:r>
      <w:r w:rsidR="00ED15FF">
        <w:rPr>
          <w:rFonts w:cstheme="minorHAnsi"/>
        </w:rPr>
        <w:t xml:space="preserve">, such as local property taxation (see, for example, Butler et al., 1994). </w:t>
      </w:r>
      <w:r>
        <w:rPr>
          <w:rFonts w:cstheme="minorHAnsi"/>
        </w:rPr>
        <w:t xml:space="preserve">Moreover, it can help in developing more connected approaches to </w:t>
      </w:r>
      <w:proofErr w:type="gramStart"/>
      <w:r>
        <w:rPr>
          <w:rFonts w:cstheme="minorHAnsi"/>
        </w:rPr>
        <w:t>p</w:t>
      </w:r>
      <w:r w:rsidR="00B324CB">
        <w:rPr>
          <w:rFonts w:cstheme="minorHAnsi"/>
        </w:rPr>
        <w:t>olicy-making</w:t>
      </w:r>
      <w:proofErr w:type="gramEnd"/>
      <w:r w:rsidR="00B324CB">
        <w:rPr>
          <w:rFonts w:cstheme="minorHAnsi"/>
        </w:rPr>
        <w:t xml:space="preserve"> in an increasingly devolved pluri-national </w:t>
      </w:r>
      <w:r w:rsidR="00A56654">
        <w:rPr>
          <w:rFonts w:cstheme="minorHAnsi"/>
        </w:rPr>
        <w:t xml:space="preserve">UK </w:t>
      </w:r>
      <w:r w:rsidR="00B324CB">
        <w:rPr>
          <w:rFonts w:cstheme="minorHAnsi"/>
        </w:rPr>
        <w:t xml:space="preserve">state </w:t>
      </w:r>
      <w:r>
        <w:rPr>
          <w:rFonts w:cstheme="minorHAnsi"/>
        </w:rPr>
        <w:t>where institutional amnesia and policy myopia can intersect in differing but significant ways to</w:t>
      </w:r>
      <w:r w:rsidR="00A56654">
        <w:rPr>
          <w:rFonts w:cstheme="minorHAnsi"/>
        </w:rPr>
        <w:t xml:space="preserve"> fracture or undermine completely memories </w:t>
      </w:r>
      <w:r>
        <w:rPr>
          <w:rFonts w:cstheme="minorHAnsi"/>
        </w:rPr>
        <w:t xml:space="preserve">and lessons </w:t>
      </w:r>
      <w:r w:rsidR="00A56654">
        <w:rPr>
          <w:rFonts w:cstheme="minorHAnsi"/>
        </w:rPr>
        <w:t>of past policy interventions.</w:t>
      </w:r>
      <w:r w:rsidR="00A939D0" w:rsidRPr="00A939D0">
        <w:rPr>
          <w:rFonts w:ascii="Calibri" w:hAnsi="Calibri"/>
        </w:rPr>
        <w:t xml:space="preserve"> </w:t>
      </w:r>
    </w:p>
    <w:p w14:paraId="1208A6C0" w14:textId="77777777" w:rsidR="00ED15FF" w:rsidRDefault="00ED15FF" w:rsidP="00772273">
      <w:pPr>
        <w:spacing w:line="360" w:lineRule="auto"/>
        <w:rPr>
          <w:rFonts w:cstheme="minorHAnsi"/>
        </w:rPr>
      </w:pPr>
    </w:p>
    <w:p w14:paraId="2E2919D5" w14:textId="02084340" w:rsidR="00772273" w:rsidRPr="001460DA" w:rsidRDefault="00772273" w:rsidP="00772273">
      <w:pPr>
        <w:spacing w:line="360" w:lineRule="auto"/>
        <w:rPr>
          <w:rFonts w:cstheme="minorHAnsi"/>
          <w:b/>
        </w:rPr>
      </w:pPr>
      <w:r w:rsidRPr="001460DA">
        <w:rPr>
          <w:rFonts w:cstheme="minorHAnsi"/>
          <w:b/>
        </w:rPr>
        <w:t xml:space="preserve">References </w:t>
      </w:r>
    </w:p>
    <w:p w14:paraId="79D0C622" w14:textId="77777777" w:rsidR="00772273" w:rsidRPr="001279EF" w:rsidRDefault="00772273" w:rsidP="00772273">
      <w:pPr>
        <w:spacing w:after="0" w:line="360" w:lineRule="auto"/>
        <w:rPr>
          <w:rFonts w:cstheme="minorHAnsi"/>
        </w:rPr>
      </w:pPr>
      <w:r w:rsidRPr="001279EF">
        <w:rPr>
          <w:rFonts w:cstheme="minorHAnsi"/>
        </w:rPr>
        <w:t xml:space="preserve">Adonis, A. and Tyndall, A. (2013) ‘For the sake of democracy, we need to get the young voting again’, </w:t>
      </w:r>
      <w:r w:rsidRPr="001279EF">
        <w:rPr>
          <w:rFonts w:cstheme="minorHAnsi"/>
          <w:i/>
        </w:rPr>
        <w:t>New Statesman</w:t>
      </w:r>
      <w:r w:rsidRPr="001279EF">
        <w:rPr>
          <w:rFonts w:cstheme="minorHAnsi"/>
        </w:rPr>
        <w:t>, 18 July.</w:t>
      </w:r>
    </w:p>
    <w:p w14:paraId="6BF15DC9" w14:textId="2D3F3249" w:rsidR="00D764B9" w:rsidRPr="001279EF" w:rsidRDefault="00D764B9" w:rsidP="00D764B9">
      <w:pPr>
        <w:spacing w:after="0" w:line="360" w:lineRule="auto"/>
        <w:rPr>
          <w:rFonts w:cstheme="minorHAnsi"/>
        </w:rPr>
      </w:pPr>
      <w:r w:rsidRPr="001279EF">
        <w:rPr>
          <w:rFonts w:eastAsia="Times New Roman" w:cstheme="minorHAnsi"/>
          <w:color w:val="333333"/>
          <w:shd w:val="clear" w:color="auto" w:fill="FFFFFF"/>
          <w:lang w:eastAsia="en-GB"/>
        </w:rPr>
        <w:t xml:space="preserve">Begley, P., </w:t>
      </w:r>
      <w:proofErr w:type="spellStart"/>
      <w:r w:rsidRPr="001279EF">
        <w:rPr>
          <w:rFonts w:eastAsia="Times New Roman" w:cstheme="minorHAnsi"/>
          <w:color w:val="333333"/>
          <w:shd w:val="clear" w:color="auto" w:fill="FFFFFF"/>
          <w:lang w:eastAsia="en-GB"/>
        </w:rPr>
        <w:t>Bochel</w:t>
      </w:r>
      <w:proofErr w:type="spellEnd"/>
      <w:r w:rsidRPr="001279EF">
        <w:rPr>
          <w:rFonts w:eastAsia="Times New Roman" w:cstheme="minorHAnsi"/>
          <w:color w:val="333333"/>
          <w:shd w:val="clear" w:color="auto" w:fill="FFFFFF"/>
          <w:lang w:eastAsia="en-GB"/>
        </w:rPr>
        <w:t xml:space="preserve">, C., </w:t>
      </w:r>
      <w:proofErr w:type="spellStart"/>
      <w:r w:rsidRPr="001279EF">
        <w:rPr>
          <w:rFonts w:eastAsia="Times New Roman" w:cstheme="minorHAnsi"/>
          <w:color w:val="333333"/>
          <w:shd w:val="clear" w:color="auto" w:fill="FFFFFF"/>
          <w:lang w:eastAsia="en-GB"/>
        </w:rPr>
        <w:t>Bochel</w:t>
      </w:r>
      <w:proofErr w:type="spellEnd"/>
      <w:r w:rsidRPr="001279EF">
        <w:rPr>
          <w:rFonts w:eastAsia="Times New Roman" w:cstheme="minorHAnsi"/>
          <w:color w:val="333333"/>
          <w:shd w:val="clear" w:color="auto" w:fill="FFFFFF"/>
          <w:lang w:eastAsia="en-GB"/>
        </w:rPr>
        <w:t xml:space="preserve">, H., </w:t>
      </w:r>
      <w:proofErr w:type="spellStart"/>
      <w:r w:rsidRPr="001279EF">
        <w:rPr>
          <w:rFonts w:eastAsia="Times New Roman" w:cstheme="minorHAnsi"/>
          <w:color w:val="333333"/>
          <w:shd w:val="clear" w:color="auto" w:fill="FFFFFF"/>
          <w:lang w:eastAsia="en-GB"/>
        </w:rPr>
        <w:t>Defty</w:t>
      </w:r>
      <w:proofErr w:type="spellEnd"/>
      <w:r w:rsidRPr="001279EF">
        <w:rPr>
          <w:rFonts w:eastAsia="Times New Roman" w:cstheme="minorHAnsi"/>
          <w:color w:val="333333"/>
          <w:shd w:val="clear" w:color="auto" w:fill="FFFFFF"/>
          <w:lang w:eastAsia="en-GB"/>
        </w:rPr>
        <w:t xml:space="preserve">, A., Gordon, J., </w:t>
      </w:r>
      <w:proofErr w:type="spellStart"/>
      <w:r w:rsidRPr="001279EF">
        <w:rPr>
          <w:rFonts w:eastAsia="Times New Roman" w:cstheme="minorHAnsi"/>
          <w:color w:val="333333"/>
          <w:shd w:val="clear" w:color="auto" w:fill="FFFFFF"/>
          <w:lang w:eastAsia="en-GB"/>
        </w:rPr>
        <w:t>Hinkkainen</w:t>
      </w:r>
      <w:proofErr w:type="spellEnd"/>
      <w:r w:rsidRPr="001279EF">
        <w:rPr>
          <w:rFonts w:eastAsia="Times New Roman" w:cstheme="minorHAnsi"/>
          <w:color w:val="333333"/>
          <w:shd w:val="clear" w:color="auto" w:fill="FFFFFF"/>
          <w:lang w:eastAsia="en-GB"/>
        </w:rPr>
        <w:t xml:space="preserve">, K., </w:t>
      </w:r>
      <w:proofErr w:type="spellStart"/>
      <w:r w:rsidRPr="001279EF">
        <w:rPr>
          <w:rFonts w:eastAsia="Times New Roman" w:cstheme="minorHAnsi"/>
          <w:color w:val="333333"/>
          <w:shd w:val="clear" w:color="auto" w:fill="FFFFFF"/>
          <w:lang w:eastAsia="en-GB"/>
        </w:rPr>
        <w:t>Kisby</w:t>
      </w:r>
      <w:proofErr w:type="spellEnd"/>
      <w:r w:rsidRPr="001279EF">
        <w:rPr>
          <w:rFonts w:eastAsia="Times New Roman" w:cstheme="minorHAnsi"/>
          <w:color w:val="333333"/>
          <w:shd w:val="clear" w:color="auto" w:fill="FFFFFF"/>
          <w:lang w:eastAsia="en-GB"/>
        </w:rPr>
        <w:t>, B., McKay, S., and Strange S. (2019) ‘Assessing policy success and failure: targets, aims and processes’, </w:t>
      </w:r>
      <w:r w:rsidRPr="001279EF">
        <w:rPr>
          <w:rFonts w:eastAsia="Times New Roman" w:cstheme="minorHAnsi"/>
          <w:i/>
          <w:iCs/>
          <w:color w:val="333333"/>
          <w:shd w:val="clear" w:color="auto" w:fill="FFFFFF"/>
          <w:lang w:eastAsia="en-GB"/>
        </w:rPr>
        <w:t>Policy Studies</w:t>
      </w:r>
      <w:r w:rsidRPr="001279EF">
        <w:rPr>
          <w:rFonts w:eastAsia="Times New Roman" w:cstheme="minorHAnsi"/>
          <w:color w:val="333333"/>
          <w:shd w:val="clear" w:color="auto" w:fill="FFFFFF"/>
          <w:lang w:eastAsia="en-GB"/>
        </w:rPr>
        <w:t>, 40(2), 188-204</w:t>
      </w:r>
    </w:p>
    <w:p w14:paraId="21FC604C" w14:textId="5BFC3D9D" w:rsidR="00772273" w:rsidRPr="001279EF" w:rsidRDefault="00772273" w:rsidP="00772273">
      <w:pPr>
        <w:spacing w:after="0" w:line="360" w:lineRule="auto"/>
        <w:rPr>
          <w:rFonts w:cstheme="minorHAnsi"/>
        </w:rPr>
      </w:pPr>
      <w:r w:rsidRPr="001279EF">
        <w:rPr>
          <w:rFonts w:cstheme="minorHAnsi"/>
        </w:rPr>
        <w:t>Benson, D. and Jordan, A. (2011) ‘What have we learned from policy transfer research? Dolowitz and Mar</w:t>
      </w:r>
      <w:r w:rsidR="00FA3C76" w:rsidRPr="001279EF">
        <w:rPr>
          <w:rFonts w:cstheme="minorHAnsi"/>
        </w:rPr>
        <w:t>s</w:t>
      </w:r>
      <w:r w:rsidRPr="001279EF">
        <w:rPr>
          <w:rFonts w:cstheme="minorHAnsi"/>
        </w:rPr>
        <w:t xml:space="preserve">h revisited’, </w:t>
      </w:r>
      <w:r w:rsidRPr="001279EF">
        <w:rPr>
          <w:rFonts w:cstheme="minorHAnsi"/>
          <w:i/>
        </w:rPr>
        <w:t>Political Studies Review</w:t>
      </w:r>
      <w:r w:rsidRPr="001279EF">
        <w:rPr>
          <w:rFonts w:cstheme="minorHAnsi"/>
        </w:rPr>
        <w:t>, 9(3), 366-78.</w:t>
      </w:r>
    </w:p>
    <w:p w14:paraId="6A070817" w14:textId="77777777" w:rsidR="00772273" w:rsidRPr="001279EF" w:rsidRDefault="00772273" w:rsidP="00772273">
      <w:pPr>
        <w:spacing w:after="0" w:line="360" w:lineRule="auto"/>
        <w:rPr>
          <w:rFonts w:cstheme="minorHAnsi"/>
        </w:rPr>
      </w:pPr>
      <w:r w:rsidRPr="001279EF">
        <w:rPr>
          <w:rFonts w:cstheme="minorHAnsi"/>
        </w:rPr>
        <w:t xml:space="preserve">Bingham, A. (2019) ‘‘The last milestone’ on the journey to full adult suffrage? 50 years of debates about the voting age’, </w:t>
      </w:r>
      <w:r w:rsidRPr="001279EF">
        <w:rPr>
          <w:rFonts w:cstheme="minorHAnsi"/>
          <w:i/>
          <w:iCs/>
        </w:rPr>
        <w:t>History and Policy</w:t>
      </w:r>
      <w:r w:rsidRPr="001279EF">
        <w:rPr>
          <w:rFonts w:cstheme="minorHAnsi"/>
        </w:rPr>
        <w:t xml:space="preserve">, </w:t>
      </w:r>
      <w:hyperlink r:id="rId8" w:history="1">
        <w:r w:rsidRPr="001279EF">
          <w:rPr>
            <w:rStyle w:val="Hyperlink"/>
          </w:rPr>
          <w:t>http://www.historyandpolicy.org/policy-papers/papers/the-last-milestone-on-the-journey-to-full-adult-suffrage</w:t>
        </w:r>
      </w:hyperlink>
    </w:p>
    <w:p w14:paraId="351A6B30" w14:textId="77777777" w:rsidR="00ED15FF" w:rsidRPr="00ED15FF" w:rsidRDefault="00772273" w:rsidP="00ED15FF">
      <w:pPr>
        <w:spacing w:after="0" w:line="360" w:lineRule="auto"/>
        <w:rPr>
          <w:rFonts w:cstheme="minorHAnsi"/>
        </w:rPr>
      </w:pPr>
      <w:r w:rsidRPr="00ED15FF">
        <w:rPr>
          <w:rFonts w:cstheme="minorHAnsi"/>
        </w:rPr>
        <w:t xml:space="preserve">British Youth Council (2014) </w:t>
      </w:r>
      <w:r w:rsidRPr="00ED15FF">
        <w:rPr>
          <w:rFonts w:cstheme="minorHAnsi"/>
          <w:i/>
        </w:rPr>
        <w:t xml:space="preserve">Lowering the voting age to 16, </w:t>
      </w:r>
      <w:r w:rsidRPr="00ED15FF">
        <w:rPr>
          <w:rFonts w:cstheme="minorHAnsi"/>
        </w:rPr>
        <w:t>London: British Youth Council.</w:t>
      </w:r>
    </w:p>
    <w:p w14:paraId="26415FE6" w14:textId="4C37E168" w:rsidR="00ED15FF" w:rsidRPr="00ED15FF" w:rsidRDefault="00ED15FF" w:rsidP="00ED15FF">
      <w:pPr>
        <w:spacing w:after="0" w:line="360" w:lineRule="auto"/>
        <w:rPr>
          <w:rFonts w:cstheme="minorHAnsi"/>
        </w:rPr>
      </w:pPr>
      <w:r w:rsidRPr="00ED15FF">
        <w:rPr>
          <w:rFonts w:ascii="Calibri" w:eastAsia="Times New Roman" w:hAnsi="Calibri" w:cs="Calibri"/>
          <w:color w:val="000000"/>
          <w:shd w:val="clear" w:color="auto" w:fill="FFFFFF"/>
          <w:lang w:eastAsia="en-GB"/>
        </w:rPr>
        <w:t xml:space="preserve">Butler, D, Adonis, A and Travers, T. (1994) </w:t>
      </w:r>
      <w:r w:rsidRPr="00ED15FF">
        <w:rPr>
          <w:rFonts w:ascii="Calibri" w:eastAsia="Times New Roman" w:hAnsi="Calibri" w:cs="Calibri"/>
          <w:i/>
          <w:iCs/>
          <w:color w:val="000000"/>
          <w:shd w:val="clear" w:color="auto" w:fill="FFFFFF"/>
          <w:lang w:eastAsia="en-GB"/>
        </w:rPr>
        <w:t>Failure in British Government: The Politics of the Poll Tax</w:t>
      </w:r>
      <w:r w:rsidRPr="00ED15FF">
        <w:rPr>
          <w:rFonts w:ascii="Calibri" w:eastAsia="Times New Roman" w:hAnsi="Calibri" w:cs="Calibri"/>
          <w:color w:val="000000"/>
          <w:shd w:val="clear" w:color="auto" w:fill="FFFFFF"/>
          <w:lang w:eastAsia="en-GB"/>
        </w:rPr>
        <w:t xml:space="preserve">, </w:t>
      </w:r>
      <w:r w:rsidR="001B4CBA">
        <w:rPr>
          <w:rFonts w:ascii="Calibri" w:eastAsia="Times New Roman" w:hAnsi="Calibri" w:cs="Calibri"/>
          <w:color w:val="000000"/>
          <w:shd w:val="clear" w:color="auto" w:fill="FFFFFF"/>
          <w:lang w:eastAsia="en-GB"/>
        </w:rPr>
        <w:t xml:space="preserve">Oxford: </w:t>
      </w:r>
      <w:r w:rsidRPr="00ED15FF">
        <w:rPr>
          <w:rFonts w:ascii="Calibri" w:eastAsia="Times New Roman" w:hAnsi="Calibri" w:cs="Calibri"/>
          <w:color w:val="000000"/>
          <w:shd w:val="clear" w:color="auto" w:fill="FFFFFF"/>
          <w:lang w:eastAsia="en-GB"/>
        </w:rPr>
        <w:t>Oxford University Press</w:t>
      </w:r>
      <w:r w:rsidR="001B4CBA">
        <w:rPr>
          <w:rFonts w:ascii="Calibri" w:eastAsia="Times New Roman" w:hAnsi="Calibri" w:cs="Calibri"/>
          <w:color w:val="000000"/>
          <w:shd w:val="clear" w:color="auto" w:fill="FFFFFF"/>
          <w:lang w:eastAsia="en-GB"/>
        </w:rPr>
        <w:t>.</w:t>
      </w:r>
    </w:p>
    <w:p w14:paraId="28181A09" w14:textId="70F1C594" w:rsidR="00A553D4" w:rsidRPr="001279EF" w:rsidRDefault="00772273" w:rsidP="00A553D4">
      <w:pPr>
        <w:spacing w:after="0" w:line="360" w:lineRule="auto"/>
        <w:rPr>
          <w:rFonts w:cstheme="minorHAnsi"/>
        </w:rPr>
      </w:pPr>
      <w:proofErr w:type="spellStart"/>
      <w:r w:rsidRPr="001279EF">
        <w:rPr>
          <w:rFonts w:cstheme="minorHAnsi"/>
        </w:rPr>
        <w:t>Catino</w:t>
      </w:r>
      <w:proofErr w:type="spellEnd"/>
      <w:r w:rsidRPr="001279EF">
        <w:rPr>
          <w:rFonts w:cstheme="minorHAnsi"/>
        </w:rPr>
        <w:t xml:space="preserve">, M. (2013) </w:t>
      </w:r>
      <w:proofErr w:type="spellStart"/>
      <w:r w:rsidRPr="001279EF">
        <w:rPr>
          <w:rFonts w:cstheme="minorHAnsi"/>
          <w:i/>
          <w:iCs/>
        </w:rPr>
        <w:t>Organiszational</w:t>
      </w:r>
      <w:proofErr w:type="spellEnd"/>
      <w:r w:rsidRPr="001279EF">
        <w:rPr>
          <w:rFonts w:cstheme="minorHAnsi"/>
          <w:i/>
          <w:iCs/>
        </w:rPr>
        <w:t xml:space="preserve"> Myopia: Problems of Rationality and Foresight in Organizations</w:t>
      </w:r>
      <w:r w:rsidRPr="001279EF">
        <w:rPr>
          <w:rFonts w:cstheme="minorHAnsi"/>
        </w:rPr>
        <w:t xml:space="preserve">, Cambridge: Cambridge University Press. </w:t>
      </w:r>
    </w:p>
    <w:p w14:paraId="0DAA35EE" w14:textId="373381E1" w:rsidR="00A553D4" w:rsidRPr="001279EF" w:rsidRDefault="00A553D4" w:rsidP="00A553D4">
      <w:pPr>
        <w:spacing w:after="0" w:line="360" w:lineRule="auto"/>
        <w:rPr>
          <w:rFonts w:eastAsia="Times New Roman" w:cstheme="minorHAnsi"/>
          <w:color w:val="000000" w:themeColor="text1"/>
          <w:lang w:eastAsia="en-GB"/>
        </w:rPr>
      </w:pPr>
      <w:r w:rsidRPr="001279EF">
        <w:rPr>
          <w:rFonts w:eastAsia="Times New Roman" w:cstheme="minorHAnsi"/>
          <w:color w:val="000000" w:themeColor="text1"/>
          <w:lang w:eastAsia="en-GB"/>
        </w:rPr>
        <w:t>Corbett, J., Grube, D., Lovell, H., and Scott, R. (2018a) ‘Policy Concepts in 1000 words: Institutional Memory’, Paul Cairney: Politics and Public Policy, https://paulcairney.wordpress.com/2018/03/01/policy-concepts-in-1000-words-institutional-memory/</w:t>
      </w:r>
    </w:p>
    <w:p w14:paraId="6BB8C78F" w14:textId="4E0A6EA7" w:rsidR="00A553D4" w:rsidRPr="001279EF" w:rsidRDefault="00A553D4" w:rsidP="00A553D4">
      <w:pPr>
        <w:spacing w:after="0" w:line="360" w:lineRule="auto"/>
        <w:rPr>
          <w:rFonts w:cstheme="minorHAnsi"/>
          <w:color w:val="000000" w:themeColor="text1"/>
        </w:rPr>
      </w:pPr>
      <w:r w:rsidRPr="001279EF">
        <w:rPr>
          <w:rFonts w:eastAsia="Times New Roman" w:cstheme="minorHAnsi"/>
          <w:color w:val="000000" w:themeColor="text1"/>
          <w:lang w:eastAsia="en-GB"/>
        </w:rPr>
        <w:t xml:space="preserve">Corbett, J., Grube, D., Lovell, H., and Scott, R. (2018b) ‘Singular memory or institutional memories? Towards a dynamic approach’, </w:t>
      </w:r>
      <w:r w:rsidRPr="001279EF">
        <w:rPr>
          <w:rFonts w:eastAsia="Times New Roman" w:cstheme="minorHAnsi"/>
          <w:i/>
          <w:iCs/>
          <w:color w:val="000000" w:themeColor="text1"/>
          <w:lang w:eastAsia="en-GB"/>
        </w:rPr>
        <w:t>Governance</w:t>
      </w:r>
      <w:r w:rsidRPr="001279EF">
        <w:rPr>
          <w:rFonts w:eastAsia="Times New Roman" w:cstheme="minorHAnsi"/>
          <w:color w:val="000000" w:themeColor="text1"/>
          <w:lang w:eastAsia="en-GB"/>
        </w:rPr>
        <w:t xml:space="preserve">, 31(3), 555–73. </w:t>
      </w:r>
    </w:p>
    <w:p w14:paraId="5BCCDA6B" w14:textId="77777777" w:rsidR="00772273" w:rsidRPr="001279EF" w:rsidRDefault="00772273" w:rsidP="00772273">
      <w:pPr>
        <w:spacing w:after="0" w:line="360" w:lineRule="auto"/>
        <w:rPr>
          <w:rFonts w:cstheme="minorHAnsi"/>
        </w:rPr>
      </w:pPr>
      <w:r w:rsidRPr="001279EF">
        <w:rPr>
          <w:rFonts w:cstheme="minorHAnsi"/>
        </w:rPr>
        <w:t xml:space="preserve">Crick, B. and Porter, A. (1978) </w:t>
      </w:r>
      <w:r w:rsidRPr="001279EF">
        <w:rPr>
          <w:rFonts w:cstheme="minorHAnsi"/>
          <w:i/>
        </w:rPr>
        <w:t>Political Education and Political Literacy</w:t>
      </w:r>
      <w:r w:rsidRPr="001279EF">
        <w:rPr>
          <w:rFonts w:cstheme="minorHAnsi"/>
        </w:rPr>
        <w:t>, London: Prentice Hall.</w:t>
      </w:r>
    </w:p>
    <w:p w14:paraId="7FFB44E0" w14:textId="71FD6FD0" w:rsidR="00D764B9" w:rsidRPr="008A76DD" w:rsidRDefault="00D764B9" w:rsidP="00772273">
      <w:pPr>
        <w:spacing w:after="0" w:line="360" w:lineRule="auto"/>
        <w:rPr>
          <w:rFonts w:eastAsia="Times New Roman" w:cstheme="minorHAnsi"/>
          <w:color w:val="1C1D1E"/>
          <w:shd w:val="clear" w:color="auto" w:fill="FFFFFF"/>
          <w:lang w:eastAsia="en-GB"/>
        </w:rPr>
      </w:pPr>
      <w:r w:rsidRPr="001279EF">
        <w:rPr>
          <w:rFonts w:eastAsia="Times New Roman" w:cstheme="minorHAnsi"/>
          <w:color w:val="1C1D1E"/>
          <w:shd w:val="clear" w:color="auto" w:fill="FFFFFF"/>
          <w:lang w:eastAsia="en-GB"/>
        </w:rPr>
        <w:t xml:space="preserve">Dolowitz, D. and Marsh, D. (1996) ‘Who Learns What from Whom: </w:t>
      </w:r>
      <w:r w:rsidR="008A76DD">
        <w:rPr>
          <w:rFonts w:eastAsia="Times New Roman" w:cstheme="minorHAnsi"/>
          <w:color w:val="1C1D1E"/>
          <w:shd w:val="clear" w:color="auto" w:fill="FFFFFF"/>
          <w:lang w:eastAsia="en-GB"/>
        </w:rPr>
        <w:t>A</w:t>
      </w:r>
      <w:r w:rsidRPr="001279EF">
        <w:rPr>
          <w:rFonts w:eastAsia="Times New Roman" w:cstheme="minorHAnsi"/>
          <w:color w:val="1C1D1E"/>
          <w:shd w:val="clear" w:color="auto" w:fill="FFFFFF"/>
          <w:lang w:eastAsia="en-GB"/>
        </w:rPr>
        <w:t xml:space="preserve"> Review of the Policy Transfer Literature’, </w:t>
      </w:r>
      <w:r w:rsidRPr="001B4CBA">
        <w:rPr>
          <w:rFonts w:eastAsia="Times New Roman" w:cstheme="minorHAnsi"/>
          <w:i/>
          <w:iCs/>
          <w:color w:val="1C1D1E"/>
          <w:shd w:val="clear" w:color="auto" w:fill="FFFFFF"/>
          <w:lang w:eastAsia="en-GB"/>
        </w:rPr>
        <w:t>Political Studies</w:t>
      </w:r>
      <w:r w:rsidRPr="001279EF">
        <w:rPr>
          <w:rFonts w:eastAsia="Times New Roman" w:cstheme="minorHAnsi"/>
          <w:color w:val="1C1D1E"/>
          <w:shd w:val="clear" w:color="auto" w:fill="FFFFFF"/>
          <w:lang w:eastAsia="en-GB"/>
        </w:rPr>
        <w:t>, 44(2), 343-357.</w:t>
      </w:r>
    </w:p>
    <w:p w14:paraId="208E7B54" w14:textId="77777777" w:rsidR="006D6D67" w:rsidRPr="001279EF" w:rsidRDefault="00772273" w:rsidP="006D6D67">
      <w:pPr>
        <w:spacing w:after="0" w:line="360" w:lineRule="auto"/>
        <w:rPr>
          <w:rFonts w:cstheme="minorHAnsi"/>
        </w:rPr>
      </w:pPr>
      <w:r w:rsidRPr="001279EF">
        <w:rPr>
          <w:rFonts w:cstheme="minorHAnsi"/>
        </w:rPr>
        <w:t xml:space="preserve">Dunlop, C. (2017) ‘Policy learning and policy failure: Definitions, dimensions and intersections’, </w:t>
      </w:r>
      <w:r w:rsidRPr="001279EF">
        <w:rPr>
          <w:rFonts w:cstheme="minorHAnsi"/>
          <w:i/>
        </w:rPr>
        <w:t>Policy and Politics</w:t>
      </w:r>
      <w:r w:rsidRPr="001279EF">
        <w:rPr>
          <w:rFonts w:cstheme="minorHAnsi"/>
        </w:rPr>
        <w:t>, 45(1), 3-18.</w:t>
      </w:r>
    </w:p>
    <w:p w14:paraId="542FEB60" w14:textId="687AC52A" w:rsidR="006D6D67" w:rsidRPr="006D6D67" w:rsidRDefault="006D6D67" w:rsidP="006D6D67">
      <w:pPr>
        <w:spacing w:after="0" w:line="360" w:lineRule="auto"/>
        <w:rPr>
          <w:rFonts w:cstheme="minorHAnsi"/>
        </w:rPr>
      </w:pPr>
      <w:r w:rsidRPr="006D6D67">
        <w:rPr>
          <w:rFonts w:eastAsia="Times New Roman" w:cstheme="minorHAnsi"/>
          <w:color w:val="000000" w:themeColor="text1"/>
          <w:shd w:val="clear" w:color="auto" w:fill="FFFFFF"/>
          <w:lang w:eastAsia="en-GB"/>
        </w:rPr>
        <w:lastRenderedPageBreak/>
        <w:t xml:space="preserve">Eichhorn, </w:t>
      </w:r>
      <w:r w:rsidRPr="001279EF">
        <w:rPr>
          <w:rFonts w:eastAsia="Times New Roman" w:cstheme="minorHAnsi"/>
          <w:color w:val="000000" w:themeColor="text1"/>
          <w:shd w:val="clear" w:color="auto" w:fill="FFFFFF"/>
          <w:lang w:eastAsia="en-GB"/>
        </w:rPr>
        <w:t>J. (2018) ‘</w:t>
      </w:r>
      <w:r w:rsidRPr="006D6D67">
        <w:rPr>
          <w:rFonts w:eastAsia="Times New Roman" w:cstheme="minorHAnsi"/>
          <w:color w:val="000000" w:themeColor="text1"/>
          <w:shd w:val="clear" w:color="auto" w:fill="FFFFFF"/>
          <w:lang w:eastAsia="en-GB"/>
        </w:rPr>
        <w:t>Votes At 16: New Insights from Scotland on</w:t>
      </w:r>
      <w:r w:rsidRPr="001279EF">
        <w:rPr>
          <w:rFonts w:eastAsia="Times New Roman" w:cstheme="minorHAnsi"/>
          <w:color w:val="000000" w:themeColor="text1"/>
          <w:shd w:val="clear" w:color="auto" w:fill="FFFFFF"/>
          <w:lang w:eastAsia="en-GB"/>
        </w:rPr>
        <w:t xml:space="preserve"> </w:t>
      </w:r>
      <w:r w:rsidRPr="006D6D67">
        <w:rPr>
          <w:rFonts w:eastAsia="Times New Roman" w:cstheme="minorHAnsi"/>
          <w:color w:val="000000" w:themeColor="text1"/>
          <w:shd w:val="clear" w:color="auto" w:fill="FFFFFF"/>
          <w:lang w:eastAsia="en-GB"/>
        </w:rPr>
        <w:t>Enfranchisement</w:t>
      </w:r>
      <w:r w:rsidRPr="001279EF">
        <w:rPr>
          <w:rFonts w:eastAsia="Times New Roman" w:cstheme="minorHAnsi"/>
          <w:color w:val="000000" w:themeColor="text1"/>
          <w:shd w:val="clear" w:color="auto" w:fill="FFFFFF"/>
          <w:lang w:eastAsia="en-GB"/>
        </w:rPr>
        <w:t>’</w:t>
      </w:r>
      <w:r w:rsidRPr="006D6D67">
        <w:rPr>
          <w:rFonts w:eastAsia="Times New Roman" w:cstheme="minorHAnsi"/>
          <w:color w:val="000000" w:themeColor="text1"/>
          <w:shd w:val="clear" w:color="auto" w:fill="FFFFFF"/>
          <w:lang w:eastAsia="en-GB"/>
        </w:rPr>
        <w:t>, </w:t>
      </w:r>
      <w:r w:rsidRPr="006D6D67">
        <w:rPr>
          <w:rFonts w:eastAsia="Times New Roman" w:cstheme="minorHAnsi"/>
          <w:i/>
          <w:iCs/>
          <w:color w:val="000000" w:themeColor="text1"/>
          <w:bdr w:val="none" w:sz="0" w:space="0" w:color="auto" w:frame="1"/>
          <w:lang w:eastAsia="en-GB"/>
        </w:rPr>
        <w:t>Parliamentary Affairs</w:t>
      </w:r>
      <w:r w:rsidRPr="006D6D67">
        <w:rPr>
          <w:rFonts w:eastAsia="Times New Roman" w:cstheme="minorHAnsi"/>
          <w:color w:val="000000" w:themeColor="text1"/>
          <w:shd w:val="clear" w:color="auto" w:fill="FFFFFF"/>
          <w:lang w:eastAsia="en-GB"/>
        </w:rPr>
        <w:t>, 71</w:t>
      </w:r>
      <w:r w:rsidRPr="001279EF">
        <w:rPr>
          <w:rFonts w:eastAsia="Times New Roman" w:cstheme="minorHAnsi"/>
          <w:color w:val="000000" w:themeColor="text1"/>
          <w:shd w:val="clear" w:color="auto" w:fill="FFFFFF"/>
          <w:lang w:eastAsia="en-GB"/>
        </w:rPr>
        <w:t>(</w:t>
      </w:r>
      <w:r w:rsidRPr="006D6D67">
        <w:rPr>
          <w:rFonts w:eastAsia="Times New Roman" w:cstheme="minorHAnsi"/>
          <w:color w:val="000000" w:themeColor="text1"/>
          <w:shd w:val="clear" w:color="auto" w:fill="FFFFFF"/>
          <w:lang w:eastAsia="en-GB"/>
        </w:rPr>
        <w:t>2</w:t>
      </w:r>
      <w:r w:rsidRPr="001279EF">
        <w:rPr>
          <w:rFonts w:eastAsia="Times New Roman" w:cstheme="minorHAnsi"/>
          <w:color w:val="000000" w:themeColor="text1"/>
          <w:shd w:val="clear" w:color="auto" w:fill="FFFFFF"/>
          <w:lang w:eastAsia="en-GB"/>
        </w:rPr>
        <w:t xml:space="preserve">), </w:t>
      </w:r>
      <w:r w:rsidRPr="006D6D67">
        <w:rPr>
          <w:rFonts w:eastAsia="Times New Roman" w:cstheme="minorHAnsi"/>
          <w:color w:val="000000" w:themeColor="text1"/>
          <w:shd w:val="clear" w:color="auto" w:fill="FFFFFF"/>
          <w:lang w:eastAsia="en-GB"/>
        </w:rPr>
        <w:t>365–391</w:t>
      </w:r>
      <w:r w:rsidRPr="001279EF">
        <w:rPr>
          <w:rFonts w:eastAsia="Times New Roman" w:cstheme="minorHAnsi"/>
          <w:color w:val="000000" w:themeColor="text1"/>
          <w:shd w:val="clear" w:color="auto" w:fill="FFFFFF"/>
          <w:lang w:eastAsia="en-GB"/>
        </w:rPr>
        <w:t>.</w:t>
      </w:r>
    </w:p>
    <w:p w14:paraId="2F35658A" w14:textId="25482D91" w:rsidR="00772273" w:rsidRPr="001279EF" w:rsidRDefault="00772273" w:rsidP="00772273">
      <w:pPr>
        <w:shd w:val="clear" w:color="auto" w:fill="FFFFFF"/>
        <w:spacing w:after="0" w:line="360" w:lineRule="auto"/>
        <w:rPr>
          <w:rFonts w:eastAsia="Times New Roman" w:cstheme="minorHAnsi"/>
          <w:color w:val="000000"/>
          <w:lang w:eastAsia="en-GB"/>
        </w:rPr>
      </w:pPr>
      <w:r w:rsidRPr="001279EF">
        <w:rPr>
          <w:rFonts w:cstheme="minorHAnsi"/>
        </w:rPr>
        <w:t xml:space="preserve">Electoral Commission (2003) </w:t>
      </w:r>
      <w:r w:rsidRPr="001279EF">
        <w:rPr>
          <w:i/>
          <w:iCs/>
          <w:lang w:eastAsia="en-GB"/>
        </w:rPr>
        <w:t>How old is old enough? The minimum age of voting and candidacy in UK elections</w:t>
      </w:r>
      <w:r w:rsidRPr="001279EF">
        <w:rPr>
          <w:rFonts w:cstheme="minorHAnsi"/>
          <w:i/>
          <w:iCs/>
        </w:rPr>
        <w:t>, London</w:t>
      </w:r>
      <w:r w:rsidRPr="001279EF">
        <w:rPr>
          <w:rFonts w:cstheme="minorHAnsi"/>
        </w:rPr>
        <w:t>: Electoral Commission.</w:t>
      </w:r>
    </w:p>
    <w:p w14:paraId="2E851DC6" w14:textId="77777777" w:rsidR="00772273" w:rsidRPr="001279EF" w:rsidRDefault="00772273" w:rsidP="00772273">
      <w:pPr>
        <w:spacing w:after="0" w:line="360" w:lineRule="auto"/>
        <w:rPr>
          <w:rFonts w:cstheme="minorHAnsi"/>
        </w:rPr>
      </w:pPr>
      <w:r w:rsidRPr="001279EF">
        <w:rPr>
          <w:rFonts w:cstheme="minorHAnsi"/>
        </w:rPr>
        <w:t xml:space="preserve">Electoral Commission (2017) </w:t>
      </w:r>
      <w:r w:rsidRPr="001279EF">
        <w:rPr>
          <w:rFonts w:eastAsia="Times New Roman" w:cstheme="minorHAnsi"/>
          <w:i/>
          <w:iCs/>
          <w:lang w:eastAsia="en-GB"/>
        </w:rPr>
        <w:t>Scottish council elections 2017 Report on the administration of the elections held on 4 May 2017</w:t>
      </w:r>
      <w:r w:rsidRPr="001279EF">
        <w:rPr>
          <w:rFonts w:eastAsia="Times New Roman" w:cstheme="minorHAnsi"/>
          <w:lang w:eastAsia="en-GB"/>
        </w:rPr>
        <w:t xml:space="preserve">, Edinburgh, Electoral Commission. </w:t>
      </w:r>
    </w:p>
    <w:p w14:paraId="386CF711" w14:textId="77777777" w:rsidR="00772273" w:rsidRPr="001279EF" w:rsidRDefault="00772273" w:rsidP="00772273">
      <w:pPr>
        <w:spacing w:after="0" w:line="360" w:lineRule="auto"/>
        <w:rPr>
          <w:rFonts w:cstheme="minorHAnsi"/>
        </w:rPr>
      </w:pPr>
      <w:r w:rsidRPr="001279EF">
        <w:rPr>
          <w:rFonts w:cstheme="minorHAnsi"/>
        </w:rPr>
        <w:t xml:space="preserve">Fielding, S. (2003) </w:t>
      </w:r>
      <w:r w:rsidRPr="001279EF">
        <w:rPr>
          <w:rFonts w:cstheme="minorHAnsi"/>
          <w:i/>
        </w:rPr>
        <w:t>The Labour Governments, 1964-70. Vol. 1. Labour and Cultural Change</w:t>
      </w:r>
      <w:r w:rsidRPr="001279EF">
        <w:rPr>
          <w:rFonts w:cstheme="minorHAnsi"/>
        </w:rPr>
        <w:t>, Manchester: Manchester University Press.</w:t>
      </w:r>
    </w:p>
    <w:p w14:paraId="64B59695" w14:textId="111384B3" w:rsidR="00D764B9" w:rsidRPr="001279EF" w:rsidRDefault="00772273" w:rsidP="00772273">
      <w:pPr>
        <w:spacing w:after="0" w:line="360" w:lineRule="auto"/>
        <w:rPr>
          <w:rFonts w:cs="Times New Roman"/>
        </w:rPr>
      </w:pPr>
      <w:r w:rsidRPr="001279EF">
        <w:rPr>
          <w:rFonts w:cs="Times New Roman"/>
        </w:rPr>
        <w:t xml:space="preserve">Franklin, M. (2004) </w:t>
      </w:r>
      <w:r w:rsidRPr="001279EF">
        <w:rPr>
          <w:rFonts w:cs="Times New Roman"/>
          <w:i/>
          <w:iCs/>
        </w:rPr>
        <w:t>Voter Turnout and the Dynamics of Electoral Competition in Established Democracies</w:t>
      </w:r>
      <w:r w:rsidRPr="001279EF">
        <w:rPr>
          <w:rFonts w:cs="Times New Roman"/>
        </w:rPr>
        <w:t>, Cambridge: Cambridge University Press.</w:t>
      </w:r>
    </w:p>
    <w:p w14:paraId="1404FDD3" w14:textId="77777777" w:rsidR="00D764B9" w:rsidRPr="001279EF" w:rsidRDefault="00D764B9" w:rsidP="00D764B9">
      <w:pPr>
        <w:spacing w:after="0" w:line="360" w:lineRule="auto"/>
        <w:rPr>
          <w:rFonts w:cstheme="minorHAnsi"/>
        </w:rPr>
      </w:pPr>
      <w:r w:rsidRPr="001279EF">
        <w:rPr>
          <w:rFonts w:cs="Times New Roman"/>
        </w:rPr>
        <w:t xml:space="preserve">Furlong, A, (2017) ‘The changing landscape of youth and young adulthood’, in Furlong, A. (ed.) </w:t>
      </w:r>
      <w:r w:rsidRPr="002E6544">
        <w:rPr>
          <w:rFonts w:cstheme="minorHAnsi"/>
          <w:i/>
          <w:iCs/>
        </w:rPr>
        <w:t>Routledge Handbook of Youth and Young Adulthood 2</w:t>
      </w:r>
      <w:r w:rsidRPr="002E6544">
        <w:rPr>
          <w:rFonts w:cstheme="minorHAnsi"/>
          <w:i/>
          <w:iCs/>
          <w:vertAlign w:val="superscript"/>
        </w:rPr>
        <w:t>nd</w:t>
      </w:r>
      <w:r w:rsidRPr="002E6544">
        <w:rPr>
          <w:rFonts w:cstheme="minorHAnsi"/>
          <w:i/>
          <w:iCs/>
        </w:rPr>
        <w:t xml:space="preserve"> edition</w:t>
      </w:r>
      <w:r w:rsidRPr="001279EF">
        <w:rPr>
          <w:rFonts w:cstheme="minorHAnsi"/>
        </w:rPr>
        <w:t>, London: Routledge, pp.3-11.</w:t>
      </w:r>
    </w:p>
    <w:p w14:paraId="7EA7EF75" w14:textId="065A2F4B" w:rsidR="00D764B9" w:rsidRPr="001279EF" w:rsidRDefault="00D764B9" w:rsidP="00D764B9">
      <w:pPr>
        <w:spacing w:after="0" w:line="360" w:lineRule="auto"/>
        <w:rPr>
          <w:rFonts w:cstheme="minorHAnsi"/>
        </w:rPr>
      </w:pPr>
      <w:proofErr w:type="spellStart"/>
      <w:r w:rsidRPr="001279EF">
        <w:rPr>
          <w:rFonts w:eastAsia="Times New Roman" w:cstheme="minorHAnsi"/>
          <w:lang w:eastAsia="en-GB"/>
        </w:rPr>
        <w:t>Garrard</w:t>
      </w:r>
      <w:proofErr w:type="spellEnd"/>
      <w:r w:rsidRPr="001279EF">
        <w:rPr>
          <w:rFonts w:eastAsia="Times New Roman" w:cstheme="minorHAnsi"/>
          <w:lang w:eastAsia="en-GB"/>
        </w:rPr>
        <w:t xml:space="preserve">, J. (2001) </w:t>
      </w:r>
      <w:r w:rsidRPr="001279EF">
        <w:rPr>
          <w:rFonts w:eastAsia="Times New Roman" w:cstheme="minorHAnsi"/>
          <w:i/>
          <w:iCs/>
          <w:lang w:eastAsia="en-GB"/>
        </w:rPr>
        <w:t>Democratisation in Britain: Elites, Civil Society and Reform since 1800</w:t>
      </w:r>
      <w:r w:rsidRPr="001279EF">
        <w:rPr>
          <w:rFonts w:eastAsia="Times New Roman" w:cstheme="minorHAnsi"/>
          <w:lang w:eastAsia="en-GB"/>
        </w:rPr>
        <w:t>, London: Macmillan.</w:t>
      </w:r>
    </w:p>
    <w:p w14:paraId="75F779C2" w14:textId="77777777" w:rsidR="00D764B9" w:rsidRPr="001279EF" w:rsidRDefault="00D764B9" w:rsidP="00D764B9">
      <w:pPr>
        <w:spacing w:after="0" w:line="360" w:lineRule="auto"/>
        <w:rPr>
          <w:rFonts w:eastAsia="Times New Roman" w:cstheme="minorHAnsi"/>
          <w:color w:val="000000" w:themeColor="text1"/>
          <w:lang w:eastAsia="en-GB"/>
        </w:rPr>
      </w:pPr>
      <w:r w:rsidRPr="001279EF">
        <w:rPr>
          <w:rFonts w:eastAsia="Times New Roman" w:cstheme="minorHAnsi"/>
          <w:color w:val="000000" w:themeColor="text1"/>
          <w:shd w:val="clear" w:color="auto" w:fill="FFFFFF"/>
          <w:lang w:eastAsia="en-GB"/>
        </w:rPr>
        <w:t xml:space="preserve">Gifford, C., </w:t>
      </w:r>
      <w:proofErr w:type="spellStart"/>
      <w:r w:rsidRPr="001279EF">
        <w:rPr>
          <w:rFonts w:eastAsia="Times New Roman" w:cstheme="minorHAnsi"/>
          <w:color w:val="000000" w:themeColor="text1"/>
          <w:shd w:val="clear" w:color="auto" w:fill="FFFFFF"/>
          <w:lang w:eastAsia="en-GB"/>
        </w:rPr>
        <w:t>Mycock</w:t>
      </w:r>
      <w:proofErr w:type="spellEnd"/>
      <w:r w:rsidRPr="001279EF">
        <w:rPr>
          <w:rFonts w:eastAsia="Times New Roman" w:cstheme="minorHAnsi"/>
          <w:color w:val="000000" w:themeColor="text1"/>
          <w:shd w:val="clear" w:color="auto" w:fill="FFFFFF"/>
          <w:lang w:eastAsia="en-GB"/>
        </w:rPr>
        <w:t>, A., and Murakami, J. (2014) ‘Becoming citizens in late modernity: a global-national comparison of young people in Japan and the UK’, </w:t>
      </w:r>
      <w:r w:rsidRPr="001279EF">
        <w:rPr>
          <w:rFonts w:eastAsia="Times New Roman" w:cstheme="minorHAnsi"/>
          <w:i/>
          <w:iCs/>
          <w:color w:val="000000" w:themeColor="text1"/>
          <w:shd w:val="clear" w:color="auto" w:fill="FFFFFF"/>
          <w:lang w:eastAsia="en-GB"/>
        </w:rPr>
        <w:t>Citizenship Studies</w:t>
      </w:r>
      <w:r w:rsidRPr="001279EF">
        <w:rPr>
          <w:rFonts w:eastAsia="Times New Roman" w:cstheme="minorHAnsi"/>
          <w:color w:val="000000" w:themeColor="text1"/>
          <w:shd w:val="clear" w:color="auto" w:fill="FFFFFF"/>
          <w:lang w:eastAsia="en-GB"/>
        </w:rPr>
        <w:t>, 18(1), 81-98.</w:t>
      </w:r>
    </w:p>
    <w:p w14:paraId="42929E0A" w14:textId="2D837FAC" w:rsidR="00772273" w:rsidRPr="001279EF" w:rsidRDefault="00772273" w:rsidP="00772273">
      <w:pPr>
        <w:spacing w:after="0" w:line="360" w:lineRule="auto"/>
        <w:rPr>
          <w:rFonts w:cstheme="minorHAnsi"/>
          <w:color w:val="000000" w:themeColor="text1"/>
        </w:rPr>
      </w:pPr>
      <w:r w:rsidRPr="001279EF">
        <w:rPr>
          <w:rFonts w:cstheme="minorHAnsi"/>
        </w:rPr>
        <w:t xml:space="preserve">House of Commons (2014) </w:t>
      </w:r>
      <w:r w:rsidRPr="001279EF">
        <w:rPr>
          <w:rFonts w:cstheme="minorHAnsi"/>
          <w:i/>
        </w:rPr>
        <w:t xml:space="preserve">Voter </w:t>
      </w:r>
      <w:r w:rsidRPr="001279EF">
        <w:rPr>
          <w:rFonts w:cstheme="minorHAnsi"/>
          <w:i/>
          <w:color w:val="000000" w:themeColor="text1"/>
        </w:rPr>
        <w:t>engagement in the UK</w:t>
      </w:r>
      <w:r w:rsidRPr="001279EF">
        <w:rPr>
          <w:rFonts w:cstheme="minorHAnsi"/>
          <w:color w:val="000000" w:themeColor="text1"/>
        </w:rPr>
        <w:t xml:space="preserve">, Political and Constitutional Reform </w:t>
      </w:r>
    </w:p>
    <w:p w14:paraId="0DC5B07D" w14:textId="72DAFB21" w:rsidR="00772273" w:rsidRPr="001279EF" w:rsidRDefault="00772273" w:rsidP="00772273">
      <w:pPr>
        <w:spacing w:after="0" w:line="360" w:lineRule="auto"/>
        <w:rPr>
          <w:rFonts w:cstheme="minorHAnsi"/>
          <w:color w:val="000000" w:themeColor="text1"/>
        </w:rPr>
      </w:pPr>
      <w:r w:rsidRPr="001279EF">
        <w:rPr>
          <w:rFonts w:cstheme="minorHAnsi"/>
          <w:color w:val="000000" w:themeColor="text1"/>
        </w:rPr>
        <w:t>Committee fourth report 2014-15, November.</w:t>
      </w:r>
    </w:p>
    <w:p w14:paraId="7410707E" w14:textId="55E128FB" w:rsidR="00772273" w:rsidRPr="001279EF" w:rsidRDefault="00772273" w:rsidP="00772273">
      <w:pPr>
        <w:spacing w:after="0" w:line="360" w:lineRule="auto"/>
        <w:rPr>
          <w:rFonts w:cstheme="minorHAnsi"/>
        </w:rPr>
      </w:pPr>
      <w:r w:rsidRPr="001279EF">
        <w:rPr>
          <w:rFonts w:cstheme="minorHAnsi"/>
        </w:rPr>
        <w:t xml:space="preserve">House of Lords (2018) </w:t>
      </w:r>
      <w:r w:rsidRPr="001279EF">
        <w:rPr>
          <w:rFonts w:cstheme="minorHAnsi"/>
          <w:i/>
          <w:iCs/>
        </w:rPr>
        <w:t>The Ties that Bind: Citizenship and Civic Engagement, Citizenship and Civic Engagement report</w:t>
      </w:r>
      <w:r w:rsidRPr="001279EF">
        <w:rPr>
          <w:rFonts w:cstheme="minorHAnsi"/>
        </w:rPr>
        <w:t>, HL Paper 118, April.</w:t>
      </w:r>
    </w:p>
    <w:p w14:paraId="79877343" w14:textId="77777777" w:rsidR="001F4147" w:rsidRPr="000A7E65" w:rsidRDefault="00772273" w:rsidP="001F4147">
      <w:pPr>
        <w:spacing w:after="0" w:line="360" w:lineRule="auto"/>
        <w:rPr>
          <w:rFonts w:cstheme="minorHAnsi"/>
          <w:color w:val="000000" w:themeColor="text1"/>
        </w:rPr>
      </w:pPr>
      <w:r w:rsidRPr="001279EF">
        <w:rPr>
          <w:rFonts w:cstheme="minorHAnsi"/>
        </w:rPr>
        <w:t xml:space="preserve">Hulme, R. and Hulme, R. (2012) ‘Policy learning? Crisis, evidence and reinvention in the making of public </w:t>
      </w:r>
      <w:r w:rsidRPr="000A7E65">
        <w:rPr>
          <w:rFonts w:cstheme="minorHAnsi"/>
          <w:color w:val="000000" w:themeColor="text1"/>
        </w:rPr>
        <w:t xml:space="preserve">policy’, </w:t>
      </w:r>
      <w:r w:rsidRPr="000A7E65">
        <w:rPr>
          <w:rFonts w:cstheme="minorHAnsi"/>
          <w:i/>
          <w:color w:val="000000" w:themeColor="text1"/>
        </w:rPr>
        <w:t>Policy and Politics</w:t>
      </w:r>
      <w:r w:rsidRPr="000A7E65">
        <w:rPr>
          <w:rFonts w:cstheme="minorHAnsi"/>
          <w:color w:val="000000" w:themeColor="text1"/>
        </w:rPr>
        <w:t>, 40(4), 473-89.</w:t>
      </w:r>
    </w:p>
    <w:p w14:paraId="686691EF" w14:textId="6F9910B3" w:rsidR="001F4147" w:rsidRPr="000A7E65" w:rsidRDefault="001F4147" w:rsidP="001F4147">
      <w:pPr>
        <w:spacing w:after="0" w:line="360" w:lineRule="auto"/>
        <w:rPr>
          <w:rFonts w:cstheme="minorHAnsi"/>
          <w:color w:val="000000" w:themeColor="text1"/>
          <w:lang w:eastAsia="en-GB"/>
        </w:rPr>
      </w:pPr>
      <w:r w:rsidRPr="000A7E65">
        <w:rPr>
          <w:rFonts w:cstheme="minorHAnsi"/>
          <w:color w:val="000000" w:themeColor="text1"/>
        </w:rPr>
        <w:t xml:space="preserve">Judge, D. (2006) </w:t>
      </w:r>
      <w:r w:rsidRPr="000A7E65">
        <w:rPr>
          <w:color w:val="000000" w:themeColor="text1"/>
          <w:lang w:eastAsia="en-GB"/>
        </w:rPr>
        <w:t xml:space="preserve">‘This is What Democracy Looks Like’: New Labour’s Blind Spot and Peripheral Vision’, </w:t>
      </w:r>
      <w:r w:rsidRPr="000A7E65">
        <w:rPr>
          <w:rFonts w:cstheme="minorHAnsi"/>
          <w:i/>
          <w:iCs/>
          <w:color w:val="000000" w:themeColor="text1"/>
          <w:lang w:eastAsia="en-GB"/>
        </w:rPr>
        <w:t>British Politics</w:t>
      </w:r>
      <w:r w:rsidRPr="000A7E65">
        <w:rPr>
          <w:rFonts w:cstheme="minorHAnsi"/>
          <w:color w:val="000000" w:themeColor="text1"/>
          <w:lang w:eastAsia="en-GB"/>
        </w:rPr>
        <w:t>, 1(3), 367–396.</w:t>
      </w:r>
    </w:p>
    <w:p w14:paraId="44C9ED8E" w14:textId="77777777" w:rsidR="00772273" w:rsidRPr="000A7E65" w:rsidRDefault="00772273" w:rsidP="00772273">
      <w:pPr>
        <w:spacing w:after="0" w:line="360" w:lineRule="auto"/>
        <w:rPr>
          <w:rFonts w:cstheme="minorHAnsi"/>
          <w:color w:val="000000" w:themeColor="text1"/>
        </w:rPr>
      </w:pPr>
      <w:proofErr w:type="spellStart"/>
      <w:r w:rsidRPr="000A7E65">
        <w:rPr>
          <w:rFonts w:cstheme="minorHAnsi"/>
          <w:color w:val="000000" w:themeColor="text1"/>
        </w:rPr>
        <w:t>Kisby</w:t>
      </w:r>
      <w:proofErr w:type="spellEnd"/>
      <w:r w:rsidRPr="000A7E65">
        <w:rPr>
          <w:rFonts w:cstheme="minorHAnsi"/>
          <w:color w:val="000000" w:themeColor="text1"/>
        </w:rPr>
        <w:t xml:space="preserve">, B. and </w:t>
      </w:r>
      <w:proofErr w:type="spellStart"/>
      <w:r w:rsidRPr="000A7E65">
        <w:rPr>
          <w:rFonts w:cstheme="minorHAnsi"/>
          <w:color w:val="000000" w:themeColor="text1"/>
        </w:rPr>
        <w:t>Sloam</w:t>
      </w:r>
      <w:proofErr w:type="spellEnd"/>
      <w:r w:rsidRPr="000A7E65">
        <w:rPr>
          <w:rFonts w:cstheme="minorHAnsi"/>
          <w:color w:val="000000" w:themeColor="text1"/>
        </w:rPr>
        <w:t xml:space="preserve">, J. (2012) ‘Citizenship, democracy and education in the UK: towards a common framework for citizenship lessons in the four home nations’, </w:t>
      </w:r>
      <w:r w:rsidRPr="000A7E65">
        <w:rPr>
          <w:rFonts w:cstheme="minorHAnsi"/>
          <w:i/>
          <w:iCs/>
          <w:color w:val="000000" w:themeColor="text1"/>
        </w:rPr>
        <w:t>Parliamentary Affairs</w:t>
      </w:r>
      <w:r w:rsidRPr="000A7E65">
        <w:rPr>
          <w:rFonts w:cstheme="minorHAnsi"/>
          <w:color w:val="000000" w:themeColor="text1"/>
        </w:rPr>
        <w:t>, 65(1), 68-89.</w:t>
      </w:r>
    </w:p>
    <w:p w14:paraId="5B33C213" w14:textId="77777777" w:rsidR="00AB78DF" w:rsidRDefault="00772273" w:rsidP="00AB78DF">
      <w:pPr>
        <w:spacing w:after="0" w:line="360" w:lineRule="auto"/>
        <w:rPr>
          <w:rFonts w:cstheme="minorHAnsi"/>
          <w:color w:val="000000" w:themeColor="text1"/>
        </w:rPr>
      </w:pPr>
      <w:r w:rsidRPr="00AB78DF">
        <w:rPr>
          <w:rFonts w:cstheme="minorHAnsi"/>
          <w:color w:val="000000" w:themeColor="text1"/>
        </w:rPr>
        <w:t xml:space="preserve">Labour Party (1966) </w:t>
      </w:r>
      <w:r w:rsidRPr="00AB78DF">
        <w:rPr>
          <w:rFonts w:cstheme="minorHAnsi"/>
          <w:i/>
          <w:color w:val="000000" w:themeColor="text1"/>
        </w:rPr>
        <w:t>Time for Decision. Labour Party Election Manifesto</w:t>
      </w:r>
      <w:r w:rsidRPr="00AB78DF">
        <w:rPr>
          <w:rFonts w:cstheme="minorHAnsi"/>
          <w:color w:val="000000" w:themeColor="text1"/>
        </w:rPr>
        <w:t>, London: Labour Party.</w:t>
      </w:r>
    </w:p>
    <w:p w14:paraId="4C3EC696" w14:textId="2858C857" w:rsidR="00AB78DF" w:rsidRPr="00AB78DF" w:rsidRDefault="00AB78DF" w:rsidP="00AB78DF">
      <w:pPr>
        <w:spacing w:after="0" w:line="360" w:lineRule="auto"/>
        <w:rPr>
          <w:rFonts w:cstheme="minorHAnsi"/>
          <w:color w:val="000000" w:themeColor="text1"/>
        </w:rPr>
      </w:pPr>
      <w:r w:rsidRPr="00AB78DF">
        <w:rPr>
          <w:rFonts w:eastAsia="Times New Roman" w:cstheme="minorHAnsi"/>
          <w:color w:val="333333"/>
          <w:lang w:eastAsia="en-GB"/>
        </w:rPr>
        <w:t>Loughran,</w:t>
      </w:r>
      <w:r>
        <w:rPr>
          <w:rFonts w:eastAsia="Times New Roman" w:cstheme="minorHAnsi"/>
          <w:color w:val="333333"/>
          <w:lang w:eastAsia="en-GB"/>
        </w:rPr>
        <w:t xml:space="preserve"> T.,</w:t>
      </w:r>
      <w:r w:rsidRPr="00AB78DF">
        <w:rPr>
          <w:rFonts w:eastAsia="Times New Roman" w:cstheme="minorHAnsi"/>
          <w:color w:val="333333"/>
          <w:lang w:eastAsia="en-GB"/>
        </w:rPr>
        <w:t xml:space="preserve"> </w:t>
      </w:r>
      <w:proofErr w:type="spellStart"/>
      <w:r w:rsidRPr="00AB78DF">
        <w:rPr>
          <w:rFonts w:eastAsia="Times New Roman" w:cstheme="minorHAnsi"/>
          <w:color w:val="333333"/>
          <w:lang w:eastAsia="en-GB"/>
        </w:rPr>
        <w:t>Mycock</w:t>
      </w:r>
      <w:proofErr w:type="spellEnd"/>
      <w:r>
        <w:rPr>
          <w:rFonts w:eastAsia="Times New Roman" w:cstheme="minorHAnsi"/>
          <w:color w:val="333333"/>
          <w:lang w:eastAsia="en-GB"/>
        </w:rPr>
        <w:t>, A.,</w:t>
      </w:r>
      <w:r w:rsidRPr="00AB78DF">
        <w:rPr>
          <w:rFonts w:eastAsia="Times New Roman" w:cstheme="minorHAnsi"/>
          <w:color w:val="333333"/>
          <w:lang w:eastAsia="en-GB"/>
        </w:rPr>
        <w:t xml:space="preserve"> </w:t>
      </w:r>
      <w:r>
        <w:rPr>
          <w:rFonts w:eastAsia="Times New Roman" w:cstheme="minorHAnsi"/>
          <w:color w:val="333333"/>
          <w:lang w:eastAsia="en-GB"/>
        </w:rPr>
        <w:t xml:space="preserve">and </w:t>
      </w:r>
      <w:proofErr w:type="spellStart"/>
      <w:r w:rsidRPr="00AB78DF">
        <w:rPr>
          <w:rFonts w:eastAsia="Times New Roman" w:cstheme="minorHAnsi"/>
          <w:color w:val="333333"/>
          <w:lang w:eastAsia="en-GB"/>
        </w:rPr>
        <w:t>Tonge</w:t>
      </w:r>
      <w:proofErr w:type="spellEnd"/>
      <w:r>
        <w:rPr>
          <w:rFonts w:eastAsia="Times New Roman" w:cstheme="minorHAnsi"/>
          <w:color w:val="333333"/>
          <w:lang w:eastAsia="en-GB"/>
        </w:rPr>
        <w:t>, J.,</w:t>
      </w:r>
      <w:r w:rsidRPr="00AB78DF">
        <w:rPr>
          <w:rFonts w:eastAsia="Times New Roman" w:cstheme="minorHAnsi"/>
          <w:color w:val="333333"/>
          <w:shd w:val="clear" w:color="auto" w:fill="FFFFFF"/>
          <w:lang w:eastAsia="en-GB"/>
        </w:rPr>
        <w:t> </w:t>
      </w:r>
      <w:r w:rsidRPr="00AB78DF">
        <w:rPr>
          <w:rFonts w:eastAsia="Times New Roman" w:cstheme="minorHAnsi"/>
          <w:color w:val="333333"/>
          <w:lang w:eastAsia="en-GB"/>
        </w:rPr>
        <w:t>(2021</w:t>
      </w:r>
      <w:r>
        <w:rPr>
          <w:rFonts w:eastAsia="Times New Roman" w:cstheme="minorHAnsi"/>
          <w:color w:val="333333"/>
          <w:lang w:eastAsia="en-GB"/>
        </w:rPr>
        <w:t>a</w:t>
      </w:r>
      <w:r w:rsidRPr="00AB78DF">
        <w:rPr>
          <w:rFonts w:eastAsia="Times New Roman" w:cstheme="minorHAnsi"/>
          <w:color w:val="333333"/>
          <w:lang w:eastAsia="en-GB"/>
        </w:rPr>
        <w:t>)</w:t>
      </w:r>
      <w:r w:rsidRPr="00AB78DF">
        <w:rPr>
          <w:rFonts w:eastAsia="Times New Roman" w:cstheme="minorHAnsi"/>
          <w:color w:val="333333"/>
          <w:shd w:val="clear" w:color="auto" w:fill="FFFFFF"/>
          <w:lang w:eastAsia="en-GB"/>
        </w:rPr>
        <w:t> </w:t>
      </w:r>
      <w:r>
        <w:rPr>
          <w:rFonts w:eastAsia="Times New Roman" w:cstheme="minorHAnsi"/>
          <w:color w:val="333333"/>
          <w:shd w:val="clear" w:color="auto" w:fill="FFFFFF"/>
          <w:lang w:eastAsia="en-GB"/>
        </w:rPr>
        <w:t>‘</w:t>
      </w:r>
      <w:r w:rsidRPr="00AB78DF">
        <w:rPr>
          <w:rFonts w:eastAsia="Times New Roman" w:cstheme="minorHAnsi"/>
          <w:color w:val="333333"/>
          <w:lang w:eastAsia="en-GB"/>
        </w:rPr>
        <w:t>A coming of age: how and why the UK became the first democracy to allow votes for 18-year-olds</w:t>
      </w:r>
      <w:r>
        <w:rPr>
          <w:rFonts w:eastAsia="Times New Roman" w:cstheme="minorHAnsi"/>
          <w:color w:val="333333"/>
          <w:lang w:eastAsia="en-GB"/>
        </w:rPr>
        <w:t>’</w:t>
      </w:r>
      <w:r w:rsidRPr="00AB78DF">
        <w:rPr>
          <w:rFonts w:eastAsia="Times New Roman" w:cstheme="minorHAnsi"/>
          <w:color w:val="333333"/>
          <w:lang w:eastAsia="en-GB"/>
        </w:rPr>
        <w:t>,</w:t>
      </w:r>
      <w:r w:rsidRPr="00AB78DF">
        <w:rPr>
          <w:rFonts w:eastAsia="Times New Roman" w:cstheme="minorHAnsi"/>
          <w:color w:val="333333"/>
          <w:shd w:val="clear" w:color="auto" w:fill="FFFFFF"/>
          <w:lang w:eastAsia="en-GB"/>
        </w:rPr>
        <w:t> </w:t>
      </w:r>
      <w:r w:rsidRPr="00725D75">
        <w:rPr>
          <w:rFonts w:eastAsia="Times New Roman" w:cstheme="minorHAnsi"/>
          <w:i/>
          <w:iCs/>
          <w:color w:val="333333"/>
          <w:lang w:eastAsia="en-GB"/>
        </w:rPr>
        <w:t>Contemporary British History</w:t>
      </w:r>
      <w:r w:rsidRPr="00AB78DF">
        <w:rPr>
          <w:rFonts w:eastAsia="Times New Roman" w:cstheme="minorHAnsi"/>
          <w:color w:val="333333"/>
          <w:lang w:eastAsia="en-GB"/>
        </w:rPr>
        <w:t>,</w:t>
      </w:r>
      <w:r w:rsidRPr="00AB78DF">
        <w:rPr>
          <w:rFonts w:eastAsia="Times New Roman" w:cstheme="minorHAnsi"/>
          <w:color w:val="333333"/>
          <w:shd w:val="clear" w:color="auto" w:fill="FFFFFF"/>
          <w:lang w:eastAsia="en-GB"/>
        </w:rPr>
        <w:t> </w:t>
      </w:r>
      <w:r w:rsidRPr="00AB78DF">
        <w:rPr>
          <w:rFonts w:eastAsia="Times New Roman" w:cstheme="minorHAnsi"/>
          <w:color w:val="333333"/>
          <w:lang w:eastAsia="en-GB"/>
        </w:rPr>
        <w:t>35</w:t>
      </w:r>
      <w:r>
        <w:rPr>
          <w:rFonts w:eastAsia="Times New Roman" w:cstheme="minorHAnsi"/>
          <w:color w:val="333333"/>
          <w:lang w:eastAsia="en-GB"/>
        </w:rPr>
        <w:t>(</w:t>
      </w:r>
      <w:r w:rsidRPr="00AB78DF">
        <w:rPr>
          <w:rFonts w:eastAsia="Times New Roman" w:cstheme="minorHAnsi"/>
          <w:color w:val="333333"/>
          <w:lang w:eastAsia="en-GB"/>
        </w:rPr>
        <w:t>2</w:t>
      </w:r>
      <w:r>
        <w:rPr>
          <w:rFonts w:eastAsia="Times New Roman" w:cstheme="minorHAnsi"/>
          <w:color w:val="333333"/>
          <w:lang w:eastAsia="en-GB"/>
        </w:rPr>
        <w:t>)</w:t>
      </w:r>
      <w:r w:rsidRPr="00AB78DF">
        <w:rPr>
          <w:rFonts w:eastAsia="Times New Roman" w:cstheme="minorHAnsi"/>
          <w:color w:val="333333"/>
          <w:lang w:eastAsia="en-GB"/>
        </w:rPr>
        <w:t>,</w:t>
      </w:r>
      <w:r w:rsidRPr="00AB78DF">
        <w:rPr>
          <w:rFonts w:eastAsia="Times New Roman" w:cstheme="minorHAnsi"/>
          <w:color w:val="333333"/>
          <w:shd w:val="clear" w:color="auto" w:fill="FFFFFF"/>
          <w:lang w:eastAsia="en-GB"/>
        </w:rPr>
        <w:t> </w:t>
      </w:r>
      <w:r w:rsidRPr="00AB78DF">
        <w:rPr>
          <w:rFonts w:eastAsia="Times New Roman" w:cstheme="minorHAnsi"/>
          <w:color w:val="333333"/>
          <w:lang w:eastAsia="en-GB"/>
        </w:rPr>
        <w:t>284-313</w:t>
      </w:r>
      <w:r>
        <w:rPr>
          <w:rFonts w:eastAsia="Times New Roman" w:cstheme="minorHAnsi"/>
          <w:color w:val="333333"/>
          <w:lang w:eastAsia="en-GB"/>
        </w:rPr>
        <w:t>.</w:t>
      </w:r>
    </w:p>
    <w:p w14:paraId="175A7BCA" w14:textId="330A6F50" w:rsidR="000A7E65" w:rsidRPr="000A7E65" w:rsidRDefault="000A7E65" w:rsidP="000A7E65">
      <w:pPr>
        <w:spacing w:after="0" w:line="360" w:lineRule="auto"/>
        <w:rPr>
          <w:rFonts w:eastAsia="Times New Roman" w:cstheme="minorHAnsi"/>
          <w:color w:val="000000" w:themeColor="text1"/>
          <w:shd w:val="clear" w:color="auto" w:fill="FFFFFF"/>
          <w:lang w:eastAsia="en-GB"/>
        </w:rPr>
      </w:pPr>
      <w:r w:rsidRPr="000A7E65">
        <w:rPr>
          <w:rFonts w:eastAsia="Times New Roman" w:cstheme="minorHAnsi"/>
          <w:color w:val="000000" w:themeColor="text1"/>
          <w:shd w:val="clear" w:color="auto" w:fill="FFFFFF"/>
          <w:lang w:eastAsia="en-GB"/>
        </w:rPr>
        <w:t xml:space="preserve">Loughran T, </w:t>
      </w:r>
      <w:proofErr w:type="spellStart"/>
      <w:r w:rsidRPr="000A7E65">
        <w:rPr>
          <w:rFonts w:eastAsia="Times New Roman" w:cstheme="minorHAnsi"/>
          <w:color w:val="000000" w:themeColor="text1"/>
          <w:shd w:val="clear" w:color="auto" w:fill="FFFFFF"/>
          <w:lang w:eastAsia="en-GB"/>
        </w:rPr>
        <w:t>Mycock</w:t>
      </w:r>
      <w:proofErr w:type="spellEnd"/>
      <w:r w:rsidRPr="000A7E65">
        <w:rPr>
          <w:rFonts w:eastAsia="Times New Roman" w:cstheme="minorHAnsi"/>
          <w:color w:val="000000" w:themeColor="text1"/>
          <w:shd w:val="clear" w:color="auto" w:fill="FFFFFF"/>
          <w:lang w:eastAsia="en-GB"/>
        </w:rPr>
        <w:t xml:space="preserve"> A, </w:t>
      </w:r>
      <w:proofErr w:type="spellStart"/>
      <w:r w:rsidRPr="000A7E65">
        <w:rPr>
          <w:rFonts w:eastAsia="Times New Roman" w:cstheme="minorHAnsi"/>
          <w:color w:val="000000" w:themeColor="text1"/>
          <w:shd w:val="clear" w:color="auto" w:fill="FFFFFF"/>
          <w:lang w:eastAsia="en-GB"/>
        </w:rPr>
        <w:t>Tonge</w:t>
      </w:r>
      <w:proofErr w:type="spellEnd"/>
      <w:r w:rsidRPr="000A7E65">
        <w:rPr>
          <w:rFonts w:eastAsia="Times New Roman" w:cstheme="minorHAnsi"/>
          <w:color w:val="000000" w:themeColor="text1"/>
          <w:shd w:val="clear" w:color="auto" w:fill="FFFFFF"/>
          <w:lang w:eastAsia="en-GB"/>
        </w:rPr>
        <w:t xml:space="preserve"> J. </w:t>
      </w:r>
      <w:r>
        <w:rPr>
          <w:rFonts w:eastAsia="Times New Roman" w:cstheme="minorHAnsi"/>
          <w:color w:val="000000" w:themeColor="text1"/>
          <w:shd w:val="clear" w:color="auto" w:fill="FFFFFF"/>
          <w:lang w:eastAsia="en-GB"/>
        </w:rPr>
        <w:t>(2021</w:t>
      </w:r>
      <w:r w:rsidR="00AB78DF">
        <w:rPr>
          <w:rFonts w:eastAsia="Times New Roman" w:cstheme="minorHAnsi"/>
          <w:color w:val="000000" w:themeColor="text1"/>
          <w:shd w:val="clear" w:color="auto" w:fill="FFFFFF"/>
          <w:lang w:eastAsia="en-GB"/>
        </w:rPr>
        <w:t>b</w:t>
      </w:r>
      <w:r>
        <w:rPr>
          <w:rFonts w:eastAsia="Times New Roman" w:cstheme="minorHAnsi"/>
          <w:color w:val="000000" w:themeColor="text1"/>
          <w:shd w:val="clear" w:color="auto" w:fill="FFFFFF"/>
          <w:lang w:eastAsia="en-GB"/>
        </w:rPr>
        <w:t xml:space="preserve">) </w:t>
      </w:r>
      <w:r w:rsidRPr="000A7E65">
        <w:rPr>
          <w:rFonts w:eastAsia="Times New Roman" w:cstheme="minorHAnsi"/>
          <w:color w:val="000000" w:themeColor="text1"/>
          <w:shd w:val="clear" w:color="auto" w:fill="FFFFFF"/>
          <w:lang w:eastAsia="en-GB"/>
        </w:rPr>
        <w:t>Public opinion, political partisanship and the Votes-at-16 debate in the United Kingdom. </w:t>
      </w:r>
      <w:r w:rsidRPr="000A7E65">
        <w:rPr>
          <w:rFonts w:eastAsia="Times New Roman" w:cstheme="minorHAnsi"/>
          <w:i/>
          <w:iCs/>
          <w:color w:val="000000" w:themeColor="text1"/>
          <w:lang w:eastAsia="en-GB"/>
        </w:rPr>
        <w:t>The British Journal of Politics and International Relations</w:t>
      </w:r>
      <w:r>
        <w:rPr>
          <w:rFonts w:eastAsia="Times New Roman" w:cstheme="minorHAnsi"/>
          <w:color w:val="000000" w:themeColor="text1"/>
          <w:shd w:val="clear" w:color="auto" w:fill="FFFFFF"/>
          <w:lang w:eastAsia="en-GB"/>
        </w:rPr>
        <w:t>,</w:t>
      </w:r>
      <w:r w:rsidRPr="000A7E65">
        <w:rPr>
          <w:rFonts w:eastAsia="Times New Roman" w:cstheme="minorHAnsi"/>
          <w:color w:val="000000" w:themeColor="text1"/>
          <w:shd w:val="clear" w:color="auto" w:fill="FFFFFF"/>
          <w:lang w:eastAsia="en-GB"/>
        </w:rPr>
        <w:t xml:space="preserve"> </w:t>
      </w:r>
      <w:r>
        <w:rPr>
          <w:rFonts w:eastAsia="Times New Roman" w:cstheme="minorHAnsi"/>
          <w:color w:val="000000" w:themeColor="text1"/>
          <w:shd w:val="clear" w:color="auto" w:fill="FFFFFF"/>
          <w:lang w:eastAsia="en-GB"/>
        </w:rPr>
        <w:t>Online First.</w:t>
      </w:r>
    </w:p>
    <w:p w14:paraId="31448A7B" w14:textId="031F5772" w:rsidR="007B77A5" w:rsidRPr="007B77A5" w:rsidRDefault="007B77A5" w:rsidP="007B77A5">
      <w:pPr>
        <w:spacing w:after="0" w:line="360" w:lineRule="auto"/>
        <w:rPr>
          <w:rFonts w:cstheme="minorHAnsi"/>
        </w:rPr>
      </w:pPr>
      <w:r w:rsidRPr="000A7E65">
        <w:rPr>
          <w:rFonts w:cstheme="minorHAnsi"/>
          <w:color w:val="000000" w:themeColor="text1"/>
        </w:rPr>
        <w:t xml:space="preserve">McAllister, L., Campbell, R., Childs, S., Clements R., Farrell, D., Renwick, A., and Silk, P. (2017) </w:t>
      </w:r>
      <w:r w:rsidRPr="000A7E65">
        <w:rPr>
          <w:rFonts w:cstheme="minorHAnsi"/>
          <w:i/>
          <w:iCs/>
          <w:color w:val="000000" w:themeColor="text1"/>
        </w:rPr>
        <w:t>A Parliament That Works for Wales: The report of the Expert Panel on Assembly Electoral Reform</w:t>
      </w:r>
      <w:r w:rsidRPr="000A7E65">
        <w:rPr>
          <w:rFonts w:cstheme="minorHAnsi"/>
          <w:color w:val="000000" w:themeColor="text1"/>
        </w:rPr>
        <w:t xml:space="preserve">. Welsh Assembly </w:t>
      </w:r>
      <w:r w:rsidRPr="000A7E65">
        <w:rPr>
          <w:rFonts w:cstheme="minorHAnsi"/>
          <w:color w:val="000000"/>
        </w:rPr>
        <w:t>Commission</w:t>
      </w:r>
      <w:r w:rsidRPr="007B77A5">
        <w:rPr>
          <w:rFonts w:cstheme="minorHAnsi"/>
          <w:color w:val="000000"/>
        </w:rPr>
        <w:t>.</w:t>
      </w:r>
    </w:p>
    <w:p w14:paraId="038B31C7" w14:textId="4F7E09A3" w:rsidR="00D764B9" w:rsidRPr="001279EF" w:rsidRDefault="00D764B9" w:rsidP="00D764B9">
      <w:pPr>
        <w:spacing w:after="0" w:line="360" w:lineRule="auto"/>
        <w:rPr>
          <w:rFonts w:eastAsia="Times New Roman" w:cstheme="minorHAnsi"/>
          <w:lang w:eastAsia="en-GB"/>
        </w:rPr>
      </w:pPr>
      <w:r w:rsidRPr="001279EF">
        <w:rPr>
          <w:rFonts w:eastAsia="Times New Roman" w:cstheme="minorHAnsi"/>
          <w:lang w:eastAsia="en-GB"/>
        </w:rPr>
        <w:lastRenderedPageBreak/>
        <w:t xml:space="preserve">McConnell, A. (2010) </w:t>
      </w:r>
      <w:r w:rsidRPr="001279EF">
        <w:rPr>
          <w:rFonts w:eastAsia="Times New Roman" w:cstheme="minorHAnsi"/>
          <w:i/>
          <w:iCs/>
          <w:lang w:eastAsia="en-GB"/>
        </w:rPr>
        <w:t>Understanding Policy Success: Rethinking Public Policy,</w:t>
      </w:r>
      <w:r w:rsidRPr="001279EF">
        <w:rPr>
          <w:rFonts w:eastAsia="Times New Roman" w:cstheme="minorHAnsi"/>
          <w:lang w:eastAsia="en-GB"/>
        </w:rPr>
        <w:t xml:space="preserve"> Basingstoke: Palgrave Macmillan. </w:t>
      </w:r>
    </w:p>
    <w:p w14:paraId="1A8EBDC1" w14:textId="6B73255C" w:rsidR="008A76DD" w:rsidRPr="008A76DD" w:rsidRDefault="008A76DD" w:rsidP="008A76DD">
      <w:pPr>
        <w:spacing w:after="0" w:line="360" w:lineRule="auto"/>
        <w:rPr>
          <w:rFonts w:eastAsia="Times New Roman" w:cstheme="minorHAnsi"/>
          <w:lang w:eastAsia="en-GB"/>
        </w:rPr>
      </w:pPr>
      <w:r w:rsidRPr="008A76DD">
        <w:rPr>
          <w:rFonts w:eastAsia="Times New Roman" w:cstheme="minorHAnsi"/>
          <w:color w:val="000000" w:themeColor="text1"/>
          <w:shd w:val="clear" w:color="auto" w:fill="FCFCFC"/>
          <w:lang w:eastAsia="en-GB"/>
        </w:rPr>
        <w:t xml:space="preserve">Mukherjee, I., Coban, M.K. &amp; Bali, A.S. </w:t>
      </w:r>
      <w:r>
        <w:rPr>
          <w:rFonts w:eastAsia="Times New Roman" w:cstheme="minorHAnsi"/>
          <w:color w:val="000000" w:themeColor="text1"/>
          <w:shd w:val="clear" w:color="auto" w:fill="FCFCFC"/>
          <w:lang w:eastAsia="en-GB"/>
        </w:rPr>
        <w:t xml:space="preserve">(2021) </w:t>
      </w:r>
      <w:r w:rsidRPr="008A76DD">
        <w:rPr>
          <w:rFonts w:eastAsia="Times New Roman" w:cstheme="minorHAnsi"/>
          <w:i/>
          <w:iCs/>
          <w:color w:val="000000" w:themeColor="text1"/>
          <w:shd w:val="clear" w:color="auto" w:fill="FCFCFC"/>
          <w:lang w:eastAsia="en-GB"/>
        </w:rPr>
        <w:t>Policy capacities and effective policy design: a review</w:t>
      </w:r>
      <w:r>
        <w:rPr>
          <w:rFonts w:eastAsia="Times New Roman" w:cstheme="minorHAnsi"/>
          <w:color w:val="000000" w:themeColor="text1"/>
          <w:shd w:val="clear" w:color="auto" w:fill="FCFCFC"/>
          <w:lang w:eastAsia="en-GB"/>
        </w:rPr>
        <w:t>,</w:t>
      </w:r>
      <w:r w:rsidRPr="008A76DD">
        <w:rPr>
          <w:rFonts w:eastAsia="Times New Roman" w:cstheme="minorHAnsi"/>
          <w:color w:val="000000" w:themeColor="text1"/>
          <w:shd w:val="clear" w:color="auto" w:fill="FCFCFC"/>
          <w:lang w:eastAsia="en-GB"/>
        </w:rPr>
        <w:t> </w:t>
      </w:r>
      <w:r w:rsidRPr="008A76DD">
        <w:rPr>
          <w:rFonts w:eastAsia="Times New Roman" w:cstheme="minorHAnsi"/>
          <w:i/>
          <w:iCs/>
          <w:color w:val="000000" w:themeColor="text1"/>
          <w:lang w:eastAsia="en-GB"/>
        </w:rPr>
        <w:t>Policy Sc</w:t>
      </w:r>
      <w:r>
        <w:rPr>
          <w:rFonts w:eastAsia="Times New Roman" w:cstheme="minorHAnsi"/>
          <w:i/>
          <w:iCs/>
          <w:color w:val="000000" w:themeColor="text1"/>
          <w:lang w:eastAsia="en-GB"/>
        </w:rPr>
        <w:t xml:space="preserve">iences, </w:t>
      </w:r>
      <w:r>
        <w:rPr>
          <w:rFonts w:eastAsia="Times New Roman" w:cstheme="minorHAnsi"/>
          <w:color w:val="000000" w:themeColor="text1"/>
          <w:lang w:eastAsia="en-GB"/>
        </w:rPr>
        <w:t xml:space="preserve">54(2), </w:t>
      </w:r>
      <w:r w:rsidRPr="008A76DD">
        <w:rPr>
          <w:rFonts w:eastAsia="Times New Roman" w:cstheme="minorHAnsi"/>
          <w:color w:val="000000" w:themeColor="text1"/>
          <w:shd w:val="clear" w:color="auto" w:fill="FCFCFC"/>
          <w:lang w:eastAsia="en-GB"/>
        </w:rPr>
        <w:t>243–268</w:t>
      </w:r>
      <w:r>
        <w:rPr>
          <w:rFonts w:eastAsia="Times New Roman" w:cstheme="minorHAnsi"/>
          <w:color w:val="000000" w:themeColor="text1"/>
          <w:shd w:val="clear" w:color="auto" w:fill="FCFCFC"/>
          <w:lang w:eastAsia="en-GB"/>
        </w:rPr>
        <w:t>.</w:t>
      </w:r>
    </w:p>
    <w:p w14:paraId="141D95BE" w14:textId="48B9CA32" w:rsidR="001279EF" w:rsidRDefault="001279EF" w:rsidP="001279EF">
      <w:pPr>
        <w:pStyle w:val="Heading1"/>
        <w:shd w:val="clear" w:color="auto" w:fill="FFFFFF"/>
        <w:spacing w:before="0" w:line="360" w:lineRule="auto"/>
        <w:rPr>
          <w:rFonts w:asciiTheme="minorHAnsi" w:hAnsiTheme="minorHAnsi" w:cstheme="minorHAnsi"/>
          <w:color w:val="auto"/>
          <w:sz w:val="22"/>
          <w:szCs w:val="22"/>
        </w:rPr>
      </w:pPr>
      <w:proofErr w:type="spellStart"/>
      <w:r w:rsidRPr="00772273">
        <w:rPr>
          <w:rFonts w:asciiTheme="minorHAnsi" w:hAnsiTheme="minorHAnsi" w:cstheme="minorHAnsi"/>
          <w:color w:val="auto"/>
          <w:sz w:val="22"/>
          <w:szCs w:val="22"/>
          <w:shd w:val="clear" w:color="auto" w:fill="FFFFFF"/>
        </w:rPr>
        <w:t>Mycock</w:t>
      </w:r>
      <w:proofErr w:type="spellEnd"/>
      <w:r w:rsidRPr="00772273">
        <w:rPr>
          <w:rFonts w:asciiTheme="minorHAnsi" w:hAnsiTheme="minorHAnsi" w:cstheme="minorHAnsi"/>
          <w:color w:val="auto"/>
          <w:sz w:val="22"/>
          <w:szCs w:val="22"/>
          <w:shd w:val="clear" w:color="auto" w:fill="FFFFFF"/>
        </w:rPr>
        <w:t xml:space="preserve">, A. (2015) </w:t>
      </w:r>
      <w:r w:rsidRPr="00772273">
        <w:rPr>
          <w:rFonts w:asciiTheme="minorHAnsi" w:hAnsiTheme="minorHAnsi" w:cstheme="minorHAnsi"/>
          <w:color w:val="auto"/>
          <w:sz w:val="22"/>
          <w:szCs w:val="22"/>
        </w:rPr>
        <w:t xml:space="preserve">Should the Voting Age be Lowered to 16 for UK Elections? </w:t>
      </w:r>
      <w:r w:rsidRPr="002B0C13">
        <w:rPr>
          <w:rFonts w:asciiTheme="minorHAnsi" w:hAnsiTheme="minorHAnsi" w:cstheme="minorHAnsi"/>
          <w:i/>
          <w:color w:val="auto"/>
          <w:sz w:val="22"/>
          <w:szCs w:val="22"/>
        </w:rPr>
        <w:t>Political Insight</w:t>
      </w:r>
      <w:r w:rsidRPr="00772273">
        <w:rPr>
          <w:rFonts w:asciiTheme="minorHAnsi" w:hAnsiTheme="minorHAnsi" w:cstheme="minorHAnsi"/>
          <w:color w:val="auto"/>
          <w:sz w:val="22"/>
          <w:szCs w:val="22"/>
        </w:rPr>
        <w:t>, 6(2), 22-23</w:t>
      </w:r>
      <w:r>
        <w:rPr>
          <w:rFonts w:asciiTheme="minorHAnsi" w:hAnsiTheme="minorHAnsi" w:cstheme="minorHAnsi"/>
          <w:color w:val="auto"/>
          <w:sz w:val="22"/>
          <w:szCs w:val="22"/>
        </w:rPr>
        <w:t>.</w:t>
      </w:r>
    </w:p>
    <w:p w14:paraId="4E064901" w14:textId="77777777" w:rsidR="001279EF" w:rsidRPr="00772273" w:rsidRDefault="001279EF" w:rsidP="001279EF">
      <w:pPr>
        <w:pStyle w:val="Heading1"/>
        <w:shd w:val="clear" w:color="auto" w:fill="FFFFFF"/>
        <w:spacing w:before="0" w:line="360" w:lineRule="auto"/>
        <w:rPr>
          <w:rFonts w:asciiTheme="minorHAnsi" w:hAnsiTheme="minorHAnsi" w:cstheme="minorHAnsi"/>
          <w:color w:val="auto"/>
          <w:sz w:val="22"/>
          <w:szCs w:val="22"/>
        </w:rPr>
      </w:pPr>
      <w:proofErr w:type="spellStart"/>
      <w:r w:rsidRPr="00772273">
        <w:rPr>
          <w:rFonts w:asciiTheme="minorHAnsi" w:hAnsiTheme="minorHAnsi" w:cstheme="minorHAnsi"/>
          <w:color w:val="auto"/>
          <w:sz w:val="22"/>
          <w:szCs w:val="22"/>
          <w:shd w:val="clear" w:color="auto" w:fill="FFFFFF"/>
        </w:rPr>
        <w:t>Mycock</w:t>
      </w:r>
      <w:proofErr w:type="spellEnd"/>
      <w:r w:rsidRPr="00772273">
        <w:rPr>
          <w:rFonts w:asciiTheme="minorHAnsi" w:hAnsiTheme="minorHAnsi" w:cstheme="minorHAnsi"/>
          <w:color w:val="auto"/>
          <w:sz w:val="22"/>
          <w:szCs w:val="22"/>
          <w:shd w:val="clear" w:color="auto" w:fill="FFFFFF"/>
        </w:rPr>
        <w:t xml:space="preserve">, A., Loughran, T., and </w:t>
      </w:r>
      <w:proofErr w:type="spellStart"/>
      <w:r w:rsidRPr="00772273">
        <w:rPr>
          <w:rFonts w:asciiTheme="minorHAnsi" w:hAnsiTheme="minorHAnsi" w:cstheme="minorHAnsi"/>
          <w:color w:val="auto"/>
          <w:sz w:val="22"/>
          <w:szCs w:val="22"/>
          <w:shd w:val="clear" w:color="auto" w:fill="FFFFFF"/>
        </w:rPr>
        <w:t>Tonge</w:t>
      </w:r>
      <w:proofErr w:type="spellEnd"/>
      <w:r w:rsidRPr="00772273">
        <w:rPr>
          <w:rFonts w:asciiTheme="minorHAnsi" w:hAnsiTheme="minorHAnsi" w:cstheme="minorHAnsi"/>
          <w:color w:val="auto"/>
          <w:sz w:val="22"/>
          <w:szCs w:val="22"/>
          <w:shd w:val="clear" w:color="auto" w:fill="FFFFFF"/>
        </w:rPr>
        <w:t>, J. (2020) ‘Understanding the Policy Drivers and Effects of Voting Age Reform’, in J. Eichhorn, &amp; J. Bergh (Eds.), </w:t>
      </w:r>
      <w:r w:rsidRPr="00772273">
        <w:rPr>
          <w:rStyle w:val="Emphasis"/>
          <w:rFonts w:asciiTheme="minorHAnsi" w:hAnsiTheme="minorHAnsi" w:cstheme="minorHAnsi"/>
          <w:color w:val="auto"/>
          <w:sz w:val="22"/>
          <w:szCs w:val="22"/>
          <w:shd w:val="clear" w:color="auto" w:fill="FFFFFF"/>
        </w:rPr>
        <w:t xml:space="preserve">Lowering the Voting Age to 16: Learning from Real Experiences Worldwide, </w:t>
      </w:r>
      <w:r w:rsidRPr="00772273">
        <w:rPr>
          <w:rStyle w:val="Emphasis"/>
          <w:rFonts w:asciiTheme="minorHAnsi" w:hAnsiTheme="minorHAnsi" w:cstheme="minorHAnsi"/>
          <w:i w:val="0"/>
          <w:iCs w:val="0"/>
          <w:color w:val="auto"/>
          <w:sz w:val="22"/>
          <w:szCs w:val="22"/>
          <w:shd w:val="clear" w:color="auto" w:fill="FFFFFF"/>
        </w:rPr>
        <w:t>London</w:t>
      </w:r>
      <w:r w:rsidRPr="00772273">
        <w:rPr>
          <w:rStyle w:val="Emphasis"/>
          <w:rFonts w:asciiTheme="minorHAnsi" w:hAnsiTheme="minorHAnsi" w:cstheme="minorHAnsi"/>
          <w:color w:val="auto"/>
          <w:sz w:val="22"/>
          <w:szCs w:val="22"/>
          <w:shd w:val="clear" w:color="auto" w:fill="FFFFFF"/>
        </w:rPr>
        <w:t xml:space="preserve">: </w:t>
      </w:r>
      <w:r w:rsidRPr="00772273">
        <w:rPr>
          <w:rFonts w:asciiTheme="minorHAnsi" w:hAnsiTheme="minorHAnsi" w:cstheme="minorHAnsi"/>
          <w:color w:val="auto"/>
          <w:sz w:val="22"/>
          <w:szCs w:val="22"/>
          <w:shd w:val="clear" w:color="auto" w:fill="FFFFFF"/>
        </w:rPr>
        <w:t>Palgrave Macmillan, pp. 43-63.</w:t>
      </w:r>
    </w:p>
    <w:p w14:paraId="0330DA15" w14:textId="2144053C" w:rsidR="00772273" w:rsidRPr="001279EF" w:rsidRDefault="00772273" w:rsidP="00772273">
      <w:pPr>
        <w:spacing w:after="0" w:line="360" w:lineRule="auto"/>
        <w:rPr>
          <w:rFonts w:cs="Arial"/>
        </w:rPr>
      </w:pPr>
      <w:r w:rsidRPr="001279EF">
        <w:rPr>
          <w:rFonts w:cs="Arial"/>
        </w:rPr>
        <w:t xml:space="preserve">Nair, S. and Howlett, M. (2017) ‘Policy myopia as a source of policy failure: adaptation and policy learning under deep uncertainty’, </w:t>
      </w:r>
      <w:r w:rsidRPr="001279EF">
        <w:rPr>
          <w:rFonts w:cs="Arial"/>
          <w:i/>
        </w:rPr>
        <w:t>Policy and Politics</w:t>
      </w:r>
      <w:r w:rsidRPr="001279EF">
        <w:rPr>
          <w:rFonts w:cs="Arial"/>
        </w:rPr>
        <w:t>, 45(1), 103-118.</w:t>
      </w:r>
    </w:p>
    <w:p w14:paraId="3FE3B4BA" w14:textId="5D254D99" w:rsidR="000A7E65" w:rsidRDefault="000A7E65" w:rsidP="00874BFC">
      <w:pPr>
        <w:spacing w:after="0" w:line="360" w:lineRule="auto"/>
        <w:rPr>
          <w:rFonts w:cs="Arial"/>
        </w:rPr>
      </w:pPr>
      <w:r w:rsidRPr="00A3032C">
        <w:rPr>
          <w:rFonts w:cstheme="minorHAnsi"/>
          <w:color w:val="000000" w:themeColor="text1"/>
        </w:rPr>
        <w:t xml:space="preserve">National Audit Office (2017) </w:t>
      </w:r>
      <w:r w:rsidRPr="008A76DD">
        <w:rPr>
          <w:rFonts w:cstheme="minorHAnsi"/>
          <w:i/>
          <w:iCs/>
          <w:color w:val="000000" w:themeColor="text1"/>
        </w:rPr>
        <w:t xml:space="preserve">What impact could </w:t>
      </w:r>
      <w:proofErr w:type="gramStart"/>
      <w:r w:rsidRPr="008A76DD">
        <w:rPr>
          <w:rFonts w:cstheme="minorHAnsi"/>
          <w:i/>
          <w:iCs/>
          <w:color w:val="000000" w:themeColor="text1"/>
        </w:rPr>
        <w:t>lowering</w:t>
      </w:r>
      <w:proofErr w:type="gramEnd"/>
      <w:r w:rsidRPr="008A76DD">
        <w:rPr>
          <w:rFonts w:cstheme="minorHAnsi"/>
          <w:i/>
          <w:iCs/>
          <w:color w:val="000000" w:themeColor="text1"/>
        </w:rPr>
        <w:t xml:space="preserve"> the UK voting age to 16 have on the shape of the electorate? </w:t>
      </w:r>
      <w:hyperlink r:id="rId9" w:anchor="footnote_2" w:history="1">
        <w:r w:rsidRPr="00A3032C">
          <w:rPr>
            <w:rStyle w:val="Hyperlink"/>
            <w:rFonts w:cstheme="minorHAnsi"/>
          </w:rPr>
          <w:t>https://www.ons.gov.uk/peoplepopulationandcommunity/elections/electoralregistration/articles/whatimpactcouldloweringtheukvotingageto16haveontheshapeoftheelectorate/2017-07-14#footnote_2</w:t>
        </w:r>
      </w:hyperlink>
    </w:p>
    <w:p w14:paraId="365A6B79" w14:textId="4989A09E" w:rsidR="00874BFC" w:rsidRPr="001279EF" w:rsidRDefault="00772273" w:rsidP="00874BFC">
      <w:pPr>
        <w:spacing w:after="0" w:line="360" w:lineRule="auto"/>
        <w:rPr>
          <w:rFonts w:cs="Arial"/>
          <w:color w:val="333333"/>
        </w:rPr>
      </w:pPr>
      <w:r w:rsidRPr="001279EF">
        <w:rPr>
          <w:rFonts w:cs="Arial"/>
        </w:rPr>
        <w:t xml:space="preserve">Norton, P. (1975) </w:t>
      </w:r>
      <w:r w:rsidRPr="001279EF">
        <w:rPr>
          <w:rFonts w:cs="Arial"/>
          <w:i/>
          <w:iCs/>
          <w:color w:val="333333"/>
        </w:rPr>
        <w:t xml:space="preserve">Dissension in the House of Commons: Intra-Party Dissent in the House of Commons’ Division Lobbies 1945–1974, </w:t>
      </w:r>
      <w:r w:rsidRPr="001279EF">
        <w:rPr>
          <w:rFonts w:cs="Arial"/>
          <w:color w:val="333333"/>
        </w:rPr>
        <w:t>London: MacMillan</w:t>
      </w:r>
      <w:r w:rsidR="00574E55" w:rsidRPr="001279EF">
        <w:rPr>
          <w:rFonts w:cs="Arial"/>
          <w:color w:val="333333"/>
        </w:rPr>
        <w:t>.</w:t>
      </w:r>
      <w:r w:rsidRPr="001279EF">
        <w:rPr>
          <w:rFonts w:cs="Arial"/>
          <w:color w:val="333333"/>
        </w:rPr>
        <w:t xml:space="preserve"> </w:t>
      </w:r>
    </w:p>
    <w:p w14:paraId="56C524D5" w14:textId="0611F3FE" w:rsidR="00874BFC" w:rsidRPr="001279EF" w:rsidRDefault="00874BFC" w:rsidP="00874BFC">
      <w:pPr>
        <w:spacing w:after="0" w:line="360" w:lineRule="auto"/>
        <w:rPr>
          <w:rFonts w:cs="Arial"/>
        </w:rPr>
      </w:pPr>
      <w:r w:rsidRPr="001279EF">
        <w:t xml:space="preserve">Pollitt, C. (2000) Institutional amnesia: a paradox of the ‘information age’? </w:t>
      </w:r>
      <w:r w:rsidRPr="001279EF">
        <w:rPr>
          <w:i/>
          <w:iCs/>
        </w:rPr>
        <w:t>Prometheus</w:t>
      </w:r>
      <w:r w:rsidRPr="001279EF">
        <w:t xml:space="preserve">, 18(1), 5–16 </w:t>
      </w:r>
    </w:p>
    <w:p w14:paraId="04558577" w14:textId="1DDA6E1A" w:rsidR="00772273" w:rsidRPr="001279EF" w:rsidRDefault="00772273" w:rsidP="00772273">
      <w:pPr>
        <w:spacing w:after="0" w:line="360" w:lineRule="auto"/>
        <w:rPr>
          <w:rFonts w:cstheme="minorHAnsi"/>
        </w:rPr>
      </w:pPr>
      <w:r w:rsidRPr="001279EF">
        <w:rPr>
          <w:rFonts w:cstheme="minorHAnsi"/>
        </w:rPr>
        <w:t xml:space="preserve">Pollitt, C. and </w:t>
      </w:r>
      <w:proofErr w:type="spellStart"/>
      <w:r w:rsidRPr="001279EF">
        <w:rPr>
          <w:rFonts w:cstheme="minorHAnsi"/>
        </w:rPr>
        <w:t>Bouckaert</w:t>
      </w:r>
      <w:proofErr w:type="spellEnd"/>
      <w:r w:rsidRPr="001279EF">
        <w:rPr>
          <w:rFonts w:cstheme="minorHAnsi"/>
        </w:rPr>
        <w:t xml:space="preserve">, G. (2011) </w:t>
      </w:r>
      <w:r w:rsidRPr="001279EF">
        <w:rPr>
          <w:rFonts w:cstheme="minorHAnsi"/>
          <w:i/>
        </w:rPr>
        <w:t>Continuity and Change in Public Policy and Management</w:t>
      </w:r>
      <w:r w:rsidRPr="001279EF">
        <w:rPr>
          <w:rFonts w:cstheme="minorHAnsi"/>
        </w:rPr>
        <w:t>, London: Edward Elgar.</w:t>
      </w:r>
    </w:p>
    <w:p w14:paraId="5FEDEB9A" w14:textId="77777777" w:rsidR="00772273" w:rsidRPr="001279EF" w:rsidRDefault="00772273" w:rsidP="00772273">
      <w:pPr>
        <w:pStyle w:val="NoSpacing"/>
        <w:spacing w:line="360" w:lineRule="auto"/>
      </w:pPr>
      <w:r w:rsidRPr="001279EF">
        <w:rPr>
          <w:rFonts w:cstheme="minorHAnsi"/>
        </w:rPr>
        <w:t xml:space="preserve">Power Commission (2006) </w:t>
      </w:r>
      <w:r w:rsidRPr="001279EF">
        <w:rPr>
          <w:rFonts w:cstheme="minorHAnsi"/>
          <w:i/>
        </w:rPr>
        <w:t>Power to the People</w:t>
      </w:r>
      <w:r w:rsidRPr="001279EF">
        <w:rPr>
          <w:rFonts w:cstheme="minorHAnsi"/>
        </w:rPr>
        <w:t>, London: Power Commission.</w:t>
      </w:r>
      <w:r w:rsidRPr="001279EF">
        <w:t xml:space="preserve"> </w:t>
      </w:r>
    </w:p>
    <w:p w14:paraId="73C84643" w14:textId="77777777" w:rsidR="00350B2D" w:rsidRDefault="00772273" w:rsidP="00350B2D">
      <w:pPr>
        <w:pStyle w:val="NoSpacing"/>
        <w:spacing w:line="360" w:lineRule="auto"/>
        <w:rPr>
          <w:rFonts w:cstheme="minorHAnsi"/>
        </w:rPr>
      </w:pPr>
      <w:r w:rsidRPr="001279EF">
        <w:t xml:space="preserve">Russell. A. (2014) ‘The time has come – but not for </w:t>
      </w:r>
      <w:r w:rsidR="00863629" w:rsidRPr="001279EF">
        <w:t>Votes-at-16</w:t>
      </w:r>
      <w:r w:rsidRPr="001279EF">
        <w:t xml:space="preserve">’, </w:t>
      </w:r>
      <w:hyperlink r:id="rId10" w:history="1">
        <w:r w:rsidRPr="00350B2D">
          <w:rPr>
            <w:rStyle w:val="Hyperlink"/>
            <w:rFonts w:cstheme="minorHAnsi"/>
          </w:rPr>
          <w:t>http://blog.policy.manchester.ac.uk/featured/2014/04/the-time-has-come-but-not-for-votes-at-16/</w:t>
        </w:r>
      </w:hyperlink>
      <w:r w:rsidRPr="00350B2D">
        <w:rPr>
          <w:rFonts w:cstheme="minorHAnsi"/>
        </w:rPr>
        <w:t>.</w:t>
      </w:r>
    </w:p>
    <w:p w14:paraId="48102FB6" w14:textId="611633B1" w:rsidR="00350B2D" w:rsidRPr="00350B2D" w:rsidRDefault="00350B2D" w:rsidP="00350B2D">
      <w:pPr>
        <w:pStyle w:val="NoSpacing"/>
        <w:spacing w:line="360" w:lineRule="auto"/>
        <w:rPr>
          <w:rFonts w:cstheme="minorHAnsi"/>
          <w:color w:val="000000" w:themeColor="text1"/>
        </w:rPr>
      </w:pPr>
      <w:r w:rsidRPr="00350B2D">
        <w:rPr>
          <w:rFonts w:cstheme="minorHAnsi"/>
          <w:color w:val="000000" w:themeColor="text1"/>
        </w:rPr>
        <w:t xml:space="preserve">Scottish Youth Parliament and </w:t>
      </w:r>
      <w:proofErr w:type="spellStart"/>
      <w:r w:rsidRPr="00350B2D">
        <w:rPr>
          <w:rFonts w:cstheme="minorHAnsi"/>
          <w:color w:val="000000" w:themeColor="text1"/>
        </w:rPr>
        <w:t>Mycock</w:t>
      </w:r>
      <w:proofErr w:type="spellEnd"/>
      <w:r w:rsidRPr="00350B2D">
        <w:rPr>
          <w:rFonts w:cstheme="minorHAnsi"/>
          <w:color w:val="000000" w:themeColor="text1"/>
        </w:rPr>
        <w:t xml:space="preserve">, A., (2019) </w:t>
      </w:r>
      <w:r w:rsidRPr="00350B2D">
        <w:rPr>
          <w:rFonts w:cstheme="minorHAnsi"/>
          <w:i/>
          <w:iCs/>
          <w:color w:val="000000" w:themeColor="text1"/>
          <w:lang w:eastAsia="en-GB"/>
        </w:rPr>
        <w:t xml:space="preserve">Learning from Scotland: Your </w:t>
      </w:r>
      <w:r w:rsidRPr="00350B2D">
        <w:rPr>
          <w:rFonts w:eastAsia="Times New Roman" w:cstheme="minorHAnsi"/>
          <w:color w:val="000000" w:themeColor="text1"/>
          <w:lang w:eastAsia="en-GB"/>
        </w:rPr>
        <w:t xml:space="preserve">Introduction </w:t>
      </w:r>
      <w:r w:rsidRPr="00350B2D">
        <w:rPr>
          <w:rFonts w:eastAsia="Times New Roman" w:cstheme="minorHAnsi"/>
          <w:i/>
          <w:iCs/>
          <w:color w:val="000000" w:themeColor="text1"/>
          <w:lang w:eastAsia="en-GB"/>
        </w:rPr>
        <w:t>Experiences of ‘Votes at 16’</w:t>
      </w:r>
      <w:r>
        <w:rPr>
          <w:rFonts w:eastAsia="Times New Roman" w:cstheme="minorHAnsi"/>
          <w:color w:val="000000" w:themeColor="text1"/>
          <w:lang w:eastAsia="en-GB"/>
        </w:rPr>
        <w:t xml:space="preserve">, </w:t>
      </w:r>
      <w:hyperlink r:id="rId11" w:history="1">
        <w:r w:rsidRPr="00434E57">
          <w:rPr>
            <w:rStyle w:val="Hyperlink"/>
            <w:rFonts w:eastAsia="Times New Roman" w:cstheme="minorHAnsi"/>
            <w:lang w:eastAsia="en-GB"/>
          </w:rPr>
          <w:t>https://syp.org.uk/wp-content/uploads/2020/01/Learning-From-Scotland-Votes-at-16-Workshop-report.pdf</w:t>
        </w:r>
      </w:hyperlink>
      <w:r>
        <w:rPr>
          <w:rFonts w:eastAsia="Times New Roman" w:cstheme="minorHAnsi"/>
          <w:color w:val="000000" w:themeColor="text1"/>
          <w:lang w:eastAsia="en-GB"/>
        </w:rPr>
        <w:t xml:space="preserve">. </w:t>
      </w:r>
    </w:p>
    <w:p w14:paraId="1E4E2BA2" w14:textId="37A785DC" w:rsidR="00772273" w:rsidRPr="001279EF" w:rsidRDefault="00772273" w:rsidP="00772273">
      <w:pPr>
        <w:pStyle w:val="NoSpacing"/>
        <w:spacing w:line="360" w:lineRule="auto"/>
      </w:pPr>
      <w:r w:rsidRPr="001279EF">
        <w:t xml:space="preserve">Stark, A. (2018) ‘Explaining institutional amnesia in government’, </w:t>
      </w:r>
      <w:r w:rsidRPr="001279EF">
        <w:rPr>
          <w:i/>
        </w:rPr>
        <w:t>Governance</w:t>
      </w:r>
      <w:r w:rsidRPr="001279EF">
        <w:t>, 32(1), 143-58.</w:t>
      </w:r>
    </w:p>
    <w:p w14:paraId="37EC968E" w14:textId="77777777" w:rsidR="00772273" w:rsidRPr="001279EF" w:rsidRDefault="00772273" w:rsidP="00772273">
      <w:pPr>
        <w:pStyle w:val="NoSpacing"/>
        <w:spacing w:line="360" w:lineRule="auto"/>
      </w:pPr>
      <w:r w:rsidRPr="001279EF">
        <w:t xml:space="preserve">Stark, A. and Head, B.  (2019) ‘Institutional amnesia and public policy’, </w:t>
      </w:r>
      <w:r w:rsidRPr="001279EF">
        <w:rPr>
          <w:i/>
        </w:rPr>
        <w:t>Journal of European Public Policy</w:t>
      </w:r>
      <w:r w:rsidRPr="001279EF">
        <w:t>, 26(10), 1521-1539</w:t>
      </w:r>
    </w:p>
    <w:p w14:paraId="054AA5E0" w14:textId="1A2583A5" w:rsidR="00772273" w:rsidRPr="001279EF" w:rsidRDefault="00772273" w:rsidP="00772273">
      <w:pPr>
        <w:pStyle w:val="NoSpacing"/>
        <w:spacing w:line="360" w:lineRule="auto"/>
      </w:pPr>
      <w:r w:rsidRPr="001279EF">
        <w:t xml:space="preserve">Tingle, L. (2015) ‘How we forgot how to govern’, </w:t>
      </w:r>
      <w:r w:rsidRPr="001279EF">
        <w:rPr>
          <w:i/>
        </w:rPr>
        <w:t xml:space="preserve">Quarterly Essay, </w:t>
      </w:r>
      <w:r w:rsidRPr="001279EF">
        <w:t>60,</w:t>
      </w:r>
      <w:r w:rsidR="00725D75">
        <w:t xml:space="preserve"> </w:t>
      </w:r>
      <w:r w:rsidRPr="001279EF">
        <w:t>1-25.</w:t>
      </w:r>
    </w:p>
    <w:p w14:paraId="1BCA42BE" w14:textId="77777777" w:rsidR="00772273" w:rsidRPr="001279EF" w:rsidRDefault="00772273" w:rsidP="00772273">
      <w:pPr>
        <w:pStyle w:val="NoSpacing"/>
        <w:spacing w:line="360" w:lineRule="auto"/>
      </w:pPr>
      <w:r w:rsidRPr="001279EF">
        <w:rPr>
          <w:rFonts w:eastAsia="Times New Roman" w:cs="Times New Roman"/>
          <w:shd w:val="clear" w:color="auto" w:fill="FFFFFF"/>
          <w:lang w:eastAsia="en-GB"/>
        </w:rPr>
        <w:t xml:space="preserve">Thompson, L. (2015) </w:t>
      </w:r>
      <w:r w:rsidRPr="001279EF">
        <w:rPr>
          <w:rFonts w:eastAsia="Times New Roman" w:cs="Times New Roman"/>
          <w:i/>
          <w:iCs/>
          <w:shd w:val="clear" w:color="auto" w:fill="FFFFFF"/>
          <w:lang w:eastAsia="en-GB"/>
        </w:rPr>
        <w:t>Making British Law: Committees in Action</w:t>
      </w:r>
      <w:r w:rsidRPr="001279EF">
        <w:rPr>
          <w:rFonts w:eastAsia="Times New Roman" w:cs="Times New Roman"/>
          <w:shd w:val="clear" w:color="auto" w:fill="FFFFFF"/>
          <w:lang w:eastAsia="en-GB"/>
        </w:rPr>
        <w:t>, Palgrave Macmillan: London.</w:t>
      </w:r>
    </w:p>
    <w:p w14:paraId="540B907A" w14:textId="73DFEAEF" w:rsidR="001279EF" w:rsidRDefault="001279EF" w:rsidP="001279EF">
      <w:pPr>
        <w:pStyle w:val="NoSpacing"/>
        <w:spacing w:line="360" w:lineRule="auto"/>
      </w:pPr>
      <w:proofErr w:type="spellStart"/>
      <w:r w:rsidRPr="00772273">
        <w:rPr>
          <w:shd w:val="clear" w:color="auto" w:fill="FFFFFF"/>
          <w:lang w:eastAsia="en-GB"/>
        </w:rPr>
        <w:t>Tonge</w:t>
      </w:r>
      <w:proofErr w:type="spellEnd"/>
      <w:r w:rsidRPr="00772273">
        <w:rPr>
          <w:shd w:val="clear" w:color="auto" w:fill="FFFFFF"/>
          <w:lang w:eastAsia="en-GB"/>
        </w:rPr>
        <w:t xml:space="preserve">, J., and </w:t>
      </w:r>
      <w:proofErr w:type="spellStart"/>
      <w:r w:rsidRPr="00772273">
        <w:rPr>
          <w:shd w:val="clear" w:color="auto" w:fill="FFFFFF"/>
          <w:lang w:eastAsia="en-GB"/>
        </w:rPr>
        <w:t>Mycock</w:t>
      </w:r>
      <w:proofErr w:type="spellEnd"/>
      <w:r w:rsidRPr="00772273">
        <w:rPr>
          <w:shd w:val="clear" w:color="auto" w:fill="FFFFFF"/>
          <w:lang w:eastAsia="en-GB"/>
        </w:rPr>
        <w:t>, A. (2010) Citizenship and Political Engagement Among Young People: The Workings and Findings of the Youth Citizenship Commission, </w:t>
      </w:r>
      <w:r w:rsidRPr="00772273">
        <w:rPr>
          <w:i/>
          <w:iCs/>
          <w:bdr w:val="none" w:sz="0" w:space="0" w:color="auto" w:frame="1"/>
          <w:shd w:val="clear" w:color="auto" w:fill="FFFFFF"/>
          <w:lang w:eastAsia="en-GB"/>
        </w:rPr>
        <w:t>Parliamentary Affairs</w:t>
      </w:r>
      <w:r w:rsidRPr="00772273">
        <w:rPr>
          <w:shd w:val="clear" w:color="auto" w:fill="FFFFFF"/>
          <w:lang w:eastAsia="en-GB"/>
        </w:rPr>
        <w:t>, 63 (1), 182–200</w:t>
      </w:r>
      <w:r>
        <w:rPr>
          <w:shd w:val="clear" w:color="auto" w:fill="FFFFFF"/>
          <w:lang w:eastAsia="en-GB"/>
        </w:rPr>
        <w:t>.</w:t>
      </w:r>
    </w:p>
    <w:p w14:paraId="5AB28198" w14:textId="77777777" w:rsidR="001279EF" w:rsidRDefault="001279EF" w:rsidP="001279EF">
      <w:pPr>
        <w:pStyle w:val="NoSpacing"/>
        <w:spacing w:line="360" w:lineRule="auto"/>
      </w:pPr>
      <w:proofErr w:type="spellStart"/>
      <w:r w:rsidRPr="00772273">
        <w:lastRenderedPageBreak/>
        <w:t>Tonge</w:t>
      </w:r>
      <w:proofErr w:type="spellEnd"/>
      <w:r w:rsidRPr="00772273">
        <w:t xml:space="preserve">, J., </w:t>
      </w:r>
      <w:proofErr w:type="spellStart"/>
      <w:r w:rsidRPr="00772273">
        <w:t>Mycock</w:t>
      </w:r>
      <w:proofErr w:type="spellEnd"/>
      <w:r w:rsidRPr="00772273">
        <w:t xml:space="preserve">, A. and Jeffery, B. (2012) ‘Does Citizenship Education Make Young People Better-Engaged Citizens? </w:t>
      </w:r>
      <w:r w:rsidRPr="00772273">
        <w:rPr>
          <w:i/>
          <w:iCs/>
        </w:rPr>
        <w:t>Political Studies</w:t>
      </w:r>
      <w:r w:rsidRPr="00772273">
        <w:t>, 60(3), 578-602.</w:t>
      </w:r>
    </w:p>
    <w:p w14:paraId="3865AF24" w14:textId="0BBA5A42" w:rsidR="00772273" w:rsidRPr="001279EF" w:rsidRDefault="00772273" w:rsidP="00772273">
      <w:pPr>
        <w:pStyle w:val="NoSpacing"/>
        <w:spacing w:line="360" w:lineRule="auto"/>
      </w:pPr>
      <w:proofErr w:type="spellStart"/>
      <w:r w:rsidRPr="001279EF">
        <w:t>Uberoi</w:t>
      </w:r>
      <w:proofErr w:type="spellEnd"/>
      <w:r w:rsidRPr="001279EF">
        <w:t xml:space="preserve">, E. (2019) </w:t>
      </w:r>
      <w:r w:rsidRPr="001279EF">
        <w:rPr>
          <w:i/>
          <w:iCs/>
        </w:rPr>
        <w:t>Turnout at elections</w:t>
      </w:r>
      <w:r w:rsidRPr="001279EF">
        <w:t xml:space="preserve">, House of Commons Briefing Paper </w:t>
      </w:r>
      <w:r w:rsidRPr="001279EF">
        <w:rPr>
          <w:rFonts w:eastAsia="Times New Roman"/>
          <w:lang w:eastAsia="en-GB"/>
        </w:rPr>
        <w:t xml:space="preserve">CBP 8060, </w:t>
      </w:r>
      <w:r w:rsidRPr="001279EF">
        <w:t>5</w:t>
      </w:r>
      <w:r w:rsidRPr="001279EF">
        <w:rPr>
          <w:vertAlign w:val="superscript"/>
        </w:rPr>
        <w:t>th</w:t>
      </w:r>
      <w:r w:rsidRPr="001279EF">
        <w:t xml:space="preserve"> July.</w:t>
      </w:r>
    </w:p>
    <w:p w14:paraId="2FFCDBBC" w14:textId="2ECEA85C" w:rsidR="00772273" w:rsidRPr="001279EF" w:rsidRDefault="00863629" w:rsidP="00772273">
      <w:pPr>
        <w:pStyle w:val="NoSpacing"/>
        <w:spacing w:line="360" w:lineRule="auto"/>
      </w:pPr>
      <w:r w:rsidRPr="001279EF">
        <w:t>Votes-at-16</w:t>
      </w:r>
      <w:r w:rsidR="00772273" w:rsidRPr="001279EF">
        <w:t xml:space="preserve"> Coalition (2008) </w:t>
      </w:r>
      <w:r w:rsidR="00772273" w:rsidRPr="001279EF">
        <w:rPr>
          <w:i/>
          <w:iCs/>
        </w:rPr>
        <w:t xml:space="preserve">16 for 16. 16 </w:t>
      </w:r>
      <w:proofErr w:type="gramStart"/>
      <w:r w:rsidR="00772273" w:rsidRPr="001279EF">
        <w:rPr>
          <w:i/>
          <w:iCs/>
        </w:rPr>
        <w:t>reason</w:t>
      </w:r>
      <w:proofErr w:type="gramEnd"/>
      <w:r w:rsidR="00772273" w:rsidRPr="001279EF">
        <w:rPr>
          <w:i/>
          <w:iCs/>
        </w:rPr>
        <w:t xml:space="preserve"> for </w:t>
      </w:r>
      <w:r w:rsidRPr="001279EF">
        <w:rPr>
          <w:i/>
          <w:iCs/>
        </w:rPr>
        <w:t>Votes-at-16</w:t>
      </w:r>
      <w:r w:rsidR="00772273" w:rsidRPr="001279EF">
        <w:t xml:space="preserve">, </w:t>
      </w:r>
      <w:hyperlink r:id="rId12" w:history="1">
        <w:r w:rsidR="00772273" w:rsidRPr="001279EF">
          <w:rPr>
            <w:rStyle w:val="Hyperlink"/>
            <w:rFonts w:cstheme="minorHAnsi"/>
          </w:rPr>
          <w:t>https://www.electoral-reform.org.uk/wp-content/uploads/2017/06/16-reasons-for-votes-at-16.pdf</w:t>
        </w:r>
      </w:hyperlink>
      <w:r w:rsidR="00772273" w:rsidRPr="001279EF">
        <w:t>.</w:t>
      </w:r>
    </w:p>
    <w:p w14:paraId="4DAD0D10" w14:textId="77777777" w:rsidR="00772273" w:rsidRPr="001279EF" w:rsidRDefault="00772273" w:rsidP="00772273">
      <w:pPr>
        <w:pStyle w:val="NoSpacing"/>
        <w:spacing w:line="360" w:lineRule="auto"/>
      </w:pPr>
      <w:r w:rsidRPr="001279EF">
        <w:t xml:space="preserve">Youth Citizenship Commission (2009) </w:t>
      </w:r>
      <w:r w:rsidRPr="001279EF">
        <w:rPr>
          <w:i/>
        </w:rPr>
        <w:t xml:space="preserve">Old Enough to Make a Mark? Should the Voting Age be Lowered to 16? </w:t>
      </w:r>
      <w:r w:rsidRPr="001279EF">
        <w:t>London: YCC.</w:t>
      </w:r>
    </w:p>
    <w:p w14:paraId="02DAF7C2" w14:textId="77777777" w:rsidR="00772273" w:rsidRPr="00772273" w:rsidRDefault="00772273" w:rsidP="00772273">
      <w:pPr>
        <w:pStyle w:val="NoSpacing"/>
        <w:spacing w:line="360" w:lineRule="auto"/>
      </w:pPr>
    </w:p>
    <w:p w14:paraId="255F71E5" w14:textId="77777777" w:rsidR="00772273" w:rsidRPr="008A6FB6" w:rsidRDefault="00772273" w:rsidP="00772273">
      <w:pPr>
        <w:pStyle w:val="NoSpacing"/>
        <w:spacing w:line="360" w:lineRule="auto"/>
      </w:pPr>
    </w:p>
    <w:p w14:paraId="05814A96" w14:textId="21761DB5" w:rsidR="008E466A" w:rsidRPr="008A6FB6" w:rsidRDefault="008E466A" w:rsidP="00C15EB2">
      <w:pPr>
        <w:spacing w:line="480" w:lineRule="auto"/>
        <w:jc w:val="both"/>
        <w:rPr>
          <w:rFonts w:cstheme="minorHAnsi"/>
        </w:rPr>
      </w:pPr>
    </w:p>
    <w:sectPr w:rsidR="008E466A" w:rsidRPr="008A6FB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CEE6" w14:textId="77777777" w:rsidR="00441CC6" w:rsidRDefault="00441CC6" w:rsidP="00AA63A2">
      <w:pPr>
        <w:spacing w:after="0" w:line="240" w:lineRule="auto"/>
      </w:pPr>
      <w:r>
        <w:separator/>
      </w:r>
    </w:p>
  </w:endnote>
  <w:endnote w:type="continuationSeparator" w:id="0">
    <w:p w14:paraId="20063B7D" w14:textId="77777777" w:rsidR="00441CC6" w:rsidRDefault="00441CC6" w:rsidP="00AA63A2">
      <w:pPr>
        <w:spacing w:after="0" w:line="240" w:lineRule="auto"/>
      </w:pPr>
      <w:r>
        <w:continuationSeparator/>
      </w:r>
    </w:p>
  </w:endnote>
  <w:endnote w:id="1">
    <w:p w14:paraId="66E4AC25" w14:textId="3AF63B30" w:rsidR="00157BCD" w:rsidRDefault="00157BCD">
      <w:pPr>
        <w:pStyle w:val="EndnoteText"/>
      </w:pPr>
      <w:r>
        <w:rPr>
          <w:rStyle w:val="EndnoteReference"/>
        </w:rPr>
        <w:endnoteRef/>
      </w:r>
      <w:r>
        <w:t xml:space="preserve"> </w:t>
      </w:r>
      <w:r w:rsidRPr="00A147E9">
        <w:rPr>
          <w:rFonts w:eastAsia="Times New Roman" w:cstheme="minorHAnsi"/>
          <w:color w:val="494949"/>
          <w:shd w:val="clear" w:color="auto" w:fill="FFFFFF"/>
          <w:lang w:eastAsia="en-GB"/>
        </w:rPr>
        <w:t>This work was supported by the Leverhulme Trust under Grant</w:t>
      </w:r>
      <w:r>
        <w:rPr>
          <w:rFonts w:eastAsia="Times New Roman" w:cstheme="minorHAnsi"/>
          <w:color w:val="494949"/>
          <w:shd w:val="clear" w:color="auto" w:fill="FFFFFF"/>
          <w:lang w:eastAsia="en-GB"/>
        </w:rPr>
        <w:t xml:space="preserve"> R00476-01</w:t>
      </w:r>
      <w:r w:rsidRPr="00A147E9">
        <w:rPr>
          <w:rFonts w:eastAsia="Times New Roman" w:cstheme="minorHAnsi"/>
          <w:color w:val="494949"/>
          <w:shd w:val="clear" w:color="auto" w:fill="FFFFFF"/>
          <w:lang w:eastAsia="en-GB"/>
        </w:rPr>
        <w:t>. The Author</w:t>
      </w:r>
      <w:r>
        <w:rPr>
          <w:rFonts w:eastAsia="Times New Roman" w:cstheme="minorHAnsi"/>
          <w:color w:val="494949"/>
          <w:shd w:val="clear" w:color="auto" w:fill="FFFFFF"/>
          <w:lang w:eastAsia="en-GB"/>
        </w:rPr>
        <w:t>s</w:t>
      </w:r>
      <w:r w:rsidRPr="00A147E9">
        <w:rPr>
          <w:rFonts w:eastAsia="Times New Roman" w:cstheme="minorHAnsi"/>
          <w:color w:val="494949"/>
          <w:shd w:val="clear" w:color="auto" w:fill="FFFFFF"/>
          <w:lang w:eastAsia="en-GB"/>
        </w:rPr>
        <w:t xml:space="preserve"> declare that there is no conflict of interest</w:t>
      </w:r>
      <w:r>
        <w:rPr>
          <w:rFonts w:eastAsia="Times New Roman" w:cstheme="minorHAnsi"/>
          <w:color w:val="494949"/>
          <w:shd w:val="clear" w:color="auto" w:fill="FFFFFF"/>
          <w:lang w:eastAsia="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634200"/>
      <w:docPartObj>
        <w:docPartGallery w:val="Page Numbers (Bottom of Page)"/>
        <w:docPartUnique/>
      </w:docPartObj>
    </w:sdtPr>
    <w:sdtEndPr>
      <w:rPr>
        <w:noProof/>
      </w:rPr>
    </w:sdtEndPr>
    <w:sdtContent>
      <w:p w14:paraId="5AB062A9" w14:textId="5C068FB4" w:rsidR="00A939D0" w:rsidRDefault="00A939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8EB6C" w14:textId="77777777" w:rsidR="00A939D0" w:rsidRDefault="00A9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AF81" w14:textId="77777777" w:rsidR="00441CC6" w:rsidRDefault="00441CC6" w:rsidP="00AA63A2">
      <w:pPr>
        <w:spacing w:after="0" w:line="240" w:lineRule="auto"/>
      </w:pPr>
      <w:r>
        <w:separator/>
      </w:r>
    </w:p>
  </w:footnote>
  <w:footnote w:type="continuationSeparator" w:id="0">
    <w:p w14:paraId="02B15D09" w14:textId="77777777" w:rsidR="00441CC6" w:rsidRDefault="00441CC6" w:rsidP="00AA6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47BD"/>
    <w:multiLevelType w:val="hybridMultilevel"/>
    <w:tmpl w:val="9CF0291C"/>
    <w:lvl w:ilvl="0" w:tplc="9BC67C0A">
      <w:start w:val="1"/>
      <w:numFmt w:val="bullet"/>
      <w:lvlText w:val="•"/>
      <w:lvlJc w:val="left"/>
      <w:pPr>
        <w:tabs>
          <w:tab w:val="num" w:pos="720"/>
        </w:tabs>
        <w:ind w:left="720" w:hanging="360"/>
      </w:pPr>
      <w:rPr>
        <w:rFonts w:ascii="Arial" w:hAnsi="Arial" w:hint="default"/>
      </w:rPr>
    </w:lvl>
    <w:lvl w:ilvl="1" w:tplc="04D47E44" w:tentative="1">
      <w:start w:val="1"/>
      <w:numFmt w:val="bullet"/>
      <w:lvlText w:val="•"/>
      <w:lvlJc w:val="left"/>
      <w:pPr>
        <w:tabs>
          <w:tab w:val="num" w:pos="1440"/>
        </w:tabs>
        <w:ind w:left="1440" w:hanging="360"/>
      </w:pPr>
      <w:rPr>
        <w:rFonts w:ascii="Arial" w:hAnsi="Arial" w:hint="default"/>
      </w:rPr>
    </w:lvl>
    <w:lvl w:ilvl="2" w:tplc="73B464CE" w:tentative="1">
      <w:start w:val="1"/>
      <w:numFmt w:val="bullet"/>
      <w:lvlText w:val="•"/>
      <w:lvlJc w:val="left"/>
      <w:pPr>
        <w:tabs>
          <w:tab w:val="num" w:pos="2160"/>
        </w:tabs>
        <w:ind w:left="2160" w:hanging="360"/>
      </w:pPr>
      <w:rPr>
        <w:rFonts w:ascii="Arial" w:hAnsi="Arial" w:hint="default"/>
      </w:rPr>
    </w:lvl>
    <w:lvl w:ilvl="3" w:tplc="BA88875C" w:tentative="1">
      <w:start w:val="1"/>
      <w:numFmt w:val="bullet"/>
      <w:lvlText w:val="•"/>
      <w:lvlJc w:val="left"/>
      <w:pPr>
        <w:tabs>
          <w:tab w:val="num" w:pos="2880"/>
        </w:tabs>
        <w:ind w:left="2880" w:hanging="360"/>
      </w:pPr>
      <w:rPr>
        <w:rFonts w:ascii="Arial" w:hAnsi="Arial" w:hint="default"/>
      </w:rPr>
    </w:lvl>
    <w:lvl w:ilvl="4" w:tplc="70AABAA4" w:tentative="1">
      <w:start w:val="1"/>
      <w:numFmt w:val="bullet"/>
      <w:lvlText w:val="•"/>
      <w:lvlJc w:val="left"/>
      <w:pPr>
        <w:tabs>
          <w:tab w:val="num" w:pos="3600"/>
        </w:tabs>
        <w:ind w:left="3600" w:hanging="360"/>
      </w:pPr>
      <w:rPr>
        <w:rFonts w:ascii="Arial" w:hAnsi="Arial" w:hint="default"/>
      </w:rPr>
    </w:lvl>
    <w:lvl w:ilvl="5" w:tplc="97BC992A" w:tentative="1">
      <w:start w:val="1"/>
      <w:numFmt w:val="bullet"/>
      <w:lvlText w:val="•"/>
      <w:lvlJc w:val="left"/>
      <w:pPr>
        <w:tabs>
          <w:tab w:val="num" w:pos="4320"/>
        </w:tabs>
        <w:ind w:left="4320" w:hanging="360"/>
      </w:pPr>
      <w:rPr>
        <w:rFonts w:ascii="Arial" w:hAnsi="Arial" w:hint="default"/>
      </w:rPr>
    </w:lvl>
    <w:lvl w:ilvl="6" w:tplc="856635B8" w:tentative="1">
      <w:start w:val="1"/>
      <w:numFmt w:val="bullet"/>
      <w:lvlText w:val="•"/>
      <w:lvlJc w:val="left"/>
      <w:pPr>
        <w:tabs>
          <w:tab w:val="num" w:pos="5040"/>
        </w:tabs>
        <w:ind w:left="5040" w:hanging="360"/>
      </w:pPr>
      <w:rPr>
        <w:rFonts w:ascii="Arial" w:hAnsi="Arial" w:hint="default"/>
      </w:rPr>
    </w:lvl>
    <w:lvl w:ilvl="7" w:tplc="60C2863A" w:tentative="1">
      <w:start w:val="1"/>
      <w:numFmt w:val="bullet"/>
      <w:lvlText w:val="•"/>
      <w:lvlJc w:val="left"/>
      <w:pPr>
        <w:tabs>
          <w:tab w:val="num" w:pos="5760"/>
        </w:tabs>
        <w:ind w:left="5760" w:hanging="360"/>
      </w:pPr>
      <w:rPr>
        <w:rFonts w:ascii="Arial" w:hAnsi="Arial" w:hint="default"/>
      </w:rPr>
    </w:lvl>
    <w:lvl w:ilvl="8" w:tplc="FE5A91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A64182"/>
    <w:multiLevelType w:val="hybridMultilevel"/>
    <w:tmpl w:val="3650FD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518ED"/>
    <w:multiLevelType w:val="hybridMultilevel"/>
    <w:tmpl w:val="DA2E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F4036"/>
    <w:multiLevelType w:val="multilevel"/>
    <w:tmpl w:val="2586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50194F"/>
    <w:multiLevelType w:val="multilevel"/>
    <w:tmpl w:val="38A45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96C23"/>
    <w:multiLevelType w:val="hybridMultilevel"/>
    <w:tmpl w:val="A35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058BB"/>
    <w:multiLevelType w:val="multilevel"/>
    <w:tmpl w:val="A6A4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894CBC"/>
    <w:multiLevelType w:val="multilevel"/>
    <w:tmpl w:val="1A466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DA6FD5"/>
    <w:multiLevelType w:val="hybridMultilevel"/>
    <w:tmpl w:val="1B56098A"/>
    <w:lvl w:ilvl="0" w:tplc="3348DE26">
      <w:start w:val="1"/>
      <w:numFmt w:val="bullet"/>
      <w:lvlText w:val="•"/>
      <w:lvlJc w:val="left"/>
      <w:pPr>
        <w:tabs>
          <w:tab w:val="num" w:pos="720"/>
        </w:tabs>
        <w:ind w:left="720" w:hanging="360"/>
      </w:pPr>
      <w:rPr>
        <w:rFonts w:ascii="Arial" w:hAnsi="Arial" w:hint="default"/>
      </w:rPr>
    </w:lvl>
    <w:lvl w:ilvl="1" w:tplc="E65E420A" w:tentative="1">
      <w:start w:val="1"/>
      <w:numFmt w:val="bullet"/>
      <w:lvlText w:val="•"/>
      <w:lvlJc w:val="left"/>
      <w:pPr>
        <w:tabs>
          <w:tab w:val="num" w:pos="1440"/>
        </w:tabs>
        <w:ind w:left="1440" w:hanging="360"/>
      </w:pPr>
      <w:rPr>
        <w:rFonts w:ascii="Arial" w:hAnsi="Arial" w:hint="default"/>
      </w:rPr>
    </w:lvl>
    <w:lvl w:ilvl="2" w:tplc="E60C06E0" w:tentative="1">
      <w:start w:val="1"/>
      <w:numFmt w:val="bullet"/>
      <w:lvlText w:val="•"/>
      <w:lvlJc w:val="left"/>
      <w:pPr>
        <w:tabs>
          <w:tab w:val="num" w:pos="2160"/>
        </w:tabs>
        <w:ind w:left="2160" w:hanging="360"/>
      </w:pPr>
      <w:rPr>
        <w:rFonts w:ascii="Arial" w:hAnsi="Arial" w:hint="default"/>
      </w:rPr>
    </w:lvl>
    <w:lvl w:ilvl="3" w:tplc="0EC4BF22" w:tentative="1">
      <w:start w:val="1"/>
      <w:numFmt w:val="bullet"/>
      <w:lvlText w:val="•"/>
      <w:lvlJc w:val="left"/>
      <w:pPr>
        <w:tabs>
          <w:tab w:val="num" w:pos="2880"/>
        </w:tabs>
        <w:ind w:left="2880" w:hanging="360"/>
      </w:pPr>
      <w:rPr>
        <w:rFonts w:ascii="Arial" w:hAnsi="Arial" w:hint="default"/>
      </w:rPr>
    </w:lvl>
    <w:lvl w:ilvl="4" w:tplc="075E0F2E" w:tentative="1">
      <w:start w:val="1"/>
      <w:numFmt w:val="bullet"/>
      <w:lvlText w:val="•"/>
      <w:lvlJc w:val="left"/>
      <w:pPr>
        <w:tabs>
          <w:tab w:val="num" w:pos="3600"/>
        </w:tabs>
        <w:ind w:left="3600" w:hanging="360"/>
      </w:pPr>
      <w:rPr>
        <w:rFonts w:ascii="Arial" w:hAnsi="Arial" w:hint="default"/>
      </w:rPr>
    </w:lvl>
    <w:lvl w:ilvl="5" w:tplc="A772440E" w:tentative="1">
      <w:start w:val="1"/>
      <w:numFmt w:val="bullet"/>
      <w:lvlText w:val="•"/>
      <w:lvlJc w:val="left"/>
      <w:pPr>
        <w:tabs>
          <w:tab w:val="num" w:pos="4320"/>
        </w:tabs>
        <w:ind w:left="4320" w:hanging="360"/>
      </w:pPr>
      <w:rPr>
        <w:rFonts w:ascii="Arial" w:hAnsi="Arial" w:hint="default"/>
      </w:rPr>
    </w:lvl>
    <w:lvl w:ilvl="6" w:tplc="202EE776" w:tentative="1">
      <w:start w:val="1"/>
      <w:numFmt w:val="bullet"/>
      <w:lvlText w:val="•"/>
      <w:lvlJc w:val="left"/>
      <w:pPr>
        <w:tabs>
          <w:tab w:val="num" w:pos="5040"/>
        </w:tabs>
        <w:ind w:left="5040" w:hanging="360"/>
      </w:pPr>
      <w:rPr>
        <w:rFonts w:ascii="Arial" w:hAnsi="Arial" w:hint="default"/>
      </w:rPr>
    </w:lvl>
    <w:lvl w:ilvl="7" w:tplc="519ADE0C" w:tentative="1">
      <w:start w:val="1"/>
      <w:numFmt w:val="bullet"/>
      <w:lvlText w:val="•"/>
      <w:lvlJc w:val="left"/>
      <w:pPr>
        <w:tabs>
          <w:tab w:val="num" w:pos="5760"/>
        </w:tabs>
        <w:ind w:left="5760" w:hanging="360"/>
      </w:pPr>
      <w:rPr>
        <w:rFonts w:ascii="Arial" w:hAnsi="Arial" w:hint="default"/>
      </w:rPr>
    </w:lvl>
    <w:lvl w:ilvl="8" w:tplc="0BD8C9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D64ABD"/>
    <w:multiLevelType w:val="multilevel"/>
    <w:tmpl w:val="D108967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276B54"/>
    <w:multiLevelType w:val="multilevel"/>
    <w:tmpl w:val="866A179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615BF0"/>
    <w:multiLevelType w:val="hybridMultilevel"/>
    <w:tmpl w:val="9048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A1537"/>
    <w:multiLevelType w:val="hybridMultilevel"/>
    <w:tmpl w:val="18A0F572"/>
    <w:lvl w:ilvl="0" w:tplc="A54CF2C6">
      <w:start w:val="1"/>
      <w:numFmt w:val="bullet"/>
      <w:lvlText w:val="•"/>
      <w:lvlJc w:val="left"/>
      <w:pPr>
        <w:tabs>
          <w:tab w:val="num" w:pos="720"/>
        </w:tabs>
        <w:ind w:left="720" w:hanging="360"/>
      </w:pPr>
      <w:rPr>
        <w:rFonts w:ascii="Arial" w:hAnsi="Arial" w:hint="default"/>
      </w:rPr>
    </w:lvl>
    <w:lvl w:ilvl="1" w:tplc="30A22D8E" w:tentative="1">
      <w:start w:val="1"/>
      <w:numFmt w:val="bullet"/>
      <w:lvlText w:val="•"/>
      <w:lvlJc w:val="left"/>
      <w:pPr>
        <w:tabs>
          <w:tab w:val="num" w:pos="1440"/>
        </w:tabs>
        <w:ind w:left="1440" w:hanging="360"/>
      </w:pPr>
      <w:rPr>
        <w:rFonts w:ascii="Arial" w:hAnsi="Arial" w:hint="default"/>
      </w:rPr>
    </w:lvl>
    <w:lvl w:ilvl="2" w:tplc="1B304ED4" w:tentative="1">
      <w:start w:val="1"/>
      <w:numFmt w:val="bullet"/>
      <w:lvlText w:val="•"/>
      <w:lvlJc w:val="left"/>
      <w:pPr>
        <w:tabs>
          <w:tab w:val="num" w:pos="2160"/>
        </w:tabs>
        <w:ind w:left="2160" w:hanging="360"/>
      </w:pPr>
      <w:rPr>
        <w:rFonts w:ascii="Arial" w:hAnsi="Arial" w:hint="default"/>
      </w:rPr>
    </w:lvl>
    <w:lvl w:ilvl="3" w:tplc="8418F096" w:tentative="1">
      <w:start w:val="1"/>
      <w:numFmt w:val="bullet"/>
      <w:lvlText w:val="•"/>
      <w:lvlJc w:val="left"/>
      <w:pPr>
        <w:tabs>
          <w:tab w:val="num" w:pos="2880"/>
        </w:tabs>
        <w:ind w:left="2880" w:hanging="360"/>
      </w:pPr>
      <w:rPr>
        <w:rFonts w:ascii="Arial" w:hAnsi="Arial" w:hint="default"/>
      </w:rPr>
    </w:lvl>
    <w:lvl w:ilvl="4" w:tplc="474ED1CA" w:tentative="1">
      <w:start w:val="1"/>
      <w:numFmt w:val="bullet"/>
      <w:lvlText w:val="•"/>
      <w:lvlJc w:val="left"/>
      <w:pPr>
        <w:tabs>
          <w:tab w:val="num" w:pos="3600"/>
        </w:tabs>
        <w:ind w:left="3600" w:hanging="360"/>
      </w:pPr>
      <w:rPr>
        <w:rFonts w:ascii="Arial" w:hAnsi="Arial" w:hint="default"/>
      </w:rPr>
    </w:lvl>
    <w:lvl w:ilvl="5" w:tplc="A9B4F824" w:tentative="1">
      <w:start w:val="1"/>
      <w:numFmt w:val="bullet"/>
      <w:lvlText w:val="•"/>
      <w:lvlJc w:val="left"/>
      <w:pPr>
        <w:tabs>
          <w:tab w:val="num" w:pos="4320"/>
        </w:tabs>
        <w:ind w:left="4320" w:hanging="360"/>
      </w:pPr>
      <w:rPr>
        <w:rFonts w:ascii="Arial" w:hAnsi="Arial" w:hint="default"/>
      </w:rPr>
    </w:lvl>
    <w:lvl w:ilvl="6" w:tplc="43F6938E" w:tentative="1">
      <w:start w:val="1"/>
      <w:numFmt w:val="bullet"/>
      <w:lvlText w:val="•"/>
      <w:lvlJc w:val="left"/>
      <w:pPr>
        <w:tabs>
          <w:tab w:val="num" w:pos="5040"/>
        </w:tabs>
        <w:ind w:left="5040" w:hanging="360"/>
      </w:pPr>
      <w:rPr>
        <w:rFonts w:ascii="Arial" w:hAnsi="Arial" w:hint="default"/>
      </w:rPr>
    </w:lvl>
    <w:lvl w:ilvl="7" w:tplc="517EDD8A" w:tentative="1">
      <w:start w:val="1"/>
      <w:numFmt w:val="bullet"/>
      <w:lvlText w:val="•"/>
      <w:lvlJc w:val="left"/>
      <w:pPr>
        <w:tabs>
          <w:tab w:val="num" w:pos="5760"/>
        </w:tabs>
        <w:ind w:left="5760" w:hanging="360"/>
      </w:pPr>
      <w:rPr>
        <w:rFonts w:ascii="Arial" w:hAnsi="Arial" w:hint="default"/>
      </w:rPr>
    </w:lvl>
    <w:lvl w:ilvl="8" w:tplc="9176C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C62D26"/>
    <w:multiLevelType w:val="hybridMultilevel"/>
    <w:tmpl w:val="B364AD22"/>
    <w:lvl w:ilvl="0" w:tplc="5D3E8F9A">
      <w:start w:val="1"/>
      <w:numFmt w:val="bullet"/>
      <w:lvlText w:val="•"/>
      <w:lvlJc w:val="left"/>
      <w:pPr>
        <w:tabs>
          <w:tab w:val="num" w:pos="720"/>
        </w:tabs>
        <w:ind w:left="720" w:hanging="360"/>
      </w:pPr>
      <w:rPr>
        <w:rFonts w:ascii="Arial" w:hAnsi="Arial" w:hint="default"/>
      </w:rPr>
    </w:lvl>
    <w:lvl w:ilvl="1" w:tplc="71AA04E8" w:tentative="1">
      <w:start w:val="1"/>
      <w:numFmt w:val="bullet"/>
      <w:lvlText w:val="•"/>
      <w:lvlJc w:val="left"/>
      <w:pPr>
        <w:tabs>
          <w:tab w:val="num" w:pos="1440"/>
        </w:tabs>
        <w:ind w:left="1440" w:hanging="360"/>
      </w:pPr>
      <w:rPr>
        <w:rFonts w:ascii="Arial" w:hAnsi="Arial" w:hint="default"/>
      </w:rPr>
    </w:lvl>
    <w:lvl w:ilvl="2" w:tplc="84868A6A" w:tentative="1">
      <w:start w:val="1"/>
      <w:numFmt w:val="bullet"/>
      <w:lvlText w:val="•"/>
      <w:lvlJc w:val="left"/>
      <w:pPr>
        <w:tabs>
          <w:tab w:val="num" w:pos="2160"/>
        </w:tabs>
        <w:ind w:left="2160" w:hanging="360"/>
      </w:pPr>
      <w:rPr>
        <w:rFonts w:ascii="Arial" w:hAnsi="Arial" w:hint="default"/>
      </w:rPr>
    </w:lvl>
    <w:lvl w:ilvl="3" w:tplc="8C5C3BA6" w:tentative="1">
      <w:start w:val="1"/>
      <w:numFmt w:val="bullet"/>
      <w:lvlText w:val="•"/>
      <w:lvlJc w:val="left"/>
      <w:pPr>
        <w:tabs>
          <w:tab w:val="num" w:pos="2880"/>
        </w:tabs>
        <w:ind w:left="2880" w:hanging="360"/>
      </w:pPr>
      <w:rPr>
        <w:rFonts w:ascii="Arial" w:hAnsi="Arial" w:hint="default"/>
      </w:rPr>
    </w:lvl>
    <w:lvl w:ilvl="4" w:tplc="B6267896" w:tentative="1">
      <w:start w:val="1"/>
      <w:numFmt w:val="bullet"/>
      <w:lvlText w:val="•"/>
      <w:lvlJc w:val="left"/>
      <w:pPr>
        <w:tabs>
          <w:tab w:val="num" w:pos="3600"/>
        </w:tabs>
        <w:ind w:left="3600" w:hanging="360"/>
      </w:pPr>
      <w:rPr>
        <w:rFonts w:ascii="Arial" w:hAnsi="Arial" w:hint="default"/>
      </w:rPr>
    </w:lvl>
    <w:lvl w:ilvl="5" w:tplc="AC3025AE" w:tentative="1">
      <w:start w:val="1"/>
      <w:numFmt w:val="bullet"/>
      <w:lvlText w:val="•"/>
      <w:lvlJc w:val="left"/>
      <w:pPr>
        <w:tabs>
          <w:tab w:val="num" w:pos="4320"/>
        </w:tabs>
        <w:ind w:left="4320" w:hanging="360"/>
      </w:pPr>
      <w:rPr>
        <w:rFonts w:ascii="Arial" w:hAnsi="Arial" w:hint="default"/>
      </w:rPr>
    </w:lvl>
    <w:lvl w:ilvl="6" w:tplc="EB26AF74" w:tentative="1">
      <w:start w:val="1"/>
      <w:numFmt w:val="bullet"/>
      <w:lvlText w:val="•"/>
      <w:lvlJc w:val="left"/>
      <w:pPr>
        <w:tabs>
          <w:tab w:val="num" w:pos="5040"/>
        </w:tabs>
        <w:ind w:left="5040" w:hanging="360"/>
      </w:pPr>
      <w:rPr>
        <w:rFonts w:ascii="Arial" w:hAnsi="Arial" w:hint="default"/>
      </w:rPr>
    </w:lvl>
    <w:lvl w:ilvl="7" w:tplc="901034D4" w:tentative="1">
      <w:start w:val="1"/>
      <w:numFmt w:val="bullet"/>
      <w:lvlText w:val="•"/>
      <w:lvlJc w:val="left"/>
      <w:pPr>
        <w:tabs>
          <w:tab w:val="num" w:pos="5760"/>
        </w:tabs>
        <w:ind w:left="5760" w:hanging="360"/>
      </w:pPr>
      <w:rPr>
        <w:rFonts w:ascii="Arial" w:hAnsi="Arial" w:hint="default"/>
      </w:rPr>
    </w:lvl>
    <w:lvl w:ilvl="8" w:tplc="2C10D4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177789"/>
    <w:multiLevelType w:val="multilevel"/>
    <w:tmpl w:val="236A20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7505C7"/>
    <w:multiLevelType w:val="multilevel"/>
    <w:tmpl w:val="9662946E"/>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C97A7F"/>
    <w:multiLevelType w:val="hybridMultilevel"/>
    <w:tmpl w:val="610CA4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771186"/>
    <w:multiLevelType w:val="hybridMultilevel"/>
    <w:tmpl w:val="CF14DBBA"/>
    <w:lvl w:ilvl="0" w:tplc="2638A408">
      <w:start w:val="1"/>
      <w:numFmt w:val="bullet"/>
      <w:lvlText w:val="•"/>
      <w:lvlJc w:val="left"/>
      <w:pPr>
        <w:tabs>
          <w:tab w:val="num" w:pos="720"/>
        </w:tabs>
        <w:ind w:left="720" w:hanging="360"/>
      </w:pPr>
      <w:rPr>
        <w:rFonts w:ascii="Arial" w:hAnsi="Arial" w:hint="default"/>
      </w:rPr>
    </w:lvl>
    <w:lvl w:ilvl="1" w:tplc="4EF8D142">
      <w:start w:val="1"/>
      <w:numFmt w:val="bullet"/>
      <w:lvlText w:val="•"/>
      <w:lvlJc w:val="left"/>
      <w:pPr>
        <w:tabs>
          <w:tab w:val="num" w:pos="1440"/>
        </w:tabs>
        <w:ind w:left="1440" w:hanging="360"/>
      </w:pPr>
      <w:rPr>
        <w:rFonts w:ascii="Arial" w:hAnsi="Arial" w:hint="default"/>
      </w:rPr>
    </w:lvl>
    <w:lvl w:ilvl="2" w:tplc="50E49F4E" w:tentative="1">
      <w:start w:val="1"/>
      <w:numFmt w:val="bullet"/>
      <w:lvlText w:val="•"/>
      <w:lvlJc w:val="left"/>
      <w:pPr>
        <w:tabs>
          <w:tab w:val="num" w:pos="2160"/>
        </w:tabs>
        <w:ind w:left="2160" w:hanging="360"/>
      </w:pPr>
      <w:rPr>
        <w:rFonts w:ascii="Arial" w:hAnsi="Arial" w:hint="default"/>
      </w:rPr>
    </w:lvl>
    <w:lvl w:ilvl="3" w:tplc="1BCE1FEC" w:tentative="1">
      <w:start w:val="1"/>
      <w:numFmt w:val="bullet"/>
      <w:lvlText w:val="•"/>
      <w:lvlJc w:val="left"/>
      <w:pPr>
        <w:tabs>
          <w:tab w:val="num" w:pos="2880"/>
        </w:tabs>
        <w:ind w:left="2880" w:hanging="360"/>
      </w:pPr>
      <w:rPr>
        <w:rFonts w:ascii="Arial" w:hAnsi="Arial" w:hint="default"/>
      </w:rPr>
    </w:lvl>
    <w:lvl w:ilvl="4" w:tplc="ED4E925E" w:tentative="1">
      <w:start w:val="1"/>
      <w:numFmt w:val="bullet"/>
      <w:lvlText w:val="•"/>
      <w:lvlJc w:val="left"/>
      <w:pPr>
        <w:tabs>
          <w:tab w:val="num" w:pos="3600"/>
        </w:tabs>
        <w:ind w:left="3600" w:hanging="360"/>
      </w:pPr>
      <w:rPr>
        <w:rFonts w:ascii="Arial" w:hAnsi="Arial" w:hint="default"/>
      </w:rPr>
    </w:lvl>
    <w:lvl w:ilvl="5" w:tplc="A0AA148A" w:tentative="1">
      <w:start w:val="1"/>
      <w:numFmt w:val="bullet"/>
      <w:lvlText w:val="•"/>
      <w:lvlJc w:val="left"/>
      <w:pPr>
        <w:tabs>
          <w:tab w:val="num" w:pos="4320"/>
        </w:tabs>
        <w:ind w:left="4320" w:hanging="360"/>
      </w:pPr>
      <w:rPr>
        <w:rFonts w:ascii="Arial" w:hAnsi="Arial" w:hint="default"/>
      </w:rPr>
    </w:lvl>
    <w:lvl w:ilvl="6" w:tplc="38883446" w:tentative="1">
      <w:start w:val="1"/>
      <w:numFmt w:val="bullet"/>
      <w:lvlText w:val="•"/>
      <w:lvlJc w:val="left"/>
      <w:pPr>
        <w:tabs>
          <w:tab w:val="num" w:pos="5040"/>
        </w:tabs>
        <w:ind w:left="5040" w:hanging="360"/>
      </w:pPr>
      <w:rPr>
        <w:rFonts w:ascii="Arial" w:hAnsi="Arial" w:hint="default"/>
      </w:rPr>
    </w:lvl>
    <w:lvl w:ilvl="7" w:tplc="C89A38DE" w:tentative="1">
      <w:start w:val="1"/>
      <w:numFmt w:val="bullet"/>
      <w:lvlText w:val="•"/>
      <w:lvlJc w:val="left"/>
      <w:pPr>
        <w:tabs>
          <w:tab w:val="num" w:pos="5760"/>
        </w:tabs>
        <w:ind w:left="5760" w:hanging="360"/>
      </w:pPr>
      <w:rPr>
        <w:rFonts w:ascii="Arial" w:hAnsi="Arial" w:hint="default"/>
      </w:rPr>
    </w:lvl>
    <w:lvl w:ilvl="8" w:tplc="0F9894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A2D6C25"/>
    <w:multiLevelType w:val="hybridMultilevel"/>
    <w:tmpl w:val="0A48C362"/>
    <w:lvl w:ilvl="0" w:tplc="32CE6436">
      <w:start w:val="1"/>
      <w:numFmt w:val="bullet"/>
      <w:lvlText w:val="•"/>
      <w:lvlJc w:val="left"/>
      <w:pPr>
        <w:tabs>
          <w:tab w:val="num" w:pos="720"/>
        </w:tabs>
        <w:ind w:left="720" w:hanging="360"/>
      </w:pPr>
      <w:rPr>
        <w:rFonts w:ascii="Arial" w:hAnsi="Arial" w:hint="default"/>
      </w:rPr>
    </w:lvl>
    <w:lvl w:ilvl="1" w:tplc="03C6071A">
      <w:numFmt w:val="bullet"/>
      <w:lvlText w:val="•"/>
      <w:lvlJc w:val="left"/>
      <w:pPr>
        <w:tabs>
          <w:tab w:val="num" w:pos="1440"/>
        </w:tabs>
        <w:ind w:left="1440" w:hanging="360"/>
      </w:pPr>
      <w:rPr>
        <w:rFonts w:ascii="Arial" w:hAnsi="Arial" w:hint="default"/>
      </w:rPr>
    </w:lvl>
    <w:lvl w:ilvl="2" w:tplc="C96015CA" w:tentative="1">
      <w:start w:val="1"/>
      <w:numFmt w:val="bullet"/>
      <w:lvlText w:val="•"/>
      <w:lvlJc w:val="left"/>
      <w:pPr>
        <w:tabs>
          <w:tab w:val="num" w:pos="2160"/>
        </w:tabs>
        <w:ind w:left="2160" w:hanging="360"/>
      </w:pPr>
      <w:rPr>
        <w:rFonts w:ascii="Arial" w:hAnsi="Arial" w:hint="default"/>
      </w:rPr>
    </w:lvl>
    <w:lvl w:ilvl="3" w:tplc="3AD08D20" w:tentative="1">
      <w:start w:val="1"/>
      <w:numFmt w:val="bullet"/>
      <w:lvlText w:val="•"/>
      <w:lvlJc w:val="left"/>
      <w:pPr>
        <w:tabs>
          <w:tab w:val="num" w:pos="2880"/>
        </w:tabs>
        <w:ind w:left="2880" w:hanging="360"/>
      </w:pPr>
      <w:rPr>
        <w:rFonts w:ascii="Arial" w:hAnsi="Arial" w:hint="default"/>
      </w:rPr>
    </w:lvl>
    <w:lvl w:ilvl="4" w:tplc="859E70AC" w:tentative="1">
      <w:start w:val="1"/>
      <w:numFmt w:val="bullet"/>
      <w:lvlText w:val="•"/>
      <w:lvlJc w:val="left"/>
      <w:pPr>
        <w:tabs>
          <w:tab w:val="num" w:pos="3600"/>
        </w:tabs>
        <w:ind w:left="3600" w:hanging="360"/>
      </w:pPr>
      <w:rPr>
        <w:rFonts w:ascii="Arial" w:hAnsi="Arial" w:hint="default"/>
      </w:rPr>
    </w:lvl>
    <w:lvl w:ilvl="5" w:tplc="EF2E4406" w:tentative="1">
      <w:start w:val="1"/>
      <w:numFmt w:val="bullet"/>
      <w:lvlText w:val="•"/>
      <w:lvlJc w:val="left"/>
      <w:pPr>
        <w:tabs>
          <w:tab w:val="num" w:pos="4320"/>
        </w:tabs>
        <w:ind w:left="4320" w:hanging="360"/>
      </w:pPr>
      <w:rPr>
        <w:rFonts w:ascii="Arial" w:hAnsi="Arial" w:hint="default"/>
      </w:rPr>
    </w:lvl>
    <w:lvl w:ilvl="6" w:tplc="2004AFAC" w:tentative="1">
      <w:start w:val="1"/>
      <w:numFmt w:val="bullet"/>
      <w:lvlText w:val="•"/>
      <w:lvlJc w:val="left"/>
      <w:pPr>
        <w:tabs>
          <w:tab w:val="num" w:pos="5040"/>
        </w:tabs>
        <w:ind w:left="5040" w:hanging="360"/>
      </w:pPr>
      <w:rPr>
        <w:rFonts w:ascii="Arial" w:hAnsi="Arial" w:hint="default"/>
      </w:rPr>
    </w:lvl>
    <w:lvl w:ilvl="7" w:tplc="E8BE6952" w:tentative="1">
      <w:start w:val="1"/>
      <w:numFmt w:val="bullet"/>
      <w:lvlText w:val="•"/>
      <w:lvlJc w:val="left"/>
      <w:pPr>
        <w:tabs>
          <w:tab w:val="num" w:pos="5760"/>
        </w:tabs>
        <w:ind w:left="5760" w:hanging="360"/>
      </w:pPr>
      <w:rPr>
        <w:rFonts w:ascii="Arial" w:hAnsi="Arial" w:hint="default"/>
      </w:rPr>
    </w:lvl>
    <w:lvl w:ilvl="8" w:tplc="03AAEBD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1"/>
  </w:num>
  <w:num w:numId="4">
    <w:abstractNumId w:val="5"/>
  </w:num>
  <w:num w:numId="5">
    <w:abstractNumId w:val="16"/>
  </w:num>
  <w:num w:numId="6">
    <w:abstractNumId w:val="18"/>
  </w:num>
  <w:num w:numId="7">
    <w:abstractNumId w:val="17"/>
  </w:num>
  <w:num w:numId="8">
    <w:abstractNumId w:val="8"/>
  </w:num>
  <w:num w:numId="9">
    <w:abstractNumId w:val="13"/>
  </w:num>
  <w:num w:numId="10">
    <w:abstractNumId w:val="12"/>
  </w:num>
  <w:num w:numId="11">
    <w:abstractNumId w:val="0"/>
  </w:num>
  <w:num w:numId="12">
    <w:abstractNumId w:val="7"/>
  </w:num>
  <w:num w:numId="13">
    <w:abstractNumId w:val="9"/>
  </w:num>
  <w:num w:numId="14">
    <w:abstractNumId w:val="10"/>
  </w:num>
  <w:num w:numId="15">
    <w:abstractNumId w:val="15"/>
  </w:num>
  <w:num w:numId="16">
    <w:abstractNumId w:val="6"/>
  </w:num>
  <w:num w:numId="17">
    <w:abstractNumId w:val="14"/>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F4"/>
    <w:rsid w:val="0000068E"/>
    <w:rsid w:val="000014A5"/>
    <w:rsid w:val="00003202"/>
    <w:rsid w:val="000039B9"/>
    <w:rsid w:val="000068B2"/>
    <w:rsid w:val="00007A75"/>
    <w:rsid w:val="000107CC"/>
    <w:rsid w:val="0001081E"/>
    <w:rsid w:val="000133E1"/>
    <w:rsid w:val="000133FA"/>
    <w:rsid w:val="00016B87"/>
    <w:rsid w:val="00016CAF"/>
    <w:rsid w:val="00017F62"/>
    <w:rsid w:val="00020BDF"/>
    <w:rsid w:val="00020D03"/>
    <w:rsid w:val="00020E37"/>
    <w:rsid w:val="00021668"/>
    <w:rsid w:val="00022891"/>
    <w:rsid w:val="00022AEE"/>
    <w:rsid w:val="00024E11"/>
    <w:rsid w:val="00025374"/>
    <w:rsid w:val="00027453"/>
    <w:rsid w:val="000300F8"/>
    <w:rsid w:val="000306B1"/>
    <w:rsid w:val="00030B83"/>
    <w:rsid w:val="00034530"/>
    <w:rsid w:val="00036F5A"/>
    <w:rsid w:val="00042ED6"/>
    <w:rsid w:val="0004310C"/>
    <w:rsid w:val="000433B5"/>
    <w:rsid w:val="0004466E"/>
    <w:rsid w:val="0004563B"/>
    <w:rsid w:val="00046CA0"/>
    <w:rsid w:val="00052280"/>
    <w:rsid w:val="00052954"/>
    <w:rsid w:val="000559D0"/>
    <w:rsid w:val="0005702E"/>
    <w:rsid w:val="00057CDE"/>
    <w:rsid w:val="0006352E"/>
    <w:rsid w:val="0006366E"/>
    <w:rsid w:val="0006784D"/>
    <w:rsid w:val="00070F9B"/>
    <w:rsid w:val="00072455"/>
    <w:rsid w:val="00073114"/>
    <w:rsid w:val="00081BDC"/>
    <w:rsid w:val="00082534"/>
    <w:rsid w:val="00082FAE"/>
    <w:rsid w:val="00093955"/>
    <w:rsid w:val="0009564C"/>
    <w:rsid w:val="00096830"/>
    <w:rsid w:val="000969B7"/>
    <w:rsid w:val="000A0E15"/>
    <w:rsid w:val="000A15E4"/>
    <w:rsid w:val="000A176A"/>
    <w:rsid w:val="000A18B6"/>
    <w:rsid w:val="000A2A1F"/>
    <w:rsid w:val="000A3771"/>
    <w:rsid w:val="000A3902"/>
    <w:rsid w:val="000A4C0D"/>
    <w:rsid w:val="000A7E65"/>
    <w:rsid w:val="000B126F"/>
    <w:rsid w:val="000B3BBD"/>
    <w:rsid w:val="000B4AE9"/>
    <w:rsid w:val="000B4B4B"/>
    <w:rsid w:val="000B5148"/>
    <w:rsid w:val="000B64BE"/>
    <w:rsid w:val="000C0697"/>
    <w:rsid w:val="000C4AF4"/>
    <w:rsid w:val="000C748F"/>
    <w:rsid w:val="000C7B3D"/>
    <w:rsid w:val="000D03F3"/>
    <w:rsid w:val="000D0F98"/>
    <w:rsid w:val="000D1FB6"/>
    <w:rsid w:val="000D52DE"/>
    <w:rsid w:val="000D6EE1"/>
    <w:rsid w:val="000D7BA6"/>
    <w:rsid w:val="000E3AF8"/>
    <w:rsid w:val="000E3C1F"/>
    <w:rsid w:val="000E70F8"/>
    <w:rsid w:val="000E722D"/>
    <w:rsid w:val="000F0E6D"/>
    <w:rsid w:val="000F4F41"/>
    <w:rsid w:val="000F79F2"/>
    <w:rsid w:val="001043EA"/>
    <w:rsid w:val="00104B68"/>
    <w:rsid w:val="00105A09"/>
    <w:rsid w:val="00105D09"/>
    <w:rsid w:val="0011194E"/>
    <w:rsid w:val="00114135"/>
    <w:rsid w:val="00114DD1"/>
    <w:rsid w:val="001154FA"/>
    <w:rsid w:val="00117937"/>
    <w:rsid w:val="00117A4B"/>
    <w:rsid w:val="0012011B"/>
    <w:rsid w:val="0012015A"/>
    <w:rsid w:val="00120D5F"/>
    <w:rsid w:val="00121620"/>
    <w:rsid w:val="001279EF"/>
    <w:rsid w:val="00127D21"/>
    <w:rsid w:val="001306AA"/>
    <w:rsid w:val="0013141D"/>
    <w:rsid w:val="00134D24"/>
    <w:rsid w:val="001406E8"/>
    <w:rsid w:val="00142D73"/>
    <w:rsid w:val="00145109"/>
    <w:rsid w:val="0014530A"/>
    <w:rsid w:val="0014566D"/>
    <w:rsid w:val="001460BA"/>
    <w:rsid w:val="001460DA"/>
    <w:rsid w:val="00146D08"/>
    <w:rsid w:val="00147064"/>
    <w:rsid w:val="0014773E"/>
    <w:rsid w:val="00147C4B"/>
    <w:rsid w:val="0015060B"/>
    <w:rsid w:val="001522A5"/>
    <w:rsid w:val="00153C44"/>
    <w:rsid w:val="00155249"/>
    <w:rsid w:val="001566B6"/>
    <w:rsid w:val="00156718"/>
    <w:rsid w:val="00157402"/>
    <w:rsid w:val="00157A75"/>
    <w:rsid w:val="00157BCD"/>
    <w:rsid w:val="00160943"/>
    <w:rsid w:val="00161109"/>
    <w:rsid w:val="00162A63"/>
    <w:rsid w:val="00162DE1"/>
    <w:rsid w:val="001635B0"/>
    <w:rsid w:val="00165D98"/>
    <w:rsid w:val="00171E44"/>
    <w:rsid w:val="001737DC"/>
    <w:rsid w:val="001743BF"/>
    <w:rsid w:val="0017498F"/>
    <w:rsid w:val="00177361"/>
    <w:rsid w:val="0017766D"/>
    <w:rsid w:val="00180A12"/>
    <w:rsid w:val="00182D75"/>
    <w:rsid w:val="00184416"/>
    <w:rsid w:val="00185C27"/>
    <w:rsid w:val="00190417"/>
    <w:rsid w:val="00192770"/>
    <w:rsid w:val="00193164"/>
    <w:rsid w:val="0019356C"/>
    <w:rsid w:val="00193D07"/>
    <w:rsid w:val="001940BF"/>
    <w:rsid w:val="001942A2"/>
    <w:rsid w:val="00197B8C"/>
    <w:rsid w:val="00197C42"/>
    <w:rsid w:val="00197DB0"/>
    <w:rsid w:val="001A001B"/>
    <w:rsid w:val="001A0799"/>
    <w:rsid w:val="001A4569"/>
    <w:rsid w:val="001A7C95"/>
    <w:rsid w:val="001A7DAA"/>
    <w:rsid w:val="001B2853"/>
    <w:rsid w:val="001B2C36"/>
    <w:rsid w:val="001B2FE5"/>
    <w:rsid w:val="001B35B9"/>
    <w:rsid w:val="001B3FD5"/>
    <w:rsid w:val="001B4AA3"/>
    <w:rsid w:val="001B4CBA"/>
    <w:rsid w:val="001B5AD6"/>
    <w:rsid w:val="001C1521"/>
    <w:rsid w:val="001C33AD"/>
    <w:rsid w:val="001C58E4"/>
    <w:rsid w:val="001C66A6"/>
    <w:rsid w:val="001C6CD3"/>
    <w:rsid w:val="001C7C26"/>
    <w:rsid w:val="001D3D35"/>
    <w:rsid w:val="001D3F5D"/>
    <w:rsid w:val="001D692E"/>
    <w:rsid w:val="001D6D24"/>
    <w:rsid w:val="001D6EA4"/>
    <w:rsid w:val="001D7170"/>
    <w:rsid w:val="001D775A"/>
    <w:rsid w:val="001D7F9B"/>
    <w:rsid w:val="001E0024"/>
    <w:rsid w:val="001E097B"/>
    <w:rsid w:val="001E316C"/>
    <w:rsid w:val="001E317B"/>
    <w:rsid w:val="001E3979"/>
    <w:rsid w:val="001E6248"/>
    <w:rsid w:val="001E65EE"/>
    <w:rsid w:val="001E76D9"/>
    <w:rsid w:val="001E7B4C"/>
    <w:rsid w:val="001F04E7"/>
    <w:rsid w:val="001F12F6"/>
    <w:rsid w:val="001F4147"/>
    <w:rsid w:val="00200C95"/>
    <w:rsid w:val="00202223"/>
    <w:rsid w:val="0020228E"/>
    <w:rsid w:val="00204E9A"/>
    <w:rsid w:val="002053F0"/>
    <w:rsid w:val="002067AC"/>
    <w:rsid w:val="002073EE"/>
    <w:rsid w:val="002103E4"/>
    <w:rsid w:val="002105FA"/>
    <w:rsid w:val="00210DD1"/>
    <w:rsid w:val="00213E97"/>
    <w:rsid w:val="00214F3B"/>
    <w:rsid w:val="00215BDA"/>
    <w:rsid w:val="00216B1E"/>
    <w:rsid w:val="00217403"/>
    <w:rsid w:val="00220CF0"/>
    <w:rsid w:val="00221C84"/>
    <w:rsid w:val="00222965"/>
    <w:rsid w:val="002236F2"/>
    <w:rsid w:val="00223C09"/>
    <w:rsid w:val="00224012"/>
    <w:rsid w:val="00225C1F"/>
    <w:rsid w:val="00226B8A"/>
    <w:rsid w:val="00227C4D"/>
    <w:rsid w:val="0023110A"/>
    <w:rsid w:val="002312B4"/>
    <w:rsid w:val="00231D41"/>
    <w:rsid w:val="002337FB"/>
    <w:rsid w:val="002338CF"/>
    <w:rsid w:val="00235BD7"/>
    <w:rsid w:val="00237696"/>
    <w:rsid w:val="00237A0A"/>
    <w:rsid w:val="0024447C"/>
    <w:rsid w:val="002447F6"/>
    <w:rsid w:val="0024566F"/>
    <w:rsid w:val="00246929"/>
    <w:rsid w:val="0024704E"/>
    <w:rsid w:val="002515B5"/>
    <w:rsid w:val="00253B63"/>
    <w:rsid w:val="00253BCA"/>
    <w:rsid w:val="00254A38"/>
    <w:rsid w:val="00254F73"/>
    <w:rsid w:val="00255BE4"/>
    <w:rsid w:val="0026071F"/>
    <w:rsid w:val="0026175D"/>
    <w:rsid w:val="00261885"/>
    <w:rsid w:val="00261C72"/>
    <w:rsid w:val="00262525"/>
    <w:rsid w:val="00263F60"/>
    <w:rsid w:val="002650B4"/>
    <w:rsid w:val="00265C8E"/>
    <w:rsid w:val="00267252"/>
    <w:rsid w:val="00270F35"/>
    <w:rsid w:val="00272493"/>
    <w:rsid w:val="00273CAD"/>
    <w:rsid w:val="0027681B"/>
    <w:rsid w:val="002825A3"/>
    <w:rsid w:val="002827C2"/>
    <w:rsid w:val="002839E6"/>
    <w:rsid w:val="00284B68"/>
    <w:rsid w:val="0028580A"/>
    <w:rsid w:val="002879FB"/>
    <w:rsid w:val="00290895"/>
    <w:rsid w:val="0029243A"/>
    <w:rsid w:val="00295005"/>
    <w:rsid w:val="002962B8"/>
    <w:rsid w:val="00296C97"/>
    <w:rsid w:val="00297C80"/>
    <w:rsid w:val="00297E76"/>
    <w:rsid w:val="002A1146"/>
    <w:rsid w:val="002A37B4"/>
    <w:rsid w:val="002A41B6"/>
    <w:rsid w:val="002A4257"/>
    <w:rsid w:val="002A64B7"/>
    <w:rsid w:val="002A786A"/>
    <w:rsid w:val="002B0C13"/>
    <w:rsid w:val="002B1272"/>
    <w:rsid w:val="002B2295"/>
    <w:rsid w:val="002B2471"/>
    <w:rsid w:val="002B55AF"/>
    <w:rsid w:val="002B5763"/>
    <w:rsid w:val="002B5DE8"/>
    <w:rsid w:val="002B71ED"/>
    <w:rsid w:val="002C0D2F"/>
    <w:rsid w:val="002C1243"/>
    <w:rsid w:val="002C1C5C"/>
    <w:rsid w:val="002C415A"/>
    <w:rsid w:val="002C45AD"/>
    <w:rsid w:val="002C7945"/>
    <w:rsid w:val="002C7EA3"/>
    <w:rsid w:val="002D3C43"/>
    <w:rsid w:val="002E0D1D"/>
    <w:rsid w:val="002E1B1B"/>
    <w:rsid w:val="002E57AF"/>
    <w:rsid w:val="002E6544"/>
    <w:rsid w:val="002E672F"/>
    <w:rsid w:val="002E7932"/>
    <w:rsid w:val="002F3AA5"/>
    <w:rsid w:val="002F4A7A"/>
    <w:rsid w:val="002F6F41"/>
    <w:rsid w:val="002F741B"/>
    <w:rsid w:val="002F7DC6"/>
    <w:rsid w:val="0030366D"/>
    <w:rsid w:val="00303FC0"/>
    <w:rsid w:val="00305916"/>
    <w:rsid w:val="003062ED"/>
    <w:rsid w:val="003074F3"/>
    <w:rsid w:val="003100DB"/>
    <w:rsid w:val="00311252"/>
    <w:rsid w:val="00313818"/>
    <w:rsid w:val="003148AC"/>
    <w:rsid w:val="00315EFC"/>
    <w:rsid w:val="0032072E"/>
    <w:rsid w:val="00321906"/>
    <w:rsid w:val="003243A1"/>
    <w:rsid w:val="003245EC"/>
    <w:rsid w:val="0032761D"/>
    <w:rsid w:val="0033057C"/>
    <w:rsid w:val="00331D6E"/>
    <w:rsid w:val="00332DD6"/>
    <w:rsid w:val="00333DA5"/>
    <w:rsid w:val="00334361"/>
    <w:rsid w:val="00340378"/>
    <w:rsid w:val="003403F7"/>
    <w:rsid w:val="00340497"/>
    <w:rsid w:val="00342FC6"/>
    <w:rsid w:val="003430EB"/>
    <w:rsid w:val="00344594"/>
    <w:rsid w:val="0034616E"/>
    <w:rsid w:val="0034723B"/>
    <w:rsid w:val="00347C24"/>
    <w:rsid w:val="00350B2D"/>
    <w:rsid w:val="00353386"/>
    <w:rsid w:val="003537A1"/>
    <w:rsid w:val="00354EB8"/>
    <w:rsid w:val="00355778"/>
    <w:rsid w:val="00357BA1"/>
    <w:rsid w:val="003606CA"/>
    <w:rsid w:val="0036241B"/>
    <w:rsid w:val="00363A83"/>
    <w:rsid w:val="00365E00"/>
    <w:rsid w:val="003714CA"/>
    <w:rsid w:val="003715FF"/>
    <w:rsid w:val="00372981"/>
    <w:rsid w:val="00374C79"/>
    <w:rsid w:val="003752F4"/>
    <w:rsid w:val="00380AE9"/>
    <w:rsid w:val="00381EEF"/>
    <w:rsid w:val="003822C0"/>
    <w:rsid w:val="00382954"/>
    <w:rsid w:val="00383BA6"/>
    <w:rsid w:val="00385599"/>
    <w:rsid w:val="00390535"/>
    <w:rsid w:val="00390766"/>
    <w:rsid w:val="00391823"/>
    <w:rsid w:val="00392B80"/>
    <w:rsid w:val="00393156"/>
    <w:rsid w:val="003940A6"/>
    <w:rsid w:val="003947EA"/>
    <w:rsid w:val="003950E8"/>
    <w:rsid w:val="00395F48"/>
    <w:rsid w:val="003A10A8"/>
    <w:rsid w:val="003A34F1"/>
    <w:rsid w:val="003A78B7"/>
    <w:rsid w:val="003B04C9"/>
    <w:rsid w:val="003B087E"/>
    <w:rsid w:val="003B26B9"/>
    <w:rsid w:val="003B293F"/>
    <w:rsid w:val="003B5764"/>
    <w:rsid w:val="003C0FA0"/>
    <w:rsid w:val="003C50FE"/>
    <w:rsid w:val="003D049B"/>
    <w:rsid w:val="003D32E5"/>
    <w:rsid w:val="003D32FE"/>
    <w:rsid w:val="003D7181"/>
    <w:rsid w:val="003D75B3"/>
    <w:rsid w:val="003E01F9"/>
    <w:rsid w:val="003E113F"/>
    <w:rsid w:val="003E156E"/>
    <w:rsid w:val="003E427E"/>
    <w:rsid w:val="003E5AB3"/>
    <w:rsid w:val="003E63CF"/>
    <w:rsid w:val="003E763C"/>
    <w:rsid w:val="003F058A"/>
    <w:rsid w:val="003F21E4"/>
    <w:rsid w:val="003F7200"/>
    <w:rsid w:val="003F76C3"/>
    <w:rsid w:val="003F7FF3"/>
    <w:rsid w:val="00403BE4"/>
    <w:rsid w:val="0040408C"/>
    <w:rsid w:val="00405717"/>
    <w:rsid w:val="004072E5"/>
    <w:rsid w:val="00410D37"/>
    <w:rsid w:val="0041280C"/>
    <w:rsid w:val="00412C2D"/>
    <w:rsid w:val="00412DCA"/>
    <w:rsid w:val="00413790"/>
    <w:rsid w:val="004154DF"/>
    <w:rsid w:val="00416BA9"/>
    <w:rsid w:val="0041754C"/>
    <w:rsid w:val="004214B8"/>
    <w:rsid w:val="004226E4"/>
    <w:rsid w:val="004232D7"/>
    <w:rsid w:val="0042382A"/>
    <w:rsid w:val="00423AB0"/>
    <w:rsid w:val="00424858"/>
    <w:rsid w:val="00427A2B"/>
    <w:rsid w:val="00431D89"/>
    <w:rsid w:val="00432260"/>
    <w:rsid w:val="00434E67"/>
    <w:rsid w:val="00436759"/>
    <w:rsid w:val="00436C14"/>
    <w:rsid w:val="004370CC"/>
    <w:rsid w:val="0044128B"/>
    <w:rsid w:val="00441CC6"/>
    <w:rsid w:val="00446139"/>
    <w:rsid w:val="00447F0F"/>
    <w:rsid w:val="00451E7F"/>
    <w:rsid w:val="004533F8"/>
    <w:rsid w:val="0045595E"/>
    <w:rsid w:val="00455B9B"/>
    <w:rsid w:val="00456D0A"/>
    <w:rsid w:val="00457DA2"/>
    <w:rsid w:val="0046153C"/>
    <w:rsid w:val="004628BF"/>
    <w:rsid w:val="00462C3D"/>
    <w:rsid w:val="00463536"/>
    <w:rsid w:val="0046485A"/>
    <w:rsid w:val="00466849"/>
    <w:rsid w:val="00466BDF"/>
    <w:rsid w:val="004706AC"/>
    <w:rsid w:val="00470B88"/>
    <w:rsid w:val="0047469C"/>
    <w:rsid w:val="004747B3"/>
    <w:rsid w:val="00474915"/>
    <w:rsid w:val="0047534C"/>
    <w:rsid w:val="00476575"/>
    <w:rsid w:val="00480258"/>
    <w:rsid w:val="00482F56"/>
    <w:rsid w:val="00483311"/>
    <w:rsid w:val="0048413D"/>
    <w:rsid w:val="00484FD6"/>
    <w:rsid w:val="00485C25"/>
    <w:rsid w:val="004879BF"/>
    <w:rsid w:val="00487EFD"/>
    <w:rsid w:val="0049039A"/>
    <w:rsid w:val="00490C14"/>
    <w:rsid w:val="00491728"/>
    <w:rsid w:val="00491D67"/>
    <w:rsid w:val="00493493"/>
    <w:rsid w:val="00493A7F"/>
    <w:rsid w:val="00494A88"/>
    <w:rsid w:val="00496512"/>
    <w:rsid w:val="004A69A3"/>
    <w:rsid w:val="004A71D5"/>
    <w:rsid w:val="004B0BD5"/>
    <w:rsid w:val="004B21F8"/>
    <w:rsid w:val="004B2C0C"/>
    <w:rsid w:val="004B320B"/>
    <w:rsid w:val="004B3FCC"/>
    <w:rsid w:val="004B5BD0"/>
    <w:rsid w:val="004B6C59"/>
    <w:rsid w:val="004C0D7F"/>
    <w:rsid w:val="004C33F8"/>
    <w:rsid w:val="004C6302"/>
    <w:rsid w:val="004C77DD"/>
    <w:rsid w:val="004C7EA9"/>
    <w:rsid w:val="004D4338"/>
    <w:rsid w:val="004D46FE"/>
    <w:rsid w:val="004D6AC4"/>
    <w:rsid w:val="004D7A51"/>
    <w:rsid w:val="004E04EE"/>
    <w:rsid w:val="004E135E"/>
    <w:rsid w:val="004E1AA3"/>
    <w:rsid w:val="004E2199"/>
    <w:rsid w:val="004E48E5"/>
    <w:rsid w:val="004E4ACC"/>
    <w:rsid w:val="004E4E73"/>
    <w:rsid w:val="004E5E5A"/>
    <w:rsid w:val="004E72D7"/>
    <w:rsid w:val="004F0250"/>
    <w:rsid w:val="004F19BC"/>
    <w:rsid w:val="004F1E1B"/>
    <w:rsid w:val="004F28A2"/>
    <w:rsid w:val="004F2FDE"/>
    <w:rsid w:val="004F3282"/>
    <w:rsid w:val="004F3A46"/>
    <w:rsid w:val="004F4432"/>
    <w:rsid w:val="004F4631"/>
    <w:rsid w:val="005002A7"/>
    <w:rsid w:val="00501080"/>
    <w:rsid w:val="00502CD7"/>
    <w:rsid w:val="00503975"/>
    <w:rsid w:val="00504E99"/>
    <w:rsid w:val="0050768F"/>
    <w:rsid w:val="0051002C"/>
    <w:rsid w:val="005166D1"/>
    <w:rsid w:val="00516B0D"/>
    <w:rsid w:val="005173C8"/>
    <w:rsid w:val="005202B3"/>
    <w:rsid w:val="005213B3"/>
    <w:rsid w:val="00524C89"/>
    <w:rsid w:val="0052620A"/>
    <w:rsid w:val="005304E5"/>
    <w:rsid w:val="005308A9"/>
    <w:rsid w:val="00531CD2"/>
    <w:rsid w:val="0053267D"/>
    <w:rsid w:val="00533DC3"/>
    <w:rsid w:val="00533F75"/>
    <w:rsid w:val="00535869"/>
    <w:rsid w:val="00536772"/>
    <w:rsid w:val="005406A0"/>
    <w:rsid w:val="00540749"/>
    <w:rsid w:val="00541478"/>
    <w:rsid w:val="00541D2D"/>
    <w:rsid w:val="00544361"/>
    <w:rsid w:val="00544884"/>
    <w:rsid w:val="00547BD9"/>
    <w:rsid w:val="00550AE2"/>
    <w:rsid w:val="005515BD"/>
    <w:rsid w:val="00552C6B"/>
    <w:rsid w:val="00553499"/>
    <w:rsid w:val="005564B4"/>
    <w:rsid w:val="0056214A"/>
    <w:rsid w:val="00564839"/>
    <w:rsid w:val="00571AD8"/>
    <w:rsid w:val="00573461"/>
    <w:rsid w:val="00574E55"/>
    <w:rsid w:val="005752B7"/>
    <w:rsid w:val="00576130"/>
    <w:rsid w:val="00577809"/>
    <w:rsid w:val="005818E6"/>
    <w:rsid w:val="00584246"/>
    <w:rsid w:val="005876C2"/>
    <w:rsid w:val="005878DB"/>
    <w:rsid w:val="00587C72"/>
    <w:rsid w:val="005903D0"/>
    <w:rsid w:val="005908F9"/>
    <w:rsid w:val="005920C7"/>
    <w:rsid w:val="00592AE3"/>
    <w:rsid w:val="005938CF"/>
    <w:rsid w:val="00594D1B"/>
    <w:rsid w:val="005973EB"/>
    <w:rsid w:val="005979EC"/>
    <w:rsid w:val="005A0AAF"/>
    <w:rsid w:val="005A0C6B"/>
    <w:rsid w:val="005A0E35"/>
    <w:rsid w:val="005A24AF"/>
    <w:rsid w:val="005A3D15"/>
    <w:rsid w:val="005A7D6A"/>
    <w:rsid w:val="005B1F6E"/>
    <w:rsid w:val="005B28AA"/>
    <w:rsid w:val="005B3D82"/>
    <w:rsid w:val="005B4313"/>
    <w:rsid w:val="005B501D"/>
    <w:rsid w:val="005B50D7"/>
    <w:rsid w:val="005B661D"/>
    <w:rsid w:val="005C3680"/>
    <w:rsid w:val="005C3A6B"/>
    <w:rsid w:val="005C5E8C"/>
    <w:rsid w:val="005D0CC5"/>
    <w:rsid w:val="005D1379"/>
    <w:rsid w:val="005D2528"/>
    <w:rsid w:val="005D2687"/>
    <w:rsid w:val="005D2A9F"/>
    <w:rsid w:val="005D2F4B"/>
    <w:rsid w:val="005D3E66"/>
    <w:rsid w:val="005D550F"/>
    <w:rsid w:val="005D7690"/>
    <w:rsid w:val="005E25A1"/>
    <w:rsid w:val="005E5A37"/>
    <w:rsid w:val="005E7427"/>
    <w:rsid w:val="005E7A19"/>
    <w:rsid w:val="005E7A96"/>
    <w:rsid w:val="005F2073"/>
    <w:rsid w:val="005F2F97"/>
    <w:rsid w:val="005F483C"/>
    <w:rsid w:val="005F5744"/>
    <w:rsid w:val="005F5DEA"/>
    <w:rsid w:val="005F6547"/>
    <w:rsid w:val="005F7AF2"/>
    <w:rsid w:val="00602E36"/>
    <w:rsid w:val="00606F31"/>
    <w:rsid w:val="006071DF"/>
    <w:rsid w:val="006142C5"/>
    <w:rsid w:val="00615EFE"/>
    <w:rsid w:val="00616118"/>
    <w:rsid w:val="006200FA"/>
    <w:rsid w:val="00621C60"/>
    <w:rsid w:val="006244B1"/>
    <w:rsid w:val="006245F8"/>
    <w:rsid w:val="00625D51"/>
    <w:rsid w:val="00626324"/>
    <w:rsid w:val="006268E2"/>
    <w:rsid w:val="00626B2C"/>
    <w:rsid w:val="00630070"/>
    <w:rsid w:val="00631E7C"/>
    <w:rsid w:val="00631FB1"/>
    <w:rsid w:val="00633145"/>
    <w:rsid w:val="006352EE"/>
    <w:rsid w:val="006358C7"/>
    <w:rsid w:val="00646756"/>
    <w:rsid w:val="0065675B"/>
    <w:rsid w:val="006577EC"/>
    <w:rsid w:val="00657E00"/>
    <w:rsid w:val="00660713"/>
    <w:rsid w:val="0066172B"/>
    <w:rsid w:val="00661CEF"/>
    <w:rsid w:val="00661DB0"/>
    <w:rsid w:val="006621B8"/>
    <w:rsid w:val="00662E0F"/>
    <w:rsid w:val="00665A55"/>
    <w:rsid w:val="0066654F"/>
    <w:rsid w:val="0066708C"/>
    <w:rsid w:val="00667646"/>
    <w:rsid w:val="00667D01"/>
    <w:rsid w:val="00671481"/>
    <w:rsid w:val="00672F8C"/>
    <w:rsid w:val="006746AD"/>
    <w:rsid w:val="00680C7E"/>
    <w:rsid w:val="006821DA"/>
    <w:rsid w:val="006847F9"/>
    <w:rsid w:val="00684911"/>
    <w:rsid w:val="00684CA1"/>
    <w:rsid w:val="00686351"/>
    <w:rsid w:val="00686715"/>
    <w:rsid w:val="0069009D"/>
    <w:rsid w:val="006915BD"/>
    <w:rsid w:val="0069653B"/>
    <w:rsid w:val="00697539"/>
    <w:rsid w:val="006A57D8"/>
    <w:rsid w:val="006B0142"/>
    <w:rsid w:val="006B133E"/>
    <w:rsid w:val="006B173A"/>
    <w:rsid w:val="006B27B1"/>
    <w:rsid w:val="006B6B6B"/>
    <w:rsid w:val="006B70D5"/>
    <w:rsid w:val="006C2805"/>
    <w:rsid w:val="006C30A6"/>
    <w:rsid w:val="006C49FC"/>
    <w:rsid w:val="006C4E1C"/>
    <w:rsid w:val="006C4F11"/>
    <w:rsid w:val="006C5FA9"/>
    <w:rsid w:val="006C759F"/>
    <w:rsid w:val="006C7C47"/>
    <w:rsid w:val="006D2977"/>
    <w:rsid w:val="006D2C4D"/>
    <w:rsid w:val="006D2D69"/>
    <w:rsid w:val="006D6D67"/>
    <w:rsid w:val="006D7246"/>
    <w:rsid w:val="006E0D59"/>
    <w:rsid w:val="006E57DB"/>
    <w:rsid w:val="006E61AE"/>
    <w:rsid w:val="006F184B"/>
    <w:rsid w:val="006F1F87"/>
    <w:rsid w:val="006F2330"/>
    <w:rsid w:val="006F369E"/>
    <w:rsid w:val="006F4B63"/>
    <w:rsid w:val="00700B90"/>
    <w:rsid w:val="007017E4"/>
    <w:rsid w:val="00702AE1"/>
    <w:rsid w:val="007032E6"/>
    <w:rsid w:val="00704587"/>
    <w:rsid w:val="00704946"/>
    <w:rsid w:val="00704C7A"/>
    <w:rsid w:val="0070656B"/>
    <w:rsid w:val="007079D8"/>
    <w:rsid w:val="007079E2"/>
    <w:rsid w:val="00711754"/>
    <w:rsid w:val="007129D6"/>
    <w:rsid w:val="0071381A"/>
    <w:rsid w:val="007179CA"/>
    <w:rsid w:val="007210C4"/>
    <w:rsid w:val="00721817"/>
    <w:rsid w:val="0072198C"/>
    <w:rsid w:val="0072409E"/>
    <w:rsid w:val="00724B29"/>
    <w:rsid w:val="00725D75"/>
    <w:rsid w:val="00727F92"/>
    <w:rsid w:val="0073339F"/>
    <w:rsid w:val="007345AD"/>
    <w:rsid w:val="007346BC"/>
    <w:rsid w:val="0073706E"/>
    <w:rsid w:val="00737C66"/>
    <w:rsid w:val="00744A70"/>
    <w:rsid w:val="007471E1"/>
    <w:rsid w:val="007543B0"/>
    <w:rsid w:val="00754A9E"/>
    <w:rsid w:val="00755ABF"/>
    <w:rsid w:val="007620A8"/>
    <w:rsid w:val="0076403D"/>
    <w:rsid w:val="00772273"/>
    <w:rsid w:val="0077392C"/>
    <w:rsid w:val="00774DBF"/>
    <w:rsid w:val="00777040"/>
    <w:rsid w:val="00784757"/>
    <w:rsid w:val="0078665D"/>
    <w:rsid w:val="00790712"/>
    <w:rsid w:val="007910AE"/>
    <w:rsid w:val="007918F6"/>
    <w:rsid w:val="00791DC6"/>
    <w:rsid w:val="0079263A"/>
    <w:rsid w:val="00792942"/>
    <w:rsid w:val="007933D3"/>
    <w:rsid w:val="00794EF8"/>
    <w:rsid w:val="007A0CF1"/>
    <w:rsid w:val="007A4556"/>
    <w:rsid w:val="007A4A93"/>
    <w:rsid w:val="007B18C9"/>
    <w:rsid w:val="007B2E3E"/>
    <w:rsid w:val="007B4DB5"/>
    <w:rsid w:val="007B77A5"/>
    <w:rsid w:val="007B7C22"/>
    <w:rsid w:val="007B7F9C"/>
    <w:rsid w:val="007C0332"/>
    <w:rsid w:val="007C0C8F"/>
    <w:rsid w:val="007C1143"/>
    <w:rsid w:val="007C2513"/>
    <w:rsid w:val="007C662E"/>
    <w:rsid w:val="007C6826"/>
    <w:rsid w:val="007C76CD"/>
    <w:rsid w:val="007D0DFB"/>
    <w:rsid w:val="007D151D"/>
    <w:rsid w:val="007D1BA5"/>
    <w:rsid w:val="007D35D6"/>
    <w:rsid w:val="007D4810"/>
    <w:rsid w:val="007D4B94"/>
    <w:rsid w:val="007D4F1A"/>
    <w:rsid w:val="007D510E"/>
    <w:rsid w:val="007D6A13"/>
    <w:rsid w:val="007D6F01"/>
    <w:rsid w:val="007E05C0"/>
    <w:rsid w:val="007E0E61"/>
    <w:rsid w:val="007E1CB2"/>
    <w:rsid w:val="007E2F7B"/>
    <w:rsid w:val="007E31AA"/>
    <w:rsid w:val="007E42AB"/>
    <w:rsid w:val="007E4ABB"/>
    <w:rsid w:val="007E53A0"/>
    <w:rsid w:val="007E6EC0"/>
    <w:rsid w:val="007F1BC4"/>
    <w:rsid w:val="007F4841"/>
    <w:rsid w:val="007F58FC"/>
    <w:rsid w:val="007F75D1"/>
    <w:rsid w:val="00803C20"/>
    <w:rsid w:val="00803C33"/>
    <w:rsid w:val="00804223"/>
    <w:rsid w:val="008065E5"/>
    <w:rsid w:val="008076B9"/>
    <w:rsid w:val="00811D68"/>
    <w:rsid w:val="008150C5"/>
    <w:rsid w:val="00816635"/>
    <w:rsid w:val="00820636"/>
    <w:rsid w:val="00822B6E"/>
    <w:rsid w:val="008246D4"/>
    <w:rsid w:val="00826A8D"/>
    <w:rsid w:val="0082740B"/>
    <w:rsid w:val="00830404"/>
    <w:rsid w:val="008317B6"/>
    <w:rsid w:val="0083299A"/>
    <w:rsid w:val="00833018"/>
    <w:rsid w:val="00833882"/>
    <w:rsid w:val="00833983"/>
    <w:rsid w:val="00835EDE"/>
    <w:rsid w:val="00836BFB"/>
    <w:rsid w:val="008408B1"/>
    <w:rsid w:val="0084489E"/>
    <w:rsid w:val="00846172"/>
    <w:rsid w:val="00847A1F"/>
    <w:rsid w:val="008507FB"/>
    <w:rsid w:val="008521E1"/>
    <w:rsid w:val="00852240"/>
    <w:rsid w:val="00853B80"/>
    <w:rsid w:val="00855040"/>
    <w:rsid w:val="0085513D"/>
    <w:rsid w:val="00855D9C"/>
    <w:rsid w:val="00855EBE"/>
    <w:rsid w:val="008615D3"/>
    <w:rsid w:val="00863629"/>
    <w:rsid w:val="00864764"/>
    <w:rsid w:val="00864E86"/>
    <w:rsid w:val="008655DE"/>
    <w:rsid w:val="00865DF0"/>
    <w:rsid w:val="00867A9A"/>
    <w:rsid w:val="00867EF4"/>
    <w:rsid w:val="00873392"/>
    <w:rsid w:val="00873A2F"/>
    <w:rsid w:val="00873C2C"/>
    <w:rsid w:val="00874BFC"/>
    <w:rsid w:val="00875ED8"/>
    <w:rsid w:val="00875F75"/>
    <w:rsid w:val="008803DD"/>
    <w:rsid w:val="00880F53"/>
    <w:rsid w:val="008841E0"/>
    <w:rsid w:val="008848A2"/>
    <w:rsid w:val="008865E1"/>
    <w:rsid w:val="00887AAA"/>
    <w:rsid w:val="00887FA8"/>
    <w:rsid w:val="00890265"/>
    <w:rsid w:val="00890BFD"/>
    <w:rsid w:val="00891165"/>
    <w:rsid w:val="00892064"/>
    <w:rsid w:val="00892E04"/>
    <w:rsid w:val="0089378B"/>
    <w:rsid w:val="00895651"/>
    <w:rsid w:val="00895795"/>
    <w:rsid w:val="00896317"/>
    <w:rsid w:val="00896AD2"/>
    <w:rsid w:val="0089719A"/>
    <w:rsid w:val="008A0FA6"/>
    <w:rsid w:val="008A266A"/>
    <w:rsid w:val="008A3B4C"/>
    <w:rsid w:val="008A40A1"/>
    <w:rsid w:val="008A4110"/>
    <w:rsid w:val="008A4C60"/>
    <w:rsid w:val="008A5F55"/>
    <w:rsid w:val="008A6D3E"/>
    <w:rsid w:val="008A6FB6"/>
    <w:rsid w:val="008A76DD"/>
    <w:rsid w:val="008B2359"/>
    <w:rsid w:val="008B3982"/>
    <w:rsid w:val="008B48F0"/>
    <w:rsid w:val="008B6275"/>
    <w:rsid w:val="008B726A"/>
    <w:rsid w:val="008C04B9"/>
    <w:rsid w:val="008C27F0"/>
    <w:rsid w:val="008C2E99"/>
    <w:rsid w:val="008C49EA"/>
    <w:rsid w:val="008C6435"/>
    <w:rsid w:val="008C7332"/>
    <w:rsid w:val="008D0D76"/>
    <w:rsid w:val="008D128A"/>
    <w:rsid w:val="008D142B"/>
    <w:rsid w:val="008D1836"/>
    <w:rsid w:val="008D1C4B"/>
    <w:rsid w:val="008D279C"/>
    <w:rsid w:val="008D2EE7"/>
    <w:rsid w:val="008D2F17"/>
    <w:rsid w:val="008D41BB"/>
    <w:rsid w:val="008D4FC4"/>
    <w:rsid w:val="008D5F98"/>
    <w:rsid w:val="008E2062"/>
    <w:rsid w:val="008E25FE"/>
    <w:rsid w:val="008E2BDE"/>
    <w:rsid w:val="008E34AE"/>
    <w:rsid w:val="008E4593"/>
    <w:rsid w:val="008E466A"/>
    <w:rsid w:val="008F0429"/>
    <w:rsid w:val="008F10C0"/>
    <w:rsid w:val="008F200E"/>
    <w:rsid w:val="008F266C"/>
    <w:rsid w:val="008F3B1E"/>
    <w:rsid w:val="008F619D"/>
    <w:rsid w:val="009022CF"/>
    <w:rsid w:val="00902A38"/>
    <w:rsid w:val="00902E13"/>
    <w:rsid w:val="009035E2"/>
    <w:rsid w:val="009044F3"/>
    <w:rsid w:val="00907BB2"/>
    <w:rsid w:val="00907CAB"/>
    <w:rsid w:val="00910168"/>
    <w:rsid w:val="00912894"/>
    <w:rsid w:val="00913DB0"/>
    <w:rsid w:val="00913F36"/>
    <w:rsid w:val="009154FC"/>
    <w:rsid w:val="00916FB5"/>
    <w:rsid w:val="00920F46"/>
    <w:rsid w:val="0092189D"/>
    <w:rsid w:val="009220BD"/>
    <w:rsid w:val="00922C23"/>
    <w:rsid w:val="00925470"/>
    <w:rsid w:val="0092603E"/>
    <w:rsid w:val="0092637F"/>
    <w:rsid w:val="00930016"/>
    <w:rsid w:val="009321F0"/>
    <w:rsid w:val="009338A6"/>
    <w:rsid w:val="0093455E"/>
    <w:rsid w:val="00935330"/>
    <w:rsid w:val="009365BD"/>
    <w:rsid w:val="00936A8A"/>
    <w:rsid w:val="00937DD4"/>
    <w:rsid w:val="00940706"/>
    <w:rsid w:val="009409C4"/>
    <w:rsid w:val="00942165"/>
    <w:rsid w:val="00942923"/>
    <w:rsid w:val="0094357B"/>
    <w:rsid w:val="009460E0"/>
    <w:rsid w:val="009463E9"/>
    <w:rsid w:val="00946811"/>
    <w:rsid w:val="00947309"/>
    <w:rsid w:val="0095045E"/>
    <w:rsid w:val="00950536"/>
    <w:rsid w:val="00951BDA"/>
    <w:rsid w:val="009527E8"/>
    <w:rsid w:val="00953623"/>
    <w:rsid w:val="00953700"/>
    <w:rsid w:val="00960DBD"/>
    <w:rsid w:val="009619BC"/>
    <w:rsid w:val="00961E5A"/>
    <w:rsid w:val="0096242C"/>
    <w:rsid w:val="00963302"/>
    <w:rsid w:val="009643D9"/>
    <w:rsid w:val="009667BA"/>
    <w:rsid w:val="00966B58"/>
    <w:rsid w:val="00967868"/>
    <w:rsid w:val="00971767"/>
    <w:rsid w:val="0097386C"/>
    <w:rsid w:val="00974116"/>
    <w:rsid w:val="009754D4"/>
    <w:rsid w:val="009754E5"/>
    <w:rsid w:val="009757C7"/>
    <w:rsid w:val="0097586F"/>
    <w:rsid w:val="009765CC"/>
    <w:rsid w:val="009803C5"/>
    <w:rsid w:val="009804F8"/>
    <w:rsid w:val="009842B9"/>
    <w:rsid w:val="00984C8D"/>
    <w:rsid w:val="0098586C"/>
    <w:rsid w:val="0099030E"/>
    <w:rsid w:val="00990CD2"/>
    <w:rsid w:val="00991F78"/>
    <w:rsid w:val="00992CB3"/>
    <w:rsid w:val="00992E43"/>
    <w:rsid w:val="00994697"/>
    <w:rsid w:val="00995AAF"/>
    <w:rsid w:val="009A0110"/>
    <w:rsid w:val="009A0675"/>
    <w:rsid w:val="009A0CAA"/>
    <w:rsid w:val="009A1B92"/>
    <w:rsid w:val="009A7BED"/>
    <w:rsid w:val="009B177D"/>
    <w:rsid w:val="009B2762"/>
    <w:rsid w:val="009B2F9D"/>
    <w:rsid w:val="009B3209"/>
    <w:rsid w:val="009B3677"/>
    <w:rsid w:val="009B572C"/>
    <w:rsid w:val="009B5904"/>
    <w:rsid w:val="009B598A"/>
    <w:rsid w:val="009C1695"/>
    <w:rsid w:val="009C1762"/>
    <w:rsid w:val="009C1CFD"/>
    <w:rsid w:val="009C291E"/>
    <w:rsid w:val="009C6C24"/>
    <w:rsid w:val="009C7691"/>
    <w:rsid w:val="009D1D4C"/>
    <w:rsid w:val="009D1E7D"/>
    <w:rsid w:val="009D2766"/>
    <w:rsid w:val="009D2E1C"/>
    <w:rsid w:val="009E030A"/>
    <w:rsid w:val="009E6B27"/>
    <w:rsid w:val="009F1A4B"/>
    <w:rsid w:val="009F2EE5"/>
    <w:rsid w:val="009F50B0"/>
    <w:rsid w:val="009F6E02"/>
    <w:rsid w:val="00A01809"/>
    <w:rsid w:val="00A01B3C"/>
    <w:rsid w:val="00A01E5D"/>
    <w:rsid w:val="00A0267D"/>
    <w:rsid w:val="00A02ECE"/>
    <w:rsid w:val="00A04076"/>
    <w:rsid w:val="00A05543"/>
    <w:rsid w:val="00A10ABE"/>
    <w:rsid w:val="00A10E1E"/>
    <w:rsid w:val="00A1324B"/>
    <w:rsid w:val="00A147E9"/>
    <w:rsid w:val="00A1534E"/>
    <w:rsid w:val="00A163E1"/>
    <w:rsid w:val="00A16BE1"/>
    <w:rsid w:val="00A21E25"/>
    <w:rsid w:val="00A21EAC"/>
    <w:rsid w:val="00A23104"/>
    <w:rsid w:val="00A266BB"/>
    <w:rsid w:val="00A30920"/>
    <w:rsid w:val="00A31C40"/>
    <w:rsid w:val="00A3502D"/>
    <w:rsid w:val="00A357E9"/>
    <w:rsid w:val="00A36930"/>
    <w:rsid w:val="00A37FC8"/>
    <w:rsid w:val="00A40CC6"/>
    <w:rsid w:val="00A417D2"/>
    <w:rsid w:val="00A4300F"/>
    <w:rsid w:val="00A4396B"/>
    <w:rsid w:val="00A45A63"/>
    <w:rsid w:val="00A46CBD"/>
    <w:rsid w:val="00A47FDE"/>
    <w:rsid w:val="00A51F51"/>
    <w:rsid w:val="00A553D4"/>
    <w:rsid w:val="00A56654"/>
    <w:rsid w:val="00A56B67"/>
    <w:rsid w:val="00A5795F"/>
    <w:rsid w:val="00A60232"/>
    <w:rsid w:val="00A61DDC"/>
    <w:rsid w:val="00A62831"/>
    <w:rsid w:val="00A63433"/>
    <w:rsid w:val="00A647E6"/>
    <w:rsid w:val="00A655AD"/>
    <w:rsid w:val="00A655DE"/>
    <w:rsid w:val="00A6602A"/>
    <w:rsid w:val="00A67070"/>
    <w:rsid w:val="00A70FCE"/>
    <w:rsid w:val="00A72674"/>
    <w:rsid w:val="00A72878"/>
    <w:rsid w:val="00A72934"/>
    <w:rsid w:val="00A73230"/>
    <w:rsid w:val="00A7411E"/>
    <w:rsid w:val="00A7414C"/>
    <w:rsid w:val="00A74B85"/>
    <w:rsid w:val="00A77ABD"/>
    <w:rsid w:val="00A77B45"/>
    <w:rsid w:val="00A8045C"/>
    <w:rsid w:val="00A83F38"/>
    <w:rsid w:val="00A87943"/>
    <w:rsid w:val="00A928E8"/>
    <w:rsid w:val="00A939D0"/>
    <w:rsid w:val="00A94EB9"/>
    <w:rsid w:val="00A95765"/>
    <w:rsid w:val="00AA01B6"/>
    <w:rsid w:val="00AA077A"/>
    <w:rsid w:val="00AA49E0"/>
    <w:rsid w:val="00AA4AE5"/>
    <w:rsid w:val="00AA5932"/>
    <w:rsid w:val="00AA5ACE"/>
    <w:rsid w:val="00AA63A2"/>
    <w:rsid w:val="00AA73B8"/>
    <w:rsid w:val="00AB04EB"/>
    <w:rsid w:val="00AB0941"/>
    <w:rsid w:val="00AB1946"/>
    <w:rsid w:val="00AB78DF"/>
    <w:rsid w:val="00AC2652"/>
    <w:rsid w:val="00AC4019"/>
    <w:rsid w:val="00AC74A4"/>
    <w:rsid w:val="00AD0C08"/>
    <w:rsid w:val="00AD1FD2"/>
    <w:rsid w:val="00AD3F3C"/>
    <w:rsid w:val="00AD5B39"/>
    <w:rsid w:val="00AD67B5"/>
    <w:rsid w:val="00AE07C3"/>
    <w:rsid w:val="00AE10DC"/>
    <w:rsid w:val="00AE125C"/>
    <w:rsid w:val="00AE4568"/>
    <w:rsid w:val="00AE6CAA"/>
    <w:rsid w:val="00AE7514"/>
    <w:rsid w:val="00AF0FDA"/>
    <w:rsid w:val="00AF2EE0"/>
    <w:rsid w:val="00AF60D8"/>
    <w:rsid w:val="00AF6D7A"/>
    <w:rsid w:val="00AF75D3"/>
    <w:rsid w:val="00B02E98"/>
    <w:rsid w:val="00B03F11"/>
    <w:rsid w:val="00B045C5"/>
    <w:rsid w:val="00B0544C"/>
    <w:rsid w:val="00B058BF"/>
    <w:rsid w:val="00B10101"/>
    <w:rsid w:val="00B10A57"/>
    <w:rsid w:val="00B14420"/>
    <w:rsid w:val="00B1583F"/>
    <w:rsid w:val="00B169C6"/>
    <w:rsid w:val="00B2003D"/>
    <w:rsid w:val="00B2023B"/>
    <w:rsid w:val="00B238BB"/>
    <w:rsid w:val="00B23C58"/>
    <w:rsid w:val="00B24EDF"/>
    <w:rsid w:val="00B2605C"/>
    <w:rsid w:val="00B26614"/>
    <w:rsid w:val="00B3046C"/>
    <w:rsid w:val="00B316FE"/>
    <w:rsid w:val="00B324CB"/>
    <w:rsid w:val="00B333A3"/>
    <w:rsid w:val="00B33495"/>
    <w:rsid w:val="00B33AE2"/>
    <w:rsid w:val="00B3406D"/>
    <w:rsid w:val="00B342BD"/>
    <w:rsid w:val="00B3472D"/>
    <w:rsid w:val="00B35D7E"/>
    <w:rsid w:val="00B37402"/>
    <w:rsid w:val="00B41392"/>
    <w:rsid w:val="00B421DD"/>
    <w:rsid w:val="00B47D85"/>
    <w:rsid w:val="00B50899"/>
    <w:rsid w:val="00B50B37"/>
    <w:rsid w:val="00B52271"/>
    <w:rsid w:val="00B53C97"/>
    <w:rsid w:val="00B55E8E"/>
    <w:rsid w:val="00B56046"/>
    <w:rsid w:val="00B6110A"/>
    <w:rsid w:val="00B61B95"/>
    <w:rsid w:val="00B62BA8"/>
    <w:rsid w:val="00B63B18"/>
    <w:rsid w:val="00B64555"/>
    <w:rsid w:val="00B65E2A"/>
    <w:rsid w:val="00B67D28"/>
    <w:rsid w:val="00B7057A"/>
    <w:rsid w:val="00B7104F"/>
    <w:rsid w:val="00B725A2"/>
    <w:rsid w:val="00B72B05"/>
    <w:rsid w:val="00B73AD0"/>
    <w:rsid w:val="00B744AF"/>
    <w:rsid w:val="00B7591F"/>
    <w:rsid w:val="00B777F8"/>
    <w:rsid w:val="00B831F0"/>
    <w:rsid w:val="00B87977"/>
    <w:rsid w:val="00B90D96"/>
    <w:rsid w:val="00B91D5A"/>
    <w:rsid w:val="00B91D7A"/>
    <w:rsid w:val="00B937CA"/>
    <w:rsid w:val="00B93B8E"/>
    <w:rsid w:val="00B950E4"/>
    <w:rsid w:val="00B964B1"/>
    <w:rsid w:val="00B9706B"/>
    <w:rsid w:val="00BA003C"/>
    <w:rsid w:val="00BA014A"/>
    <w:rsid w:val="00BA27E8"/>
    <w:rsid w:val="00BA30BD"/>
    <w:rsid w:val="00BA388A"/>
    <w:rsid w:val="00BA4C99"/>
    <w:rsid w:val="00BA7E1E"/>
    <w:rsid w:val="00BB0ED7"/>
    <w:rsid w:val="00BB36C6"/>
    <w:rsid w:val="00BB411F"/>
    <w:rsid w:val="00BB54CC"/>
    <w:rsid w:val="00BB5636"/>
    <w:rsid w:val="00BB7853"/>
    <w:rsid w:val="00BC1A2D"/>
    <w:rsid w:val="00BC43AD"/>
    <w:rsid w:val="00BC54AB"/>
    <w:rsid w:val="00BC5550"/>
    <w:rsid w:val="00BC6E83"/>
    <w:rsid w:val="00BC7744"/>
    <w:rsid w:val="00BD1F44"/>
    <w:rsid w:val="00BD2679"/>
    <w:rsid w:val="00BD2FE3"/>
    <w:rsid w:val="00BD41F9"/>
    <w:rsid w:val="00BD46E5"/>
    <w:rsid w:val="00BD4B00"/>
    <w:rsid w:val="00BD5D93"/>
    <w:rsid w:val="00BD7223"/>
    <w:rsid w:val="00BD7487"/>
    <w:rsid w:val="00BD78DC"/>
    <w:rsid w:val="00BD7D21"/>
    <w:rsid w:val="00BE0271"/>
    <w:rsid w:val="00BE08D8"/>
    <w:rsid w:val="00BE23F5"/>
    <w:rsid w:val="00BE4156"/>
    <w:rsid w:val="00BE4B9C"/>
    <w:rsid w:val="00BE51FA"/>
    <w:rsid w:val="00BE5284"/>
    <w:rsid w:val="00BE69B1"/>
    <w:rsid w:val="00BF067F"/>
    <w:rsid w:val="00BF1C04"/>
    <w:rsid w:val="00BF25B9"/>
    <w:rsid w:val="00BF3229"/>
    <w:rsid w:val="00BF5F03"/>
    <w:rsid w:val="00BF617A"/>
    <w:rsid w:val="00BF7A29"/>
    <w:rsid w:val="00C01258"/>
    <w:rsid w:val="00C01576"/>
    <w:rsid w:val="00C032DE"/>
    <w:rsid w:val="00C05521"/>
    <w:rsid w:val="00C06168"/>
    <w:rsid w:val="00C11E04"/>
    <w:rsid w:val="00C12780"/>
    <w:rsid w:val="00C129CC"/>
    <w:rsid w:val="00C144DE"/>
    <w:rsid w:val="00C14A4A"/>
    <w:rsid w:val="00C14C66"/>
    <w:rsid w:val="00C15BE0"/>
    <w:rsid w:val="00C15EB2"/>
    <w:rsid w:val="00C22296"/>
    <w:rsid w:val="00C224E3"/>
    <w:rsid w:val="00C228F7"/>
    <w:rsid w:val="00C24779"/>
    <w:rsid w:val="00C25F52"/>
    <w:rsid w:val="00C274B2"/>
    <w:rsid w:val="00C30A2E"/>
    <w:rsid w:val="00C326A2"/>
    <w:rsid w:val="00C326F3"/>
    <w:rsid w:val="00C33A2B"/>
    <w:rsid w:val="00C347F0"/>
    <w:rsid w:val="00C34E1B"/>
    <w:rsid w:val="00C35888"/>
    <w:rsid w:val="00C37144"/>
    <w:rsid w:val="00C4067F"/>
    <w:rsid w:val="00C41111"/>
    <w:rsid w:val="00C424C2"/>
    <w:rsid w:val="00C43701"/>
    <w:rsid w:val="00C4615A"/>
    <w:rsid w:val="00C46436"/>
    <w:rsid w:val="00C52C1D"/>
    <w:rsid w:val="00C53788"/>
    <w:rsid w:val="00C53B3F"/>
    <w:rsid w:val="00C547C2"/>
    <w:rsid w:val="00C54E9C"/>
    <w:rsid w:val="00C553C2"/>
    <w:rsid w:val="00C553D7"/>
    <w:rsid w:val="00C56C83"/>
    <w:rsid w:val="00C576DB"/>
    <w:rsid w:val="00C6116D"/>
    <w:rsid w:val="00C6128F"/>
    <w:rsid w:val="00C64C00"/>
    <w:rsid w:val="00C70414"/>
    <w:rsid w:val="00C713B6"/>
    <w:rsid w:val="00C743B4"/>
    <w:rsid w:val="00C7490B"/>
    <w:rsid w:val="00C7528F"/>
    <w:rsid w:val="00C765F8"/>
    <w:rsid w:val="00C76BD5"/>
    <w:rsid w:val="00C80EEA"/>
    <w:rsid w:val="00C83575"/>
    <w:rsid w:val="00C837D2"/>
    <w:rsid w:val="00C85029"/>
    <w:rsid w:val="00C8576C"/>
    <w:rsid w:val="00C85B05"/>
    <w:rsid w:val="00C87099"/>
    <w:rsid w:val="00C92812"/>
    <w:rsid w:val="00C92AD6"/>
    <w:rsid w:val="00C935E7"/>
    <w:rsid w:val="00C939D7"/>
    <w:rsid w:val="00C93DD6"/>
    <w:rsid w:val="00C93FB8"/>
    <w:rsid w:val="00C967C3"/>
    <w:rsid w:val="00C97238"/>
    <w:rsid w:val="00C97C7D"/>
    <w:rsid w:val="00CA1D23"/>
    <w:rsid w:val="00CA1E64"/>
    <w:rsid w:val="00CA227E"/>
    <w:rsid w:val="00CA2C01"/>
    <w:rsid w:val="00CA3F9B"/>
    <w:rsid w:val="00CA77F0"/>
    <w:rsid w:val="00CA7DBB"/>
    <w:rsid w:val="00CB11C1"/>
    <w:rsid w:val="00CB211C"/>
    <w:rsid w:val="00CB26B3"/>
    <w:rsid w:val="00CB2798"/>
    <w:rsid w:val="00CB2E19"/>
    <w:rsid w:val="00CB30EA"/>
    <w:rsid w:val="00CB434B"/>
    <w:rsid w:val="00CB6445"/>
    <w:rsid w:val="00CC0B3F"/>
    <w:rsid w:val="00CC0D4B"/>
    <w:rsid w:val="00CC2AFB"/>
    <w:rsid w:val="00CC2B61"/>
    <w:rsid w:val="00CC2C1D"/>
    <w:rsid w:val="00CC2EFE"/>
    <w:rsid w:val="00CC3668"/>
    <w:rsid w:val="00CC5ED9"/>
    <w:rsid w:val="00CD0C39"/>
    <w:rsid w:val="00CD15EE"/>
    <w:rsid w:val="00CD16DA"/>
    <w:rsid w:val="00CD1CED"/>
    <w:rsid w:val="00CD20E7"/>
    <w:rsid w:val="00CD3564"/>
    <w:rsid w:val="00CD3B44"/>
    <w:rsid w:val="00CE28BE"/>
    <w:rsid w:val="00CE2C67"/>
    <w:rsid w:val="00CE4746"/>
    <w:rsid w:val="00CE4DB5"/>
    <w:rsid w:val="00CE7AE6"/>
    <w:rsid w:val="00CE7C1F"/>
    <w:rsid w:val="00CF0295"/>
    <w:rsid w:val="00CF2009"/>
    <w:rsid w:val="00CF30B6"/>
    <w:rsid w:val="00CF3DA1"/>
    <w:rsid w:val="00CF66EB"/>
    <w:rsid w:val="00CF7389"/>
    <w:rsid w:val="00CF73F6"/>
    <w:rsid w:val="00D02B73"/>
    <w:rsid w:val="00D037A6"/>
    <w:rsid w:val="00D048DF"/>
    <w:rsid w:val="00D05422"/>
    <w:rsid w:val="00D06540"/>
    <w:rsid w:val="00D0782F"/>
    <w:rsid w:val="00D07AD1"/>
    <w:rsid w:val="00D10B54"/>
    <w:rsid w:val="00D10CED"/>
    <w:rsid w:val="00D12FC6"/>
    <w:rsid w:val="00D14EB1"/>
    <w:rsid w:val="00D15F9E"/>
    <w:rsid w:val="00D17B51"/>
    <w:rsid w:val="00D227D5"/>
    <w:rsid w:val="00D26CB6"/>
    <w:rsid w:val="00D30928"/>
    <w:rsid w:val="00D317EE"/>
    <w:rsid w:val="00D344A1"/>
    <w:rsid w:val="00D36CDA"/>
    <w:rsid w:val="00D377CE"/>
    <w:rsid w:val="00D37F93"/>
    <w:rsid w:val="00D40A05"/>
    <w:rsid w:val="00D425C0"/>
    <w:rsid w:val="00D4374D"/>
    <w:rsid w:val="00D45C60"/>
    <w:rsid w:val="00D463D3"/>
    <w:rsid w:val="00D472CF"/>
    <w:rsid w:val="00D52645"/>
    <w:rsid w:val="00D52F5F"/>
    <w:rsid w:val="00D53B24"/>
    <w:rsid w:val="00D577BF"/>
    <w:rsid w:val="00D60126"/>
    <w:rsid w:val="00D612CA"/>
    <w:rsid w:val="00D62467"/>
    <w:rsid w:val="00D636AB"/>
    <w:rsid w:val="00D6775C"/>
    <w:rsid w:val="00D677EE"/>
    <w:rsid w:val="00D713D6"/>
    <w:rsid w:val="00D71ABA"/>
    <w:rsid w:val="00D736EB"/>
    <w:rsid w:val="00D7520D"/>
    <w:rsid w:val="00D764B9"/>
    <w:rsid w:val="00D7653C"/>
    <w:rsid w:val="00D77D7F"/>
    <w:rsid w:val="00D8138F"/>
    <w:rsid w:val="00D873D6"/>
    <w:rsid w:val="00D91F02"/>
    <w:rsid w:val="00D92095"/>
    <w:rsid w:val="00D9360D"/>
    <w:rsid w:val="00D96D04"/>
    <w:rsid w:val="00DA1D16"/>
    <w:rsid w:val="00DA276C"/>
    <w:rsid w:val="00DA281B"/>
    <w:rsid w:val="00DA3D20"/>
    <w:rsid w:val="00DA3EAF"/>
    <w:rsid w:val="00DA486E"/>
    <w:rsid w:val="00DB0257"/>
    <w:rsid w:val="00DB0E18"/>
    <w:rsid w:val="00DB1EC1"/>
    <w:rsid w:val="00DB2B1A"/>
    <w:rsid w:val="00DB4D09"/>
    <w:rsid w:val="00DB6F5E"/>
    <w:rsid w:val="00DB7A19"/>
    <w:rsid w:val="00DC0178"/>
    <w:rsid w:val="00DC099D"/>
    <w:rsid w:val="00DC116B"/>
    <w:rsid w:val="00DC1BBA"/>
    <w:rsid w:val="00DC1E88"/>
    <w:rsid w:val="00DC379A"/>
    <w:rsid w:val="00DC4CD5"/>
    <w:rsid w:val="00DD2A8A"/>
    <w:rsid w:val="00DD3213"/>
    <w:rsid w:val="00DD4322"/>
    <w:rsid w:val="00DD54EE"/>
    <w:rsid w:val="00DD5B9D"/>
    <w:rsid w:val="00DD695C"/>
    <w:rsid w:val="00DD69AA"/>
    <w:rsid w:val="00DD752A"/>
    <w:rsid w:val="00DD7B90"/>
    <w:rsid w:val="00DE022B"/>
    <w:rsid w:val="00DE0F04"/>
    <w:rsid w:val="00DE1D46"/>
    <w:rsid w:val="00DE225C"/>
    <w:rsid w:val="00DE2F55"/>
    <w:rsid w:val="00DE64BE"/>
    <w:rsid w:val="00DE676B"/>
    <w:rsid w:val="00DE6A50"/>
    <w:rsid w:val="00DE6DDC"/>
    <w:rsid w:val="00DF0387"/>
    <w:rsid w:val="00DF0F7E"/>
    <w:rsid w:val="00DF1AA8"/>
    <w:rsid w:val="00DF35F5"/>
    <w:rsid w:val="00DF3BA0"/>
    <w:rsid w:val="00DF7D0B"/>
    <w:rsid w:val="00E021BA"/>
    <w:rsid w:val="00E10A2F"/>
    <w:rsid w:val="00E10CCC"/>
    <w:rsid w:val="00E11847"/>
    <w:rsid w:val="00E13668"/>
    <w:rsid w:val="00E1704F"/>
    <w:rsid w:val="00E177AC"/>
    <w:rsid w:val="00E17B65"/>
    <w:rsid w:val="00E17F12"/>
    <w:rsid w:val="00E20021"/>
    <w:rsid w:val="00E21A69"/>
    <w:rsid w:val="00E24B6B"/>
    <w:rsid w:val="00E25019"/>
    <w:rsid w:val="00E262B3"/>
    <w:rsid w:val="00E278BA"/>
    <w:rsid w:val="00E278C9"/>
    <w:rsid w:val="00E30F66"/>
    <w:rsid w:val="00E33919"/>
    <w:rsid w:val="00E34A0F"/>
    <w:rsid w:val="00E34D00"/>
    <w:rsid w:val="00E35DAE"/>
    <w:rsid w:val="00E35E0E"/>
    <w:rsid w:val="00E37C30"/>
    <w:rsid w:val="00E37DAB"/>
    <w:rsid w:val="00E42DA3"/>
    <w:rsid w:val="00E4319C"/>
    <w:rsid w:val="00E431AB"/>
    <w:rsid w:val="00E43852"/>
    <w:rsid w:val="00E4411D"/>
    <w:rsid w:val="00E45DB0"/>
    <w:rsid w:val="00E51A35"/>
    <w:rsid w:val="00E528FB"/>
    <w:rsid w:val="00E5295E"/>
    <w:rsid w:val="00E5537A"/>
    <w:rsid w:val="00E56445"/>
    <w:rsid w:val="00E57C97"/>
    <w:rsid w:val="00E6073A"/>
    <w:rsid w:val="00E60D1C"/>
    <w:rsid w:val="00E61C45"/>
    <w:rsid w:val="00E62CBE"/>
    <w:rsid w:val="00E6384E"/>
    <w:rsid w:val="00E63E4F"/>
    <w:rsid w:val="00E64653"/>
    <w:rsid w:val="00E6610F"/>
    <w:rsid w:val="00E662CB"/>
    <w:rsid w:val="00E6699B"/>
    <w:rsid w:val="00E71422"/>
    <w:rsid w:val="00E74F27"/>
    <w:rsid w:val="00E7590D"/>
    <w:rsid w:val="00E77CBE"/>
    <w:rsid w:val="00E81EC8"/>
    <w:rsid w:val="00E82091"/>
    <w:rsid w:val="00E82E3E"/>
    <w:rsid w:val="00E85F36"/>
    <w:rsid w:val="00E868E7"/>
    <w:rsid w:val="00E869A6"/>
    <w:rsid w:val="00E86F0A"/>
    <w:rsid w:val="00E8774C"/>
    <w:rsid w:val="00E901BA"/>
    <w:rsid w:val="00E909A1"/>
    <w:rsid w:val="00E90A0A"/>
    <w:rsid w:val="00E93E4E"/>
    <w:rsid w:val="00E93FBE"/>
    <w:rsid w:val="00EA0EA2"/>
    <w:rsid w:val="00EA3779"/>
    <w:rsid w:val="00EA3D33"/>
    <w:rsid w:val="00EA587A"/>
    <w:rsid w:val="00EA6A8A"/>
    <w:rsid w:val="00EA6FEB"/>
    <w:rsid w:val="00EA7AD6"/>
    <w:rsid w:val="00EA7DC2"/>
    <w:rsid w:val="00EB0287"/>
    <w:rsid w:val="00EB218F"/>
    <w:rsid w:val="00EB2DC3"/>
    <w:rsid w:val="00EB378C"/>
    <w:rsid w:val="00EB3806"/>
    <w:rsid w:val="00EB4922"/>
    <w:rsid w:val="00EB5DF9"/>
    <w:rsid w:val="00EB6062"/>
    <w:rsid w:val="00EB6165"/>
    <w:rsid w:val="00EB723E"/>
    <w:rsid w:val="00EB7640"/>
    <w:rsid w:val="00EB769C"/>
    <w:rsid w:val="00EB77D7"/>
    <w:rsid w:val="00EB78E2"/>
    <w:rsid w:val="00EC3194"/>
    <w:rsid w:val="00EC38F3"/>
    <w:rsid w:val="00EC499B"/>
    <w:rsid w:val="00EC5C2B"/>
    <w:rsid w:val="00ED15FF"/>
    <w:rsid w:val="00ED2057"/>
    <w:rsid w:val="00ED2A86"/>
    <w:rsid w:val="00ED2B4D"/>
    <w:rsid w:val="00ED45E5"/>
    <w:rsid w:val="00ED60C1"/>
    <w:rsid w:val="00EE0583"/>
    <w:rsid w:val="00EE05E7"/>
    <w:rsid w:val="00EE21A1"/>
    <w:rsid w:val="00EE253C"/>
    <w:rsid w:val="00EE34FC"/>
    <w:rsid w:val="00EE3AE0"/>
    <w:rsid w:val="00EE4C77"/>
    <w:rsid w:val="00EE6D7D"/>
    <w:rsid w:val="00EE70AE"/>
    <w:rsid w:val="00EF03BA"/>
    <w:rsid w:val="00EF077A"/>
    <w:rsid w:val="00EF41F5"/>
    <w:rsid w:val="00EF5CEC"/>
    <w:rsid w:val="00EF68F4"/>
    <w:rsid w:val="00EF7185"/>
    <w:rsid w:val="00F01022"/>
    <w:rsid w:val="00F065E9"/>
    <w:rsid w:val="00F06F5F"/>
    <w:rsid w:val="00F07069"/>
    <w:rsid w:val="00F07E06"/>
    <w:rsid w:val="00F10398"/>
    <w:rsid w:val="00F108E8"/>
    <w:rsid w:val="00F113BD"/>
    <w:rsid w:val="00F122C4"/>
    <w:rsid w:val="00F136B0"/>
    <w:rsid w:val="00F167CB"/>
    <w:rsid w:val="00F2393F"/>
    <w:rsid w:val="00F25F59"/>
    <w:rsid w:val="00F277C1"/>
    <w:rsid w:val="00F30ABA"/>
    <w:rsid w:val="00F30E26"/>
    <w:rsid w:val="00F34094"/>
    <w:rsid w:val="00F35914"/>
    <w:rsid w:val="00F36E99"/>
    <w:rsid w:val="00F44967"/>
    <w:rsid w:val="00F45B93"/>
    <w:rsid w:val="00F462E9"/>
    <w:rsid w:val="00F466E0"/>
    <w:rsid w:val="00F5096E"/>
    <w:rsid w:val="00F535F1"/>
    <w:rsid w:val="00F53C0B"/>
    <w:rsid w:val="00F5547A"/>
    <w:rsid w:val="00F566B5"/>
    <w:rsid w:val="00F57213"/>
    <w:rsid w:val="00F57390"/>
    <w:rsid w:val="00F6132E"/>
    <w:rsid w:val="00F61CB8"/>
    <w:rsid w:val="00F6360E"/>
    <w:rsid w:val="00F63F12"/>
    <w:rsid w:val="00F643D5"/>
    <w:rsid w:val="00F66EDF"/>
    <w:rsid w:val="00F70238"/>
    <w:rsid w:val="00F70E2B"/>
    <w:rsid w:val="00F712B5"/>
    <w:rsid w:val="00F72EE0"/>
    <w:rsid w:val="00F73433"/>
    <w:rsid w:val="00F74972"/>
    <w:rsid w:val="00F77CB8"/>
    <w:rsid w:val="00F806D3"/>
    <w:rsid w:val="00F81EBA"/>
    <w:rsid w:val="00F82D28"/>
    <w:rsid w:val="00F83FC4"/>
    <w:rsid w:val="00F84158"/>
    <w:rsid w:val="00F86308"/>
    <w:rsid w:val="00F86513"/>
    <w:rsid w:val="00F869D1"/>
    <w:rsid w:val="00F87288"/>
    <w:rsid w:val="00F90D75"/>
    <w:rsid w:val="00F91501"/>
    <w:rsid w:val="00F91A0E"/>
    <w:rsid w:val="00F949A1"/>
    <w:rsid w:val="00FA052E"/>
    <w:rsid w:val="00FA0F61"/>
    <w:rsid w:val="00FA2EFF"/>
    <w:rsid w:val="00FA3C76"/>
    <w:rsid w:val="00FA3D57"/>
    <w:rsid w:val="00FA448D"/>
    <w:rsid w:val="00FA4E6A"/>
    <w:rsid w:val="00FB2141"/>
    <w:rsid w:val="00FB2FB2"/>
    <w:rsid w:val="00FB7AA1"/>
    <w:rsid w:val="00FC1E76"/>
    <w:rsid w:val="00FC2CE4"/>
    <w:rsid w:val="00FC2F03"/>
    <w:rsid w:val="00FC341F"/>
    <w:rsid w:val="00FC5EF1"/>
    <w:rsid w:val="00FC6028"/>
    <w:rsid w:val="00FC6486"/>
    <w:rsid w:val="00FD0500"/>
    <w:rsid w:val="00FD27B3"/>
    <w:rsid w:val="00FD2E48"/>
    <w:rsid w:val="00FD384F"/>
    <w:rsid w:val="00FD386F"/>
    <w:rsid w:val="00FD3A3D"/>
    <w:rsid w:val="00FD478A"/>
    <w:rsid w:val="00FD4F95"/>
    <w:rsid w:val="00FD777F"/>
    <w:rsid w:val="00FE0AAE"/>
    <w:rsid w:val="00FE17D2"/>
    <w:rsid w:val="00FE35FF"/>
    <w:rsid w:val="00FE506C"/>
    <w:rsid w:val="00FE619A"/>
    <w:rsid w:val="00FE6F8E"/>
    <w:rsid w:val="00FE713A"/>
    <w:rsid w:val="00FE7C0A"/>
    <w:rsid w:val="00FF0400"/>
    <w:rsid w:val="00FF16FF"/>
    <w:rsid w:val="00FF333A"/>
    <w:rsid w:val="00FF3749"/>
    <w:rsid w:val="00FF447B"/>
    <w:rsid w:val="00FF55A7"/>
    <w:rsid w:val="00FF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03FF"/>
  <w15:docId w15:val="{2B649487-785C-2A47-A385-98BE9256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F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46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E3C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87F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759"/>
    <w:pPr>
      <w:ind w:left="720"/>
      <w:contextualSpacing/>
    </w:pPr>
  </w:style>
  <w:style w:type="paragraph" w:styleId="BalloonText">
    <w:name w:val="Balloon Text"/>
    <w:basedOn w:val="Normal"/>
    <w:link w:val="BalloonTextChar"/>
    <w:uiPriority w:val="99"/>
    <w:semiHidden/>
    <w:unhideWhenUsed/>
    <w:rsid w:val="001C1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521"/>
    <w:rPr>
      <w:rFonts w:ascii="Tahoma" w:hAnsi="Tahoma" w:cs="Tahoma"/>
      <w:sz w:val="16"/>
      <w:szCs w:val="16"/>
    </w:rPr>
  </w:style>
  <w:style w:type="character" w:styleId="CommentReference">
    <w:name w:val="annotation reference"/>
    <w:basedOn w:val="DefaultParagraphFont"/>
    <w:uiPriority w:val="99"/>
    <w:semiHidden/>
    <w:unhideWhenUsed/>
    <w:rsid w:val="001C1521"/>
    <w:rPr>
      <w:sz w:val="16"/>
      <w:szCs w:val="16"/>
    </w:rPr>
  </w:style>
  <w:style w:type="paragraph" w:styleId="CommentText">
    <w:name w:val="annotation text"/>
    <w:basedOn w:val="Normal"/>
    <w:link w:val="CommentTextChar"/>
    <w:uiPriority w:val="99"/>
    <w:unhideWhenUsed/>
    <w:rsid w:val="001C1521"/>
    <w:pPr>
      <w:spacing w:line="240" w:lineRule="auto"/>
    </w:pPr>
    <w:rPr>
      <w:sz w:val="20"/>
      <w:szCs w:val="20"/>
    </w:rPr>
  </w:style>
  <w:style w:type="character" w:customStyle="1" w:styleId="CommentTextChar">
    <w:name w:val="Comment Text Char"/>
    <w:basedOn w:val="DefaultParagraphFont"/>
    <w:link w:val="CommentText"/>
    <w:uiPriority w:val="99"/>
    <w:rsid w:val="001C1521"/>
    <w:rPr>
      <w:sz w:val="20"/>
      <w:szCs w:val="20"/>
    </w:rPr>
  </w:style>
  <w:style w:type="paragraph" w:styleId="CommentSubject">
    <w:name w:val="annotation subject"/>
    <w:basedOn w:val="CommentText"/>
    <w:next w:val="CommentText"/>
    <w:link w:val="CommentSubjectChar"/>
    <w:uiPriority w:val="99"/>
    <w:semiHidden/>
    <w:unhideWhenUsed/>
    <w:rsid w:val="001C1521"/>
    <w:rPr>
      <w:b/>
      <w:bCs/>
    </w:rPr>
  </w:style>
  <w:style w:type="character" w:customStyle="1" w:styleId="CommentSubjectChar">
    <w:name w:val="Comment Subject Char"/>
    <w:basedOn w:val="CommentTextChar"/>
    <w:link w:val="CommentSubject"/>
    <w:uiPriority w:val="99"/>
    <w:semiHidden/>
    <w:rsid w:val="001C1521"/>
    <w:rPr>
      <w:b/>
      <w:bCs/>
      <w:sz w:val="20"/>
      <w:szCs w:val="20"/>
    </w:rPr>
  </w:style>
  <w:style w:type="character" w:styleId="Hyperlink">
    <w:name w:val="Hyperlink"/>
    <w:basedOn w:val="DefaultParagraphFont"/>
    <w:uiPriority w:val="99"/>
    <w:unhideWhenUsed/>
    <w:rsid w:val="00E42DA3"/>
    <w:rPr>
      <w:color w:val="0563C1" w:themeColor="hyperlink"/>
      <w:u w:val="single"/>
    </w:rPr>
  </w:style>
  <w:style w:type="character" w:customStyle="1" w:styleId="UnresolvedMention1">
    <w:name w:val="Unresolved Mention1"/>
    <w:basedOn w:val="DefaultParagraphFont"/>
    <w:uiPriority w:val="99"/>
    <w:semiHidden/>
    <w:unhideWhenUsed/>
    <w:rsid w:val="00E42DA3"/>
    <w:rPr>
      <w:color w:val="808080"/>
      <w:shd w:val="clear" w:color="auto" w:fill="E6E6E6"/>
    </w:rPr>
  </w:style>
  <w:style w:type="character" w:customStyle="1" w:styleId="UnresolvedMention2">
    <w:name w:val="Unresolved Mention2"/>
    <w:basedOn w:val="DefaultParagraphFont"/>
    <w:uiPriority w:val="99"/>
    <w:semiHidden/>
    <w:unhideWhenUsed/>
    <w:rsid w:val="00974116"/>
    <w:rPr>
      <w:color w:val="808080"/>
      <w:shd w:val="clear" w:color="auto" w:fill="E6E6E6"/>
    </w:rPr>
  </w:style>
  <w:style w:type="character" w:styleId="FollowedHyperlink">
    <w:name w:val="FollowedHyperlink"/>
    <w:basedOn w:val="DefaultParagraphFont"/>
    <w:uiPriority w:val="99"/>
    <w:semiHidden/>
    <w:unhideWhenUsed/>
    <w:rsid w:val="00974116"/>
    <w:rPr>
      <w:color w:val="954F72" w:themeColor="followedHyperlink"/>
      <w:u w:val="single"/>
    </w:rPr>
  </w:style>
  <w:style w:type="paragraph" w:styleId="FootnoteText">
    <w:name w:val="footnote text"/>
    <w:basedOn w:val="Normal"/>
    <w:link w:val="FootnoteTextChar"/>
    <w:unhideWhenUsed/>
    <w:rsid w:val="00AA63A2"/>
    <w:pPr>
      <w:spacing w:after="0" w:line="240" w:lineRule="auto"/>
    </w:pPr>
    <w:rPr>
      <w:sz w:val="20"/>
      <w:szCs w:val="20"/>
    </w:rPr>
  </w:style>
  <w:style w:type="character" w:customStyle="1" w:styleId="FootnoteTextChar">
    <w:name w:val="Footnote Text Char"/>
    <w:basedOn w:val="DefaultParagraphFont"/>
    <w:link w:val="FootnoteText"/>
    <w:rsid w:val="00AA63A2"/>
    <w:rPr>
      <w:sz w:val="20"/>
      <w:szCs w:val="20"/>
    </w:rPr>
  </w:style>
  <w:style w:type="character" w:styleId="FootnoteReference">
    <w:name w:val="footnote reference"/>
    <w:basedOn w:val="DefaultParagraphFont"/>
    <w:uiPriority w:val="99"/>
    <w:semiHidden/>
    <w:unhideWhenUsed/>
    <w:rsid w:val="00AA63A2"/>
    <w:rPr>
      <w:vertAlign w:val="superscript"/>
    </w:rPr>
  </w:style>
  <w:style w:type="paragraph" w:styleId="Revision">
    <w:name w:val="Revision"/>
    <w:hidden/>
    <w:uiPriority w:val="99"/>
    <w:semiHidden/>
    <w:rsid w:val="00896317"/>
    <w:pPr>
      <w:spacing w:after="0" w:line="240" w:lineRule="auto"/>
    </w:pPr>
  </w:style>
  <w:style w:type="paragraph" w:styleId="NormalWeb">
    <w:name w:val="Normal (Web)"/>
    <w:basedOn w:val="Normal"/>
    <w:uiPriority w:val="99"/>
    <w:unhideWhenUsed/>
    <w:rsid w:val="00030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2E99"/>
  </w:style>
  <w:style w:type="character" w:customStyle="1" w:styleId="Heading3Char">
    <w:name w:val="Heading 3 Char"/>
    <w:basedOn w:val="DefaultParagraphFont"/>
    <w:link w:val="Heading3"/>
    <w:uiPriority w:val="9"/>
    <w:rsid w:val="000E3C1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887FA8"/>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C22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8F7"/>
  </w:style>
  <w:style w:type="paragraph" w:styleId="Footer">
    <w:name w:val="footer"/>
    <w:basedOn w:val="Normal"/>
    <w:link w:val="FooterChar"/>
    <w:uiPriority w:val="99"/>
    <w:unhideWhenUsed/>
    <w:rsid w:val="00C22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8F7"/>
  </w:style>
  <w:style w:type="paragraph" w:styleId="NoSpacing">
    <w:name w:val="No Spacing"/>
    <w:uiPriority w:val="1"/>
    <w:qFormat/>
    <w:rsid w:val="00992CB3"/>
    <w:pPr>
      <w:spacing w:after="0" w:line="240" w:lineRule="auto"/>
    </w:pPr>
  </w:style>
  <w:style w:type="character" w:styleId="UnresolvedMention">
    <w:name w:val="Unresolved Mention"/>
    <w:basedOn w:val="DefaultParagraphFont"/>
    <w:uiPriority w:val="99"/>
    <w:semiHidden/>
    <w:unhideWhenUsed/>
    <w:rsid w:val="008E34AE"/>
    <w:rPr>
      <w:color w:val="605E5C"/>
      <w:shd w:val="clear" w:color="auto" w:fill="E1DFDD"/>
    </w:rPr>
  </w:style>
  <w:style w:type="character" w:customStyle="1" w:styleId="Heading1Char">
    <w:name w:val="Heading 1 Char"/>
    <w:basedOn w:val="DefaultParagraphFont"/>
    <w:link w:val="Heading1"/>
    <w:uiPriority w:val="9"/>
    <w:rsid w:val="00482F5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7520D"/>
    <w:rPr>
      <w:i/>
      <w:iCs/>
    </w:rPr>
  </w:style>
  <w:style w:type="paragraph" w:styleId="EndnoteText">
    <w:name w:val="endnote text"/>
    <w:basedOn w:val="Normal"/>
    <w:link w:val="EndnoteTextChar"/>
    <w:uiPriority w:val="99"/>
    <w:semiHidden/>
    <w:unhideWhenUsed/>
    <w:rsid w:val="00A147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47E9"/>
    <w:rPr>
      <w:sz w:val="20"/>
      <w:szCs w:val="20"/>
    </w:rPr>
  </w:style>
  <w:style w:type="character" w:styleId="EndnoteReference">
    <w:name w:val="endnote reference"/>
    <w:basedOn w:val="DefaultParagraphFont"/>
    <w:uiPriority w:val="99"/>
    <w:semiHidden/>
    <w:unhideWhenUsed/>
    <w:rsid w:val="00A147E9"/>
    <w:rPr>
      <w:vertAlign w:val="superscript"/>
    </w:rPr>
  </w:style>
  <w:style w:type="character" w:customStyle="1" w:styleId="authors">
    <w:name w:val="authors"/>
    <w:basedOn w:val="DefaultParagraphFont"/>
    <w:rsid w:val="00D764B9"/>
  </w:style>
  <w:style w:type="character" w:customStyle="1" w:styleId="Date1">
    <w:name w:val="Date1"/>
    <w:basedOn w:val="DefaultParagraphFont"/>
    <w:rsid w:val="00D764B9"/>
  </w:style>
  <w:style w:type="character" w:customStyle="1" w:styleId="arttitle">
    <w:name w:val="art_title"/>
    <w:basedOn w:val="DefaultParagraphFont"/>
    <w:rsid w:val="00D764B9"/>
  </w:style>
  <w:style w:type="character" w:customStyle="1" w:styleId="serialtitle">
    <w:name w:val="serial_title"/>
    <w:basedOn w:val="DefaultParagraphFont"/>
    <w:rsid w:val="00D764B9"/>
  </w:style>
  <w:style w:type="character" w:customStyle="1" w:styleId="volumeissue">
    <w:name w:val="volume_issue"/>
    <w:basedOn w:val="DefaultParagraphFont"/>
    <w:rsid w:val="00D764B9"/>
  </w:style>
  <w:style w:type="character" w:customStyle="1" w:styleId="pagerange">
    <w:name w:val="page_range"/>
    <w:basedOn w:val="DefaultParagraphFont"/>
    <w:rsid w:val="00D764B9"/>
  </w:style>
  <w:style w:type="character" w:customStyle="1" w:styleId="Date2">
    <w:name w:val="Date2"/>
    <w:basedOn w:val="DefaultParagraphFont"/>
    <w:rsid w:val="00AB78DF"/>
  </w:style>
  <w:style w:type="character" w:customStyle="1" w:styleId="Heading2Char">
    <w:name w:val="Heading 2 Char"/>
    <w:basedOn w:val="DefaultParagraphFont"/>
    <w:link w:val="Heading2"/>
    <w:uiPriority w:val="9"/>
    <w:rsid w:val="004F463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376">
      <w:bodyDiv w:val="1"/>
      <w:marLeft w:val="0"/>
      <w:marRight w:val="0"/>
      <w:marTop w:val="0"/>
      <w:marBottom w:val="0"/>
      <w:divBdr>
        <w:top w:val="none" w:sz="0" w:space="0" w:color="auto"/>
        <w:left w:val="none" w:sz="0" w:space="0" w:color="auto"/>
        <w:bottom w:val="none" w:sz="0" w:space="0" w:color="auto"/>
        <w:right w:val="none" w:sz="0" w:space="0" w:color="auto"/>
      </w:divBdr>
    </w:div>
    <w:div w:id="50077017">
      <w:bodyDiv w:val="1"/>
      <w:marLeft w:val="0"/>
      <w:marRight w:val="0"/>
      <w:marTop w:val="0"/>
      <w:marBottom w:val="0"/>
      <w:divBdr>
        <w:top w:val="none" w:sz="0" w:space="0" w:color="auto"/>
        <w:left w:val="none" w:sz="0" w:space="0" w:color="auto"/>
        <w:bottom w:val="none" w:sz="0" w:space="0" w:color="auto"/>
        <w:right w:val="none" w:sz="0" w:space="0" w:color="auto"/>
      </w:divBdr>
    </w:div>
    <w:div w:id="103886964">
      <w:bodyDiv w:val="1"/>
      <w:marLeft w:val="0"/>
      <w:marRight w:val="0"/>
      <w:marTop w:val="0"/>
      <w:marBottom w:val="0"/>
      <w:divBdr>
        <w:top w:val="none" w:sz="0" w:space="0" w:color="auto"/>
        <w:left w:val="none" w:sz="0" w:space="0" w:color="auto"/>
        <w:bottom w:val="none" w:sz="0" w:space="0" w:color="auto"/>
        <w:right w:val="none" w:sz="0" w:space="0" w:color="auto"/>
      </w:divBdr>
    </w:div>
    <w:div w:id="110711651">
      <w:bodyDiv w:val="1"/>
      <w:marLeft w:val="0"/>
      <w:marRight w:val="0"/>
      <w:marTop w:val="0"/>
      <w:marBottom w:val="0"/>
      <w:divBdr>
        <w:top w:val="none" w:sz="0" w:space="0" w:color="auto"/>
        <w:left w:val="none" w:sz="0" w:space="0" w:color="auto"/>
        <w:bottom w:val="none" w:sz="0" w:space="0" w:color="auto"/>
        <w:right w:val="none" w:sz="0" w:space="0" w:color="auto"/>
      </w:divBdr>
    </w:div>
    <w:div w:id="145358936">
      <w:bodyDiv w:val="1"/>
      <w:marLeft w:val="0"/>
      <w:marRight w:val="0"/>
      <w:marTop w:val="0"/>
      <w:marBottom w:val="0"/>
      <w:divBdr>
        <w:top w:val="none" w:sz="0" w:space="0" w:color="auto"/>
        <w:left w:val="none" w:sz="0" w:space="0" w:color="auto"/>
        <w:bottom w:val="none" w:sz="0" w:space="0" w:color="auto"/>
        <w:right w:val="none" w:sz="0" w:space="0" w:color="auto"/>
      </w:divBdr>
    </w:div>
    <w:div w:id="159780662">
      <w:bodyDiv w:val="1"/>
      <w:marLeft w:val="0"/>
      <w:marRight w:val="0"/>
      <w:marTop w:val="0"/>
      <w:marBottom w:val="0"/>
      <w:divBdr>
        <w:top w:val="none" w:sz="0" w:space="0" w:color="auto"/>
        <w:left w:val="none" w:sz="0" w:space="0" w:color="auto"/>
        <w:bottom w:val="none" w:sz="0" w:space="0" w:color="auto"/>
        <w:right w:val="none" w:sz="0" w:space="0" w:color="auto"/>
      </w:divBdr>
      <w:divsChild>
        <w:div w:id="1957248798">
          <w:marLeft w:val="0"/>
          <w:marRight w:val="0"/>
          <w:marTop w:val="0"/>
          <w:marBottom w:val="0"/>
          <w:divBdr>
            <w:top w:val="none" w:sz="0" w:space="0" w:color="auto"/>
            <w:left w:val="none" w:sz="0" w:space="0" w:color="auto"/>
            <w:bottom w:val="none" w:sz="0" w:space="0" w:color="auto"/>
            <w:right w:val="none" w:sz="0" w:space="0" w:color="auto"/>
          </w:divBdr>
          <w:divsChild>
            <w:div w:id="1728139339">
              <w:marLeft w:val="0"/>
              <w:marRight w:val="0"/>
              <w:marTop w:val="0"/>
              <w:marBottom w:val="0"/>
              <w:divBdr>
                <w:top w:val="none" w:sz="0" w:space="0" w:color="auto"/>
                <w:left w:val="none" w:sz="0" w:space="0" w:color="auto"/>
                <w:bottom w:val="none" w:sz="0" w:space="0" w:color="auto"/>
                <w:right w:val="none" w:sz="0" w:space="0" w:color="auto"/>
              </w:divBdr>
              <w:divsChild>
                <w:div w:id="7819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2011">
      <w:bodyDiv w:val="1"/>
      <w:marLeft w:val="0"/>
      <w:marRight w:val="0"/>
      <w:marTop w:val="0"/>
      <w:marBottom w:val="0"/>
      <w:divBdr>
        <w:top w:val="none" w:sz="0" w:space="0" w:color="auto"/>
        <w:left w:val="none" w:sz="0" w:space="0" w:color="auto"/>
        <w:bottom w:val="none" w:sz="0" w:space="0" w:color="auto"/>
        <w:right w:val="none" w:sz="0" w:space="0" w:color="auto"/>
      </w:divBdr>
    </w:div>
    <w:div w:id="183449285">
      <w:bodyDiv w:val="1"/>
      <w:marLeft w:val="0"/>
      <w:marRight w:val="0"/>
      <w:marTop w:val="0"/>
      <w:marBottom w:val="0"/>
      <w:divBdr>
        <w:top w:val="none" w:sz="0" w:space="0" w:color="auto"/>
        <w:left w:val="none" w:sz="0" w:space="0" w:color="auto"/>
        <w:bottom w:val="none" w:sz="0" w:space="0" w:color="auto"/>
        <w:right w:val="none" w:sz="0" w:space="0" w:color="auto"/>
      </w:divBdr>
      <w:divsChild>
        <w:div w:id="639268589">
          <w:marLeft w:val="0"/>
          <w:marRight w:val="0"/>
          <w:marTop w:val="0"/>
          <w:marBottom w:val="0"/>
          <w:divBdr>
            <w:top w:val="none" w:sz="0" w:space="0" w:color="auto"/>
            <w:left w:val="none" w:sz="0" w:space="0" w:color="auto"/>
            <w:bottom w:val="none" w:sz="0" w:space="0" w:color="auto"/>
            <w:right w:val="none" w:sz="0" w:space="0" w:color="auto"/>
          </w:divBdr>
          <w:divsChild>
            <w:div w:id="1178427149">
              <w:marLeft w:val="0"/>
              <w:marRight w:val="0"/>
              <w:marTop w:val="0"/>
              <w:marBottom w:val="0"/>
              <w:divBdr>
                <w:top w:val="none" w:sz="0" w:space="0" w:color="auto"/>
                <w:left w:val="none" w:sz="0" w:space="0" w:color="auto"/>
                <w:bottom w:val="none" w:sz="0" w:space="0" w:color="auto"/>
                <w:right w:val="none" w:sz="0" w:space="0" w:color="auto"/>
              </w:divBdr>
              <w:divsChild>
                <w:div w:id="37440342">
                  <w:marLeft w:val="0"/>
                  <w:marRight w:val="0"/>
                  <w:marTop w:val="0"/>
                  <w:marBottom w:val="0"/>
                  <w:divBdr>
                    <w:top w:val="none" w:sz="0" w:space="0" w:color="auto"/>
                    <w:left w:val="none" w:sz="0" w:space="0" w:color="auto"/>
                    <w:bottom w:val="none" w:sz="0" w:space="0" w:color="auto"/>
                    <w:right w:val="none" w:sz="0" w:space="0" w:color="auto"/>
                  </w:divBdr>
                  <w:divsChild>
                    <w:div w:id="19208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8740">
      <w:bodyDiv w:val="1"/>
      <w:marLeft w:val="0"/>
      <w:marRight w:val="0"/>
      <w:marTop w:val="0"/>
      <w:marBottom w:val="0"/>
      <w:divBdr>
        <w:top w:val="none" w:sz="0" w:space="0" w:color="auto"/>
        <w:left w:val="none" w:sz="0" w:space="0" w:color="auto"/>
        <w:bottom w:val="none" w:sz="0" w:space="0" w:color="auto"/>
        <w:right w:val="none" w:sz="0" w:space="0" w:color="auto"/>
      </w:divBdr>
    </w:div>
    <w:div w:id="192424860">
      <w:bodyDiv w:val="1"/>
      <w:marLeft w:val="0"/>
      <w:marRight w:val="0"/>
      <w:marTop w:val="0"/>
      <w:marBottom w:val="0"/>
      <w:divBdr>
        <w:top w:val="none" w:sz="0" w:space="0" w:color="auto"/>
        <w:left w:val="none" w:sz="0" w:space="0" w:color="auto"/>
        <w:bottom w:val="none" w:sz="0" w:space="0" w:color="auto"/>
        <w:right w:val="none" w:sz="0" w:space="0" w:color="auto"/>
      </w:divBdr>
      <w:divsChild>
        <w:div w:id="1860898040">
          <w:marLeft w:val="0"/>
          <w:marRight w:val="0"/>
          <w:marTop w:val="0"/>
          <w:marBottom w:val="0"/>
          <w:divBdr>
            <w:top w:val="none" w:sz="0" w:space="0" w:color="auto"/>
            <w:left w:val="none" w:sz="0" w:space="0" w:color="auto"/>
            <w:bottom w:val="none" w:sz="0" w:space="0" w:color="auto"/>
            <w:right w:val="none" w:sz="0" w:space="0" w:color="auto"/>
          </w:divBdr>
          <w:divsChild>
            <w:div w:id="723452918">
              <w:marLeft w:val="0"/>
              <w:marRight w:val="0"/>
              <w:marTop w:val="0"/>
              <w:marBottom w:val="0"/>
              <w:divBdr>
                <w:top w:val="none" w:sz="0" w:space="0" w:color="auto"/>
                <w:left w:val="none" w:sz="0" w:space="0" w:color="auto"/>
                <w:bottom w:val="none" w:sz="0" w:space="0" w:color="auto"/>
                <w:right w:val="none" w:sz="0" w:space="0" w:color="auto"/>
              </w:divBdr>
              <w:divsChild>
                <w:div w:id="7525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536">
      <w:bodyDiv w:val="1"/>
      <w:marLeft w:val="0"/>
      <w:marRight w:val="0"/>
      <w:marTop w:val="0"/>
      <w:marBottom w:val="0"/>
      <w:divBdr>
        <w:top w:val="none" w:sz="0" w:space="0" w:color="auto"/>
        <w:left w:val="none" w:sz="0" w:space="0" w:color="auto"/>
        <w:bottom w:val="none" w:sz="0" w:space="0" w:color="auto"/>
        <w:right w:val="none" w:sz="0" w:space="0" w:color="auto"/>
      </w:divBdr>
    </w:div>
    <w:div w:id="218783215">
      <w:bodyDiv w:val="1"/>
      <w:marLeft w:val="0"/>
      <w:marRight w:val="0"/>
      <w:marTop w:val="0"/>
      <w:marBottom w:val="0"/>
      <w:divBdr>
        <w:top w:val="none" w:sz="0" w:space="0" w:color="auto"/>
        <w:left w:val="none" w:sz="0" w:space="0" w:color="auto"/>
        <w:bottom w:val="none" w:sz="0" w:space="0" w:color="auto"/>
        <w:right w:val="none" w:sz="0" w:space="0" w:color="auto"/>
      </w:divBdr>
      <w:divsChild>
        <w:div w:id="263734524">
          <w:marLeft w:val="0"/>
          <w:marRight w:val="0"/>
          <w:marTop w:val="0"/>
          <w:marBottom w:val="0"/>
          <w:divBdr>
            <w:top w:val="none" w:sz="0" w:space="0" w:color="auto"/>
            <w:left w:val="none" w:sz="0" w:space="0" w:color="auto"/>
            <w:bottom w:val="none" w:sz="0" w:space="0" w:color="auto"/>
            <w:right w:val="none" w:sz="0" w:space="0" w:color="auto"/>
          </w:divBdr>
          <w:divsChild>
            <w:div w:id="1455557156">
              <w:marLeft w:val="0"/>
              <w:marRight w:val="0"/>
              <w:marTop w:val="0"/>
              <w:marBottom w:val="0"/>
              <w:divBdr>
                <w:top w:val="none" w:sz="0" w:space="0" w:color="auto"/>
                <w:left w:val="none" w:sz="0" w:space="0" w:color="auto"/>
                <w:bottom w:val="none" w:sz="0" w:space="0" w:color="auto"/>
                <w:right w:val="none" w:sz="0" w:space="0" w:color="auto"/>
              </w:divBdr>
              <w:divsChild>
                <w:div w:id="14533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1133">
      <w:bodyDiv w:val="1"/>
      <w:marLeft w:val="0"/>
      <w:marRight w:val="0"/>
      <w:marTop w:val="0"/>
      <w:marBottom w:val="0"/>
      <w:divBdr>
        <w:top w:val="none" w:sz="0" w:space="0" w:color="auto"/>
        <w:left w:val="none" w:sz="0" w:space="0" w:color="auto"/>
        <w:bottom w:val="none" w:sz="0" w:space="0" w:color="auto"/>
        <w:right w:val="none" w:sz="0" w:space="0" w:color="auto"/>
      </w:divBdr>
    </w:div>
    <w:div w:id="272321358">
      <w:bodyDiv w:val="1"/>
      <w:marLeft w:val="0"/>
      <w:marRight w:val="0"/>
      <w:marTop w:val="0"/>
      <w:marBottom w:val="0"/>
      <w:divBdr>
        <w:top w:val="none" w:sz="0" w:space="0" w:color="auto"/>
        <w:left w:val="none" w:sz="0" w:space="0" w:color="auto"/>
        <w:bottom w:val="none" w:sz="0" w:space="0" w:color="auto"/>
        <w:right w:val="none" w:sz="0" w:space="0" w:color="auto"/>
      </w:divBdr>
    </w:div>
    <w:div w:id="290356796">
      <w:bodyDiv w:val="1"/>
      <w:marLeft w:val="0"/>
      <w:marRight w:val="0"/>
      <w:marTop w:val="0"/>
      <w:marBottom w:val="0"/>
      <w:divBdr>
        <w:top w:val="none" w:sz="0" w:space="0" w:color="auto"/>
        <w:left w:val="none" w:sz="0" w:space="0" w:color="auto"/>
        <w:bottom w:val="none" w:sz="0" w:space="0" w:color="auto"/>
        <w:right w:val="none" w:sz="0" w:space="0" w:color="auto"/>
      </w:divBdr>
    </w:div>
    <w:div w:id="294676949">
      <w:bodyDiv w:val="1"/>
      <w:marLeft w:val="0"/>
      <w:marRight w:val="0"/>
      <w:marTop w:val="0"/>
      <w:marBottom w:val="0"/>
      <w:divBdr>
        <w:top w:val="none" w:sz="0" w:space="0" w:color="auto"/>
        <w:left w:val="none" w:sz="0" w:space="0" w:color="auto"/>
        <w:bottom w:val="none" w:sz="0" w:space="0" w:color="auto"/>
        <w:right w:val="none" w:sz="0" w:space="0" w:color="auto"/>
      </w:divBdr>
      <w:divsChild>
        <w:div w:id="297145990">
          <w:marLeft w:val="0"/>
          <w:marRight w:val="0"/>
          <w:marTop w:val="0"/>
          <w:marBottom w:val="0"/>
          <w:divBdr>
            <w:top w:val="none" w:sz="0" w:space="0" w:color="auto"/>
            <w:left w:val="none" w:sz="0" w:space="0" w:color="auto"/>
            <w:bottom w:val="none" w:sz="0" w:space="0" w:color="auto"/>
            <w:right w:val="none" w:sz="0" w:space="0" w:color="auto"/>
          </w:divBdr>
        </w:div>
      </w:divsChild>
    </w:div>
    <w:div w:id="311368532">
      <w:bodyDiv w:val="1"/>
      <w:marLeft w:val="0"/>
      <w:marRight w:val="0"/>
      <w:marTop w:val="0"/>
      <w:marBottom w:val="0"/>
      <w:divBdr>
        <w:top w:val="none" w:sz="0" w:space="0" w:color="auto"/>
        <w:left w:val="none" w:sz="0" w:space="0" w:color="auto"/>
        <w:bottom w:val="none" w:sz="0" w:space="0" w:color="auto"/>
        <w:right w:val="none" w:sz="0" w:space="0" w:color="auto"/>
      </w:divBdr>
    </w:div>
    <w:div w:id="349378358">
      <w:bodyDiv w:val="1"/>
      <w:marLeft w:val="0"/>
      <w:marRight w:val="0"/>
      <w:marTop w:val="0"/>
      <w:marBottom w:val="0"/>
      <w:divBdr>
        <w:top w:val="none" w:sz="0" w:space="0" w:color="auto"/>
        <w:left w:val="none" w:sz="0" w:space="0" w:color="auto"/>
        <w:bottom w:val="none" w:sz="0" w:space="0" w:color="auto"/>
        <w:right w:val="none" w:sz="0" w:space="0" w:color="auto"/>
      </w:divBdr>
    </w:div>
    <w:div w:id="352072987">
      <w:bodyDiv w:val="1"/>
      <w:marLeft w:val="0"/>
      <w:marRight w:val="0"/>
      <w:marTop w:val="0"/>
      <w:marBottom w:val="0"/>
      <w:divBdr>
        <w:top w:val="none" w:sz="0" w:space="0" w:color="auto"/>
        <w:left w:val="none" w:sz="0" w:space="0" w:color="auto"/>
        <w:bottom w:val="none" w:sz="0" w:space="0" w:color="auto"/>
        <w:right w:val="none" w:sz="0" w:space="0" w:color="auto"/>
      </w:divBdr>
    </w:div>
    <w:div w:id="352079337">
      <w:bodyDiv w:val="1"/>
      <w:marLeft w:val="0"/>
      <w:marRight w:val="0"/>
      <w:marTop w:val="0"/>
      <w:marBottom w:val="0"/>
      <w:divBdr>
        <w:top w:val="none" w:sz="0" w:space="0" w:color="auto"/>
        <w:left w:val="none" w:sz="0" w:space="0" w:color="auto"/>
        <w:bottom w:val="none" w:sz="0" w:space="0" w:color="auto"/>
        <w:right w:val="none" w:sz="0" w:space="0" w:color="auto"/>
      </w:divBdr>
      <w:divsChild>
        <w:div w:id="173812382">
          <w:marLeft w:val="0"/>
          <w:marRight w:val="0"/>
          <w:marTop w:val="0"/>
          <w:marBottom w:val="0"/>
          <w:divBdr>
            <w:top w:val="none" w:sz="0" w:space="0" w:color="auto"/>
            <w:left w:val="none" w:sz="0" w:space="0" w:color="auto"/>
            <w:bottom w:val="none" w:sz="0" w:space="0" w:color="auto"/>
            <w:right w:val="none" w:sz="0" w:space="0" w:color="auto"/>
          </w:divBdr>
          <w:divsChild>
            <w:div w:id="78912120">
              <w:marLeft w:val="0"/>
              <w:marRight w:val="0"/>
              <w:marTop w:val="0"/>
              <w:marBottom w:val="0"/>
              <w:divBdr>
                <w:top w:val="none" w:sz="0" w:space="0" w:color="auto"/>
                <w:left w:val="none" w:sz="0" w:space="0" w:color="auto"/>
                <w:bottom w:val="none" w:sz="0" w:space="0" w:color="auto"/>
                <w:right w:val="none" w:sz="0" w:space="0" w:color="auto"/>
              </w:divBdr>
              <w:divsChild>
                <w:div w:id="17194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479">
      <w:bodyDiv w:val="1"/>
      <w:marLeft w:val="0"/>
      <w:marRight w:val="0"/>
      <w:marTop w:val="0"/>
      <w:marBottom w:val="0"/>
      <w:divBdr>
        <w:top w:val="none" w:sz="0" w:space="0" w:color="auto"/>
        <w:left w:val="none" w:sz="0" w:space="0" w:color="auto"/>
        <w:bottom w:val="none" w:sz="0" w:space="0" w:color="auto"/>
        <w:right w:val="none" w:sz="0" w:space="0" w:color="auto"/>
      </w:divBdr>
    </w:div>
    <w:div w:id="381172172">
      <w:bodyDiv w:val="1"/>
      <w:marLeft w:val="0"/>
      <w:marRight w:val="0"/>
      <w:marTop w:val="0"/>
      <w:marBottom w:val="0"/>
      <w:divBdr>
        <w:top w:val="none" w:sz="0" w:space="0" w:color="auto"/>
        <w:left w:val="none" w:sz="0" w:space="0" w:color="auto"/>
        <w:bottom w:val="none" w:sz="0" w:space="0" w:color="auto"/>
        <w:right w:val="none" w:sz="0" w:space="0" w:color="auto"/>
      </w:divBdr>
    </w:div>
    <w:div w:id="383602240">
      <w:bodyDiv w:val="1"/>
      <w:marLeft w:val="0"/>
      <w:marRight w:val="0"/>
      <w:marTop w:val="0"/>
      <w:marBottom w:val="0"/>
      <w:divBdr>
        <w:top w:val="none" w:sz="0" w:space="0" w:color="auto"/>
        <w:left w:val="none" w:sz="0" w:space="0" w:color="auto"/>
        <w:bottom w:val="none" w:sz="0" w:space="0" w:color="auto"/>
        <w:right w:val="none" w:sz="0" w:space="0" w:color="auto"/>
      </w:divBdr>
      <w:divsChild>
        <w:div w:id="1998337862">
          <w:marLeft w:val="0"/>
          <w:marRight w:val="0"/>
          <w:marTop w:val="0"/>
          <w:marBottom w:val="0"/>
          <w:divBdr>
            <w:top w:val="none" w:sz="0" w:space="0" w:color="auto"/>
            <w:left w:val="none" w:sz="0" w:space="0" w:color="auto"/>
            <w:bottom w:val="none" w:sz="0" w:space="0" w:color="auto"/>
            <w:right w:val="none" w:sz="0" w:space="0" w:color="auto"/>
          </w:divBdr>
          <w:divsChild>
            <w:div w:id="1371150928">
              <w:marLeft w:val="0"/>
              <w:marRight w:val="0"/>
              <w:marTop w:val="0"/>
              <w:marBottom w:val="0"/>
              <w:divBdr>
                <w:top w:val="none" w:sz="0" w:space="0" w:color="auto"/>
                <w:left w:val="none" w:sz="0" w:space="0" w:color="auto"/>
                <w:bottom w:val="none" w:sz="0" w:space="0" w:color="auto"/>
                <w:right w:val="none" w:sz="0" w:space="0" w:color="auto"/>
              </w:divBdr>
              <w:divsChild>
                <w:div w:id="17790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1461">
      <w:bodyDiv w:val="1"/>
      <w:marLeft w:val="0"/>
      <w:marRight w:val="0"/>
      <w:marTop w:val="0"/>
      <w:marBottom w:val="0"/>
      <w:divBdr>
        <w:top w:val="none" w:sz="0" w:space="0" w:color="auto"/>
        <w:left w:val="none" w:sz="0" w:space="0" w:color="auto"/>
        <w:bottom w:val="none" w:sz="0" w:space="0" w:color="auto"/>
        <w:right w:val="none" w:sz="0" w:space="0" w:color="auto"/>
      </w:divBdr>
    </w:div>
    <w:div w:id="407921301">
      <w:bodyDiv w:val="1"/>
      <w:marLeft w:val="0"/>
      <w:marRight w:val="0"/>
      <w:marTop w:val="0"/>
      <w:marBottom w:val="0"/>
      <w:divBdr>
        <w:top w:val="none" w:sz="0" w:space="0" w:color="auto"/>
        <w:left w:val="none" w:sz="0" w:space="0" w:color="auto"/>
        <w:bottom w:val="none" w:sz="0" w:space="0" w:color="auto"/>
        <w:right w:val="none" w:sz="0" w:space="0" w:color="auto"/>
      </w:divBdr>
    </w:div>
    <w:div w:id="409161978">
      <w:bodyDiv w:val="1"/>
      <w:marLeft w:val="0"/>
      <w:marRight w:val="0"/>
      <w:marTop w:val="0"/>
      <w:marBottom w:val="0"/>
      <w:divBdr>
        <w:top w:val="none" w:sz="0" w:space="0" w:color="auto"/>
        <w:left w:val="none" w:sz="0" w:space="0" w:color="auto"/>
        <w:bottom w:val="none" w:sz="0" w:space="0" w:color="auto"/>
        <w:right w:val="none" w:sz="0" w:space="0" w:color="auto"/>
      </w:divBdr>
    </w:div>
    <w:div w:id="428354859">
      <w:bodyDiv w:val="1"/>
      <w:marLeft w:val="0"/>
      <w:marRight w:val="0"/>
      <w:marTop w:val="0"/>
      <w:marBottom w:val="0"/>
      <w:divBdr>
        <w:top w:val="none" w:sz="0" w:space="0" w:color="auto"/>
        <w:left w:val="none" w:sz="0" w:space="0" w:color="auto"/>
        <w:bottom w:val="none" w:sz="0" w:space="0" w:color="auto"/>
        <w:right w:val="none" w:sz="0" w:space="0" w:color="auto"/>
      </w:divBdr>
    </w:div>
    <w:div w:id="443379274">
      <w:bodyDiv w:val="1"/>
      <w:marLeft w:val="0"/>
      <w:marRight w:val="0"/>
      <w:marTop w:val="0"/>
      <w:marBottom w:val="0"/>
      <w:divBdr>
        <w:top w:val="none" w:sz="0" w:space="0" w:color="auto"/>
        <w:left w:val="none" w:sz="0" w:space="0" w:color="auto"/>
        <w:bottom w:val="none" w:sz="0" w:space="0" w:color="auto"/>
        <w:right w:val="none" w:sz="0" w:space="0" w:color="auto"/>
      </w:divBdr>
    </w:div>
    <w:div w:id="454953785">
      <w:bodyDiv w:val="1"/>
      <w:marLeft w:val="0"/>
      <w:marRight w:val="0"/>
      <w:marTop w:val="0"/>
      <w:marBottom w:val="0"/>
      <w:divBdr>
        <w:top w:val="none" w:sz="0" w:space="0" w:color="auto"/>
        <w:left w:val="none" w:sz="0" w:space="0" w:color="auto"/>
        <w:bottom w:val="none" w:sz="0" w:space="0" w:color="auto"/>
        <w:right w:val="none" w:sz="0" w:space="0" w:color="auto"/>
      </w:divBdr>
      <w:divsChild>
        <w:div w:id="466431178">
          <w:marLeft w:val="1080"/>
          <w:marRight w:val="0"/>
          <w:marTop w:val="100"/>
          <w:marBottom w:val="0"/>
          <w:divBdr>
            <w:top w:val="none" w:sz="0" w:space="0" w:color="auto"/>
            <w:left w:val="none" w:sz="0" w:space="0" w:color="auto"/>
            <w:bottom w:val="none" w:sz="0" w:space="0" w:color="auto"/>
            <w:right w:val="none" w:sz="0" w:space="0" w:color="auto"/>
          </w:divBdr>
        </w:div>
        <w:div w:id="1517579545">
          <w:marLeft w:val="360"/>
          <w:marRight w:val="0"/>
          <w:marTop w:val="200"/>
          <w:marBottom w:val="0"/>
          <w:divBdr>
            <w:top w:val="none" w:sz="0" w:space="0" w:color="auto"/>
            <w:left w:val="none" w:sz="0" w:space="0" w:color="auto"/>
            <w:bottom w:val="none" w:sz="0" w:space="0" w:color="auto"/>
            <w:right w:val="none" w:sz="0" w:space="0" w:color="auto"/>
          </w:divBdr>
        </w:div>
        <w:div w:id="1183520143">
          <w:marLeft w:val="360"/>
          <w:marRight w:val="0"/>
          <w:marTop w:val="200"/>
          <w:marBottom w:val="0"/>
          <w:divBdr>
            <w:top w:val="none" w:sz="0" w:space="0" w:color="auto"/>
            <w:left w:val="none" w:sz="0" w:space="0" w:color="auto"/>
            <w:bottom w:val="none" w:sz="0" w:space="0" w:color="auto"/>
            <w:right w:val="none" w:sz="0" w:space="0" w:color="auto"/>
          </w:divBdr>
        </w:div>
        <w:div w:id="1613854135">
          <w:marLeft w:val="360"/>
          <w:marRight w:val="0"/>
          <w:marTop w:val="200"/>
          <w:marBottom w:val="0"/>
          <w:divBdr>
            <w:top w:val="none" w:sz="0" w:space="0" w:color="auto"/>
            <w:left w:val="none" w:sz="0" w:space="0" w:color="auto"/>
            <w:bottom w:val="none" w:sz="0" w:space="0" w:color="auto"/>
            <w:right w:val="none" w:sz="0" w:space="0" w:color="auto"/>
          </w:divBdr>
        </w:div>
      </w:divsChild>
    </w:div>
    <w:div w:id="491681693">
      <w:bodyDiv w:val="1"/>
      <w:marLeft w:val="0"/>
      <w:marRight w:val="0"/>
      <w:marTop w:val="0"/>
      <w:marBottom w:val="0"/>
      <w:divBdr>
        <w:top w:val="none" w:sz="0" w:space="0" w:color="auto"/>
        <w:left w:val="none" w:sz="0" w:space="0" w:color="auto"/>
        <w:bottom w:val="none" w:sz="0" w:space="0" w:color="auto"/>
        <w:right w:val="none" w:sz="0" w:space="0" w:color="auto"/>
      </w:divBdr>
      <w:divsChild>
        <w:div w:id="1779594649">
          <w:marLeft w:val="0"/>
          <w:marRight w:val="0"/>
          <w:marTop w:val="0"/>
          <w:marBottom w:val="0"/>
          <w:divBdr>
            <w:top w:val="none" w:sz="0" w:space="0" w:color="auto"/>
            <w:left w:val="none" w:sz="0" w:space="0" w:color="auto"/>
            <w:bottom w:val="none" w:sz="0" w:space="0" w:color="auto"/>
            <w:right w:val="none" w:sz="0" w:space="0" w:color="auto"/>
          </w:divBdr>
          <w:divsChild>
            <w:div w:id="1184242676">
              <w:marLeft w:val="0"/>
              <w:marRight w:val="0"/>
              <w:marTop w:val="0"/>
              <w:marBottom w:val="0"/>
              <w:divBdr>
                <w:top w:val="none" w:sz="0" w:space="0" w:color="auto"/>
                <w:left w:val="none" w:sz="0" w:space="0" w:color="auto"/>
                <w:bottom w:val="none" w:sz="0" w:space="0" w:color="auto"/>
                <w:right w:val="none" w:sz="0" w:space="0" w:color="auto"/>
              </w:divBdr>
              <w:divsChild>
                <w:div w:id="9768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9219">
      <w:bodyDiv w:val="1"/>
      <w:marLeft w:val="0"/>
      <w:marRight w:val="0"/>
      <w:marTop w:val="0"/>
      <w:marBottom w:val="0"/>
      <w:divBdr>
        <w:top w:val="none" w:sz="0" w:space="0" w:color="auto"/>
        <w:left w:val="none" w:sz="0" w:space="0" w:color="auto"/>
        <w:bottom w:val="none" w:sz="0" w:space="0" w:color="auto"/>
        <w:right w:val="none" w:sz="0" w:space="0" w:color="auto"/>
      </w:divBdr>
      <w:divsChild>
        <w:div w:id="426579727">
          <w:marLeft w:val="0"/>
          <w:marRight w:val="0"/>
          <w:marTop w:val="0"/>
          <w:marBottom w:val="0"/>
          <w:divBdr>
            <w:top w:val="none" w:sz="0" w:space="0" w:color="auto"/>
            <w:left w:val="none" w:sz="0" w:space="0" w:color="auto"/>
            <w:bottom w:val="none" w:sz="0" w:space="0" w:color="auto"/>
            <w:right w:val="none" w:sz="0" w:space="0" w:color="auto"/>
          </w:divBdr>
          <w:divsChild>
            <w:div w:id="860244074">
              <w:marLeft w:val="0"/>
              <w:marRight w:val="0"/>
              <w:marTop w:val="0"/>
              <w:marBottom w:val="0"/>
              <w:divBdr>
                <w:top w:val="none" w:sz="0" w:space="0" w:color="auto"/>
                <w:left w:val="none" w:sz="0" w:space="0" w:color="auto"/>
                <w:bottom w:val="none" w:sz="0" w:space="0" w:color="auto"/>
                <w:right w:val="none" w:sz="0" w:space="0" w:color="auto"/>
              </w:divBdr>
              <w:divsChild>
                <w:div w:id="1830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60825">
      <w:bodyDiv w:val="1"/>
      <w:marLeft w:val="0"/>
      <w:marRight w:val="0"/>
      <w:marTop w:val="0"/>
      <w:marBottom w:val="0"/>
      <w:divBdr>
        <w:top w:val="none" w:sz="0" w:space="0" w:color="auto"/>
        <w:left w:val="none" w:sz="0" w:space="0" w:color="auto"/>
        <w:bottom w:val="none" w:sz="0" w:space="0" w:color="auto"/>
        <w:right w:val="none" w:sz="0" w:space="0" w:color="auto"/>
      </w:divBdr>
    </w:div>
    <w:div w:id="584613539">
      <w:bodyDiv w:val="1"/>
      <w:marLeft w:val="0"/>
      <w:marRight w:val="0"/>
      <w:marTop w:val="0"/>
      <w:marBottom w:val="0"/>
      <w:divBdr>
        <w:top w:val="none" w:sz="0" w:space="0" w:color="auto"/>
        <w:left w:val="none" w:sz="0" w:space="0" w:color="auto"/>
        <w:bottom w:val="none" w:sz="0" w:space="0" w:color="auto"/>
        <w:right w:val="none" w:sz="0" w:space="0" w:color="auto"/>
      </w:divBdr>
      <w:divsChild>
        <w:div w:id="1238829461">
          <w:marLeft w:val="0"/>
          <w:marRight w:val="0"/>
          <w:marTop w:val="0"/>
          <w:marBottom w:val="0"/>
          <w:divBdr>
            <w:top w:val="none" w:sz="0" w:space="0" w:color="auto"/>
            <w:left w:val="none" w:sz="0" w:space="0" w:color="auto"/>
            <w:bottom w:val="none" w:sz="0" w:space="0" w:color="auto"/>
            <w:right w:val="none" w:sz="0" w:space="0" w:color="auto"/>
          </w:divBdr>
          <w:divsChild>
            <w:div w:id="777024809">
              <w:marLeft w:val="0"/>
              <w:marRight w:val="0"/>
              <w:marTop w:val="0"/>
              <w:marBottom w:val="0"/>
              <w:divBdr>
                <w:top w:val="none" w:sz="0" w:space="0" w:color="auto"/>
                <w:left w:val="none" w:sz="0" w:space="0" w:color="auto"/>
                <w:bottom w:val="none" w:sz="0" w:space="0" w:color="auto"/>
                <w:right w:val="none" w:sz="0" w:space="0" w:color="auto"/>
              </w:divBdr>
              <w:divsChild>
                <w:div w:id="21162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7645">
      <w:bodyDiv w:val="1"/>
      <w:marLeft w:val="0"/>
      <w:marRight w:val="0"/>
      <w:marTop w:val="0"/>
      <w:marBottom w:val="0"/>
      <w:divBdr>
        <w:top w:val="none" w:sz="0" w:space="0" w:color="auto"/>
        <w:left w:val="none" w:sz="0" w:space="0" w:color="auto"/>
        <w:bottom w:val="none" w:sz="0" w:space="0" w:color="auto"/>
        <w:right w:val="none" w:sz="0" w:space="0" w:color="auto"/>
      </w:divBdr>
      <w:divsChild>
        <w:div w:id="630474441">
          <w:marLeft w:val="0"/>
          <w:marRight w:val="0"/>
          <w:marTop w:val="0"/>
          <w:marBottom w:val="0"/>
          <w:divBdr>
            <w:top w:val="none" w:sz="0" w:space="0" w:color="auto"/>
            <w:left w:val="none" w:sz="0" w:space="0" w:color="auto"/>
            <w:bottom w:val="none" w:sz="0" w:space="0" w:color="auto"/>
            <w:right w:val="none" w:sz="0" w:space="0" w:color="auto"/>
          </w:divBdr>
          <w:divsChild>
            <w:div w:id="851603682">
              <w:marLeft w:val="0"/>
              <w:marRight w:val="0"/>
              <w:marTop w:val="0"/>
              <w:marBottom w:val="0"/>
              <w:divBdr>
                <w:top w:val="none" w:sz="0" w:space="0" w:color="auto"/>
                <w:left w:val="none" w:sz="0" w:space="0" w:color="auto"/>
                <w:bottom w:val="none" w:sz="0" w:space="0" w:color="auto"/>
                <w:right w:val="none" w:sz="0" w:space="0" w:color="auto"/>
              </w:divBdr>
              <w:divsChild>
                <w:div w:id="8262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90080">
      <w:bodyDiv w:val="1"/>
      <w:marLeft w:val="0"/>
      <w:marRight w:val="0"/>
      <w:marTop w:val="0"/>
      <w:marBottom w:val="0"/>
      <w:divBdr>
        <w:top w:val="none" w:sz="0" w:space="0" w:color="auto"/>
        <w:left w:val="none" w:sz="0" w:space="0" w:color="auto"/>
        <w:bottom w:val="none" w:sz="0" w:space="0" w:color="auto"/>
        <w:right w:val="none" w:sz="0" w:space="0" w:color="auto"/>
      </w:divBdr>
      <w:divsChild>
        <w:div w:id="369691736">
          <w:marLeft w:val="0"/>
          <w:marRight w:val="0"/>
          <w:marTop w:val="0"/>
          <w:marBottom w:val="0"/>
          <w:divBdr>
            <w:top w:val="none" w:sz="0" w:space="0" w:color="auto"/>
            <w:left w:val="none" w:sz="0" w:space="0" w:color="auto"/>
            <w:bottom w:val="none" w:sz="0" w:space="0" w:color="auto"/>
            <w:right w:val="none" w:sz="0" w:space="0" w:color="auto"/>
          </w:divBdr>
          <w:divsChild>
            <w:div w:id="1413427567">
              <w:marLeft w:val="0"/>
              <w:marRight w:val="0"/>
              <w:marTop w:val="0"/>
              <w:marBottom w:val="0"/>
              <w:divBdr>
                <w:top w:val="none" w:sz="0" w:space="0" w:color="auto"/>
                <w:left w:val="none" w:sz="0" w:space="0" w:color="auto"/>
                <w:bottom w:val="none" w:sz="0" w:space="0" w:color="auto"/>
                <w:right w:val="none" w:sz="0" w:space="0" w:color="auto"/>
              </w:divBdr>
              <w:divsChild>
                <w:div w:id="11265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8586">
      <w:bodyDiv w:val="1"/>
      <w:marLeft w:val="0"/>
      <w:marRight w:val="0"/>
      <w:marTop w:val="0"/>
      <w:marBottom w:val="0"/>
      <w:divBdr>
        <w:top w:val="none" w:sz="0" w:space="0" w:color="auto"/>
        <w:left w:val="none" w:sz="0" w:space="0" w:color="auto"/>
        <w:bottom w:val="none" w:sz="0" w:space="0" w:color="auto"/>
        <w:right w:val="none" w:sz="0" w:space="0" w:color="auto"/>
      </w:divBdr>
    </w:div>
    <w:div w:id="673456374">
      <w:bodyDiv w:val="1"/>
      <w:marLeft w:val="0"/>
      <w:marRight w:val="0"/>
      <w:marTop w:val="0"/>
      <w:marBottom w:val="0"/>
      <w:divBdr>
        <w:top w:val="none" w:sz="0" w:space="0" w:color="auto"/>
        <w:left w:val="none" w:sz="0" w:space="0" w:color="auto"/>
        <w:bottom w:val="none" w:sz="0" w:space="0" w:color="auto"/>
        <w:right w:val="none" w:sz="0" w:space="0" w:color="auto"/>
      </w:divBdr>
    </w:div>
    <w:div w:id="717556737">
      <w:bodyDiv w:val="1"/>
      <w:marLeft w:val="0"/>
      <w:marRight w:val="0"/>
      <w:marTop w:val="0"/>
      <w:marBottom w:val="0"/>
      <w:divBdr>
        <w:top w:val="none" w:sz="0" w:space="0" w:color="auto"/>
        <w:left w:val="none" w:sz="0" w:space="0" w:color="auto"/>
        <w:bottom w:val="none" w:sz="0" w:space="0" w:color="auto"/>
        <w:right w:val="none" w:sz="0" w:space="0" w:color="auto"/>
      </w:divBdr>
    </w:div>
    <w:div w:id="719549245">
      <w:bodyDiv w:val="1"/>
      <w:marLeft w:val="0"/>
      <w:marRight w:val="0"/>
      <w:marTop w:val="0"/>
      <w:marBottom w:val="0"/>
      <w:divBdr>
        <w:top w:val="none" w:sz="0" w:space="0" w:color="auto"/>
        <w:left w:val="none" w:sz="0" w:space="0" w:color="auto"/>
        <w:bottom w:val="none" w:sz="0" w:space="0" w:color="auto"/>
        <w:right w:val="none" w:sz="0" w:space="0" w:color="auto"/>
      </w:divBdr>
    </w:div>
    <w:div w:id="739981931">
      <w:bodyDiv w:val="1"/>
      <w:marLeft w:val="0"/>
      <w:marRight w:val="0"/>
      <w:marTop w:val="0"/>
      <w:marBottom w:val="0"/>
      <w:divBdr>
        <w:top w:val="none" w:sz="0" w:space="0" w:color="auto"/>
        <w:left w:val="none" w:sz="0" w:space="0" w:color="auto"/>
        <w:bottom w:val="none" w:sz="0" w:space="0" w:color="auto"/>
        <w:right w:val="none" w:sz="0" w:space="0" w:color="auto"/>
      </w:divBdr>
      <w:divsChild>
        <w:div w:id="1097143305">
          <w:marLeft w:val="0"/>
          <w:marRight w:val="0"/>
          <w:marTop w:val="0"/>
          <w:marBottom w:val="0"/>
          <w:divBdr>
            <w:top w:val="none" w:sz="0" w:space="0" w:color="auto"/>
            <w:left w:val="none" w:sz="0" w:space="0" w:color="auto"/>
            <w:bottom w:val="none" w:sz="0" w:space="0" w:color="auto"/>
            <w:right w:val="none" w:sz="0" w:space="0" w:color="auto"/>
          </w:divBdr>
          <w:divsChild>
            <w:div w:id="2087460988">
              <w:marLeft w:val="0"/>
              <w:marRight w:val="0"/>
              <w:marTop w:val="0"/>
              <w:marBottom w:val="0"/>
              <w:divBdr>
                <w:top w:val="none" w:sz="0" w:space="0" w:color="auto"/>
                <w:left w:val="none" w:sz="0" w:space="0" w:color="auto"/>
                <w:bottom w:val="none" w:sz="0" w:space="0" w:color="auto"/>
                <w:right w:val="none" w:sz="0" w:space="0" w:color="auto"/>
              </w:divBdr>
              <w:divsChild>
                <w:div w:id="11791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0196">
      <w:bodyDiv w:val="1"/>
      <w:marLeft w:val="0"/>
      <w:marRight w:val="0"/>
      <w:marTop w:val="0"/>
      <w:marBottom w:val="0"/>
      <w:divBdr>
        <w:top w:val="none" w:sz="0" w:space="0" w:color="auto"/>
        <w:left w:val="none" w:sz="0" w:space="0" w:color="auto"/>
        <w:bottom w:val="none" w:sz="0" w:space="0" w:color="auto"/>
        <w:right w:val="none" w:sz="0" w:space="0" w:color="auto"/>
      </w:divBdr>
      <w:divsChild>
        <w:div w:id="627205115">
          <w:marLeft w:val="0"/>
          <w:marRight w:val="0"/>
          <w:marTop w:val="0"/>
          <w:marBottom w:val="0"/>
          <w:divBdr>
            <w:top w:val="none" w:sz="0" w:space="0" w:color="auto"/>
            <w:left w:val="none" w:sz="0" w:space="0" w:color="auto"/>
            <w:bottom w:val="none" w:sz="0" w:space="0" w:color="auto"/>
            <w:right w:val="none" w:sz="0" w:space="0" w:color="auto"/>
          </w:divBdr>
          <w:divsChild>
            <w:div w:id="907573147">
              <w:marLeft w:val="0"/>
              <w:marRight w:val="0"/>
              <w:marTop w:val="0"/>
              <w:marBottom w:val="0"/>
              <w:divBdr>
                <w:top w:val="none" w:sz="0" w:space="0" w:color="auto"/>
                <w:left w:val="none" w:sz="0" w:space="0" w:color="auto"/>
                <w:bottom w:val="none" w:sz="0" w:space="0" w:color="auto"/>
                <w:right w:val="none" w:sz="0" w:space="0" w:color="auto"/>
              </w:divBdr>
              <w:divsChild>
                <w:div w:id="16133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1749">
      <w:bodyDiv w:val="1"/>
      <w:marLeft w:val="0"/>
      <w:marRight w:val="0"/>
      <w:marTop w:val="0"/>
      <w:marBottom w:val="0"/>
      <w:divBdr>
        <w:top w:val="none" w:sz="0" w:space="0" w:color="auto"/>
        <w:left w:val="none" w:sz="0" w:space="0" w:color="auto"/>
        <w:bottom w:val="none" w:sz="0" w:space="0" w:color="auto"/>
        <w:right w:val="none" w:sz="0" w:space="0" w:color="auto"/>
      </w:divBdr>
      <w:divsChild>
        <w:div w:id="1206990740">
          <w:marLeft w:val="0"/>
          <w:marRight w:val="0"/>
          <w:marTop w:val="0"/>
          <w:marBottom w:val="0"/>
          <w:divBdr>
            <w:top w:val="none" w:sz="0" w:space="0" w:color="auto"/>
            <w:left w:val="none" w:sz="0" w:space="0" w:color="auto"/>
            <w:bottom w:val="none" w:sz="0" w:space="0" w:color="auto"/>
            <w:right w:val="none" w:sz="0" w:space="0" w:color="auto"/>
          </w:divBdr>
          <w:divsChild>
            <w:div w:id="2057003857">
              <w:marLeft w:val="0"/>
              <w:marRight w:val="0"/>
              <w:marTop w:val="0"/>
              <w:marBottom w:val="0"/>
              <w:divBdr>
                <w:top w:val="none" w:sz="0" w:space="0" w:color="auto"/>
                <w:left w:val="none" w:sz="0" w:space="0" w:color="auto"/>
                <w:bottom w:val="none" w:sz="0" w:space="0" w:color="auto"/>
                <w:right w:val="none" w:sz="0" w:space="0" w:color="auto"/>
              </w:divBdr>
              <w:divsChild>
                <w:div w:id="10074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571">
      <w:bodyDiv w:val="1"/>
      <w:marLeft w:val="0"/>
      <w:marRight w:val="0"/>
      <w:marTop w:val="0"/>
      <w:marBottom w:val="0"/>
      <w:divBdr>
        <w:top w:val="none" w:sz="0" w:space="0" w:color="auto"/>
        <w:left w:val="none" w:sz="0" w:space="0" w:color="auto"/>
        <w:bottom w:val="none" w:sz="0" w:space="0" w:color="auto"/>
        <w:right w:val="none" w:sz="0" w:space="0" w:color="auto"/>
      </w:divBdr>
    </w:div>
    <w:div w:id="852720367">
      <w:bodyDiv w:val="1"/>
      <w:marLeft w:val="0"/>
      <w:marRight w:val="0"/>
      <w:marTop w:val="0"/>
      <w:marBottom w:val="0"/>
      <w:divBdr>
        <w:top w:val="none" w:sz="0" w:space="0" w:color="auto"/>
        <w:left w:val="none" w:sz="0" w:space="0" w:color="auto"/>
        <w:bottom w:val="none" w:sz="0" w:space="0" w:color="auto"/>
        <w:right w:val="none" w:sz="0" w:space="0" w:color="auto"/>
      </w:divBdr>
    </w:div>
    <w:div w:id="861016187">
      <w:bodyDiv w:val="1"/>
      <w:marLeft w:val="0"/>
      <w:marRight w:val="0"/>
      <w:marTop w:val="0"/>
      <w:marBottom w:val="0"/>
      <w:divBdr>
        <w:top w:val="none" w:sz="0" w:space="0" w:color="auto"/>
        <w:left w:val="none" w:sz="0" w:space="0" w:color="auto"/>
        <w:bottom w:val="none" w:sz="0" w:space="0" w:color="auto"/>
        <w:right w:val="none" w:sz="0" w:space="0" w:color="auto"/>
      </w:divBdr>
      <w:divsChild>
        <w:div w:id="1693872698">
          <w:marLeft w:val="0"/>
          <w:marRight w:val="0"/>
          <w:marTop w:val="0"/>
          <w:marBottom w:val="0"/>
          <w:divBdr>
            <w:top w:val="none" w:sz="0" w:space="0" w:color="auto"/>
            <w:left w:val="none" w:sz="0" w:space="0" w:color="auto"/>
            <w:bottom w:val="none" w:sz="0" w:space="0" w:color="auto"/>
            <w:right w:val="none" w:sz="0" w:space="0" w:color="auto"/>
          </w:divBdr>
          <w:divsChild>
            <w:div w:id="1851218172">
              <w:marLeft w:val="0"/>
              <w:marRight w:val="0"/>
              <w:marTop w:val="0"/>
              <w:marBottom w:val="0"/>
              <w:divBdr>
                <w:top w:val="none" w:sz="0" w:space="0" w:color="auto"/>
                <w:left w:val="none" w:sz="0" w:space="0" w:color="auto"/>
                <w:bottom w:val="none" w:sz="0" w:space="0" w:color="auto"/>
                <w:right w:val="none" w:sz="0" w:space="0" w:color="auto"/>
              </w:divBdr>
              <w:divsChild>
                <w:div w:id="7589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4171">
      <w:bodyDiv w:val="1"/>
      <w:marLeft w:val="0"/>
      <w:marRight w:val="0"/>
      <w:marTop w:val="0"/>
      <w:marBottom w:val="0"/>
      <w:divBdr>
        <w:top w:val="none" w:sz="0" w:space="0" w:color="auto"/>
        <w:left w:val="none" w:sz="0" w:space="0" w:color="auto"/>
        <w:bottom w:val="none" w:sz="0" w:space="0" w:color="auto"/>
        <w:right w:val="none" w:sz="0" w:space="0" w:color="auto"/>
      </w:divBdr>
    </w:div>
    <w:div w:id="873005742">
      <w:bodyDiv w:val="1"/>
      <w:marLeft w:val="0"/>
      <w:marRight w:val="0"/>
      <w:marTop w:val="0"/>
      <w:marBottom w:val="0"/>
      <w:divBdr>
        <w:top w:val="none" w:sz="0" w:space="0" w:color="auto"/>
        <w:left w:val="none" w:sz="0" w:space="0" w:color="auto"/>
        <w:bottom w:val="none" w:sz="0" w:space="0" w:color="auto"/>
        <w:right w:val="none" w:sz="0" w:space="0" w:color="auto"/>
      </w:divBdr>
      <w:divsChild>
        <w:div w:id="521092372">
          <w:marLeft w:val="0"/>
          <w:marRight w:val="0"/>
          <w:marTop w:val="0"/>
          <w:marBottom w:val="0"/>
          <w:divBdr>
            <w:top w:val="none" w:sz="0" w:space="0" w:color="auto"/>
            <w:left w:val="none" w:sz="0" w:space="0" w:color="auto"/>
            <w:bottom w:val="none" w:sz="0" w:space="0" w:color="auto"/>
            <w:right w:val="none" w:sz="0" w:space="0" w:color="auto"/>
          </w:divBdr>
          <w:divsChild>
            <w:div w:id="554703034">
              <w:marLeft w:val="0"/>
              <w:marRight w:val="0"/>
              <w:marTop w:val="0"/>
              <w:marBottom w:val="0"/>
              <w:divBdr>
                <w:top w:val="none" w:sz="0" w:space="0" w:color="auto"/>
                <w:left w:val="none" w:sz="0" w:space="0" w:color="auto"/>
                <w:bottom w:val="none" w:sz="0" w:space="0" w:color="auto"/>
                <w:right w:val="none" w:sz="0" w:space="0" w:color="auto"/>
              </w:divBdr>
              <w:divsChild>
                <w:div w:id="6849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7013">
      <w:bodyDiv w:val="1"/>
      <w:marLeft w:val="0"/>
      <w:marRight w:val="0"/>
      <w:marTop w:val="0"/>
      <w:marBottom w:val="0"/>
      <w:divBdr>
        <w:top w:val="none" w:sz="0" w:space="0" w:color="auto"/>
        <w:left w:val="none" w:sz="0" w:space="0" w:color="auto"/>
        <w:bottom w:val="none" w:sz="0" w:space="0" w:color="auto"/>
        <w:right w:val="none" w:sz="0" w:space="0" w:color="auto"/>
      </w:divBdr>
    </w:div>
    <w:div w:id="924463596">
      <w:bodyDiv w:val="1"/>
      <w:marLeft w:val="0"/>
      <w:marRight w:val="0"/>
      <w:marTop w:val="0"/>
      <w:marBottom w:val="0"/>
      <w:divBdr>
        <w:top w:val="none" w:sz="0" w:space="0" w:color="auto"/>
        <w:left w:val="none" w:sz="0" w:space="0" w:color="auto"/>
        <w:bottom w:val="none" w:sz="0" w:space="0" w:color="auto"/>
        <w:right w:val="none" w:sz="0" w:space="0" w:color="auto"/>
      </w:divBdr>
    </w:div>
    <w:div w:id="951976064">
      <w:bodyDiv w:val="1"/>
      <w:marLeft w:val="0"/>
      <w:marRight w:val="0"/>
      <w:marTop w:val="0"/>
      <w:marBottom w:val="0"/>
      <w:divBdr>
        <w:top w:val="none" w:sz="0" w:space="0" w:color="auto"/>
        <w:left w:val="none" w:sz="0" w:space="0" w:color="auto"/>
        <w:bottom w:val="none" w:sz="0" w:space="0" w:color="auto"/>
        <w:right w:val="none" w:sz="0" w:space="0" w:color="auto"/>
      </w:divBdr>
    </w:div>
    <w:div w:id="983892097">
      <w:bodyDiv w:val="1"/>
      <w:marLeft w:val="0"/>
      <w:marRight w:val="0"/>
      <w:marTop w:val="0"/>
      <w:marBottom w:val="0"/>
      <w:divBdr>
        <w:top w:val="none" w:sz="0" w:space="0" w:color="auto"/>
        <w:left w:val="none" w:sz="0" w:space="0" w:color="auto"/>
        <w:bottom w:val="none" w:sz="0" w:space="0" w:color="auto"/>
        <w:right w:val="none" w:sz="0" w:space="0" w:color="auto"/>
      </w:divBdr>
      <w:divsChild>
        <w:div w:id="58286802">
          <w:marLeft w:val="0"/>
          <w:marRight w:val="0"/>
          <w:marTop w:val="0"/>
          <w:marBottom w:val="0"/>
          <w:divBdr>
            <w:top w:val="none" w:sz="0" w:space="0" w:color="auto"/>
            <w:left w:val="none" w:sz="0" w:space="0" w:color="auto"/>
            <w:bottom w:val="none" w:sz="0" w:space="0" w:color="auto"/>
            <w:right w:val="none" w:sz="0" w:space="0" w:color="auto"/>
          </w:divBdr>
          <w:divsChild>
            <w:div w:id="1369990902">
              <w:marLeft w:val="0"/>
              <w:marRight w:val="0"/>
              <w:marTop w:val="0"/>
              <w:marBottom w:val="0"/>
              <w:divBdr>
                <w:top w:val="none" w:sz="0" w:space="0" w:color="auto"/>
                <w:left w:val="none" w:sz="0" w:space="0" w:color="auto"/>
                <w:bottom w:val="none" w:sz="0" w:space="0" w:color="auto"/>
                <w:right w:val="none" w:sz="0" w:space="0" w:color="auto"/>
              </w:divBdr>
              <w:divsChild>
                <w:div w:id="12216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45704">
      <w:bodyDiv w:val="1"/>
      <w:marLeft w:val="0"/>
      <w:marRight w:val="0"/>
      <w:marTop w:val="0"/>
      <w:marBottom w:val="0"/>
      <w:divBdr>
        <w:top w:val="none" w:sz="0" w:space="0" w:color="auto"/>
        <w:left w:val="none" w:sz="0" w:space="0" w:color="auto"/>
        <w:bottom w:val="none" w:sz="0" w:space="0" w:color="auto"/>
        <w:right w:val="none" w:sz="0" w:space="0" w:color="auto"/>
      </w:divBdr>
    </w:div>
    <w:div w:id="1002243923">
      <w:bodyDiv w:val="1"/>
      <w:marLeft w:val="0"/>
      <w:marRight w:val="0"/>
      <w:marTop w:val="0"/>
      <w:marBottom w:val="0"/>
      <w:divBdr>
        <w:top w:val="none" w:sz="0" w:space="0" w:color="auto"/>
        <w:left w:val="none" w:sz="0" w:space="0" w:color="auto"/>
        <w:bottom w:val="none" w:sz="0" w:space="0" w:color="auto"/>
        <w:right w:val="none" w:sz="0" w:space="0" w:color="auto"/>
      </w:divBdr>
      <w:divsChild>
        <w:div w:id="1184398042">
          <w:marLeft w:val="0"/>
          <w:marRight w:val="0"/>
          <w:marTop w:val="0"/>
          <w:marBottom w:val="0"/>
          <w:divBdr>
            <w:top w:val="none" w:sz="0" w:space="0" w:color="auto"/>
            <w:left w:val="none" w:sz="0" w:space="0" w:color="auto"/>
            <w:bottom w:val="none" w:sz="0" w:space="0" w:color="auto"/>
            <w:right w:val="none" w:sz="0" w:space="0" w:color="auto"/>
          </w:divBdr>
          <w:divsChild>
            <w:div w:id="1765998824">
              <w:marLeft w:val="0"/>
              <w:marRight w:val="0"/>
              <w:marTop w:val="0"/>
              <w:marBottom w:val="0"/>
              <w:divBdr>
                <w:top w:val="none" w:sz="0" w:space="0" w:color="auto"/>
                <w:left w:val="none" w:sz="0" w:space="0" w:color="auto"/>
                <w:bottom w:val="none" w:sz="0" w:space="0" w:color="auto"/>
                <w:right w:val="none" w:sz="0" w:space="0" w:color="auto"/>
              </w:divBdr>
              <w:divsChild>
                <w:div w:id="135073439">
                  <w:marLeft w:val="0"/>
                  <w:marRight w:val="0"/>
                  <w:marTop w:val="0"/>
                  <w:marBottom w:val="0"/>
                  <w:divBdr>
                    <w:top w:val="none" w:sz="0" w:space="0" w:color="auto"/>
                    <w:left w:val="none" w:sz="0" w:space="0" w:color="auto"/>
                    <w:bottom w:val="none" w:sz="0" w:space="0" w:color="auto"/>
                    <w:right w:val="none" w:sz="0" w:space="0" w:color="auto"/>
                  </w:divBdr>
                  <w:divsChild>
                    <w:div w:id="10147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22634">
      <w:bodyDiv w:val="1"/>
      <w:marLeft w:val="0"/>
      <w:marRight w:val="0"/>
      <w:marTop w:val="0"/>
      <w:marBottom w:val="0"/>
      <w:divBdr>
        <w:top w:val="none" w:sz="0" w:space="0" w:color="auto"/>
        <w:left w:val="none" w:sz="0" w:space="0" w:color="auto"/>
        <w:bottom w:val="none" w:sz="0" w:space="0" w:color="auto"/>
        <w:right w:val="none" w:sz="0" w:space="0" w:color="auto"/>
      </w:divBdr>
    </w:div>
    <w:div w:id="1016883195">
      <w:bodyDiv w:val="1"/>
      <w:marLeft w:val="0"/>
      <w:marRight w:val="0"/>
      <w:marTop w:val="0"/>
      <w:marBottom w:val="0"/>
      <w:divBdr>
        <w:top w:val="none" w:sz="0" w:space="0" w:color="auto"/>
        <w:left w:val="none" w:sz="0" w:space="0" w:color="auto"/>
        <w:bottom w:val="none" w:sz="0" w:space="0" w:color="auto"/>
        <w:right w:val="none" w:sz="0" w:space="0" w:color="auto"/>
      </w:divBdr>
      <w:divsChild>
        <w:div w:id="576863054">
          <w:marLeft w:val="0"/>
          <w:marRight w:val="0"/>
          <w:marTop w:val="0"/>
          <w:marBottom w:val="0"/>
          <w:divBdr>
            <w:top w:val="none" w:sz="0" w:space="0" w:color="auto"/>
            <w:left w:val="none" w:sz="0" w:space="0" w:color="auto"/>
            <w:bottom w:val="none" w:sz="0" w:space="0" w:color="auto"/>
            <w:right w:val="none" w:sz="0" w:space="0" w:color="auto"/>
          </w:divBdr>
          <w:divsChild>
            <w:div w:id="990208148">
              <w:marLeft w:val="0"/>
              <w:marRight w:val="0"/>
              <w:marTop w:val="0"/>
              <w:marBottom w:val="0"/>
              <w:divBdr>
                <w:top w:val="none" w:sz="0" w:space="0" w:color="auto"/>
                <w:left w:val="none" w:sz="0" w:space="0" w:color="auto"/>
                <w:bottom w:val="none" w:sz="0" w:space="0" w:color="auto"/>
                <w:right w:val="none" w:sz="0" w:space="0" w:color="auto"/>
              </w:divBdr>
              <w:divsChild>
                <w:div w:id="21247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09661">
      <w:bodyDiv w:val="1"/>
      <w:marLeft w:val="0"/>
      <w:marRight w:val="0"/>
      <w:marTop w:val="0"/>
      <w:marBottom w:val="0"/>
      <w:divBdr>
        <w:top w:val="none" w:sz="0" w:space="0" w:color="auto"/>
        <w:left w:val="none" w:sz="0" w:space="0" w:color="auto"/>
        <w:bottom w:val="none" w:sz="0" w:space="0" w:color="auto"/>
        <w:right w:val="none" w:sz="0" w:space="0" w:color="auto"/>
      </w:divBdr>
      <w:divsChild>
        <w:div w:id="261958023">
          <w:marLeft w:val="0"/>
          <w:marRight w:val="0"/>
          <w:marTop w:val="0"/>
          <w:marBottom w:val="0"/>
          <w:divBdr>
            <w:top w:val="none" w:sz="0" w:space="0" w:color="auto"/>
            <w:left w:val="none" w:sz="0" w:space="0" w:color="auto"/>
            <w:bottom w:val="none" w:sz="0" w:space="0" w:color="auto"/>
            <w:right w:val="none" w:sz="0" w:space="0" w:color="auto"/>
          </w:divBdr>
          <w:divsChild>
            <w:div w:id="233199626">
              <w:marLeft w:val="0"/>
              <w:marRight w:val="0"/>
              <w:marTop w:val="0"/>
              <w:marBottom w:val="0"/>
              <w:divBdr>
                <w:top w:val="none" w:sz="0" w:space="0" w:color="auto"/>
                <w:left w:val="none" w:sz="0" w:space="0" w:color="auto"/>
                <w:bottom w:val="none" w:sz="0" w:space="0" w:color="auto"/>
                <w:right w:val="none" w:sz="0" w:space="0" w:color="auto"/>
              </w:divBdr>
              <w:divsChild>
                <w:div w:id="18147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9763">
      <w:bodyDiv w:val="1"/>
      <w:marLeft w:val="0"/>
      <w:marRight w:val="0"/>
      <w:marTop w:val="0"/>
      <w:marBottom w:val="0"/>
      <w:divBdr>
        <w:top w:val="none" w:sz="0" w:space="0" w:color="auto"/>
        <w:left w:val="none" w:sz="0" w:space="0" w:color="auto"/>
        <w:bottom w:val="none" w:sz="0" w:space="0" w:color="auto"/>
        <w:right w:val="none" w:sz="0" w:space="0" w:color="auto"/>
      </w:divBdr>
    </w:div>
    <w:div w:id="1048183413">
      <w:bodyDiv w:val="1"/>
      <w:marLeft w:val="0"/>
      <w:marRight w:val="0"/>
      <w:marTop w:val="0"/>
      <w:marBottom w:val="0"/>
      <w:divBdr>
        <w:top w:val="none" w:sz="0" w:space="0" w:color="auto"/>
        <w:left w:val="none" w:sz="0" w:space="0" w:color="auto"/>
        <w:bottom w:val="none" w:sz="0" w:space="0" w:color="auto"/>
        <w:right w:val="none" w:sz="0" w:space="0" w:color="auto"/>
      </w:divBdr>
    </w:div>
    <w:div w:id="1129666480">
      <w:bodyDiv w:val="1"/>
      <w:marLeft w:val="0"/>
      <w:marRight w:val="0"/>
      <w:marTop w:val="0"/>
      <w:marBottom w:val="0"/>
      <w:divBdr>
        <w:top w:val="none" w:sz="0" w:space="0" w:color="auto"/>
        <w:left w:val="none" w:sz="0" w:space="0" w:color="auto"/>
        <w:bottom w:val="none" w:sz="0" w:space="0" w:color="auto"/>
        <w:right w:val="none" w:sz="0" w:space="0" w:color="auto"/>
      </w:divBdr>
    </w:div>
    <w:div w:id="1141456655">
      <w:bodyDiv w:val="1"/>
      <w:marLeft w:val="0"/>
      <w:marRight w:val="0"/>
      <w:marTop w:val="0"/>
      <w:marBottom w:val="0"/>
      <w:divBdr>
        <w:top w:val="none" w:sz="0" w:space="0" w:color="auto"/>
        <w:left w:val="none" w:sz="0" w:space="0" w:color="auto"/>
        <w:bottom w:val="none" w:sz="0" w:space="0" w:color="auto"/>
        <w:right w:val="none" w:sz="0" w:space="0" w:color="auto"/>
      </w:divBdr>
    </w:div>
    <w:div w:id="1159154137">
      <w:bodyDiv w:val="1"/>
      <w:marLeft w:val="0"/>
      <w:marRight w:val="0"/>
      <w:marTop w:val="0"/>
      <w:marBottom w:val="0"/>
      <w:divBdr>
        <w:top w:val="none" w:sz="0" w:space="0" w:color="auto"/>
        <w:left w:val="none" w:sz="0" w:space="0" w:color="auto"/>
        <w:bottom w:val="none" w:sz="0" w:space="0" w:color="auto"/>
        <w:right w:val="none" w:sz="0" w:space="0" w:color="auto"/>
      </w:divBdr>
    </w:div>
    <w:div w:id="1198203430">
      <w:bodyDiv w:val="1"/>
      <w:marLeft w:val="0"/>
      <w:marRight w:val="0"/>
      <w:marTop w:val="0"/>
      <w:marBottom w:val="0"/>
      <w:divBdr>
        <w:top w:val="none" w:sz="0" w:space="0" w:color="auto"/>
        <w:left w:val="none" w:sz="0" w:space="0" w:color="auto"/>
        <w:bottom w:val="none" w:sz="0" w:space="0" w:color="auto"/>
        <w:right w:val="none" w:sz="0" w:space="0" w:color="auto"/>
      </w:divBdr>
      <w:divsChild>
        <w:div w:id="1594783918">
          <w:marLeft w:val="360"/>
          <w:marRight w:val="0"/>
          <w:marTop w:val="200"/>
          <w:marBottom w:val="0"/>
          <w:divBdr>
            <w:top w:val="none" w:sz="0" w:space="0" w:color="auto"/>
            <w:left w:val="none" w:sz="0" w:space="0" w:color="auto"/>
            <w:bottom w:val="none" w:sz="0" w:space="0" w:color="auto"/>
            <w:right w:val="none" w:sz="0" w:space="0" w:color="auto"/>
          </w:divBdr>
        </w:div>
      </w:divsChild>
    </w:div>
    <w:div w:id="1231502677">
      <w:bodyDiv w:val="1"/>
      <w:marLeft w:val="0"/>
      <w:marRight w:val="0"/>
      <w:marTop w:val="0"/>
      <w:marBottom w:val="0"/>
      <w:divBdr>
        <w:top w:val="none" w:sz="0" w:space="0" w:color="auto"/>
        <w:left w:val="none" w:sz="0" w:space="0" w:color="auto"/>
        <w:bottom w:val="none" w:sz="0" w:space="0" w:color="auto"/>
        <w:right w:val="none" w:sz="0" w:space="0" w:color="auto"/>
      </w:divBdr>
    </w:div>
    <w:div w:id="1253706981">
      <w:bodyDiv w:val="1"/>
      <w:marLeft w:val="0"/>
      <w:marRight w:val="0"/>
      <w:marTop w:val="0"/>
      <w:marBottom w:val="0"/>
      <w:divBdr>
        <w:top w:val="none" w:sz="0" w:space="0" w:color="auto"/>
        <w:left w:val="none" w:sz="0" w:space="0" w:color="auto"/>
        <w:bottom w:val="none" w:sz="0" w:space="0" w:color="auto"/>
        <w:right w:val="none" w:sz="0" w:space="0" w:color="auto"/>
      </w:divBdr>
    </w:div>
    <w:div w:id="1312518938">
      <w:bodyDiv w:val="1"/>
      <w:marLeft w:val="0"/>
      <w:marRight w:val="0"/>
      <w:marTop w:val="0"/>
      <w:marBottom w:val="0"/>
      <w:divBdr>
        <w:top w:val="none" w:sz="0" w:space="0" w:color="auto"/>
        <w:left w:val="none" w:sz="0" w:space="0" w:color="auto"/>
        <w:bottom w:val="none" w:sz="0" w:space="0" w:color="auto"/>
        <w:right w:val="none" w:sz="0" w:space="0" w:color="auto"/>
      </w:divBdr>
      <w:divsChild>
        <w:div w:id="1627196555">
          <w:marLeft w:val="360"/>
          <w:marRight w:val="0"/>
          <w:marTop w:val="200"/>
          <w:marBottom w:val="0"/>
          <w:divBdr>
            <w:top w:val="none" w:sz="0" w:space="0" w:color="auto"/>
            <w:left w:val="none" w:sz="0" w:space="0" w:color="auto"/>
            <w:bottom w:val="none" w:sz="0" w:space="0" w:color="auto"/>
            <w:right w:val="none" w:sz="0" w:space="0" w:color="auto"/>
          </w:divBdr>
        </w:div>
        <w:div w:id="684671018">
          <w:marLeft w:val="360"/>
          <w:marRight w:val="0"/>
          <w:marTop w:val="200"/>
          <w:marBottom w:val="0"/>
          <w:divBdr>
            <w:top w:val="none" w:sz="0" w:space="0" w:color="auto"/>
            <w:left w:val="none" w:sz="0" w:space="0" w:color="auto"/>
            <w:bottom w:val="none" w:sz="0" w:space="0" w:color="auto"/>
            <w:right w:val="none" w:sz="0" w:space="0" w:color="auto"/>
          </w:divBdr>
        </w:div>
        <w:div w:id="63570713">
          <w:marLeft w:val="360"/>
          <w:marRight w:val="0"/>
          <w:marTop w:val="200"/>
          <w:marBottom w:val="0"/>
          <w:divBdr>
            <w:top w:val="none" w:sz="0" w:space="0" w:color="auto"/>
            <w:left w:val="none" w:sz="0" w:space="0" w:color="auto"/>
            <w:bottom w:val="none" w:sz="0" w:space="0" w:color="auto"/>
            <w:right w:val="none" w:sz="0" w:space="0" w:color="auto"/>
          </w:divBdr>
        </w:div>
      </w:divsChild>
    </w:div>
    <w:div w:id="1317344709">
      <w:bodyDiv w:val="1"/>
      <w:marLeft w:val="0"/>
      <w:marRight w:val="0"/>
      <w:marTop w:val="0"/>
      <w:marBottom w:val="0"/>
      <w:divBdr>
        <w:top w:val="none" w:sz="0" w:space="0" w:color="auto"/>
        <w:left w:val="none" w:sz="0" w:space="0" w:color="auto"/>
        <w:bottom w:val="none" w:sz="0" w:space="0" w:color="auto"/>
        <w:right w:val="none" w:sz="0" w:space="0" w:color="auto"/>
      </w:divBdr>
      <w:divsChild>
        <w:div w:id="1623461324">
          <w:marLeft w:val="0"/>
          <w:marRight w:val="0"/>
          <w:marTop w:val="0"/>
          <w:marBottom w:val="0"/>
          <w:divBdr>
            <w:top w:val="none" w:sz="0" w:space="0" w:color="auto"/>
            <w:left w:val="none" w:sz="0" w:space="0" w:color="auto"/>
            <w:bottom w:val="none" w:sz="0" w:space="0" w:color="auto"/>
            <w:right w:val="none" w:sz="0" w:space="0" w:color="auto"/>
          </w:divBdr>
          <w:divsChild>
            <w:div w:id="408619765">
              <w:marLeft w:val="0"/>
              <w:marRight w:val="0"/>
              <w:marTop w:val="0"/>
              <w:marBottom w:val="0"/>
              <w:divBdr>
                <w:top w:val="none" w:sz="0" w:space="0" w:color="auto"/>
                <w:left w:val="none" w:sz="0" w:space="0" w:color="auto"/>
                <w:bottom w:val="none" w:sz="0" w:space="0" w:color="auto"/>
                <w:right w:val="none" w:sz="0" w:space="0" w:color="auto"/>
              </w:divBdr>
              <w:divsChild>
                <w:div w:id="11052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7089">
      <w:bodyDiv w:val="1"/>
      <w:marLeft w:val="0"/>
      <w:marRight w:val="0"/>
      <w:marTop w:val="0"/>
      <w:marBottom w:val="0"/>
      <w:divBdr>
        <w:top w:val="none" w:sz="0" w:space="0" w:color="auto"/>
        <w:left w:val="none" w:sz="0" w:space="0" w:color="auto"/>
        <w:bottom w:val="none" w:sz="0" w:space="0" w:color="auto"/>
        <w:right w:val="none" w:sz="0" w:space="0" w:color="auto"/>
      </w:divBdr>
    </w:div>
    <w:div w:id="1396776277">
      <w:bodyDiv w:val="1"/>
      <w:marLeft w:val="0"/>
      <w:marRight w:val="0"/>
      <w:marTop w:val="0"/>
      <w:marBottom w:val="0"/>
      <w:divBdr>
        <w:top w:val="none" w:sz="0" w:space="0" w:color="auto"/>
        <w:left w:val="none" w:sz="0" w:space="0" w:color="auto"/>
        <w:bottom w:val="none" w:sz="0" w:space="0" w:color="auto"/>
        <w:right w:val="none" w:sz="0" w:space="0" w:color="auto"/>
      </w:divBdr>
      <w:divsChild>
        <w:div w:id="1942562544">
          <w:marLeft w:val="0"/>
          <w:marRight w:val="0"/>
          <w:marTop w:val="0"/>
          <w:marBottom w:val="0"/>
          <w:divBdr>
            <w:top w:val="none" w:sz="0" w:space="0" w:color="auto"/>
            <w:left w:val="none" w:sz="0" w:space="0" w:color="auto"/>
            <w:bottom w:val="none" w:sz="0" w:space="0" w:color="auto"/>
            <w:right w:val="none" w:sz="0" w:space="0" w:color="auto"/>
          </w:divBdr>
          <w:divsChild>
            <w:div w:id="2095978901">
              <w:marLeft w:val="0"/>
              <w:marRight w:val="0"/>
              <w:marTop w:val="0"/>
              <w:marBottom w:val="0"/>
              <w:divBdr>
                <w:top w:val="none" w:sz="0" w:space="0" w:color="auto"/>
                <w:left w:val="none" w:sz="0" w:space="0" w:color="auto"/>
                <w:bottom w:val="none" w:sz="0" w:space="0" w:color="auto"/>
                <w:right w:val="none" w:sz="0" w:space="0" w:color="auto"/>
              </w:divBdr>
              <w:divsChild>
                <w:div w:id="876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8783">
      <w:bodyDiv w:val="1"/>
      <w:marLeft w:val="0"/>
      <w:marRight w:val="0"/>
      <w:marTop w:val="0"/>
      <w:marBottom w:val="0"/>
      <w:divBdr>
        <w:top w:val="none" w:sz="0" w:space="0" w:color="auto"/>
        <w:left w:val="none" w:sz="0" w:space="0" w:color="auto"/>
        <w:bottom w:val="none" w:sz="0" w:space="0" w:color="auto"/>
        <w:right w:val="none" w:sz="0" w:space="0" w:color="auto"/>
      </w:divBdr>
      <w:divsChild>
        <w:div w:id="1540048556">
          <w:marLeft w:val="0"/>
          <w:marRight w:val="0"/>
          <w:marTop w:val="0"/>
          <w:marBottom w:val="0"/>
          <w:divBdr>
            <w:top w:val="none" w:sz="0" w:space="0" w:color="auto"/>
            <w:left w:val="none" w:sz="0" w:space="0" w:color="auto"/>
            <w:bottom w:val="none" w:sz="0" w:space="0" w:color="auto"/>
            <w:right w:val="none" w:sz="0" w:space="0" w:color="auto"/>
          </w:divBdr>
          <w:divsChild>
            <w:div w:id="284043039">
              <w:marLeft w:val="0"/>
              <w:marRight w:val="0"/>
              <w:marTop w:val="0"/>
              <w:marBottom w:val="0"/>
              <w:divBdr>
                <w:top w:val="none" w:sz="0" w:space="0" w:color="auto"/>
                <w:left w:val="none" w:sz="0" w:space="0" w:color="auto"/>
                <w:bottom w:val="none" w:sz="0" w:space="0" w:color="auto"/>
                <w:right w:val="none" w:sz="0" w:space="0" w:color="auto"/>
              </w:divBdr>
              <w:divsChild>
                <w:div w:id="14222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7295">
      <w:bodyDiv w:val="1"/>
      <w:marLeft w:val="0"/>
      <w:marRight w:val="0"/>
      <w:marTop w:val="0"/>
      <w:marBottom w:val="0"/>
      <w:divBdr>
        <w:top w:val="none" w:sz="0" w:space="0" w:color="auto"/>
        <w:left w:val="none" w:sz="0" w:space="0" w:color="auto"/>
        <w:bottom w:val="none" w:sz="0" w:space="0" w:color="auto"/>
        <w:right w:val="none" w:sz="0" w:space="0" w:color="auto"/>
      </w:divBdr>
    </w:div>
    <w:div w:id="1503928781">
      <w:bodyDiv w:val="1"/>
      <w:marLeft w:val="0"/>
      <w:marRight w:val="0"/>
      <w:marTop w:val="0"/>
      <w:marBottom w:val="0"/>
      <w:divBdr>
        <w:top w:val="none" w:sz="0" w:space="0" w:color="auto"/>
        <w:left w:val="none" w:sz="0" w:space="0" w:color="auto"/>
        <w:bottom w:val="none" w:sz="0" w:space="0" w:color="auto"/>
        <w:right w:val="none" w:sz="0" w:space="0" w:color="auto"/>
      </w:divBdr>
    </w:div>
    <w:div w:id="1541287425">
      <w:bodyDiv w:val="1"/>
      <w:marLeft w:val="0"/>
      <w:marRight w:val="0"/>
      <w:marTop w:val="0"/>
      <w:marBottom w:val="0"/>
      <w:divBdr>
        <w:top w:val="none" w:sz="0" w:space="0" w:color="auto"/>
        <w:left w:val="none" w:sz="0" w:space="0" w:color="auto"/>
        <w:bottom w:val="none" w:sz="0" w:space="0" w:color="auto"/>
        <w:right w:val="none" w:sz="0" w:space="0" w:color="auto"/>
      </w:divBdr>
    </w:div>
    <w:div w:id="1543593917">
      <w:bodyDiv w:val="1"/>
      <w:marLeft w:val="0"/>
      <w:marRight w:val="0"/>
      <w:marTop w:val="0"/>
      <w:marBottom w:val="0"/>
      <w:divBdr>
        <w:top w:val="none" w:sz="0" w:space="0" w:color="auto"/>
        <w:left w:val="none" w:sz="0" w:space="0" w:color="auto"/>
        <w:bottom w:val="none" w:sz="0" w:space="0" w:color="auto"/>
        <w:right w:val="none" w:sz="0" w:space="0" w:color="auto"/>
      </w:divBdr>
    </w:div>
    <w:div w:id="1548487368">
      <w:bodyDiv w:val="1"/>
      <w:marLeft w:val="0"/>
      <w:marRight w:val="0"/>
      <w:marTop w:val="0"/>
      <w:marBottom w:val="0"/>
      <w:divBdr>
        <w:top w:val="none" w:sz="0" w:space="0" w:color="auto"/>
        <w:left w:val="none" w:sz="0" w:space="0" w:color="auto"/>
        <w:bottom w:val="none" w:sz="0" w:space="0" w:color="auto"/>
        <w:right w:val="none" w:sz="0" w:space="0" w:color="auto"/>
      </w:divBdr>
      <w:divsChild>
        <w:div w:id="380448947">
          <w:marLeft w:val="0"/>
          <w:marRight w:val="0"/>
          <w:marTop w:val="0"/>
          <w:marBottom w:val="0"/>
          <w:divBdr>
            <w:top w:val="none" w:sz="0" w:space="0" w:color="auto"/>
            <w:left w:val="none" w:sz="0" w:space="0" w:color="auto"/>
            <w:bottom w:val="none" w:sz="0" w:space="0" w:color="auto"/>
            <w:right w:val="none" w:sz="0" w:space="0" w:color="auto"/>
          </w:divBdr>
          <w:divsChild>
            <w:div w:id="671225388">
              <w:marLeft w:val="0"/>
              <w:marRight w:val="0"/>
              <w:marTop w:val="0"/>
              <w:marBottom w:val="0"/>
              <w:divBdr>
                <w:top w:val="none" w:sz="0" w:space="0" w:color="auto"/>
                <w:left w:val="none" w:sz="0" w:space="0" w:color="auto"/>
                <w:bottom w:val="none" w:sz="0" w:space="0" w:color="auto"/>
                <w:right w:val="none" w:sz="0" w:space="0" w:color="auto"/>
              </w:divBdr>
              <w:divsChild>
                <w:div w:id="16447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5020">
      <w:bodyDiv w:val="1"/>
      <w:marLeft w:val="0"/>
      <w:marRight w:val="0"/>
      <w:marTop w:val="0"/>
      <w:marBottom w:val="0"/>
      <w:divBdr>
        <w:top w:val="none" w:sz="0" w:space="0" w:color="auto"/>
        <w:left w:val="none" w:sz="0" w:space="0" w:color="auto"/>
        <w:bottom w:val="none" w:sz="0" w:space="0" w:color="auto"/>
        <w:right w:val="none" w:sz="0" w:space="0" w:color="auto"/>
      </w:divBdr>
      <w:divsChild>
        <w:div w:id="342979214">
          <w:marLeft w:val="0"/>
          <w:marRight w:val="0"/>
          <w:marTop w:val="0"/>
          <w:marBottom w:val="0"/>
          <w:divBdr>
            <w:top w:val="none" w:sz="0" w:space="0" w:color="auto"/>
            <w:left w:val="none" w:sz="0" w:space="0" w:color="auto"/>
            <w:bottom w:val="none" w:sz="0" w:space="0" w:color="auto"/>
            <w:right w:val="none" w:sz="0" w:space="0" w:color="auto"/>
          </w:divBdr>
          <w:divsChild>
            <w:div w:id="1283270733">
              <w:marLeft w:val="0"/>
              <w:marRight w:val="0"/>
              <w:marTop w:val="0"/>
              <w:marBottom w:val="0"/>
              <w:divBdr>
                <w:top w:val="none" w:sz="0" w:space="0" w:color="auto"/>
                <w:left w:val="none" w:sz="0" w:space="0" w:color="auto"/>
                <w:bottom w:val="none" w:sz="0" w:space="0" w:color="auto"/>
                <w:right w:val="none" w:sz="0" w:space="0" w:color="auto"/>
              </w:divBdr>
              <w:divsChild>
                <w:div w:id="1567497870">
                  <w:marLeft w:val="0"/>
                  <w:marRight w:val="0"/>
                  <w:marTop w:val="0"/>
                  <w:marBottom w:val="0"/>
                  <w:divBdr>
                    <w:top w:val="none" w:sz="0" w:space="0" w:color="auto"/>
                    <w:left w:val="none" w:sz="0" w:space="0" w:color="auto"/>
                    <w:bottom w:val="none" w:sz="0" w:space="0" w:color="auto"/>
                    <w:right w:val="none" w:sz="0" w:space="0" w:color="auto"/>
                  </w:divBdr>
                  <w:divsChild>
                    <w:div w:id="21406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368824">
      <w:bodyDiv w:val="1"/>
      <w:marLeft w:val="0"/>
      <w:marRight w:val="0"/>
      <w:marTop w:val="0"/>
      <w:marBottom w:val="0"/>
      <w:divBdr>
        <w:top w:val="none" w:sz="0" w:space="0" w:color="auto"/>
        <w:left w:val="none" w:sz="0" w:space="0" w:color="auto"/>
        <w:bottom w:val="none" w:sz="0" w:space="0" w:color="auto"/>
        <w:right w:val="none" w:sz="0" w:space="0" w:color="auto"/>
      </w:divBdr>
      <w:divsChild>
        <w:div w:id="1777141910">
          <w:marLeft w:val="0"/>
          <w:marRight w:val="0"/>
          <w:marTop w:val="0"/>
          <w:marBottom w:val="0"/>
          <w:divBdr>
            <w:top w:val="none" w:sz="0" w:space="0" w:color="auto"/>
            <w:left w:val="none" w:sz="0" w:space="0" w:color="auto"/>
            <w:bottom w:val="none" w:sz="0" w:space="0" w:color="auto"/>
            <w:right w:val="none" w:sz="0" w:space="0" w:color="auto"/>
          </w:divBdr>
          <w:divsChild>
            <w:div w:id="1980110579">
              <w:marLeft w:val="0"/>
              <w:marRight w:val="0"/>
              <w:marTop w:val="0"/>
              <w:marBottom w:val="0"/>
              <w:divBdr>
                <w:top w:val="none" w:sz="0" w:space="0" w:color="auto"/>
                <w:left w:val="none" w:sz="0" w:space="0" w:color="auto"/>
                <w:bottom w:val="none" w:sz="0" w:space="0" w:color="auto"/>
                <w:right w:val="none" w:sz="0" w:space="0" w:color="auto"/>
              </w:divBdr>
              <w:divsChild>
                <w:div w:id="18578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7340">
      <w:bodyDiv w:val="1"/>
      <w:marLeft w:val="0"/>
      <w:marRight w:val="0"/>
      <w:marTop w:val="0"/>
      <w:marBottom w:val="0"/>
      <w:divBdr>
        <w:top w:val="none" w:sz="0" w:space="0" w:color="auto"/>
        <w:left w:val="none" w:sz="0" w:space="0" w:color="auto"/>
        <w:bottom w:val="none" w:sz="0" w:space="0" w:color="auto"/>
        <w:right w:val="none" w:sz="0" w:space="0" w:color="auto"/>
      </w:divBdr>
      <w:divsChild>
        <w:div w:id="506478188">
          <w:marLeft w:val="360"/>
          <w:marRight w:val="0"/>
          <w:marTop w:val="200"/>
          <w:marBottom w:val="0"/>
          <w:divBdr>
            <w:top w:val="none" w:sz="0" w:space="0" w:color="auto"/>
            <w:left w:val="none" w:sz="0" w:space="0" w:color="auto"/>
            <w:bottom w:val="none" w:sz="0" w:space="0" w:color="auto"/>
            <w:right w:val="none" w:sz="0" w:space="0" w:color="auto"/>
          </w:divBdr>
        </w:div>
      </w:divsChild>
    </w:div>
    <w:div w:id="1586181828">
      <w:bodyDiv w:val="1"/>
      <w:marLeft w:val="0"/>
      <w:marRight w:val="0"/>
      <w:marTop w:val="0"/>
      <w:marBottom w:val="0"/>
      <w:divBdr>
        <w:top w:val="none" w:sz="0" w:space="0" w:color="auto"/>
        <w:left w:val="none" w:sz="0" w:space="0" w:color="auto"/>
        <w:bottom w:val="none" w:sz="0" w:space="0" w:color="auto"/>
        <w:right w:val="none" w:sz="0" w:space="0" w:color="auto"/>
      </w:divBdr>
      <w:divsChild>
        <w:div w:id="622466352">
          <w:marLeft w:val="360"/>
          <w:marRight w:val="0"/>
          <w:marTop w:val="200"/>
          <w:marBottom w:val="0"/>
          <w:divBdr>
            <w:top w:val="none" w:sz="0" w:space="0" w:color="auto"/>
            <w:left w:val="none" w:sz="0" w:space="0" w:color="auto"/>
            <w:bottom w:val="none" w:sz="0" w:space="0" w:color="auto"/>
            <w:right w:val="none" w:sz="0" w:space="0" w:color="auto"/>
          </w:divBdr>
        </w:div>
      </w:divsChild>
    </w:div>
    <w:div w:id="1602294412">
      <w:bodyDiv w:val="1"/>
      <w:marLeft w:val="0"/>
      <w:marRight w:val="0"/>
      <w:marTop w:val="0"/>
      <w:marBottom w:val="0"/>
      <w:divBdr>
        <w:top w:val="none" w:sz="0" w:space="0" w:color="auto"/>
        <w:left w:val="none" w:sz="0" w:space="0" w:color="auto"/>
        <w:bottom w:val="none" w:sz="0" w:space="0" w:color="auto"/>
        <w:right w:val="none" w:sz="0" w:space="0" w:color="auto"/>
      </w:divBdr>
    </w:div>
    <w:div w:id="1619296143">
      <w:bodyDiv w:val="1"/>
      <w:marLeft w:val="0"/>
      <w:marRight w:val="0"/>
      <w:marTop w:val="0"/>
      <w:marBottom w:val="0"/>
      <w:divBdr>
        <w:top w:val="none" w:sz="0" w:space="0" w:color="auto"/>
        <w:left w:val="none" w:sz="0" w:space="0" w:color="auto"/>
        <w:bottom w:val="none" w:sz="0" w:space="0" w:color="auto"/>
        <w:right w:val="none" w:sz="0" w:space="0" w:color="auto"/>
      </w:divBdr>
      <w:divsChild>
        <w:div w:id="1052578019">
          <w:marLeft w:val="0"/>
          <w:marRight w:val="0"/>
          <w:marTop w:val="0"/>
          <w:marBottom w:val="0"/>
          <w:divBdr>
            <w:top w:val="none" w:sz="0" w:space="0" w:color="auto"/>
            <w:left w:val="none" w:sz="0" w:space="0" w:color="auto"/>
            <w:bottom w:val="none" w:sz="0" w:space="0" w:color="auto"/>
            <w:right w:val="none" w:sz="0" w:space="0" w:color="auto"/>
          </w:divBdr>
          <w:divsChild>
            <w:div w:id="865217998">
              <w:marLeft w:val="0"/>
              <w:marRight w:val="0"/>
              <w:marTop w:val="0"/>
              <w:marBottom w:val="0"/>
              <w:divBdr>
                <w:top w:val="none" w:sz="0" w:space="0" w:color="auto"/>
                <w:left w:val="none" w:sz="0" w:space="0" w:color="auto"/>
                <w:bottom w:val="none" w:sz="0" w:space="0" w:color="auto"/>
                <w:right w:val="none" w:sz="0" w:space="0" w:color="auto"/>
              </w:divBdr>
              <w:divsChild>
                <w:div w:id="706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8129">
      <w:bodyDiv w:val="1"/>
      <w:marLeft w:val="0"/>
      <w:marRight w:val="0"/>
      <w:marTop w:val="0"/>
      <w:marBottom w:val="0"/>
      <w:divBdr>
        <w:top w:val="none" w:sz="0" w:space="0" w:color="auto"/>
        <w:left w:val="none" w:sz="0" w:space="0" w:color="auto"/>
        <w:bottom w:val="none" w:sz="0" w:space="0" w:color="auto"/>
        <w:right w:val="none" w:sz="0" w:space="0" w:color="auto"/>
      </w:divBdr>
    </w:div>
    <w:div w:id="1663073179">
      <w:bodyDiv w:val="1"/>
      <w:marLeft w:val="0"/>
      <w:marRight w:val="0"/>
      <w:marTop w:val="0"/>
      <w:marBottom w:val="0"/>
      <w:divBdr>
        <w:top w:val="none" w:sz="0" w:space="0" w:color="auto"/>
        <w:left w:val="none" w:sz="0" w:space="0" w:color="auto"/>
        <w:bottom w:val="none" w:sz="0" w:space="0" w:color="auto"/>
        <w:right w:val="none" w:sz="0" w:space="0" w:color="auto"/>
      </w:divBdr>
      <w:divsChild>
        <w:div w:id="946739046">
          <w:marLeft w:val="360"/>
          <w:marRight w:val="0"/>
          <w:marTop w:val="200"/>
          <w:marBottom w:val="0"/>
          <w:divBdr>
            <w:top w:val="none" w:sz="0" w:space="0" w:color="auto"/>
            <w:left w:val="none" w:sz="0" w:space="0" w:color="auto"/>
            <w:bottom w:val="none" w:sz="0" w:space="0" w:color="auto"/>
            <w:right w:val="none" w:sz="0" w:space="0" w:color="auto"/>
          </w:divBdr>
        </w:div>
        <w:div w:id="94979356">
          <w:marLeft w:val="1080"/>
          <w:marRight w:val="0"/>
          <w:marTop w:val="100"/>
          <w:marBottom w:val="0"/>
          <w:divBdr>
            <w:top w:val="none" w:sz="0" w:space="0" w:color="auto"/>
            <w:left w:val="none" w:sz="0" w:space="0" w:color="auto"/>
            <w:bottom w:val="none" w:sz="0" w:space="0" w:color="auto"/>
            <w:right w:val="none" w:sz="0" w:space="0" w:color="auto"/>
          </w:divBdr>
        </w:div>
        <w:div w:id="1091967096">
          <w:marLeft w:val="360"/>
          <w:marRight w:val="0"/>
          <w:marTop w:val="200"/>
          <w:marBottom w:val="0"/>
          <w:divBdr>
            <w:top w:val="none" w:sz="0" w:space="0" w:color="auto"/>
            <w:left w:val="none" w:sz="0" w:space="0" w:color="auto"/>
            <w:bottom w:val="none" w:sz="0" w:space="0" w:color="auto"/>
            <w:right w:val="none" w:sz="0" w:space="0" w:color="auto"/>
          </w:divBdr>
        </w:div>
        <w:div w:id="862288273">
          <w:marLeft w:val="360"/>
          <w:marRight w:val="0"/>
          <w:marTop w:val="200"/>
          <w:marBottom w:val="0"/>
          <w:divBdr>
            <w:top w:val="none" w:sz="0" w:space="0" w:color="auto"/>
            <w:left w:val="none" w:sz="0" w:space="0" w:color="auto"/>
            <w:bottom w:val="none" w:sz="0" w:space="0" w:color="auto"/>
            <w:right w:val="none" w:sz="0" w:space="0" w:color="auto"/>
          </w:divBdr>
        </w:div>
        <w:div w:id="624774935">
          <w:marLeft w:val="360"/>
          <w:marRight w:val="0"/>
          <w:marTop w:val="200"/>
          <w:marBottom w:val="0"/>
          <w:divBdr>
            <w:top w:val="none" w:sz="0" w:space="0" w:color="auto"/>
            <w:left w:val="none" w:sz="0" w:space="0" w:color="auto"/>
            <w:bottom w:val="none" w:sz="0" w:space="0" w:color="auto"/>
            <w:right w:val="none" w:sz="0" w:space="0" w:color="auto"/>
          </w:divBdr>
        </w:div>
        <w:div w:id="1999727411">
          <w:marLeft w:val="360"/>
          <w:marRight w:val="0"/>
          <w:marTop w:val="200"/>
          <w:marBottom w:val="0"/>
          <w:divBdr>
            <w:top w:val="none" w:sz="0" w:space="0" w:color="auto"/>
            <w:left w:val="none" w:sz="0" w:space="0" w:color="auto"/>
            <w:bottom w:val="none" w:sz="0" w:space="0" w:color="auto"/>
            <w:right w:val="none" w:sz="0" w:space="0" w:color="auto"/>
          </w:divBdr>
        </w:div>
        <w:div w:id="491675420">
          <w:marLeft w:val="360"/>
          <w:marRight w:val="0"/>
          <w:marTop w:val="200"/>
          <w:marBottom w:val="0"/>
          <w:divBdr>
            <w:top w:val="none" w:sz="0" w:space="0" w:color="auto"/>
            <w:left w:val="none" w:sz="0" w:space="0" w:color="auto"/>
            <w:bottom w:val="none" w:sz="0" w:space="0" w:color="auto"/>
            <w:right w:val="none" w:sz="0" w:space="0" w:color="auto"/>
          </w:divBdr>
        </w:div>
      </w:divsChild>
    </w:div>
    <w:div w:id="1692220171">
      <w:bodyDiv w:val="1"/>
      <w:marLeft w:val="0"/>
      <w:marRight w:val="0"/>
      <w:marTop w:val="0"/>
      <w:marBottom w:val="0"/>
      <w:divBdr>
        <w:top w:val="none" w:sz="0" w:space="0" w:color="auto"/>
        <w:left w:val="none" w:sz="0" w:space="0" w:color="auto"/>
        <w:bottom w:val="none" w:sz="0" w:space="0" w:color="auto"/>
        <w:right w:val="none" w:sz="0" w:space="0" w:color="auto"/>
      </w:divBdr>
      <w:divsChild>
        <w:div w:id="120613311">
          <w:marLeft w:val="0"/>
          <w:marRight w:val="0"/>
          <w:marTop w:val="0"/>
          <w:marBottom w:val="0"/>
          <w:divBdr>
            <w:top w:val="none" w:sz="0" w:space="0" w:color="auto"/>
            <w:left w:val="none" w:sz="0" w:space="0" w:color="auto"/>
            <w:bottom w:val="none" w:sz="0" w:space="0" w:color="auto"/>
            <w:right w:val="none" w:sz="0" w:space="0" w:color="auto"/>
          </w:divBdr>
          <w:divsChild>
            <w:div w:id="693112099">
              <w:marLeft w:val="0"/>
              <w:marRight w:val="0"/>
              <w:marTop w:val="0"/>
              <w:marBottom w:val="0"/>
              <w:divBdr>
                <w:top w:val="none" w:sz="0" w:space="0" w:color="auto"/>
                <w:left w:val="none" w:sz="0" w:space="0" w:color="auto"/>
                <w:bottom w:val="none" w:sz="0" w:space="0" w:color="auto"/>
                <w:right w:val="none" w:sz="0" w:space="0" w:color="auto"/>
              </w:divBdr>
              <w:divsChild>
                <w:div w:id="21002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3711">
      <w:bodyDiv w:val="1"/>
      <w:marLeft w:val="0"/>
      <w:marRight w:val="0"/>
      <w:marTop w:val="0"/>
      <w:marBottom w:val="0"/>
      <w:divBdr>
        <w:top w:val="none" w:sz="0" w:space="0" w:color="auto"/>
        <w:left w:val="none" w:sz="0" w:space="0" w:color="auto"/>
        <w:bottom w:val="none" w:sz="0" w:space="0" w:color="auto"/>
        <w:right w:val="none" w:sz="0" w:space="0" w:color="auto"/>
      </w:divBdr>
    </w:div>
    <w:div w:id="1740781718">
      <w:bodyDiv w:val="1"/>
      <w:marLeft w:val="0"/>
      <w:marRight w:val="0"/>
      <w:marTop w:val="0"/>
      <w:marBottom w:val="0"/>
      <w:divBdr>
        <w:top w:val="none" w:sz="0" w:space="0" w:color="auto"/>
        <w:left w:val="none" w:sz="0" w:space="0" w:color="auto"/>
        <w:bottom w:val="none" w:sz="0" w:space="0" w:color="auto"/>
        <w:right w:val="none" w:sz="0" w:space="0" w:color="auto"/>
      </w:divBdr>
      <w:divsChild>
        <w:div w:id="294332254">
          <w:marLeft w:val="0"/>
          <w:marRight w:val="0"/>
          <w:marTop w:val="0"/>
          <w:marBottom w:val="0"/>
          <w:divBdr>
            <w:top w:val="none" w:sz="0" w:space="0" w:color="auto"/>
            <w:left w:val="none" w:sz="0" w:space="0" w:color="auto"/>
            <w:bottom w:val="none" w:sz="0" w:space="0" w:color="auto"/>
            <w:right w:val="none" w:sz="0" w:space="0" w:color="auto"/>
          </w:divBdr>
          <w:divsChild>
            <w:div w:id="62333977">
              <w:marLeft w:val="0"/>
              <w:marRight w:val="0"/>
              <w:marTop w:val="0"/>
              <w:marBottom w:val="0"/>
              <w:divBdr>
                <w:top w:val="none" w:sz="0" w:space="0" w:color="auto"/>
                <w:left w:val="none" w:sz="0" w:space="0" w:color="auto"/>
                <w:bottom w:val="none" w:sz="0" w:space="0" w:color="auto"/>
                <w:right w:val="none" w:sz="0" w:space="0" w:color="auto"/>
              </w:divBdr>
              <w:divsChild>
                <w:div w:id="1111434913">
                  <w:marLeft w:val="0"/>
                  <w:marRight w:val="0"/>
                  <w:marTop w:val="0"/>
                  <w:marBottom w:val="0"/>
                  <w:divBdr>
                    <w:top w:val="none" w:sz="0" w:space="0" w:color="auto"/>
                    <w:left w:val="none" w:sz="0" w:space="0" w:color="auto"/>
                    <w:bottom w:val="none" w:sz="0" w:space="0" w:color="auto"/>
                    <w:right w:val="none" w:sz="0" w:space="0" w:color="auto"/>
                  </w:divBdr>
                </w:div>
              </w:divsChild>
            </w:div>
            <w:div w:id="1093665050">
              <w:marLeft w:val="0"/>
              <w:marRight w:val="0"/>
              <w:marTop w:val="0"/>
              <w:marBottom w:val="0"/>
              <w:divBdr>
                <w:top w:val="none" w:sz="0" w:space="0" w:color="auto"/>
                <w:left w:val="none" w:sz="0" w:space="0" w:color="auto"/>
                <w:bottom w:val="none" w:sz="0" w:space="0" w:color="auto"/>
                <w:right w:val="none" w:sz="0" w:space="0" w:color="auto"/>
              </w:divBdr>
              <w:divsChild>
                <w:div w:id="1893619089">
                  <w:marLeft w:val="0"/>
                  <w:marRight w:val="0"/>
                  <w:marTop w:val="0"/>
                  <w:marBottom w:val="0"/>
                  <w:divBdr>
                    <w:top w:val="none" w:sz="0" w:space="0" w:color="auto"/>
                    <w:left w:val="none" w:sz="0" w:space="0" w:color="auto"/>
                    <w:bottom w:val="none" w:sz="0" w:space="0" w:color="auto"/>
                    <w:right w:val="none" w:sz="0" w:space="0" w:color="auto"/>
                  </w:divBdr>
                </w:div>
              </w:divsChild>
            </w:div>
            <w:div w:id="258415278">
              <w:marLeft w:val="0"/>
              <w:marRight w:val="0"/>
              <w:marTop w:val="0"/>
              <w:marBottom w:val="0"/>
              <w:divBdr>
                <w:top w:val="none" w:sz="0" w:space="0" w:color="auto"/>
                <w:left w:val="none" w:sz="0" w:space="0" w:color="auto"/>
                <w:bottom w:val="none" w:sz="0" w:space="0" w:color="auto"/>
                <w:right w:val="none" w:sz="0" w:space="0" w:color="auto"/>
              </w:divBdr>
              <w:divsChild>
                <w:div w:id="14623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62800">
      <w:bodyDiv w:val="1"/>
      <w:marLeft w:val="0"/>
      <w:marRight w:val="0"/>
      <w:marTop w:val="0"/>
      <w:marBottom w:val="0"/>
      <w:divBdr>
        <w:top w:val="none" w:sz="0" w:space="0" w:color="auto"/>
        <w:left w:val="none" w:sz="0" w:space="0" w:color="auto"/>
        <w:bottom w:val="none" w:sz="0" w:space="0" w:color="auto"/>
        <w:right w:val="none" w:sz="0" w:space="0" w:color="auto"/>
      </w:divBdr>
      <w:divsChild>
        <w:div w:id="1978339932">
          <w:marLeft w:val="0"/>
          <w:marRight w:val="0"/>
          <w:marTop w:val="0"/>
          <w:marBottom w:val="0"/>
          <w:divBdr>
            <w:top w:val="none" w:sz="0" w:space="0" w:color="auto"/>
            <w:left w:val="none" w:sz="0" w:space="0" w:color="auto"/>
            <w:bottom w:val="none" w:sz="0" w:space="0" w:color="auto"/>
            <w:right w:val="none" w:sz="0" w:space="0" w:color="auto"/>
          </w:divBdr>
          <w:divsChild>
            <w:div w:id="198058433">
              <w:marLeft w:val="0"/>
              <w:marRight w:val="0"/>
              <w:marTop w:val="0"/>
              <w:marBottom w:val="0"/>
              <w:divBdr>
                <w:top w:val="none" w:sz="0" w:space="0" w:color="auto"/>
                <w:left w:val="none" w:sz="0" w:space="0" w:color="auto"/>
                <w:bottom w:val="none" w:sz="0" w:space="0" w:color="auto"/>
                <w:right w:val="none" w:sz="0" w:space="0" w:color="auto"/>
              </w:divBdr>
              <w:divsChild>
                <w:div w:id="2193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0628">
      <w:bodyDiv w:val="1"/>
      <w:marLeft w:val="0"/>
      <w:marRight w:val="0"/>
      <w:marTop w:val="0"/>
      <w:marBottom w:val="0"/>
      <w:divBdr>
        <w:top w:val="none" w:sz="0" w:space="0" w:color="auto"/>
        <w:left w:val="none" w:sz="0" w:space="0" w:color="auto"/>
        <w:bottom w:val="none" w:sz="0" w:space="0" w:color="auto"/>
        <w:right w:val="none" w:sz="0" w:space="0" w:color="auto"/>
      </w:divBdr>
    </w:div>
    <w:div w:id="1848057481">
      <w:bodyDiv w:val="1"/>
      <w:marLeft w:val="0"/>
      <w:marRight w:val="0"/>
      <w:marTop w:val="0"/>
      <w:marBottom w:val="0"/>
      <w:divBdr>
        <w:top w:val="none" w:sz="0" w:space="0" w:color="auto"/>
        <w:left w:val="none" w:sz="0" w:space="0" w:color="auto"/>
        <w:bottom w:val="none" w:sz="0" w:space="0" w:color="auto"/>
        <w:right w:val="none" w:sz="0" w:space="0" w:color="auto"/>
      </w:divBdr>
    </w:div>
    <w:div w:id="1851291158">
      <w:bodyDiv w:val="1"/>
      <w:marLeft w:val="0"/>
      <w:marRight w:val="0"/>
      <w:marTop w:val="0"/>
      <w:marBottom w:val="0"/>
      <w:divBdr>
        <w:top w:val="none" w:sz="0" w:space="0" w:color="auto"/>
        <w:left w:val="none" w:sz="0" w:space="0" w:color="auto"/>
        <w:bottom w:val="none" w:sz="0" w:space="0" w:color="auto"/>
        <w:right w:val="none" w:sz="0" w:space="0" w:color="auto"/>
      </w:divBdr>
    </w:div>
    <w:div w:id="1858613804">
      <w:bodyDiv w:val="1"/>
      <w:marLeft w:val="0"/>
      <w:marRight w:val="0"/>
      <w:marTop w:val="0"/>
      <w:marBottom w:val="0"/>
      <w:divBdr>
        <w:top w:val="none" w:sz="0" w:space="0" w:color="auto"/>
        <w:left w:val="none" w:sz="0" w:space="0" w:color="auto"/>
        <w:bottom w:val="none" w:sz="0" w:space="0" w:color="auto"/>
        <w:right w:val="none" w:sz="0" w:space="0" w:color="auto"/>
      </w:divBdr>
      <w:divsChild>
        <w:div w:id="1326661666">
          <w:marLeft w:val="0"/>
          <w:marRight w:val="0"/>
          <w:marTop w:val="0"/>
          <w:marBottom w:val="0"/>
          <w:divBdr>
            <w:top w:val="none" w:sz="0" w:space="0" w:color="auto"/>
            <w:left w:val="none" w:sz="0" w:space="0" w:color="auto"/>
            <w:bottom w:val="none" w:sz="0" w:space="0" w:color="auto"/>
            <w:right w:val="none" w:sz="0" w:space="0" w:color="auto"/>
          </w:divBdr>
          <w:divsChild>
            <w:div w:id="245841593">
              <w:marLeft w:val="0"/>
              <w:marRight w:val="0"/>
              <w:marTop w:val="0"/>
              <w:marBottom w:val="0"/>
              <w:divBdr>
                <w:top w:val="none" w:sz="0" w:space="0" w:color="auto"/>
                <w:left w:val="none" w:sz="0" w:space="0" w:color="auto"/>
                <w:bottom w:val="none" w:sz="0" w:space="0" w:color="auto"/>
                <w:right w:val="none" w:sz="0" w:space="0" w:color="auto"/>
              </w:divBdr>
              <w:divsChild>
                <w:div w:id="7782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24805">
      <w:bodyDiv w:val="1"/>
      <w:marLeft w:val="0"/>
      <w:marRight w:val="0"/>
      <w:marTop w:val="0"/>
      <w:marBottom w:val="0"/>
      <w:divBdr>
        <w:top w:val="none" w:sz="0" w:space="0" w:color="auto"/>
        <w:left w:val="none" w:sz="0" w:space="0" w:color="auto"/>
        <w:bottom w:val="none" w:sz="0" w:space="0" w:color="auto"/>
        <w:right w:val="none" w:sz="0" w:space="0" w:color="auto"/>
      </w:divBdr>
      <w:divsChild>
        <w:div w:id="1409032154">
          <w:marLeft w:val="0"/>
          <w:marRight w:val="0"/>
          <w:marTop w:val="0"/>
          <w:marBottom w:val="0"/>
          <w:divBdr>
            <w:top w:val="none" w:sz="0" w:space="0" w:color="auto"/>
            <w:left w:val="none" w:sz="0" w:space="0" w:color="auto"/>
            <w:bottom w:val="none" w:sz="0" w:space="0" w:color="auto"/>
            <w:right w:val="none" w:sz="0" w:space="0" w:color="auto"/>
          </w:divBdr>
          <w:divsChild>
            <w:div w:id="876283933">
              <w:marLeft w:val="0"/>
              <w:marRight w:val="0"/>
              <w:marTop w:val="0"/>
              <w:marBottom w:val="0"/>
              <w:divBdr>
                <w:top w:val="none" w:sz="0" w:space="0" w:color="auto"/>
                <w:left w:val="none" w:sz="0" w:space="0" w:color="auto"/>
                <w:bottom w:val="none" w:sz="0" w:space="0" w:color="auto"/>
                <w:right w:val="none" w:sz="0" w:space="0" w:color="auto"/>
              </w:divBdr>
              <w:divsChild>
                <w:div w:id="5743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6444">
      <w:bodyDiv w:val="1"/>
      <w:marLeft w:val="0"/>
      <w:marRight w:val="0"/>
      <w:marTop w:val="0"/>
      <w:marBottom w:val="0"/>
      <w:divBdr>
        <w:top w:val="none" w:sz="0" w:space="0" w:color="auto"/>
        <w:left w:val="none" w:sz="0" w:space="0" w:color="auto"/>
        <w:bottom w:val="none" w:sz="0" w:space="0" w:color="auto"/>
        <w:right w:val="none" w:sz="0" w:space="0" w:color="auto"/>
      </w:divBdr>
    </w:div>
    <w:div w:id="1986815879">
      <w:bodyDiv w:val="1"/>
      <w:marLeft w:val="0"/>
      <w:marRight w:val="0"/>
      <w:marTop w:val="0"/>
      <w:marBottom w:val="0"/>
      <w:divBdr>
        <w:top w:val="none" w:sz="0" w:space="0" w:color="auto"/>
        <w:left w:val="none" w:sz="0" w:space="0" w:color="auto"/>
        <w:bottom w:val="none" w:sz="0" w:space="0" w:color="auto"/>
        <w:right w:val="none" w:sz="0" w:space="0" w:color="auto"/>
      </w:divBdr>
    </w:div>
    <w:div w:id="2008752806">
      <w:bodyDiv w:val="1"/>
      <w:marLeft w:val="0"/>
      <w:marRight w:val="0"/>
      <w:marTop w:val="0"/>
      <w:marBottom w:val="0"/>
      <w:divBdr>
        <w:top w:val="none" w:sz="0" w:space="0" w:color="auto"/>
        <w:left w:val="none" w:sz="0" w:space="0" w:color="auto"/>
        <w:bottom w:val="none" w:sz="0" w:space="0" w:color="auto"/>
        <w:right w:val="none" w:sz="0" w:space="0" w:color="auto"/>
      </w:divBdr>
    </w:div>
    <w:div w:id="2030133144">
      <w:bodyDiv w:val="1"/>
      <w:marLeft w:val="0"/>
      <w:marRight w:val="0"/>
      <w:marTop w:val="0"/>
      <w:marBottom w:val="0"/>
      <w:divBdr>
        <w:top w:val="none" w:sz="0" w:space="0" w:color="auto"/>
        <w:left w:val="none" w:sz="0" w:space="0" w:color="auto"/>
        <w:bottom w:val="none" w:sz="0" w:space="0" w:color="auto"/>
        <w:right w:val="none" w:sz="0" w:space="0" w:color="auto"/>
      </w:divBdr>
    </w:div>
    <w:div w:id="2120559114">
      <w:bodyDiv w:val="1"/>
      <w:marLeft w:val="0"/>
      <w:marRight w:val="0"/>
      <w:marTop w:val="0"/>
      <w:marBottom w:val="0"/>
      <w:divBdr>
        <w:top w:val="none" w:sz="0" w:space="0" w:color="auto"/>
        <w:left w:val="none" w:sz="0" w:space="0" w:color="auto"/>
        <w:bottom w:val="none" w:sz="0" w:space="0" w:color="auto"/>
        <w:right w:val="none" w:sz="0" w:space="0" w:color="auto"/>
      </w:divBdr>
      <w:divsChild>
        <w:div w:id="1632439954">
          <w:marLeft w:val="0"/>
          <w:marRight w:val="0"/>
          <w:marTop w:val="0"/>
          <w:marBottom w:val="0"/>
          <w:divBdr>
            <w:top w:val="none" w:sz="0" w:space="0" w:color="auto"/>
            <w:left w:val="none" w:sz="0" w:space="0" w:color="auto"/>
            <w:bottom w:val="none" w:sz="0" w:space="0" w:color="auto"/>
            <w:right w:val="none" w:sz="0" w:space="0" w:color="auto"/>
          </w:divBdr>
          <w:divsChild>
            <w:div w:id="1183516521">
              <w:marLeft w:val="0"/>
              <w:marRight w:val="0"/>
              <w:marTop w:val="0"/>
              <w:marBottom w:val="0"/>
              <w:divBdr>
                <w:top w:val="none" w:sz="0" w:space="0" w:color="auto"/>
                <w:left w:val="none" w:sz="0" w:space="0" w:color="auto"/>
                <w:bottom w:val="none" w:sz="0" w:space="0" w:color="auto"/>
                <w:right w:val="none" w:sz="0" w:space="0" w:color="auto"/>
              </w:divBdr>
              <w:divsChild>
                <w:div w:id="1568764277">
                  <w:marLeft w:val="0"/>
                  <w:marRight w:val="0"/>
                  <w:marTop w:val="0"/>
                  <w:marBottom w:val="0"/>
                  <w:divBdr>
                    <w:top w:val="none" w:sz="0" w:space="0" w:color="auto"/>
                    <w:left w:val="none" w:sz="0" w:space="0" w:color="auto"/>
                    <w:bottom w:val="none" w:sz="0" w:space="0" w:color="auto"/>
                    <w:right w:val="none" w:sz="0" w:space="0" w:color="auto"/>
                  </w:divBdr>
                  <w:divsChild>
                    <w:div w:id="2434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andpolicy.org/policy-papers/papers/the-last-milestone-on-the-journey-to-full-adult-suffr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ectoral-reform.org.uk/wp-content/uploads/2017/06/16-reasons-for-votes-at-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p.org.uk/wp-content/uploads/2020/01/Learning-From-Scotland-Votes-at-16-Workshop-repor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log.policy.manchester.ac.uk/featured/2014/04/the-time-has-come-but-not-for-votes-at-16/" TargetMode="External"/><Relationship Id="rId4" Type="http://schemas.openxmlformats.org/officeDocument/2006/relationships/settings" Target="settings.xml"/><Relationship Id="rId9" Type="http://schemas.openxmlformats.org/officeDocument/2006/relationships/hyperlink" Target="https://www.ons.gov.uk/peoplepopulationandcommunity/elections/electoralregistration/articles/whatimpactcouldloweringtheukvotingageto16haveontheshapeoftheelectorate/2017-07-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AD36-F814-2142-875A-B336583B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9135</Words>
  <Characters>52074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61087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Mycock</dc:creator>
  <cp:lastModifiedBy>jontonge01@outlook.com</cp:lastModifiedBy>
  <cp:revision>2</cp:revision>
  <dcterms:created xsi:type="dcterms:W3CDTF">2021-08-17T21:03:00Z</dcterms:created>
  <dcterms:modified xsi:type="dcterms:W3CDTF">2021-08-17T21:03:00Z</dcterms:modified>
</cp:coreProperties>
</file>