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9A092" w14:textId="2071414A" w:rsidR="00B85322" w:rsidRPr="004447F6" w:rsidRDefault="00544B91" w:rsidP="006C40EE">
      <w:pPr>
        <w:spacing w:line="360" w:lineRule="auto"/>
        <w:jc w:val="both"/>
        <w:rPr>
          <w:rFonts w:cstheme="minorHAnsi"/>
          <w:b/>
          <w:bCs/>
          <w:sz w:val="28"/>
          <w:szCs w:val="28"/>
        </w:rPr>
      </w:pPr>
      <w:bookmarkStart w:id="0" w:name="_GoBack"/>
      <w:bookmarkEnd w:id="0"/>
      <w:r w:rsidRPr="004447F6">
        <w:rPr>
          <w:rFonts w:cstheme="minorHAnsi"/>
          <w:b/>
          <w:bCs/>
          <w:sz w:val="28"/>
          <w:szCs w:val="28"/>
        </w:rPr>
        <w:t xml:space="preserve">Considerations </w:t>
      </w:r>
      <w:r w:rsidR="00AF25FF" w:rsidRPr="004447F6">
        <w:rPr>
          <w:rFonts w:cstheme="minorHAnsi"/>
          <w:b/>
          <w:bCs/>
          <w:sz w:val="28"/>
          <w:szCs w:val="28"/>
        </w:rPr>
        <w:t>for</w:t>
      </w:r>
      <w:r w:rsidRPr="004447F6">
        <w:rPr>
          <w:rFonts w:cstheme="minorHAnsi"/>
          <w:b/>
          <w:bCs/>
          <w:sz w:val="28"/>
          <w:szCs w:val="28"/>
        </w:rPr>
        <w:t xml:space="preserve"> causality </w:t>
      </w:r>
      <w:r w:rsidR="00AF25FF" w:rsidRPr="004447F6">
        <w:rPr>
          <w:rFonts w:cstheme="minorHAnsi"/>
          <w:b/>
          <w:bCs/>
          <w:sz w:val="28"/>
          <w:szCs w:val="28"/>
        </w:rPr>
        <w:t>assessment of</w:t>
      </w:r>
      <w:r w:rsidR="00595C5C" w:rsidRPr="004447F6">
        <w:rPr>
          <w:rFonts w:cstheme="minorHAnsi"/>
          <w:b/>
          <w:bCs/>
          <w:sz w:val="28"/>
          <w:szCs w:val="28"/>
        </w:rPr>
        <w:t xml:space="preserve"> neurological and neuropsychiatric complications of </w:t>
      </w:r>
      <w:r w:rsidR="004A158C" w:rsidRPr="004447F6">
        <w:rPr>
          <w:rFonts w:cstheme="minorHAnsi"/>
          <w:b/>
          <w:bCs/>
          <w:sz w:val="28"/>
          <w:szCs w:val="28"/>
        </w:rPr>
        <w:t>SARS-CoV-2</w:t>
      </w:r>
      <w:r w:rsidR="000C3563" w:rsidRPr="004447F6">
        <w:rPr>
          <w:rFonts w:cstheme="minorHAnsi"/>
          <w:b/>
          <w:bCs/>
          <w:sz w:val="28"/>
          <w:szCs w:val="28"/>
        </w:rPr>
        <w:t xml:space="preserve"> vaccine</w:t>
      </w:r>
      <w:r w:rsidR="00313E8C" w:rsidRPr="004447F6">
        <w:rPr>
          <w:rFonts w:cstheme="minorHAnsi"/>
          <w:b/>
          <w:bCs/>
          <w:sz w:val="28"/>
          <w:szCs w:val="28"/>
        </w:rPr>
        <w:t>s</w:t>
      </w:r>
      <w:r w:rsidR="00611458" w:rsidRPr="004447F6">
        <w:rPr>
          <w:rFonts w:cstheme="minorHAnsi"/>
          <w:b/>
          <w:bCs/>
          <w:sz w:val="28"/>
          <w:szCs w:val="28"/>
        </w:rPr>
        <w:t xml:space="preserve">: </w:t>
      </w:r>
      <w:r w:rsidR="00546D09" w:rsidRPr="004447F6">
        <w:rPr>
          <w:rFonts w:cstheme="minorHAnsi"/>
          <w:b/>
          <w:bCs/>
          <w:sz w:val="28"/>
          <w:szCs w:val="28"/>
        </w:rPr>
        <w:t>from cerebral venous sinus thrombosis to functional neurological disorder</w:t>
      </w:r>
    </w:p>
    <w:p w14:paraId="2B905521" w14:textId="77777777" w:rsidR="00FC1277" w:rsidRPr="004447F6" w:rsidRDefault="00FC1277" w:rsidP="006C40EE">
      <w:pPr>
        <w:spacing w:line="360" w:lineRule="auto"/>
        <w:jc w:val="both"/>
        <w:rPr>
          <w:rFonts w:cstheme="minorHAnsi"/>
          <w:b/>
          <w:bCs/>
          <w:sz w:val="28"/>
          <w:szCs w:val="28"/>
        </w:rPr>
      </w:pPr>
    </w:p>
    <w:p w14:paraId="73D387D1" w14:textId="3D4E9EC9" w:rsidR="00AF53B2" w:rsidRPr="004447F6" w:rsidRDefault="00A514DC" w:rsidP="006C40EE">
      <w:pPr>
        <w:spacing w:line="360" w:lineRule="auto"/>
        <w:jc w:val="both"/>
        <w:rPr>
          <w:rFonts w:cstheme="minorHAnsi"/>
        </w:rPr>
      </w:pPr>
      <w:r w:rsidRPr="004447F6">
        <w:rPr>
          <w:rFonts w:cstheme="minorHAnsi"/>
        </w:rPr>
        <w:t>Matt</w:t>
      </w:r>
      <w:r w:rsidR="001F0AC8" w:rsidRPr="004447F6">
        <w:rPr>
          <w:rFonts w:cstheme="minorHAnsi"/>
        </w:rPr>
        <w:t>hew</w:t>
      </w:r>
      <w:r w:rsidRPr="004447F6">
        <w:rPr>
          <w:rFonts w:cstheme="minorHAnsi"/>
        </w:rPr>
        <w:t xml:space="preserve"> Butler</w:t>
      </w:r>
      <w:r w:rsidR="000E1E4C" w:rsidRPr="004447F6" w:rsidDel="000E1E4C">
        <w:rPr>
          <w:rFonts w:cstheme="minorHAnsi"/>
          <w:vertAlign w:val="superscript"/>
        </w:rPr>
        <w:t xml:space="preserve"> </w:t>
      </w:r>
      <w:r w:rsidR="000E1E4C" w:rsidRPr="004447F6">
        <w:rPr>
          <w:rFonts w:cstheme="minorHAnsi"/>
          <w:vertAlign w:val="superscript"/>
        </w:rPr>
        <w:t xml:space="preserve">#, </w:t>
      </w:r>
      <w:r w:rsidR="00BF2883" w:rsidRPr="004447F6">
        <w:rPr>
          <w:rFonts w:cstheme="minorHAnsi"/>
          <w:vertAlign w:val="superscript"/>
        </w:rPr>
        <w:t>1</w:t>
      </w:r>
      <w:r w:rsidR="000E1E4C" w:rsidRPr="004447F6">
        <w:rPr>
          <w:rFonts w:cstheme="minorHAnsi"/>
        </w:rPr>
        <w:t xml:space="preserve">, </w:t>
      </w:r>
      <w:r w:rsidR="0064748C" w:rsidRPr="004447F6">
        <w:rPr>
          <w:rFonts w:cstheme="minorHAnsi"/>
        </w:rPr>
        <w:t>Arina</w:t>
      </w:r>
      <w:r w:rsidR="00B54B2D" w:rsidRPr="004447F6">
        <w:rPr>
          <w:rFonts w:cstheme="minorHAnsi"/>
        </w:rPr>
        <w:t xml:space="preserve"> </w:t>
      </w:r>
      <w:r w:rsidR="0064748C" w:rsidRPr="004447F6">
        <w:rPr>
          <w:rFonts w:cstheme="minorHAnsi"/>
        </w:rPr>
        <w:t>T</w:t>
      </w:r>
      <w:r w:rsidR="00C6353E" w:rsidRPr="004447F6">
        <w:rPr>
          <w:rFonts w:cstheme="minorHAnsi"/>
        </w:rPr>
        <w:t>a</w:t>
      </w:r>
      <w:r w:rsidR="0064748C" w:rsidRPr="004447F6">
        <w:rPr>
          <w:rFonts w:cstheme="minorHAnsi"/>
        </w:rPr>
        <w:t>mborska</w:t>
      </w:r>
      <w:r w:rsidR="000E1E4C" w:rsidRPr="004447F6">
        <w:rPr>
          <w:rFonts w:cstheme="minorHAnsi"/>
          <w:vertAlign w:val="superscript"/>
        </w:rPr>
        <w:t xml:space="preserve">#, </w:t>
      </w:r>
      <w:r w:rsidR="00C6353E" w:rsidRPr="004447F6">
        <w:rPr>
          <w:rFonts w:cstheme="minorHAnsi"/>
          <w:vertAlign w:val="superscript"/>
        </w:rPr>
        <w:t>2</w:t>
      </w:r>
      <w:r w:rsidR="00D67A6A" w:rsidRPr="004447F6">
        <w:rPr>
          <w:rFonts w:cstheme="minorHAnsi"/>
          <w:vertAlign w:val="superscript"/>
        </w:rPr>
        <w:t>,3,4</w:t>
      </w:r>
      <w:r w:rsidR="0064748C" w:rsidRPr="004447F6">
        <w:rPr>
          <w:rFonts w:cstheme="minorHAnsi"/>
        </w:rPr>
        <w:t>,</w:t>
      </w:r>
      <w:r w:rsidR="005064F7" w:rsidRPr="004447F6">
        <w:rPr>
          <w:rFonts w:cstheme="minorHAnsi"/>
        </w:rPr>
        <w:t xml:space="preserve"> Greta </w:t>
      </w:r>
      <w:r w:rsidR="00851D39" w:rsidRPr="004447F6">
        <w:rPr>
          <w:rFonts w:cstheme="minorHAnsi"/>
        </w:rPr>
        <w:t xml:space="preserve">K. </w:t>
      </w:r>
      <w:r w:rsidR="005064F7" w:rsidRPr="004447F6">
        <w:rPr>
          <w:rFonts w:cstheme="minorHAnsi"/>
        </w:rPr>
        <w:t>Wood</w:t>
      </w:r>
      <w:r w:rsidR="0028384D" w:rsidRPr="004447F6">
        <w:rPr>
          <w:rFonts w:cstheme="minorHAnsi"/>
          <w:vertAlign w:val="superscript"/>
        </w:rPr>
        <w:t>2</w:t>
      </w:r>
      <w:r w:rsidR="00D67A6A" w:rsidRPr="004447F6">
        <w:rPr>
          <w:rFonts w:cstheme="minorHAnsi"/>
          <w:vertAlign w:val="superscript"/>
        </w:rPr>
        <w:t>,3,4</w:t>
      </w:r>
      <w:r w:rsidR="005064F7" w:rsidRPr="004447F6">
        <w:rPr>
          <w:rFonts w:cstheme="minorHAnsi"/>
        </w:rPr>
        <w:t>, Mark Ellul</w:t>
      </w:r>
      <w:r w:rsidR="0028384D" w:rsidRPr="004447F6">
        <w:rPr>
          <w:rFonts w:cstheme="minorHAnsi"/>
          <w:vertAlign w:val="superscript"/>
        </w:rPr>
        <w:t>2</w:t>
      </w:r>
      <w:r w:rsidR="00D67A6A" w:rsidRPr="004447F6">
        <w:rPr>
          <w:rFonts w:cstheme="minorHAnsi"/>
          <w:vertAlign w:val="superscript"/>
        </w:rPr>
        <w:t>,3,4</w:t>
      </w:r>
      <w:r w:rsidR="005064F7" w:rsidRPr="004447F6">
        <w:rPr>
          <w:rFonts w:cstheme="minorHAnsi"/>
        </w:rPr>
        <w:t xml:space="preserve">, </w:t>
      </w:r>
      <w:r w:rsidRPr="004447F6">
        <w:rPr>
          <w:rFonts w:cstheme="minorHAnsi"/>
        </w:rPr>
        <w:t>Rhys Thomas</w:t>
      </w:r>
      <w:r w:rsidR="00D67A6A" w:rsidRPr="004447F6">
        <w:rPr>
          <w:rFonts w:cstheme="minorHAnsi"/>
          <w:vertAlign w:val="superscript"/>
        </w:rPr>
        <w:t>5</w:t>
      </w:r>
      <w:r w:rsidRPr="004447F6">
        <w:rPr>
          <w:rFonts w:cstheme="minorHAnsi"/>
        </w:rPr>
        <w:t xml:space="preserve">, Ian </w:t>
      </w:r>
      <w:proofErr w:type="spellStart"/>
      <w:r w:rsidRPr="004447F6">
        <w:rPr>
          <w:rFonts w:cstheme="minorHAnsi"/>
        </w:rPr>
        <w:t>Galea</w:t>
      </w:r>
      <w:r w:rsidR="00D67A6A" w:rsidRPr="004447F6">
        <w:rPr>
          <w:rFonts w:cstheme="minorHAnsi"/>
          <w:vertAlign w:val="superscript"/>
        </w:rPr>
        <w:t>6</w:t>
      </w:r>
      <w:proofErr w:type="spellEnd"/>
      <w:r w:rsidRPr="004447F6">
        <w:rPr>
          <w:rFonts w:cstheme="minorHAnsi"/>
        </w:rPr>
        <w:t xml:space="preserve">, </w:t>
      </w:r>
      <w:r w:rsidR="0064748C" w:rsidRPr="004447F6">
        <w:rPr>
          <w:rFonts w:cstheme="minorHAnsi"/>
        </w:rPr>
        <w:t xml:space="preserve">Sarah </w:t>
      </w:r>
      <w:proofErr w:type="spellStart"/>
      <w:r w:rsidR="0064748C" w:rsidRPr="004447F6">
        <w:rPr>
          <w:rFonts w:cstheme="minorHAnsi"/>
        </w:rPr>
        <w:t>Pett</w:t>
      </w:r>
      <w:r w:rsidR="00D67A6A" w:rsidRPr="004447F6">
        <w:rPr>
          <w:rFonts w:cstheme="minorHAnsi"/>
          <w:vertAlign w:val="superscript"/>
        </w:rPr>
        <w:t>7</w:t>
      </w:r>
      <w:proofErr w:type="spellEnd"/>
      <w:r w:rsidR="0064748C" w:rsidRPr="004447F6">
        <w:rPr>
          <w:rFonts w:cstheme="minorHAnsi"/>
        </w:rPr>
        <w:t>,</w:t>
      </w:r>
      <w:r w:rsidRPr="004447F6">
        <w:rPr>
          <w:rFonts w:cstheme="minorHAnsi"/>
        </w:rPr>
        <w:t xml:space="preserve"> </w:t>
      </w:r>
      <w:proofErr w:type="spellStart"/>
      <w:r w:rsidR="00AB5A67" w:rsidRPr="004447F6">
        <w:rPr>
          <w:rFonts w:cstheme="minorHAnsi"/>
        </w:rPr>
        <w:t>Bhagteshwar</w:t>
      </w:r>
      <w:proofErr w:type="spellEnd"/>
      <w:r w:rsidR="00AB5A67" w:rsidRPr="004447F6">
        <w:rPr>
          <w:rFonts w:cstheme="minorHAnsi"/>
        </w:rPr>
        <w:t xml:space="preserve"> </w:t>
      </w:r>
      <w:proofErr w:type="spellStart"/>
      <w:r w:rsidR="00AB5A67" w:rsidRPr="004447F6">
        <w:rPr>
          <w:rFonts w:cstheme="minorHAnsi"/>
        </w:rPr>
        <w:t>Singh,</w:t>
      </w:r>
      <w:r w:rsidR="00AB5A67" w:rsidRPr="004447F6">
        <w:rPr>
          <w:rFonts w:cstheme="minorHAnsi"/>
          <w:vertAlign w:val="superscript"/>
        </w:rPr>
        <w:t>3,</w:t>
      </w:r>
      <w:r w:rsidR="001F269E" w:rsidRPr="004447F6">
        <w:rPr>
          <w:rFonts w:cstheme="minorHAnsi"/>
          <w:vertAlign w:val="superscript"/>
        </w:rPr>
        <w:t>4,</w:t>
      </w:r>
      <w:r w:rsidR="00AB5A67" w:rsidRPr="004447F6">
        <w:rPr>
          <w:rFonts w:cstheme="minorHAnsi"/>
          <w:vertAlign w:val="superscript"/>
        </w:rPr>
        <w:t>8</w:t>
      </w:r>
      <w:proofErr w:type="spellEnd"/>
      <w:r w:rsidR="00AB5A67" w:rsidRPr="004447F6">
        <w:rPr>
          <w:rFonts w:cstheme="minorHAnsi"/>
        </w:rPr>
        <w:t xml:space="preserve"> </w:t>
      </w:r>
      <w:r w:rsidR="00D62E35" w:rsidRPr="004447F6">
        <w:rPr>
          <w:rFonts w:cstheme="minorHAnsi"/>
        </w:rPr>
        <w:t>Tom Solomon</w:t>
      </w:r>
      <w:r w:rsidR="001F269E" w:rsidRPr="004447F6">
        <w:rPr>
          <w:rFonts w:cstheme="minorHAnsi"/>
        </w:rPr>
        <w:t xml:space="preserve"> </w:t>
      </w:r>
      <w:r w:rsidR="0028384D" w:rsidRPr="004447F6">
        <w:rPr>
          <w:rFonts w:cstheme="minorHAnsi"/>
          <w:vertAlign w:val="superscript"/>
        </w:rPr>
        <w:t>2</w:t>
      </w:r>
      <w:r w:rsidR="00D67A6A" w:rsidRPr="004447F6">
        <w:rPr>
          <w:rFonts w:cstheme="minorHAnsi"/>
          <w:vertAlign w:val="superscript"/>
        </w:rPr>
        <w:t>,3,4</w:t>
      </w:r>
      <w:r w:rsidR="00D62E35" w:rsidRPr="004447F6">
        <w:rPr>
          <w:rFonts w:cstheme="minorHAnsi"/>
        </w:rPr>
        <w:t xml:space="preserve">, </w:t>
      </w:r>
      <w:r w:rsidR="00567B60" w:rsidRPr="004447F6">
        <w:rPr>
          <w:rFonts w:cstheme="minorHAnsi"/>
        </w:rPr>
        <w:t>Thomas A. Pollak</w:t>
      </w:r>
      <w:r w:rsidR="00567B60" w:rsidRPr="004447F6">
        <w:rPr>
          <w:rFonts w:cstheme="minorHAnsi"/>
          <w:vertAlign w:val="superscript"/>
        </w:rPr>
        <w:t>1</w:t>
      </w:r>
      <w:r w:rsidR="00567B60" w:rsidRPr="004447F6">
        <w:rPr>
          <w:rFonts w:cstheme="minorHAnsi"/>
        </w:rPr>
        <w:t xml:space="preserve">, </w:t>
      </w:r>
      <w:r w:rsidRPr="004447F6">
        <w:rPr>
          <w:rFonts w:cstheme="minorHAnsi"/>
        </w:rPr>
        <w:t>Ben</w:t>
      </w:r>
      <w:r w:rsidR="00D62E35" w:rsidRPr="004447F6">
        <w:rPr>
          <w:rFonts w:cstheme="minorHAnsi"/>
        </w:rPr>
        <w:t>edict</w:t>
      </w:r>
      <w:r w:rsidRPr="004447F6">
        <w:rPr>
          <w:rFonts w:cstheme="minorHAnsi"/>
        </w:rPr>
        <w:t xml:space="preserve"> </w:t>
      </w:r>
      <w:r w:rsidR="00851D39" w:rsidRPr="004447F6">
        <w:rPr>
          <w:rFonts w:cstheme="minorHAnsi"/>
        </w:rPr>
        <w:t xml:space="preserve">D. </w:t>
      </w:r>
      <w:r w:rsidRPr="004447F6">
        <w:rPr>
          <w:rFonts w:cstheme="minorHAnsi"/>
        </w:rPr>
        <w:t>Michael</w:t>
      </w:r>
      <w:r w:rsidR="00567B60" w:rsidRPr="004447F6">
        <w:rPr>
          <w:rFonts w:cstheme="minorHAnsi"/>
        </w:rPr>
        <w:t>*</w:t>
      </w:r>
      <w:r w:rsidR="000E1E4C" w:rsidRPr="004447F6">
        <w:rPr>
          <w:rFonts w:cstheme="minorHAnsi"/>
          <w:vertAlign w:val="superscript"/>
        </w:rPr>
        <w:t xml:space="preserve">, </w:t>
      </w:r>
      <w:r w:rsidR="0028384D" w:rsidRPr="004447F6">
        <w:rPr>
          <w:rFonts w:cstheme="minorHAnsi"/>
          <w:vertAlign w:val="superscript"/>
        </w:rPr>
        <w:t>2</w:t>
      </w:r>
      <w:r w:rsidR="00D67A6A" w:rsidRPr="004447F6">
        <w:rPr>
          <w:rFonts w:cstheme="minorHAnsi"/>
          <w:vertAlign w:val="superscript"/>
        </w:rPr>
        <w:t>,3,4</w:t>
      </w:r>
      <w:r w:rsidRPr="004447F6">
        <w:rPr>
          <w:rFonts w:cstheme="minorHAnsi"/>
        </w:rPr>
        <w:t>, Tim</w:t>
      </w:r>
      <w:r w:rsidR="001F0AC8" w:rsidRPr="004447F6">
        <w:rPr>
          <w:rFonts w:cstheme="minorHAnsi"/>
        </w:rPr>
        <w:t>othy</w:t>
      </w:r>
      <w:r w:rsidRPr="004447F6">
        <w:rPr>
          <w:rFonts w:cstheme="minorHAnsi"/>
        </w:rPr>
        <w:t xml:space="preserve"> </w:t>
      </w:r>
      <w:r w:rsidR="00D46796" w:rsidRPr="004447F6">
        <w:rPr>
          <w:rFonts w:cstheme="minorHAnsi"/>
        </w:rPr>
        <w:t xml:space="preserve">R. </w:t>
      </w:r>
      <w:r w:rsidRPr="004447F6">
        <w:rPr>
          <w:rFonts w:cstheme="minorHAnsi"/>
        </w:rPr>
        <w:t>Nicholson</w:t>
      </w:r>
      <w:r w:rsidR="00567B60" w:rsidRPr="004447F6">
        <w:rPr>
          <w:rFonts w:cstheme="minorHAnsi"/>
        </w:rPr>
        <w:t>*</w:t>
      </w:r>
      <w:r w:rsidR="000E1E4C" w:rsidRPr="004447F6">
        <w:rPr>
          <w:rFonts w:cstheme="minorHAnsi"/>
          <w:vertAlign w:val="superscript"/>
        </w:rPr>
        <w:t>,</w:t>
      </w:r>
      <w:r w:rsidR="00BF2883" w:rsidRPr="004447F6">
        <w:rPr>
          <w:rFonts w:cstheme="minorHAnsi"/>
          <w:vertAlign w:val="superscript"/>
        </w:rPr>
        <w:t>1</w:t>
      </w:r>
    </w:p>
    <w:p w14:paraId="449E07AC" w14:textId="23E27D95" w:rsidR="000E1E4C" w:rsidRPr="004447F6" w:rsidRDefault="000E1E4C" w:rsidP="00567B60">
      <w:pPr>
        <w:spacing w:line="360" w:lineRule="auto"/>
        <w:jc w:val="both"/>
        <w:rPr>
          <w:rFonts w:cstheme="minorHAnsi"/>
        </w:rPr>
      </w:pPr>
      <w:r w:rsidRPr="004447F6">
        <w:rPr>
          <w:rFonts w:cstheme="minorHAnsi"/>
          <w:vertAlign w:val="superscript"/>
        </w:rPr>
        <w:t xml:space="preserve"># </w:t>
      </w:r>
      <w:r w:rsidRPr="004447F6">
        <w:rPr>
          <w:rFonts w:cstheme="minorHAnsi"/>
        </w:rPr>
        <w:t>Joint first author</w:t>
      </w:r>
    </w:p>
    <w:p w14:paraId="62CA0632" w14:textId="0C2E6006" w:rsidR="00567B60" w:rsidRPr="004447F6" w:rsidRDefault="00567B60" w:rsidP="00567B60">
      <w:pPr>
        <w:spacing w:line="360" w:lineRule="auto"/>
        <w:jc w:val="both"/>
        <w:rPr>
          <w:rFonts w:cstheme="minorHAnsi"/>
        </w:rPr>
      </w:pPr>
      <w:r w:rsidRPr="004447F6">
        <w:rPr>
          <w:rFonts w:cstheme="minorHAnsi"/>
        </w:rPr>
        <w:t>*</w:t>
      </w:r>
      <w:r w:rsidR="000E1E4C" w:rsidRPr="004447F6">
        <w:rPr>
          <w:rFonts w:cstheme="minorHAnsi"/>
        </w:rPr>
        <w:t xml:space="preserve"> Joint senior author</w:t>
      </w:r>
    </w:p>
    <w:p w14:paraId="13E9B34D" w14:textId="443457D1" w:rsidR="00BF2883" w:rsidRPr="004447F6" w:rsidRDefault="00BF2883" w:rsidP="00C6353E">
      <w:pPr>
        <w:pStyle w:val="ListParagraph"/>
        <w:numPr>
          <w:ilvl w:val="0"/>
          <w:numId w:val="1"/>
        </w:numPr>
        <w:spacing w:line="480" w:lineRule="auto"/>
        <w:jc w:val="both"/>
      </w:pPr>
      <w:r w:rsidRPr="004447F6">
        <w:t>Neuropsychiatry Research and Education Group, Institute of Psychiatry Psychology &amp; Neuroscience, King’s College London, London, UK.</w:t>
      </w:r>
    </w:p>
    <w:p w14:paraId="4AEBAF07" w14:textId="7D886B83" w:rsidR="00D67A6A" w:rsidRPr="004447F6" w:rsidRDefault="00D67A6A" w:rsidP="00C6353E">
      <w:pPr>
        <w:pStyle w:val="ListParagraph"/>
        <w:numPr>
          <w:ilvl w:val="0"/>
          <w:numId w:val="1"/>
        </w:numPr>
        <w:spacing w:line="480" w:lineRule="auto"/>
        <w:jc w:val="both"/>
      </w:pPr>
      <w:r w:rsidRPr="004447F6">
        <w:t>Department of Ne</w:t>
      </w:r>
      <w:r w:rsidR="00D13310" w:rsidRPr="004447F6">
        <w:t>ur</w:t>
      </w:r>
      <w:r w:rsidRPr="004447F6">
        <w:t>ology, The Walton Centre NHS Foundation Trust, Liverpool, UK</w:t>
      </w:r>
    </w:p>
    <w:p w14:paraId="70CD1BE4" w14:textId="77777777" w:rsidR="00D67A6A" w:rsidRPr="004447F6" w:rsidRDefault="00C6353E" w:rsidP="00C6353E">
      <w:pPr>
        <w:pStyle w:val="ListParagraph"/>
        <w:numPr>
          <w:ilvl w:val="0"/>
          <w:numId w:val="1"/>
        </w:numPr>
        <w:spacing w:line="480" w:lineRule="auto"/>
        <w:jc w:val="both"/>
      </w:pPr>
      <w:r w:rsidRPr="004447F6">
        <w:t>National Institute for Health Research Health Protection Research Unit in Emerging and Zoonotic Infection</w:t>
      </w:r>
      <w:r w:rsidR="00D67A6A" w:rsidRPr="004447F6">
        <w:t>, Liverpool, UK</w:t>
      </w:r>
    </w:p>
    <w:p w14:paraId="4ADABA92" w14:textId="3D14F13C" w:rsidR="00C6353E" w:rsidRPr="004447F6" w:rsidRDefault="00D67A6A" w:rsidP="00C6353E">
      <w:pPr>
        <w:pStyle w:val="ListParagraph"/>
        <w:numPr>
          <w:ilvl w:val="0"/>
          <w:numId w:val="1"/>
        </w:numPr>
        <w:spacing w:line="480" w:lineRule="auto"/>
        <w:jc w:val="both"/>
      </w:pPr>
      <w:r w:rsidRPr="004447F6">
        <w:t xml:space="preserve">Clinical Infection Microbiology and Immunology, </w:t>
      </w:r>
      <w:r w:rsidR="00C6353E" w:rsidRPr="004447F6">
        <w:t>Institute of Infection, Veterinary and Ecological Sciences, University of Liverpool, Liverpool, UK</w:t>
      </w:r>
    </w:p>
    <w:p w14:paraId="6777726C" w14:textId="4965E6F8" w:rsidR="004A158C" w:rsidRPr="004447F6" w:rsidRDefault="0056538B" w:rsidP="00C6353E">
      <w:pPr>
        <w:pStyle w:val="ListParagraph"/>
        <w:numPr>
          <w:ilvl w:val="0"/>
          <w:numId w:val="1"/>
        </w:numPr>
        <w:spacing w:line="480" w:lineRule="auto"/>
        <w:jc w:val="both"/>
      </w:pPr>
      <w:r w:rsidRPr="004447F6">
        <w:t xml:space="preserve">Institute of Neuroscience, </w:t>
      </w:r>
      <w:r w:rsidR="004A158C" w:rsidRPr="004447F6">
        <w:t>Newcastle University</w:t>
      </w:r>
    </w:p>
    <w:p w14:paraId="1754302C" w14:textId="64F6F777" w:rsidR="004A158C" w:rsidRPr="004447F6" w:rsidRDefault="008A5688" w:rsidP="00C6353E">
      <w:pPr>
        <w:pStyle w:val="ListParagraph"/>
        <w:numPr>
          <w:ilvl w:val="0"/>
          <w:numId w:val="1"/>
        </w:numPr>
        <w:spacing w:line="480" w:lineRule="auto"/>
        <w:jc w:val="both"/>
      </w:pPr>
      <w:r w:rsidRPr="004447F6">
        <w:t xml:space="preserve">Clinical Neurosciences, Clinical &amp; Experimental Medicine, Faculty of Medicine, </w:t>
      </w:r>
      <w:r w:rsidR="004A158C" w:rsidRPr="004447F6">
        <w:t>University of Southampton</w:t>
      </w:r>
    </w:p>
    <w:p w14:paraId="41E104B8" w14:textId="6112B429" w:rsidR="004A158C" w:rsidRPr="004447F6" w:rsidRDefault="004A158C" w:rsidP="00C6353E">
      <w:pPr>
        <w:pStyle w:val="ListParagraph"/>
        <w:numPr>
          <w:ilvl w:val="0"/>
          <w:numId w:val="1"/>
        </w:numPr>
        <w:spacing w:line="480" w:lineRule="auto"/>
        <w:jc w:val="both"/>
      </w:pPr>
      <w:r w:rsidRPr="004447F6">
        <w:t>MRC CTU at UCL, Institute of Clinical Trials and Methodology; Institute for Global Health, UCL, London, UK</w:t>
      </w:r>
    </w:p>
    <w:p w14:paraId="6E2CF7B0" w14:textId="1C7DBF09" w:rsidR="00BF2883" w:rsidRPr="004447F6" w:rsidRDefault="00AB5A67" w:rsidP="00BF2883">
      <w:pPr>
        <w:pStyle w:val="ListParagraph"/>
        <w:numPr>
          <w:ilvl w:val="0"/>
          <w:numId w:val="1"/>
        </w:numPr>
        <w:spacing w:line="480" w:lineRule="auto"/>
        <w:jc w:val="both"/>
      </w:pPr>
      <w:r w:rsidRPr="004447F6">
        <w:t>Tropical &amp; Infectious Diseases Unit, Royal Liverpool University Hospital, Liverpool, L7 8XP, UK</w:t>
      </w:r>
    </w:p>
    <w:p w14:paraId="4A6B3897" w14:textId="33E26A48" w:rsidR="000B3335" w:rsidRPr="004447F6" w:rsidRDefault="00BF2883" w:rsidP="00BF2883">
      <w:pPr>
        <w:spacing w:line="480" w:lineRule="auto"/>
        <w:jc w:val="both"/>
      </w:pPr>
      <w:r w:rsidRPr="004447F6">
        <w:t xml:space="preserve">Corresponding author email: </w:t>
      </w:r>
      <w:hyperlink r:id="rId6" w:history="1">
        <w:r w:rsidR="000B3335" w:rsidRPr="004447F6">
          <w:rPr>
            <w:rStyle w:val="Hyperlink"/>
          </w:rPr>
          <w:t>Timothy.nicholson@kcl.ac.uk</w:t>
        </w:r>
      </w:hyperlink>
    </w:p>
    <w:p w14:paraId="0D081C99" w14:textId="41747465" w:rsidR="000B3335" w:rsidRPr="004447F6" w:rsidRDefault="000B3335" w:rsidP="00BF2883">
      <w:pPr>
        <w:spacing w:line="480" w:lineRule="auto"/>
        <w:jc w:val="both"/>
      </w:pPr>
      <w:r w:rsidRPr="004447F6">
        <w:t>Word count (excluding summary</w:t>
      </w:r>
      <w:r w:rsidR="0056538B" w:rsidRPr="004447F6">
        <w:t>, references, and declarations</w:t>
      </w:r>
      <w:r w:rsidRPr="004447F6">
        <w:t xml:space="preserve">): </w:t>
      </w:r>
      <w:r w:rsidR="00E239FE" w:rsidRPr="004447F6">
        <w:t>4,</w:t>
      </w:r>
      <w:r w:rsidR="00576D5C" w:rsidRPr="004447F6">
        <w:t>3</w:t>
      </w:r>
      <w:r w:rsidR="001D26DB" w:rsidRPr="004447F6">
        <w:t>25</w:t>
      </w:r>
    </w:p>
    <w:p w14:paraId="6FAB6796" w14:textId="6AAF6A66" w:rsidR="00BC4A90" w:rsidRPr="004447F6" w:rsidRDefault="000B3335" w:rsidP="000B3335">
      <w:pPr>
        <w:spacing w:line="480" w:lineRule="auto"/>
        <w:jc w:val="both"/>
      </w:pPr>
      <w:r w:rsidRPr="004447F6">
        <w:t xml:space="preserve">References: </w:t>
      </w:r>
      <w:r w:rsidR="00632A99" w:rsidRPr="004447F6">
        <w:t>74</w:t>
      </w:r>
    </w:p>
    <w:p w14:paraId="3FF3CF2C" w14:textId="3C14F25B" w:rsidR="002E7916" w:rsidRPr="004447F6" w:rsidRDefault="002E7916" w:rsidP="002E7916">
      <w:pPr>
        <w:spacing w:line="480" w:lineRule="auto"/>
        <w:jc w:val="both"/>
        <w:rPr>
          <w:b/>
          <w:bCs/>
        </w:rPr>
      </w:pPr>
      <w:r w:rsidRPr="004447F6">
        <w:rPr>
          <w:b/>
          <w:bCs/>
        </w:rPr>
        <w:lastRenderedPageBreak/>
        <w:t>Contributorship</w:t>
      </w:r>
    </w:p>
    <w:p w14:paraId="0AA24E79" w14:textId="7C4C187E" w:rsidR="002E7916" w:rsidRPr="004447F6" w:rsidRDefault="002E7916" w:rsidP="002E7916">
      <w:pPr>
        <w:spacing w:line="480" w:lineRule="auto"/>
        <w:jc w:val="both"/>
      </w:pPr>
      <w:r w:rsidRPr="004447F6">
        <w:t>MB and AT produced the first draft. MB, AT, GW, ME, RT, IG, SP, TS, TP, BM and TN significantly contributed to the first draft. BS contributed additional content post peer review. MB, AT, GW, ME, RT, IG, SP, BS, TS, and TP all reviewed final manuscript. BM and TN provided supervisory input and approved final manuscript.</w:t>
      </w:r>
    </w:p>
    <w:p w14:paraId="075FAD38" w14:textId="36DA0B0E" w:rsidR="002E7916" w:rsidRPr="004447F6" w:rsidRDefault="002E7916" w:rsidP="002E7916">
      <w:pPr>
        <w:spacing w:line="480" w:lineRule="auto"/>
        <w:jc w:val="both"/>
        <w:rPr>
          <w:b/>
          <w:bCs/>
        </w:rPr>
      </w:pPr>
      <w:r w:rsidRPr="004447F6">
        <w:rPr>
          <w:b/>
          <w:bCs/>
        </w:rPr>
        <w:t>Funding Statement</w:t>
      </w:r>
    </w:p>
    <w:p w14:paraId="666353B6" w14:textId="58AD8711" w:rsidR="007B6A98" w:rsidRPr="004447F6" w:rsidRDefault="007B6A98" w:rsidP="007B6A98">
      <w:pPr>
        <w:spacing w:line="480" w:lineRule="auto"/>
        <w:jc w:val="both"/>
      </w:pPr>
      <w:r w:rsidRPr="004447F6">
        <w:rPr>
          <w:rFonts w:cstheme="minorHAnsi"/>
        </w:rPr>
        <w:t xml:space="preserve">MB is an NIHR Academic Clinical Fellow (ACF-2019-17-008). </w:t>
      </w:r>
      <w:r w:rsidR="00737D03" w:rsidRPr="004447F6">
        <w:rPr>
          <w:rFonts w:cstheme="minorHAnsi"/>
        </w:rPr>
        <w:t>TP is supported by a National Institute of Health Research (NIHR) Clinical Lectureship.</w:t>
      </w:r>
      <w:r w:rsidR="00737D03" w:rsidRPr="004447F6">
        <w:t xml:space="preserve"> </w:t>
      </w:r>
      <w:r w:rsidRPr="004447F6">
        <w:rPr>
          <w:rFonts w:cstheme="minorHAnsi"/>
        </w:rPr>
        <w:t xml:space="preserve">TS is supported by the National Institute for Health Research (NIHR) Health Protection Research Unit in Emerging and Zoonotic Infections (Grant Nos. IS-HPU-1112-10117 and NIHR200907), NIHR Programme Grant for Applied Research (No. RP-PG-0108-10,048), NIHR Global Health Research Group on Brain Infections (No. 17/63/110), and the European Union's Horizon 2020 research and innovation program </w:t>
      </w:r>
      <w:proofErr w:type="spellStart"/>
      <w:r w:rsidRPr="004447F6">
        <w:rPr>
          <w:rFonts w:cstheme="minorHAnsi"/>
        </w:rPr>
        <w:t>ZikaPLAN</w:t>
      </w:r>
      <w:proofErr w:type="spellEnd"/>
      <w:r w:rsidRPr="004447F6">
        <w:rPr>
          <w:rFonts w:cstheme="minorHAnsi"/>
        </w:rPr>
        <w:t xml:space="preserve"> (Preparedness Latin America Network), grant agreement No. 734584. BDM is supported to conduct COVID-19 neuroscience research by the UKRI/MRC (MR/V03605X/1); for additional neurological inflammation research due to viral infection BDM is also supported by grants from the MRC/UKRI (MR/V007181//1), MRC (MR/</w:t>
      </w:r>
      <w:proofErr w:type="spellStart"/>
      <w:r w:rsidRPr="004447F6">
        <w:rPr>
          <w:rFonts w:cstheme="minorHAnsi"/>
        </w:rPr>
        <w:t>T028750</w:t>
      </w:r>
      <w:proofErr w:type="spellEnd"/>
      <w:r w:rsidRPr="004447F6">
        <w:rPr>
          <w:rFonts w:cstheme="minorHAnsi"/>
        </w:rPr>
        <w:t>/1) and Wellcome (</w:t>
      </w:r>
      <w:proofErr w:type="spellStart"/>
      <w:r w:rsidRPr="004447F6">
        <w:rPr>
          <w:rFonts w:cstheme="minorHAnsi"/>
        </w:rPr>
        <w:t>ISSF201902</w:t>
      </w:r>
      <w:proofErr w:type="spellEnd"/>
      <w:r w:rsidRPr="004447F6">
        <w:rPr>
          <w:rFonts w:cstheme="minorHAnsi"/>
        </w:rPr>
        <w:t>/3). The funding agencies have no role in the preparation of the article, or in the decision to submit it for publication.</w:t>
      </w:r>
    </w:p>
    <w:p w14:paraId="7C84F5D6" w14:textId="5C4D118B" w:rsidR="002E7916" w:rsidRPr="004447F6" w:rsidRDefault="002E7916" w:rsidP="002E7916">
      <w:pPr>
        <w:spacing w:line="480" w:lineRule="auto"/>
        <w:jc w:val="both"/>
        <w:rPr>
          <w:b/>
          <w:bCs/>
        </w:rPr>
      </w:pPr>
      <w:r w:rsidRPr="004447F6">
        <w:rPr>
          <w:b/>
          <w:bCs/>
        </w:rPr>
        <w:t>Competing of Interests</w:t>
      </w:r>
    </w:p>
    <w:p w14:paraId="13A6EEE5" w14:textId="1EAE702A" w:rsidR="00737D03" w:rsidRPr="004447F6" w:rsidRDefault="00737D03" w:rsidP="002E7916">
      <w:pPr>
        <w:spacing w:line="480" w:lineRule="auto"/>
        <w:jc w:val="both"/>
      </w:pPr>
      <w:r w:rsidRPr="004447F6">
        <w:t>The authors declare no conflicts of interest.</w:t>
      </w:r>
    </w:p>
    <w:p w14:paraId="6691BCCB" w14:textId="7EA0A0E2" w:rsidR="002E7916" w:rsidRPr="004447F6" w:rsidRDefault="002E7916" w:rsidP="002E7916">
      <w:pPr>
        <w:spacing w:line="480" w:lineRule="auto"/>
        <w:jc w:val="both"/>
        <w:rPr>
          <w:b/>
          <w:bCs/>
        </w:rPr>
      </w:pPr>
      <w:r w:rsidRPr="004447F6">
        <w:rPr>
          <w:b/>
          <w:bCs/>
        </w:rPr>
        <w:t>Ethics approval</w:t>
      </w:r>
    </w:p>
    <w:p w14:paraId="7348F0AA" w14:textId="6DBDECE5" w:rsidR="00737D03" w:rsidRPr="004447F6" w:rsidRDefault="00737D03" w:rsidP="002E7916">
      <w:pPr>
        <w:spacing w:line="480" w:lineRule="auto"/>
        <w:jc w:val="both"/>
      </w:pPr>
      <w:r w:rsidRPr="004447F6">
        <w:t>Not applicable.</w:t>
      </w:r>
    </w:p>
    <w:p w14:paraId="641A4118" w14:textId="0351322B" w:rsidR="00AF53B2" w:rsidRPr="004447F6" w:rsidRDefault="00AF53B2" w:rsidP="00BF2883">
      <w:pPr>
        <w:pageBreakBefore/>
        <w:spacing w:line="360" w:lineRule="auto"/>
        <w:jc w:val="both"/>
        <w:rPr>
          <w:rFonts w:cstheme="minorHAnsi"/>
          <w:b/>
          <w:bCs/>
        </w:rPr>
      </w:pPr>
      <w:r w:rsidRPr="004447F6">
        <w:rPr>
          <w:rFonts w:cstheme="minorHAnsi"/>
          <w:b/>
          <w:bCs/>
        </w:rPr>
        <w:lastRenderedPageBreak/>
        <w:t>Introduction</w:t>
      </w:r>
    </w:p>
    <w:p w14:paraId="29E54C0C" w14:textId="164B6591" w:rsidR="00CD4C09" w:rsidRPr="004447F6" w:rsidRDefault="00E875DA" w:rsidP="006C40EE">
      <w:pPr>
        <w:spacing w:line="360" w:lineRule="auto"/>
        <w:jc w:val="both"/>
        <w:rPr>
          <w:rFonts w:cstheme="minorHAnsi"/>
        </w:rPr>
      </w:pPr>
      <w:r w:rsidRPr="004447F6">
        <w:rPr>
          <w:rFonts w:cstheme="minorHAnsi"/>
        </w:rPr>
        <w:t>The scientific community rapidly responded to the</w:t>
      </w:r>
      <w:r w:rsidR="002372A2" w:rsidRPr="004447F6">
        <w:rPr>
          <w:rFonts w:cstheme="minorHAnsi"/>
        </w:rPr>
        <w:t xml:space="preserve"> COVID</w:t>
      </w:r>
      <w:r w:rsidR="00183921" w:rsidRPr="004447F6">
        <w:rPr>
          <w:rFonts w:cstheme="minorHAnsi"/>
        </w:rPr>
        <w:t xml:space="preserve">-19 </w:t>
      </w:r>
      <w:r w:rsidRPr="004447F6">
        <w:rPr>
          <w:rFonts w:cstheme="minorHAnsi"/>
        </w:rPr>
        <w:t xml:space="preserve">pandemic by developing novel </w:t>
      </w:r>
      <w:r w:rsidR="002372A2" w:rsidRPr="004447F6">
        <w:rPr>
          <w:rFonts w:cstheme="minorHAnsi"/>
        </w:rPr>
        <w:t>SARS-</w:t>
      </w:r>
      <w:r w:rsidR="00062BBC" w:rsidRPr="004447F6">
        <w:rPr>
          <w:rFonts w:cstheme="minorHAnsi"/>
        </w:rPr>
        <w:t>CoV-2</w:t>
      </w:r>
      <w:r w:rsidRPr="004447F6">
        <w:rPr>
          <w:rFonts w:cstheme="minorHAnsi"/>
        </w:rPr>
        <w:t xml:space="preserve"> vaccines</w:t>
      </w:r>
      <w:r w:rsidR="00FF7A41" w:rsidRPr="004447F6">
        <w:rPr>
          <w:rFonts w:cstheme="minorHAnsi"/>
        </w:rPr>
        <w:t xml:space="preserve"> (Table 1</w:t>
      </w:r>
      <w:r w:rsidR="00FF7A41" w:rsidRPr="004447F6">
        <w:rPr>
          <w:rFonts w:cstheme="minorHAnsi"/>
          <w:i/>
          <w:iCs/>
        </w:rPr>
        <w:t>)</w:t>
      </w:r>
      <w:r w:rsidR="00576D5C" w:rsidRPr="004447F6">
        <w:rPr>
          <w:rFonts w:cstheme="minorHAnsi"/>
          <w:i/>
          <w:iCs/>
        </w:rPr>
        <w:t xml:space="preserve">. </w:t>
      </w:r>
      <w:r w:rsidR="00576D5C" w:rsidRPr="004447F6">
        <w:rPr>
          <w:rFonts w:cstheme="minorHAnsi"/>
        </w:rPr>
        <w:t>A</w:t>
      </w:r>
      <w:r w:rsidRPr="004447F6">
        <w:rPr>
          <w:rFonts w:cstheme="minorHAnsi"/>
        </w:rPr>
        <w:t>s of</w:t>
      </w:r>
      <w:r w:rsidR="006F6324" w:rsidRPr="004447F6">
        <w:rPr>
          <w:rFonts w:cstheme="minorHAnsi"/>
        </w:rPr>
        <w:t xml:space="preserve"> early June</w:t>
      </w:r>
      <w:r w:rsidRPr="004447F6">
        <w:rPr>
          <w:rFonts w:cstheme="minorHAnsi"/>
        </w:rPr>
        <w:t xml:space="preserve"> 2021, an estimated</w:t>
      </w:r>
      <w:r w:rsidR="006F6324" w:rsidRPr="004447F6">
        <w:rPr>
          <w:rFonts w:cstheme="minorHAnsi"/>
        </w:rPr>
        <w:t xml:space="preserve"> two billion</w:t>
      </w:r>
      <w:r w:rsidRPr="004447F6">
        <w:rPr>
          <w:rFonts w:cstheme="minorHAnsi"/>
        </w:rPr>
        <w:t xml:space="preserve"> </w:t>
      </w:r>
      <w:r w:rsidR="004A3C7D" w:rsidRPr="004447F6">
        <w:rPr>
          <w:rFonts w:cstheme="minorHAnsi"/>
        </w:rPr>
        <w:t>doses have been administered worldwide</w:t>
      </w:r>
      <w:r w:rsidR="00915BA7" w:rsidRPr="004447F6">
        <w:rPr>
          <w:rFonts w:cstheme="minorHAnsi"/>
        </w:rPr>
        <w:t xml:space="preserve"> </w:t>
      </w:r>
      <w:r w:rsidR="004A3C7D" w:rsidRPr="004447F6">
        <w:rPr>
          <w:rFonts w:cstheme="minorHAnsi"/>
        </w:rPr>
        <w:fldChar w:fldCharType="begin" w:fldLock="1"/>
      </w:r>
      <w:r w:rsidR="00CB023D" w:rsidRPr="004447F6">
        <w:rPr>
          <w:rFonts w:cstheme="minorHAnsi"/>
        </w:rPr>
        <w:instrText>ADDIN CSL_CITATION {"citationItems":[{"id":"ITEM-1","itemData":{"URL":"https://www.nytimes.com/interactive/2021/world/covid-vaccinations-tracker.html","accessed":{"date-parts":[["2021","3","29"]]},"author":[{"dropping-particle":"","family":"Holder","given":"Josh","non-dropping-particle":"","parse-names":false,"suffix":""}],"container-title":"New York Times","id":"ITEM-1","issued":{"date-parts":[["2021"]]},"title":"Tracking Coronavirus Vaccinations Around the World","type":"webpage"},"uris":["http://www.mendeley.com/documents/?uuid=1c79ae47-6078-43e0-b0ef-f9e4a32ca995"]}],"mendeley":{"formattedCitation":"(1)","plainTextFormattedCitation":"(1)","previouslyFormattedCitation":"(1)"},"properties":{"noteIndex":0},"schema":"https://github.com/citation-style-language/schema/raw/master/csl-citation.json"}</w:instrText>
      </w:r>
      <w:r w:rsidR="004A3C7D" w:rsidRPr="004447F6">
        <w:rPr>
          <w:rFonts w:cstheme="minorHAnsi"/>
        </w:rPr>
        <w:fldChar w:fldCharType="separate"/>
      </w:r>
      <w:r w:rsidR="00CB023D" w:rsidRPr="004447F6">
        <w:rPr>
          <w:rFonts w:cstheme="minorHAnsi"/>
          <w:noProof/>
        </w:rPr>
        <w:t>(1)</w:t>
      </w:r>
      <w:r w:rsidR="004A3C7D" w:rsidRPr="004447F6">
        <w:rPr>
          <w:rFonts w:cstheme="minorHAnsi"/>
        </w:rPr>
        <w:fldChar w:fldCharType="end"/>
      </w:r>
      <w:r w:rsidR="00915BA7" w:rsidRPr="004447F6">
        <w:rPr>
          <w:rFonts w:cstheme="minorHAnsi"/>
        </w:rPr>
        <w:t>.</w:t>
      </w:r>
      <w:r w:rsidR="004A3C7D" w:rsidRPr="004447F6">
        <w:rPr>
          <w:rFonts w:cstheme="minorHAnsi"/>
        </w:rPr>
        <w:t xml:space="preserve"> </w:t>
      </w:r>
      <w:r w:rsidR="00576D5C" w:rsidRPr="004447F6">
        <w:rPr>
          <w:rFonts w:cstheme="minorHAnsi"/>
        </w:rPr>
        <w:t>Neurological a</w:t>
      </w:r>
      <w:r w:rsidR="00567B60" w:rsidRPr="004447F6">
        <w:rPr>
          <w:rFonts w:cstheme="minorHAnsi"/>
        </w:rPr>
        <w:t>dverse events following immunisation (AEFI),</w:t>
      </w:r>
      <w:r w:rsidR="0053250B" w:rsidRPr="004447F6">
        <w:rPr>
          <w:rFonts w:cstheme="minorHAnsi"/>
        </w:rPr>
        <w:t xml:space="preserve"> such as </w:t>
      </w:r>
      <w:r w:rsidR="00FD5B08" w:rsidRPr="004447F6">
        <w:rPr>
          <w:rFonts w:cstheme="minorHAnsi"/>
        </w:rPr>
        <w:t>cerebral venous sinus thrombosis</w:t>
      </w:r>
      <w:r w:rsidR="00FE26E6" w:rsidRPr="004447F6">
        <w:rPr>
          <w:rFonts w:cstheme="minorHAnsi"/>
        </w:rPr>
        <w:t xml:space="preserve"> and demyelinating episodes</w:t>
      </w:r>
      <w:r w:rsidR="0053250B" w:rsidRPr="004447F6">
        <w:rPr>
          <w:rFonts w:cstheme="minorHAnsi"/>
        </w:rPr>
        <w:t>, have been reporte</w:t>
      </w:r>
      <w:r w:rsidR="00312CFD" w:rsidRPr="004447F6">
        <w:rPr>
          <w:rFonts w:cstheme="minorHAnsi"/>
        </w:rPr>
        <w:t>d. I</w:t>
      </w:r>
      <w:r w:rsidR="006C50D5" w:rsidRPr="004447F6">
        <w:rPr>
          <w:rFonts w:cstheme="minorHAnsi"/>
        </w:rPr>
        <w:t xml:space="preserve">n some </w:t>
      </w:r>
      <w:r w:rsidR="006F6324" w:rsidRPr="004447F6">
        <w:rPr>
          <w:rFonts w:cstheme="minorHAnsi"/>
        </w:rPr>
        <w:t>cases,</w:t>
      </w:r>
      <w:r w:rsidR="006C50D5" w:rsidRPr="004447F6">
        <w:rPr>
          <w:rFonts w:cstheme="minorHAnsi"/>
        </w:rPr>
        <w:t xml:space="preserve"> </w:t>
      </w:r>
      <w:r w:rsidR="00312CFD" w:rsidRPr="004447F6">
        <w:rPr>
          <w:rFonts w:cstheme="minorHAnsi"/>
        </w:rPr>
        <w:t xml:space="preserve">these </w:t>
      </w:r>
      <w:r w:rsidR="006C50D5" w:rsidRPr="004447F6">
        <w:rPr>
          <w:rFonts w:cstheme="minorHAnsi"/>
        </w:rPr>
        <w:t>have</w:t>
      </w:r>
      <w:r w:rsidR="0053250B" w:rsidRPr="004447F6">
        <w:rPr>
          <w:rFonts w:cstheme="minorHAnsi"/>
        </w:rPr>
        <w:t xml:space="preserve"> led to </w:t>
      </w:r>
      <w:r w:rsidR="00FE26E6" w:rsidRPr="004447F6">
        <w:rPr>
          <w:rFonts w:cstheme="minorHAnsi"/>
        </w:rPr>
        <w:t>the</w:t>
      </w:r>
      <w:r w:rsidR="00D13310" w:rsidRPr="004447F6">
        <w:rPr>
          <w:rFonts w:cstheme="minorHAnsi"/>
        </w:rPr>
        <w:t xml:space="preserve"> </w:t>
      </w:r>
      <w:r w:rsidR="0053250B" w:rsidRPr="004447F6">
        <w:rPr>
          <w:rFonts w:cstheme="minorHAnsi"/>
        </w:rPr>
        <w:t>temporary halting of</w:t>
      </w:r>
      <w:r w:rsidR="00D13310" w:rsidRPr="004447F6">
        <w:rPr>
          <w:rFonts w:cstheme="minorHAnsi"/>
        </w:rPr>
        <w:t xml:space="preserve"> both </w:t>
      </w:r>
      <w:r w:rsidR="0053250B" w:rsidRPr="004447F6">
        <w:rPr>
          <w:rFonts w:cstheme="minorHAnsi"/>
        </w:rPr>
        <w:t>vaccine</w:t>
      </w:r>
      <w:r w:rsidR="00FE26E6" w:rsidRPr="004447F6">
        <w:rPr>
          <w:rFonts w:cstheme="minorHAnsi"/>
        </w:rPr>
        <w:t xml:space="preserve"> trials and roll-out</w:t>
      </w:r>
      <w:r w:rsidR="0053250B" w:rsidRPr="004447F6">
        <w:rPr>
          <w:rFonts w:cstheme="minorHAnsi"/>
        </w:rPr>
        <w:t xml:space="preserve"> programmes</w:t>
      </w:r>
      <w:r w:rsidR="00FE26E6" w:rsidRPr="004447F6">
        <w:rPr>
          <w:rFonts w:cstheme="minorHAnsi"/>
        </w:rPr>
        <w:t xml:space="preserve"> in some countries</w:t>
      </w:r>
      <w:r w:rsidR="00915BA7" w:rsidRPr="004447F6">
        <w:rPr>
          <w:rFonts w:cstheme="minorHAnsi"/>
        </w:rPr>
        <w:t>.</w:t>
      </w:r>
      <w:r w:rsidR="006C50D5" w:rsidRPr="004447F6">
        <w:rPr>
          <w:rFonts w:cstheme="minorHAnsi"/>
        </w:rPr>
        <w:t xml:space="preserve"> </w:t>
      </w:r>
      <w:r w:rsidR="00FE147B" w:rsidRPr="004447F6">
        <w:rPr>
          <w:rFonts w:cstheme="minorHAnsi"/>
        </w:rPr>
        <w:t>In the absence of clear evidence of causal associations between the vaccine and adverse events,</w:t>
      </w:r>
      <w:r w:rsidR="00CB023D" w:rsidRPr="004447F6">
        <w:rPr>
          <w:rFonts w:cstheme="minorHAnsi"/>
        </w:rPr>
        <w:t xml:space="preserve"> or the rarity of the AEFIs themselves,</w:t>
      </w:r>
      <w:r w:rsidR="00FE147B" w:rsidRPr="004447F6">
        <w:rPr>
          <w:rFonts w:cstheme="minorHAnsi"/>
        </w:rPr>
        <w:t xml:space="preserve"> p</w:t>
      </w:r>
      <w:r w:rsidR="006C50D5" w:rsidRPr="004447F6">
        <w:rPr>
          <w:rFonts w:cstheme="minorHAnsi"/>
        </w:rPr>
        <w:t>rogrammes</w:t>
      </w:r>
      <w:r w:rsidR="0053250B" w:rsidRPr="004447F6">
        <w:rPr>
          <w:rFonts w:cstheme="minorHAnsi"/>
        </w:rPr>
        <w:t xml:space="preserve"> have </w:t>
      </w:r>
      <w:r w:rsidR="00FE26E6" w:rsidRPr="004447F6">
        <w:rPr>
          <w:rFonts w:cstheme="minorHAnsi"/>
        </w:rPr>
        <w:t xml:space="preserve">thus far </w:t>
      </w:r>
      <w:r w:rsidR="0053250B" w:rsidRPr="004447F6">
        <w:rPr>
          <w:rFonts w:cstheme="minorHAnsi"/>
        </w:rPr>
        <w:t>been restarted</w:t>
      </w:r>
      <w:r w:rsidR="00CD4C09" w:rsidRPr="004447F6">
        <w:rPr>
          <w:rFonts w:cstheme="minorHAnsi"/>
        </w:rPr>
        <w:t>, albeit sometimes with modifications to recommendations</w:t>
      </w:r>
      <w:r w:rsidR="00915BA7" w:rsidRPr="004447F6">
        <w:rPr>
          <w:rFonts w:cstheme="minorHAnsi"/>
        </w:rPr>
        <w:t xml:space="preserve"> </w:t>
      </w:r>
      <w:r w:rsidR="0053250B" w:rsidRPr="004447F6">
        <w:rPr>
          <w:rFonts w:cstheme="minorHAnsi"/>
        </w:rPr>
        <w:fldChar w:fldCharType="begin" w:fldLock="1"/>
      </w:r>
      <w:r w:rsidR="00CB023D" w:rsidRPr="004447F6">
        <w:rPr>
          <w:rFonts w:cstheme="minorHAnsi"/>
        </w:rPr>
        <w:instrText>ADDIN CSL_CITATION {"citationItems":[{"id":"ITEM-1","itemData":{"DOI":"doi.org/10.1136/bmj.n728","author":[{"dropping-particle":"","family":"Mahase","given":"Elisabeth","non-dropping-particle":"","parse-names":false,"suffix":""}],"container-title":"British Medical Journal","id":"ITEM-1","issue":"n728","issued":{"date-parts":[["2021"]]},"title":"Covid-19: WHO says rollout of AstraZeneca vaccine should continue, as Europe divides over safety","type":"article-journal","volume":"372"},"uris":["http://www.mendeley.com/documents/?uuid=bb7e8615-048f-45f8-a2cc-02d637720b80"]}],"mendeley":{"formattedCitation":"(2)","plainTextFormattedCitation":"(2)","previouslyFormattedCitation":"(2)"},"properties":{"noteIndex":0},"schema":"https://github.com/citation-style-language/schema/raw/master/csl-citation.json"}</w:instrText>
      </w:r>
      <w:r w:rsidR="0053250B" w:rsidRPr="004447F6">
        <w:rPr>
          <w:rFonts w:cstheme="minorHAnsi"/>
        </w:rPr>
        <w:fldChar w:fldCharType="separate"/>
      </w:r>
      <w:r w:rsidR="00CB023D" w:rsidRPr="004447F6">
        <w:rPr>
          <w:rFonts w:cstheme="minorHAnsi"/>
          <w:noProof/>
        </w:rPr>
        <w:t>(2)</w:t>
      </w:r>
      <w:r w:rsidR="0053250B" w:rsidRPr="004447F6">
        <w:rPr>
          <w:rFonts w:cstheme="minorHAnsi"/>
        </w:rPr>
        <w:fldChar w:fldCharType="end"/>
      </w:r>
      <w:r w:rsidR="00915BA7" w:rsidRPr="004447F6">
        <w:rPr>
          <w:rFonts w:cstheme="minorHAnsi"/>
        </w:rPr>
        <w:t>.</w:t>
      </w:r>
      <w:r w:rsidR="008239C3" w:rsidRPr="004447F6">
        <w:rPr>
          <w:rFonts w:cstheme="minorHAnsi"/>
        </w:rPr>
        <w:t xml:space="preserve"> </w:t>
      </w:r>
    </w:p>
    <w:tbl>
      <w:tblPr>
        <w:tblStyle w:val="TableGrid"/>
        <w:tblW w:w="0" w:type="auto"/>
        <w:tblLook w:val="04A0" w:firstRow="1" w:lastRow="0" w:firstColumn="1" w:lastColumn="0" w:noHBand="0" w:noVBand="1"/>
      </w:tblPr>
      <w:tblGrid>
        <w:gridCol w:w="3005"/>
        <w:gridCol w:w="2235"/>
        <w:gridCol w:w="3776"/>
      </w:tblGrid>
      <w:tr w:rsidR="00FF7A41" w:rsidRPr="004447F6" w14:paraId="26260815" w14:textId="77777777" w:rsidTr="006F6324">
        <w:tc>
          <w:tcPr>
            <w:tcW w:w="3005" w:type="dxa"/>
          </w:tcPr>
          <w:p w14:paraId="3CC980C5" w14:textId="77777777" w:rsidR="00FF7A41" w:rsidRPr="004447F6" w:rsidRDefault="00FF7A41" w:rsidP="006A4BE4">
            <w:pPr>
              <w:rPr>
                <w:rFonts w:cstheme="minorHAnsi"/>
                <w:b/>
                <w:bCs/>
                <w:sz w:val="18"/>
                <w:szCs w:val="18"/>
              </w:rPr>
            </w:pPr>
            <w:r w:rsidRPr="004447F6">
              <w:rPr>
                <w:rFonts w:cstheme="minorHAnsi"/>
                <w:b/>
                <w:bCs/>
                <w:sz w:val="18"/>
                <w:szCs w:val="18"/>
              </w:rPr>
              <w:t>Vaccine</w:t>
            </w:r>
          </w:p>
        </w:tc>
        <w:tc>
          <w:tcPr>
            <w:tcW w:w="2235" w:type="dxa"/>
          </w:tcPr>
          <w:p w14:paraId="195DC7BB" w14:textId="77777777" w:rsidR="00FF7A41" w:rsidRPr="004447F6" w:rsidRDefault="00FF7A41" w:rsidP="006A4BE4">
            <w:pPr>
              <w:rPr>
                <w:rFonts w:cstheme="minorHAnsi"/>
                <w:b/>
                <w:bCs/>
                <w:sz w:val="18"/>
                <w:szCs w:val="18"/>
              </w:rPr>
            </w:pPr>
            <w:r w:rsidRPr="004447F6">
              <w:rPr>
                <w:rFonts w:cstheme="minorHAnsi"/>
                <w:b/>
                <w:bCs/>
                <w:sz w:val="18"/>
                <w:szCs w:val="18"/>
              </w:rPr>
              <w:t>Vaccine type</w:t>
            </w:r>
          </w:p>
        </w:tc>
        <w:tc>
          <w:tcPr>
            <w:tcW w:w="3776" w:type="dxa"/>
          </w:tcPr>
          <w:p w14:paraId="3DC41352" w14:textId="77777777" w:rsidR="00FF7A41" w:rsidRPr="004447F6" w:rsidRDefault="00FF7A41" w:rsidP="006A4BE4">
            <w:pPr>
              <w:rPr>
                <w:rFonts w:cstheme="minorHAnsi"/>
                <w:b/>
                <w:bCs/>
                <w:sz w:val="18"/>
                <w:szCs w:val="18"/>
              </w:rPr>
            </w:pPr>
            <w:r w:rsidRPr="004447F6">
              <w:rPr>
                <w:rFonts w:cstheme="minorHAnsi"/>
                <w:b/>
                <w:bCs/>
                <w:sz w:val="18"/>
                <w:szCs w:val="18"/>
              </w:rPr>
              <w:t>Developer</w:t>
            </w:r>
          </w:p>
        </w:tc>
      </w:tr>
      <w:tr w:rsidR="00FF7A41" w:rsidRPr="004447F6" w14:paraId="6EED2897" w14:textId="77777777" w:rsidTr="006F6324">
        <w:tc>
          <w:tcPr>
            <w:tcW w:w="3005" w:type="dxa"/>
          </w:tcPr>
          <w:p w14:paraId="1C10D88F" w14:textId="77777777" w:rsidR="00FF7A41" w:rsidRPr="004447F6" w:rsidRDefault="00FF7A41" w:rsidP="006A4BE4">
            <w:pPr>
              <w:rPr>
                <w:rFonts w:cstheme="minorHAnsi"/>
                <w:sz w:val="18"/>
                <w:szCs w:val="18"/>
              </w:rPr>
            </w:pPr>
            <w:proofErr w:type="spellStart"/>
            <w:r w:rsidRPr="004447F6">
              <w:rPr>
                <w:rFonts w:cstheme="minorHAnsi"/>
                <w:sz w:val="18"/>
                <w:szCs w:val="18"/>
              </w:rPr>
              <w:t>Comirnaty</w:t>
            </w:r>
            <w:proofErr w:type="spellEnd"/>
            <w:r w:rsidRPr="004447F6">
              <w:rPr>
                <w:rFonts w:cstheme="minorHAnsi"/>
                <w:sz w:val="18"/>
                <w:szCs w:val="18"/>
              </w:rPr>
              <w:t xml:space="preserve"> (</w:t>
            </w:r>
            <w:proofErr w:type="spellStart"/>
            <w:r w:rsidRPr="004447F6">
              <w:rPr>
                <w:rFonts w:cstheme="minorHAnsi"/>
                <w:sz w:val="18"/>
                <w:szCs w:val="18"/>
              </w:rPr>
              <w:t>BNT162b2</w:t>
            </w:r>
            <w:proofErr w:type="spellEnd"/>
            <w:r w:rsidRPr="004447F6">
              <w:rPr>
                <w:rFonts w:cstheme="minorHAnsi"/>
                <w:sz w:val="18"/>
                <w:szCs w:val="18"/>
              </w:rPr>
              <w:t>)</w:t>
            </w:r>
          </w:p>
        </w:tc>
        <w:tc>
          <w:tcPr>
            <w:tcW w:w="2235" w:type="dxa"/>
          </w:tcPr>
          <w:p w14:paraId="4D50B200" w14:textId="77777777" w:rsidR="00FF7A41" w:rsidRPr="004447F6" w:rsidRDefault="00FF7A41" w:rsidP="006A4BE4">
            <w:pPr>
              <w:rPr>
                <w:rFonts w:cstheme="minorHAnsi"/>
                <w:sz w:val="18"/>
                <w:szCs w:val="18"/>
              </w:rPr>
            </w:pPr>
            <w:r w:rsidRPr="004447F6">
              <w:rPr>
                <w:rFonts w:cstheme="minorHAnsi"/>
                <w:sz w:val="18"/>
                <w:szCs w:val="18"/>
              </w:rPr>
              <w:t>mRNA-based</w:t>
            </w:r>
          </w:p>
        </w:tc>
        <w:tc>
          <w:tcPr>
            <w:tcW w:w="3776" w:type="dxa"/>
          </w:tcPr>
          <w:p w14:paraId="2BC991DA" w14:textId="77777777" w:rsidR="00FF7A41" w:rsidRPr="004447F6" w:rsidRDefault="00FF7A41" w:rsidP="006A4BE4">
            <w:pPr>
              <w:rPr>
                <w:rFonts w:cstheme="minorHAnsi"/>
                <w:sz w:val="18"/>
                <w:szCs w:val="18"/>
              </w:rPr>
            </w:pPr>
            <w:r w:rsidRPr="004447F6">
              <w:rPr>
                <w:rFonts w:cstheme="minorHAnsi"/>
                <w:sz w:val="18"/>
                <w:szCs w:val="18"/>
              </w:rPr>
              <w:t>Pfizer</w:t>
            </w:r>
          </w:p>
        </w:tc>
      </w:tr>
      <w:tr w:rsidR="00FF7A41" w:rsidRPr="004447F6" w14:paraId="7991C68D" w14:textId="77777777" w:rsidTr="006F6324">
        <w:tc>
          <w:tcPr>
            <w:tcW w:w="3005" w:type="dxa"/>
          </w:tcPr>
          <w:p w14:paraId="1B3B253D" w14:textId="77777777" w:rsidR="00FF7A41" w:rsidRPr="004447F6" w:rsidRDefault="00FF7A41" w:rsidP="006A4BE4">
            <w:pPr>
              <w:rPr>
                <w:rFonts w:cstheme="minorHAnsi"/>
                <w:sz w:val="18"/>
                <w:szCs w:val="18"/>
              </w:rPr>
            </w:pPr>
            <w:r w:rsidRPr="004447F6">
              <w:rPr>
                <w:rFonts w:cstheme="minorHAnsi"/>
                <w:sz w:val="18"/>
                <w:szCs w:val="18"/>
              </w:rPr>
              <w:t>COVID-19 Vaccine AstraZeneca (AZD1222)</w:t>
            </w:r>
          </w:p>
        </w:tc>
        <w:tc>
          <w:tcPr>
            <w:tcW w:w="2235" w:type="dxa"/>
          </w:tcPr>
          <w:p w14:paraId="47105CB7" w14:textId="77777777" w:rsidR="00FF7A41" w:rsidRPr="004447F6" w:rsidRDefault="00FF7A41" w:rsidP="006A4BE4">
            <w:pPr>
              <w:rPr>
                <w:rFonts w:cstheme="minorHAnsi"/>
                <w:sz w:val="18"/>
                <w:szCs w:val="18"/>
              </w:rPr>
            </w:pPr>
            <w:r w:rsidRPr="004447F6">
              <w:rPr>
                <w:rFonts w:cstheme="minorHAnsi"/>
                <w:sz w:val="18"/>
                <w:szCs w:val="18"/>
              </w:rPr>
              <w:t xml:space="preserve">Adenovirus </w:t>
            </w:r>
          </w:p>
        </w:tc>
        <w:tc>
          <w:tcPr>
            <w:tcW w:w="3776" w:type="dxa"/>
          </w:tcPr>
          <w:p w14:paraId="59C1C43A" w14:textId="77777777" w:rsidR="00FF7A41" w:rsidRPr="004447F6" w:rsidRDefault="00FF7A41" w:rsidP="006A4BE4">
            <w:pPr>
              <w:rPr>
                <w:rFonts w:cstheme="minorHAnsi"/>
                <w:sz w:val="18"/>
                <w:szCs w:val="18"/>
              </w:rPr>
            </w:pPr>
            <w:r w:rsidRPr="004447F6">
              <w:rPr>
                <w:rFonts w:cstheme="minorHAnsi"/>
                <w:sz w:val="18"/>
                <w:szCs w:val="18"/>
              </w:rPr>
              <w:t>AstraZeneca</w:t>
            </w:r>
          </w:p>
        </w:tc>
      </w:tr>
      <w:tr w:rsidR="00FF7A41" w:rsidRPr="004447F6" w14:paraId="51D6B98F" w14:textId="77777777" w:rsidTr="006F6324">
        <w:tc>
          <w:tcPr>
            <w:tcW w:w="3005" w:type="dxa"/>
          </w:tcPr>
          <w:p w14:paraId="687AF51F" w14:textId="77777777" w:rsidR="00FF7A41" w:rsidRPr="004447F6" w:rsidRDefault="00FF7A41" w:rsidP="006A4BE4">
            <w:pPr>
              <w:rPr>
                <w:rFonts w:cstheme="minorHAnsi"/>
                <w:sz w:val="18"/>
                <w:szCs w:val="18"/>
              </w:rPr>
            </w:pPr>
            <w:r w:rsidRPr="004447F6">
              <w:rPr>
                <w:rFonts w:cstheme="minorHAnsi"/>
                <w:sz w:val="18"/>
                <w:szCs w:val="18"/>
              </w:rPr>
              <w:t>COVID-19 Vaccine Janssen (JNJ-78436735; Ad26.COV</w:t>
            </w:r>
            <w:proofErr w:type="gramStart"/>
            <w:r w:rsidRPr="004447F6">
              <w:rPr>
                <w:rFonts w:cstheme="minorHAnsi"/>
                <w:sz w:val="18"/>
                <w:szCs w:val="18"/>
              </w:rPr>
              <w:t>2.S</w:t>
            </w:r>
            <w:proofErr w:type="gramEnd"/>
            <w:r w:rsidRPr="004447F6">
              <w:rPr>
                <w:rFonts w:cstheme="minorHAnsi"/>
                <w:sz w:val="18"/>
                <w:szCs w:val="18"/>
              </w:rPr>
              <w:t>)</w:t>
            </w:r>
          </w:p>
        </w:tc>
        <w:tc>
          <w:tcPr>
            <w:tcW w:w="2235" w:type="dxa"/>
          </w:tcPr>
          <w:p w14:paraId="501AA7AA" w14:textId="77777777" w:rsidR="00FF7A41" w:rsidRPr="004447F6" w:rsidRDefault="00FF7A41" w:rsidP="006A4BE4">
            <w:pPr>
              <w:rPr>
                <w:rFonts w:cstheme="minorHAnsi"/>
                <w:sz w:val="18"/>
                <w:szCs w:val="18"/>
              </w:rPr>
            </w:pPr>
            <w:r w:rsidRPr="004447F6">
              <w:rPr>
                <w:rFonts w:cstheme="minorHAnsi"/>
                <w:sz w:val="18"/>
                <w:szCs w:val="18"/>
              </w:rPr>
              <w:t>Non-replicating viral vector</w:t>
            </w:r>
          </w:p>
        </w:tc>
        <w:tc>
          <w:tcPr>
            <w:tcW w:w="3776" w:type="dxa"/>
          </w:tcPr>
          <w:p w14:paraId="299EF2D6" w14:textId="77777777" w:rsidR="00FF7A41" w:rsidRPr="004447F6" w:rsidRDefault="00FF7A41" w:rsidP="006A4BE4">
            <w:pPr>
              <w:rPr>
                <w:rFonts w:cstheme="minorHAnsi"/>
                <w:sz w:val="18"/>
                <w:szCs w:val="18"/>
              </w:rPr>
            </w:pPr>
            <w:r w:rsidRPr="004447F6">
              <w:rPr>
                <w:rFonts w:cstheme="minorHAnsi"/>
                <w:sz w:val="18"/>
                <w:szCs w:val="18"/>
              </w:rPr>
              <w:t>Janssen Vaccines (Johnson &amp; Johnson)</w:t>
            </w:r>
          </w:p>
        </w:tc>
      </w:tr>
      <w:tr w:rsidR="00FF7A41" w:rsidRPr="004447F6" w14:paraId="26CCFC57" w14:textId="77777777" w:rsidTr="006F6324">
        <w:tc>
          <w:tcPr>
            <w:tcW w:w="3005" w:type="dxa"/>
          </w:tcPr>
          <w:p w14:paraId="3599772B" w14:textId="77777777" w:rsidR="00FF7A41" w:rsidRPr="004447F6" w:rsidRDefault="00FF7A41" w:rsidP="006A4BE4">
            <w:pPr>
              <w:rPr>
                <w:rFonts w:cstheme="minorHAnsi"/>
                <w:sz w:val="18"/>
                <w:szCs w:val="18"/>
              </w:rPr>
            </w:pPr>
            <w:r w:rsidRPr="004447F6">
              <w:rPr>
                <w:rFonts w:cstheme="minorHAnsi"/>
                <w:sz w:val="18"/>
                <w:szCs w:val="18"/>
              </w:rPr>
              <w:t>Moderna COVID</w:t>
            </w:r>
            <w:r w:rsidRPr="004447F6">
              <w:rPr>
                <w:rFonts w:ascii="Cambria Math" w:hAnsi="Cambria Math" w:cs="Cambria Math"/>
                <w:sz w:val="18"/>
                <w:szCs w:val="18"/>
              </w:rPr>
              <w:t>‑</w:t>
            </w:r>
            <w:r w:rsidRPr="004447F6">
              <w:rPr>
                <w:rFonts w:cstheme="minorHAnsi"/>
                <w:sz w:val="18"/>
                <w:szCs w:val="18"/>
              </w:rPr>
              <w:t>19 Vaccine (mRNA-1273)</w:t>
            </w:r>
          </w:p>
        </w:tc>
        <w:tc>
          <w:tcPr>
            <w:tcW w:w="2235" w:type="dxa"/>
          </w:tcPr>
          <w:p w14:paraId="5B7D8CC1" w14:textId="77777777" w:rsidR="00FF7A41" w:rsidRPr="004447F6" w:rsidRDefault="00FF7A41" w:rsidP="006A4BE4">
            <w:pPr>
              <w:rPr>
                <w:rFonts w:cstheme="minorHAnsi"/>
                <w:sz w:val="18"/>
                <w:szCs w:val="18"/>
              </w:rPr>
            </w:pPr>
            <w:r w:rsidRPr="004447F6">
              <w:rPr>
                <w:rFonts w:cstheme="minorHAnsi"/>
                <w:sz w:val="18"/>
                <w:szCs w:val="18"/>
              </w:rPr>
              <w:t xml:space="preserve">mRNA-based </w:t>
            </w:r>
          </w:p>
        </w:tc>
        <w:tc>
          <w:tcPr>
            <w:tcW w:w="3776" w:type="dxa"/>
          </w:tcPr>
          <w:p w14:paraId="7A8DA3AC" w14:textId="77777777" w:rsidR="00FF7A41" w:rsidRPr="004447F6" w:rsidRDefault="00FF7A41" w:rsidP="006A4BE4">
            <w:pPr>
              <w:rPr>
                <w:rFonts w:cstheme="minorHAnsi"/>
                <w:sz w:val="18"/>
                <w:szCs w:val="18"/>
              </w:rPr>
            </w:pPr>
            <w:r w:rsidRPr="004447F6">
              <w:rPr>
                <w:rFonts w:cstheme="minorHAnsi"/>
                <w:sz w:val="18"/>
                <w:szCs w:val="18"/>
              </w:rPr>
              <w:t>Moderna</w:t>
            </w:r>
          </w:p>
        </w:tc>
      </w:tr>
      <w:tr w:rsidR="00FF7A41" w:rsidRPr="004447F6" w14:paraId="61BE66F2" w14:textId="77777777" w:rsidTr="006F6324">
        <w:tc>
          <w:tcPr>
            <w:tcW w:w="3005" w:type="dxa"/>
          </w:tcPr>
          <w:p w14:paraId="20F95D04" w14:textId="77777777" w:rsidR="00FF7A41" w:rsidRPr="004447F6" w:rsidRDefault="00FF7A41" w:rsidP="006A4BE4">
            <w:pPr>
              <w:rPr>
                <w:rFonts w:cstheme="minorHAnsi"/>
                <w:sz w:val="18"/>
                <w:szCs w:val="18"/>
              </w:rPr>
            </w:pPr>
            <w:r w:rsidRPr="004447F6">
              <w:rPr>
                <w:rFonts w:cstheme="minorHAnsi"/>
                <w:sz w:val="18"/>
                <w:szCs w:val="18"/>
              </w:rPr>
              <w:t>Sputnik V (rAd26 and rAd5)</w:t>
            </w:r>
          </w:p>
        </w:tc>
        <w:tc>
          <w:tcPr>
            <w:tcW w:w="2235" w:type="dxa"/>
          </w:tcPr>
          <w:p w14:paraId="197219E7" w14:textId="77777777" w:rsidR="00FF7A41" w:rsidRPr="004447F6" w:rsidRDefault="00FF7A41" w:rsidP="006A4BE4">
            <w:pPr>
              <w:rPr>
                <w:rFonts w:cstheme="minorHAnsi"/>
                <w:sz w:val="18"/>
                <w:szCs w:val="18"/>
              </w:rPr>
            </w:pPr>
            <w:r w:rsidRPr="004447F6">
              <w:rPr>
                <w:rFonts w:cstheme="minorHAnsi"/>
                <w:sz w:val="18"/>
                <w:szCs w:val="18"/>
              </w:rPr>
              <w:t xml:space="preserve">Recombinant adenovirus </w:t>
            </w:r>
          </w:p>
        </w:tc>
        <w:tc>
          <w:tcPr>
            <w:tcW w:w="3776" w:type="dxa"/>
          </w:tcPr>
          <w:p w14:paraId="49587647" w14:textId="77777777" w:rsidR="00FF7A41" w:rsidRPr="004447F6" w:rsidRDefault="00FF7A41" w:rsidP="006A4BE4">
            <w:pPr>
              <w:rPr>
                <w:rFonts w:cstheme="minorHAnsi"/>
                <w:sz w:val="18"/>
                <w:szCs w:val="18"/>
              </w:rPr>
            </w:pPr>
            <w:r w:rsidRPr="004447F6">
              <w:rPr>
                <w:rFonts w:cstheme="minorHAnsi"/>
                <w:sz w:val="18"/>
                <w:szCs w:val="18"/>
              </w:rPr>
              <w:t>Gamaleya Research Institute</w:t>
            </w:r>
          </w:p>
        </w:tc>
      </w:tr>
      <w:tr w:rsidR="006F6324" w:rsidRPr="004447F6" w14:paraId="76BD2F30" w14:textId="77777777" w:rsidTr="006F6324">
        <w:tc>
          <w:tcPr>
            <w:tcW w:w="3005" w:type="dxa"/>
          </w:tcPr>
          <w:p w14:paraId="69A172F5" w14:textId="139B1761" w:rsidR="006F6324" w:rsidRPr="004447F6" w:rsidRDefault="006F6324" w:rsidP="006A4BE4">
            <w:pPr>
              <w:rPr>
                <w:rFonts w:cstheme="minorHAnsi"/>
                <w:sz w:val="18"/>
                <w:szCs w:val="18"/>
              </w:rPr>
            </w:pPr>
            <w:r w:rsidRPr="004447F6">
              <w:rPr>
                <w:rFonts w:cstheme="minorHAnsi"/>
                <w:sz w:val="18"/>
                <w:szCs w:val="18"/>
              </w:rPr>
              <w:t>Sputnik Light (rAd26)</w:t>
            </w:r>
          </w:p>
        </w:tc>
        <w:tc>
          <w:tcPr>
            <w:tcW w:w="2235" w:type="dxa"/>
          </w:tcPr>
          <w:p w14:paraId="71C4081A" w14:textId="261B3C0D" w:rsidR="006F6324" w:rsidRPr="004447F6" w:rsidRDefault="006F6324" w:rsidP="006A4BE4">
            <w:pPr>
              <w:rPr>
                <w:rFonts w:cstheme="minorHAnsi"/>
                <w:sz w:val="18"/>
                <w:szCs w:val="18"/>
              </w:rPr>
            </w:pPr>
            <w:r w:rsidRPr="004447F6">
              <w:rPr>
                <w:rFonts w:cstheme="minorHAnsi"/>
                <w:sz w:val="18"/>
                <w:szCs w:val="18"/>
              </w:rPr>
              <w:t>Recombinant adenovirus</w:t>
            </w:r>
          </w:p>
        </w:tc>
        <w:tc>
          <w:tcPr>
            <w:tcW w:w="3776" w:type="dxa"/>
          </w:tcPr>
          <w:p w14:paraId="0877CB41" w14:textId="45B24472" w:rsidR="006F6324" w:rsidRPr="004447F6" w:rsidRDefault="006F6324" w:rsidP="006A4BE4">
            <w:pPr>
              <w:rPr>
                <w:rFonts w:cstheme="minorHAnsi"/>
                <w:sz w:val="18"/>
                <w:szCs w:val="18"/>
              </w:rPr>
            </w:pPr>
            <w:r w:rsidRPr="004447F6">
              <w:rPr>
                <w:rFonts w:cstheme="minorHAnsi"/>
                <w:sz w:val="18"/>
                <w:szCs w:val="18"/>
              </w:rPr>
              <w:t>Gamaleya Research Institute</w:t>
            </w:r>
          </w:p>
        </w:tc>
      </w:tr>
      <w:tr w:rsidR="00FF7A41" w:rsidRPr="004447F6" w14:paraId="61BA54AC" w14:textId="77777777" w:rsidTr="006F6324">
        <w:tc>
          <w:tcPr>
            <w:tcW w:w="3005" w:type="dxa"/>
          </w:tcPr>
          <w:p w14:paraId="608033FE" w14:textId="77777777" w:rsidR="00FF7A41" w:rsidRPr="004447F6" w:rsidRDefault="00FF7A41" w:rsidP="006A4BE4">
            <w:pPr>
              <w:rPr>
                <w:rFonts w:cstheme="minorHAnsi"/>
                <w:sz w:val="18"/>
                <w:szCs w:val="18"/>
              </w:rPr>
            </w:pPr>
            <w:r w:rsidRPr="004447F6">
              <w:rPr>
                <w:rFonts w:cstheme="minorHAnsi"/>
                <w:sz w:val="18"/>
                <w:szCs w:val="18"/>
              </w:rPr>
              <w:t>BBIBP-CorV</w:t>
            </w:r>
          </w:p>
        </w:tc>
        <w:tc>
          <w:tcPr>
            <w:tcW w:w="2235" w:type="dxa"/>
          </w:tcPr>
          <w:p w14:paraId="31578E8F" w14:textId="77777777" w:rsidR="00FF7A41" w:rsidRPr="004447F6" w:rsidRDefault="00FF7A41" w:rsidP="006A4BE4">
            <w:pPr>
              <w:rPr>
                <w:rFonts w:cstheme="minorHAnsi"/>
                <w:sz w:val="18"/>
                <w:szCs w:val="18"/>
              </w:rPr>
            </w:pPr>
            <w:r w:rsidRPr="004447F6">
              <w:rPr>
                <w:rFonts w:cstheme="minorHAnsi"/>
                <w:sz w:val="18"/>
                <w:szCs w:val="18"/>
              </w:rPr>
              <w:t>Inactivated SARS-CoV-2</w:t>
            </w:r>
          </w:p>
        </w:tc>
        <w:tc>
          <w:tcPr>
            <w:tcW w:w="3776" w:type="dxa"/>
          </w:tcPr>
          <w:p w14:paraId="0704E463" w14:textId="77777777" w:rsidR="00FF7A41" w:rsidRPr="004447F6" w:rsidRDefault="00FF7A41" w:rsidP="006A4BE4">
            <w:pPr>
              <w:rPr>
                <w:rFonts w:cstheme="minorHAnsi"/>
                <w:sz w:val="18"/>
                <w:szCs w:val="18"/>
              </w:rPr>
            </w:pPr>
            <w:r w:rsidRPr="004447F6">
              <w:rPr>
                <w:rFonts w:cstheme="minorHAnsi"/>
                <w:sz w:val="18"/>
                <w:szCs w:val="18"/>
              </w:rPr>
              <w:t>Sinopharm</w:t>
            </w:r>
          </w:p>
        </w:tc>
      </w:tr>
      <w:tr w:rsidR="00FF7A41" w:rsidRPr="004447F6" w14:paraId="5C30A0C7" w14:textId="77777777" w:rsidTr="006F6324">
        <w:tc>
          <w:tcPr>
            <w:tcW w:w="3005" w:type="dxa"/>
          </w:tcPr>
          <w:p w14:paraId="444F38DB" w14:textId="77777777" w:rsidR="00FF7A41" w:rsidRPr="004447F6" w:rsidRDefault="00FF7A41" w:rsidP="006A4BE4">
            <w:pPr>
              <w:rPr>
                <w:rFonts w:cstheme="minorHAnsi"/>
                <w:sz w:val="18"/>
                <w:szCs w:val="18"/>
              </w:rPr>
            </w:pPr>
            <w:r w:rsidRPr="004447F6">
              <w:rPr>
                <w:rFonts w:cstheme="minorHAnsi"/>
                <w:sz w:val="18"/>
                <w:szCs w:val="18"/>
              </w:rPr>
              <w:t>CoronaVac</w:t>
            </w:r>
          </w:p>
        </w:tc>
        <w:tc>
          <w:tcPr>
            <w:tcW w:w="2235" w:type="dxa"/>
          </w:tcPr>
          <w:p w14:paraId="2E44F264" w14:textId="77777777" w:rsidR="00FF7A41" w:rsidRPr="004447F6" w:rsidRDefault="00FF7A41" w:rsidP="006A4BE4">
            <w:pPr>
              <w:rPr>
                <w:rFonts w:cstheme="minorHAnsi"/>
                <w:sz w:val="18"/>
                <w:szCs w:val="18"/>
              </w:rPr>
            </w:pPr>
            <w:r w:rsidRPr="004447F6">
              <w:rPr>
                <w:rFonts w:cstheme="minorHAnsi"/>
                <w:sz w:val="18"/>
                <w:szCs w:val="18"/>
              </w:rPr>
              <w:t>Inactivated SARS-CoV-2</w:t>
            </w:r>
          </w:p>
        </w:tc>
        <w:tc>
          <w:tcPr>
            <w:tcW w:w="3776" w:type="dxa"/>
          </w:tcPr>
          <w:p w14:paraId="2613AF16" w14:textId="77777777" w:rsidR="00FF7A41" w:rsidRPr="004447F6" w:rsidRDefault="00FF7A41" w:rsidP="006A4BE4">
            <w:pPr>
              <w:rPr>
                <w:rFonts w:cstheme="minorHAnsi"/>
                <w:sz w:val="18"/>
                <w:szCs w:val="18"/>
              </w:rPr>
            </w:pPr>
            <w:r w:rsidRPr="004447F6">
              <w:rPr>
                <w:rFonts w:cstheme="minorHAnsi"/>
                <w:sz w:val="18"/>
                <w:szCs w:val="18"/>
              </w:rPr>
              <w:t>Sinovac</w:t>
            </w:r>
          </w:p>
        </w:tc>
      </w:tr>
      <w:tr w:rsidR="00FF7A41" w:rsidRPr="004447F6" w14:paraId="2BEADA39" w14:textId="77777777" w:rsidTr="006F6324">
        <w:tc>
          <w:tcPr>
            <w:tcW w:w="3005" w:type="dxa"/>
          </w:tcPr>
          <w:p w14:paraId="5094DE90" w14:textId="77777777" w:rsidR="00FF7A41" w:rsidRPr="004447F6" w:rsidRDefault="00FF7A41" w:rsidP="006A4BE4">
            <w:pPr>
              <w:rPr>
                <w:rFonts w:cstheme="minorHAnsi"/>
                <w:sz w:val="18"/>
                <w:szCs w:val="18"/>
              </w:rPr>
            </w:pPr>
            <w:r w:rsidRPr="004447F6">
              <w:rPr>
                <w:rFonts w:cstheme="minorHAnsi"/>
                <w:sz w:val="18"/>
                <w:szCs w:val="18"/>
              </w:rPr>
              <w:t xml:space="preserve">EpiVacCorona </w:t>
            </w:r>
          </w:p>
        </w:tc>
        <w:tc>
          <w:tcPr>
            <w:tcW w:w="2235" w:type="dxa"/>
          </w:tcPr>
          <w:p w14:paraId="7A2B2635" w14:textId="77777777" w:rsidR="00FF7A41" w:rsidRPr="004447F6" w:rsidRDefault="00FF7A41" w:rsidP="006A4BE4">
            <w:pPr>
              <w:rPr>
                <w:rFonts w:cstheme="minorHAnsi"/>
                <w:sz w:val="18"/>
                <w:szCs w:val="18"/>
              </w:rPr>
            </w:pPr>
            <w:r w:rsidRPr="004447F6">
              <w:rPr>
                <w:rFonts w:cstheme="minorHAnsi"/>
                <w:sz w:val="18"/>
                <w:szCs w:val="18"/>
              </w:rPr>
              <w:t>Peptide (spike protein)</w:t>
            </w:r>
          </w:p>
        </w:tc>
        <w:tc>
          <w:tcPr>
            <w:tcW w:w="3776" w:type="dxa"/>
          </w:tcPr>
          <w:p w14:paraId="6465AEAC" w14:textId="77777777" w:rsidR="00FF7A41" w:rsidRPr="004447F6" w:rsidRDefault="00FF7A41" w:rsidP="006A4BE4">
            <w:pPr>
              <w:rPr>
                <w:rFonts w:cstheme="minorHAnsi"/>
                <w:sz w:val="18"/>
                <w:szCs w:val="18"/>
              </w:rPr>
            </w:pPr>
            <w:r w:rsidRPr="004447F6">
              <w:rPr>
                <w:rFonts w:cstheme="minorHAnsi"/>
                <w:sz w:val="18"/>
                <w:szCs w:val="18"/>
              </w:rPr>
              <w:t>Federal Budgetary Research Institution State Research Center of Virology and Biotechnology</w:t>
            </w:r>
          </w:p>
        </w:tc>
      </w:tr>
      <w:tr w:rsidR="00FF7A41" w:rsidRPr="004447F6" w14:paraId="0BD74C86" w14:textId="77777777" w:rsidTr="006F6324">
        <w:tc>
          <w:tcPr>
            <w:tcW w:w="3005" w:type="dxa"/>
          </w:tcPr>
          <w:p w14:paraId="6BC27919" w14:textId="77777777" w:rsidR="00FF7A41" w:rsidRPr="004447F6" w:rsidRDefault="00FF7A41" w:rsidP="006A4BE4">
            <w:pPr>
              <w:rPr>
                <w:rFonts w:cstheme="minorHAnsi"/>
                <w:sz w:val="18"/>
                <w:szCs w:val="18"/>
              </w:rPr>
            </w:pPr>
            <w:r w:rsidRPr="004447F6">
              <w:rPr>
                <w:rFonts w:cstheme="minorHAnsi"/>
                <w:sz w:val="18"/>
                <w:szCs w:val="18"/>
              </w:rPr>
              <w:t>Convidicea (Ad5-nCoV)</w:t>
            </w:r>
          </w:p>
        </w:tc>
        <w:tc>
          <w:tcPr>
            <w:tcW w:w="2235" w:type="dxa"/>
          </w:tcPr>
          <w:p w14:paraId="1EAC9D5C" w14:textId="77777777" w:rsidR="00FF7A41" w:rsidRPr="004447F6" w:rsidRDefault="00FF7A41" w:rsidP="006A4BE4">
            <w:pPr>
              <w:rPr>
                <w:rFonts w:cstheme="minorHAnsi"/>
                <w:sz w:val="18"/>
                <w:szCs w:val="18"/>
              </w:rPr>
            </w:pPr>
            <w:r w:rsidRPr="004447F6">
              <w:rPr>
                <w:rFonts w:cstheme="minorHAnsi"/>
                <w:sz w:val="18"/>
                <w:szCs w:val="18"/>
              </w:rPr>
              <w:t xml:space="preserve">Recombinant adenovirus </w:t>
            </w:r>
          </w:p>
        </w:tc>
        <w:tc>
          <w:tcPr>
            <w:tcW w:w="3776" w:type="dxa"/>
          </w:tcPr>
          <w:p w14:paraId="5F1D8DD7" w14:textId="77777777" w:rsidR="00FF7A41" w:rsidRPr="004447F6" w:rsidRDefault="00FF7A41" w:rsidP="006A4BE4">
            <w:pPr>
              <w:rPr>
                <w:rFonts w:cstheme="minorHAnsi"/>
                <w:sz w:val="18"/>
                <w:szCs w:val="18"/>
              </w:rPr>
            </w:pPr>
            <w:r w:rsidRPr="004447F6">
              <w:rPr>
                <w:rFonts w:cstheme="minorHAnsi"/>
                <w:sz w:val="18"/>
                <w:szCs w:val="18"/>
              </w:rPr>
              <w:t>CanSino Biologics</w:t>
            </w:r>
          </w:p>
        </w:tc>
      </w:tr>
      <w:tr w:rsidR="00FF7A41" w:rsidRPr="004447F6" w14:paraId="7CB18703" w14:textId="77777777" w:rsidTr="006F6324">
        <w:tc>
          <w:tcPr>
            <w:tcW w:w="3005" w:type="dxa"/>
          </w:tcPr>
          <w:p w14:paraId="5D9F54DE" w14:textId="77777777" w:rsidR="00FF7A41" w:rsidRPr="004447F6" w:rsidRDefault="00FF7A41" w:rsidP="006A4BE4">
            <w:pPr>
              <w:rPr>
                <w:rFonts w:cstheme="minorHAnsi"/>
                <w:sz w:val="18"/>
                <w:szCs w:val="18"/>
              </w:rPr>
            </w:pPr>
            <w:proofErr w:type="spellStart"/>
            <w:r w:rsidRPr="004447F6">
              <w:rPr>
                <w:rFonts w:cstheme="minorHAnsi"/>
                <w:sz w:val="18"/>
                <w:szCs w:val="18"/>
              </w:rPr>
              <w:t>Covaxin</w:t>
            </w:r>
            <w:proofErr w:type="spellEnd"/>
          </w:p>
        </w:tc>
        <w:tc>
          <w:tcPr>
            <w:tcW w:w="2235" w:type="dxa"/>
          </w:tcPr>
          <w:p w14:paraId="4487BE96" w14:textId="77777777" w:rsidR="00FF7A41" w:rsidRPr="004447F6" w:rsidRDefault="00FF7A41" w:rsidP="006A4BE4">
            <w:pPr>
              <w:rPr>
                <w:rFonts w:cstheme="minorHAnsi"/>
                <w:sz w:val="18"/>
                <w:szCs w:val="18"/>
              </w:rPr>
            </w:pPr>
            <w:r w:rsidRPr="004447F6">
              <w:rPr>
                <w:rFonts w:cstheme="minorHAnsi"/>
                <w:sz w:val="18"/>
                <w:szCs w:val="18"/>
              </w:rPr>
              <w:t>Inactivated SARS-CoV-2</w:t>
            </w:r>
          </w:p>
        </w:tc>
        <w:tc>
          <w:tcPr>
            <w:tcW w:w="3776" w:type="dxa"/>
          </w:tcPr>
          <w:p w14:paraId="26A75696" w14:textId="77777777" w:rsidR="00FF7A41" w:rsidRPr="004447F6" w:rsidRDefault="00FF7A41" w:rsidP="006A4BE4">
            <w:pPr>
              <w:rPr>
                <w:rFonts w:cstheme="minorHAnsi"/>
                <w:sz w:val="18"/>
                <w:szCs w:val="18"/>
              </w:rPr>
            </w:pPr>
            <w:r w:rsidRPr="004447F6">
              <w:rPr>
                <w:rFonts w:cstheme="minorHAnsi"/>
                <w:sz w:val="18"/>
                <w:szCs w:val="18"/>
              </w:rPr>
              <w:t>Bharat Biotech</w:t>
            </w:r>
          </w:p>
        </w:tc>
      </w:tr>
      <w:tr w:rsidR="00FF7A41" w:rsidRPr="004447F6" w14:paraId="51B45A44" w14:textId="77777777" w:rsidTr="006F6324">
        <w:tc>
          <w:tcPr>
            <w:tcW w:w="3005" w:type="dxa"/>
          </w:tcPr>
          <w:p w14:paraId="41958C14" w14:textId="77777777" w:rsidR="00FF7A41" w:rsidRPr="004447F6" w:rsidRDefault="00FF7A41" w:rsidP="006A4BE4">
            <w:pPr>
              <w:rPr>
                <w:rFonts w:cstheme="minorHAnsi"/>
                <w:sz w:val="18"/>
                <w:szCs w:val="18"/>
              </w:rPr>
            </w:pPr>
            <w:proofErr w:type="spellStart"/>
            <w:r w:rsidRPr="004447F6">
              <w:rPr>
                <w:rFonts w:cstheme="minorHAnsi"/>
                <w:sz w:val="18"/>
                <w:szCs w:val="18"/>
              </w:rPr>
              <w:t>WIBP-CorV</w:t>
            </w:r>
            <w:proofErr w:type="spellEnd"/>
          </w:p>
        </w:tc>
        <w:tc>
          <w:tcPr>
            <w:tcW w:w="2235" w:type="dxa"/>
          </w:tcPr>
          <w:p w14:paraId="212BBD33" w14:textId="77777777" w:rsidR="00FF7A41" w:rsidRPr="004447F6" w:rsidRDefault="00FF7A41" w:rsidP="006A4BE4">
            <w:pPr>
              <w:rPr>
                <w:rFonts w:cstheme="minorHAnsi"/>
                <w:sz w:val="18"/>
                <w:szCs w:val="18"/>
              </w:rPr>
            </w:pPr>
            <w:r w:rsidRPr="004447F6">
              <w:rPr>
                <w:rFonts w:cstheme="minorHAnsi"/>
                <w:sz w:val="18"/>
                <w:szCs w:val="18"/>
              </w:rPr>
              <w:t>Inactivated SARS-CoV-2</w:t>
            </w:r>
          </w:p>
        </w:tc>
        <w:tc>
          <w:tcPr>
            <w:tcW w:w="3776" w:type="dxa"/>
          </w:tcPr>
          <w:p w14:paraId="26061084" w14:textId="77777777" w:rsidR="00FF7A41" w:rsidRPr="004447F6" w:rsidRDefault="00FF7A41" w:rsidP="006A4BE4">
            <w:pPr>
              <w:rPr>
                <w:rFonts w:cstheme="minorHAnsi"/>
                <w:sz w:val="18"/>
                <w:szCs w:val="18"/>
              </w:rPr>
            </w:pPr>
            <w:r w:rsidRPr="004447F6">
              <w:rPr>
                <w:rFonts w:cstheme="minorHAnsi"/>
                <w:sz w:val="18"/>
                <w:szCs w:val="18"/>
              </w:rPr>
              <w:t>Sinopharm</w:t>
            </w:r>
          </w:p>
        </w:tc>
      </w:tr>
      <w:tr w:rsidR="00FF7A41" w:rsidRPr="004447F6" w14:paraId="7405B890" w14:textId="77777777" w:rsidTr="006F6324">
        <w:tc>
          <w:tcPr>
            <w:tcW w:w="3005" w:type="dxa"/>
          </w:tcPr>
          <w:p w14:paraId="0EF7B308" w14:textId="77777777" w:rsidR="00FF7A41" w:rsidRPr="004447F6" w:rsidRDefault="00FF7A41" w:rsidP="006A4BE4">
            <w:pPr>
              <w:rPr>
                <w:rFonts w:cstheme="minorHAnsi"/>
                <w:sz w:val="18"/>
                <w:szCs w:val="18"/>
              </w:rPr>
            </w:pPr>
            <w:proofErr w:type="spellStart"/>
            <w:r w:rsidRPr="004447F6">
              <w:rPr>
                <w:rFonts w:cstheme="minorHAnsi"/>
                <w:sz w:val="18"/>
                <w:szCs w:val="18"/>
              </w:rPr>
              <w:t>CoviVac</w:t>
            </w:r>
            <w:proofErr w:type="spellEnd"/>
          </w:p>
        </w:tc>
        <w:tc>
          <w:tcPr>
            <w:tcW w:w="2235" w:type="dxa"/>
          </w:tcPr>
          <w:p w14:paraId="4F9BE297" w14:textId="77777777" w:rsidR="00FF7A41" w:rsidRPr="004447F6" w:rsidRDefault="00FF7A41" w:rsidP="006A4BE4">
            <w:pPr>
              <w:rPr>
                <w:rFonts w:cstheme="minorHAnsi"/>
                <w:sz w:val="18"/>
                <w:szCs w:val="18"/>
              </w:rPr>
            </w:pPr>
            <w:r w:rsidRPr="004447F6">
              <w:rPr>
                <w:rFonts w:cstheme="minorHAnsi"/>
                <w:sz w:val="18"/>
                <w:szCs w:val="18"/>
              </w:rPr>
              <w:t>Inactivated SARS-CoV-2</w:t>
            </w:r>
          </w:p>
        </w:tc>
        <w:tc>
          <w:tcPr>
            <w:tcW w:w="3776" w:type="dxa"/>
          </w:tcPr>
          <w:p w14:paraId="2A50ACE6" w14:textId="77777777" w:rsidR="00FF7A41" w:rsidRPr="004447F6" w:rsidRDefault="00FF7A41" w:rsidP="006A4BE4">
            <w:pPr>
              <w:rPr>
                <w:rFonts w:cstheme="minorHAnsi"/>
                <w:sz w:val="18"/>
                <w:szCs w:val="18"/>
              </w:rPr>
            </w:pPr>
            <w:proofErr w:type="spellStart"/>
            <w:r w:rsidRPr="004447F6">
              <w:rPr>
                <w:rFonts w:cstheme="minorHAnsi"/>
                <w:sz w:val="18"/>
                <w:szCs w:val="18"/>
              </w:rPr>
              <w:t>Chumakov</w:t>
            </w:r>
            <w:proofErr w:type="spellEnd"/>
            <w:r w:rsidRPr="004447F6">
              <w:rPr>
                <w:rFonts w:cstheme="minorHAnsi"/>
                <w:sz w:val="18"/>
                <w:szCs w:val="18"/>
              </w:rPr>
              <w:t xml:space="preserve"> Federal Scientific Center for Research and Development of Immune and Biological Products</w:t>
            </w:r>
          </w:p>
        </w:tc>
      </w:tr>
      <w:tr w:rsidR="00FF7A41" w:rsidRPr="004447F6" w14:paraId="532AC093" w14:textId="77777777" w:rsidTr="006F6324">
        <w:tc>
          <w:tcPr>
            <w:tcW w:w="3005" w:type="dxa"/>
          </w:tcPr>
          <w:p w14:paraId="1A865152" w14:textId="77777777" w:rsidR="00FF7A41" w:rsidRPr="004447F6" w:rsidRDefault="00FF7A41" w:rsidP="006A4BE4">
            <w:pPr>
              <w:rPr>
                <w:rFonts w:cstheme="minorHAnsi"/>
                <w:sz w:val="18"/>
                <w:szCs w:val="18"/>
              </w:rPr>
            </w:pPr>
            <w:r w:rsidRPr="004447F6">
              <w:rPr>
                <w:rFonts w:cstheme="minorHAnsi"/>
                <w:sz w:val="18"/>
                <w:szCs w:val="18"/>
              </w:rPr>
              <w:t>ZF2001</w:t>
            </w:r>
          </w:p>
        </w:tc>
        <w:tc>
          <w:tcPr>
            <w:tcW w:w="2235" w:type="dxa"/>
          </w:tcPr>
          <w:p w14:paraId="2DEA6492" w14:textId="4DF9E834" w:rsidR="00FF7A41" w:rsidRPr="004447F6" w:rsidRDefault="006F6324" w:rsidP="006A4BE4">
            <w:pPr>
              <w:rPr>
                <w:rFonts w:cstheme="minorHAnsi"/>
                <w:sz w:val="18"/>
                <w:szCs w:val="18"/>
              </w:rPr>
            </w:pPr>
            <w:r w:rsidRPr="004447F6">
              <w:rPr>
                <w:rFonts w:cstheme="minorHAnsi"/>
                <w:sz w:val="18"/>
                <w:szCs w:val="18"/>
              </w:rPr>
              <w:t>A</w:t>
            </w:r>
            <w:r w:rsidR="00FF7A41" w:rsidRPr="004447F6">
              <w:rPr>
                <w:rFonts w:cstheme="minorHAnsi"/>
                <w:sz w:val="18"/>
                <w:szCs w:val="18"/>
              </w:rPr>
              <w:t>djuvanted protein subunit</w:t>
            </w:r>
          </w:p>
        </w:tc>
        <w:tc>
          <w:tcPr>
            <w:tcW w:w="3776" w:type="dxa"/>
          </w:tcPr>
          <w:p w14:paraId="14210E35" w14:textId="77777777" w:rsidR="00FF7A41" w:rsidRPr="004447F6" w:rsidRDefault="00FF7A41" w:rsidP="006A4BE4">
            <w:pPr>
              <w:rPr>
                <w:rFonts w:cstheme="minorHAnsi"/>
                <w:sz w:val="18"/>
                <w:szCs w:val="18"/>
              </w:rPr>
            </w:pPr>
            <w:r w:rsidRPr="004447F6">
              <w:rPr>
                <w:rFonts w:cstheme="minorHAnsi"/>
                <w:sz w:val="18"/>
                <w:szCs w:val="18"/>
              </w:rPr>
              <w:t xml:space="preserve">Anhui </w:t>
            </w:r>
            <w:proofErr w:type="spellStart"/>
            <w:r w:rsidRPr="004447F6">
              <w:rPr>
                <w:rFonts w:cstheme="minorHAnsi"/>
                <w:sz w:val="18"/>
                <w:szCs w:val="18"/>
              </w:rPr>
              <w:t>Zhifei</w:t>
            </w:r>
            <w:proofErr w:type="spellEnd"/>
            <w:r w:rsidRPr="004447F6">
              <w:rPr>
                <w:rFonts w:cstheme="minorHAnsi"/>
                <w:sz w:val="18"/>
                <w:szCs w:val="18"/>
              </w:rPr>
              <w:t xml:space="preserve"> </w:t>
            </w:r>
            <w:proofErr w:type="spellStart"/>
            <w:r w:rsidRPr="004447F6">
              <w:rPr>
                <w:rFonts w:cstheme="minorHAnsi"/>
                <w:sz w:val="18"/>
                <w:szCs w:val="18"/>
              </w:rPr>
              <w:t>Longcom</w:t>
            </w:r>
            <w:proofErr w:type="spellEnd"/>
            <w:r w:rsidRPr="004447F6">
              <w:rPr>
                <w:rFonts w:cstheme="minorHAnsi"/>
                <w:sz w:val="18"/>
                <w:szCs w:val="18"/>
              </w:rPr>
              <w:t xml:space="preserve"> Biopharmaceutical</w:t>
            </w:r>
          </w:p>
        </w:tc>
      </w:tr>
      <w:tr w:rsidR="006F6324" w:rsidRPr="004447F6" w14:paraId="49102F5A" w14:textId="77777777" w:rsidTr="006F6324">
        <w:tc>
          <w:tcPr>
            <w:tcW w:w="3005" w:type="dxa"/>
          </w:tcPr>
          <w:p w14:paraId="25066D24" w14:textId="1A5D1C6F" w:rsidR="006F6324" w:rsidRPr="004447F6" w:rsidRDefault="006F6324" w:rsidP="006A4BE4">
            <w:pPr>
              <w:rPr>
                <w:rFonts w:cstheme="minorHAnsi"/>
                <w:sz w:val="18"/>
                <w:szCs w:val="18"/>
              </w:rPr>
            </w:pPr>
            <w:proofErr w:type="spellStart"/>
            <w:r w:rsidRPr="004447F6">
              <w:rPr>
                <w:rFonts w:cstheme="minorHAnsi"/>
                <w:sz w:val="18"/>
                <w:szCs w:val="18"/>
              </w:rPr>
              <w:t>QazVac</w:t>
            </w:r>
            <w:proofErr w:type="spellEnd"/>
            <w:r w:rsidRPr="004447F6">
              <w:rPr>
                <w:rFonts w:cstheme="minorHAnsi"/>
                <w:sz w:val="18"/>
                <w:szCs w:val="18"/>
              </w:rPr>
              <w:t xml:space="preserve"> (</w:t>
            </w:r>
            <w:proofErr w:type="spellStart"/>
            <w:r w:rsidRPr="004447F6">
              <w:rPr>
                <w:rFonts w:cstheme="minorHAnsi"/>
                <w:sz w:val="18"/>
                <w:szCs w:val="18"/>
              </w:rPr>
              <w:t>QazCovid</w:t>
            </w:r>
            <w:proofErr w:type="spellEnd"/>
            <w:r w:rsidRPr="004447F6">
              <w:rPr>
                <w:rFonts w:cstheme="minorHAnsi"/>
                <w:sz w:val="18"/>
                <w:szCs w:val="18"/>
              </w:rPr>
              <w:t>-in)</w:t>
            </w:r>
          </w:p>
        </w:tc>
        <w:tc>
          <w:tcPr>
            <w:tcW w:w="2235" w:type="dxa"/>
          </w:tcPr>
          <w:p w14:paraId="0295CCFB" w14:textId="18DAE716" w:rsidR="006F6324" w:rsidRPr="004447F6" w:rsidRDefault="006F6324" w:rsidP="006A4BE4">
            <w:pPr>
              <w:rPr>
                <w:rFonts w:cstheme="minorHAnsi"/>
                <w:sz w:val="18"/>
                <w:szCs w:val="18"/>
              </w:rPr>
            </w:pPr>
            <w:r w:rsidRPr="004447F6">
              <w:rPr>
                <w:rFonts w:cstheme="minorHAnsi"/>
                <w:sz w:val="18"/>
                <w:szCs w:val="18"/>
              </w:rPr>
              <w:t>Inactivated SARS-CoV-2</w:t>
            </w:r>
          </w:p>
        </w:tc>
        <w:tc>
          <w:tcPr>
            <w:tcW w:w="3776" w:type="dxa"/>
          </w:tcPr>
          <w:p w14:paraId="47E576ED" w14:textId="65E21285" w:rsidR="006F6324" w:rsidRPr="004447F6" w:rsidRDefault="006F6324" w:rsidP="006A4BE4">
            <w:pPr>
              <w:rPr>
                <w:rFonts w:cstheme="minorHAnsi"/>
                <w:sz w:val="18"/>
                <w:szCs w:val="18"/>
              </w:rPr>
            </w:pPr>
            <w:r w:rsidRPr="004447F6">
              <w:rPr>
                <w:rFonts w:cstheme="minorHAnsi"/>
                <w:sz w:val="18"/>
                <w:szCs w:val="18"/>
              </w:rPr>
              <w:t>Research Institute for Biological Safety Problems</w:t>
            </w:r>
          </w:p>
        </w:tc>
      </w:tr>
      <w:tr w:rsidR="006F6324" w:rsidRPr="004447F6" w14:paraId="5FA9A5E4" w14:textId="77777777" w:rsidTr="006F6324">
        <w:tc>
          <w:tcPr>
            <w:tcW w:w="3005" w:type="dxa"/>
          </w:tcPr>
          <w:p w14:paraId="0CF56498" w14:textId="71CAA756" w:rsidR="006F6324" w:rsidRPr="004447F6" w:rsidRDefault="006F6324" w:rsidP="006A4BE4">
            <w:pPr>
              <w:rPr>
                <w:rFonts w:cstheme="minorHAnsi"/>
                <w:sz w:val="18"/>
                <w:szCs w:val="18"/>
              </w:rPr>
            </w:pPr>
            <w:r w:rsidRPr="004447F6">
              <w:rPr>
                <w:rFonts w:cstheme="minorHAnsi"/>
                <w:sz w:val="18"/>
                <w:szCs w:val="18"/>
              </w:rPr>
              <w:t>Inactivated SARS-CoV-2 Vaccine (Vero Cells) [yet unnamed]</w:t>
            </w:r>
          </w:p>
        </w:tc>
        <w:tc>
          <w:tcPr>
            <w:tcW w:w="2235" w:type="dxa"/>
          </w:tcPr>
          <w:p w14:paraId="3D20C6FA" w14:textId="1636ADE3" w:rsidR="006F6324" w:rsidRPr="004447F6" w:rsidRDefault="006F6324" w:rsidP="006A4BE4">
            <w:pPr>
              <w:rPr>
                <w:rFonts w:cstheme="minorHAnsi"/>
                <w:sz w:val="18"/>
                <w:szCs w:val="18"/>
              </w:rPr>
            </w:pPr>
            <w:r w:rsidRPr="004447F6">
              <w:rPr>
                <w:rFonts w:cstheme="minorHAnsi"/>
                <w:sz w:val="18"/>
                <w:szCs w:val="18"/>
              </w:rPr>
              <w:t>Inactivated SARS-CoV-2</w:t>
            </w:r>
          </w:p>
        </w:tc>
        <w:tc>
          <w:tcPr>
            <w:tcW w:w="3776" w:type="dxa"/>
          </w:tcPr>
          <w:p w14:paraId="2D7E41A8" w14:textId="0E74175F" w:rsidR="006F6324" w:rsidRPr="004447F6" w:rsidRDefault="006F6324" w:rsidP="006A4BE4">
            <w:pPr>
              <w:rPr>
                <w:rFonts w:cstheme="minorHAnsi"/>
                <w:sz w:val="18"/>
                <w:szCs w:val="18"/>
              </w:rPr>
            </w:pPr>
            <w:proofErr w:type="spellStart"/>
            <w:r w:rsidRPr="004447F6">
              <w:rPr>
                <w:rFonts w:cstheme="minorHAnsi"/>
                <w:sz w:val="18"/>
                <w:szCs w:val="18"/>
              </w:rPr>
              <w:t>Minhai</w:t>
            </w:r>
            <w:proofErr w:type="spellEnd"/>
            <w:r w:rsidRPr="004447F6">
              <w:rPr>
                <w:rFonts w:cstheme="minorHAnsi"/>
                <w:sz w:val="18"/>
                <w:szCs w:val="18"/>
              </w:rPr>
              <w:t xml:space="preserve"> Biotechnology Co.; </w:t>
            </w:r>
            <w:proofErr w:type="spellStart"/>
            <w:r w:rsidRPr="004447F6">
              <w:rPr>
                <w:rFonts w:cstheme="minorHAnsi"/>
                <w:sz w:val="18"/>
                <w:szCs w:val="18"/>
              </w:rPr>
              <w:t>Kangtai</w:t>
            </w:r>
            <w:proofErr w:type="spellEnd"/>
            <w:r w:rsidRPr="004447F6">
              <w:rPr>
                <w:rFonts w:cstheme="minorHAnsi"/>
                <w:sz w:val="18"/>
                <w:szCs w:val="18"/>
              </w:rPr>
              <w:t xml:space="preserve"> Biological Products</w:t>
            </w:r>
          </w:p>
        </w:tc>
      </w:tr>
    </w:tbl>
    <w:p w14:paraId="2A2A9F85" w14:textId="77777777" w:rsidR="00FF7A41" w:rsidRPr="004447F6" w:rsidRDefault="00FF7A41" w:rsidP="00FF7A41">
      <w:pPr>
        <w:spacing w:line="360" w:lineRule="auto"/>
        <w:jc w:val="both"/>
        <w:rPr>
          <w:rFonts w:cstheme="minorHAnsi"/>
          <w:b/>
          <w:bCs/>
          <w:i/>
          <w:iCs/>
          <w:sz w:val="18"/>
          <w:szCs w:val="18"/>
        </w:rPr>
      </w:pPr>
    </w:p>
    <w:p w14:paraId="74C1759A" w14:textId="66AF3354" w:rsidR="00FF7A41" w:rsidRPr="004447F6" w:rsidRDefault="00FF7A41" w:rsidP="006C40EE">
      <w:pPr>
        <w:spacing w:line="360" w:lineRule="auto"/>
        <w:jc w:val="both"/>
        <w:rPr>
          <w:rFonts w:cstheme="minorHAnsi"/>
          <w:sz w:val="18"/>
          <w:szCs w:val="18"/>
        </w:rPr>
      </w:pPr>
      <w:r w:rsidRPr="004447F6">
        <w:rPr>
          <w:rFonts w:cstheme="minorHAnsi"/>
          <w:b/>
          <w:bCs/>
          <w:i/>
          <w:iCs/>
          <w:sz w:val="18"/>
          <w:szCs w:val="18"/>
        </w:rPr>
        <w:t xml:space="preserve">Table 1: </w:t>
      </w:r>
      <w:r w:rsidRPr="004447F6">
        <w:rPr>
          <w:rFonts w:cstheme="minorHAnsi"/>
          <w:i/>
          <w:iCs/>
          <w:sz w:val="18"/>
          <w:szCs w:val="18"/>
        </w:rPr>
        <w:t>SARS-CoV-2 vaccines approved for use by at least one regulatory body</w:t>
      </w:r>
      <w:r w:rsidR="00915BA7" w:rsidRPr="004447F6">
        <w:rPr>
          <w:rFonts w:cstheme="minorHAnsi"/>
          <w:i/>
          <w:iCs/>
          <w:sz w:val="18"/>
          <w:szCs w:val="18"/>
        </w:rPr>
        <w:t xml:space="preserve"> at</w:t>
      </w:r>
      <w:r w:rsidR="00EC4768" w:rsidRPr="004447F6">
        <w:rPr>
          <w:rFonts w:cstheme="minorHAnsi"/>
          <w:i/>
          <w:iCs/>
          <w:sz w:val="18"/>
          <w:szCs w:val="18"/>
        </w:rPr>
        <w:t xml:space="preserve"> the</w:t>
      </w:r>
      <w:r w:rsidR="00915BA7" w:rsidRPr="004447F6">
        <w:rPr>
          <w:rFonts w:cstheme="minorHAnsi"/>
          <w:i/>
          <w:iCs/>
          <w:sz w:val="18"/>
          <w:szCs w:val="18"/>
        </w:rPr>
        <w:t xml:space="preserve"> time of submission</w:t>
      </w:r>
      <w:r w:rsidR="00EC4768" w:rsidRPr="004447F6">
        <w:rPr>
          <w:rFonts w:cstheme="minorHAnsi"/>
          <w:i/>
          <w:iCs/>
          <w:sz w:val="18"/>
          <w:szCs w:val="18"/>
        </w:rPr>
        <w:t xml:space="preserve"> (early June 2021)</w:t>
      </w:r>
      <w:r w:rsidR="00915BA7" w:rsidRPr="004447F6">
        <w:rPr>
          <w:rFonts w:cstheme="minorHAnsi"/>
          <w:i/>
          <w:iCs/>
          <w:sz w:val="18"/>
          <w:szCs w:val="18"/>
        </w:rPr>
        <w:t xml:space="preserve"> </w:t>
      </w:r>
      <w:r w:rsidRPr="004447F6">
        <w:rPr>
          <w:rFonts w:cstheme="minorHAnsi"/>
          <w:i/>
          <w:iCs/>
          <w:sz w:val="18"/>
          <w:szCs w:val="18"/>
        </w:rPr>
        <w:fldChar w:fldCharType="begin" w:fldLock="1"/>
      </w:r>
      <w:r w:rsidR="00CB023D" w:rsidRPr="004447F6">
        <w:rPr>
          <w:rFonts w:cstheme="minorHAnsi"/>
          <w:i/>
          <w:iCs/>
          <w:sz w:val="18"/>
          <w:szCs w:val="18"/>
        </w:rPr>
        <w:instrText>ADDIN CSL_CITATION {"citationItems":[{"id":"ITEM-1","itemData":{"URL":"https://www.raps.org/news-and-articles/news-articles/2020/3/covid-19-vaccine-tracker","accessed":{"date-parts":[["2021","4","10"]]},"author":[{"dropping-particle":"","family":"Craven","given":"Jeff","non-dropping-particle":"","parse-names":false,"suffix":""}],"container-title":"Regulatory Focus","id":"ITEM-1","issued":{"date-parts":[["2021"]]},"title":"COVID-19 vaccine tracker","type":"webpage"},"uris":["http://www.mendeley.com/documents/?uuid=ca901920-bf91-4b43-84bf-99f19da3be6a"]}],"mendeley":{"formattedCitation":"(3)","plainTextFormattedCitation":"(3)","previouslyFormattedCitation":"(3)"},"properties":{"noteIndex":0},"schema":"https://github.com/citation-style-language/schema/raw/master/csl-citation.json"}</w:instrText>
      </w:r>
      <w:r w:rsidRPr="004447F6">
        <w:rPr>
          <w:rFonts w:cstheme="minorHAnsi"/>
          <w:i/>
          <w:iCs/>
          <w:sz w:val="18"/>
          <w:szCs w:val="18"/>
        </w:rPr>
        <w:fldChar w:fldCharType="separate"/>
      </w:r>
      <w:r w:rsidR="00CB023D" w:rsidRPr="004447F6">
        <w:rPr>
          <w:rFonts w:cstheme="minorHAnsi"/>
          <w:iCs/>
          <w:noProof/>
          <w:sz w:val="18"/>
          <w:szCs w:val="18"/>
        </w:rPr>
        <w:t>(3)</w:t>
      </w:r>
      <w:r w:rsidRPr="004447F6">
        <w:rPr>
          <w:rFonts w:cstheme="minorHAnsi"/>
          <w:i/>
          <w:iCs/>
          <w:sz w:val="18"/>
          <w:szCs w:val="18"/>
        </w:rPr>
        <w:fldChar w:fldCharType="end"/>
      </w:r>
      <w:r w:rsidR="00915BA7" w:rsidRPr="004447F6">
        <w:rPr>
          <w:rFonts w:cstheme="minorHAnsi"/>
          <w:i/>
          <w:iCs/>
          <w:sz w:val="18"/>
          <w:szCs w:val="18"/>
        </w:rPr>
        <w:t>.</w:t>
      </w:r>
    </w:p>
    <w:p w14:paraId="12E0F2D9" w14:textId="48EE33AD" w:rsidR="0074188F" w:rsidRPr="004447F6" w:rsidRDefault="006C50D5" w:rsidP="006C40EE">
      <w:pPr>
        <w:spacing w:line="360" w:lineRule="auto"/>
        <w:jc w:val="both"/>
        <w:rPr>
          <w:rFonts w:cstheme="minorHAnsi"/>
        </w:rPr>
      </w:pPr>
      <w:r w:rsidRPr="004447F6">
        <w:rPr>
          <w:rFonts w:cstheme="minorHAnsi"/>
        </w:rPr>
        <w:t xml:space="preserve">Transient </w:t>
      </w:r>
      <w:r w:rsidR="00FE147B" w:rsidRPr="004447F6">
        <w:rPr>
          <w:rFonts w:cstheme="minorHAnsi"/>
        </w:rPr>
        <w:t>in</w:t>
      </w:r>
      <w:r w:rsidRPr="004447F6">
        <w:rPr>
          <w:rFonts w:cstheme="minorHAnsi"/>
        </w:rPr>
        <w:t>flu</w:t>
      </w:r>
      <w:r w:rsidR="00FE147B" w:rsidRPr="004447F6">
        <w:rPr>
          <w:rFonts w:cstheme="minorHAnsi"/>
        </w:rPr>
        <w:t>enza</w:t>
      </w:r>
      <w:r w:rsidRPr="004447F6">
        <w:rPr>
          <w:rFonts w:cstheme="minorHAnsi"/>
        </w:rPr>
        <w:t xml:space="preserve">-like </w:t>
      </w:r>
      <w:r w:rsidR="00FD5B08" w:rsidRPr="004447F6">
        <w:rPr>
          <w:rFonts w:cstheme="minorHAnsi"/>
        </w:rPr>
        <w:t xml:space="preserve">symptoms </w:t>
      </w:r>
      <w:r w:rsidRPr="004447F6">
        <w:rPr>
          <w:rFonts w:cstheme="minorHAnsi"/>
        </w:rPr>
        <w:t xml:space="preserve">such as headache, myalgia, and fatigue have been reported in up to 5% of </w:t>
      </w:r>
      <w:r w:rsidR="00CB023D" w:rsidRPr="004447F6">
        <w:rPr>
          <w:rFonts w:cstheme="minorHAnsi"/>
        </w:rPr>
        <w:t xml:space="preserve">SARS-CoV-2 vaccine </w:t>
      </w:r>
      <w:r w:rsidRPr="004447F6">
        <w:rPr>
          <w:rFonts w:cstheme="minorHAnsi"/>
        </w:rPr>
        <w:t>recipients in clinical trials</w:t>
      </w:r>
      <w:r w:rsidR="00915BA7" w:rsidRPr="004447F6">
        <w:rPr>
          <w:rFonts w:cstheme="minorHAnsi"/>
        </w:rPr>
        <w:t xml:space="preserve"> </w:t>
      </w:r>
      <w:r w:rsidRPr="004447F6">
        <w:rPr>
          <w:rFonts w:cstheme="minorHAnsi"/>
        </w:rPr>
        <w:fldChar w:fldCharType="begin" w:fldLock="1"/>
      </w:r>
      <w:r w:rsidR="00CB023D" w:rsidRPr="004447F6">
        <w:rPr>
          <w:rFonts w:cstheme="minorHAnsi"/>
        </w:rPr>
        <w:instrText>ADDIN CSL_CITATION {"citationItems":[{"id":"ITEM-1","itemData":{"DOI":"10.1056/nejmoa2034577","ISSN":"0028-4793","PMID":"33301246","abstract":"BACKGROUND Severe acute respiratory syndrome coronavirus 2 (SARS-CoV-2) infection and the resulting coronavirus disease 2019 (Covid-19) have afflicted tens of millions of people in a worldwide pandemic. Safe and effective vaccines are needed urgently. METHODS In an ongoing multinational, placebo-controlled, observer-blinded, pivotal efficacy trial, we randomly assigned persons 16 years of age or older in a 1:1 ratio to receive two doses, 21 days apart, of either placebo or the BNT162b2 vaccine candidate (30 μg per dose). BNT162b2 is a lipid nanoparticle-formulated, nucleoside-modified RNA vaccine that encodes a prefusion stabilized, membrane-anchored SARS-CoV-2 full-length spike protein. The primary end points were efficacy of the vaccine against laboratory-confirmed Covid-19 and safety. RESULTS A total of 43,548 participants underwent randomization, of whom 43,448 received injections: 21,720 with BNT162b2 and 21,728 with placebo. There were 8 cases of Covid-19 with onset at least 7 days after the second dose among participants assigned to receive BNT162b2 and 162 cases among those assigned to placebo; BNT162b2 was 95% effective in preventing Covid-19 (95% credible interval, 90.3 to 97.6). Similar vaccine efficacy (generally 90 to 100%) was observed across subgroups defined by age, sex, race, ethnicity, baseline body-mass index, and the presence of coexisting conditions. Among 10 cases of severe Covid-19 with onset after the first dose, 9 occurred in placebo recipients and 1 in a BNT162b2 recipient. The safety profile of BNT162b2 was characterized by short-term, mild-to-moderate pain at the injection site, fatigue, and headache. The incidence of serious adverse events was low and was similar in the vaccine and placebo groups. CONCLUSIONS A two-dose regimen of BNT162b2 conferred 95% protection against Covid-19 in persons 16 years of age or older. Safety over a median of 2 months was similar to that of other viral vaccines. (Funded by BioNTech and Pfizer; ClinicalTrials.gov number, NCT04368728.).","author":[{"dropping-particle":"","family":"Polack","given":"Fernando P.","non-dropping-particle":"","parse-names":false,"suffix":""},{"dropping-particle":"","family":"Thomas","given":"Stephen J.","non-dropping-particle":"","parse-names":false,"suffix":""},{"dropping-particle":"","family":"Kitchin","given":"Nicholas","non-dropping-particle":"","parse-names":false,"suffix":""},{"dropping-particle":"","family":"Absalon","given":"Judith","non-dropping-particle":"","parse-names":false,"suffix":""},{"dropping-particle":"","family":"Gurtman","given":"Alejandra","non-dropping-particle":"","parse-names":false,"suffix":""},{"dropping-particle":"","family":"Lockhart","given":"Stephen","non-dropping-particle":"","parse-names":false,"suffix":""},{"dropping-particle":"","family":"Perez","given":"John L.","non-dropping-particle":"","parse-names":false,"suffix":""},{"dropping-particle":"","family":"Pérez Marc","given":"Gonzalo","non-dropping-particle":"","parse-names":false,"suffix":""},{"dropping-particle":"","family":"Moreira","given":"Edson D.","non-dropping-particle":"","parse-names":false,"suffix":""},{"dropping-particle":"","family":"Zerbini","given":"Cristiano","non-dropping-particle":"","parse-names":false,"suffix":""},{"dropping-particle":"","family":"Bailey","given":"Ruth","non-dropping-particle":"","parse-names":false,"suffix":""},{"dropping-particle":"","family":"Swanson","given":"Kena A.","non-dropping-particle":"","parse-names":false,"suffix":""},{"dropping-particle":"","family":"Roychoudhury","given":"Satrajit","non-dropping-particle":"","parse-names":false,"suffix":""},{"dropping-particle":"","family":"Koury","given":"Kenneth","non-dropping-particle":"","parse-names":false,"suffix":""},{"dropping-particle":"","family":"Li","given":"Ping","non-dropping-particle":"","parse-names":false,"suffix":""},{"dropping-particle":"V.","family":"Kalina","given":"Warren","non-dropping-particle":"","parse-names":false,"suffix":""},{"dropping-particle":"","family":"Cooper","given":"David","non-dropping-particle":"","parse-names":false,"suffix":""},{"dropping-particle":"","family":"Frenck","given":"Robert W.","non-dropping-particle":"","parse-names":false,"suffix":""},{"dropping-particle":"","family":"Hammitt","given":"Laura L.","non-dropping-particle":"","parse-names":false,"suffix":""},{"dropping-particle":"","family":"Türeci","given":"Özlem","non-dropping-particle":"","parse-names":false,"suffix":""},{"dropping-particle":"","family":"Nell","given":"Haylene","non-dropping-particle":"","parse-names":false,"suffix":""},{"dropping-particle":"","family":"Schaefer","given":"Axel","non-dropping-particle":"","parse-names":false,"suffix":""},{"dropping-particle":"","family":"Ünal","given":"Serhat","non-dropping-particle":"","parse-names":false,"suffix":""},{"dropping-particle":"","family":"Tresnan","given":"Dina B.","non-dropping-particle":"","parse-names":false,"suffix":""},{"dropping-particle":"","family":"Mather","given":"Susan","non-dropping-particle":"","parse-names":false,"suffix":""},{"dropping-particle":"","family":"Dormitzer","given":"Philip R.","non-dropping-particle":"","parse-names":false,"suffix":""},{"dropping-particle":"","family":"Şahin","given":"Uğur","non-dropping-particle":"","parse-names":false,"suffix":""},{"dropping-particle":"","family":"Jansen","given":"Kathrin U.","non-dropping-particle":"","parse-names":false,"suffix":""},{"dropping-particle":"","family":"Gruber","given":"William C.","non-dropping-particle":"","parse-names":false,"suffix":""}],"container-title":"New England Journal of Medicine","id":"ITEM-1","issue":"27","issued":{"date-parts":[["2020"]]},"page":"2603-2615","title":"Safety and Efficacy of the BNT162b2 mRNA Covid-19 Vaccine","type":"article-journal","volume":"383"},"uris":["http://www.mendeley.com/documents/?uuid=651caaf4-473d-4566-ad41-b16771c6e2dd"]},{"id":"ITEM-2","itemData":{"DOI":"10.1056/nejmoa2035389","ISSN":"0028-4793","abstract":"Abstract Background Vaccines are needed to prevent coronavirus disease 2019 (Covid-19) and to protect persons who are at high risk for complications. The mRNA-1273 vaccine is a lipid nanoparticle–e...","author":[{"dropping-particle":"","family":"Baden","given":"Lindsey R.","non-dropping-particle":"","parse-names":false,"suffix":""},{"dropping-particle":"","family":"Sahly","given":"Hana M.","non-dropping-particle":"El","parse-names":false,"suffix":""},{"dropping-particle":"","family":"Essink","given":"Brandon","non-dropping-particle":"","parse-names":false,"suffix":""},{"dropping-particle":"","family":"Kotloff","given":"Karen","non-dropping-particle":"","parse-names":false,"suffix":""},{"dropping-particle":"","family":"Frey","given":"Sharon","non-dropping-particle":"","parse-names":false,"suffix":""},{"dropping-particle":"","family":"Novak","given":"Rick","non-dropping-particle":"","parse-names":false,"suffix":""},{"dropping-particle":"","family":"Diemert","given":"David","non-dropping-particle":"","parse-names":false,"suffix":""},{"dropping-particle":"","family":"Spector","given":"Stephen A.","non-dropping-particle":"","parse-names":false,"suffix":""},{"dropping-particle":"","family":"Rouphael","given":"Nadine","non-dropping-particle":"","parse-names":false,"suffix":""},{"dropping-particle":"","family":"Creech","given":"C. Buddy","non-dropping-particle":"","parse-names":false,"suffix":""},{"dropping-particle":"","family":"McGettigan","given":"John","non-dropping-particle":"","parse-names":false,"suffix":""},{"dropping-particle":"","family":"Khetan","given":"Shishir","non-dropping-particle":"","parse-names":false,"suffix":""},{"dropping-particle":"","family":"Segall","given":"Nathan","non-dropping-particle":"","parse-names":false,"suffix":""},{"dropping-particle":"","family":"Solis","given":"Joel","non-dropping-particle":"","parse-names":false,"suffix":""},{"dropping-particle":"","family":"Brosz","given":"Adam","non-dropping-particle":"","parse-names":false,"suffix":""},{"dropping-particle":"","family":"Fierro","given":"Carlos","non-dropping-particle":"","parse-names":false,"suffix":""},{"dropping-particle":"","family":"Schwartz","given":"Howard","non-dropping-particle":"","parse-names":false,"suffix":""},{"dropping-particle":"","family":"Neuzil","given":"Kathleen","non-dropping-particle":"","parse-names":false,"suffix":""},{"dropping-particle":"","family":"Corey","given":"Larry","non-dropping-particle":"","parse-names":false,"suffix":""},{"dropping-particle":"","family":"Gilbert","given":"Peter","non-dropping-particle":"","parse-names":false,"suffix":""},{"dropping-particle":"","family":"Janes","given":"Holly","non-dropping-particle":"","parse-names":false,"suffix":""},{"dropping-particle":"","family":"Follmann","given":"Dean","non-dropping-particle":"","parse-names":false,"suffix":""},{"dropping-particle":"","family":"Marovich","given":"Mary","non-dropping-particle":"","parse-names":false,"suffix":""},{"dropping-particle":"","family":"Mascola","given":"John","non-dropping-particle":"","parse-names":false,"suffix":""},{"dropping-particle":"","family":"Polakowski","given":"Laura","non-dropping-particle":"","parse-names":false,"suffix":""},{"dropping-particle":"","family":"Ledgerwood","given":"Julie","non-dropping-particle":"","parse-names":false,"suffix":""},{"dropping-particle":"","family":"Graham","given":"Barney S.","non-dropping-particle":"","parse-names":false,"suffix":""},{"dropping-particle":"","family":"Bennett","given":"Hamilton","non-dropping-particle":"","parse-names":false,"suffix":""},{"dropping-particle":"","family":"Pajon","given":"Rolando","non-dropping-particle":"","parse-names":false,"suffix":""},{"dropping-particle":"","family":"Knightly","given":"Conor","non-dropping-particle":"","parse-names":false,"suffix":""},{"dropping-particle":"","family":"Leav","given":"Brett","non-dropping-particle":"","parse-names":false,"suffix":""},{"dropping-particle":"","family":"Deng","given":"Weiping","non-dropping-particle":"","parse-names":false,"suffix":""},{"dropping-particle":"","family":"Zhou","given":"Honghong","non-dropping-particle":"","parse-names":false,"suffix":""},{"dropping-particle":"","family":"Han","given":"Shu","non-dropping-particle":"","parse-names":false,"suffix":""},{"dropping-particle":"","family":"Ivarsson","given":"Melanie","non-dropping-particle":"","parse-names":false,"suffix":""},{"dropping-particle":"","family":"Miller","given":"Jacqueline","non-dropping-particle":"","parse-names":false,"suffix":""},{"dropping-particle":"","family":"Zaks","given":"Tal","non-dropping-particle":"","parse-names":false,"suffix":""}],"container-title":"New England Journal of Medicine","id":"ITEM-2","issue":"5","issued":{"date-parts":[["2021"]]},"page":"403-416","title":"Efficacy and Safety of the mRNA-1273 SARS-CoV-2 Vaccine","type":"article-journal","volume":"384"},"uris":["http://www.mendeley.com/documents/?uuid=a8569e30-1150-4e29-94c0-e369fa1971a1"]}],"mendeley":{"formattedCitation":"(4,5)","plainTextFormattedCitation":"(4,5)","previouslyFormattedCitation":"(4,5)"},"properties":{"noteIndex":0},"schema":"https://github.com/citation-style-language/schema/raw/master/csl-citation.json"}</w:instrText>
      </w:r>
      <w:r w:rsidRPr="004447F6">
        <w:rPr>
          <w:rFonts w:cstheme="minorHAnsi"/>
        </w:rPr>
        <w:fldChar w:fldCharType="separate"/>
      </w:r>
      <w:r w:rsidR="00CB023D" w:rsidRPr="004447F6">
        <w:rPr>
          <w:rFonts w:cstheme="minorHAnsi"/>
          <w:noProof/>
        </w:rPr>
        <w:t>(4,5)</w:t>
      </w:r>
      <w:r w:rsidRPr="004447F6">
        <w:rPr>
          <w:rFonts w:cstheme="minorHAnsi"/>
        </w:rPr>
        <w:fldChar w:fldCharType="end"/>
      </w:r>
      <w:r w:rsidR="00915BA7" w:rsidRPr="004447F6">
        <w:rPr>
          <w:rFonts w:cstheme="minorHAnsi"/>
        </w:rPr>
        <w:t>,</w:t>
      </w:r>
      <w:r w:rsidR="00965B29" w:rsidRPr="004447F6">
        <w:rPr>
          <w:rFonts w:cstheme="minorHAnsi"/>
        </w:rPr>
        <w:t xml:space="preserve"> </w:t>
      </w:r>
      <w:r w:rsidR="00FD5B08" w:rsidRPr="004447F6">
        <w:rPr>
          <w:rFonts w:cstheme="minorHAnsi"/>
        </w:rPr>
        <w:t xml:space="preserve">although </w:t>
      </w:r>
      <w:r w:rsidR="00965B29" w:rsidRPr="004447F6">
        <w:rPr>
          <w:rFonts w:cstheme="minorHAnsi"/>
        </w:rPr>
        <w:t>t</w:t>
      </w:r>
      <w:r w:rsidRPr="004447F6">
        <w:rPr>
          <w:rFonts w:cstheme="minorHAnsi"/>
        </w:rPr>
        <w:t>hese</w:t>
      </w:r>
      <w:r w:rsidR="00576D5C" w:rsidRPr="004447F6">
        <w:rPr>
          <w:rFonts w:cstheme="minorHAnsi"/>
        </w:rPr>
        <w:t xml:space="preserve"> symptoms</w:t>
      </w:r>
      <w:r w:rsidRPr="004447F6">
        <w:rPr>
          <w:rFonts w:cstheme="minorHAnsi"/>
        </w:rPr>
        <w:t xml:space="preserve"> </w:t>
      </w:r>
      <w:r w:rsidR="00FD5B08" w:rsidRPr="004447F6">
        <w:rPr>
          <w:rFonts w:cstheme="minorHAnsi"/>
        </w:rPr>
        <w:t xml:space="preserve">often </w:t>
      </w:r>
      <w:r w:rsidR="006C40EE" w:rsidRPr="004447F6">
        <w:rPr>
          <w:rFonts w:cstheme="minorHAnsi"/>
        </w:rPr>
        <w:t>indicat</w:t>
      </w:r>
      <w:r w:rsidRPr="004447F6">
        <w:rPr>
          <w:rFonts w:cstheme="minorHAnsi"/>
        </w:rPr>
        <w:t>e</w:t>
      </w:r>
      <w:r w:rsidR="006C40EE" w:rsidRPr="004447F6">
        <w:rPr>
          <w:rFonts w:cstheme="minorHAnsi"/>
        </w:rPr>
        <w:t xml:space="preserve"> a</w:t>
      </w:r>
      <w:r w:rsidR="00BC4A90" w:rsidRPr="004447F6">
        <w:rPr>
          <w:rFonts w:cstheme="minorHAnsi"/>
        </w:rPr>
        <w:t xml:space="preserve">n appropriate </w:t>
      </w:r>
      <w:r w:rsidR="006C40EE" w:rsidRPr="004447F6">
        <w:rPr>
          <w:rFonts w:cstheme="minorHAnsi"/>
        </w:rPr>
        <w:t>immune response to vaccin</w:t>
      </w:r>
      <w:r w:rsidR="00BC4A90" w:rsidRPr="004447F6">
        <w:rPr>
          <w:rFonts w:cstheme="minorHAnsi"/>
        </w:rPr>
        <w:t>ation</w:t>
      </w:r>
      <w:r w:rsidR="00915BA7" w:rsidRPr="004447F6">
        <w:rPr>
          <w:rFonts w:cstheme="minorHAnsi"/>
        </w:rPr>
        <w:t xml:space="preserve"> </w:t>
      </w:r>
      <w:r w:rsidR="006C40EE" w:rsidRPr="004447F6">
        <w:rPr>
          <w:rFonts w:cstheme="minorHAnsi"/>
        </w:rPr>
        <w:fldChar w:fldCharType="begin" w:fldLock="1"/>
      </w:r>
      <w:r w:rsidR="00CB023D" w:rsidRPr="004447F6">
        <w:rPr>
          <w:rFonts w:cstheme="minorHAnsi"/>
        </w:rPr>
        <w:instrText>ADDIN CSL_CITATION {"citationItems":[{"id":"ITEM-1","itemData":{"DOI":"10.1126/science.370.6520.1022","ISSN":"10959203","PMID":"33243869","author":[{"dropping-particle":"","family":"Wadman","given":"Meredith","non-dropping-particle":"","parse-names":false,"suffix":""}],"container-title":"Science","id":"ITEM-1","issue":"6520","issued":{"date-parts":[["2020"]]},"page":"1022","title":"Public needs to prep for vaccine side effects","type":"article-journal","volume":"370"},"uris":["http://www.mendeley.com/documents/?uuid=0c96825a-4cda-4d7c-8a6d-db47647ced4e"]}],"mendeley":{"formattedCitation":"(6)","plainTextFormattedCitation":"(6)","previouslyFormattedCitation":"(6)"},"properties":{"noteIndex":0},"schema":"https://github.com/citation-style-language/schema/raw/master/csl-citation.json"}</w:instrText>
      </w:r>
      <w:r w:rsidR="006C40EE" w:rsidRPr="004447F6">
        <w:rPr>
          <w:rFonts w:cstheme="minorHAnsi"/>
        </w:rPr>
        <w:fldChar w:fldCharType="separate"/>
      </w:r>
      <w:r w:rsidR="00CB023D" w:rsidRPr="004447F6">
        <w:rPr>
          <w:rFonts w:cstheme="minorHAnsi"/>
          <w:noProof/>
        </w:rPr>
        <w:t>(6)</w:t>
      </w:r>
      <w:r w:rsidR="006C40EE" w:rsidRPr="004447F6">
        <w:rPr>
          <w:rFonts w:cstheme="minorHAnsi"/>
        </w:rPr>
        <w:fldChar w:fldCharType="end"/>
      </w:r>
      <w:r w:rsidR="00915BA7" w:rsidRPr="004447F6">
        <w:rPr>
          <w:rFonts w:cstheme="minorHAnsi"/>
        </w:rPr>
        <w:t>.</w:t>
      </w:r>
      <w:r w:rsidR="006C40EE" w:rsidRPr="004447F6">
        <w:rPr>
          <w:rFonts w:cstheme="minorHAnsi"/>
        </w:rPr>
        <w:t xml:space="preserve"> </w:t>
      </w:r>
      <w:r w:rsidR="0056341D" w:rsidRPr="004447F6">
        <w:rPr>
          <w:rFonts w:cstheme="minorHAnsi"/>
        </w:rPr>
        <w:t>More</w:t>
      </w:r>
      <w:r w:rsidR="002372A2" w:rsidRPr="004447F6">
        <w:rPr>
          <w:rFonts w:cstheme="minorHAnsi"/>
        </w:rPr>
        <w:t xml:space="preserve"> severe </w:t>
      </w:r>
      <w:r w:rsidR="0056341D" w:rsidRPr="004447F6">
        <w:rPr>
          <w:rFonts w:cstheme="minorHAnsi"/>
        </w:rPr>
        <w:t xml:space="preserve">potential </w:t>
      </w:r>
      <w:r w:rsidR="00A47A84" w:rsidRPr="004447F6">
        <w:rPr>
          <w:rFonts w:cstheme="minorHAnsi"/>
        </w:rPr>
        <w:t>adverse</w:t>
      </w:r>
      <w:r w:rsidR="002372A2" w:rsidRPr="004447F6">
        <w:rPr>
          <w:rFonts w:cstheme="minorHAnsi"/>
        </w:rPr>
        <w:t xml:space="preserve"> effects in the </w:t>
      </w:r>
      <w:r w:rsidR="00B35446" w:rsidRPr="004447F6">
        <w:rPr>
          <w:rFonts w:cstheme="minorHAnsi"/>
        </w:rPr>
        <w:t xml:space="preserve">open label </w:t>
      </w:r>
      <w:r w:rsidR="002372A2" w:rsidRPr="004447F6">
        <w:rPr>
          <w:rFonts w:cstheme="minorHAnsi"/>
        </w:rPr>
        <w:t>phase</w:t>
      </w:r>
      <w:r w:rsidR="00B35446" w:rsidRPr="004447F6">
        <w:rPr>
          <w:rFonts w:cstheme="minorHAnsi"/>
        </w:rPr>
        <w:t xml:space="preserve"> </w:t>
      </w:r>
      <w:r w:rsidR="0056341D" w:rsidRPr="004447F6">
        <w:rPr>
          <w:rFonts w:cstheme="minorHAnsi"/>
        </w:rPr>
        <w:t xml:space="preserve">of vaccine roll-out </w:t>
      </w:r>
      <w:r w:rsidR="00B35446" w:rsidRPr="004447F6">
        <w:rPr>
          <w:rFonts w:cstheme="minorHAnsi"/>
        </w:rPr>
        <w:t>are being collected through national surveillance systems</w:t>
      </w:r>
      <w:r w:rsidR="0074188F" w:rsidRPr="004447F6">
        <w:rPr>
          <w:rFonts w:cstheme="minorHAnsi"/>
        </w:rPr>
        <w:t>. In the US, roughly 372 adverse events have been reported per million doses, which is a lower rate than expected from the clinical trials</w:t>
      </w:r>
      <w:r w:rsidR="00915BA7" w:rsidRPr="004447F6">
        <w:rPr>
          <w:rFonts w:cstheme="minorHAnsi"/>
        </w:rPr>
        <w:t xml:space="preserve"> </w:t>
      </w:r>
      <w:r w:rsidR="0074188F" w:rsidRPr="004447F6">
        <w:rPr>
          <w:rFonts w:cstheme="minorHAnsi"/>
        </w:rPr>
        <w:fldChar w:fldCharType="begin" w:fldLock="1"/>
      </w:r>
      <w:r w:rsidR="00CB023D" w:rsidRPr="004447F6">
        <w:rPr>
          <w:rFonts w:cstheme="minorHAnsi"/>
        </w:rPr>
        <w:instrText>ADDIN CSL_CITATION {"citationItems":[{"id":"ITEM-1","itemData":{"DOI":"10.1038/d41586-021-00290-x","abstract":"It is clear that coronavirus vaccines are safe and effective, but as more are rolled out, researchers are learning about the extent and nature of side effects. It is clear that coronavirus vaccines are safe and effective, but as more are rolled out, researchers are learning about the extent and nature of side effects.","author":[{"dropping-particle":"","family":"Remmel","given":"Ariana","non-dropping-particle":"","parse-names":false,"suffix":""}],"container-title":"Nature 2021","id":"ITEM-1","issued":{"date-parts":[["2021"]]},"page":"538-540","title":"COVID vaccines and safety: what the research says","type":"article-journal","volume":"590"},"uris":["http://www.mendeley.com/documents/?uuid=4982ce1a-f5d6-423b-8995-1b348a87cc11"]}],"mendeley":{"formattedCitation":"(7)","plainTextFormattedCitation":"(7)","previouslyFormattedCitation":"(7)"},"properties":{"noteIndex":0},"schema":"https://github.com/citation-style-language/schema/raw/master/csl-citation.json"}</w:instrText>
      </w:r>
      <w:r w:rsidR="0074188F" w:rsidRPr="004447F6">
        <w:rPr>
          <w:rFonts w:cstheme="minorHAnsi"/>
        </w:rPr>
        <w:fldChar w:fldCharType="separate"/>
      </w:r>
      <w:r w:rsidR="00CB023D" w:rsidRPr="004447F6">
        <w:rPr>
          <w:rFonts w:cstheme="minorHAnsi"/>
          <w:noProof/>
        </w:rPr>
        <w:t>(7)</w:t>
      </w:r>
      <w:r w:rsidR="0074188F" w:rsidRPr="004447F6">
        <w:rPr>
          <w:rFonts w:cstheme="minorHAnsi"/>
        </w:rPr>
        <w:fldChar w:fldCharType="end"/>
      </w:r>
      <w:r w:rsidR="00915BA7" w:rsidRPr="004447F6">
        <w:rPr>
          <w:rFonts w:cstheme="minorHAnsi"/>
        </w:rPr>
        <w:t>.</w:t>
      </w:r>
      <w:r w:rsidR="0074188F" w:rsidRPr="004447F6">
        <w:rPr>
          <w:rFonts w:cstheme="minorHAnsi"/>
        </w:rPr>
        <w:t xml:space="preserve"> </w:t>
      </w:r>
    </w:p>
    <w:p w14:paraId="7C0DA54D" w14:textId="1E11FD8B" w:rsidR="003C4ACC" w:rsidRPr="004447F6" w:rsidRDefault="0074188F" w:rsidP="006C40EE">
      <w:pPr>
        <w:spacing w:line="360" w:lineRule="auto"/>
        <w:jc w:val="both"/>
        <w:rPr>
          <w:rFonts w:cstheme="minorHAnsi"/>
        </w:rPr>
      </w:pPr>
      <w:r w:rsidRPr="004447F6">
        <w:rPr>
          <w:rFonts w:cstheme="minorHAnsi"/>
        </w:rPr>
        <w:t>In the UK, adverse events are reported via</w:t>
      </w:r>
      <w:r w:rsidR="006C40EE" w:rsidRPr="004447F6">
        <w:rPr>
          <w:rFonts w:cstheme="minorHAnsi"/>
        </w:rPr>
        <w:t xml:space="preserve"> the Coronavirus Yellow Card reporting </w:t>
      </w:r>
      <w:r w:rsidR="008A5688" w:rsidRPr="004447F6">
        <w:rPr>
          <w:rFonts w:cstheme="minorHAnsi"/>
        </w:rPr>
        <w:t>web</w:t>
      </w:r>
      <w:r w:rsidR="006C40EE" w:rsidRPr="004447F6">
        <w:rPr>
          <w:rFonts w:cstheme="minorHAnsi"/>
        </w:rPr>
        <w:t>site</w:t>
      </w:r>
      <w:r w:rsidRPr="004447F6">
        <w:rPr>
          <w:rFonts w:cstheme="minorHAnsi"/>
        </w:rPr>
        <w:t>.</w:t>
      </w:r>
      <w:r w:rsidR="008A185A" w:rsidRPr="004447F6">
        <w:rPr>
          <w:rFonts w:cstheme="minorHAnsi"/>
        </w:rPr>
        <w:t xml:space="preserve"> </w:t>
      </w:r>
      <w:r w:rsidRPr="004447F6">
        <w:rPr>
          <w:rFonts w:cstheme="minorHAnsi"/>
        </w:rPr>
        <w:t>A</w:t>
      </w:r>
      <w:r w:rsidR="006C40EE" w:rsidRPr="004447F6">
        <w:rPr>
          <w:rFonts w:cstheme="minorHAnsi"/>
        </w:rPr>
        <w:t xml:space="preserve">s of </w:t>
      </w:r>
      <w:r w:rsidR="009A5D7F" w:rsidRPr="004447F6">
        <w:rPr>
          <w:rFonts w:cstheme="minorHAnsi"/>
        </w:rPr>
        <w:t>early June 2021</w:t>
      </w:r>
      <w:r w:rsidR="006C40EE" w:rsidRPr="004447F6">
        <w:rPr>
          <w:rFonts w:cstheme="minorHAnsi"/>
        </w:rPr>
        <w:t xml:space="preserve">, </w:t>
      </w:r>
      <w:r w:rsidR="009A5D7F" w:rsidRPr="004447F6">
        <w:rPr>
          <w:rFonts w:cstheme="minorHAnsi"/>
        </w:rPr>
        <w:t xml:space="preserve">approximately 250,000 </w:t>
      </w:r>
      <w:r w:rsidR="006C40EE" w:rsidRPr="004447F6">
        <w:rPr>
          <w:rFonts w:cstheme="minorHAnsi"/>
        </w:rPr>
        <w:t>Yellow Cards have been submitted</w:t>
      </w:r>
      <w:r w:rsidR="009A5D7F" w:rsidRPr="004447F6">
        <w:rPr>
          <w:rFonts w:cstheme="minorHAnsi"/>
        </w:rPr>
        <w:t>,</w:t>
      </w:r>
      <w:r w:rsidR="00267E9E" w:rsidRPr="004447F6">
        <w:rPr>
          <w:rFonts w:cstheme="minorHAnsi"/>
        </w:rPr>
        <w:t xml:space="preserve"> </w:t>
      </w:r>
      <w:r w:rsidR="00FC1F07" w:rsidRPr="004447F6">
        <w:rPr>
          <w:rFonts w:cstheme="minorHAnsi"/>
        </w:rPr>
        <w:t>equa</w:t>
      </w:r>
      <w:r w:rsidR="009A5D7F" w:rsidRPr="004447F6">
        <w:rPr>
          <w:rFonts w:cstheme="minorHAnsi"/>
        </w:rPr>
        <w:t>ting</w:t>
      </w:r>
      <w:r w:rsidR="00FC1F07" w:rsidRPr="004447F6">
        <w:rPr>
          <w:rFonts w:cstheme="minorHAnsi"/>
        </w:rPr>
        <w:t xml:space="preserve"> to </w:t>
      </w:r>
      <w:r w:rsidR="009A5D7F" w:rsidRPr="004447F6">
        <w:rPr>
          <w:rFonts w:cstheme="minorHAnsi"/>
        </w:rPr>
        <w:t xml:space="preserve">around </w:t>
      </w:r>
      <w:r w:rsidR="00FC1F07" w:rsidRPr="004447F6">
        <w:rPr>
          <w:rFonts w:cstheme="minorHAnsi"/>
        </w:rPr>
        <w:t>3-</w:t>
      </w:r>
      <w:r w:rsidR="009A5D7F" w:rsidRPr="004447F6">
        <w:rPr>
          <w:rFonts w:cstheme="minorHAnsi"/>
        </w:rPr>
        <w:t>7</w:t>
      </w:r>
      <w:r w:rsidR="00FC1F07" w:rsidRPr="004447F6">
        <w:rPr>
          <w:rFonts w:cstheme="minorHAnsi"/>
        </w:rPr>
        <w:t xml:space="preserve"> Yellow </w:t>
      </w:r>
      <w:r w:rsidR="00FC1F07" w:rsidRPr="004447F6">
        <w:rPr>
          <w:rFonts w:cstheme="minorHAnsi"/>
        </w:rPr>
        <w:lastRenderedPageBreak/>
        <w:t>Cards per 1,000 doses</w:t>
      </w:r>
      <w:r w:rsidR="009A5D7F" w:rsidRPr="004447F6">
        <w:rPr>
          <w:rFonts w:cstheme="minorHAnsi"/>
        </w:rPr>
        <w:t xml:space="preserve"> </w:t>
      </w:r>
      <w:r w:rsidR="009A5D7F" w:rsidRPr="004447F6">
        <w:rPr>
          <w:rFonts w:cstheme="minorHAnsi"/>
        </w:rPr>
        <w:fldChar w:fldCharType="begin" w:fldLock="1"/>
      </w:r>
      <w:r w:rsidR="00CB023D" w:rsidRPr="004447F6">
        <w:rPr>
          <w:rFonts w:cstheme="minorHAnsi"/>
        </w:rPr>
        <w:instrText>ADDIN CSL_CITATION {"citationItems":[{"id":"ITEM-1","itemData":{"URL":"https://www.gov.uk/government/publications/coronavirus-covid-19-vaccine-adverse-reactions/coronavirus-vaccine-summary-of-yellow-card-reporting","accessed":{"date-parts":[["2021","2","22"]]},"author":[{"dropping-particle":"","family":"Medicines &amp; Healthcare Products Regulatory Agency","given":"","non-dropping-particle":"","parse-names":false,"suffix":""}],"id":"ITEM-1","issued":{"date-parts":[["2021"]]},"title":"Coronavirus vaccine - weekly summary of Yellow Card reporting","type":"webpage"},"uris":["http://www.mendeley.com/documents/?uuid=654cd1d9-780f-4030-ac84-56b5e9604b4b"]}],"mendeley":{"formattedCitation":"(8)","plainTextFormattedCitation":"(8)","previouslyFormattedCitation":"(8)"},"properties":{"noteIndex":0},"schema":"https://github.com/citation-style-language/schema/raw/master/csl-citation.json"}</w:instrText>
      </w:r>
      <w:r w:rsidR="009A5D7F" w:rsidRPr="004447F6">
        <w:rPr>
          <w:rFonts w:cstheme="minorHAnsi"/>
        </w:rPr>
        <w:fldChar w:fldCharType="separate"/>
      </w:r>
      <w:r w:rsidR="00CB023D" w:rsidRPr="004447F6">
        <w:rPr>
          <w:rFonts w:cstheme="minorHAnsi"/>
          <w:noProof/>
        </w:rPr>
        <w:t>(8)</w:t>
      </w:r>
      <w:r w:rsidR="009A5D7F" w:rsidRPr="004447F6">
        <w:rPr>
          <w:rFonts w:cstheme="minorHAnsi"/>
        </w:rPr>
        <w:fldChar w:fldCharType="end"/>
      </w:r>
      <w:r w:rsidR="009A5D7F" w:rsidRPr="004447F6">
        <w:rPr>
          <w:rFonts w:cstheme="minorHAnsi"/>
        </w:rPr>
        <w:t>.</w:t>
      </w:r>
      <w:r w:rsidRPr="004447F6">
        <w:rPr>
          <w:rFonts w:cstheme="minorHAnsi"/>
        </w:rPr>
        <w:t xml:space="preserve"> F</w:t>
      </w:r>
      <w:r w:rsidR="00FC1F07" w:rsidRPr="004447F6">
        <w:rPr>
          <w:rFonts w:cstheme="minorHAnsi"/>
        </w:rPr>
        <w:t>or comparison, the 2010 Pandemrix vaccination had a rate of around 0.6 Yellow Card submissions per 1,000 doses</w:t>
      </w:r>
      <w:r w:rsidR="00915BA7" w:rsidRPr="004447F6">
        <w:rPr>
          <w:rFonts w:cstheme="minorHAnsi"/>
        </w:rPr>
        <w:t xml:space="preserve"> </w:t>
      </w:r>
      <w:r w:rsidR="00FC1F07" w:rsidRPr="004447F6">
        <w:rPr>
          <w:rFonts w:cstheme="minorHAnsi"/>
        </w:rPr>
        <w:fldChar w:fldCharType="begin" w:fldLock="1"/>
      </w:r>
      <w:r w:rsidR="00CB023D" w:rsidRPr="004447F6">
        <w:rPr>
          <w:rFonts w:cstheme="minorHAnsi"/>
        </w:rPr>
        <w:instrText>ADDIN CSL_CITATION {"citationItems":[{"id":"ITEM-1","itemData":{"author":[{"dropping-particle":"","family":"Medicines &amp; Healthcare Products Regulatory Agency","given":"","non-dropping-particle":"","parse-names":false,"suffix":""}],"id":"ITEM-1","issued":{"date-parts":[["2011"]]},"title":"MHRA PUBLIC ASSESSMENT REPORT - Swine flu vaccines and antiviral medicines: UK postpandemic safety review","type":"report"},"uris":["http://www.mendeley.com/documents/?uuid=b42c4fbd-ec65-4a53-8b05-5dd03405e19b"]}],"mendeley":{"formattedCitation":"(9)","plainTextFormattedCitation":"(9)","previouslyFormattedCitation":"(9)"},"properties":{"noteIndex":0},"schema":"https://github.com/citation-style-language/schema/raw/master/csl-citation.json"}</w:instrText>
      </w:r>
      <w:r w:rsidR="00FC1F07" w:rsidRPr="004447F6">
        <w:rPr>
          <w:rFonts w:cstheme="minorHAnsi"/>
        </w:rPr>
        <w:fldChar w:fldCharType="separate"/>
      </w:r>
      <w:r w:rsidR="00CB023D" w:rsidRPr="004447F6">
        <w:rPr>
          <w:rFonts w:cstheme="minorHAnsi"/>
          <w:noProof/>
        </w:rPr>
        <w:t>(9)</w:t>
      </w:r>
      <w:r w:rsidR="00FC1F07" w:rsidRPr="004447F6">
        <w:rPr>
          <w:rFonts w:cstheme="minorHAnsi"/>
        </w:rPr>
        <w:fldChar w:fldCharType="end"/>
      </w:r>
      <w:r w:rsidR="00915BA7" w:rsidRPr="004447F6">
        <w:rPr>
          <w:rFonts w:cstheme="minorHAnsi"/>
        </w:rPr>
        <w:t>.</w:t>
      </w:r>
      <w:r w:rsidRPr="004447F6">
        <w:rPr>
          <w:rFonts w:cstheme="minorHAnsi"/>
        </w:rPr>
        <w:t xml:space="preserve"> </w:t>
      </w:r>
      <w:r w:rsidR="008A5688" w:rsidRPr="004447F6">
        <w:rPr>
          <w:rFonts w:cstheme="minorHAnsi"/>
        </w:rPr>
        <w:t>I</w:t>
      </w:r>
      <w:r w:rsidRPr="004447F6">
        <w:rPr>
          <w:rFonts w:cstheme="minorHAnsi"/>
        </w:rPr>
        <w:t xml:space="preserve">ncreased pharmacovigilance </w:t>
      </w:r>
      <w:r w:rsidR="00D576FB" w:rsidRPr="004447F6">
        <w:rPr>
          <w:rFonts w:cstheme="minorHAnsi"/>
        </w:rPr>
        <w:t>may lead to</w:t>
      </w:r>
      <w:r w:rsidRPr="004447F6">
        <w:rPr>
          <w:rFonts w:cstheme="minorHAnsi"/>
        </w:rPr>
        <w:t xml:space="preserve"> surveillance bias</w:t>
      </w:r>
      <w:r w:rsidR="00A07019" w:rsidRPr="004447F6">
        <w:rPr>
          <w:rFonts w:cstheme="minorHAnsi"/>
        </w:rPr>
        <w:t xml:space="preserve"> </w:t>
      </w:r>
      <w:r w:rsidRPr="004447F6">
        <w:rPr>
          <w:rFonts w:cstheme="minorHAnsi"/>
        </w:rPr>
        <w:fldChar w:fldCharType="begin" w:fldLock="1"/>
      </w:r>
      <w:r w:rsidR="00CB023D" w:rsidRPr="004447F6">
        <w:rPr>
          <w:rFonts w:cstheme="minorHAnsi"/>
        </w:rPr>
        <w:instrText>ADDIN CSL_CITATION {"citationItems":[{"id":"ITEM-1","itemData":{"DOI":"10.1056/nejm197811162992001","ISSN":"0028-4793","PMID":"703785","abstract":"In a case-control study of estrogens and endometrial cancer, alternative sampling methods were used to eliminate the detection bias that arises from the increased diagnostic attention received by women with uterine bleeding after estrogen exposure. In a set of cases and controls chosen by conventional procedures the odds ratio was 11.98. In an alternative set of cases and controls at the same institution, consisting of patients who had all received dilatation and curettage or hysterectomy because of uterine bleeding, the odds ratio was 1.7. A methodologic analysis demonstrates detection bias arising from the pattern of hospital referral and shows the way in which the bias is neglected or increased by conventional sampling procedures, but reduced by the alternative procedure. The magnitude of the association between estrogens and endometrial cancer has been greatly overestimated because of detection bias; when an appropriate compensation for the bias is introduced, the odds ratio approaches a value much closer to 1.","author":[{"dropping-particle":"","family":"Horwitz","given":"Ralph I.","non-dropping-particle":"","parse-names":false,"suffix":""},{"dropping-particle":"","family":"Feinstein","given":"Alvan R.","non-dropping-particle":"","parse-names":false,"suffix":""}],"container-title":"New England Journal of Medicine","id":"ITEM-1","issue":"20","issued":{"date-parts":[["1978"]]},"page":"1089-1094","title":"Alternative Analytic Methods for Case-Control Studies of Estrogens and Endometrial Cancer","type":"article-journal","volume":"299"},"uris":["http://www.mendeley.com/documents/?uuid=a88ac304-5448-47f2-88cf-33124214d928"]}],"mendeley":{"formattedCitation":"(10)","plainTextFormattedCitation":"(10)","previouslyFormattedCitation":"(10)"},"properties":{"noteIndex":0},"schema":"https://github.com/citation-style-language/schema/raw/master/csl-citation.json"}</w:instrText>
      </w:r>
      <w:r w:rsidRPr="004447F6">
        <w:rPr>
          <w:rFonts w:cstheme="minorHAnsi"/>
        </w:rPr>
        <w:fldChar w:fldCharType="separate"/>
      </w:r>
      <w:r w:rsidR="00CB023D" w:rsidRPr="004447F6">
        <w:rPr>
          <w:rFonts w:cstheme="minorHAnsi"/>
          <w:noProof/>
        </w:rPr>
        <w:t>(10)</w:t>
      </w:r>
      <w:r w:rsidRPr="004447F6">
        <w:rPr>
          <w:rFonts w:cstheme="minorHAnsi"/>
        </w:rPr>
        <w:fldChar w:fldCharType="end"/>
      </w:r>
      <w:r w:rsidR="00D576FB" w:rsidRPr="004447F6">
        <w:rPr>
          <w:rFonts w:cstheme="minorHAnsi"/>
        </w:rPr>
        <w:t>, s</w:t>
      </w:r>
      <w:r w:rsidR="008A5688" w:rsidRPr="004447F6">
        <w:rPr>
          <w:rFonts w:cstheme="minorHAnsi"/>
        </w:rPr>
        <w:t xml:space="preserve">afety alerts </w:t>
      </w:r>
      <w:r w:rsidR="008456D2" w:rsidRPr="004447F6">
        <w:rPr>
          <w:rFonts w:cstheme="minorHAnsi"/>
        </w:rPr>
        <w:t>may lead to notoriety</w:t>
      </w:r>
      <w:r w:rsidRPr="004447F6">
        <w:rPr>
          <w:rFonts w:cstheme="minorHAnsi"/>
        </w:rPr>
        <w:t xml:space="preserve"> bias</w:t>
      </w:r>
      <w:r w:rsidR="00915BA7" w:rsidRPr="004447F6">
        <w:rPr>
          <w:rFonts w:cstheme="minorHAnsi"/>
        </w:rPr>
        <w:t xml:space="preserve"> </w:t>
      </w:r>
      <w:r w:rsidRPr="004447F6">
        <w:rPr>
          <w:rFonts w:cstheme="minorHAnsi"/>
        </w:rPr>
        <w:fldChar w:fldCharType="begin" w:fldLock="1"/>
      </w:r>
      <w:r w:rsidR="00CB023D" w:rsidRPr="004447F6">
        <w:rPr>
          <w:rFonts w:cstheme="minorHAnsi"/>
        </w:rPr>
        <w:instrText>ADDIN CSL_CITATION {"citationItems":[{"id":"ITEM-1","itemData":{"DOI":"10.2165/00002018-200730100-00007","ISSN":"01145916","PMID":"17867726","abstract":"Background: Disproportionality analysis of spontaneous reporting is increasingly used, but it may be influenced in unknown ways by safety alerts (notoriety bias). Objective: To explore the consequences of safety alerts on reporting disproportionality. Methods: Within the French national pharmacovigilance database, disproportionality of reporting was tested, using the reporting odds ratio (ROR) and its 95% confidence interval, before and after four safety alerts: valvulopathies with pergolide; tuberculosis with infliximab; strokes with atypical antipsychotics; and rhabdomyolysis with HMG-CoA reductase inhibitors (statins) [after cerivastatin withdrawal]. Results: No cases of valvulopathy were reported in association with pergolide before the safety alert and 63 cases were reported after the alert, (ROR 9400; 95% CI 4300, 20 000), of which five had occurred before the alert. Twenty-five reports mentioned rhabdomyolysis associated with statins (not including cerivastatin) before the safety alert (ROR 5.8; 95% CI 3.8, 9.0), and 63 did so after the alert (ROR 9.4; 95% CI 7.0, 13.0). Approximately 280 cases involving cerivastatin were reported after its withdrawal. There were two reports of tuberculosis associated with infliximab before the alert (ROR 1500; 95% CI 130, 18 000) and seven after the alert (ROR 430; 95% CI 110, 1700). There was one report of a stroke in association with atypical antipsychotic treatment before the safety alert (ROR 0.10; 95% CI 0.01, 0.63) and 16 after the alert (ROR 1.10; 95% CI 0.70, 1.90). After excluding events involving treatment with anticoagulant agents, the RORs for stroke in association with atypical antipsychotic treatment were 0.14 (95% CI 0.02, 1.00) before the alert and 2.0 (95% CI 1.2, 3.4) after the alert. Conclusion: Disproportionality in spontaneous reporting databases increases after a safety alert because of increased reporting of the event of interest, including reports of such events that occurred before the alert. This may overflow to increased reporting of the event in association with other drugs. © 2007 Adis Data Information BV. All rights reserved.","author":[{"dropping-particle":"","family":"Pariente","given":"Antoine","non-dropping-particle":"","parse-names":false,"suffix":""},{"dropping-particle":"","family":"Gregoire","given":"Fleur","non-dropping-particle":"","parse-names":false,"suffix":""},{"dropping-particle":"","family":"Fourrier-Reglat","given":"Annie","non-dropping-particle":"","parse-names":false,"suffix":""},{"dropping-particle":"","family":"Haramburu","given":"Fraņcoise","non-dropping-particle":"","parse-names":false,"suffix":""},{"dropping-particle":"","family":"Moore","given":"Nicholas","non-dropping-particle":"","parse-names":false,"suffix":""}],"container-title":"Drug Safety","id":"ITEM-1","issued":{"date-parts":[["2007"]]},"title":"Impact of safety alerts on measures of disproportionality in spontaneous reporting databases: The notoriety bias","type":"article-journal"},"uris":["http://www.mendeley.com/documents/?uuid=30aa1531-0062-4a0a-8bc3-f5ba8274a40a"]}],"mendeley":{"formattedCitation":"(11)","plainTextFormattedCitation":"(11)","previouslyFormattedCitation":"(11)"},"properties":{"noteIndex":0},"schema":"https://github.com/citation-style-language/schema/raw/master/csl-citation.json"}</w:instrText>
      </w:r>
      <w:r w:rsidRPr="004447F6">
        <w:rPr>
          <w:rFonts w:cstheme="minorHAnsi"/>
        </w:rPr>
        <w:fldChar w:fldCharType="separate"/>
      </w:r>
      <w:r w:rsidR="00CB023D" w:rsidRPr="004447F6">
        <w:rPr>
          <w:rFonts w:cstheme="minorHAnsi"/>
          <w:noProof/>
        </w:rPr>
        <w:t>(11)</w:t>
      </w:r>
      <w:r w:rsidRPr="004447F6">
        <w:rPr>
          <w:rFonts w:cstheme="minorHAnsi"/>
        </w:rPr>
        <w:fldChar w:fldCharType="end"/>
      </w:r>
      <w:r w:rsidR="00915BA7" w:rsidRPr="004447F6">
        <w:rPr>
          <w:rFonts w:cstheme="minorHAnsi"/>
        </w:rPr>
        <w:t>,</w:t>
      </w:r>
      <w:r w:rsidR="00D576FB" w:rsidRPr="004447F6">
        <w:rPr>
          <w:rFonts w:cstheme="minorHAnsi"/>
        </w:rPr>
        <w:t xml:space="preserve"> and r</w:t>
      </w:r>
      <w:r w:rsidRPr="004447F6">
        <w:rPr>
          <w:rFonts w:cstheme="minorHAnsi"/>
        </w:rPr>
        <w:t>ecall bias</w:t>
      </w:r>
      <w:r w:rsidR="00D576FB" w:rsidRPr="004447F6">
        <w:rPr>
          <w:rFonts w:cstheme="minorHAnsi"/>
        </w:rPr>
        <w:t xml:space="preserve"> may also occur</w:t>
      </w:r>
      <w:r w:rsidRPr="004447F6">
        <w:rPr>
          <w:rFonts w:cstheme="minorHAnsi"/>
        </w:rPr>
        <w:t>.</w:t>
      </w:r>
      <w:r w:rsidR="00FC1F07" w:rsidRPr="004447F6">
        <w:rPr>
          <w:rFonts w:cstheme="minorHAnsi"/>
        </w:rPr>
        <w:t xml:space="preserve"> </w:t>
      </w:r>
      <w:r w:rsidR="00611FFE" w:rsidRPr="004447F6">
        <w:rPr>
          <w:rFonts w:cstheme="minorHAnsi"/>
        </w:rPr>
        <w:t>Nevertheless, with large numbers of people being vaccinated</w:t>
      </w:r>
      <w:r w:rsidR="006A4BE4" w:rsidRPr="004447F6">
        <w:rPr>
          <w:rFonts w:cstheme="minorHAnsi"/>
        </w:rPr>
        <w:t>, often with a two-dose schedule</w:t>
      </w:r>
      <w:r w:rsidR="00611FFE" w:rsidRPr="004447F6">
        <w:rPr>
          <w:rFonts w:cstheme="minorHAnsi"/>
        </w:rPr>
        <w:t>, rare complications of vaccination may be seen more frequently</w:t>
      </w:r>
      <w:r w:rsidR="00864EB4" w:rsidRPr="004447F6">
        <w:rPr>
          <w:rFonts w:cstheme="minorHAnsi"/>
        </w:rPr>
        <w:t>, and judicious assessment of causality is recommended in each case.</w:t>
      </w:r>
    </w:p>
    <w:p w14:paraId="2D6EB4D6" w14:textId="2F6D2710" w:rsidR="00B35446" w:rsidRPr="004447F6" w:rsidRDefault="00B35446" w:rsidP="006C40EE">
      <w:pPr>
        <w:spacing w:line="360" w:lineRule="auto"/>
        <w:jc w:val="both"/>
        <w:rPr>
          <w:rFonts w:cstheme="minorHAnsi"/>
        </w:rPr>
      </w:pPr>
      <w:r w:rsidRPr="004447F6">
        <w:rPr>
          <w:rFonts w:cstheme="minorHAnsi"/>
        </w:rPr>
        <w:t>Widespread vaccine take-up is necessary to establish the required herd immunity to stop or slow the pandemic and to prevent the emergence of vaccine-</w:t>
      </w:r>
      <w:r w:rsidR="003C4ACC" w:rsidRPr="004447F6">
        <w:rPr>
          <w:rFonts w:cstheme="minorHAnsi"/>
        </w:rPr>
        <w:t>resistant</w:t>
      </w:r>
      <w:r w:rsidRPr="004447F6">
        <w:rPr>
          <w:rFonts w:cstheme="minorHAnsi"/>
        </w:rPr>
        <w:t xml:space="preserve"> strains</w:t>
      </w:r>
      <w:r w:rsidR="00915BA7" w:rsidRPr="004447F6">
        <w:rPr>
          <w:rFonts w:cstheme="minorHAnsi"/>
        </w:rPr>
        <w:t xml:space="preserve"> </w:t>
      </w:r>
      <w:r w:rsidR="003C4ACC" w:rsidRPr="004447F6">
        <w:rPr>
          <w:rFonts w:cstheme="minorHAnsi"/>
        </w:rPr>
        <w:fldChar w:fldCharType="begin" w:fldLock="1"/>
      </w:r>
      <w:r w:rsidR="00CB023D" w:rsidRPr="004447F6">
        <w:rPr>
          <w:rFonts w:cstheme="minorHAnsi"/>
        </w:rPr>
        <w:instrText>ADDIN CSL_CITATION {"citationItems":[{"id":"ITEM-1","itemData":{"DOI":"10.1016/j.idm.2020.07.006","ISSN":"24680427","abstract":"The novel coronavirus (COVID-19) that emerged from Wuhan city of China in late December 2019 continue to pose devastating public health and economic challenges across the world. Although the community-wide implementation of basic non-pharmaceutical intervention measures, such as social distancing, quarantine of suspected COVID-19 cases, isolation of confirmed cases, use of face masks in public, contact tracing and testing, have been quite effective in curtailing and mitigating the burden of the pandemic, it is universally believed that the use of a vaccine may be necessary to effectively curtail and eliminating COVID-19 in human populations. This study is based on the use of a mathematical model for assessing the impact of a hypothetical imperfect anti-COVID-19 vaccine on the control of COVID-19 in the United States. An analytical expression for the minimum percentage of unvaccinated susceptible individuals needed to be vaccinated in order to achieve vaccine-induced community herd immunity is derived. The epidemiological consequence of the herd immunity threshold is that the disease can be effectively controlled or eliminated if the minimum herd immunity threshold is achieved in the community. Simulations of the model, using baseline parameter values obtained from fitting the model with COVID-19 mortality data for the U.S., show that, for an anti-COVID-19 vaccine with an assumed protective efficacy of 80%, at least 82% of the susceptible US population need to be vaccinated to achieve the herd immunity threshold. The prospect of COVID-19 elimination in the US, using the hypothetical vaccine, is greatly enhanced if the vaccination program is combined with other interventions, such as face mask usage and/or social distancing. Such combination of strategies significantly reduces the level of the vaccine-induced herd immunity threshold needed to eliminate the pandemic in the US. For instance, the herd immunity threshold decreases to 72% if half of the US population regularly wears face masks in public (the threshold decreases to 46% if everyone wears a face mask).","author":[{"dropping-particle":"","family":"Iboi","given":"Enahoro A.","non-dropping-particle":"","parse-names":false,"suffix":""},{"dropping-particle":"","family":"Ngonghala","given":"Calistus N.","non-dropping-particle":"","parse-names":false,"suffix":""},{"dropping-particle":"","family":"Gumel","given":"Abba B.","non-dropping-particle":"","parse-names":false,"suffix":""}],"container-title":"Infectious Disease Modelling","id":"ITEM-1","issued":{"date-parts":[["2020"]]},"title":"Will an imperfect vaccine curtail the COVID-19 pandemic in the U.S.?","type":"article-journal"},"uris":["http://www.mendeley.com/documents/?uuid=a4d21566-39e8-4530-a8db-a3afb5399631"]}],"mendeley":{"formattedCitation":"(12)","plainTextFormattedCitation":"(12)","previouslyFormattedCitation":"(12)"},"properties":{"noteIndex":0},"schema":"https://github.com/citation-style-language/schema/raw/master/csl-citation.json"}</w:instrText>
      </w:r>
      <w:r w:rsidR="003C4ACC" w:rsidRPr="004447F6">
        <w:rPr>
          <w:rFonts w:cstheme="minorHAnsi"/>
        </w:rPr>
        <w:fldChar w:fldCharType="separate"/>
      </w:r>
      <w:r w:rsidR="00CB023D" w:rsidRPr="004447F6">
        <w:rPr>
          <w:rFonts w:cstheme="minorHAnsi"/>
          <w:noProof/>
        </w:rPr>
        <w:t>(12)</w:t>
      </w:r>
      <w:r w:rsidR="003C4ACC" w:rsidRPr="004447F6">
        <w:rPr>
          <w:rFonts w:cstheme="minorHAnsi"/>
        </w:rPr>
        <w:fldChar w:fldCharType="end"/>
      </w:r>
      <w:r w:rsidR="00CB023D" w:rsidRPr="004447F6">
        <w:rPr>
          <w:rFonts w:cstheme="minorHAnsi"/>
        </w:rPr>
        <w:t xml:space="preserve">, as well as to decrease the neurological and neuropsychiatric complications which are associated with COVID-19 itself </w:t>
      </w:r>
      <w:r w:rsidR="00CB023D" w:rsidRPr="004447F6">
        <w:rPr>
          <w:rFonts w:cstheme="minorHAnsi"/>
        </w:rPr>
        <w:fldChar w:fldCharType="begin" w:fldLock="1"/>
      </w:r>
      <w:r w:rsidR="00CB023D" w:rsidRPr="004447F6">
        <w:rPr>
          <w:rFonts w:cstheme="minorHAnsi"/>
        </w:rPr>
        <w:instrText>ADDIN CSL_CITATION {"citationItems":[{"id":"ITEM-1","itemData":{"DOI":"10.1136/bmj.m3871","ISSN":"17561833","PMID":"33051183","abstract":"From acute delirium to long term fatigue, covid-19 has serious neuropsychiatric effectsViral infections of the respiratory tract can have multisystemic effects, including on the central nervous system (CNS), and thus may precipitate a spectrum of psychiatric and neurological disorders.1 Some patients with covid-19 are now known to develop various CNS abnormalities with potentially serious and long term consequences, including stroke and isolated psychiatric syndromes.2 As covid-19 cases rise again worldwide, it is timely to review what we know and don’t know about the acute and chronic neuropsychiatric sequelae and their potential mechanisms.In laboratory studies, SARS-CoV-2 is neurotropic (replicating in neurons) and has the potential to enter the CNS via angiotensin converting enzyme 2 receptors in the olfactory bulb.3 Whether this happens in clinical populations is unclear. Postmortem studies show evidence of cerebral inflammation, and neuroimaging studies detect leucoencephalopathy and microbleeds in critically ill patients.4 While viral RNA is typically absent from the cerebrospinal fluid5 and postmortem brain samples,6 antibodies to SARS-CoV-2 have been identified in cerebrospinal fluid.7 Other mechanisms causing CNS dysfunction include cytokine driven inflammatory responses8 and wider systemic effects such as …","author":[{"dropping-particle":"","family":"Butler","given":"Matthew","non-dropping-particle":"","parse-names":false,"suffix":""},{"dropping-particle":"","family":"Pollak","given":"Thomas A.","non-dropping-particle":"","parse-names":false,"suffix":""},{"dropping-particle":"","family":"Rooney","given":"Alasdair G.","non-dropping-particle":"","parse-names":false,"suffix":""},{"dropping-particle":"","family":"Michael","given":"Benedict D.","non-dropping-particle":"","parse-names":false,"suffix":""},{"dropping-particle":"","family":"Nicholson","given":"Timothy R.","non-dropping-particle":"","parse-names":false,"suffix":""}],"container-title":"The BMJ","id":"ITEM-1","issued":{"date-parts":[["2020","10","13"]]},"page":"m3871","title":"Neuropsychiatric complications of covid-19","type":"article-journal","volume":"371"},"uris":["http://www.mendeley.com/documents/?uuid=3be1b1dc-c421-4317-8e94-3cc11ce7a2b7"]},{"id":"ITEM-2","itemData":{"DOI":"10.1101/2021.02.24.21252335","abstract":"Objectives There is accumulating evidence of the neurological and neuropsychiatric features of infection with SARS-CoV-2. In this systematic review and meta-analysis, we aimed to describe the characteristics of the early literature and estimate point prevalences for neurological and neuropsychiatric manifestations.Methods We searched MEDLINE, Embase, PsycInfo and CINAHL up to 18 July 2020 for randomised controlled trials, cohort studies, case-control studies, cross-sectional studies and case series. Studies reporting prevalences of neurological or neuropsychiatric symptoms were synthesised into meta-analyses to estimate pooled prevalence.Results 13,292 records were screened by at least two authors to identify 215 included studies, of which there were 37 cohort studies, 15 case-control studies, 80 cross-sectional studies and 83 case series from 30 countries. 147 studies were included in the meta-analysis. The symptoms with the highest prevalence were anosmia (43.1% [35.2—51.3], n=15,975, 63 studies), weakness (40.0% [27.9—53.5], n=221, 3 studies), fatigue (37.8% [31.6—44.4], n=21,101, 67 studies), dysgeusia (37.2% [30.0—45.3], n=13,686, 52 studies), myalgia (25.1% [19.8—31.3], n=66.268, 76 studies), depression (23.0 % [11.8—40.2], n=43,128, 10 studies), headache (20.7% [95% CI 16.1—26.1], n=64,613, 84 studies), anxiety (15.9% [5.6—37.7], n=42,566, 9 studies) and altered mental status (8.2% [4.4—14.8], n=49,326, 19 studies). Heterogeneity for most clinical manifestations was high.Conclusions Neurological and neuropsychiatric symptoms of COVID-19 in the pandemic’s early phase are varied and common. The neurological and psychiatric academic communities should develop systems to facilitate high-quality methodologies, including more rapid examination of the longitudinal course of neuropsychiatric complications of newly emerging diseases and their relationship to neuroimaging and inflammatory biomarkers.Competing Interest Statement- Jonathan Rogers has received payment by the Alberta Psychiatric Association for a lecture and has held one unpaid advisory meeting with representatives from Promentis Pharmaceuticals Inc regarding drug development. - Lucretia Thomas is in receipt of a bursary as part of the Royal College of Psychiatrists PsychStar scheme. By winning a prize from the Royal College of Psychiatrists, she has received prize money and free attendance at a meeting. She is President of the University of Birmingham Psychiatry Society. - Ivan Koychev has be…","author":[{"dropping-particle":"","family":"Rogers","given":"Jonathan P","non-dropping-particle":"","parse-names":false,"suffix":""},{"dropping-particle":"","family":"Watson","given":"Cameron","non-dropping-particle":"","parse-names":false,"suffix":""},{"dropping-particle":"","family":"Badenoch","given":"James","non-dropping-particle":"","parse-names":false,"suffix":""},{"dropping-particle":"","family":"Cross","given":"Benjamin","non-dropping-particle":"","parse-names":false,"suffix":""},{"dropping-particle":"","family":"Butler","given":"Matthew","non-dropping-particle":"","parse-names":false,"suffix":""},{"dropping-particle":"","family":"Song","given":"Jia","non-dropping-particle":"","parse-names":false,"suffix":""},{"dropping-particle":"","family":"Hafeez","given":"Danish","non-dropping-particle":"","parse-names":false,"suffix":""},{"dropping-particle":"","family":"Morrin","given":"Hamilton","non-dropping-particle":"","parse-names":false,"suffix":""},{"dropping-particle":"","family":"Rengasamy","given":"Emma Rachel","non-dropping-particle":"","parse-names":false,"suffix":""},{"dropping-particle":"","family":"Thomas","given":"Lucretia","non-dropping-particle":"","parse-names":false,"suffix":""},{"dropping-particle":"","family":"Ralovska","given":"Silviya","non-dropping-particle":"","parse-names":false,"suffix":""},{"dropping-particle":"","family":"Smakowski","given":"Abigail","non-dropping-particle":"","parse-names":false,"suffix":""},{"dropping-particle":"","family":"Sundaram","given":"Ritika Dilip","non-dropping-particle":"","parse-names":false,"suffix":""},{"dropping-particle":"","family":"Hunt","given":"Camille Kaitlyn","non-dropping-particle":"","parse-names":false,"suffix":""},{"dropping-particle":"","family":"Lim","given":"Mao Fong","non-dropping-particle":"","parse-names":false,"suffix":""},{"dropping-particle":"","family":"Aniwattanapong","given":"Daruj","non-dropping-particle":"","parse-names":false,"suffix":""},{"dropping-particle":"","family":"Singh","given":"Vanshika","non-dropping-particle":"","parse-names":false,"suffix":""},{"dropping-particle":"","family":"Hussain","given":"Zain","non-dropping-particle":"","parse-names":false,"suffix":""},{"dropping-particle":"","family":"Chakraborty","given":"Stuti","non-dropping-particle":"","parse-names":false,"suffix":""},{"dropping-particle":"","family":"Burchill","given":"Ella","non-dropping-particle":"","parse-names":false,"suffix":""},{"dropping-particle":"","family":"Jansen","given":"Katrin","non-dropping-particle":"","parse-names":false,"suffix":""},{"dropping-particle":"","family":"Holling","given":"Heinz","non-dropping-particle":"","parse-names":false,"suffix":""},{"dropping-particle":"","family":"Walton","given":"Dean","non-dropping-particle":"","parse-names":false,"suffix":""},{"dropping-particle":"","family":"Pollak","given":"Thomas A","non-dropping-particle":"","parse-names":false,"suffix":""},{"dropping-particle":"","family":"Ellul","given":"Mark","non-dropping-particle":"","parse-names":false,"suffix":""},{"dropping-particle":"","family":"Koychev","given":"Ivan","non-dropping-particle":"","parse-names":false,"suffix":""},{"dropping-particle":"","family":"Solomon","given":"Tom","non-dropping-particle":"","parse-names":false,"suffix":""},{"dropping-particle":"","family":"Michael","given":"Benedict Daniel","non-dropping-particle":"","parse-names":false,"suffix":""},{"dropping-particle":"","family":"Nicholson","given":"Timothy R","non-dropping-particle":"","parse-names":false,"suffix":""},{"dropping-particle":"","family":"Rooney","given":"Alasdair G","non-dropping-particle":"","parse-names":false,"suffix":""}],"container-title":"medRxiv","id":"ITEM-2","issued":{"date-parts":[["2021","1","1"]]},"page":"2021.02.24.21252335","title":"The neurology and neuropsychiatry of COVID-19: a systematic review and meta-analysis of the early literature reveals frequent CNS manifestations and key emerging narratives","type":"article-journal"},"uris":["http://www.mendeley.com/documents/?uuid=7421da91-9c4f-48aa-8568-cff15100cba4"]}],"mendeley":{"formattedCitation":"(13,14)","plainTextFormattedCitation":"(13,14)","previouslyFormattedCitation":"(13,14)"},"properties":{"noteIndex":0},"schema":"https://github.com/citation-style-language/schema/raw/master/csl-citation.json"}</w:instrText>
      </w:r>
      <w:r w:rsidR="00CB023D" w:rsidRPr="004447F6">
        <w:rPr>
          <w:rFonts w:cstheme="minorHAnsi"/>
        </w:rPr>
        <w:fldChar w:fldCharType="separate"/>
      </w:r>
      <w:r w:rsidR="00CB023D" w:rsidRPr="004447F6">
        <w:rPr>
          <w:rFonts w:cstheme="minorHAnsi"/>
          <w:noProof/>
        </w:rPr>
        <w:t>(13,14)</w:t>
      </w:r>
      <w:r w:rsidR="00CB023D" w:rsidRPr="004447F6">
        <w:rPr>
          <w:rFonts w:cstheme="minorHAnsi"/>
        </w:rPr>
        <w:fldChar w:fldCharType="end"/>
      </w:r>
      <w:r w:rsidR="00915BA7" w:rsidRPr="004447F6">
        <w:rPr>
          <w:rFonts w:cstheme="minorHAnsi"/>
        </w:rPr>
        <w:t>.</w:t>
      </w:r>
      <w:r w:rsidRPr="004447F6">
        <w:rPr>
          <w:rFonts w:cstheme="minorHAnsi"/>
        </w:rPr>
        <w:t xml:space="preserve"> As </w:t>
      </w:r>
      <w:r w:rsidR="00CB023D" w:rsidRPr="004447F6">
        <w:rPr>
          <w:rFonts w:cstheme="minorHAnsi"/>
        </w:rPr>
        <w:t xml:space="preserve">vaccine </w:t>
      </w:r>
      <w:r w:rsidRPr="004447F6">
        <w:rPr>
          <w:rFonts w:cstheme="minorHAnsi"/>
        </w:rPr>
        <w:t xml:space="preserve">uptake is directly </w:t>
      </w:r>
      <w:r w:rsidR="00FE147B" w:rsidRPr="004447F6">
        <w:rPr>
          <w:rFonts w:cstheme="minorHAnsi"/>
        </w:rPr>
        <w:t xml:space="preserve">influenced </w:t>
      </w:r>
      <w:r w:rsidRPr="004447F6">
        <w:rPr>
          <w:rFonts w:cstheme="minorHAnsi"/>
        </w:rPr>
        <w:t xml:space="preserve">by public confidence in the safety of the vaccine, it is critical that those reporting potential neurological and/or psychiatric complications apply stringent methodological approaches to assigning a causal association between the two; as has been undertaken for </w:t>
      </w:r>
      <w:r w:rsidR="006A4BE4" w:rsidRPr="004447F6">
        <w:rPr>
          <w:rFonts w:cstheme="minorHAnsi"/>
        </w:rPr>
        <w:t>COVID-19</w:t>
      </w:r>
      <w:r w:rsidRPr="004447F6">
        <w:rPr>
          <w:rFonts w:cstheme="minorHAnsi"/>
        </w:rPr>
        <w:t xml:space="preserve"> itself</w:t>
      </w:r>
      <w:r w:rsidR="00915BA7" w:rsidRPr="004447F6">
        <w:rPr>
          <w:rFonts w:cstheme="minorHAnsi"/>
        </w:rPr>
        <w:t xml:space="preserve"> </w:t>
      </w:r>
      <w:r w:rsidR="003C4ACC" w:rsidRPr="004447F6">
        <w:rPr>
          <w:rFonts w:cstheme="minorHAnsi"/>
        </w:rPr>
        <w:fldChar w:fldCharType="begin" w:fldLock="1"/>
      </w:r>
      <w:r w:rsidR="00CB023D" w:rsidRPr="004447F6">
        <w:rPr>
          <w:rFonts w:cstheme="minorHAnsi"/>
        </w:rPr>
        <w:instrText>ADDIN CSL_CITATION {"citationItems":[{"id":"ITEM-1","itemData":{"DOI":"10.1136/jnnp-2020-323667","ISSN":"1468330X","PMID":"32503883","abstract":"IntroductionClinicians are increasingly recognising neurological presentations occur in some patients.1 A case series from Wuhan described associated neurological syndromes (eg, ‘dizziness’ and ‘impaired consciousness’), but with little detail regarding symptomatology, and cerebrospinal fluid (CSF) and neuroimaging findings.2 The extent to which these disorders were caused by the virus per se, rather than being complications of critical illness, unmasking of degenerative disease, or iatrogenic effects of repurposed medications is not clear.Numerous case reports have since emerged and, at the time of writing, published cases include encephalopathy,3 encephalitis,4 Guillain-Barré syndrome (GBS)5 and stroke.6 In most of these cases, the virus has been identified in respiratory samples, and in a small number in CSF. So far, the reporting of clinical features has been extremely variable, for example, several cases have claimed to report encephalitis without clear evidence of central nervous system (CNS) inflammation, which would not meet established definitions of the disease.7 Whether severe acute respiratory syndrome coronavirus 2 (SARS-CoV2) is associated with neurological manifestations is of critical importance as this may result in substantial morbidity and mortality.Defining causalityIt is crucial that neurologists and neuropsychiatrists apply a systematic strategy to determine whether there is evidence that SARS-CoV2 is causing these manifestations, whether they are a consequence of severe systemic disease alone, or simply coincidence. In 1965, Hill proposed criteria on which to build an argument for disease causation, which …","author":[{"dropping-particle":"","family":"Ellul","given":"Mark","non-dropping-particle":"","parse-names":false,"suffix":""},{"dropping-particle":"","family":"Varatharaj","given":"Aravinthan","non-dropping-particle":"","parse-names":false,"suffix":""},{"dropping-particle":"","family":"Nicholson","given":"Timothy R.","non-dropping-particle":"","parse-names":false,"suffix":""},{"dropping-particle":"","family":"Pollak","given":"Thomas Arthur","non-dropping-particle":"","parse-names":false,"suffix":""},{"dropping-particle":"","family":"Thomas","given":"Naomi","non-dropping-particle":"","parse-names":false,"suffix":""},{"dropping-particle":"","family":"Easton","given":"Ava","non-dropping-particle":"","parse-names":false,"suffix":""},{"dropping-particle":"","family":"Zandi","given":"Michael S.","non-dropping-particle":"","parse-names":false,"suffix":""},{"dropping-particle":"","family":"Manji","given":"Hadi","non-dropping-particle":"","parse-names":false,"suffix":""},{"dropping-particle":"","family":"Solomon","given":"Tom","non-dropping-particle":"","parse-names":false,"suffix":""},{"dropping-particle":"","family":"Carson","given":"Alan","non-dropping-particle":"","parse-names":false,"suffix":""},{"dropping-particle":"","family":"Turner","given":"Martin R.","non-dropping-particle":"","parse-names":false,"suffix":""},{"dropping-particle":"","family":"Kneen","given":"Rachel","non-dropping-particle":"","parse-names":false,"suffix":""},{"dropping-particle":"","family":"Galea","given":"Ian","non-dropping-particle":"","parse-names":false,"suffix":""},{"dropping-particle":"","family":"Pett","given":"Sarah","non-dropping-particle":"","parse-names":false,"suffix":""},{"dropping-particle":"","family":"Thomas","given":"Rhys Huw","non-dropping-particle":"","parse-names":false,"suffix":""},{"dropping-particle":"","family":"Michael","given":"Benedict Daniel","non-dropping-particle":"","parse-names":false,"suffix":""}],"container-title":"Journal of Neurology, Neurosurgery and Psychiatry","id":"ITEM-1","issue":"8","issued":{"date-parts":[["2020","6","5"]]},"page":"811-812","title":"Defining causality in COVID-19 and neurological disorders","type":"article-journal","volume":"91"},"uris":["http://www.mendeley.com/documents/?uuid=d6da08a8-9ed9-4a3e-86a3-7c6d9cdc8037"]}],"mendeley":{"formattedCitation":"(15)","plainTextFormattedCitation":"(15)","previouslyFormattedCitation":"(15)"},"properties":{"noteIndex":0},"schema":"https://github.com/citation-style-language/schema/raw/master/csl-citation.json"}</w:instrText>
      </w:r>
      <w:r w:rsidR="003C4ACC" w:rsidRPr="004447F6">
        <w:rPr>
          <w:rFonts w:cstheme="minorHAnsi"/>
        </w:rPr>
        <w:fldChar w:fldCharType="separate"/>
      </w:r>
      <w:r w:rsidR="00CB023D" w:rsidRPr="004447F6">
        <w:rPr>
          <w:rFonts w:cstheme="minorHAnsi"/>
          <w:noProof/>
        </w:rPr>
        <w:t>(15)</w:t>
      </w:r>
      <w:r w:rsidR="003C4ACC" w:rsidRPr="004447F6">
        <w:rPr>
          <w:rFonts w:cstheme="minorHAnsi"/>
        </w:rPr>
        <w:fldChar w:fldCharType="end"/>
      </w:r>
      <w:r w:rsidR="00915BA7" w:rsidRPr="004447F6">
        <w:rPr>
          <w:rFonts w:cstheme="minorHAnsi"/>
        </w:rPr>
        <w:t>.</w:t>
      </w:r>
    </w:p>
    <w:p w14:paraId="73E2E71B" w14:textId="0E75189C" w:rsidR="005F5D76" w:rsidRPr="004447F6" w:rsidRDefault="006C40EE" w:rsidP="006C40EE">
      <w:pPr>
        <w:spacing w:line="360" w:lineRule="auto"/>
        <w:jc w:val="both"/>
        <w:rPr>
          <w:rFonts w:cstheme="minorHAnsi"/>
        </w:rPr>
      </w:pPr>
      <w:r w:rsidRPr="004447F6">
        <w:rPr>
          <w:rFonts w:cstheme="minorHAnsi"/>
        </w:rPr>
        <w:t>Here w</w:t>
      </w:r>
      <w:r w:rsidR="004401D0" w:rsidRPr="004447F6">
        <w:rPr>
          <w:rFonts w:cstheme="minorHAnsi"/>
        </w:rPr>
        <w:t xml:space="preserve">e present a summary of what is </w:t>
      </w:r>
      <w:r w:rsidR="00B84131" w:rsidRPr="004447F6">
        <w:rPr>
          <w:rFonts w:cstheme="minorHAnsi"/>
        </w:rPr>
        <w:t xml:space="preserve">currently </w:t>
      </w:r>
      <w:r w:rsidR="004401D0" w:rsidRPr="004447F6">
        <w:rPr>
          <w:rFonts w:cstheme="minorHAnsi"/>
        </w:rPr>
        <w:t>known about the neurological</w:t>
      </w:r>
      <w:r w:rsidR="00183921" w:rsidRPr="004447F6">
        <w:rPr>
          <w:rFonts w:cstheme="minorHAnsi"/>
        </w:rPr>
        <w:t xml:space="preserve"> and neuropsychiatric</w:t>
      </w:r>
      <w:r w:rsidR="004401D0" w:rsidRPr="004447F6">
        <w:rPr>
          <w:rFonts w:cstheme="minorHAnsi"/>
        </w:rPr>
        <w:t xml:space="preserve"> adverse effects of the currently available </w:t>
      </w:r>
      <w:r w:rsidR="00FE147B" w:rsidRPr="004447F6">
        <w:rPr>
          <w:rFonts w:cstheme="minorHAnsi"/>
        </w:rPr>
        <w:t>COVID</w:t>
      </w:r>
      <w:r w:rsidR="004401D0" w:rsidRPr="004447F6">
        <w:rPr>
          <w:rFonts w:cstheme="minorHAnsi"/>
        </w:rPr>
        <w:t>-19 vaccines</w:t>
      </w:r>
      <w:r w:rsidR="00647EFB" w:rsidRPr="004447F6">
        <w:rPr>
          <w:rFonts w:cstheme="minorHAnsi"/>
        </w:rPr>
        <w:t xml:space="preserve">. </w:t>
      </w:r>
      <w:r w:rsidR="00B84131" w:rsidRPr="004447F6">
        <w:rPr>
          <w:rFonts w:cstheme="minorHAnsi"/>
        </w:rPr>
        <w:t>W</w:t>
      </w:r>
      <w:r w:rsidR="00647EFB" w:rsidRPr="004447F6">
        <w:rPr>
          <w:rFonts w:cstheme="minorHAnsi"/>
        </w:rPr>
        <w:t>e review evidence from previous vaccination campaigns and</w:t>
      </w:r>
      <w:r w:rsidR="004401D0" w:rsidRPr="004447F6">
        <w:rPr>
          <w:rFonts w:cstheme="minorHAnsi"/>
        </w:rPr>
        <w:t xml:space="preserve"> discuss</w:t>
      </w:r>
      <w:r w:rsidR="00A514DC" w:rsidRPr="004447F6">
        <w:rPr>
          <w:rFonts w:cstheme="minorHAnsi"/>
        </w:rPr>
        <w:t xml:space="preserve"> the complexities</w:t>
      </w:r>
      <w:r w:rsidR="00B84131" w:rsidRPr="004447F6">
        <w:rPr>
          <w:rFonts w:cstheme="minorHAnsi"/>
        </w:rPr>
        <w:t>. Finally, we</w:t>
      </w:r>
      <w:r w:rsidR="00741D9F" w:rsidRPr="004447F6">
        <w:rPr>
          <w:rFonts w:cstheme="minorHAnsi"/>
        </w:rPr>
        <w:t xml:space="preserve"> propose system for </w:t>
      </w:r>
      <w:r w:rsidR="00B84131" w:rsidRPr="004447F6">
        <w:rPr>
          <w:rFonts w:cstheme="minorHAnsi"/>
        </w:rPr>
        <w:t xml:space="preserve">AEFI </w:t>
      </w:r>
      <w:r w:rsidR="00741D9F" w:rsidRPr="004447F6">
        <w:rPr>
          <w:rFonts w:cstheme="minorHAnsi"/>
        </w:rPr>
        <w:t>causality assessments</w:t>
      </w:r>
      <w:r w:rsidR="004401D0" w:rsidRPr="004447F6">
        <w:rPr>
          <w:rFonts w:cstheme="minorHAnsi"/>
        </w:rPr>
        <w:t>.</w:t>
      </w:r>
    </w:p>
    <w:p w14:paraId="60E2AF69" w14:textId="77777777" w:rsidR="001F269E" w:rsidRPr="004447F6" w:rsidRDefault="001F269E" w:rsidP="00632A99">
      <w:pPr>
        <w:spacing w:line="360" w:lineRule="auto"/>
        <w:jc w:val="both"/>
        <w:rPr>
          <w:rFonts w:cstheme="minorHAnsi"/>
          <w:b/>
          <w:bCs/>
        </w:rPr>
      </w:pPr>
    </w:p>
    <w:p w14:paraId="4E3E0D0A" w14:textId="68FA2ECF" w:rsidR="00632A99" w:rsidRPr="004447F6" w:rsidRDefault="00632A99" w:rsidP="00632A99">
      <w:pPr>
        <w:spacing w:line="360" w:lineRule="auto"/>
        <w:jc w:val="both"/>
        <w:rPr>
          <w:rFonts w:cstheme="minorHAnsi"/>
          <w:b/>
          <w:bCs/>
        </w:rPr>
      </w:pPr>
      <w:r w:rsidRPr="004447F6">
        <w:rPr>
          <w:rFonts w:cstheme="minorHAnsi"/>
          <w:b/>
          <w:bCs/>
        </w:rPr>
        <w:t>Neurological adverse events in previous vaccination campaigns</w:t>
      </w:r>
    </w:p>
    <w:p w14:paraId="3D871D0A" w14:textId="3005A710" w:rsidR="00632A99" w:rsidRPr="004447F6" w:rsidRDefault="00632A99" w:rsidP="00632A99">
      <w:pPr>
        <w:spacing w:line="360" w:lineRule="auto"/>
        <w:jc w:val="both"/>
        <w:rPr>
          <w:rFonts w:cstheme="minorHAnsi"/>
        </w:rPr>
      </w:pPr>
      <w:r w:rsidRPr="004447F6">
        <w:rPr>
          <w:rFonts w:cstheme="minorHAnsi"/>
        </w:rPr>
        <w:t xml:space="preserve">Previous programmes have raised the possibility of adverse neuropsychiatric events to vaccination. Autoimmune encephalitis following influenza and Japanese encephalitis vaccination have been documented </w:t>
      </w:r>
      <w:r w:rsidRPr="004447F6">
        <w:rPr>
          <w:rFonts w:cstheme="minorHAnsi"/>
        </w:rPr>
        <w:fldChar w:fldCharType="begin" w:fldLock="1"/>
      </w:r>
      <w:r w:rsidR="00DB0E82" w:rsidRPr="004447F6">
        <w:rPr>
          <w:rFonts w:cstheme="minorHAnsi"/>
        </w:rPr>
        <w:instrText>ADDIN CSL_CITATION {"citationItems":[{"id":"ITEM-1","itemData":{"DOI":"10.3390/ijms18010193","ISSN":"14220067","PMID":"28106787","abstract":"Anti-N-methyl-D-aspartate (Anti-NMDA) receptor encephalitis is an acute autoimmune neurological disorder. The cause of this disease is often unknown, and previous studies revealed that it might be caused by a virus, vaccine or tumor. It occurs more often in females than in males. Several cases were reported to be related to vaccination such as the H1N1 vaccine and tetanus/diphtheria/pertussis and polio vaccines. In this study, we reported an anti-NMDA receptor encephalitis case that may be caused by Japanese encephalitis vaccination. To investigate the association between anti-NMDA receptor encephalitis and vaccination, we analyzed the phylogenetic relationship of the microRNAs, which significantly regulate these vaccine viruses or bacteria, and the phylogenetic relationship of these viruses and bacteria. This reveals that anti-NMDA receptor encephalitis may be caused by Japanese encephalitis vaccination, as well as H1N1 vaccination or tetanus/diphtheria/pertussis and polio vaccinations, from the phylogenetic viewpoint.","author":[{"dropping-particle":"","family":"Wang","given":"Hsiuying","non-dropping-particle":"","parse-names":false,"suffix":""}],"container-title":"International Journal of Molecular Sciences","id":"ITEM-1","issue":"1","issued":{"date-parts":[["2017"]]},"title":"Anti-NMDA receptor encephalitis and vaccination","type":"article-journal","volume":"18"},"uris":["http://www.mendeley.com/documents/?uuid=ab889749-4ff7-491b-8b7e-f5cb44dedd13"]}],"mendeley":{"formattedCitation":"(16)","plainTextFormattedCitation":"(16)","previouslyFormattedCitation":"(16)"},"properties":{"noteIndex":0},"schema":"https://github.com/citation-style-language/schema/raw/master/csl-citation.json"}</w:instrText>
      </w:r>
      <w:r w:rsidRPr="004447F6">
        <w:rPr>
          <w:rFonts w:cstheme="minorHAnsi"/>
        </w:rPr>
        <w:fldChar w:fldCharType="separate"/>
      </w:r>
      <w:r w:rsidRPr="004447F6">
        <w:rPr>
          <w:rFonts w:cstheme="minorHAnsi"/>
          <w:noProof/>
        </w:rPr>
        <w:t>(16)</w:t>
      </w:r>
      <w:r w:rsidRPr="004447F6">
        <w:rPr>
          <w:rFonts w:cstheme="minorHAnsi"/>
        </w:rPr>
        <w:fldChar w:fldCharType="end"/>
      </w:r>
      <w:r w:rsidRPr="004447F6">
        <w:rPr>
          <w:rFonts w:cstheme="minorHAnsi"/>
        </w:rPr>
        <w:t xml:space="preserve">, as has the likely autoimmune phenomenon of childhood-onset narcolepsy following both influenza H1N1 infection </w:t>
      </w:r>
      <w:r w:rsidRPr="004447F6">
        <w:rPr>
          <w:rFonts w:cstheme="minorHAnsi"/>
        </w:rPr>
        <w:fldChar w:fldCharType="begin" w:fldLock="1"/>
      </w:r>
      <w:r w:rsidR="00DB0E82" w:rsidRPr="004447F6">
        <w:rPr>
          <w:rFonts w:cstheme="minorHAnsi"/>
        </w:rPr>
        <w:instrText>ADDIN CSL_CITATION {"citationItems":[{"id":"ITEM-1","itemData":{"DOI":"10.1097/PCC.0b013e3181cf4652","ISSN":"15297535","abstract":"OBJECTIVE:: To outline a series of cases demonstrating neurologic complications in children with Influenza infection. The ongoing 2009 influenza A (H1N1) presents significant challenges to the field of pediatric critical care and requires increased awareness of new presentations and sequelae of infection. Since World Health Organization declared a H1N1 pandemic, much attention has been focused on its respiratory manifestations of the illness, but limited information regarding neurologic complications has been reported. DESIGN:: Case series. SETTING:: Pediatric intensive care unit of a tertiary care medical facility. PATIENTS:: Four children admitted to the pediatric intensive care unit between March and November 2009 at the Children's Hospital of Pittsburgh with altered mental status and influenza infection. INTERVENTIONS:: None. MEASUREMENTS AND MAIN RESULTS:: The clinical course was extracted by chart review and is summarized. All children demonstrated a coryzal prodrome, fever, and altered level of consciousness at admission, and one child presented with clinical seizures. Diagnostic studies performed to establish a diagnosis are summarized. All children had abnormal electroencephalograms early in their intensive care unit course and 50% had abnormal imaging studies. All children survived but 50% had neurologic deficits at hospital discharge. CONCLUSION:: We conclude that 2009 influenza A (H1N1) can cause significant acute and residual neurologic sequelae. Clinicians should consider Influenza within a comprehensive differential diagnosis in children with unexplained mental status changes during periods of pandemic influenza. © 2010 by the Society of Critical Care Medicine and the World Federation of Pediatric Intensive and Critical Care Societies.","author":[{"dropping-particle":"","family":"Baltagi","given":"Sirine A.","non-dropping-particle":"","parse-names":false,"suffix":""},{"dropping-particle":"","family":"Shoykhet","given":"Michael","non-dropping-particle":"","parse-names":false,"suffix":""},{"dropping-particle":"","family":"Felmet","given":"Kathryn","non-dropping-particle":"","parse-names":false,"suffix":""},{"dropping-particle":"","family":"Kochanek","given":"Patrick M.","non-dropping-particle":"","parse-names":false,"suffix":""},{"dropping-particle":"","family":"Bell","given":"Michael J.","non-dropping-particle":"","parse-names":false,"suffix":""}],"container-title":"Pediatric Critical Care Medicine","id":"ITEM-1","issue":"2","issued":{"date-parts":[["2010"]]},"page":"179-184","title":"Neurological sequelae of 2009 influenza A (H1N1) in children: A case series observed during a pandemic","type":"article-journal","volume":"11"},"uris":["http://www.mendeley.com/documents/?uuid=63f882bc-28a2-43e8-97ad-ff333ddc2139"]}],"mendeley":{"formattedCitation":"(17)","plainTextFormattedCitation":"(17)","previouslyFormattedCitation":"(17)"},"properties":{"noteIndex":0},"schema":"https://github.com/citation-style-language/schema/raw/master/csl-citation.json"}</w:instrText>
      </w:r>
      <w:r w:rsidRPr="004447F6">
        <w:rPr>
          <w:rFonts w:cstheme="minorHAnsi"/>
        </w:rPr>
        <w:fldChar w:fldCharType="separate"/>
      </w:r>
      <w:r w:rsidRPr="004447F6">
        <w:rPr>
          <w:rFonts w:cstheme="minorHAnsi"/>
          <w:noProof/>
        </w:rPr>
        <w:t>(17)</w:t>
      </w:r>
      <w:r w:rsidRPr="004447F6">
        <w:rPr>
          <w:rFonts w:cstheme="minorHAnsi"/>
        </w:rPr>
        <w:fldChar w:fldCharType="end"/>
      </w:r>
      <w:r w:rsidRPr="004447F6">
        <w:rPr>
          <w:rFonts w:cstheme="minorHAnsi"/>
        </w:rPr>
        <w:t xml:space="preserve"> and the associated Pandemrix vaccination </w:t>
      </w:r>
      <w:r w:rsidRPr="004447F6">
        <w:rPr>
          <w:rFonts w:cstheme="minorHAnsi"/>
        </w:rPr>
        <w:fldChar w:fldCharType="begin" w:fldLock="1"/>
      </w:r>
      <w:r w:rsidR="00DB0E82" w:rsidRPr="004447F6">
        <w:rPr>
          <w:rFonts w:cstheme="minorHAnsi"/>
        </w:rPr>
        <w:instrText>ADDIN CSL_CITATION {"citationItems":[{"id":"ITEM-1","itemData":{"DOI":"10.1371/journal.pone.0033723","ISSN":"19326203","PMID":"22470463","abstract":"Background: Narcolepsy is a rare neurological sleep disorder especially in children who are younger than 10 years. In the beginning of 2010, an exceptionally large number of Finnish children suffered from an abrupt onset of excessive daytime sleepiness (EDS) and cataplexy. Therefore, we carried out a systematic analysis of the incidence of narcolepsy in Finland between the years 2002-2010. Methods: All Finnish hospitals and sleep clinics were contacted to find out the incidence of narcolepsy in 2010. The national hospital discharge register from 2002 to 2009 was used as a reference. Findings: Altogether 335 cases (all ages) of narcolepsy were diagnosed in Finland during 2002-2009 giving an annual incidence of 0.79 per 100 000 inhabitants (95% confidence interval 0.62-0.96). The average annual incidence among subjects under 17 years of age was 0.31 (0.12-0.51) per 100 000 inhabitants. In 2010, 54 children under age 17 were diagnosed with narcolepsy (5.3/100 000; 17-fold increase). Among adults ≥20 years of age the incidence rate in 2010 was 0.87/100 000, which equals that in 2002-2009. Thirty-four of the 54 children were HLA-typed, and they were all positive for narcolepsy risk allele DQB1*0602/DRB1*15. 50/54 children had received Pandemrix vaccination 0 to 242 days (median 42) before onset. All 50 had EDS with abnormal multiple sleep latency test (sleep latency &lt;8 min and ≥2 sleep onset REM periods). The symptoms started abruptly. Forty-seven (94%) had cataplexy, which started at the same time or soon after the onset of EDS. Psychiatric symptoms were common. Otherwise the clinical picture was similar to that described in childhood narcolepsy. Interpretation: A sudden increase in the incidence of abrupt childhood narcolepsy was observed in Finland in 2010. We consider it likely that Pandemrix vaccination contributed, perhaps together with other environmental factors, to this increase in genetically susceptible children. © 2012 Partinen et al.","author":[{"dropping-particle":"","family":"Partinen","given":"Markku","non-dropping-particle":"","parse-names":false,"suffix":""},{"dropping-particle":"","family":"Saarenpää-Heikkilä","given":"Outi","non-dropping-particle":"","parse-names":false,"suffix":""},{"dropping-particle":"","family":"Ilveskoski","given":"Ismo","non-dropping-particle":"","parse-names":false,"suffix":""},{"dropping-particle":"","family":"Hublin","given":"Christer","non-dropping-particle":"","parse-names":false,"suffix":""},{"dropping-particle":"","family":"Linna","given":"Miika","non-dropping-particle":"","parse-names":false,"suffix":""},{"dropping-particle":"","family":"Olsén","given":"Päivi","non-dropping-particle":"","parse-names":false,"suffix":""},{"dropping-particle":"","family":"Nokelainen","given":"Pekka","non-dropping-particle":"","parse-names":false,"suffix":""},{"dropping-particle":"","family":"Alén","given":"Reija","non-dropping-particle":"","parse-names":false,"suffix":""},{"dropping-particle":"","family":"Wallden","given":"Tiina","non-dropping-particle":"","parse-names":false,"suffix":""},{"dropping-particle":"","family":"Espo","given":"Merimaaria","non-dropping-particle":"","parse-names":false,"suffix":""},{"dropping-particle":"","family":"Rusanen","given":"Harri","non-dropping-particle":"","parse-names":false,"suffix":""},{"dropping-particle":"","family":"Olme","given":"Jan","non-dropping-particle":"","parse-names":false,"suffix":""},{"dropping-particle":"","family":"Sätilä","given":"Heli","non-dropping-particle":"","parse-names":false,"suffix":""},{"dropping-particle":"","family":"Arikka","given":"Harri","non-dropping-particle":"","parse-names":false,"suffix":""},{"dropping-particle":"","family":"Kaipainen","given":"Pekka","non-dropping-particle":"","parse-names":false,"suffix":""},{"dropping-particle":"","family":"Julkunen","given":"Ilkka","non-dropping-particle":"","parse-names":false,"suffix":""},{"dropping-particle":"","family":"Kirjavainen","given":"Turkka","non-dropping-particle":"","parse-names":false,"suffix":""}],"container-title":"PLoS ONE","id":"ITEM-1","issue":"3","issued":{"date-parts":[["2012"]]},"title":"Increased incidence and clinical picture of childhood narcolepsy following the 2009 H1N1 pandemic vaccination campaign in Finland","type":"article-journal","volume":"7"},"uris":["http://www.mendeley.com/documents/?uuid=3486226a-c950-4487-acfe-bc6f0305b6a7"]}],"mendeley":{"formattedCitation":"(18)","plainTextFormattedCitation":"(18)","previouslyFormattedCitation":"(18)"},"properties":{"noteIndex":0},"schema":"https://github.com/citation-style-language/schema/raw/master/csl-citation.json"}</w:instrText>
      </w:r>
      <w:r w:rsidRPr="004447F6">
        <w:rPr>
          <w:rFonts w:cstheme="minorHAnsi"/>
        </w:rPr>
        <w:fldChar w:fldCharType="separate"/>
      </w:r>
      <w:r w:rsidRPr="004447F6">
        <w:rPr>
          <w:rFonts w:cstheme="minorHAnsi"/>
          <w:noProof/>
        </w:rPr>
        <w:t>(18)</w:t>
      </w:r>
      <w:r w:rsidRPr="004447F6">
        <w:rPr>
          <w:rFonts w:cstheme="minorHAnsi"/>
        </w:rPr>
        <w:fldChar w:fldCharType="end"/>
      </w:r>
      <w:r w:rsidRPr="004447F6">
        <w:rPr>
          <w:rFonts w:cstheme="minorHAnsi"/>
        </w:rPr>
        <w:t xml:space="preserve">, which in 2010 was thought to lead to a small increase in narcolepsy rates in several countries </w:t>
      </w:r>
      <w:r w:rsidRPr="004447F6">
        <w:rPr>
          <w:rFonts w:cstheme="minorHAnsi"/>
        </w:rPr>
        <w:fldChar w:fldCharType="begin" w:fldLock="1"/>
      </w:r>
      <w:r w:rsidR="00DB0E82" w:rsidRPr="004447F6">
        <w:rPr>
          <w:rFonts w:cstheme="minorHAnsi"/>
        </w:rPr>
        <w:instrText>ADDIN CSL_CITATION {"citationItems":[{"id":"ITEM-1","itemData":{"DOI":"10.1016/j.smrv.2017.06.006","ISSN":"15322955","PMID":"28847694","abstract":"An increased incidence of narcolepsy was seen in many countries after the pandemic H1N1 influenza vaccination campaign in 2009–2010. The H1N1 vaccine – narcolepsy connection is based on observational studies that are prone to various biases, e.g., confounding by H1N1 infection, and ascertainment, recall and selection biases. A direct pathogenic link has, however, remained elusive. We conducted a systematic review and meta-analysis to analyze the magnitude of H1N1 vaccination related risk and to examine if there was any association with H1N1 infection itself. We searched all articles from PubMed, Web of Science and Scopus, and other relevant sources reporting the incidence and risk of post-vaccine narcolepsy. In our paper, we show that the risk appears to be limited to only one vaccine (Pandemrix®). During the first year after vaccination, the relative risk of narcolepsy was increased 5 to 14-fold in children and adolescents and 2 to 7-fold in adults. The vaccine attributable risk in children and adolescents was around 1 per 18,400 vaccine doses. Studies from Finland and Sweden also appear to demonstrate an extended risk of narcolepsy into the second year following vaccination, but such conclusions should be interpreted with a word of caution due to possible biases. Benefits of immunization outweigh the risk of vaccination-associated narcolepsy, which remains a rare disease.","author":[{"dropping-particle":"","family":"Sarkanen","given":"Tomi O.","non-dropping-particle":"","parse-names":false,"suffix":""},{"dropping-particle":"","family":"Alakuijala","given":"Anniina P.E.","non-dropping-particle":"","parse-names":false,"suffix":""},{"dropping-particle":"","family":"Dauvilliers","given":"Yves A.","non-dropping-particle":"","parse-names":false,"suffix":""},{"dropping-particle":"","family":"Partinen","given":"Markku M.","non-dropping-particle":"","parse-names":false,"suffix":""}],"container-title":"Sleep Medicine Reviews","id":"ITEM-1","issued":{"date-parts":[["2018"]]},"page":"177-186","title":"Incidence of narcolepsy after H1N1 influenza and vaccinations: Systematic review and meta-analysis","type":"article-journal","volume":"38"},"uris":["http://www.mendeley.com/documents/?uuid=ead7ca06-7ebd-407b-a932-7de55a516066"]}],"mendeley":{"formattedCitation":"(19)","plainTextFormattedCitation":"(19)","previouslyFormattedCitation":"(19)"},"properties":{"noteIndex":0},"schema":"https://github.com/citation-style-language/schema/raw/master/csl-citation.json"}</w:instrText>
      </w:r>
      <w:r w:rsidRPr="004447F6">
        <w:rPr>
          <w:rFonts w:cstheme="minorHAnsi"/>
        </w:rPr>
        <w:fldChar w:fldCharType="separate"/>
      </w:r>
      <w:r w:rsidRPr="004447F6">
        <w:rPr>
          <w:rFonts w:cstheme="minorHAnsi"/>
          <w:noProof/>
        </w:rPr>
        <w:t>(19)</w:t>
      </w:r>
      <w:r w:rsidRPr="004447F6">
        <w:rPr>
          <w:rFonts w:cstheme="minorHAnsi"/>
        </w:rPr>
        <w:fldChar w:fldCharType="end"/>
      </w:r>
      <w:r w:rsidRPr="004447F6">
        <w:rPr>
          <w:rFonts w:cstheme="minorHAnsi"/>
        </w:rPr>
        <w:t xml:space="preserve">. As well as the active immunogenic substance, vaccine excipients (e.g. sodium </w:t>
      </w:r>
      <w:proofErr w:type="spellStart"/>
      <w:r w:rsidRPr="004447F6">
        <w:rPr>
          <w:rFonts w:cstheme="minorHAnsi"/>
        </w:rPr>
        <w:t>taurodeoxycholate</w:t>
      </w:r>
      <w:proofErr w:type="spellEnd"/>
      <w:r w:rsidRPr="004447F6">
        <w:rPr>
          <w:rFonts w:cstheme="minorHAnsi"/>
        </w:rPr>
        <w:t xml:space="preserve"> and Thimerosal) as well as the manufacturing process have been potentially implicated in some vaccine reactions, such as febrile convulsions in children administered the inactivated influenza vaccination in 2010 </w:t>
      </w:r>
      <w:r w:rsidRPr="004447F6">
        <w:rPr>
          <w:rFonts w:cstheme="minorHAnsi"/>
        </w:rPr>
        <w:fldChar w:fldCharType="begin" w:fldLock="1"/>
      </w:r>
      <w:r w:rsidR="00DB0E82" w:rsidRPr="004447F6">
        <w:rPr>
          <w:rFonts w:cstheme="minorHAnsi"/>
        </w:rPr>
        <w:instrText>ADDIN CSL_CITATION {"citationItems":[{"id":"ITEM-1","itemData":{"DOI":"10.1111/irv.12337","ISSN":"17502659","PMID":"26258888","abstract":"Influenza vaccine safety is an ongoing issue. In 2010, inactivated trivalent influenza vaccines (TIVs), Fluvax® and Fluvax Junior® manufactured by CSL Biotherapies ('CSL'), Parkville, Australia, were associated with a marked increase in febrile seizures (FS) in children &lt;5 years old. Extensive investigations initially failed to identify a root cause. The company's researchers recently published two papers outlining their latest findings. Cytokine responses to TIV were measured in paediatric whole blood assays (WBA); NF-κB activation was assessed using a HEK293 cell line reporter assay. CSL suggest that the combination of new influenza strains (H1N1 A/California/7/2009 and B/Brisbane/60/2008), increased complexes of viral RNA and lipid in the vaccine, and inherent sensitivities of some children &lt;5 years old caused elevated inflammatory responses resulting in FS. Whilst the papers provide insight into pathogenesis, much remains unclear. The WBA were from only 10 'healthy' children, potentially affecting generalisability of the results and reliability of these in vitro tests in assessing future influenza vaccine safety. Increased fever rates (without FS) found in CSL TIV studies between 2005 and 2010 suggest a long-standing contribution to reactogenicity from the manufacturing process. More detailed comparisons with non-CSL vaccines would have helped elucidate the relative contribution of patient/strain factors and the manufacturing process. The focus remains on manufacturing process differences as the key causative factor of elevated febrile responses. Studies underway, of modified vaccines in young children, will determine whether reactogenicity issues have been successfully addressed and whether CSL TIV can be relicensed in children &lt;5 years of age.","author":[{"dropping-particle":"","family":"Li-Kim-Moy","given":"Jean","non-dropping-particle":"","parse-names":false,"suffix":""},{"dropping-particle":"","family":"Booy","given":"Robert","non-dropping-particle":"","parse-names":false,"suffix":""}],"container-title":"Influenza and other Respiratory Viruses","id":"ITEM-1","issued":{"date-parts":[["2016"]]},"title":"The manufacturing process should remain the focus for severe febrile reactions in children administered an Australian inactivated influenza vaccine during 2010","type":"article-journal"},"uris":["http://www.mendeley.com/documents/?uuid=7be86d9c-d1e5-44fc-86c4-84b1e2acd2ed"]}],"mendeley":{"formattedCitation":"(20)","plainTextFormattedCitation":"(20)","previouslyFormattedCitation":"(20)"},"properties":{"noteIndex":0},"schema":"https://github.com/citation-style-language/schema/raw/master/csl-citation.json"}</w:instrText>
      </w:r>
      <w:r w:rsidRPr="004447F6">
        <w:rPr>
          <w:rFonts w:cstheme="minorHAnsi"/>
        </w:rPr>
        <w:fldChar w:fldCharType="separate"/>
      </w:r>
      <w:r w:rsidRPr="004447F6">
        <w:rPr>
          <w:rFonts w:cstheme="minorHAnsi"/>
          <w:noProof/>
        </w:rPr>
        <w:t>(20)</w:t>
      </w:r>
      <w:r w:rsidRPr="004447F6">
        <w:rPr>
          <w:rFonts w:cstheme="minorHAnsi"/>
        </w:rPr>
        <w:fldChar w:fldCharType="end"/>
      </w:r>
      <w:r w:rsidRPr="004447F6">
        <w:rPr>
          <w:rFonts w:cstheme="minorHAnsi"/>
        </w:rPr>
        <w:t xml:space="preserve">. Neurological events attributed to vaccines have also previously led to their cessation from use. </w:t>
      </w:r>
      <w:r w:rsidR="00741D9F" w:rsidRPr="004447F6">
        <w:rPr>
          <w:rFonts w:cstheme="minorHAnsi"/>
        </w:rPr>
        <w:t xml:space="preserve">A 1976 H1N1 influenza vaccine was withdrawn from use due to a small increase of GBS cases </w:t>
      </w:r>
      <w:r w:rsidRPr="004447F6">
        <w:rPr>
          <w:rFonts w:cstheme="minorHAnsi"/>
        </w:rPr>
        <w:t xml:space="preserve">(leading to around an additional one case of GBS for every 100,000 vaccines). </w:t>
      </w:r>
      <w:r w:rsidRPr="004447F6">
        <w:rPr>
          <w:rFonts w:cstheme="minorHAnsi"/>
        </w:rPr>
        <w:fldChar w:fldCharType="begin" w:fldLock="1"/>
      </w:r>
      <w:r w:rsidR="00DB0E82" w:rsidRPr="004447F6">
        <w:rPr>
          <w:rFonts w:cstheme="minorHAnsi"/>
        </w:rPr>
        <w:instrText>ADDIN CSL_CITATION {"citationItems":[{"id":"ITEM-1","itemData":{"DOI":"10.1016/j.vaccine.2010.06.003","ISSN":"0264410X","PMID":"20600491","author":[{"dropping-particle":"","family":"Sejvar","given":"James J.","non-dropping-particle":"","parse-names":false,"suffix":""},{"dropping-particle":"","family":"Kohl","given":"Katrin S.","non-dropping-particle":"","parse-names":false,"suffix":""},{"dropping-particle":"","family":"Gidudu","given":"Jane","non-dropping-particle":"","parse-names":false,"suffix":""},{"dropping-particle":"","family":"Amato","given":"Anthony","non-dropping-particle":"","parse-names":false,"suffix":""},{"dropping-particle":"","family":"Bakshi","given":"Nandini","non-dropping-particle":"","parse-names":false,"suffix":""},{"dropping-particle":"","family":"Baxter","given":"Roger","non-dropping-particle":"","parse-names":false,"suffix":""},{"dropping-particle":"","family":"Burwen","given":"Dale R.","non-dropping-particle":"","parse-names":false,"suffix":""},{"dropping-particle":"","family":"Cornblath","given":"David R.","non-dropping-particle":"","parse-names":false,"suffix":""},{"dropping-particle":"","family":"Cleerbout","given":"Jan","non-dropping-particle":"","parse-names":false,"suffix":""},{"dropping-particle":"","family":"Edwards","given":"Kathryn M.","non-dropping-particle":"","parse-names":false,"suffix":""},{"dropping-particle":"","family":"Heininger","given":"Ulrich","non-dropping-particle":"","parse-names":false,"suffix":""},{"dropping-particle":"","family":"Hughes","given":"Richard","non-dropping-particle":"","parse-names":false,"suffix":""},{"dropping-particle":"","family":"Khuri-Bulos","given":"Najwa","non-dropping-particle":"","parse-names":false,"suffix":""},{"dropping-particle":"","family":"Korinthenberg","given":"Rudolf","non-dropping-particle":"","parse-names":false,"suffix":""},{"dropping-particle":"","family":"Law","given":"Barbara J.","non-dropping-particle":"","parse-names":false,"suffix":""},{"dropping-particle":"","family":"Munro","given":"Ursula","non-dropping-particle":"","parse-names":false,"suffix":""},{"dropping-particle":"","family":"Maltezou","given":"Helena C.","non-dropping-particle":"","parse-names":false,"suffix":""},{"dropping-particle":"","family":"Nell","given":"Patricia","non-dropping-particle":"","parse-names":false,"suffix":""},{"dropping-particle":"","family":"Oleske","given":"James","non-dropping-particle":"","parse-names":false,"suffix":""},{"dropping-particle":"","family":"Sparks","given":"Robert","non-dropping-particle":"","parse-names":false,"suffix":""},{"dropping-particle":"","family":"Velentgas","given":"Priscilla","non-dropping-particle":"","parse-names":false,"suffix":""},{"dropping-particle":"","family":"Vermeer","given":"Patricia","non-dropping-particle":"","parse-names":false,"suffix":""},{"dropping-particle":"","family":"Wiznitzer","given":"Max","non-dropping-particle":"","parse-names":false,"suffix":""},{"dropping-particle":"","family":"Blum","given":"Mike","non-dropping-particle":"","parse-names":false,"suffix":""},{"dropping-particle":"","family":"Heath","given":"Paul","non-dropping-particle":"","parse-names":false,"suffix":""},{"dropping-particle":"","family":"Izurieta","given":"Hector","non-dropping-particle":"","parse-names":false,"suffix":""},{"dropping-particle":"","family":"Stanislawski","given":"Brigitte Keller","non-dropping-particle":"","parse-names":false,"suffix":""},{"dropping-particle":"","family":"Odile","given":"Katrin Kohl","non-dropping-particle":"","parse-names":false,"suffix":""},{"dropping-particle":"","family":"Rudiger","given":"Leroy Adam","non-dropping-particle":"","parse-names":false,"suffix":""},{"dropping-particle":"","family":"Elisabeth","given":"Adderson","non-dropping-particle":"","parse-names":false,"suffix":""},{"dropping-particle":"","family":"Maria","given":"Aguilar","non-dropping-particle":"","parse-names":false,"suffix":""},{"dropping-particle":"","family":"Grace","given":"Aldrovandi","non-dropping-particle":"","parse-names":false,"suffix":""},{"dropping-particle":"","family":"Mary","given":"Allen","non-dropping-particle":"","parse-names":false,"suffix":""},{"dropping-particle":"","family":"Sjafri","given":"Bachtiar Novilia","non-dropping-particle":"","parse-names":false,"suffix":""},{"dropping-particle":"","family":"Salim","given":"Barami A.A.","non-dropping-particle":"","parse-names":false,"suffix":""},{"dropping-particle":"","family":"Roger","given":"Baxter","non-dropping-particle":"","parse-names":false,"suffix":""},{"dropping-particle":"","family":"Julie","given":"Bettinger","non-dropping-particle":"","parse-names":false,"suffix":""},{"dropping-particle":"","family":"Roman","given":"Bilynsky","non-dropping-particle":"","parse-names":false,"suffix":""},{"dropping-particle":"","family":"Michael","given":"Blum","non-dropping-particle":"","parse-names":false,"suffix":""},{"dropping-particle":"","family":"Jan","given":"Bonhoeffer","non-dropping-particle":"","parse-names":false,"suffix":""},{"dropping-particle":"","family":"Michael","given":"Brady","non-dropping-particle":"","parse-names":false,"suffix":""},{"dropping-particle":"","family":"Michael","given":"Buettcher","non-dropping-particle":"","parse-names":false,"suffix":""},{"dropping-particle":"","family":"Jim","given":"Buttery","non-dropping-particle":"","parse-names":false,"suffix":""},{"dropping-particle":"","family":"Alejandro","given":"Cane","non-dropping-particle":"","parse-names":false,"suffix":""},{"dropping-particle":"","family":"Soju","given":"Chang","non-dropping-particle":"","parse-names":false,"suffix":""},{"dropping-particle":"","family":"Arani","given":"Chatterjee","non-dropping-particle":"","parse-names":false,"suffix":""},{"dropping-particle":"","family":"Krishan","given":"Chawla","non-dropping-particle":"","parse-names":false,"suffix":""},{"dropping-particle":"","family":"Thomas","given":"Cherian","non-dropping-particle":"","parse-names":false,"suffix":""},{"dropping-particle":"","family":"Jan","given":"Cleerbout","non-dropping-particle":"","parse-names":false,"suffix":""},{"dropping-particle":"","family":"Philippe","given":"Close","non-dropping-particle":"","parse-names":false,"suffix":""},{"dropping-particle":"","family":"Richard","given":"Condit","non-dropping-particle":"","parse-names":false,"suffix":""},{"dropping-particle":"","family":"David","given":"Cornblath","non-dropping-particle":"","parse-names":false,"suffix":""},{"dropping-particle":"","family":"Couch Robert","given":"B.","non-dropping-particle":"","parse-names":false,"suffix":""},{"dropping-particle":"","family":"Costa","given":"Christopher","non-dropping-particle":"Da","parse-names":false,"suffix":""},{"dropping-particle":"","family":"Larry","given":"Davis","non-dropping-particle":"","parse-names":false,"suffix":""},{"dropping-particle":"","family":"Menezes","given":"Martins Reinaldo","non-dropping-particle":"De","parse-names":false,"suffix":""},{"dropping-particle":"","family":"Vries","given":"Corinne","non-dropping-particle":"De","parse-names":false,"suffix":""},{"dropping-particle":"","family":"Maria","given":"Deotti Sandra","non-dropping-particle":"","parse-names":false,"suffix":""},{"dropping-particle":"","family":"Dragana","given":"Dimitrijevic","non-dropping-particle":"","parse-names":false,"suffix":""},{"dropping-particle":"","family":"Duo","given":"Dong","non-dropping-particle":"","parse-names":false,"suffix":""},{"dropping-particle":"","family":"Birgitta","given":"Evengard","non-dropping-particle":"","parse-names":false,"suffix":""},{"dropping-particle":"","family":"Cristian","given":"Falup Pecurariu","non-dropping-particle":"","parse-names":false,"suffix":""},{"dropping-particle":"","family":"Rohini","given":"Fernandopulle","non-dropping-particle":"","parse-names":false,"suffix":""},{"dropping-particle":"","family":"Germano","given":"Ferreira","non-dropping-particle":"","parse-names":false,"suffix":""},{"dropping-particle":"","family":"Fisher Margaret","given":"C.","non-dropping-particle":"","parse-names":false,"suffix":""},{"dropping-particle":"","family":"Jochem","given":"Galama","non-dropping-particle":"","parse-names":false,"suffix":""},{"dropping-particle":"","family":"Karl","given":"Gallegos","non-dropping-particle":"","parse-names":false,"suffix":""},{"dropping-particle":"","family":"Mark","given":"Gershman","non-dropping-particle":"","parse-names":false,"suffix":""},{"dropping-particle":"","family":"Neville","given":"Gibbs","non-dropping-particle":"","parse-names":false,"suffix":""},{"dropping-particle":"","family":"Jane","given":"Gidudu","non-dropping-particle":"","parse-names":false,"suffix":""},{"dropping-particle":"","family":"Marc","given":"Gurwith","non-dropping-particle":"","parse-names":false,"suffix":""},{"dropping-particle":"","family":"Neal","given":"Halsey","non-dropping-particle":"","parse-names":false,"suffix":""},{"dropping-particle":"","family":"Erin","given":"Hanlon","non-dropping-particle":"","parse-names":false,"suffix":""},{"dropping-particle":"","family":"William","given":"Hitchcock","non-dropping-particle":"","parse-names":false,"suffix":""},{"dropping-particle":"","family":"Shah","given":"Hossain","non-dropping-particle":"","parse-names":false,"suffix":""},{"dropping-particle":"","family":"Huang","given":"Wan Ting","non-dropping-particle":"","parse-names":false,"suffix":""},{"dropping-particle":"","family":"Deborah","given":"Hunter","non-dropping-particle":"","parse-names":false,"suffix":""},{"dropping-particle":"","family":"David","given":"Isaacs","non-dropping-particle":"","parse-names":false,"suffix":""},{"dropping-particle":"","family":"Robert","given":"Jacobson","non-dropping-particle":"","parse-names":false,"suffix":""},{"dropping-particle":"","family":"Rosemary","given":"Johann Liang","non-dropping-particle":"","parse-names":false,"suffix":""},{"dropping-particle":"","family":"Barbara","given":"Jones","non-dropping-particle":"","parse-names":false,"suffix":""},{"dropping-particle":"","family":"Milivoj","given":"Jovancevic","non-dropping-particle":"","parse-names":false,"suffix":""},{"dropping-particle":"","family":"Islam","given":"Kaisar Mahfuzul","non-dropping-particle":"","parse-names":false,"suffix":""},{"dropping-particle":"","family":"Gagandeep","given":"Kang","non-dropping-particle":"","parse-names":false,"suffix":""},{"dropping-particle":"","family":"Bettina","given":"Klug","non-dropping-particle":"","parse-names":false,"suffix":""},{"dropping-particle":"","family":"Rudolf","given":"Korinthenberg","non-dropping-particle":"","parse-names":false,"suffix":""},{"dropping-particle":"","family":"Andrea","given":"Kulcsar","non-dropping-particle":"","parse-names":false,"suffix":""},{"dropping-particle":"","family":"Grace","given":"Lee","non-dropping-particle":"","parse-names":false,"suffix":""},{"dropping-particle":"","family":"Fabio","given":"Lievano","non-dropping-particle":"","parse-names":false,"suffix":""},{"dropping-particle":"","family":"MacDonald","given":"Noni","non-dropping-particle":"","parse-names":false,"suffix":""},{"dropping-particle":"","family":"Asif","given":"Mahmood","non-dropping-particle":"","parse-names":false,"suffix":""},{"dropping-particle":"","family":"Helena","given":"Maltezou","non-dropping-particle":"","parse-names":false,"suffix":""},{"dropping-particle":"","family":"Susana","given":"Martin Martin","non-dropping-particle":"","parse-names":false,"suffix":""},{"dropping-particle":"","family":"David","given":"McIntosh G.","non-dropping-particle":"","parse-names":false,"suffix":""},{"dropping-particle":"","family":"Dirk","given":"Mentzer","non-dropping-particle":"","parse-names":false,"suffix":""},{"dropping-particle":"","family":"Stefanie","given":"Meredith","non-dropping-particle":"","parse-names":false,"suffix":""},{"dropping-particle":"","family":"Zsofia","given":"Meszner","non-dropping-particle":"","parse-names":false,"suffix":""},{"dropping-particle":"","family":"Julie","given":"Milstien","non-dropping-particle":"","parse-names":false,"suffix":""},{"dropping-particle":"","family":"Mary","given":"Minor","non-dropping-particle":"","parse-names":false,"suffix":""},{"dropping-particle":"","family":"John","given":"Modlin","non-dropping-particle":"","parse-names":false,"suffix":""},{"dropping-particle":"","family":"Jay","given":"Montgomery","non-dropping-particle":"","parse-names":false,"suffix":""},{"dropping-particle":"","family":"Ann","given":"Morse","non-dropping-particle":"","parse-names":false,"suffix":""},{"dropping-particle":"","family":"Ursula","given":"Munro","non-dropping-particle":"","parse-names":false,"suffix":""},{"dropping-particle":"","family":"David","given":"Nalin","non-dropping-particle":"","parse-names":false,"suffix":""},{"dropping-particle":"","family":"Patricia","given":"Nell","non-dropping-particle":"","parse-names":false,"suffix":""},{"dropping-particle":"","family":"Suchitra","given":"Nimmannitya","non-dropping-particle":"","parse-names":false,"suffix":""},{"dropping-particle":"","family":"Thomas","given":"Nisslein","non-dropping-particle":"","parse-names":false,"suffix":""},{"dropping-particle":"","family":"Hanne","given":"Nokleby","non-dropping-particle":"","parse-names":false,"suffix":""},{"dropping-particle":"","family":"Kenneth","given":"Nwosu","non-dropping-particle":"","parse-names":false,"suffix":""},{"dropping-particle":"","family":"Oleske James","given":"M.","non-dropping-particle":"","parse-names":false,"suffix":""},{"dropping-particle":"","family":"Badri","given":"Patnaik","non-dropping-particle":"","parse-names":false,"suffix":""},{"dropping-particle":"","family":"Luis","given":"Pinheiro","non-dropping-particle":"","parse-names":false,"suffix":""},{"dropping-particle":"","family":"Farshad","given":"Pourmalek","non-dropping-particle":"","parse-names":false,"suffix":""},{"dropping-particle":"","family":"Ranjan","given":"Ramasamy","non-dropping-particle":"","parse-names":false,"suffix":""},{"dropping-particle":"","family":"Eva-Beate","given":"Rump","non-dropping-particle":"","parse-names":false,"suffix":""},{"dropping-particle":"","family":"Heather","given":"Samson","non-dropping-particle":"","parse-names":false,"suffix":""},{"dropping-particle":"","family":"Eliane","given":"Santos","non-dropping-particle":"","parse-names":false,"suffix":""},{"dropping-particle":"","family":"Elisabeth","given":"Schuller","non-dropping-particle":"","parse-names":false,"suffix":""},{"dropping-particle":"","family":"Viola","given":"Schultze","non-dropping-particle":"","parse-names":false,"suffix":""},{"dropping-particle":"","family":"Sidhu Maninder","given":"K.","non-dropping-particle":"","parse-names":false,"suffix":""},{"dropping-particle":"","family":"Francoise","given":"Sillan","non-dropping-particle":"","parse-names":false,"suffix":""},{"dropping-particle":"","family":"Joseph","given":"Sliman","non-dropping-particle":"","parse-names":false,"suffix":""},{"dropping-particle":"","family":"Sally","given":"Soh Bee Leng","non-dropping-particle":"","parse-names":false,"suffix":""},{"dropping-particle":"","family":"Robert","given":"Sparks","non-dropping-particle":"","parse-names":false,"suffix":""},{"dropping-particle":"","family":"Ralf","given":"Sprenger","non-dropping-particle":"","parse-names":false,"suffix":""},{"dropping-particle":"","family":"Russell","given":"Steele","non-dropping-particle":"","parse-names":false,"suffix":""},{"dropping-particle":"","family":"Rudolf","given":"Stoller","non-dropping-particle":"","parse-names":false,"suffix":""},{"dropping-particle":"","family":"Jann","given":"Storsaeter","non-dropping-particle":"","parse-names":false,"suffix":""},{"dropping-particle":"","family":"Vladimir","given":"Suznjevic","non-dropping-particle":"","parse-names":false,"suffix":""},{"dropping-particle":"","family":"Amina","given":"Tebaa","non-dropping-particle":"","parse-names":false,"suffix":""},{"dropping-particle":"","family":"Giuseppe","given":"Tridente","non-dropping-particle":"","parse-names":false,"suffix":""},{"dropping-particle":"","family":"Georgios","given":"Trimis","non-dropping-particle":"","parse-names":false,"suffix":""},{"dropping-particle":"","family":"Ingrid","given":"Uhnoo","non-dropping-particle":"","parse-names":false,"suffix":""},{"dropping-particle":"","family":"Dinther","given":"Kristy","non-dropping-particle":"Van","parse-names":false,"suffix":""},{"dropping-particle":"","family":"Frederick","given":"Varricchio","non-dropping-particle":"","parse-names":false,"suffix":""},{"dropping-particle":"","family":"Rafael","given":"Ventura","non-dropping-particle":"","parse-names":false,"suffix":""},{"dropping-particle":"","family":"Anna","given":"Vilella","non-dropping-particle":"","parse-names":false,"suffix":""},{"dropping-particle":"","family":"Beverly","given":"Warden","non-dropping-particle":"","parse-names":false,"suffix":""},{"dropping-particle":"","family":"William","given":"Weston","non-dropping-particle":"","parse-names":false,"suffix":""},{"dropping-particle":"","family":"Omala","given":"Wimalaratne","non-dropping-particle":"","parse-names":false,"suffix":""},{"dropping-particle":"","family":"Virginia","given":"Wong","non-dropping-particle":"","parse-names":false,"suffix":""},{"dropping-particle":"","family":"Chun-Nei","given":"","non-dropping-particle":"","parse-names":false,"suffix":""},{"dropping-particle":"","family":"Thad","given":"Zajdowicz","non-dropping-particle":"","parse-names":false,"suffix":""},{"dropping-particle":"","family":"Khalequz","given":"Zaman","non-dropping-particle":"","parse-names":false,"suffix":""},{"dropping-particle":"","family":"Giovanna","given":"Zanoni","non-dropping-particle":"","parse-names":false,"suffix":""},{"dropping-particle":"","family":"Andrzej","given":"Zielinski","non-dropping-particle":"","parse-names":false,"suffix":""},{"dropping-particle":"","family":"Patrick","given":"Zuber","non-dropping-particle":"","parse-names":false,"suffix":""}],"container-title":"Vaccine","id":"ITEM-1","issue":"3","issued":{"date-parts":[["2011"]]},"page":"599-612","title":"Guillain-Barré syndrome and Fisher syndrome: Case definitions and guidelines for collection, analysis, and presentation of immunization safety data","type":"article-journal","volume":"29"},"uris":["http://www.mendeley.com/documents/?uuid=ef79efa2-2510-4877-ad90-6ce0f43701bb"]}],"mendeley":{"formattedCitation":"(21)","plainTextFormattedCitation":"(21)","previouslyFormattedCitation":"(21)"},"properties":{"noteIndex":0},"schema":"https://github.com/citation-style-language/schema/raw/master/csl-citation.json"}</w:instrText>
      </w:r>
      <w:r w:rsidRPr="004447F6">
        <w:rPr>
          <w:rFonts w:cstheme="minorHAnsi"/>
        </w:rPr>
        <w:fldChar w:fldCharType="separate"/>
      </w:r>
      <w:r w:rsidRPr="004447F6">
        <w:rPr>
          <w:rFonts w:cstheme="minorHAnsi"/>
          <w:noProof/>
        </w:rPr>
        <w:t>(21)</w:t>
      </w:r>
      <w:r w:rsidRPr="004447F6">
        <w:rPr>
          <w:rFonts w:cstheme="minorHAnsi"/>
        </w:rPr>
        <w:fldChar w:fldCharType="end"/>
      </w:r>
      <w:r w:rsidRPr="004447F6">
        <w:rPr>
          <w:rFonts w:cstheme="minorHAnsi"/>
        </w:rPr>
        <w:t xml:space="preserve">. Similarly, an intranasal influenza vaccine was also withdrawn in Switzerland in 2001 as it was estimated to have contributed to an extra 13 cases of Bell’s palsy per 10,000 vaccinations </w:t>
      </w:r>
      <w:r w:rsidRPr="004447F6">
        <w:rPr>
          <w:rFonts w:cstheme="minorHAnsi"/>
        </w:rPr>
        <w:fldChar w:fldCharType="begin" w:fldLock="1"/>
      </w:r>
      <w:r w:rsidR="00DB0E82" w:rsidRPr="004447F6">
        <w:rPr>
          <w:rFonts w:cstheme="minorHAnsi"/>
        </w:rPr>
        <w:instrText>ADDIN CSL_CITATION {"citationItems":[{"id":"ITEM-1","itemData":{"DOI":"10.1056/nejmoa030595","ISSN":"0028-4793","PMID":"14985487","abstract":"BACKGROUND: After the introduction of an inactivated intranasal influenza vaccine that was used only in Switzerland, 46 cases of Bell's palsy were reported. METHODS: We conducted a matched case-control study and a case-series analysis. All primary care physicians, ear, nose, and throat specialists, and neurologists in German-speaking regions of Switzerland were requested to identify cases of Bell's palsy diagnosed in adults between October 1, 2000, and April 30, 2001. Each physician was invited to select three control patients for each patient with Bell's palsy, with matching according to age, date of the clinic visit, and physician. Vaccination information was provided by the physicians. RESULTS: A total of 773 patients with Bell's palsy were identified. Of the 412 (53.3 percent) who could be evaluated, 250 (60.7 percent) were enrolled and matched with 722 control patients; the other 162 patients had no controls. In the case-control study, we found that 68 patients with Bell's palsy (27.2 percent) and 8 controls (1.1 percent) had received the intranasal vaccine (P&lt;0.001). In contrast to parenteral vaccines, the intranasal vaccine significantly increased the risk of Bell's palsy (adjusted odds ratio, 84.0; 95 percent confidence interval, 20.1 to 351.9). Even according to conservative assumptions, the relative risk of Bell's palsy was estimated to be 19 times the risk in the controls, corresponding to 13 excess cases per 10,000 vaccinees within 1 to 91 days after vaccination. In the case-series analysis, the period of highest risk was 31 to 60 days after vaccination. CONCLUSIONS: This study suggests a strong association between the inactivated intranasal influenza vaccine used in Switzerland and Bell's palsy. This vaccine is no longer in clinical use.","author":[{"dropping-particle":"","family":"Mutsch","given":"Margot","non-dropping-particle":"","parse-names":false,"suffix":""},{"dropping-particle":"","family":"Zhou","given":"Weigong","non-dropping-particle":"","parse-names":false,"suffix":""},{"dropping-particle":"","family":"Rhodes","given":"Philip","non-dropping-particle":"","parse-names":false,"suffix":""},{"dropping-particle":"","family":"Bopp","given":"Matthias","non-dropping-particle":"","parse-names":false,"suffix":""},{"dropping-particle":"","family":"Chen","given":"Robert T.","non-dropping-particle":"","parse-names":false,"suffix":""},{"dropping-particle":"","family":"Linder","given":"Thomas","non-dropping-particle":"","parse-names":false,"suffix":""},{"dropping-particle":"","family":"Spyr","given":"Christian","non-dropping-particle":"","parse-names":false,"suffix":""},{"dropping-particle":"","family":"Steffen","given":"Robert","non-dropping-particle":"","parse-names":false,"suffix":""}],"container-title":"New England Journal of Medicine","id":"ITEM-1","issue":"9","issued":{"date-parts":[["2004"]]},"page":"896-903","title":"Use of the Inactivated Intranasal Influenza Vaccine and the Risk of Bell's Palsy in Switzerland","type":"article-journal","volume":"350"},"uris":["http://www.mendeley.com/documents/?uuid=9b784443-6c0f-4f13-ac9c-2b0895e9fba7"]}],"mendeley":{"formattedCitation":"(22)","plainTextFormattedCitation":"(22)","previouslyFormattedCitation":"(22)"},"properties":{"noteIndex":0},"schema":"https://github.com/citation-style-language/schema/raw/master/csl-citation.json"}</w:instrText>
      </w:r>
      <w:r w:rsidRPr="004447F6">
        <w:rPr>
          <w:rFonts w:cstheme="minorHAnsi"/>
        </w:rPr>
        <w:fldChar w:fldCharType="separate"/>
      </w:r>
      <w:r w:rsidRPr="004447F6">
        <w:rPr>
          <w:rFonts w:cstheme="minorHAnsi"/>
          <w:noProof/>
        </w:rPr>
        <w:t>(22)</w:t>
      </w:r>
      <w:r w:rsidRPr="004447F6">
        <w:rPr>
          <w:rFonts w:cstheme="minorHAnsi"/>
        </w:rPr>
        <w:fldChar w:fldCharType="end"/>
      </w:r>
      <w:r w:rsidRPr="004447F6">
        <w:rPr>
          <w:rFonts w:cstheme="minorHAnsi"/>
        </w:rPr>
        <w:t xml:space="preserve">. </w:t>
      </w:r>
    </w:p>
    <w:p w14:paraId="0D0DDAA6" w14:textId="1C9D4828" w:rsidR="00D16709" w:rsidRPr="004447F6" w:rsidRDefault="00632A99" w:rsidP="006C40EE">
      <w:pPr>
        <w:spacing w:line="360" w:lineRule="auto"/>
        <w:jc w:val="both"/>
        <w:rPr>
          <w:rFonts w:cstheme="minorHAnsi"/>
        </w:rPr>
      </w:pPr>
      <w:r w:rsidRPr="004447F6">
        <w:rPr>
          <w:rFonts w:cstheme="minorHAnsi"/>
        </w:rPr>
        <w:lastRenderedPageBreak/>
        <w:t>It is also recognised that there have been acute neurological responses in previous vaccination campaigns, which although precipitated by the vaccination procedure are not directly related to the vaccine constituents</w:t>
      </w:r>
      <w:r w:rsidRPr="004447F6">
        <w:rPr>
          <w:rFonts w:cstheme="minorHAnsi"/>
          <w:i/>
          <w:iCs/>
        </w:rPr>
        <w:t xml:space="preserve">. </w:t>
      </w:r>
      <w:r w:rsidRPr="004447F6">
        <w:rPr>
          <w:rFonts w:cstheme="minorHAnsi"/>
          <w:iCs/>
        </w:rPr>
        <w:t>For example,</w:t>
      </w:r>
      <w:r w:rsidRPr="004447F6">
        <w:rPr>
          <w:rFonts w:cstheme="minorHAnsi"/>
          <w:i/>
          <w:iCs/>
        </w:rPr>
        <w:t xml:space="preserve"> </w:t>
      </w:r>
      <w:r w:rsidRPr="004447F6">
        <w:rPr>
          <w:rFonts w:cstheme="minorHAnsi"/>
        </w:rPr>
        <w:t xml:space="preserve">human papillomavirus vaccination (HPV) vaccinations in Brazil have precipitated functional (non-epileptic) seizures or attacks (a subtype of Functional Neurological Disorder </w:t>
      </w:r>
      <w:r w:rsidR="001F269E" w:rsidRPr="004447F6">
        <w:rPr>
          <w:rFonts w:cstheme="minorHAnsi"/>
        </w:rPr>
        <w:t>[</w:t>
      </w:r>
      <w:r w:rsidRPr="004447F6">
        <w:rPr>
          <w:rFonts w:cstheme="minorHAnsi"/>
        </w:rPr>
        <w:t>FND</w:t>
      </w:r>
      <w:r w:rsidR="001F269E" w:rsidRPr="004447F6">
        <w:rPr>
          <w:rFonts w:cstheme="minorHAnsi"/>
        </w:rPr>
        <w:t xml:space="preserve">]) </w:t>
      </w:r>
      <w:r w:rsidRPr="004447F6">
        <w:rPr>
          <w:rFonts w:cstheme="minorHAnsi"/>
        </w:rPr>
        <w:fldChar w:fldCharType="begin" w:fldLock="1"/>
      </w:r>
      <w:r w:rsidR="00DB0E82" w:rsidRPr="004447F6">
        <w:rPr>
          <w:rFonts w:cstheme="minorHAnsi"/>
        </w:rPr>
        <w:instrText>ADDIN CSL_CITATION {"citationItems":[{"id":"ITEM-1","itemData":{"DOI":"10.1016/j.vaccine.2020.08.044","ISSN":"18732518","PMID":"32878709","abstract":"Importance: The absence of a positive diagnosis of psychogenic non-epileptic seizures (PNES) in immunization stress-related response (ISRR) clusters may have not only a direct impact on affected patients’ health but may also reduce compliance to national vaccination programs. It is therefore crucial to develop efficient diagnostic tools and a feasible proposal for proper communication and treatment of ISRR. Purpose: To explore the psychogenic nature of patients’ convulsive seizures in a suspected outbreak of an ISRR cluster following human papillomavirus vaccination in Rio Branco, Brazil. Methods: Twelve patients with convulsive seizures were submitted to prolonged intensive video-electroencephalography monitoring, brain magnetic resonance imaging, cerebrospinal fluid diagnostic testing, laboratory subsidiary examinations, and complete neurological and psychiatric evaluations. Results: Ten patients received the positive diagnosis of PNES, and two patients received the diagnosis of idiopathic generalized epilepsy. No biological association was found between the HPV vaccine and the clinical problems presented by the patients. Conclusions: Prolonged VEEG monitoring can contribute significantly to the positive diagnosis of PNES in ISRR clusters and to avoid hesitancy to vaccinate.","author":[{"dropping-particle":"","family":"Marchetti","given":"Renato Luiz","non-dropping-particle":"","parse-names":false,"suffix":""},{"dropping-particle":"","family":"Gallucci-Neto","given":"Jose","non-dropping-particle":"","parse-names":false,"suffix":""},{"dropping-particle":"","family":"Kurcgant","given":"Daniela","non-dropping-particle":"","parse-names":false,"suffix":""},{"dropping-particle":"","family":"Proença","given":"Inah Carolina Galatro Faria","non-dropping-particle":"","parse-names":false,"suffix":""},{"dropping-particle":"","family":"Valiengo","given":"Leandro da Costa Lane","non-dropping-particle":"","parse-names":false,"suffix":""},{"dropping-particle":"","family":"Fiore","given":"Lia Arno","non-dropping-particle":"","parse-names":false,"suffix":""},{"dropping-particle":"","family":"Pinto","given":"Lécio Figueira","non-dropping-particle":"","parse-names":false,"suffix":""},{"dropping-particle":"","family":"Maranhão","given":"Ana Goretti Kalume","non-dropping-particle":"","parse-names":false,"suffix":""},{"dropping-particle":"","family":"Oliveira","given":"Maria Tereza da Costa","non-dropping-particle":"","parse-names":false,"suffix":""},{"dropping-particle":"","family":"Oliveira","given":"Lucia Helena","non-dropping-particle":"de","parse-names":false,"suffix":""}],"container-title":"Vaccine","id":"ITEM-1","issue":"43","issued":{"date-parts":[["2020"]]},"page":"6714-6720","title":"Immunization stress-related responses presenting as psychogenic non-epileptic seizures following HPV vaccination in Rio Branco, Brazil","type":"article-journal","volume":"38"},"uris":["http://www.mendeley.com/documents/?uuid=9264ec07-dae2-49a7-9756-199079342bbd"]}],"mendeley":{"formattedCitation":"(23)","plainTextFormattedCitation":"(23)","previouslyFormattedCitation":"(23)"},"properties":{"noteIndex":0},"schema":"https://github.com/citation-style-language/schema/raw/master/csl-citation.json"}</w:instrText>
      </w:r>
      <w:r w:rsidRPr="004447F6">
        <w:rPr>
          <w:rFonts w:cstheme="minorHAnsi"/>
        </w:rPr>
        <w:fldChar w:fldCharType="separate"/>
      </w:r>
      <w:r w:rsidRPr="004447F6">
        <w:rPr>
          <w:rFonts w:cstheme="minorHAnsi"/>
          <w:noProof/>
        </w:rPr>
        <w:t>(23)</w:t>
      </w:r>
      <w:r w:rsidRPr="004447F6">
        <w:rPr>
          <w:rFonts w:cstheme="minorHAnsi"/>
        </w:rPr>
        <w:fldChar w:fldCharType="end"/>
      </w:r>
      <w:r w:rsidRPr="004447F6">
        <w:rPr>
          <w:rFonts w:cstheme="minorHAnsi"/>
        </w:rPr>
        <w:t xml:space="preserve">, which have also been reported  following the H1N1 vaccination in Taiwan </w:t>
      </w:r>
      <w:r w:rsidRPr="004447F6">
        <w:rPr>
          <w:rFonts w:cstheme="minorHAnsi"/>
        </w:rPr>
        <w:fldChar w:fldCharType="begin" w:fldLock="1"/>
      </w:r>
      <w:r w:rsidR="00DB0E82" w:rsidRPr="004447F6">
        <w:rPr>
          <w:rFonts w:cstheme="minorHAnsi"/>
        </w:rPr>
        <w:instrText>ADDIN CSL_CITATION {"citationItems":[{"id":"ITEM-1","itemData":{"DOI":"10.1176/jnp.23.3.jnpe37","ISSN":"15457222","author":[{"dropping-particle":"","family":"Lin","given":"Chien Yu","non-dropping-particle":"","parse-names":false,"suffix":""},{"dropping-particle":"","family":"Peng","given":"Chun Chih","non-dropping-particle":"","parse-names":false,"suffix":""},{"dropping-particle":"","family":"Liu","given":"Hui Ching","non-dropping-particle":"","parse-names":false,"suffix":""},{"dropping-particle":"","family":"Chiu","given":"Nan Chang","non-dropping-particle":"","parse-names":false,"suffix":""}],"container-title":"Journal of Neuropsychiatry and Clinical Neurosciences","id":"ITEM-1","issue":"3","issued":{"date-parts":[["2011"]]},"title":"Psychogenic movement disorder after H1N1 influenza vaccination","type":"article-journal","volume":"23"},"uris":["http://www.mendeley.com/documents/?uuid=e7e4ef74-46b1-42b0-a2cb-835187afb019"]}],"mendeley":{"formattedCitation":"(24)","plainTextFormattedCitation":"(24)","previouslyFormattedCitation":"(24)"},"properties":{"noteIndex":0},"schema":"https://github.com/citation-style-language/schema/raw/master/csl-citation.json"}</w:instrText>
      </w:r>
      <w:r w:rsidRPr="004447F6">
        <w:rPr>
          <w:rFonts w:cstheme="minorHAnsi"/>
        </w:rPr>
        <w:fldChar w:fldCharType="separate"/>
      </w:r>
      <w:r w:rsidRPr="004447F6">
        <w:rPr>
          <w:rFonts w:cstheme="minorHAnsi"/>
          <w:noProof/>
        </w:rPr>
        <w:t>(24)</w:t>
      </w:r>
      <w:r w:rsidRPr="004447F6">
        <w:rPr>
          <w:rFonts w:cstheme="minorHAnsi"/>
        </w:rPr>
        <w:fldChar w:fldCharType="end"/>
      </w:r>
      <w:r w:rsidRPr="004447F6">
        <w:rPr>
          <w:rFonts w:cstheme="minorHAnsi"/>
        </w:rPr>
        <w:t xml:space="preserve"> and South Korea </w:t>
      </w:r>
      <w:r w:rsidRPr="004447F6">
        <w:rPr>
          <w:rFonts w:cstheme="minorHAnsi"/>
        </w:rPr>
        <w:fldChar w:fldCharType="begin" w:fldLock="1"/>
      </w:r>
      <w:r w:rsidR="00DB0E82" w:rsidRPr="004447F6">
        <w:rPr>
          <w:rFonts w:cstheme="minorHAnsi"/>
        </w:rPr>
        <w:instrText>ADDIN CSL_CITATION {"citationItems":[{"id":"ITEM-1","itemData":{"DOI":"10.7774/cevr.2017.6.1.31","ISSN":"2287366X","abstract":"Purpose: Adverse events during mass vaccination campaigns have had a profoundly negative impact on vaccine coverage rates. The objective of the study was to identify the characteristics of reported psychogenic illness cases following mass vaccination that needed further interventions of the national immunization program. Materials and Methods: We collected documents that were submitted to the Korea Centers for Disease Control and Prevention for vaccine injury compensation, and analyzed cases of psychogenic illness following pandemic influenza A (H1N1) vaccination in 2009 which were confirmed by the Korean Advisory Committee on Vaccine Injury Compensation. Results: During the 2009-2010 influenza season, 13 million Koreans were vaccinated against pandemic influenza. Of 28 reported psychogenic illness cases following immunization, 25 were vaccinated through school-located mass immunization. Significant numbers of them were female adolescents (68%) or had underlying vulnerable conditions or emotional life stressors (36%). They required lengthy hospitalization (median, 7 days) and high medical costs (median, US $1,582 per case). Conclusion: Health authorities and organizers of future mass vaccinations should be well aware of the possible occurrence of psychogenic illness, acknowledge their detailed characteristics, and take its economic burden into account to mitigate the risk of transmission of infectious diseases efficiently.","author":[{"dropping-particle":"","family":"Yang","given":"Tae Un","non-dropping-particle":"","parse-names":false,"suffix":""},{"dropping-particle":"","family":"Kim","given":"Hee Jung","non-dropping-particle":"","parse-names":false,"suffix":""},{"dropping-particle":"","family":"Lee","given":"Yeon Kyeong","non-dropping-particle":"","parse-names":false,"suffix":""},{"dropping-particle":"","family":"Park","given":"Young Joon","non-dropping-particle":"","parse-names":false,"suffix":""}],"container-title":"Clinical and Experimental Vaccine Research","id":"ITEM-1","issue":"1","issued":{"date-parts":[["2017"]]},"page":"31-37","title":"Psychogenic illness following vaccination: Exploratory study of mass vaccination against pandemic influenza A (H1N1) in 2009 in South Korea","type":"article-journal","volume":"6"},"uris":["http://www.mendeley.com/documents/?uuid=c7c05c60-7453-4e0f-a251-3f7a84f99b5b"]}],"mendeley":{"formattedCitation":"(25)","plainTextFormattedCitation":"(25)","previouslyFormattedCitation":"(25)"},"properties":{"noteIndex":0},"schema":"https://github.com/citation-style-language/schema/raw/master/csl-citation.json"}</w:instrText>
      </w:r>
      <w:r w:rsidRPr="004447F6">
        <w:rPr>
          <w:rFonts w:cstheme="minorHAnsi"/>
        </w:rPr>
        <w:fldChar w:fldCharType="separate"/>
      </w:r>
      <w:r w:rsidRPr="004447F6">
        <w:rPr>
          <w:rFonts w:cstheme="minorHAnsi"/>
          <w:noProof/>
        </w:rPr>
        <w:t>(25)</w:t>
      </w:r>
      <w:r w:rsidRPr="004447F6">
        <w:rPr>
          <w:rFonts w:cstheme="minorHAnsi"/>
        </w:rPr>
        <w:fldChar w:fldCharType="end"/>
      </w:r>
      <w:r w:rsidRPr="004447F6">
        <w:rPr>
          <w:rFonts w:cstheme="minorHAnsi"/>
        </w:rPr>
        <w:t xml:space="preserve">. The WHO Global Advisory Committee on Vaccine Safety and Immunisations (GACVS) working group of the World Health Organisation (WHO) recognise such ‘immunisation stress related responses’ (ISRRs) as a disqualifier in their tool for assessing causality of an adverse event following immunization, which include (but are not limited to) acute stress responses, vasovagal reactions, and dissociative symptoms </w:t>
      </w:r>
      <w:r w:rsidRPr="004447F6">
        <w:rPr>
          <w:rFonts w:cstheme="minorHAnsi"/>
        </w:rPr>
        <w:fldChar w:fldCharType="begin" w:fldLock="1"/>
      </w:r>
      <w:r w:rsidR="00DB0E82" w:rsidRPr="004447F6">
        <w:rPr>
          <w:rFonts w:cstheme="minorHAnsi"/>
        </w:rPr>
        <w:instrText>ADDIN CSL_CITATION {"citationItems":[{"id":"ITEM-1","itemData":{"ISSN":"9241513659","author":[{"dropping-particle":"","family":"World Health Organization","given":"","non-dropping-particle":"","parse-names":false,"suffix":""}],"id":"ITEM-1","issued":{"date-parts":[["2019"]]},"publisher":"World Health Organization","title":"Causality assessment of an adverse event following immunization (AEFI): user manual for the revised WHO classification","type":"report"},"uris":["http://www.mendeley.com/documents/?uuid=b9c3dfd1-09e0-4411-aae3-3259c4cbeacd"]}],"mendeley":{"formattedCitation":"(26)","plainTextFormattedCitation":"(26)","previouslyFormattedCitation":"(26)"},"properties":{"noteIndex":0},"schema":"https://github.com/citation-style-language/schema/raw/master/csl-citation.json"}</w:instrText>
      </w:r>
      <w:r w:rsidRPr="004447F6">
        <w:rPr>
          <w:rFonts w:cstheme="minorHAnsi"/>
        </w:rPr>
        <w:fldChar w:fldCharType="separate"/>
      </w:r>
      <w:r w:rsidRPr="004447F6">
        <w:rPr>
          <w:rFonts w:cstheme="minorHAnsi"/>
          <w:noProof/>
        </w:rPr>
        <w:t>(26)</w:t>
      </w:r>
      <w:r w:rsidRPr="004447F6">
        <w:rPr>
          <w:rFonts w:cstheme="minorHAnsi"/>
        </w:rPr>
        <w:fldChar w:fldCharType="end"/>
      </w:r>
      <w:r w:rsidRPr="004447F6">
        <w:rPr>
          <w:rFonts w:cstheme="minorHAnsi"/>
        </w:rPr>
        <w:t xml:space="preserve">. Many of these ISRRs can be viewed as FND triggered by vaccines. Indeed, FND is commonly precipitated by, and can emerge from, a range of initial ‘organic’ symptoms which can be due to physical injury or illness. In these cases, vaccination due to the commonly encountered local and systemic reactions is sufficient to precipitate FND </w:t>
      </w:r>
      <w:r w:rsidRPr="004447F6">
        <w:rPr>
          <w:rFonts w:cstheme="minorHAnsi"/>
        </w:rPr>
        <w:fldChar w:fldCharType="begin" w:fldLock="1"/>
      </w:r>
      <w:r w:rsidR="00DB0E82" w:rsidRPr="004447F6">
        <w:rPr>
          <w:rFonts w:cstheme="minorHAnsi"/>
        </w:rPr>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(27)","plainTextFormattedCitation":"(27)","previouslyFormattedCitation":"(27)"},"properties":{"noteIndex":0},"schema":"https://github.com/citation-style-language/schema/raw/master/csl-citation.json"}</w:instrText>
      </w:r>
      <w:r w:rsidRPr="004447F6">
        <w:rPr>
          <w:rFonts w:cstheme="minorHAnsi"/>
        </w:rPr>
        <w:fldChar w:fldCharType="separate"/>
      </w:r>
      <w:r w:rsidRPr="004447F6">
        <w:rPr>
          <w:rFonts w:cstheme="minorHAnsi"/>
          <w:noProof/>
        </w:rPr>
        <w:t>(27)</w:t>
      </w:r>
      <w:r w:rsidRPr="004447F6">
        <w:rPr>
          <w:rFonts w:cstheme="minorHAnsi"/>
        </w:rPr>
        <w:fldChar w:fldCharType="end"/>
      </w:r>
      <w:r w:rsidRPr="004447F6">
        <w:rPr>
          <w:rFonts w:cstheme="minorHAnsi"/>
        </w:rPr>
        <w:t xml:space="preserve">.   </w:t>
      </w:r>
    </w:p>
    <w:p w14:paraId="5EFB47B1" w14:textId="77777777" w:rsidR="001F269E" w:rsidRPr="004447F6" w:rsidRDefault="001F269E" w:rsidP="006C40EE">
      <w:pPr>
        <w:spacing w:line="360" w:lineRule="auto"/>
        <w:jc w:val="both"/>
        <w:rPr>
          <w:rFonts w:cstheme="minorHAnsi"/>
          <w:b/>
          <w:bCs/>
        </w:rPr>
      </w:pPr>
    </w:p>
    <w:p w14:paraId="6CACAD7F" w14:textId="46810721" w:rsidR="004401D0" w:rsidRPr="004447F6" w:rsidRDefault="00D13310" w:rsidP="006C40EE">
      <w:pPr>
        <w:spacing w:line="360" w:lineRule="auto"/>
        <w:jc w:val="both"/>
        <w:rPr>
          <w:rFonts w:cstheme="minorHAnsi"/>
          <w:b/>
          <w:bCs/>
        </w:rPr>
      </w:pPr>
      <w:r w:rsidRPr="004447F6">
        <w:rPr>
          <w:rFonts w:cstheme="minorHAnsi"/>
          <w:b/>
          <w:bCs/>
        </w:rPr>
        <w:t>COVID</w:t>
      </w:r>
      <w:r w:rsidR="004401D0" w:rsidRPr="004447F6">
        <w:rPr>
          <w:rFonts w:cstheme="minorHAnsi"/>
          <w:b/>
          <w:bCs/>
        </w:rPr>
        <w:t>-19 vaccine and neurological manifestations</w:t>
      </w:r>
    </w:p>
    <w:p w14:paraId="5F4E8746" w14:textId="5D783E77" w:rsidR="001233F4" w:rsidRPr="004447F6" w:rsidRDefault="00D46796" w:rsidP="00183921">
      <w:pPr>
        <w:spacing w:line="360" w:lineRule="auto"/>
        <w:jc w:val="both"/>
        <w:rPr>
          <w:rFonts w:cstheme="minorHAnsi"/>
          <w:u w:val="single"/>
        </w:rPr>
      </w:pPr>
      <w:r w:rsidRPr="004447F6">
        <w:rPr>
          <w:rFonts w:cstheme="minorHAnsi"/>
          <w:u w:val="single"/>
        </w:rPr>
        <w:t>C</w:t>
      </w:r>
      <w:r w:rsidR="001233F4" w:rsidRPr="004447F6">
        <w:rPr>
          <w:rFonts w:cstheme="minorHAnsi"/>
          <w:u w:val="single"/>
        </w:rPr>
        <w:t xml:space="preserve">linical </w:t>
      </w:r>
      <w:r w:rsidR="00274C47" w:rsidRPr="004447F6">
        <w:rPr>
          <w:rFonts w:cstheme="minorHAnsi"/>
          <w:u w:val="single"/>
        </w:rPr>
        <w:t>t</w:t>
      </w:r>
      <w:r w:rsidR="001233F4" w:rsidRPr="004447F6">
        <w:rPr>
          <w:rFonts w:cstheme="minorHAnsi"/>
          <w:u w:val="single"/>
        </w:rPr>
        <w:t>rials</w:t>
      </w:r>
    </w:p>
    <w:p w14:paraId="1200A23D" w14:textId="7A8C1DFE" w:rsidR="00274C47" w:rsidRPr="004447F6" w:rsidRDefault="00BD2A0B" w:rsidP="00BB73C9">
      <w:pPr>
        <w:spacing w:line="360" w:lineRule="auto"/>
        <w:jc w:val="both"/>
        <w:rPr>
          <w:rFonts w:cstheme="minorHAnsi"/>
        </w:rPr>
      </w:pPr>
      <w:r w:rsidRPr="004447F6">
        <w:rPr>
          <w:rFonts w:cstheme="minorHAnsi"/>
        </w:rPr>
        <w:t xml:space="preserve">At least </w:t>
      </w:r>
      <w:r w:rsidR="00CB023D" w:rsidRPr="004447F6">
        <w:rPr>
          <w:rFonts w:cstheme="minorHAnsi"/>
        </w:rPr>
        <w:t>sixteen</w:t>
      </w:r>
      <w:r w:rsidR="00183921" w:rsidRPr="004447F6">
        <w:rPr>
          <w:rFonts w:cstheme="minorHAnsi"/>
        </w:rPr>
        <w:t xml:space="preserve"> </w:t>
      </w:r>
      <w:r w:rsidR="00D823A1" w:rsidRPr="004447F6">
        <w:rPr>
          <w:rFonts w:cstheme="minorHAnsi"/>
        </w:rPr>
        <w:t>SARS-CoV</w:t>
      </w:r>
      <w:r w:rsidR="00FE147B" w:rsidRPr="004447F6">
        <w:rPr>
          <w:rFonts w:cstheme="minorHAnsi"/>
        </w:rPr>
        <w:t>-</w:t>
      </w:r>
      <w:r w:rsidR="00D823A1" w:rsidRPr="004447F6">
        <w:rPr>
          <w:rFonts w:cstheme="minorHAnsi"/>
        </w:rPr>
        <w:t>2</w:t>
      </w:r>
      <w:r w:rsidR="00183921" w:rsidRPr="004447F6">
        <w:rPr>
          <w:rFonts w:cstheme="minorHAnsi"/>
        </w:rPr>
        <w:t xml:space="preserve"> vaccin</w:t>
      </w:r>
      <w:r w:rsidRPr="004447F6">
        <w:rPr>
          <w:rFonts w:cstheme="minorHAnsi"/>
        </w:rPr>
        <w:t>es</w:t>
      </w:r>
      <w:r w:rsidR="00183921" w:rsidRPr="004447F6">
        <w:rPr>
          <w:rFonts w:cstheme="minorHAnsi"/>
        </w:rPr>
        <w:t xml:space="preserve"> have been </w:t>
      </w:r>
      <w:r w:rsidR="00713ED3" w:rsidRPr="004447F6">
        <w:rPr>
          <w:rFonts w:cstheme="minorHAnsi"/>
        </w:rPr>
        <w:t>approved</w:t>
      </w:r>
      <w:r w:rsidRPr="004447F6">
        <w:rPr>
          <w:rFonts w:cstheme="minorHAnsi"/>
        </w:rPr>
        <w:t xml:space="preserve"> </w:t>
      </w:r>
      <w:r w:rsidR="00183921" w:rsidRPr="004447F6">
        <w:rPr>
          <w:rFonts w:cstheme="minorHAnsi"/>
        </w:rPr>
        <w:t>for use</w:t>
      </w:r>
      <w:r w:rsidR="00BB660A" w:rsidRPr="004447F6">
        <w:rPr>
          <w:rFonts w:cstheme="minorHAnsi"/>
        </w:rPr>
        <w:t xml:space="preserve"> by at least one national regulatory authority</w:t>
      </w:r>
      <w:r w:rsidR="00915BA7" w:rsidRPr="004447F6">
        <w:rPr>
          <w:rFonts w:cstheme="minorHAnsi"/>
        </w:rPr>
        <w:t xml:space="preserve"> </w:t>
      </w:r>
      <w:r w:rsidR="004B2CB7" w:rsidRPr="004447F6">
        <w:rPr>
          <w:rFonts w:cstheme="minorHAnsi"/>
        </w:rPr>
        <w:fldChar w:fldCharType="begin" w:fldLock="1"/>
      </w:r>
      <w:r w:rsidR="00DB0E82" w:rsidRPr="004447F6">
        <w:rPr>
          <w:rFonts w:cstheme="minorHAnsi"/>
        </w:rPr>
        <w:instrText>ADDIN CSL_CITATION {"citationItems":[{"id":"ITEM-1","itemData":{"URL":"https://www.who.int/emergencies/diseases/novel-coronavirus-2019/covid-19-vaccines","accessed":{"date-parts":[["2021","4","1"]]},"author":[{"dropping-particle":"","family":"World Health Organization","given":"","non-dropping-particle":"","parse-names":false,"suffix":""}],"id":"ITEM-1","issued":{"date-parts":[["2021"]]},"title":"COVID-19 vaccines","type":"webpage"},"uris":["http://www.mendeley.com/documents/?uuid=bcf5eb0a-4a7c-445c-bc68-9da4bf8a6432"]}],"mendeley":{"formattedCitation":"(28)","plainTextFormattedCitation":"(28)","previouslyFormattedCitation":"(28)"},"properties":{"noteIndex":0},"schema":"https://github.com/citation-style-language/schema/raw/master/csl-citation.json"}</w:instrText>
      </w:r>
      <w:r w:rsidR="004B2CB7" w:rsidRPr="004447F6">
        <w:rPr>
          <w:rFonts w:cstheme="minorHAnsi"/>
        </w:rPr>
        <w:fldChar w:fldCharType="separate"/>
      </w:r>
      <w:r w:rsidR="00632A99" w:rsidRPr="004447F6">
        <w:rPr>
          <w:rFonts w:cstheme="minorHAnsi"/>
          <w:noProof/>
        </w:rPr>
        <w:t>(28)</w:t>
      </w:r>
      <w:r w:rsidR="004B2CB7" w:rsidRPr="004447F6">
        <w:rPr>
          <w:rFonts w:cstheme="minorHAnsi"/>
        </w:rPr>
        <w:fldChar w:fldCharType="end"/>
      </w:r>
      <w:r w:rsidR="00965B29" w:rsidRPr="004447F6">
        <w:rPr>
          <w:rFonts w:cstheme="minorHAnsi"/>
        </w:rPr>
        <w:t xml:space="preserve"> </w:t>
      </w:r>
      <w:r w:rsidR="00C66C90" w:rsidRPr="004447F6">
        <w:rPr>
          <w:rFonts w:cstheme="minorHAnsi"/>
        </w:rPr>
        <w:t>(Table 1)</w:t>
      </w:r>
      <w:r w:rsidR="00CB023D" w:rsidRPr="004447F6">
        <w:rPr>
          <w:rFonts w:cstheme="minorHAnsi"/>
        </w:rPr>
        <w:t>,</w:t>
      </w:r>
      <w:r w:rsidR="00CB023D" w:rsidRPr="004447F6">
        <w:rPr>
          <w:rFonts w:cstheme="minorHAnsi"/>
          <w:i/>
          <w:iCs/>
        </w:rPr>
        <w:t xml:space="preserve"> </w:t>
      </w:r>
      <w:r w:rsidR="00CB023D" w:rsidRPr="004447F6">
        <w:rPr>
          <w:rFonts w:cstheme="minorHAnsi"/>
          <w:iCs/>
        </w:rPr>
        <w:t>and</w:t>
      </w:r>
      <w:r w:rsidR="00CB023D" w:rsidRPr="004447F6">
        <w:rPr>
          <w:rFonts w:cstheme="minorHAnsi"/>
          <w:i/>
          <w:iCs/>
        </w:rPr>
        <w:t xml:space="preserve"> </w:t>
      </w:r>
      <w:r w:rsidR="00CB023D" w:rsidRPr="004447F6">
        <w:rPr>
          <w:rFonts w:cstheme="minorHAnsi"/>
        </w:rPr>
        <w:t xml:space="preserve">as of early June 2021, there are around a further 400 vaccines in development, with 102 in the clinical phase </w:t>
      </w:r>
      <w:r w:rsidR="00CB023D" w:rsidRPr="004447F6">
        <w:rPr>
          <w:rFonts w:cstheme="minorHAnsi"/>
        </w:rPr>
        <w:fldChar w:fldCharType="begin" w:fldLock="1"/>
      </w:r>
      <w:r w:rsidR="00DB0E82" w:rsidRPr="004447F6">
        <w:rPr>
          <w:rFonts w:cstheme="minorHAnsi"/>
        </w:rPr>
        <w:instrText>ADDIN CSL_CITATION {"citationItems":[{"id":"ITEM-1","itemData":{"URL":"https://www.who.int/emergencies/diseases/novel-coronavirus-2019/covid-19-vaccines","accessed":{"date-parts":[["2021","4","1"]]},"author":[{"dropping-particle":"","family":"World Health Organization","given":"","non-dropping-particle":"","parse-names":false,"suffix":""}],"id":"ITEM-1","issued":{"date-parts":[["2021"]]},"title":"COVID-19 vaccines","type":"webpage"},"uris":["http://www.mendeley.com/documents/?uuid=bcf5eb0a-4a7c-445c-bc68-9da4bf8a6432"]}],"mendeley":{"formattedCitation":"(28)","plainTextFormattedCitation":"(28)","previouslyFormattedCitation":"(28)"},"properties":{"noteIndex":0},"schema":"https://github.com/citation-style-language/schema/raw/master/csl-citation.json"}</w:instrText>
      </w:r>
      <w:r w:rsidR="00CB023D" w:rsidRPr="004447F6">
        <w:rPr>
          <w:rFonts w:cstheme="minorHAnsi"/>
        </w:rPr>
        <w:fldChar w:fldCharType="separate"/>
      </w:r>
      <w:r w:rsidR="00632A99" w:rsidRPr="004447F6">
        <w:rPr>
          <w:rFonts w:cstheme="minorHAnsi"/>
          <w:noProof/>
        </w:rPr>
        <w:t>(28)</w:t>
      </w:r>
      <w:r w:rsidR="00CB023D" w:rsidRPr="004447F6">
        <w:rPr>
          <w:rFonts w:cstheme="minorHAnsi"/>
        </w:rPr>
        <w:fldChar w:fldCharType="end"/>
      </w:r>
      <w:r w:rsidR="00CB023D" w:rsidRPr="004447F6">
        <w:rPr>
          <w:rFonts w:cstheme="minorHAnsi"/>
        </w:rPr>
        <w:t xml:space="preserve">. </w:t>
      </w:r>
      <w:r w:rsidR="00C66C90" w:rsidRPr="004447F6">
        <w:rPr>
          <w:rFonts w:cstheme="minorHAnsi"/>
        </w:rPr>
        <w:t xml:space="preserve"> </w:t>
      </w:r>
      <w:r w:rsidR="00CE056F" w:rsidRPr="004447F6">
        <w:rPr>
          <w:rFonts w:cstheme="minorHAnsi"/>
        </w:rPr>
        <w:t>Adverse events in</w:t>
      </w:r>
      <w:r w:rsidR="00CB023D" w:rsidRPr="004447F6">
        <w:rPr>
          <w:rFonts w:cstheme="minorHAnsi"/>
        </w:rPr>
        <w:t xml:space="preserve"> the clinical</w:t>
      </w:r>
      <w:r w:rsidR="00CE056F" w:rsidRPr="004447F6">
        <w:rPr>
          <w:rFonts w:cstheme="minorHAnsi"/>
        </w:rPr>
        <w:t xml:space="preserve"> trials</w:t>
      </w:r>
      <w:r w:rsidR="00CB023D" w:rsidRPr="004447F6">
        <w:rPr>
          <w:rFonts w:cstheme="minorHAnsi"/>
        </w:rPr>
        <w:t xml:space="preserve"> - </w:t>
      </w:r>
      <w:r w:rsidR="00CE056F" w:rsidRPr="004447F6">
        <w:rPr>
          <w:rFonts w:cstheme="minorHAnsi"/>
        </w:rPr>
        <w:t>captured using the International Council for Harmonisation of Technical Requirements for Pharmaceuticals for Human Use Medical Dictionary for Regulatory Activities</w:t>
      </w:r>
      <w:r w:rsidR="00CB023D" w:rsidRPr="004447F6">
        <w:rPr>
          <w:rFonts w:cstheme="minorHAnsi"/>
        </w:rPr>
        <w:t>,</w:t>
      </w:r>
      <w:r w:rsidR="00CE056F" w:rsidRPr="004447F6">
        <w:rPr>
          <w:rFonts w:cstheme="minorHAnsi"/>
        </w:rPr>
        <w:t xml:space="preserve"> under system organ classifications such as central nervous system disorders and psychiatric disorders</w:t>
      </w:r>
      <w:r w:rsidR="00915BA7" w:rsidRPr="004447F6">
        <w:rPr>
          <w:rFonts w:cstheme="minorHAnsi"/>
        </w:rPr>
        <w:t xml:space="preserve"> </w:t>
      </w:r>
      <w:r w:rsidR="00CE056F" w:rsidRPr="004447F6">
        <w:rPr>
          <w:rFonts w:cstheme="minorHAnsi"/>
        </w:rPr>
        <w:fldChar w:fldCharType="begin" w:fldLock="1"/>
      </w:r>
      <w:r w:rsidR="00DB0E82" w:rsidRPr="004447F6">
        <w:rPr>
          <w:rFonts w:cstheme="minorHAnsi"/>
        </w:rPr>
        <w:instrText>ADDIN CSL_CITATION {"citationItems":[{"id":"ITEM-1","itemData":{"ISSN":"1179-1993","author":[{"dropping-particle":"","family":"Mozzicato","given":"Patricia","non-dropping-particle":"","parse-names":false,"suffix":""}],"container-title":"Pharmaceutical Medicine","id":"ITEM-1","issue":"2","issued":{"date-parts":[["2009"]]},"page":"65-75","publisher":"Springer","title":"MedDRA","type":"article-journal","volume":"23"},"uris":["http://www.mendeley.com/documents/?uuid=cdffd1ef-fd80-49a1-beec-029a6aa8672d"]}],"mendeley":{"formattedCitation":"(29)","plainTextFormattedCitation":"(29)","previouslyFormattedCitation":"(29)"},"properties":{"noteIndex":0},"schema":"https://github.com/citation-style-language/schema/raw/master/csl-citation.json"}</w:instrText>
      </w:r>
      <w:r w:rsidR="00CE056F" w:rsidRPr="004447F6">
        <w:rPr>
          <w:rFonts w:cstheme="minorHAnsi"/>
        </w:rPr>
        <w:fldChar w:fldCharType="separate"/>
      </w:r>
      <w:r w:rsidR="00632A99" w:rsidRPr="004447F6">
        <w:rPr>
          <w:rFonts w:cstheme="minorHAnsi"/>
          <w:noProof/>
        </w:rPr>
        <w:t>(29)</w:t>
      </w:r>
      <w:r w:rsidR="00CE056F" w:rsidRPr="004447F6">
        <w:rPr>
          <w:rFonts w:cstheme="minorHAnsi"/>
        </w:rPr>
        <w:fldChar w:fldCharType="end"/>
      </w:r>
      <w:r w:rsidR="00CB023D" w:rsidRPr="004447F6">
        <w:rPr>
          <w:rFonts w:cstheme="minorHAnsi"/>
        </w:rPr>
        <w:t xml:space="preserve"> - indicated limited reports of serious neurological adverse events </w:t>
      </w:r>
      <w:r w:rsidR="00CB023D" w:rsidRPr="004447F6">
        <w:rPr>
          <w:rFonts w:cstheme="minorHAnsi"/>
        </w:rPr>
        <w:fldChar w:fldCharType="begin" w:fldLock="1"/>
      </w:r>
      <w:r w:rsidR="00CB023D" w:rsidRPr="004447F6">
        <w:rPr>
          <w:rFonts w:cstheme="minorHAnsi"/>
        </w:rPr>
        <w:instrText>ADDIN CSL_CITATION {"citationItems":[{"id":"ITEM-1","itemData":{"DOI":"10.1056/nejmoa2034577","ISSN":"0028-4793","PMID":"33301246","abstract":"BACKGROUND Severe acute respiratory syndrome coronavirus 2 (SARS-CoV-2) infection and the resulting coronavirus disease 2019 (Covid-19) have afflicted tens of millions of people in a worldwide pandemic. Safe and effective vaccines are needed urgently. METHODS In an ongoing multinational, placebo-controlled, observer-blinded, pivotal efficacy trial, we randomly assigned persons 16 years of age or older in a 1:1 ratio to receive two doses, 21 days apart, of either placebo or the BNT162b2 vaccine candidate (30 μg per dose). BNT162b2 is a lipid nanoparticle-formulated, nucleoside-modified RNA vaccine that encodes a prefusion stabilized, membrane-anchored SARS-CoV-2 full-length spike protein. The primary end points were efficacy of the vaccine against laboratory-confirmed Covid-19 and safety. RESULTS A total of 43,548 participants underwent randomization, of whom 43,448 received injections: 21,720 with BNT162b2 and 21,728 with placebo. There were 8 cases of Covid-19 with onset at least 7 days after the second dose among participants assigned to receive BNT162b2 and 162 cases among those assigned to placebo; BNT162b2 was 95% effective in preventing Covid-19 (95% credible interval, 90.3 to 97.6). Similar vaccine efficacy (generally 90 to 100%) was observed across subgroups defined by age, sex, race, ethnicity, baseline body-mass index, and the presence of coexisting conditions. Among 10 cases of severe Covid-19 with onset after the first dose, 9 occurred in placebo recipients and 1 in a BNT162b2 recipient. The safety profile of BNT162b2 was characterized by short-term, mild-to-moderate pain at the injection site, fatigue, and headache. The incidence of serious adverse events was low and was similar in the vaccine and placebo groups. CONCLUSIONS A two-dose regimen of BNT162b2 conferred 95% protection against Covid-19 in persons 16 years of age or older. Safety over a median of 2 months was similar to that of other viral vaccines. (Funded by BioNTech and Pfizer; ClinicalTrials.gov number, NCT04368728.).","author":[{"dropping-particle":"","family":"Polack","given":"Fernando P.","non-dropping-particle":"","parse-names":false,"suffix":""},{"dropping-particle":"","family":"Thomas","given":"Stephen J.","non-dropping-particle":"","parse-names":false,"suffix":""},{"dropping-particle":"","family":"Kitchin","given":"Nicholas","non-dropping-particle":"","parse-names":false,"suffix":""},{"dropping-particle":"","family":"Absalon","given":"Judith","non-dropping-particle":"","parse-names":false,"suffix":""},{"dropping-particle":"","family":"Gurtman","given":"Alejandra","non-dropping-particle":"","parse-names":false,"suffix":""},{"dropping-particle":"","family":"Lockhart","given":"Stephen","non-dropping-particle":"","parse-names":false,"suffix":""},{"dropping-particle":"","family":"Perez","given":"John L.","non-dropping-particle":"","parse-names":false,"suffix":""},{"dropping-particle":"","family":"Pérez Marc","given":"Gonzalo","non-dropping-particle":"","parse-names":false,"suffix":""},{"dropping-particle":"","family":"Moreira","given":"Edson D.","non-dropping-particle":"","parse-names":false,"suffix":""},{"dropping-particle":"","family":"Zerbini","given":"Cristiano","non-dropping-particle":"","parse-names":false,"suffix":""},{"dropping-particle":"","family":"Bailey","given":"Ruth","non-dropping-particle":"","parse-names":false,"suffix":""},{"dropping-particle":"","family":"Swanson","given":"Kena A.","non-dropping-particle":"","parse-names":false,"suffix":""},{"dropping-particle":"","family":"Roychoudhury","given":"Satrajit","non-dropping-particle":"","parse-names":false,"suffix":""},{"dropping-particle":"","family":"Koury","given":"Kenneth","non-dropping-particle":"","parse-names":false,"suffix":""},{"dropping-particle":"","family":"Li","given":"Ping","non-dropping-particle":"","parse-names":false,"suffix":""},{"dropping-particle":"V.","family":"Kalina","given":"Warren","non-dropping-particle":"","parse-names":false,"suffix":""},{"dropping-particle":"","family":"Cooper","given":"David","non-dropping-particle":"","parse-names":false,"suffix":""},{"dropping-particle":"","family":"Frenck","given":"Robert W.","non-dropping-particle":"","parse-names":false,"suffix":""},{"dropping-particle":"","family":"Hammitt","given":"Laura L.","non-dropping-particle":"","parse-names":false,"suffix":""},{"dropping-particle":"","family":"Türeci","given":"Özlem","non-dropping-particle":"","parse-names":false,"suffix":""},{"dropping-particle":"","family":"Nell","given":"Haylene","non-dropping-particle":"","parse-names":false,"suffix":""},{"dropping-particle":"","family":"Schaefer","given":"Axel","non-dropping-particle":"","parse-names":false,"suffix":""},{"dropping-particle":"","family":"Ünal","given":"Serhat","non-dropping-particle":"","parse-names":false,"suffix":""},{"dropping-particle":"","family":"Tresnan","given":"Dina B.","non-dropping-particle":"","parse-names":false,"suffix":""},{"dropping-particle":"","family":"Mather","given":"Susan","non-dropping-particle":"","parse-names":false,"suffix":""},{"dropping-particle":"","family":"Dormitzer","given":"Philip R.","non-dropping-particle":"","parse-names":false,"suffix":""},{"dropping-particle":"","family":"Şahin","given":"Uğur","non-dropping-particle":"","parse-names":false,"suffix":""},{"dropping-particle":"","family":"Jansen","given":"Kathrin U.","non-dropping-particle":"","parse-names":false,"suffix":""},{"dropping-particle":"","family":"Gruber","given":"William C.","non-dropping-particle":"","parse-names":false,"suffix":""}],"container-title":"New England Journal of Medicine","id":"ITEM-1","issue":"27","issued":{"date-parts":[["2020"]]},"page":"2603-2615","title":"Safety and Efficacy of the BNT162b2 mRNA Covid-19 Vaccine","type":"article-journal","volume":"383"},"uris":["http://www.mendeley.com/documents/?uuid=651caaf4-473d-4566-ad41-b16771c6e2dd"]},{"id":"ITEM-2","itemData":{"DOI":"10.1056/nejmoa2035389","ISSN":"0028-4793","abstract":"Abstract Background Vaccines are needed to prevent coronavirus disease 2019 (Covid-19) and to protect persons who are at high risk for complications. The mRNA-1273 vaccine is a lipid nanoparticle–e...","author":[{"dropping-particle":"","family":"Baden","given":"Lindsey R.","non-dropping-particle":"","parse-names":false,"suffix":""},{"dropping-particle":"","family":"Sahly","given":"Hana M.","non-dropping-particle":"El","parse-names":false,"suffix":""},{"dropping-particle":"","family":"Essink","given":"Brandon","non-dropping-particle":"","parse-names":false,"suffix":""},{"dropping-particle":"","family":"Kotloff","given":"Karen","non-dropping-particle":"","parse-names":false,"suffix":""},{"dropping-particle":"","family":"Frey","given":"Sharon","non-dropping-particle":"","parse-names":false,"suffix":""},{"dropping-particle":"","family":"Novak","given":"Rick","non-dropping-particle":"","parse-names":false,"suffix":""},{"dropping-particle":"","family":"Diemert","given":"David","non-dropping-particle":"","parse-names":false,"suffix":""},{"dropping-particle":"","family":"Spector","given":"Stephen A.","non-dropping-particle":"","parse-names":false,"suffix":""},{"dropping-particle":"","family":"Rouphael","given":"Nadine","non-dropping-particle":"","parse-names":false,"suffix":""},{"dropping-particle":"","family":"Creech","given":"C. Buddy","non-dropping-particle":"","parse-names":false,"suffix":""},{"dropping-particle":"","family":"McGettigan","given":"John","non-dropping-particle":"","parse-names":false,"suffix":""},{"dropping-particle":"","family":"Khetan","given":"Shishir","non-dropping-particle":"","parse-names":false,"suffix":""},{"dropping-particle":"","family":"Segall","given":"Nathan","non-dropping-particle":"","parse-names":false,"suffix":""},{"dropping-particle":"","family":"Solis","given":"Joel","non-dropping-particle":"","parse-names":false,"suffix":""},{"dropping-particle":"","family":"Brosz","given":"Adam","non-dropping-particle":"","parse-names":false,"suffix":""},{"dropping-particle":"","family":"Fierro","given":"Carlos","non-dropping-particle":"","parse-names":false,"suffix":""},{"dropping-particle":"","family":"Schwartz","given":"Howard","non-dropping-particle":"","parse-names":false,"suffix":""},{"dropping-particle":"","family":"Neuzil","given":"Kathleen","non-dropping-particle":"","parse-names":false,"suffix":""},{"dropping-particle":"","family":"Corey","given":"Larry","non-dropping-particle":"","parse-names":false,"suffix":""},{"dropping-particle":"","family":"Gilbert","given":"Peter","non-dropping-particle":"","parse-names":false,"suffix":""},{"dropping-particle":"","family":"Janes","given":"Holly","non-dropping-particle":"","parse-names":false,"suffix":""},{"dropping-particle":"","family":"Follmann","given":"Dean","non-dropping-particle":"","parse-names":false,"suffix":""},{"dropping-particle":"","family":"Marovich","given":"Mary","non-dropping-particle":"","parse-names":false,"suffix":""},{"dropping-particle":"","family":"Mascola","given":"John","non-dropping-particle":"","parse-names":false,"suffix":""},{"dropping-particle":"","family":"Polakowski","given":"Laura","non-dropping-particle":"","parse-names":false,"suffix":""},{"dropping-particle":"","family":"Ledgerwood","given":"Julie","non-dropping-particle":"","parse-names":false,"suffix":""},{"dropping-particle":"","family":"Graham","given":"Barney S.","non-dropping-particle":"","parse-names":false,"suffix":""},{"dropping-particle":"","family":"Bennett","given":"Hamilton","non-dropping-particle":"","parse-names":false,"suffix":""},{"dropping-particle":"","family":"Pajon","given":"Rolando","non-dropping-particle":"","parse-names":false,"suffix":""},{"dropping-particle":"","family":"Knightly","given":"Conor","non-dropping-particle":"","parse-names":false,"suffix":""},{"dropping-particle":"","family":"Leav","given":"Brett","non-dropping-particle":"","parse-names":false,"suffix":""},{"dropping-particle":"","family":"Deng","given":"Weiping","non-dropping-particle":"","parse-names":false,"suffix":""},{"dropping-particle":"","family":"Zhou","given":"Honghong","non-dropping-particle":"","parse-names":false,"suffix":""},{"dropping-particle":"","family":"Han","given":"Shu","non-dropping-particle":"","parse-names":false,"suffix":""},{"dropping-particle":"","family":"Ivarsson","given":"Melanie","non-dropping-particle":"","parse-names":false,"suffix":""},{"dropping-particle":"","family":"Miller","given":"Jacqueline","non-dropping-particle":"","parse-names":false,"suffix":""},{"dropping-particle":"","family":"Zaks","given":"Tal","non-dropping-particle":"","parse-names":false,"suffix":""}],"container-title":"New England Journal of Medicine","id":"ITEM-2","issue":"5","issued":{"date-parts":[["2021"]]},"page":"403-416","title":"Efficacy and Safety of the mRNA-1273 SARS-CoV-2 Vaccine","type":"article-journal","volume":"384"},"uris":["http://www.mendeley.com/documents/?uuid=a8569e30-1150-4e29-94c0-e369fa1971a1"]}],"mendeley":{"formattedCitation":"(4,5)","plainTextFormattedCitation":"(4,5)","previouslyFormattedCitation":"(4,5)"},"properties":{"noteIndex":0},"schema":"https://github.com/citation-style-language/schema/raw/master/csl-citation.json"}</w:instrText>
      </w:r>
      <w:r w:rsidR="00CB023D" w:rsidRPr="004447F6">
        <w:rPr>
          <w:rFonts w:cstheme="minorHAnsi"/>
        </w:rPr>
        <w:fldChar w:fldCharType="separate"/>
      </w:r>
      <w:r w:rsidR="00CB023D" w:rsidRPr="004447F6">
        <w:rPr>
          <w:rFonts w:cstheme="minorHAnsi"/>
          <w:noProof/>
        </w:rPr>
        <w:t>(4,5)</w:t>
      </w:r>
      <w:r w:rsidR="00CB023D" w:rsidRPr="004447F6">
        <w:rPr>
          <w:rFonts w:cstheme="minorHAnsi"/>
        </w:rPr>
        <w:fldChar w:fldCharType="end"/>
      </w:r>
      <w:r w:rsidR="00CB023D" w:rsidRPr="004447F6">
        <w:rPr>
          <w:rFonts w:cstheme="minorHAnsi"/>
        </w:rPr>
        <w:t>.</w:t>
      </w:r>
      <w:r w:rsidR="00CE056F" w:rsidRPr="004447F6">
        <w:rPr>
          <w:rFonts w:cstheme="minorHAnsi"/>
        </w:rPr>
        <w:t xml:space="preserve"> </w:t>
      </w:r>
      <w:r w:rsidR="00AC0BC6" w:rsidRPr="004447F6">
        <w:rPr>
          <w:rFonts w:cstheme="minorHAnsi"/>
        </w:rPr>
        <w:t>While</w:t>
      </w:r>
      <w:r w:rsidR="00183921" w:rsidRPr="004447F6">
        <w:rPr>
          <w:rFonts w:cstheme="minorHAnsi"/>
        </w:rPr>
        <w:t xml:space="preserve"> phase III trials </w:t>
      </w:r>
      <w:r w:rsidR="00AC0BC6" w:rsidRPr="004447F6">
        <w:rPr>
          <w:rFonts w:cstheme="minorHAnsi"/>
        </w:rPr>
        <w:t>are</w:t>
      </w:r>
      <w:r w:rsidR="00D823A1" w:rsidRPr="004447F6">
        <w:rPr>
          <w:rFonts w:cstheme="minorHAnsi"/>
        </w:rPr>
        <w:t xml:space="preserve"> </w:t>
      </w:r>
      <w:r w:rsidR="00183921" w:rsidRPr="004447F6">
        <w:rPr>
          <w:rFonts w:cstheme="minorHAnsi"/>
        </w:rPr>
        <w:t>powered to detect common adverse reactions</w:t>
      </w:r>
      <w:r w:rsidR="00425C30" w:rsidRPr="004447F6">
        <w:rPr>
          <w:rFonts w:cstheme="minorHAnsi"/>
        </w:rPr>
        <w:t>, association with rare</w:t>
      </w:r>
      <w:r w:rsidR="00B07F57" w:rsidRPr="004447F6">
        <w:rPr>
          <w:rFonts w:cstheme="minorHAnsi"/>
        </w:rPr>
        <w:t xml:space="preserve"> but significant</w:t>
      </w:r>
      <w:r w:rsidR="00425C30" w:rsidRPr="004447F6">
        <w:rPr>
          <w:rFonts w:cstheme="minorHAnsi"/>
        </w:rPr>
        <w:t xml:space="preserve"> events, such as neurological complications, may not be detected until phase IV </w:t>
      </w:r>
      <w:r w:rsidR="00FD5B08" w:rsidRPr="004447F6">
        <w:rPr>
          <w:rFonts w:cstheme="minorHAnsi"/>
        </w:rPr>
        <w:t xml:space="preserve">or open-label </w:t>
      </w:r>
      <w:r w:rsidR="00425C30" w:rsidRPr="004447F6">
        <w:rPr>
          <w:rFonts w:cstheme="minorHAnsi"/>
        </w:rPr>
        <w:t>studies</w:t>
      </w:r>
      <w:r w:rsidR="00183921" w:rsidRPr="004447F6">
        <w:rPr>
          <w:rFonts w:cstheme="minorHAnsi"/>
        </w:rPr>
        <w:t>.</w:t>
      </w:r>
      <w:r w:rsidR="001233F4" w:rsidRPr="004447F6">
        <w:rPr>
          <w:rFonts w:cstheme="minorHAnsi"/>
        </w:rPr>
        <w:t xml:space="preserve"> </w:t>
      </w:r>
      <w:r w:rsidR="00FD5B08" w:rsidRPr="004447F6">
        <w:rPr>
          <w:rFonts w:cstheme="minorHAnsi"/>
        </w:rPr>
        <w:t>Commonly cited exemplars of th</w:t>
      </w:r>
      <w:r w:rsidR="00CC6F6C" w:rsidRPr="004447F6">
        <w:rPr>
          <w:rFonts w:cstheme="minorHAnsi"/>
        </w:rPr>
        <w:t xml:space="preserve">is </w:t>
      </w:r>
      <w:r w:rsidR="00FD5B08" w:rsidRPr="004447F6">
        <w:rPr>
          <w:rFonts w:cstheme="minorHAnsi"/>
        </w:rPr>
        <w:t>include</w:t>
      </w:r>
      <w:r w:rsidR="00CC6F6C" w:rsidRPr="004447F6">
        <w:rPr>
          <w:rFonts w:cstheme="minorHAnsi"/>
        </w:rPr>
        <w:t xml:space="preserve"> case</w:t>
      </w:r>
      <w:r w:rsidR="00FD5B08" w:rsidRPr="004447F6">
        <w:rPr>
          <w:rFonts w:cstheme="minorHAnsi"/>
        </w:rPr>
        <w:t>s</w:t>
      </w:r>
      <w:r w:rsidR="00CC6F6C" w:rsidRPr="004447F6">
        <w:rPr>
          <w:rFonts w:cstheme="minorHAnsi"/>
        </w:rPr>
        <w:t xml:space="preserve"> </w:t>
      </w:r>
      <w:r w:rsidR="00FD5B08" w:rsidRPr="004447F6">
        <w:rPr>
          <w:rFonts w:cstheme="minorHAnsi"/>
        </w:rPr>
        <w:t xml:space="preserve">of </w:t>
      </w:r>
      <w:r w:rsidR="00BB6477" w:rsidRPr="004447F6">
        <w:rPr>
          <w:rFonts w:cstheme="minorHAnsi"/>
        </w:rPr>
        <w:t>GBS</w:t>
      </w:r>
      <w:r w:rsidR="00CC6F6C" w:rsidRPr="004447F6">
        <w:rPr>
          <w:rFonts w:cstheme="minorHAnsi"/>
        </w:rPr>
        <w:t xml:space="preserve"> in association with</w:t>
      </w:r>
      <w:r w:rsidR="00F97762" w:rsidRPr="004447F6">
        <w:rPr>
          <w:rFonts w:cstheme="minorHAnsi"/>
        </w:rPr>
        <w:t xml:space="preserve"> the</w:t>
      </w:r>
      <w:r w:rsidR="00CC6F6C" w:rsidRPr="004447F6">
        <w:rPr>
          <w:rFonts w:cstheme="minorHAnsi"/>
        </w:rPr>
        <w:t xml:space="preserve"> 1976</w:t>
      </w:r>
      <w:r w:rsidR="006C2B18" w:rsidRPr="004447F6">
        <w:rPr>
          <w:rFonts w:cstheme="minorHAnsi"/>
        </w:rPr>
        <w:t>/77</w:t>
      </w:r>
      <w:r w:rsidR="00CC6F6C" w:rsidRPr="004447F6">
        <w:rPr>
          <w:rFonts w:cstheme="minorHAnsi"/>
        </w:rPr>
        <w:t xml:space="preserve"> </w:t>
      </w:r>
      <w:r w:rsidR="006C2B18" w:rsidRPr="004447F6">
        <w:rPr>
          <w:rFonts w:cstheme="minorHAnsi"/>
        </w:rPr>
        <w:t>US swine</w:t>
      </w:r>
      <w:r w:rsidR="00CC6F6C" w:rsidRPr="004447F6">
        <w:rPr>
          <w:rFonts w:cstheme="minorHAnsi"/>
        </w:rPr>
        <w:t xml:space="preserve"> influenza </w:t>
      </w:r>
      <w:r w:rsidR="006C2B18" w:rsidRPr="004447F6">
        <w:rPr>
          <w:rFonts w:cstheme="minorHAnsi"/>
        </w:rPr>
        <w:t xml:space="preserve">vaccination </w:t>
      </w:r>
      <w:r w:rsidR="00CC6F6C" w:rsidRPr="004447F6">
        <w:rPr>
          <w:rFonts w:cstheme="minorHAnsi"/>
        </w:rPr>
        <w:t>programme</w:t>
      </w:r>
      <w:r w:rsidR="00915BA7" w:rsidRPr="004447F6">
        <w:rPr>
          <w:rFonts w:cstheme="minorHAnsi"/>
        </w:rPr>
        <w:t xml:space="preserve"> </w:t>
      </w:r>
      <w:r w:rsidR="004B2CB7" w:rsidRPr="004447F6">
        <w:rPr>
          <w:rFonts w:cstheme="minorHAnsi"/>
        </w:rPr>
        <w:fldChar w:fldCharType="begin" w:fldLock="1"/>
      </w:r>
      <w:r w:rsidR="00DB0E82" w:rsidRPr="004447F6">
        <w:rPr>
          <w:rFonts w:cstheme="minorHAnsi"/>
        </w:rPr>
        <w:instrText>ADDIN CSL_CITATION {"citationItems":[{"id":"ITEM-1","itemData":{"DOI":"10.1093/oxfordjournals.aje.a112795","ISSN":"0002-9262","abstract":"Because of an increase in the number of reports of Guillain-Barre syndrome (GBS) following A/New Jersey influenza vaccination, the National Influenza Immunization Program was suspended December 16, 1976 and nationwide surveillance for GBS was begun. This surveillance uncovered a total of 1098 patients with onset of GBS from October 1, 1976, to January 31, 1977, from all 50 states, District of Columbia, and Puerto Rico. A total of 532 patients had recently received an A/New Jersey influenza vaccination prior to their onset of GBS (vaccinated cases), and 15 patients received a vaccination after their onset of GBS. Five hundred forty-three patients had not been recently vaccinated with A/New Jersey influenza vaccine and the vaccination status for 8 was unknown. Epidemiologic evidence indicated that many cases of GBS were related to vaccination. When compared to the unvaccinated population, the vaccinated population had a significantly elevated attack rate in every adult age group. The estimated attributable risk of vaccine-related GBS in the adult population was just under one case per 100,000 vaccinations. The period of increased risk was concentrated primarily within the 5-week period after vaccination, although it lasted for approximately 9 or 10 weeks.","author":[{"dropping-particle":"","family":"SCHONBERGER","given":"LAWRENCE B","non-dropping-particle":"","parse-names":false,"suffix":""},{"dropping-particle":"","family":"BREGMAN","given":"DENNIS J","non-dropping-particle":"","parse-names":false,"suffix":""},{"dropping-particle":"","family":"SULLIVAN-BOLYAI","given":"JOHN Z","non-dropping-particle":"","parse-names":false,"suffix":""},{"dropping-particle":"","family":"KEENLYSIDE","given":"RICHARD A","non-dropping-particle":"","parse-names":false,"suffix":""},{"dropping-particle":"","family":"ZIEGLER","given":"DONALD W","non-dropping-particle":"","parse-names":false,"suffix":""},{"dropping-particle":"","family":"RETAILLIAU","given":"HENRY F","non-dropping-particle":"","parse-names":false,"suffix":""},{"dropping-particle":"","family":"EDDINS","given":"DONALD L","non-dropping-particle":"","parse-names":false,"suffix":""},{"dropping-particle":"","family":"BRYAN","given":"JOHN A","non-dropping-particle":"","parse-names":false,"suffix":""}],"container-title":"American Journal of Epidemiology","id":"ITEM-1","issue":"2","issued":{"date-parts":[["1979","8","1"]]},"page":"105-123","title":"GUILLAIN-BARRE SYNDROME FOLLOWING VACCINATION IN THE NATIONAL INFLUENZA IMMUNIZATION PROGRAM, UNITED STATES, 1976–19771","type":"article-journal","volume":"110"},"uris":["http://www.mendeley.com/documents/?uuid=96a64d8a-ad08-4024-8a9d-e8afe7b23e2b"]}],"mendeley":{"formattedCitation":"(30)","plainTextFormattedCitation":"(30)","previouslyFormattedCitation":"(30)"},"properties":{"noteIndex":0},"schema":"https://github.com/citation-style-language/schema/raw/master/csl-citation.json"}</w:instrText>
      </w:r>
      <w:r w:rsidR="004B2CB7" w:rsidRPr="004447F6">
        <w:rPr>
          <w:rFonts w:cstheme="minorHAnsi"/>
        </w:rPr>
        <w:fldChar w:fldCharType="separate"/>
      </w:r>
      <w:r w:rsidR="00632A99" w:rsidRPr="004447F6">
        <w:rPr>
          <w:rFonts w:cstheme="minorHAnsi"/>
          <w:noProof/>
        </w:rPr>
        <w:t>(30)</w:t>
      </w:r>
      <w:r w:rsidR="004B2CB7" w:rsidRPr="004447F6">
        <w:rPr>
          <w:rFonts w:cstheme="minorHAnsi"/>
        </w:rPr>
        <w:fldChar w:fldCharType="end"/>
      </w:r>
      <w:r w:rsidR="004B2CB7" w:rsidRPr="004447F6">
        <w:rPr>
          <w:rFonts w:cstheme="minorHAnsi"/>
        </w:rPr>
        <w:t xml:space="preserve"> </w:t>
      </w:r>
      <w:r w:rsidR="00CC6F6C" w:rsidRPr="004447F6">
        <w:rPr>
          <w:rFonts w:cstheme="minorHAnsi"/>
        </w:rPr>
        <w:t xml:space="preserve">and </w:t>
      </w:r>
      <w:r w:rsidR="00284E19" w:rsidRPr="004447F6">
        <w:rPr>
          <w:rFonts w:cstheme="minorHAnsi"/>
        </w:rPr>
        <w:t xml:space="preserve">Bell’s </w:t>
      </w:r>
      <w:r w:rsidR="00FD5B08" w:rsidRPr="004447F6">
        <w:rPr>
          <w:rFonts w:cstheme="minorHAnsi"/>
        </w:rPr>
        <w:t xml:space="preserve">palsy </w:t>
      </w:r>
      <w:r w:rsidR="00284E19" w:rsidRPr="004447F6">
        <w:rPr>
          <w:rFonts w:cstheme="minorHAnsi"/>
        </w:rPr>
        <w:t>in association with inactivated intranasal influenza vaccine</w:t>
      </w:r>
      <w:r w:rsidR="00915BA7" w:rsidRPr="004447F6">
        <w:rPr>
          <w:rFonts w:cstheme="minorHAnsi"/>
        </w:rPr>
        <w:t xml:space="preserve"> </w:t>
      </w:r>
      <w:r w:rsidR="004B2CB7" w:rsidRPr="004447F6">
        <w:rPr>
          <w:rFonts w:cstheme="minorHAnsi"/>
        </w:rPr>
        <w:fldChar w:fldCharType="begin" w:fldLock="1"/>
      </w:r>
      <w:r w:rsidR="00DB0E82" w:rsidRPr="004447F6">
        <w:rPr>
          <w:rFonts w:cstheme="minorHAnsi"/>
        </w:rPr>
        <w:instrText>ADDIN CSL_CITATION {"citationItems":[{"id":"ITEM-1","itemData":{"DOI":"10.1056/nejmoa030595","ISSN":"0028-4793","PMID":"14985487","abstract":"BACKGROUND: After the introduction of an inactivated intranasal influenza vaccine that was used only in Switzerland, 46 cases of Bell's palsy were reported. METHODS: We conducted a matched case-control study and a case-series analysis. All primary care physicians, ear, nose, and throat specialists, and neurologists in German-speaking regions of Switzerland were requested to identify cases of Bell's palsy diagnosed in adults between October 1, 2000, and April 30, 2001. Each physician was invited to select three control patients for each patient with Bell's palsy, with matching according to age, date of the clinic visit, and physician. Vaccination information was provided by the physicians. RESULTS: A total of 773 patients with Bell's palsy were identified. Of the 412 (53.3 percent) who could be evaluated, 250 (60.7 percent) were enrolled and matched with 722 control patients; the other 162 patients had no controls. In the case-control study, we found that 68 patients with Bell's palsy (27.2 percent) and 8 controls (1.1 percent) had received the intranasal vaccine (P&lt;0.001). In contrast to parenteral vaccines, the intranasal vaccine significantly increased the risk of Bell's palsy (adjusted odds ratio, 84.0; 95 percent confidence interval, 20.1 to 351.9). Even according to conservative assumptions, the relative risk of Bell's palsy was estimated to be 19 times the risk in the controls, corresponding to 13 excess cases per 10,000 vaccinees within 1 to 91 days after vaccination. In the case-series analysis, the period of highest risk was 31 to 60 days after vaccination. CONCLUSIONS: This study suggests a strong association between the inactivated intranasal influenza vaccine used in Switzerland and Bell's palsy. This vaccine is no longer in clinical use.","author":[{"dropping-particle":"","family":"Mutsch","given":"Margot","non-dropping-particle":"","parse-names":false,"suffix":""},{"dropping-particle":"","family":"Zhou","given":"Weigong","non-dropping-particle":"","parse-names":false,"suffix":""},{"dropping-particle":"","family":"Rhodes","given":"Philip","non-dropping-particle":"","parse-names":false,"suffix":""},{"dropping-particle":"","family":"Bopp","given":"Matthias","non-dropping-particle":"","parse-names":false,"suffix":""},{"dropping-particle":"","family":"Chen","given":"Robert T.","non-dropping-particle":"","parse-names":false,"suffix":""},{"dropping-particle":"","family":"Linder","given":"Thomas","non-dropping-particle":"","parse-names":false,"suffix":""},{"dropping-particle":"","family":"Spyr","given":"Christian","non-dropping-particle":"","parse-names":false,"suffix":""},{"dropping-particle":"","family":"Steffen","given":"Robert","non-dropping-particle":"","parse-names":false,"suffix":""}],"container-title":"New England Journal of Medicine","id":"ITEM-1","issue":"9","issued":{"date-parts":[["2004"]]},"page":"896-903","title":"Use of the Inactivated Intranasal Influenza Vaccine and the Risk of Bell's Palsy in Switzerland","type":"article-journal","volume":"350"},"uris":["http://www.mendeley.com/documents/?uuid=9b784443-6c0f-4f13-ac9c-2b0895e9fba7"]}],"mendeley":{"formattedCitation":"(22)","plainTextFormattedCitation":"(22)","previouslyFormattedCitation":"(22)"},"properties":{"noteIndex":0},"schema":"https://github.com/citation-style-language/schema/raw/master/csl-citation.json"}</w:instrText>
      </w:r>
      <w:r w:rsidR="004B2CB7" w:rsidRPr="004447F6">
        <w:rPr>
          <w:rFonts w:cstheme="minorHAnsi"/>
        </w:rPr>
        <w:fldChar w:fldCharType="separate"/>
      </w:r>
      <w:r w:rsidR="00632A99" w:rsidRPr="004447F6">
        <w:rPr>
          <w:rFonts w:cstheme="minorHAnsi"/>
          <w:noProof/>
        </w:rPr>
        <w:t>(22)</w:t>
      </w:r>
      <w:r w:rsidR="004B2CB7" w:rsidRPr="004447F6">
        <w:rPr>
          <w:rFonts w:cstheme="minorHAnsi"/>
        </w:rPr>
        <w:fldChar w:fldCharType="end"/>
      </w:r>
      <w:r w:rsidR="00116347" w:rsidRPr="004447F6">
        <w:rPr>
          <w:rFonts w:cstheme="minorHAnsi"/>
        </w:rPr>
        <w:t>, as discussed above.</w:t>
      </w:r>
    </w:p>
    <w:p w14:paraId="0CDBC61A" w14:textId="2146167B" w:rsidR="001233F4" w:rsidRPr="004447F6" w:rsidRDefault="00FD5B08" w:rsidP="00BB73C9">
      <w:pPr>
        <w:spacing w:line="360" w:lineRule="auto"/>
        <w:jc w:val="both"/>
        <w:rPr>
          <w:rFonts w:cstheme="minorHAnsi"/>
          <w:noProof/>
        </w:rPr>
      </w:pPr>
      <w:r w:rsidRPr="004447F6">
        <w:rPr>
          <w:rFonts w:cstheme="minorHAnsi"/>
        </w:rPr>
        <w:t>Consistent</w:t>
      </w:r>
      <w:r w:rsidR="00425C30" w:rsidRPr="004447F6">
        <w:rPr>
          <w:rFonts w:cstheme="minorHAnsi"/>
        </w:rPr>
        <w:t xml:space="preserve"> with this, only isolated cases of neurological events were reported </w:t>
      </w:r>
      <w:r w:rsidR="00CB023D" w:rsidRPr="004447F6">
        <w:rPr>
          <w:rFonts w:cstheme="minorHAnsi"/>
        </w:rPr>
        <w:t>in</w:t>
      </w:r>
      <w:r w:rsidR="00CD4C09" w:rsidRPr="004447F6">
        <w:rPr>
          <w:rFonts w:cstheme="minorHAnsi"/>
        </w:rPr>
        <w:t xml:space="preserve"> </w:t>
      </w:r>
      <w:r w:rsidR="00274C47" w:rsidRPr="004447F6">
        <w:rPr>
          <w:rFonts w:cstheme="minorHAnsi"/>
        </w:rPr>
        <w:t>clinical</w:t>
      </w:r>
      <w:r w:rsidR="00425C30" w:rsidRPr="004447F6">
        <w:rPr>
          <w:rFonts w:cstheme="minorHAnsi"/>
        </w:rPr>
        <w:t xml:space="preserve"> trials of major </w:t>
      </w:r>
      <w:r w:rsidRPr="004447F6">
        <w:rPr>
          <w:rFonts w:cstheme="minorHAnsi"/>
        </w:rPr>
        <w:t>SARS-CoV</w:t>
      </w:r>
      <w:r w:rsidR="00FE147B" w:rsidRPr="004447F6">
        <w:rPr>
          <w:rFonts w:cstheme="minorHAnsi"/>
        </w:rPr>
        <w:t>-</w:t>
      </w:r>
      <w:r w:rsidRPr="004447F6">
        <w:rPr>
          <w:rFonts w:cstheme="minorHAnsi"/>
        </w:rPr>
        <w:t xml:space="preserve">2 </w:t>
      </w:r>
      <w:r w:rsidR="00425C30" w:rsidRPr="004447F6">
        <w:rPr>
          <w:rFonts w:cstheme="minorHAnsi"/>
        </w:rPr>
        <w:t>vaccine</w:t>
      </w:r>
      <w:r w:rsidR="00274C47" w:rsidRPr="004447F6">
        <w:rPr>
          <w:rFonts w:cstheme="minorHAnsi"/>
        </w:rPr>
        <w:t>s</w:t>
      </w:r>
      <w:r w:rsidR="00425C30" w:rsidRPr="004447F6">
        <w:rPr>
          <w:rFonts w:cstheme="minorHAnsi"/>
        </w:rPr>
        <w:t xml:space="preserve">. </w:t>
      </w:r>
      <w:r w:rsidR="002F636E" w:rsidRPr="004447F6">
        <w:rPr>
          <w:rFonts w:cstheme="minorHAnsi"/>
        </w:rPr>
        <w:t>T</w:t>
      </w:r>
      <w:r w:rsidR="005A39FC" w:rsidRPr="004447F6">
        <w:rPr>
          <w:rFonts w:cstheme="minorHAnsi"/>
        </w:rPr>
        <w:t>hree</w:t>
      </w:r>
      <w:r w:rsidR="002F636E" w:rsidRPr="004447F6">
        <w:rPr>
          <w:rFonts w:cstheme="minorHAnsi"/>
        </w:rPr>
        <w:t xml:space="preserve"> </w:t>
      </w:r>
      <w:r w:rsidR="001233F4" w:rsidRPr="004447F6">
        <w:rPr>
          <w:rFonts w:cstheme="minorHAnsi"/>
        </w:rPr>
        <w:t>cases of transverse myelitis</w:t>
      </w:r>
      <w:r w:rsidR="00BB73C9" w:rsidRPr="004447F6">
        <w:t xml:space="preserve"> </w:t>
      </w:r>
      <w:r w:rsidR="00D823A1" w:rsidRPr="004447F6">
        <w:t xml:space="preserve">were reported </w:t>
      </w:r>
      <w:r w:rsidR="00BB73C9" w:rsidRPr="004447F6">
        <w:t>(2/</w:t>
      </w:r>
      <w:r w:rsidR="00BB73C9" w:rsidRPr="004447F6">
        <w:rPr>
          <w:rFonts w:cstheme="minorHAnsi"/>
        </w:rPr>
        <w:t xml:space="preserve">12,174 in </w:t>
      </w:r>
      <w:r w:rsidRPr="004447F6">
        <w:rPr>
          <w:rFonts w:cstheme="minorHAnsi"/>
        </w:rPr>
        <w:t xml:space="preserve">the </w:t>
      </w:r>
      <w:r w:rsidR="00BB73C9" w:rsidRPr="004447F6">
        <w:rPr>
          <w:rFonts w:cstheme="minorHAnsi"/>
        </w:rPr>
        <w:t xml:space="preserve">vaccine group and 1/11,879 in </w:t>
      </w:r>
      <w:r w:rsidRPr="004447F6">
        <w:rPr>
          <w:rFonts w:cstheme="minorHAnsi"/>
        </w:rPr>
        <w:t xml:space="preserve">the </w:t>
      </w:r>
      <w:r w:rsidR="00BB73C9" w:rsidRPr="004447F6">
        <w:rPr>
          <w:rFonts w:cstheme="minorHAnsi"/>
        </w:rPr>
        <w:t>control arm)</w:t>
      </w:r>
      <w:r w:rsidR="00274C47" w:rsidRPr="004447F6">
        <w:rPr>
          <w:rFonts w:cstheme="minorHAnsi"/>
        </w:rPr>
        <w:t xml:space="preserve"> in phase III trial of </w:t>
      </w:r>
      <w:r w:rsidR="002F636E" w:rsidRPr="004447F6">
        <w:rPr>
          <w:rFonts w:cstheme="minorHAnsi"/>
        </w:rPr>
        <w:t>ChAdOx1</w:t>
      </w:r>
      <w:r w:rsidR="00274C47" w:rsidRPr="004447F6">
        <w:rPr>
          <w:rFonts w:cstheme="minorHAnsi"/>
        </w:rPr>
        <w:t xml:space="preserve"> vaccine</w:t>
      </w:r>
      <w:r w:rsidR="001233F4" w:rsidRPr="004447F6">
        <w:rPr>
          <w:rFonts w:cstheme="minorHAnsi"/>
        </w:rPr>
        <w:t xml:space="preserve">, </w:t>
      </w:r>
      <w:r w:rsidR="00D823A1" w:rsidRPr="004447F6">
        <w:rPr>
          <w:rFonts w:cstheme="minorHAnsi"/>
        </w:rPr>
        <w:t>wh</w:t>
      </w:r>
      <w:r w:rsidR="00491F53" w:rsidRPr="004447F6">
        <w:rPr>
          <w:rFonts w:cstheme="minorHAnsi"/>
        </w:rPr>
        <w:t>ich</w:t>
      </w:r>
      <w:r w:rsidR="00D823A1" w:rsidRPr="004447F6">
        <w:rPr>
          <w:rFonts w:cstheme="minorHAnsi"/>
        </w:rPr>
        <w:t xml:space="preserve"> </w:t>
      </w:r>
      <w:r w:rsidR="001233F4" w:rsidRPr="004447F6">
        <w:rPr>
          <w:rFonts w:cstheme="minorHAnsi"/>
        </w:rPr>
        <w:t xml:space="preserve">led </w:t>
      </w:r>
      <w:r w:rsidRPr="004447F6">
        <w:rPr>
          <w:rFonts w:cstheme="minorHAnsi"/>
        </w:rPr>
        <w:t xml:space="preserve">to a temporary halting of </w:t>
      </w:r>
      <w:r w:rsidR="001233F4" w:rsidRPr="004447F6">
        <w:rPr>
          <w:rFonts w:cstheme="minorHAnsi"/>
        </w:rPr>
        <w:t xml:space="preserve">the </w:t>
      </w:r>
      <w:r w:rsidR="00274C47" w:rsidRPr="004447F6">
        <w:rPr>
          <w:rFonts w:cstheme="minorHAnsi"/>
        </w:rPr>
        <w:t>study</w:t>
      </w:r>
      <w:r w:rsidR="00491F53" w:rsidRPr="004447F6">
        <w:rPr>
          <w:rFonts w:cstheme="minorHAnsi"/>
        </w:rPr>
        <w:t xml:space="preserve">. </w:t>
      </w:r>
      <w:r w:rsidR="002F636E" w:rsidRPr="004447F6">
        <w:rPr>
          <w:rFonts w:cstheme="minorHAnsi"/>
        </w:rPr>
        <w:t xml:space="preserve">Following evaluation, the cases </w:t>
      </w:r>
      <w:r w:rsidR="001233F4" w:rsidRPr="004447F6">
        <w:rPr>
          <w:rFonts w:cstheme="minorHAnsi"/>
        </w:rPr>
        <w:t xml:space="preserve">were </w:t>
      </w:r>
      <w:r w:rsidR="00284E19" w:rsidRPr="004447F6">
        <w:rPr>
          <w:rFonts w:cstheme="minorHAnsi"/>
        </w:rPr>
        <w:t xml:space="preserve">deemed </w:t>
      </w:r>
      <w:r w:rsidR="001233F4" w:rsidRPr="004447F6">
        <w:rPr>
          <w:rFonts w:cstheme="minorHAnsi"/>
        </w:rPr>
        <w:t>unlikely</w:t>
      </w:r>
      <w:r w:rsidR="00D823A1" w:rsidRPr="004447F6">
        <w:rPr>
          <w:rFonts w:cstheme="minorHAnsi"/>
        </w:rPr>
        <w:t xml:space="preserve"> to be</w:t>
      </w:r>
      <w:r w:rsidR="001233F4" w:rsidRPr="004447F6">
        <w:rPr>
          <w:rFonts w:cstheme="minorHAnsi"/>
        </w:rPr>
        <w:t xml:space="preserve"> related to the vaccine </w:t>
      </w:r>
      <w:r w:rsidR="00274C47" w:rsidRPr="004447F6">
        <w:rPr>
          <w:rFonts w:cstheme="minorHAnsi"/>
        </w:rPr>
        <w:t>and the study continued</w:t>
      </w:r>
      <w:r w:rsidR="00915BA7" w:rsidRPr="004447F6">
        <w:rPr>
          <w:rFonts w:cstheme="minorHAnsi"/>
        </w:rPr>
        <w:t xml:space="preserve"> </w:t>
      </w:r>
      <w:r w:rsidR="001233F4" w:rsidRPr="004447F6">
        <w:rPr>
          <w:rFonts w:cstheme="minorHAnsi"/>
        </w:rPr>
        <w:fldChar w:fldCharType="begin" w:fldLock="1"/>
      </w:r>
      <w:r w:rsidR="00DB0E82" w:rsidRPr="004447F6">
        <w:rPr>
          <w:rFonts w:cstheme="minorHAnsi"/>
        </w:rPr>
        <w:instrText>ADDIN CSL_CITATION {"citationItems":[{"id":"ITEM-1","itemData":{"DOI":"10.1016/S0140-6736(20)32623-4","ISSN":"1474547X","PMID":"33306990","author":[{"dropping-particle":"","family":"Knoll","given":"Maria Deloria","non-dropping-particle":"","parse-names":false,"suffix":""},{"dropping-particle":"","family":"Wonodi","given":"Chizoba","non-dropping-particle":"","parse-names":false,"suffix":""}],"container-title":"The Lancet","id":"ITEM-1","issue":"10269","issued":{"date-parts":[["2021"]]},"page":"72-74","title":"Oxford–AstraZeneca COVID-19 vaccine efficacy","type":"article-journal","volume":"397"},"uris":["http://www.mendeley.com/documents/?uuid=08106c22-9fbc-46e1-8d54-b584628b2651"]}],"mendeley":{"formattedCitation":"(31)","plainTextFormattedCitation":"(31)","previouslyFormattedCitation":"(31)"},"properties":{"noteIndex":0},"schema":"https://github.com/citation-style-language/schema/raw/master/csl-citation.json"}</w:instrText>
      </w:r>
      <w:r w:rsidR="001233F4" w:rsidRPr="004447F6">
        <w:rPr>
          <w:rFonts w:cstheme="minorHAnsi"/>
        </w:rPr>
        <w:fldChar w:fldCharType="separate"/>
      </w:r>
      <w:r w:rsidR="00632A99" w:rsidRPr="004447F6">
        <w:rPr>
          <w:rFonts w:cstheme="minorHAnsi"/>
          <w:noProof/>
        </w:rPr>
        <w:t>(31)</w:t>
      </w:r>
      <w:r w:rsidR="001233F4" w:rsidRPr="004447F6">
        <w:rPr>
          <w:rFonts w:cstheme="minorHAnsi"/>
        </w:rPr>
        <w:fldChar w:fldCharType="end"/>
      </w:r>
      <w:r w:rsidR="00915BA7" w:rsidRPr="004447F6">
        <w:rPr>
          <w:rFonts w:cstheme="minorHAnsi"/>
        </w:rPr>
        <w:t>.</w:t>
      </w:r>
      <w:r w:rsidR="001233F4" w:rsidRPr="004447F6">
        <w:rPr>
          <w:rFonts w:cstheme="minorHAnsi"/>
        </w:rPr>
        <w:t xml:space="preserve"> </w:t>
      </w:r>
      <w:r w:rsidR="00D823A1" w:rsidRPr="004447F6">
        <w:rPr>
          <w:rFonts w:cstheme="minorHAnsi"/>
        </w:rPr>
        <w:t xml:space="preserve">Medical litigation cases have </w:t>
      </w:r>
      <w:r w:rsidR="00965B29" w:rsidRPr="004447F6">
        <w:rPr>
          <w:rFonts w:cstheme="minorHAnsi"/>
        </w:rPr>
        <w:t xml:space="preserve">also </w:t>
      </w:r>
      <w:r w:rsidR="00D823A1" w:rsidRPr="004447F6">
        <w:rPr>
          <w:rFonts w:cstheme="minorHAnsi"/>
        </w:rPr>
        <w:t xml:space="preserve">been raised, </w:t>
      </w:r>
      <w:r w:rsidR="00FE147B" w:rsidRPr="004447F6">
        <w:rPr>
          <w:rFonts w:cstheme="minorHAnsi"/>
        </w:rPr>
        <w:t>including</w:t>
      </w:r>
      <w:r w:rsidR="001233F4" w:rsidRPr="004447F6">
        <w:rPr>
          <w:rFonts w:cstheme="minorHAnsi"/>
        </w:rPr>
        <w:t xml:space="preserve"> an anonymous </w:t>
      </w:r>
      <w:r w:rsidR="00274C47" w:rsidRPr="004447F6">
        <w:rPr>
          <w:rFonts w:cstheme="minorHAnsi"/>
        </w:rPr>
        <w:t xml:space="preserve">trial </w:t>
      </w:r>
      <w:r w:rsidR="001233F4" w:rsidRPr="004447F6">
        <w:rPr>
          <w:rFonts w:cstheme="minorHAnsi"/>
        </w:rPr>
        <w:lastRenderedPageBreak/>
        <w:t xml:space="preserve">volunteer </w:t>
      </w:r>
      <w:r w:rsidR="00D823A1" w:rsidRPr="004447F6">
        <w:rPr>
          <w:rFonts w:cstheme="minorHAnsi"/>
        </w:rPr>
        <w:t xml:space="preserve">in India who </w:t>
      </w:r>
      <w:r w:rsidR="001233F4" w:rsidRPr="004447F6">
        <w:rPr>
          <w:rFonts w:cstheme="minorHAnsi"/>
        </w:rPr>
        <w:t>sued the manufacturers for ‘acute encephalopathy’ occurr</w:t>
      </w:r>
      <w:r w:rsidR="00D823A1" w:rsidRPr="004447F6">
        <w:rPr>
          <w:rFonts w:cstheme="minorHAnsi"/>
        </w:rPr>
        <w:t>ing</w:t>
      </w:r>
      <w:r w:rsidR="001233F4" w:rsidRPr="004447F6">
        <w:rPr>
          <w:rFonts w:cstheme="minorHAnsi"/>
        </w:rPr>
        <w:t xml:space="preserve"> ten days after</w:t>
      </w:r>
      <w:r w:rsidR="00284E19" w:rsidRPr="004447F6">
        <w:rPr>
          <w:rFonts w:cstheme="minorHAnsi"/>
        </w:rPr>
        <w:t xml:space="preserve"> </w:t>
      </w:r>
      <w:r w:rsidR="002F636E" w:rsidRPr="004447F6">
        <w:rPr>
          <w:rFonts w:cstheme="minorHAnsi"/>
        </w:rPr>
        <w:t>ChAdOx1</w:t>
      </w:r>
      <w:r w:rsidR="001233F4" w:rsidRPr="004447F6">
        <w:rPr>
          <w:rFonts w:cstheme="minorHAnsi"/>
        </w:rPr>
        <w:t xml:space="preserve"> vaccine administration</w:t>
      </w:r>
      <w:r w:rsidR="00965B29" w:rsidRPr="004447F6">
        <w:rPr>
          <w:rFonts w:cstheme="minorHAnsi"/>
        </w:rPr>
        <w:t>.</w:t>
      </w:r>
      <w:r w:rsidR="003233A8" w:rsidRPr="004447F6">
        <w:rPr>
          <w:rFonts w:cstheme="minorHAnsi"/>
        </w:rPr>
        <w:t xml:space="preserve"> </w:t>
      </w:r>
      <w:r w:rsidR="00BF3BF3" w:rsidRPr="004447F6">
        <w:rPr>
          <w:rFonts w:cstheme="minorHAnsi"/>
        </w:rPr>
        <w:t xml:space="preserve">In this case, the </w:t>
      </w:r>
      <w:r w:rsidR="00D823A1" w:rsidRPr="004447F6">
        <w:rPr>
          <w:rFonts w:cstheme="minorHAnsi"/>
        </w:rPr>
        <w:t>national</w:t>
      </w:r>
      <w:r w:rsidR="001233F4" w:rsidRPr="004447F6">
        <w:rPr>
          <w:rFonts w:cstheme="minorHAnsi"/>
        </w:rPr>
        <w:t xml:space="preserve"> medical authorities concluded there was no causal link</w:t>
      </w:r>
      <w:r w:rsidR="00915BA7" w:rsidRPr="004447F6">
        <w:rPr>
          <w:rFonts w:cstheme="minorHAnsi"/>
        </w:rPr>
        <w:t xml:space="preserve"> </w:t>
      </w:r>
      <w:r w:rsidR="001233F4" w:rsidRPr="004447F6">
        <w:rPr>
          <w:rFonts w:cstheme="minorHAnsi"/>
        </w:rPr>
        <w:fldChar w:fldCharType="begin" w:fldLock="1"/>
      </w:r>
      <w:r w:rsidR="00DB0E82" w:rsidRPr="004447F6">
        <w:rPr>
          <w:rFonts w:cstheme="minorHAnsi"/>
        </w:rPr>
        <w:instrText>ADDIN CSL_CITATION {"citationItems":[{"id":"ITEM-1","itemData":{"DOI":"10.1136/bmj.m4734","ISSN":"17561833","PMID":"33272917","container-title":"BMJ (Clinical research ed.)","id":"ITEM-1","issued":{"date-parts":[["2020"]]},"page":"m4734","title":"Claims and counterclaims over alleged adverse reaction in covid-19 vaccine in India","type":"article-journal","volume":"371"},"uris":["http://www.mendeley.com/documents/?uuid=18213d3e-70b5-4cbb-a17c-6c4996819f1c"]}],"mendeley":{"formattedCitation":"(32)","plainTextFormattedCitation":"(32)","previouslyFormattedCitation":"(32)"},"properties":{"noteIndex":0},"schema":"https://github.com/citation-style-language/schema/raw/master/csl-citation.json"}</w:instrText>
      </w:r>
      <w:r w:rsidR="001233F4" w:rsidRPr="004447F6">
        <w:rPr>
          <w:rFonts w:cstheme="minorHAnsi"/>
        </w:rPr>
        <w:fldChar w:fldCharType="separate"/>
      </w:r>
      <w:r w:rsidR="00632A99" w:rsidRPr="004447F6">
        <w:rPr>
          <w:rFonts w:cstheme="minorHAnsi"/>
          <w:noProof/>
        </w:rPr>
        <w:t>(32)</w:t>
      </w:r>
      <w:r w:rsidR="001233F4" w:rsidRPr="004447F6">
        <w:rPr>
          <w:rFonts w:cstheme="minorHAnsi"/>
        </w:rPr>
        <w:fldChar w:fldCharType="end"/>
      </w:r>
      <w:r w:rsidR="00915BA7" w:rsidRPr="004447F6">
        <w:rPr>
          <w:rFonts w:cstheme="minorHAnsi"/>
        </w:rPr>
        <w:t>.</w:t>
      </w:r>
      <w:r w:rsidR="001233F4" w:rsidRPr="004447F6">
        <w:rPr>
          <w:rFonts w:cstheme="minorHAnsi"/>
        </w:rPr>
        <w:t xml:space="preserve"> </w:t>
      </w:r>
    </w:p>
    <w:p w14:paraId="78E5E800" w14:textId="4EC07908" w:rsidR="00183921" w:rsidRPr="004447F6" w:rsidRDefault="00116347" w:rsidP="00183921">
      <w:pPr>
        <w:spacing w:line="360" w:lineRule="auto"/>
        <w:jc w:val="both"/>
        <w:rPr>
          <w:rFonts w:cstheme="minorHAnsi"/>
        </w:rPr>
      </w:pPr>
      <w:r w:rsidRPr="004447F6">
        <w:rPr>
          <w:rFonts w:cstheme="minorHAnsi"/>
        </w:rPr>
        <w:t>Few</w:t>
      </w:r>
      <w:r w:rsidR="00CB023D" w:rsidRPr="004447F6">
        <w:rPr>
          <w:rFonts w:cstheme="minorHAnsi"/>
        </w:rPr>
        <w:t xml:space="preserve"> case</w:t>
      </w:r>
      <w:r w:rsidRPr="004447F6">
        <w:rPr>
          <w:rFonts w:cstheme="minorHAnsi"/>
        </w:rPr>
        <w:t>s</w:t>
      </w:r>
      <w:r w:rsidR="00312CFD" w:rsidRPr="004447F6">
        <w:rPr>
          <w:rFonts w:cstheme="minorHAnsi"/>
        </w:rPr>
        <w:t xml:space="preserve"> of</w:t>
      </w:r>
      <w:r w:rsidR="00AF1D33" w:rsidRPr="004447F6">
        <w:rPr>
          <w:rFonts w:cstheme="minorHAnsi"/>
        </w:rPr>
        <w:t xml:space="preserve"> </w:t>
      </w:r>
      <w:r w:rsidR="00183921" w:rsidRPr="004447F6">
        <w:rPr>
          <w:rFonts w:cstheme="minorHAnsi"/>
        </w:rPr>
        <w:t>Bell’s palsy</w:t>
      </w:r>
      <w:r w:rsidR="00312CFD" w:rsidRPr="004447F6">
        <w:rPr>
          <w:rFonts w:cstheme="minorHAnsi"/>
        </w:rPr>
        <w:t xml:space="preserve"> </w:t>
      </w:r>
      <w:r w:rsidR="00AF1D33" w:rsidRPr="004447F6">
        <w:rPr>
          <w:rFonts w:cstheme="minorHAnsi"/>
        </w:rPr>
        <w:t xml:space="preserve">were </w:t>
      </w:r>
      <w:r w:rsidR="001233F4" w:rsidRPr="004447F6">
        <w:rPr>
          <w:rFonts w:cstheme="minorHAnsi"/>
        </w:rPr>
        <w:t xml:space="preserve">reported </w:t>
      </w:r>
      <w:r w:rsidR="00BB73C9" w:rsidRPr="004447F6">
        <w:rPr>
          <w:rFonts w:cstheme="minorHAnsi"/>
        </w:rPr>
        <w:t xml:space="preserve">in </w:t>
      </w:r>
      <w:r w:rsidR="00BF3BF3" w:rsidRPr="004447F6">
        <w:rPr>
          <w:rFonts w:cstheme="minorHAnsi"/>
        </w:rPr>
        <w:t>the</w:t>
      </w:r>
      <w:r w:rsidR="00653984" w:rsidRPr="004447F6">
        <w:rPr>
          <w:rFonts w:cstheme="minorHAnsi"/>
        </w:rPr>
        <w:t xml:space="preserve"> BNT162b2</w:t>
      </w:r>
      <w:r w:rsidR="00BF3BF3" w:rsidRPr="004447F6">
        <w:rPr>
          <w:rFonts w:cstheme="minorHAnsi"/>
        </w:rPr>
        <w:t xml:space="preserve"> </w:t>
      </w:r>
      <w:r w:rsidR="00653984" w:rsidRPr="004447F6">
        <w:rPr>
          <w:rFonts w:cstheme="minorHAnsi"/>
        </w:rPr>
        <w:t>(</w:t>
      </w:r>
      <w:r w:rsidR="00BB73C9" w:rsidRPr="004447F6">
        <w:rPr>
          <w:rFonts w:cstheme="minorHAnsi"/>
        </w:rPr>
        <w:t>Pfizer-BioNTech</w:t>
      </w:r>
      <w:r w:rsidR="00653984" w:rsidRPr="004447F6">
        <w:rPr>
          <w:rFonts w:cstheme="minorHAnsi"/>
        </w:rPr>
        <w:t>)</w:t>
      </w:r>
      <w:r w:rsidR="00BB73C9" w:rsidRPr="004447F6">
        <w:rPr>
          <w:rFonts w:cstheme="minorHAnsi"/>
        </w:rPr>
        <w:t xml:space="preserve"> </w:t>
      </w:r>
      <w:r w:rsidRPr="004447F6">
        <w:rPr>
          <w:rFonts w:cstheme="minorHAnsi"/>
        </w:rPr>
        <w:t xml:space="preserve">trial </w:t>
      </w:r>
      <w:r w:rsidR="00BB73C9" w:rsidRPr="004447F6">
        <w:rPr>
          <w:rFonts w:cstheme="minorHAnsi"/>
        </w:rPr>
        <w:t>(</w:t>
      </w:r>
      <w:r w:rsidR="00284E19" w:rsidRPr="004447F6">
        <w:rPr>
          <w:rFonts w:cstheme="minorHAnsi"/>
        </w:rPr>
        <w:t xml:space="preserve">4 in </w:t>
      </w:r>
      <w:r w:rsidRPr="004447F6">
        <w:rPr>
          <w:rFonts w:cstheme="minorHAnsi"/>
        </w:rPr>
        <w:t>the</w:t>
      </w:r>
      <w:r w:rsidR="009E38B1" w:rsidRPr="004447F6">
        <w:rPr>
          <w:rFonts w:cstheme="minorHAnsi"/>
        </w:rPr>
        <w:t xml:space="preserve"> </w:t>
      </w:r>
      <w:r w:rsidR="00BB73C9" w:rsidRPr="004447F6">
        <w:rPr>
          <w:rFonts w:cstheme="minorHAnsi"/>
        </w:rPr>
        <w:t xml:space="preserve">vaccine </w:t>
      </w:r>
      <w:r w:rsidRPr="004447F6">
        <w:rPr>
          <w:rFonts w:cstheme="minorHAnsi"/>
        </w:rPr>
        <w:t xml:space="preserve">arm and none </w:t>
      </w:r>
      <w:r w:rsidR="00713ED3" w:rsidRPr="004447F6">
        <w:rPr>
          <w:rFonts w:cstheme="minorHAnsi"/>
        </w:rPr>
        <w:t xml:space="preserve"> in the</w:t>
      </w:r>
      <w:r w:rsidR="00BB73C9" w:rsidRPr="004447F6">
        <w:rPr>
          <w:rFonts w:cstheme="minorHAnsi"/>
        </w:rPr>
        <w:t xml:space="preserve"> placebo </w:t>
      </w:r>
      <w:r w:rsidRPr="004447F6">
        <w:rPr>
          <w:rFonts w:cstheme="minorHAnsi"/>
        </w:rPr>
        <w:t>arm; each arm had &gt;20 000 participants</w:t>
      </w:r>
      <w:r w:rsidR="00713ED3" w:rsidRPr="004447F6">
        <w:rPr>
          <w:rFonts w:cstheme="minorHAnsi"/>
        </w:rPr>
        <w:t>)</w:t>
      </w:r>
      <w:r w:rsidR="00915BA7" w:rsidRPr="004447F6">
        <w:rPr>
          <w:rFonts w:cstheme="minorHAnsi"/>
        </w:rPr>
        <w:t xml:space="preserve"> </w:t>
      </w:r>
      <w:r w:rsidR="00BB73C9" w:rsidRPr="004447F6">
        <w:rPr>
          <w:rFonts w:cstheme="minorHAnsi"/>
        </w:rPr>
        <w:fldChar w:fldCharType="begin" w:fldLock="1"/>
      </w:r>
      <w:r w:rsidR="00CB023D" w:rsidRPr="004447F6">
        <w:rPr>
          <w:rFonts w:cstheme="minorHAnsi"/>
        </w:rPr>
        <w:instrText>ADDIN CSL_CITATION {"citationItems":[{"id":"ITEM-1","itemData":{"DOI":"10.1056/nejmoa2034577","ISSN":"0028-4793","PMID":"33301246","abstract":"BACKGROUND Severe acute respiratory syndrome coronavirus 2 (SARS-CoV-2) infection and the resulting coronavirus disease 2019 (Covid-19) have afflicted tens of millions of people in a worldwide pandemic. Safe and effective vaccines are needed urgently. METHODS In an ongoing multinational, placebo-controlled, observer-blinded, pivotal efficacy trial, we randomly assigned persons 16 years of age or older in a 1:1 ratio to receive two doses, 21 days apart, of either placebo or the BNT162b2 vaccine candidate (30 μg per dose). BNT162b2 is a lipid nanoparticle-formulated, nucleoside-modified RNA vaccine that encodes a prefusion stabilized, membrane-anchored SARS-CoV-2 full-length spike protein. The primary end points were efficacy of the vaccine against laboratory-confirmed Covid-19 and safety. RESULTS A total of 43,548 participants underwent randomization, of whom 43,448 received injections: 21,720 with BNT162b2 and 21,728 with placebo. There were 8 cases of Covid-19 with onset at least 7 days after the second dose among participants assigned to receive BNT162b2 and 162 cases among those assigned to placebo; BNT162b2 was 95% effective in preventing Covid-19 (95% credible interval, 90.3 to 97.6). Similar vaccine efficacy (generally 90 to 100%) was observed across subgroups defined by age, sex, race, ethnicity, baseline body-mass index, and the presence of coexisting conditions. Among 10 cases of severe Covid-19 with onset after the first dose, 9 occurred in placebo recipients and 1 in a BNT162b2 recipient. The safety profile of BNT162b2 was characterized by short-term, mild-to-moderate pain at the injection site, fatigue, and headache. The incidence of serious adverse events was low and was similar in the vaccine and placebo groups. CONCLUSIONS A two-dose regimen of BNT162b2 conferred 95% protection against Covid-19 in persons 16 years of age or older. Safety over a median of 2 months was similar to that of other viral vaccines. (Funded by BioNTech and Pfizer; ClinicalTrials.gov number, NCT04368728.).","author":[{"dropping-particle":"","family":"Polack","given":"Fernando P.","non-dropping-particle":"","parse-names":false,"suffix":""},{"dropping-particle":"","family":"Thomas","given":"Stephen J.","non-dropping-particle":"","parse-names":false,"suffix":""},{"dropping-particle":"","family":"Kitchin","given":"Nicholas","non-dropping-particle":"","parse-names":false,"suffix":""},{"dropping-particle":"","family":"Absalon","given":"Judith","non-dropping-particle":"","parse-names":false,"suffix":""},{"dropping-particle":"","family":"Gurtman","given":"Alejandra","non-dropping-particle":"","parse-names":false,"suffix":""},{"dropping-particle":"","family":"Lockhart","given":"Stephen","non-dropping-particle":"","parse-names":false,"suffix":""},{"dropping-particle":"","family":"Perez","given":"John L.","non-dropping-particle":"","parse-names":false,"suffix":""},{"dropping-particle":"","family":"Pérez Marc","given":"Gonzalo","non-dropping-particle":"","parse-names":false,"suffix":""},{"dropping-particle":"","family":"Moreira","given":"Edson D.","non-dropping-particle":"","parse-names":false,"suffix":""},{"dropping-particle":"","family":"Zerbini","given":"Cristiano","non-dropping-particle":"","parse-names":false,"suffix":""},{"dropping-particle":"","family":"Bailey","given":"Ruth","non-dropping-particle":"","parse-names":false,"suffix":""},{"dropping-particle":"","family":"Swanson","given":"Kena A.","non-dropping-particle":"","parse-names":false,"suffix":""},{"dropping-particle":"","family":"Roychoudhury","given":"Satrajit","non-dropping-particle":"","parse-names":false,"suffix":""},{"dropping-particle":"","family":"Koury","given":"Kenneth","non-dropping-particle":"","parse-names":false,"suffix":""},{"dropping-particle":"","family":"Li","given":"Ping","non-dropping-particle":"","parse-names":false,"suffix":""},{"dropping-particle":"V.","family":"Kalina","given":"Warren","non-dropping-particle":"","parse-names":false,"suffix":""},{"dropping-particle":"","family":"Cooper","given":"David","non-dropping-particle":"","parse-names":false,"suffix":""},{"dropping-particle":"","family":"Frenck","given":"Robert W.","non-dropping-particle":"","parse-names":false,"suffix":""},{"dropping-particle":"","family":"Hammitt","given":"Laura L.","non-dropping-particle":"","parse-names":false,"suffix":""},{"dropping-particle":"","family":"Türeci","given":"Özlem","non-dropping-particle":"","parse-names":false,"suffix":""},{"dropping-particle":"","family":"Nell","given":"Haylene","non-dropping-particle":"","parse-names":false,"suffix":""},{"dropping-particle":"","family":"Schaefer","given":"Axel","non-dropping-particle":"","parse-names":false,"suffix":""},{"dropping-particle":"","family":"Ünal","given":"Serhat","non-dropping-particle":"","parse-names":false,"suffix":""},{"dropping-particle":"","family":"Tresnan","given":"Dina B.","non-dropping-particle":"","parse-names":false,"suffix":""},{"dropping-particle":"","family":"Mather","given":"Susan","non-dropping-particle":"","parse-names":false,"suffix":""},{"dropping-particle":"","family":"Dormitzer","given":"Philip R.","non-dropping-particle":"","parse-names":false,"suffix":""},{"dropping-particle":"","family":"Şahin","given":"Uğur","non-dropping-particle":"","parse-names":false,"suffix":""},{"dropping-particle":"","family":"Jansen","given":"Kathrin U.","non-dropping-particle":"","parse-names":false,"suffix":""},{"dropping-particle":"","family":"Gruber","given":"William C.","non-dropping-particle":"","parse-names":false,"suffix":""}],"container-title":"New England Journal of Medicine","id":"ITEM-1","issue":"27","issued":{"date-parts":[["2020"]]},"page":"2603-2615","title":"Safety and Efficacy of the BNT162b2 mRNA Covid-19 Vaccine","type":"article-journal","volume":"383"},"uris":["http://www.mendeley.com/documents/?uuid=651caaf4-473d-4566-ad41-b16771c6e2dd"]}],"mendeley":{"formattedCitation":"(4)","plainTextFormattedCitation":"(4)","previouslyFormattedCitation":"(4)"},"properties":{"noteIndex":0},"schema":"https://github.com/citation-style-language/schema/raw/master/csl-citation.json"}</w:instrText>
      </w:r>
      <w:r w:rsidR="00BB73C9" w:rsidRPr="004447F6">
        <w:rPr>
          <w:rFonts w:cstheme="minorHAnsi"/>
        </w:rPr>
        <w:fldChar w:fldCharType="separate"/>
      </w:r>
      <w:r w:rsidR="00CB023D" w:rsidRPr="004447F6">
        <w:rPr>
          <w:rFonts w:cstheme="minorHAnsi"/>
          <w:noProof/>
        </w:rPr>
        <w:t>(4)</w:t>
      </w:r>
      <w:r w:rsidR="00BB73C9" w:rsidRPr="004447F6">
        <w:rPr>
          <w:rFonts w:cstheme="minorHAnsi"/>
        </w:rPr>
        <w:fldChar w:fldCharType="end"/>
      </w:r>
      <w:r w:rsidR="00BB73C9" w:rsidRPr="004447F6">
        <w:rPr>
          <w:rFonts w:cstheme="minorHAnsi"/>
        </w:rPr>
        <w:t xml:space="preserve"> and</w:t>
      </w:r>
      <w:r w:rsidRPr="004447F6">
        <w:rPr>
          <w:rFonts w:cstheme="minorHAnsi"/>
        </w:rPr>
        <w:t xml:space="preserve"> the</w:t>
      </w:r>
      <w:r w:rsidR="00BB73C9" w:rsidRPr="004447F6">
        <w:rPr>
          <w:rFonts w:cstheme="minorHAnsi"/>
        </w:rPr>
        <w:t xml:space="preserve"> </w:t>
      </w:r>
      <w:r w:rsidR="00653984" w:rsidRPr="004447F6">
        <w:rPr>
          <w:rFonts w:cstheme="minorHAnsi"/>
        </w:rPr>
        <w:t>mRNA-1273 (</w:t>
      </w:r>
      <w:r w:rsidR="00BB73C9" w:rsidRPr="004447F6">
        <w:rPr>
          <w:rFonts w:cstheme="minorHAnsi"/>
        </w:rPr>
        <w:t>Moderna</w:t>
      </w:r>
      <w:r w:rsidR="00653984" w:rsidRPr="004447F6">
        <w:rPr>
          <w:rFonts w:cstheme="minorHAnsi"/>
        </w:rPr>
        <w:t>)</w:t>
      </w:r>
      <w:r w:rsidR="00BB73C9" w:rsidRPr="004447F6">
        <w:rPr>
          <w:rFonts w:cstheme="minorHAnsi"/>
        </w:rPr>
        <w:t xml:space="preserve"> </w:t>
      </w:r>
      <w:r w:rsidR="00274C47" w:rsidRPr="004447F6">
        <w:rPr>
          <w:rFonts w:cstheme="minorHAnsi"/>
        </w:rPr>
        <w:t>trial</w:t>
      </w:r>
      <w:r w:rsidR="00BB73C9" w:rsidRPr="004447F6">
        <w:rPr>
          <w:rFonts w:cstheme="minorHAnsi"/>
        </w:rPr>
        <w:t xml:space="preserve"> (3</w:t>
      </w:r>
      <w:r w:rsidR="00284E19" w:rsidRPr="004447F6">
        <w:rPr>
          <w:rFonts w:cstheme="minorHAnsi"/>
        </w:rPr>
        <w:t xml:space="preserve"> </w:t>
      </w:r>
      <w:r w:rsidR="00BB73C9" w:rsidRPr="004447F6">
        <w:rPr>
          <w:rFonts w:cstheme="minorHAnsi"/>
        </w:rPr>
        <w:t xml:space="preserve">in </w:t>
      </w:r>
      <w:r w:rsidR="00BF3BF3" w:rsidRPr="004447F6">
        <w:rPr>
          <w:rFonts w:cstheme="minorHAnsi"/>
        </w:rPr>
        <w:t xml:space="preserve">the </w:t>
      </w:r>
      <w:r w:rsidRPr="004447F6">
        <w:rPr>
          <w:rFonts w:cstheme="minorHAnsi"/>
        </w:rPr>
        <w:t xml:space="preserve">vaccine arm and </w:t>
      </w:r>
      <w:r w:rsidR="00312CFD" w:rsidRPr="004447F6">
        <w:rPr>
          <w:rFonts w:cstheme="minorHAnsi"/>
        </w:rPr>
        <w:t>one</w:t>
      </w:r>
      <w:r w:rsidR="00284E19" w:rsidRPr="004447F6">
        <w:rPr>
          <w:rFonts w:cstheme="minorHAnsi"/>
        </w:rPr>
        <w:t xml:space="preserve"> in </w:t>
      </w:r>
      <w:r w:rsidRPr="004447F6">
        <w:rPr>
          <w:rFonts w:cstheme="minorHAnsi"/>
        </w:rPr>
        <w:t xml:space="preserve">the </w:t>
      </w:r>
      <w:r w:rsidR="00BB73C9" w:rsidRPr="004447F6">
        <w:rPr>
          <w:rFonts w:cstheme="minorHAnsi"/>
        </w:rPr>
        <w:t>placebo</w:t>
      </w:r>
      <w:r w:rsidRPr="004447F6">
        <w:rPr>
          <w:rFonts w:cstheme="minorHAnsi"/>
        </w:rPr>
        <w:t xml:space="preserve"> arm; each arm had &gt;15 000 participants)</w:t>
      </w:r>
      <w:r w:rsidR="00915BA7" w:rsidRPr="004447F6">
        <w:rPr>
          <w:rFonts w:cstheme="minorHAnsi"/>
        </w:rPr>
        <w:t xml:space="preserve"> </w:t>
      </w:r>
      <w:r w:rsidR="00BB73C9" w:rsidRPr="004447F6">
        <w:rPr>
          <w:rFonts w:cstheme="minorHAnsi"/>
        </w:rPr>
        <w:fldChar w:fldCharType="begin" w:fldLock="1"/>
      </w:r>
      <w:r w:rsidR="00CB023D" w:rsidRPr="004447F6">
        <w:rPr>
          <w:rFonts w:cstheme="minorHAnsi"/>
        </w:rPr>
        <w:instrText>ADDIN CSL_CITATION {"citationItems":[{"id":"ITEM-1","itemData":{"DOI":"10.1056/nejmoa2035389","ISSN":"0028-4793","abstract":"Abstract Background Vaccines are needed to prevent coronavirus disease 2019 (Covid-19) and to protect persons who are at high risk for complications. The mRNA-1273 vaccine is a lipid nanoparticle–e...","author":[{"dropping-particle":"","family":"Baden","given":"Lindsey R.","non-dropping-particle":"","parse-names":false,"suffix":""},{"dropping-particle":"","family":"Sahly","given":"Hana M.","non-dropping-particle":"El","parse-names":false,"suffix":""},{"dropping-particle":"","family":"Essink","given":"Brandon","non-dropping-particle":"","parse-names":false,"suffix":""},{"dropping-particle":"","family":"Kotloff","given":"Karen","non-dropping-particle":"","parse-names":false,"suffix":""},{"dropping-particle":"","family":"Frey","given":"Sharon","non-dropping-particle":"","parse-names":false,"suffix":""},{"dropping-particle":"","family":"Novak","given":"Rick","non-dropping-particle":"","parse-names":false,"suffix":""},{"dropping-particle":"","family":"Diemert","given":"David","non-dropping-particle":"","parse-names":false,"suffix":""},{"dropping-particle":"","family":"Spector","given":"Stephen A.","non-dropping-particle":"","parse-names":false,"suffix":""},{"dropping-particle":"","family":"Rouphael","given":"Nadine","non-dropping-particle":"","parse-names":false,"suffix":""},{"dropping-particle":"","family":"Creech","given":"C. Buddy","non-dropping-particle":"","parse-names":false,"suffix":""},{"dropping-particle":"","family":"McGettigan","given":"John","non-dropping-particle":"","parse-names":false,"suffix":""},{"dropping-particle":"","family":"Khetan","given":"Shishir","non-dropping-particle":"","parse-names":false,"suffix":""},{"dropping-particle":"","family":"Segall","given":"Nathan","non-dropping-particle":"","parse-names":false,"suffix":""},{"dropping-particle":"","family":"Solis","given":"Joel","non-dropping-particle":"","parse-names":false,"suffix":""},{"dropping-particle":"","family":"Brosz","given":"Adam","non-dropping-particle":"","parse-names":false,"suffix":""},{"dropping-particle":"","family":"Fierro","given":"Carlos","non-dropping-particle":"","parse-names":false,"suffix":""},{"dropping-particle":"","family":"Schwartz","given":"Howard","non-dropping-particle":"","parse-names":false,"suffix":""},{"dropping-particle":"","family":"Neuzil","given":"Kathleen","non-dropping-particle":"","parse-names":false,"suffix":""},{"dropping-particle":"","family":"Corey","given":"Larry","non-dropping-particle":"","parse-names":false,"suffix":""},{"dropping-particle":"","family":"Gilbert","given":"Peter","non-dropping-particle":"","parse-names":false,"suffix":""},{"dropping-particle":"","family":"Janes","given":"Holly","non-dropping-particle":"","parse-names":false,"suffix":""},{"dropping-particle":"","family":"Follmann","given":"Dean","non-dropping-particle":"","parse-names":false,"suffix":""},{"dropping-particle":"","family":"Marovich","given":"Mary","non-dropping-particle":"","parse-names":false,"suffix":""},{"dropping-particle":"","family":"Mascola","given":"John","non-dropping-particle":"","parse-names":false,"suffix":""},{"dropping-particle":"","family":"Polakowski","given":"Laura","non-dropping-particle":"","parse-names":false,"suffix":""},{"dropping-particle":"","family":"Ledgerwood","given":"Julie","non-dropping-particle":"","parse-names":false,"suffix":""},{"dropping-particle":"","family":"Graham","given":"Barney S.","non-dropping-particle":"","parse-names":false,"suffix":""},{"dropping-particle":"","family":"Bennett","given":"Hamilton","non-dropping-particle":"","parse-names":false,"suffix":""},{"dropping-particle":"","family":"Pajon","given":"Rolando","non-dropping-particle":"","parse-names":false,"suffix":""},{"dropping-particle":"","family":"Knightly","given":"Conor","non-dropping-particle":"","parse-names":false,"suffix":""},{"dropping-particle":"","family":"Leav","given":"Brett","non-dropping-particle":"","parse-names":false,"suffix":""},{"dropping-particle":"","family":"Deng","given":"Weiping","non-dropping-particle":"","parse-names":false,"suffix":""},{"dropping-particle":"","family":"Zhou","given":"Honghong","non-dropping-particle":"","parse-names":false,"suffix":""},{"dropping-particle":"","family":"Han","given":"Shu","non-dropping-particle":"","parse-names":false,"suffix":""},{"dropping-particle":"","family":"Ivarsson","given":"Melanie","non-dropping-particle":"","parse-names":false,"suffix":""},{"dropping-particle":"","family":"Miller","given":"Jacqueline","non-dropping-particle":"","parse-names":false,"suffix":""},{"dropping-particle":"","family":"Zaks","given":"Tal","non-dropping-particle":"","parse-names":false,"suffix":""}],"container-title":"New England Journal of Medicine","id":"ITEM-1","issue":"5","issued":{"date-parts":[["2021"]]},"page":"403-416","title":"Efficacy and Safety of the mRNA-1273 SARS-CoV-2 Vaccine","type":"article-journal","volume":"384"},"uris":["http://www.mendeley.com/documents/?uuid=a8569e30-1150-4e29-94c0-e369fa1971a1"]}],"mendeley":{"formattedCitation":"(5)","plainTextFormattedCitation":"(5)","previouslyFormattedCitation":"(5)"},"properties":{"noteIndex":0},"schema":"https://github.com/citation-style-language/schema/raw/master/csl-citation.json"}</w:instrText>
      </w:r>
      <w:r w:rsidR="00BB73C9" w:rsidRPr="004447F6">
        <w:rPr>
          <w:rFonts w:cstheme="minorHAnsi"/>
        </w:rPr>
        <w:fldChar w:fldCharType="separate"/>
      </w:r>
      <w:r w:rsidR="00CB023D" w:rsidRPr="004447F6">
        <w:rPr>
          <w:rFonts w:cstheme="minorHAnsi"/>
          <w:noProof/>
        </w:rPr>
        <w:t>(5)</w:t>
      </w:r>
      <w:r w:rsidR="00BB73C9" w:rsidRPr="004447F6">
        <w:rPr>
          <w:rFonts w:cstheme="minorHAnsi"/>
        </w:rPr>
        <w:fldChar w:fldCharType="end"/>
      </w:r>
      <w:r w:rsidR="00915BA7" w:rsidRPr="004447F6">
        <w:rPr>
          <w:rFonts w:cstheme="minorHAnsi"/>
        </w:rPr>
        <w:t>.</w:t>
      </w:r>
      <w:r w:rsidR="00741083" w:rsidRPr="004447F6">
        <w:rPr>
          <w:rFonts w:cstheme="minorHAnsi"/>
        </w:rPr>
        <w:t xml:space="preserve"> </w:t>
      </w:r>
      <w:r w:rsidRPr="004447F6">
        <w:rPr>
          <w:rFonts w:cstheme="minorHAnsi"/>
        </w:rPr>
        <w:t xml:space="preserve">Despite uneven distribution in the </w:t>
      </w:r>
      <w:r w:rsidR="00E70A26" w:rsidRPr="004447F6">
        <w:rPr>
          <w:rFonts w:cstheme="minorHAnsi"/>
        </w:rPr>
        <w:t>vaccine versus placebo</w:t>
      </w:r>
      <w:r w:rsidRPr="004447F6">
        <w:rPr>
          <w:rFonts w:cstheme="minorHAnsi"/>
        </w:rPr>
        <w:t xml:space="preserve"> arms, such numbers were </w:t>
      </w:r>
      <w:r w:rsidR="00DC4263" w:rsidRPr="004447F6">
        <w:rPr>
          <w:rFonts w:cstheme="minorHAnsi"/>
        </w:rPr>
        <w:t>in keeping with the expected rates based on the</w:t>
      </w:r>
      <w:r w:rsidR="00AF1D33" w:rsidRPr="004447F6">
        <w:rPr>
          <w:rFonts w:cstheme="minorHAnsi"/>
        </w:rPr>
        <w:t xml:space="preserve"> </w:t>
      </w:r>
      <w:r w:rsidR="001233F4" w:rsidRPr="004447F6">
        <w:rPr>
          <w:rFonts w:cstheme="minorHAnsi"/>
        </w:rPr>
        <w:t>baseline prevalence of Bell</w:t>
      </w:r>
      <w:r w:rsidR="007C4E92" w:rsidRPr="004447F6">
        <w:rPr>
          <w:rFonts w:cstheme="minorHAnsi"/>
        </w:rPr>
        <w:t>’</w:t>
      </w:r>
      <w:r w:rsidR="001233F4" w:rsidRPr="004447F6">
        <w:rPr>
          <w:rFonts w:cstheme="minorHAnsi"/>
        </w:rPr>
        <w:t>s palsy (</w:t>
      </w:r>
      <w:r w:rsidR="00B54B2D" w:rsidRPr="004447F6">
        <w:rPr>
          <w:rFonts w:cstheme="minorHAnsi"/>
        </w:rPr>
        <w:t>20</w:t>
      </w:r>
      <w:r w:rsidR="001233F4" w:rsidRPr="004447F6">
        <w:rPr>
          <w:rFonts w:cstheme="minorHAnsi"/>
        </w:rPr>
        <w:t>-40/100,000</w:t>
      </w:r>
      <w:r w:rsidR="00B54B2D" w:rsidRPr="004447F6">
        <w:rPr>
          <w:rFonts w:cstheme="minorHAnsi"/>
        </w:rPr>
        <w:t xml:space="preserve"> annually</w:t>
      </w:r>
      <w:r w:rsidR="001233F4" w:rsidRPr="004447F6">
        <w:rPr>
          <w:rFonts w:cstheme="minorHAnsi"/>
        </w:rPr>
        <w:t>)</w:t>
      </w:r>
      <w:r w:rsidR="00915BA7" w:rsidRPr="004447F6">
        <w:rPr>
          <w:rFonts w:cstheme="minorHAnsi"/>
        </w:rPr>
        <w:t xml:space="preserve"> </w:t>
      </w:r>
      <w:r w:rsidR="00647C8C" w:rsidRPr="004447F6">
        <w:rPr>
          <w:rFonts w:cstheme="minorHAnsi"/>
        </w:rPr>
        <w:fldChar w:fldCharType="begin" w:fldLock="1"/>
      </w:r>
      <w:r w:rsidR="00DB0E82" w:rsidRPr="004447F6">
        <w:rPr>
          <w:rFonts w:cstheme="minorHAnsi"/>
        </w:rPr>
        <w:instrText>ADDIN CSL_CITATION {"citationItems":[{"id":"ITEM-1","itemData":{"DOI":"10.1046/j.1468-1331.2002.00343.x","ISSN":"13515101","PMID":"11784378","abstract":"The study consisted of a survey of all new cases of Bell's palsy occurring between 1992 and 1996 in practices contributing data to the UK General Practice Research Database (GPRD). Data were extracted on age, sex, date of episode of Bell's palsy, household number, episodes of herpes simplex, treatment prescribed and referral to relevant hospital departments. A total of 2473 cases of Bell's palsy were identified. The overall incidence for the study period was 20.2 per 100 000 person years of follow-up (95% CI 19.4-21.0). Incidence increased with age. There was no difference in incidence according to sex or season but there were significant changes over time: incidence was higher in the first year of the study period than in subsequent years. There was no clustering of cases in households and no evidence of any tendency for herpes simplex infections to precede Bell's palsy. About 36% of cases were treated with oral steroids and 19% of episodes resulted in hospital referral. In conclusion, Bell's palsy is seen mainly in a primary care setting. The majority of cases are treated expectantly without drugs. Lack of household clustering and lack of a tendency of herpes simplex infections to precede Bell's palsy do not support a viral aetiology.","author":[{"dropping-particle":"","family":"Rowlands","given":"S.","non-dropping-particle":"","parse-names":false,"suffix":""},{"dropping-particle":"","family":"Hooper","given":"R.","non-dropping-particle":"","parse-names":false,"suffix":""},{"dropping-particle":"","family":"Hughes","given":"R.","non-dropping-particle":"","parse-names":false,"suffix":""},{"dropping-particle":"","family":"Burney","given":"P.","non-dropping-particle":"","parse-names":false,"suffix":""}],"container-title":"European Journal of Neurology","id":"ITEM-1","issue":"1","issued":{"date-parts":[["2002"]]},"page":"63-67","title":"The epidemiology and treatment of Bell's palsy in the UK","type":"article-journal","volume":"9"},"uris":["http://www.mendeley.com/documents/?uuid=8fa9797e-175b-44c6-80ef-fecd28299e3f"]}],"mendeley":{"formattedCitation":"(33)","plainTextFormattedCitation":"(33)","previouslyFormattedCitation":"(33)"},"properties":{"noteIndex":0},"schema":"https://github.com/citation-style-language/schema/raw/master/csl-citation.json"}</w:instrText>
      </w:r>
      <w:r w:rsidR="00647C8C" w:rsidRPr="004447F6">
        <w:rPr>
          <w:rFonts w:cstheme="minorHAnsi"/>
        </w:rPr>
        <w:fldChar w:fldCharType="separate"/>
      </w:r>
      <w:r w:rsidR="00632A99" w:rsidRPr="004447F6">
        <w:rPr>
          <w:rFonts w:cstheme="minorHAnsi"/>
          <w:noProof/>
        </w:rPr>
        <w:t>(33)</w:t>
      </w:r>
      <w:r w:rsidR="00647C8C" w:rsidRPr="004447F6">
        <w:rPr>
          <w:rFonts w:cstheme="minorHAnsi"/>
        </w:rPr>
        <w:fldChar w:fldCharType="end"/>
      </w:r>
      <w:r w:rsidR="00915BA7" w:rsidRPr="004447F6">
        <w:rPr>
          <w:rFonts w:cstheme="minorHAnsi"/>
        </w:rPr>
        <w:t>.</w:t>
      </w:r>
      <w:r w:rsidR="00615E23" w:rsidRPr="004447F6">
        <w:rPr>
          <w:rFonts w:cstheme="minorHAnsi"/>
        </w:rPr>
        <w:t xml:space="preserve"> </w:t>
      </w:r>
      <w:r w:rsidRPr="004447F6">
        <w:rPr>
          <w:rFonts w:cstheme="minorHAnsi"/>
        </w:rPr>
        <w:t>A</w:t>
      </w:r>
      <w:r w:rsidR="00B84131" w:rsidRPr="004447F6">
        <w:rPr>
          <w:rFonts w:cstheme="minorHAnsi"/>
        </w:rPr>
        <w:t>side</w:t>
      </w:r>
      <w:r w:rsidRPr="004447F6">
        <w:rPr>
          <w:rFonts w:cstheme="minorHAnsi"/>
        </w:rPr>
        <w:t xml:space="preserve"> from this</w:t>
      </w:r>
      <w:r w:rsidR="00CB023D" w:rsidRPr="004447F6">
        <w:rPr>
          <w:rFonts w:cstheme="minorHAnsi"/>
        </w:rPr>
        <w:t xml:space="preserve">, the </w:t>
      </w:r>
      <w:r w:rsidR="00653984" w:rsidRPr="004447F6">
        <w:rPr>
          <w:rFonts w:cstheme="minorHAnsi"/>
        </w:rPr>
        <w:t>BNT162b2</w:t>
      </w:r>
      <w:r w:rsidR="00B07F57" w:rsidRPr="004447F6">
        <w:rPr>
          <w:rFonts w:cstheme="minorHAnsi"/>
        </w:rPr>
        <w:t xml:space="preserve"> and mRNA-1237 trial</w:t>
      </w:r>
      <w:r w:rsidR="00CB023D" w:rsidRPr="004447F6">
        <w:rPr>
          <w:rFonts w:cstheme="minorHAnsi"/>
        </w:rPr>
        <w:t>s</w:t>
      </w:r>
      <w:r w:rsidR="00653984" w:rsidRPr="004447F6">
        <w:rPr>
          <w:rFonts w:cstheme="minorHAnsi"/>
        </w:rPr>
        <w:t xml:space="preserve"> </w:t>
      </w:r>
      <w:r w:rsidR="00615E23" w:rsidRPr="004447F6">
        <w:rPr>
          <w:rFonts w:cstheme="minorHAnsi"/>
        </w:rPr>
        <w:t>reported no other notable patterns between treatment groups for other neurologic</w:t>
      </w:r>
      <w:r w:rsidR="00E70A26" w:rsidRPr="004447F6">
        <w:rPr>
          <w:rFonts w:cstheme="minorHAnsi"/>
        </w:rPr>
        <w:t>al</w:t>
      </w:r>
      <w:r w:rsidR="00615E23" w:rsidRPr="004447F6">
        <w:rPr>
          <w:rFonts w:cstheme="minorHAnsi"/>
        </w:rPr>
        <w:t xml:space="preserve"> or neuroinflammatory events</w:t>
      </w:r>
      <w:r w:rsidR="00330E89" w:rsidRPr="004447F6">
        <w:rPr>
          <w:rFonts w:cstheme="minorHAnsi"/>
        </w:rPr>
        <w:t xml:space="preserve"> </w:t>
      </w:r>
      <w:r w:rsidR="00330E89" w:rsidRPr="004447F6">
        <w:rPr>
          <w:rFonts w:cstheme="minorHAnsi"/>
        </w:rPr>
        <w:fldChar w:fldCharType="begin" w:fldLock="1"/>
      </w:r>
      <w:r w:rsidR="00CB023D" w:rsidRPr="004447F6">
        <w:rPr>
          <w:rFonts w:cstheme="minorHAnsi"/>
        </w:rPr>
        <w:instrText>ADDIN CSL_CITATION {"citationItems":[{"id":"ITEM-1","itemData":{"DOI":"10.1056/nejmoa2034577","ISSN":"0028-4793","PMID":"33301246","abstract":"BACKGROUND Severe acute respiratory syndrome coronavirus 2 (SARS-CoV-2) infection and the resulting coronavirus disease 2019 (Covid-19) have afflicted tens of millions of people in a worldwide pandemic. Safe and effective vaccines are needed urgently. METHODS In an ongoing multinational, placebo-controlled, observer-blinded, pivotal efficacy trial, we randomly assigned persons 16 years of age or older in a 1:1 ratio to receive two doses, 21 days apart, of either placebo or the BNT162b2 vaccine candidate (30 μg per dose). BNT162b2 is a lipid nanoparticle-formulated, nucleoside-modified RNA vaccine that encodes a prefusion stabilized, membrane-anchored SARS-CoV-2 full-length spike protein. The primary end points were efficacy of the vaccine against laboratory-confirmed Covid-19 and safety. RESULTS A total of 43,548 participants underwent randomization, of whom 43,448 received injections: 21,720 with BNT162b2 and 21,728 with placebo. There were 8 cases of Covid-19 with onset at least 7 days after the second dose among participants assigned to receive BNT162b2 and 162 cases among those assigned to placebo; BNT162b2 was 95% effective in preventing Covid-19 (95% credible interval, 90.3 to 97.6). Similar vaccine efficacy (generally 90 to 100%) was observed across subgroups defined by age, sex, race, ethnicity, baseline body-mass index, and the presence of coexisting conditions. Among 10 cases of severe Covid-19 with onset after the first dose, 9 occurred in placebo recipients and 1 in a BNT162b2 recipient. The safety profile of BNT162b2 was characterized by short-term, mild-to-moderate pain at the injection site, fatigue, and headache. The incidence of serious adverse events was low and was similar in the vaccine and placebo groups. CONCLUSIONS A two-dose regimen of BNT162b2 conferred 95% protection against Covid-19 in persons 16 years of age or older. Safety over a median of 2 months was similar to that of other viral vaccines. (Funded by BioNTech and Pfizer; ClinicalTrials.gov number, NCT04368728.).","author":[{"dropping-particle":"","family":"Polack","given":"Fernando P.","non-dropping-particle":"","parse-names":false,"suffix":""},{"dropping-particle":"","family":"Thomas","given":"Stephen J.","non-dropping-particle":"","parse-names":false,"suffix":""},{"dropping-particle":"","family":"Kitchin","given":"Nicholas","non-dropping-particle":"","parse-names":false,"suffix":""},{"dropping-particle":"","family":"Absalon","given":"Judith","non-dropping-particle":"","parse-names":false,"suffix":""},{"dropping-particle":"","family":"Gurtman","given":"Alejandra","non-dropping-particle":"","parse-names":false,"suffix":""},{"dropping-particle":"","family":"Lockhart","given":"Stephen","non-dropping-particle":"","parse-names":false,"suffix":""},{"dropping-particle":"","family":"Perez","given":"John L.","non-dropping-particle":"","parse-names":false,"suffix":""},{"dropping-particle":"","family":"Pérez Marc","given":"Gonzalo","non-dropping-particle":"","parse-names":false,"suffix":""},{"dropping-particle":"","family":"Moreira","given":"Edson D.","non-dropping-particle":"","parse-names":false,"suffix":""},{"dropping-particle":"","family":"Zerbini","given":"Cristiano","non-dropping-particle":"","parse-names":false,"suffix":""},{"dropping-particle":"","family":"Bailey","given":"Ruth","non-dropping-particle":"","parse-names":false,"suffix":""},{"dropping-particle":"","family":"Swanson","given":"Kena A.","non-dropping-particle":"","parse-names":false,"suffix":""},{"dropping-particle":"","family":"Roychoudhury","given":"Satrajit","non-dropping-particle":"","parse-names":false,"suffix":""},{"dropping-particle":"","family":"Koury","given":"Kenneth","non-dropping-particle":"","parse-names":false,"suffix":""},{"dropping-particle":"","family":"Li","given":"Ping","non-dropping-particle":"","parse-names":false,"suffix":""},{"dropping-particle":"V.","family":"Kalina","given":"Warren","non-dropping-particle":"","parse-names":false,"suffix":""},{"dropping-particle":"","family":"Cooper","given":"David","non-dropping-particle":"","parse-names":false,"suffix":""},{"dropping-particle":"","family":"Frenck","given":"Robert W.","non-dropping-particle":"","parse-names":false,"suffix":""},{"dropping-particle":"","family":"Hammitt","given":"Laura L.","non-dropping-particle":"","parse-names":false,"suffix":""},{"dropping-particle":"","family":"Türeci","given":"Özlem","non-dropping-particle":"","parse-names":false,"suffix":""},{"dropping-particle":"","family":"Nell","given":"Haylene","non-dropping-particle":"","parse-names":false,"suffix":""},{"dropping-particle":"","family":"Schaefer","given":"Axel","non-dropping-particle":"","parse-names":false,"suffix":""},{"dropping-particle":"","family":"Ünal","given":"Serhat","non-dropping-particle":"","parse-names":false,"suffix":""},{"dropping-particle":"","family":"Tresnan","given":"Dina B.","non-dropping-particle":"","parse-names":false,"suffix":""},{"dropping-particle":"","family":"Mather","given":"Susan","non-dropping-particle":"","parse-names":false,"suffix":""},{"dropping-particle":"","family":"Dormitzer","given":"Philip R.","non-dropping-particle":"","parse-names":false,"suffix":""},{"dropping-particle":"","family":"Şahin","given":"Uğur","non-dropping-particle":"","parse-names":false,"suffix":""},{"dropping-particle":"","family":"Jansen","given":"Kathrin U.","non-dropping-particle":"","parse-names":false,"suffix":""},{"dropping-particle":"","family":"Gruber","given":"William C.","non-dropping-particle":"","parse-names":false,"suffix":""}],"container-title":"New England Journal of Medicine","id":"ITEM-1","issue":"27","issued":{"date-parts":[["2020"]]},"page":"2603-2615","title":"Safety and Efficacy of the BNT162b2 mRNA Covid-19 Vaccine","type":"article-journal","volume":"383"},"uris":["http://www.mendeley.com/documents/?uuid=651caaf4-473d-4566-ad41-b16771c6e2dd"]},{"id":"ITEM-2","itemData":{"DOI":"10.1056/nejmoa2035389","ISSN":"0028-4793","abstract":"Abstract Background Vaccines are needed to prevent coronavirus disease 2019 (Covid-19) and to protect persons who are at high risk for complications. The mRNA-1273 vaccine is a lipid nanoparticle–e...","author":[{"dropping-particle":"","family":"Baden","given":"Lindsey R.","non-dropping-particle":"","parse-names":false,"suffix":""},{"dropping-particle":"","family":"Sahly","given":"Hana M.","non-dropping-particle":"El","parse-names":false,"suffix":""},{"dropping-particle":"","family":"Essink","given":"Brandon","non-dropping-particle":"","parse-names":false,"suffix":""},{"dropping-particle":"","family":"Kotloff","given":"Karen","non-dropping-particle":"","parse-names":false,"suffix":""},{"dropping-particle":"","family":"Frey","given":"Sharon","non-dropping-particle":"","parse-names":false,"suffix":""},{"dropping-particle":"","family":"Novak","given":"Rick","non-dropping-particle":"","parse-names":false,"suffix":""},{"dropping-particle":"","family":"Diemert","given":"David","non-dropping-particle":"","parse-names":false,"suffix":""},{"dropping-particle":"","family":"Spector","given":"Stephen A.","non-dropping-particle":"","parse-names":false,"suffix":""},{"dropping-particle":"","family":"Rouphael","given":"Nadine","non-dropping-particle":"","parse-names":false,"suffix":""},{"dropping-particle":"","family":"Creech","given":"C. Buddy","non-dropping-particle":"","parse-names":false,"suffix":""},{"dropping-particle":"","family":"McGettigan","given":"John","non-dropping-particle":"","parse-names":false,"suffix":""},{"dropping-particle":"","family":"Khetan","given":"Shishir","non-dropping-particle":"","parse-names":false,"suffix":""},{"dropping-particle":"","family":"Segall","given":"Nathan","non-dropping-particle":"","parse-names":false,"suffix":""},{"dropping-particle":"","family":"Solis","given":"Joel","non-dropping-particle":"","parse-names":false,"suffix":""},{"dropping-particle":"","family":"Brosz","given":"Adam","non-dropping-particle":"","parse-names":false,"suffix":""},{"dropping-particle":"","family":"Fierro","given":"Carlos","non-dropping-particle":"","parse-names":false,"suffix":""},{"dropping-particle":"","family":"Schwartz","given":"Howard","non-dropping-particle":"","parse-names":false,"suffix":""},{"dropping-particle":"","family":"Neuzil","given":"Kathleen","non-dropping-particle":"","parse-names":false,"suffix":""},{"dropping-particle":"","family":"Corey","given":"Larry","non-dropping-particle":"","parse-names":false,"suffix":""},{"dropping-particle":"","family":"Gilbert","given":"Peter","non-dropping-particle":"","parse-names":false,"suffix":""},{"dropping-particle":"","family":"Janes","given":"Holly","non-dropping-particle":"","parse-names":false,"suffix":""},{"dropping-particle":"","family":"Follmann","given":"Dean","non-dropping-particle":"","parse-names":false,"suffix":""},{"dropping-particle":"","family":"Marovich","given":"Mary","non-dropping-particle":"","parse-names":false,"suffix":""},{"dropping-particle":"","family":"Mascola","given":"John","non-dropping-particle":"","parse-names":false,"suffix":""},{"dropping-particle":"","family":"Polakowski","given":"Laura","non-dropping-particle":"","parse-names":false,"suffix":""},{"dropping-particle":"","family":"Ledgerwood","given":"Julie","non-dropping-particle":"","parse-names":false,"suffix":""},{"dropping-particle":"","family":"Graham","given":"Barney S.","non-dropping-particle":"","parse-names":false,"suffix":""},{"dropping-particle":"","family":"Bennett","given":"Hamilton","non-dropping-particle":"","parse-names":false,"suffix":""},{"dropping-particle":"","family":"Pajon","given":"Rolando","non-dropping-particle":"","parse-names":false,"suffix":""},{"dropping-particle":"","family":"Knightly","given":"Conor","non-dropping-particle":"","parse-names":false,"suffix":""},{"dropping-particle":"","family":"Leav","given":"Brett","non-dropping-particle":"","parse-names":false,"suffix":""},{"dropping-particle":"","family":"Deng","given":"Weiping","non-dropping-particle":"","parse-names":false,"suffix":""},{"dropping-particle":"","family":"Zhou","given":"Honghong","non-dropping-particle":"","parse-names":false,"suffix":""},{"dropping-particle":"","family":"Han","given":"Shu","non-dropping-particle":"","parse-names":false,"suffix":""},{"dropping-particle":"","family":"Ivarsson","given":"Melanie","non-dropping-particle":"","parse-names":false,"suffix":""},{"dropping-particle":"","family":"Miller","given":"Jacqueline","non-dropping-particle":"","parse-names":false,"suffix":""},{"dropping-particle":"","family":"Zaks","given":"Tal","non-dropping-particle":"","parse-names":false,"suffix":""}],"container-title":"New England Journal of Medicine","id":"ITEM-2","issue":"5","issued":{"date-parts":[["2021"]]},"page":"403-416","title":"Efficacy and Safety of the mRNA-1273 SARS-CoV-2 Vaccine","type":"article-journal","volume":"384"},"uris":["http://www.mendeley.com/documents/?uuid=a8569e30-1150-4e29-94c0-e369fa1971a1"]}],"mendeley":{"formattedCitation":"(4,5)","plainTextFormattedCitation":"(4,5)","previouslyFormattedCitation":"(4,5)"},"properties":{"noteIndex":0},"schema":"https://github.com/citation-style-language/schema/raw/master/csl-citation.json"}</w:instrText>
      </w:r>
      <w:r w:rsidR="00330E89" w:rsidRPr="004447F6">
        <w:rPr>
          <w:rFonts w:cstheme="minorHAnsi"/>
        </w:rPr>
        <w:fldChar w:fldCharType="separate"/>
      </w:r>
      <w:r w:rsidR="00CB023D" w:rsidRPr="004447F6">
        <w:rPr>
          <w:rFonts w:cstheme="minorHAnsi"/>
          <w:noProof/>
        </w:rPr>
        <w:t>(4,5)</w:t>
      </w:r>
      <w:r w:rsidR="00330E89" w:rsidRPr="004447F6">
        <w:rPr>
          <w:rFonts w:cstheme="minorHAnsi"/>
        </w:rPr>
        <w:fldChar w:fldCharType="end"/>
      </w:r>
      <w:r w:rsidR="00330E89" w:rsidRPr="004447F6">
        <w:rPr>
          <w:rFonts w:cstheme="minorHAnsi"/>
        </w:rPr>
        <w:t>.</w:t>
      </w:r>
    </w:p>
    <w:p w14:paraId="0D1EB07F" w14:textId="65E5C7B4" w:rsidR="007D693A" w:rsidRPr="004447F6" w:rsidRDefault="00DC4263" w:rsidP="007D693A">
      <w:pPr>
        <w:spacing w:line="360" w:lineRule="auto"/>
        <w:jc w:val="both"/>
        <w:rPr>
          <w:rFonts w:cstheme="minorHAnsi"/>
        </w:rPr>
      </w:pPr>
      <w:r w:rsidRPr="004447F6">
        <w:rPr>
          <w:rFonts w:cstheme="minorHAnsi"/>
        </w:rPr>
        <w:t>N</w:t>
      </w:r>
      <w:r w:rsidR="007D693A" w:rsidRPr="004447F6">
        <w:rPr>
          <w:rFonts w:cstheme="minorHAnsi"/>
        </w:rPr>
        <w:t xml:space="preserve">umerical imbalances </w:t>
      </w:r>
      <w:r w:rsidRPr="004447F6">
        <w:rPr>
          <w:rFonts w:cstheme="minorHAnsi"/>
        </w:rPr>
        <w:t xml:space="preserve">were </w:t>
      </w:r>
      <w:r w:rsidR="00E70A26" w:rsidRPr="004447F6">
        <w:rPr>
          <w:rFonts w:cstheme="minorHAnsi"/>
        </w:rPr>
        <w:t xml:space="preserve">also </w:t>
      </w:r>
      <w:r w:rsidRPr="004447F6">
        <w:rPr>
          <w:rFonts w:cstheme="minorHAnsi"/>
        </w:rPr>
        <w:t xml:space="preserve">reported </w:t>
      </w:r>
      <w:r w:rsidR="007D693A" w:rsidRPr="004447F6">
        <w:rPr>
          <w:rFonts w:cstheme="minorHAnsi"/>
        </w:rPr>
        <w:t>for some adverse neurological events in</w:t>
      </w:r>
      <w:r w:rsidR="00D765FD" w:rsidRPr="004447F6">
        <w:rPr>
          <w:rFonts w:cstheme="minorHAnsi"/>
        </w:rPr>
        <w:t xml:space="preserve"> the </w:t>
      </w:r>
      <w:r w:rsidRPr="004447F6">
        <w:rPr>
          <w:rFonts w:cstheme="minorHAnsi"/>
        </w:rPr>
        <w:t>phase III</w:t>
      </w:r>
      <w:r w:rsidR="00D765FD" w:rsidRPr="004447F6">
        <w:rPr>
          <w:rFonts w:cstheme="minorHAnsi"/>
        </w:rPr>
        <w:t xml:space="preserve"> </w:t>
      </w:r>
      <w:r w:rsidRPr="004447F6">
        <w:rPr>
          <w:rFonts w:cstheme="minorHAnsi"/>
        </w:rPr>
        <w:t>s</w:t>
      </w:r>
      <w:r w:rsidR="00D765FD" w:rsidRPr="004447F6">
        <w:rPr>
          <w:rFonts w:cstheme="minorHAnsi"/>
        </w:rPr>
        <w:t xml:space="preserve">tudy </w:t>
      </w:r>
      <w:r w:rsidRPr="004447F6">
        <w:rPr>
          <w:rFonts w:cstheme="minorHAnsi"/>
        </w:rPr>
        <w:t>of the Ad26.COV2.S</w:t>
      </w:r>
      <w:r w:rsidR="00D765FD" w:rsidRPr="004447F6">
        <w:rPr>
          <w:rFonts w:cstheme="minorHAnsi"/>
        </w:rPr>
        <w:t xml:space="preserve"> </w:t>
      </w:r>
      <w:r w:rsidR="00ED21E3" w:rsidRPr="004447F6">
        <w:rPr>
          <w:rFonts w:cstheme="minorHAnsi"/>
        </w:rPr>
        <w:t xml:space="preserve">(Johnson &amp; Johnson/Janssen) </w:t>
      </w:r>
      <w:r w:rsidR="00D765FD" w:rsidRPr="004447F6">
        <w:rPr>
          <w:rFonts w:cstheme="minorHAnsi"/>
        </w:rPr>
        <w:t xml:space="preserve">of </w:t>
      </w:r>
      <w:r w:rsidR="00E70A26" w:rsidRPr="004447F6">
        <w:rPr>
          <w:rFonts w:cstheme="minorHAnsi"/>
        </w:rPr>
        <w:t xml:space="preserve">over </w:t>
      </w:r>
      <w:r w:rsidR="00D765FD" w:rsidRPr="004447F6">
        <w:rPr>
          <w:rFonts w:cstheme="minorHAnsi"/>
        </w:rPr>
        <w:t>43</w:t>
      </w:r>
      <w:r w:rsidR="00B84131" w:rsidRPr="004447F6">
        <w:rPr>
          <w:rFonts w:cstheme="minorHAnsi"/>
        </w:rPr>
        <w:t>,</w:t>
      </w:r>
      <w:r w:rsidR="00E70A26" w:rsidRPr="004447F6">
        <w:rPr>
          <w:rFonts w:cstheme="minorHAnsi"/>
        </w:rPr>
        <w:t>000</w:t>
      </w:r>
      <w:r w:rsidR="00D765FD" w:rsidRPr="004447F6">
        <w:rPr>
          <w:rFonts w:cstheme="minorHAnsi"/>
        </w:rPr>
        <w:t xml:space="preserve"> individuals </w:t>
      </w:r>
      <w:r w:rsidR="00CD4C09" w:rsidRPr="004447F6">
        <w:rPr>
          <w:rFonts w:cstheme="minorHAnsi"/>
        </w:rPr>
        <w:t>(</w:t>
      </w:r>
      <w:r w:rsidR="00D765FD" w:rsidRPr="004447F6">
        <w:rPr>
          <w:rFonts w:cstheme="minorHAnsi"/>
        </w:rPr>
        <w:t xml:space="preserve">of whom </w:t>
      </w:r>
      <w:r w:rsidR="00E70A26" w:rsidRPr="004447F6">
        <w:rPr>
          <w:rFonts w:cstheme="minorHAnsi"/>
        </w:rPr>
        <w:t>&gt;</w:t>
      </w:r>
      <w:r w:rsidR="00D765FD" w:rsidRPr="004447F6">
        <w:rPr>
          <w:rFonts w:cstheme="minorHAnsi"/>
        </w:rPr>
        <w:t>21</w:t>
      </w:r>
      <w:r w:rsidR="00B84131" w:rsidRPr="004447F6">
        <w:rPr>
          <w:rFonts w:cstheme="minorHAnsi"/>
        </w:rPr>
        <w:t>,</w:t>
      </w:r>
      <w:r w:rsidR="00E70A26" w:rsidRPr="004447F6">
        <w:rPr>
          <w:rFonts w:cstheme="minorHAnsi"/>
        </w:rPr>
        <w:t>000</w:t>
      </w:r>
      <w:r w:rsidR="00D765FD" w:rsidRPr="004447F6">
        <w:rPr>
          <w:rFonts w:cstheme="minorHAnsi"/>
        </w:rPr>
        <w:t xml:space="preserve"> received the vaccine</w:t>
      </w:r>
      <w:r w:rsidR="00CD4C09" w:rsidRPr="004447F6">
        <w:rPr>
          <w:rFonts w:cstheme="minorHAnsi"/>
        </w:rPr>
        <w:t>)</w:t>
      </w:r>
      <w:r w:rsidR="00330E89" w:rsidRPr="004447F6">
        <w:rPr>
          <w:rFonts w:cstheme="minorHAnsi"/>
        </w:rPr>
        <w:t xml:space="preserve"> </w:t>
      </w:r>
      <w:r w:rsidR="00330E89" w:rsidRPr="004447F6">
        <w:rPr>
          <w:rFonts w:cstheme="minorHAnsi"/>
        </w:rPr>
        <w:fldChar w:fldCharType="begin" w:fldLock="1"/>
      </w:r>
      <w:r w:rsidR="00DB0E82" w:rsidRPr="004447F6">
        <w:rPr>
          <w:rFonts w:cstheme="minorHAnsi"/>
        </w:rPr>
        <w:instrText>ADDIN CSL_CITATION {"citationItems":[{"id":"ITEM-1","itemData":{"DOI":"10.1056/nejmoa2101544","ISSN":"0028-4793","PMID":"33882225","abstract":"BACKGROUND The Ad26.COV2.S vaccine is a recombinant, replication-incompetent human adenovirus type 26 vector encoding full-length severe acute respiratory syndrome coronavirus 2 (SARS-CoV-2) spike protein in a prefusion-stabilized conformation. METHODS In an international, randomized, double-blind, placebo-controlled, phase 3 trial, we randomly assigned adult participants in a 1:1 ratio to receive a single dose of Ad26.COV2.S (5×1010 viral particles) or placebo. The primary end points were vaccine efficacy against moderate to severe-critical coronavirus disease 2019 (Covid-19) with an onset at least 14 days and at least 28 days after administration among participants in the per-protocol population who had tested negative for SARS-CoV-2. Safety was also assessed. RESULTS The per-protocol population included 19,630 SARS-CoV-2-negative participants who received Ad26.COV2.S and 19,691 who received placebo. Ad26.COV2.S protected against moderate to severe-critical Covid-19 with onset at least 14 days after administration (116 cases in the vaccine group vs. 348 in the placebo group; efficacy, 66.9%; adjusted 95% confidence interval [CI], 59.0 to 73.4) and at least 28 days after administration (66 vs. 193 cases; efficacy, 66.1%; adjusted 95% CI, 55.0 to 74.8). Vaccine efficacy was higher against severe-critical Covid-19 (76.7% [adjusted 95% CI, 54.6 to 89.1] for onset at ≥14 days and 85.4% [adjusted 95% CI, 54.2 to 96.9] for onset at ≥28 days). Despite 86 of 91 cases (94.5%) in South Africa with sequenced virus having the 20H/501Y.V2 variant, vaccine efficacy was 52.0% and 64.0% against moderate to severe-critical Covid-19 with onset at least 14 days and at least 28 days after administration, respectively, and efficacy against severe-critical Covid-19 was 73.1% and 81.7%, respectively. Reactogenicity was higher with Ad26.COV2.S than with placebo but was generally mild to moderate and transient. The incidence of serious adverse events was balanced between the two groups. Three deaths occurred in the vaccine group (none were Covid-19-related), and 16 in the placebo group (5 were Covid-19-related). CONCLUSIONS A single dose of Ad26.COV2.S protected against symptomatic Covid-19 and asymptomatic SARS-CoV-2 infection and was effective against severe-critical disease, including hospitalization and death. Safety appeared to be similar to that in other phase 3 trials of Covid-19 vaccines. (Funded by Janssen Research and Development and others; ENSEMBLE ClinicalTrials.g…","author":[{"dropping-particle":"","family":"Sadoff","given":"Jerald","non-dropping-particle":"","parse-names":false,"suffix":""},{"dropping-particle":"","family":"Gray","given":"Glenda","non-dropping-particle":"","parse-names":false,"suffix":""},{"dropping-particle":"","family":"Vandebosch","given":"An","non-dropping-particle":"","parse-names":false,"suffix":""},{"dropping-particle":"","family":"Cárdenas","given":"Vicky","non-dropping-particle":"","parse-names":false,"suffix":""},{"dropping-particle":"","family":"Shukarev","given":"Georgi","non-dropping-particle":"","parse-names":false,"suffix":""},{"dropping-particle":"","family":"Grinsztejn","given":"Beatriz","non-dropping-particle":"","parse-names":false,"suffix":""},{"dropping-particle":"","family":"Goepfert","given":"Paul A.","non-dropping-particle":"","parse-names":false,"suffix":""},{"dropping-particle":"","family":"Truyers","given":"Carla","non-dropping-particle":"","parse-names":false,"suffix":""},{"dropping-particle":"","family":"Fennema","given":"Hein","non-dropping-particle":"","parse-names":false,"suffix":""},{"dropping-particle":"","family":"Spiessens","given":"Bart","non-dropping-particle":"","parse-names":false,"suffix":""},{"dropping-particle":"","family":"Offergeld","given":"Kim","non-dropping-particle":"","parse-names":false,"suffix":""},{"dropping-particle":"","family":"Scheper","given":"Gert","non-dropping-particle":"","parse-names":false,"suffix":""},{"dropping-particle":"","family":"Taylor","given":"Kimberly L.","non-dropping-particle":"","parse-names":false,"suffix":""},{"dropping-particle":"","family":"Robb","given":"Merlin L.","non-dropping-particle":"","parse-names":false,"suffix":""},{"dropping-particle":"","family":"Treanor","given":"John","non-dropping-particle":"","parse-names":false,"suffix":""},{"dropping-particle":"","family":"Barouch","given":"Dan H.","non-dropping-particle":"","parse-names":false,"suffix":""},{"dropping-particle":"","family":"Stoddard","given":"Jeffrey","non-dropping-particle":"","parse-names":false,"suffix":""},{"dropping-particle":"","family":"Ryser","given":"Martin F.","non-dropping-particle":"","parse-names":false,"suffix":""},{"dropping-particle":"","family":"Marovich","given":"Mary A.","non-dropping-particle":"","parse-names":false,"suffix":""},{"dropping-particle":"","family":"Neuzil","given":"Kathleen M.","non-dropping-particle":"","parse-names":false,"suffix":""},{"dropping-particle":"","family":"Corey","given":"Lawrence","non-dropping-particle":"","parse-names":false,"suffix":""},{"dropping-particle":"","family":"Cauwenberghs","given":"Nancy","non-dropping-particle":"","parse-names":false,"suffix":""},{"dropping-particle":"","family":"Tanner","given":"Tamzin","non-dropping-particle":"","parse-names":false,"suffix":""},{"dropping-particle":"","family":"Hardt","given":"Karin","non-dropping-particle":"","parse-names":false,"suffix":""},{"dropping-particle":"","family":"Ruiz-Guiñazú","given":"Javier","non-dropping-particle":"","parse-names":false,"suffix":""},{"dropping-particle":"","family":"Gars","given":"Mathieu","non-dropping-particle":"Le","parse-names":false,"suffix":""},{"dropping-particle":"","family":"Schuitemaker","given":"Hanneke","non-dropping-particle":"","parse-names":false,"suffix":""},{"dropping-particle":"","family":"Hoof","given":"Johan","non-dropping-particle":"Van","parse-names":false,"suffix":""},{"dropping-particle":"","family":"Struyf","given":"Frank","non-dropping-particle":"","parse-names":false,"suffix":""},{"dropping-particle":"","family":"Douoguih","given":"Macaya","non-dropping-particle":"","parse-names":false,"suffix":""}],"container-title":"New England Journal of Medicine","id":"ITEM-1","issued":{"date-parts":[["2021"]]},"title":"Safety and Efficacy of Single-Dose Ad26.COV2.S Vaccine against Covid-19","type":"article-journal"},"uris":["http://www.mendeley.com/documents/?uuid=58874b08-b3d3-4edf-8fa1-be237691e76b"]}],"mendeley":{"formattedCitation":"(34)","plainTextFormattedCitation":"(34)","previouslyFormattedCitation":"(34)"},"properties":{"noteIndex":0},"schema":"https://github.com/citation-style-language/schema/raw/master/csl-citation.json"}</w:instrText>
      </w:r>
      <w:r w:rsidR="00330E89" w:rsidRPr="004447F6">
        <w:rPr>
          <w:rFonts w:cstheme="minorHAnsi"/>
        </w:rPr>
        <w:fldChar w:fldCharType="separate"/>
      </w:r>
      <w:r w:rsidR="00632A99" w:rsidRPr="004447F6">
        <w:rPr>
          <w:rFonts w:cstheme="minorHAnsi"/>
          <w:noProof/>
        </w:rPr>
        <w:t>(34)</w:t>
      </w:r>
      <w:r w:rsidR="00330E89" w:rsidRPr="004447F6">
        <w:rPr>
          <w:rFonts w:cstheme="minorHAnsi"/>
        </w:rPr>
        <w:fldChar w:fldCharType="end"/>
      </w:r>
      <w:r w:rsidR="00330E89" w:rsidRPr="004447F6">
        <w:rPr>
          <w:rFonts w:cstheme="minorHAnsi"/>
        </w:rPr>
        <w:t>.</w:t>
      </w:r>
      <w:r w:rsidR="007D693A" w:rsidRPr="004447F6">
        <w:rPr>
          <w:rFonts w:cstheme="minorHAnsi"/>
        </w:rPr>
        <w:t xml:space="preserve"> </w:t>
      </w:r>
      <w:r w:rsidR="00D765FD" w:rsidRPr="004447F6">
        <w:rPr>
          <w:rFonts w:cstheme="minorHAnsi"/>
        </w:rPr>
        <w:t>In the vaccination group, there w</w:t>
      </w:r>
      <w:r w:rsidR="003B31F9" w:rsidRPr="004447F6">
        <w:rPr>
          <w:rFonts w:cstheme="minorHAnsi"/>
        </w:rPr>
        <w:t>ere</w:t>
      </w:r>
      <w:r w:rsidR="00D765FD" w:rsidRPr="004447F6">
        <w:rPr>
          <w:rFonts w:cstheme="minorHAnsi"/>
        </w:rPr>
        <w:t xml:space="preserve"> </w:t>
      </w:r>
      <w:r w:rsidR="008C4029" w:rsidRPr="004447F6">
        <w:rPr>
          <w:rFonts w:cstheme="minorHAnsi"/>
        </w:rPr>
        <w:t>four</w:t>
      </w:r>
      <w:r w:rsidR="003B31F9" w:rsidRPr="004447F6">
        <w:rPr>
          <w:rFonts w:cstheme="minorHAnsi"/>
        </w:rPr>
        <w:t xml:space="preserve"> events of seizures (</w:t>
      </w:r>
      <w:r w:rsidR="001F269E" w:rsidRPr="004447F6">
        <w:rPr>
          <w:rFonts w:cstheme="minorHAnsi"/>
        </w:rPr>
        <w:t>versus</w:t>
      </w:r>
      <w:r w:rsidR="003B31F9" w:rsidRPr="004447F6">
        <w:rPr>
          <w:rFonts w:cstheme="minorHAnsi"/>
        </w:rPr>
        <w:t xml:space="preserve"> </w:t>
      </w:r>
      <w:r w:rsidR="008C4029" w:rsidRPr="004447F6">
        <w:rPr>
          <w:rFonts w:cstheme="minorHAnsi"/>
        </w:rPr>
        <w:t>one</w:t>
      </w:r>
      <w:r w:rsidR="003B31F9" w:rsidRPr="004447F6">
        <w:rPr>
          <w:rFonts w:cstheme="minorHAnsi"/>
        </w:rPr>
        <w:t xml:space="preserve"> in placebo group</w:t>
      </w:r>
      <w:r w:rsidRPr="004447F6">
        <w:rPr>
          <w:rFonts w:cstheme="minorHAnsi"/>
        </w:rPr>
        <w:t>)</w:t>
      </w:r>
      <w:r w:rsidR="00330E89" w:rsidRPr="004447F6">
        <w:rPr>
          <w:rFonts w:cstheme="minorHAnsi"/>
        </w:rPr>
        <w:t xml:space="preserve"> </w:t>
      </w:r>
      <w:r w:rsidR="00D765FD" w:rsidRPr="004447F6">
        <w:rPr>
          <w:rFonts w:cstheme="minorHAnsi"/>
        </w:rPr>
        <w:t xml:space="preserve">and </w:t>
      </w:r>
      <w:r w:rsidR="008C4029" w:rsidRPr="004447F6">
        <w:rPr>
          <w:rFonts w:cstheme="minorHAnsi"/>
        </w:rPr>
        <w:t>six</w:t>
      </w:r>
      <w:r w:rsidR="00D765FD" w:rsidRPr="004447F6">
        <w:rPr>
          <w:rFonts w:cstheme="minorHAnsi"/>
        </w:rPr>
        <w:t xml:space="preserve"> events of tinnitus (v</w:t>
      </w:r>
      <w:r w:rsidR="001F269E" w:rsidRPr="004447F6">
        <w:rPr>
          <w:rFonts w:cstheme="minorHAnsi"/>
        </w:rPr>
        <w:t>ersus</w:t>
      </w:r>
      <w:r w:rsidR="00D765FD" w:rsidRPr="004447F6">
        <w:rPr>
          <w:rFonts w:cstheme="minorHAnsi"/>
        </w:rPr>
        <w:t xml:space="preserve"> 0)</w:t>
      </w:r>
      <w:r w:rsidR="00915BA7" w:rsidRPr="004447F6">
        <w:rPr>
          <w:rFonts w:cstheme="minorHAnsi"/>
        </w:rPr>
        <w:t>.</w:t>
      </w:r>
      <w:r w:rsidR="00D765FD" w:rsidRPr="004447F6">
        <w:rPr>
          <w:rFonts w:cstheme="minorHAnsi"/>
        </w:rPr>
        <w:t xml:space="preserve"> </w:t>
      </w:r>
      <w:r w:rsidR="00ED21E3" w:rsidRPr="004447F6">
        <w:rPr>
          <w:rFonts w:cstheme="minorHAnsi"/>
        </w:rPr>
        <w:t xml:space="preserve">One case of GBS was also seen in the vaccine arm. </w:t>
      </w:r>
      <w:r w:rsidRPr="004447F6">
        <w:rPr>
          <w:rFonts w:cstheme="minorHAnsi"/>
        </w:rPr>
        <w:t>There were also eleven thromboembolic events in the vaccine arm</w:t>
      </w:r>
      <w:r w:rsidR="00ED21E3" w:rsidRPr="004447F6">
        <w:rPr>
          <w:rFonts w:cstheme="minorHAnsi"/>
        </w:rPr>
        <w:t xml:space="preserve"> (compared with three in the placebo group)</w:t>
      </w:r>
      <w:r w:rsidRPr="004447F6">
        <w:rPr>
          <w:rFonts w:cstheme="minorHAnsi"/>
        </w:rPr>
        <w:t>, including one case of cerebral venous sinus thrombosis</w:t>
      </w:r>
      <w:r w:rsidR="00ED21E3" w:rsidRPr="004447F6">
        <w:rPr>
          <w:rFonts w:cstheme="minorHAnsi"/>
        </w:rPr>
        <w:t xml:space="preserve"> with cerebral haemorrhage</w:t>
      </w:r>
      <w:r w:rsidRPr="004447F6">
        <w:rPr>
          <w:rFonts w:cstheme="minorHAnsi"/>
        </w:rPr>
        <w:t>.</w:t>
      </w:r>
      <w:r w:rsidR="00ED21E3" w:rsidRPr="004447F6">
        <w:rPr>
          <w:rFonts w:cstheme="minorHAnsi"/>
        </w:rPr>
        <w:t xml:space="preserve"> This case was associated with thrombocytopenia, disseminated intravascular coagulation, and later was also found to have developed antibodies to platelet factor 4</w:t>
      </w:r>
      <w:r w:rsidR="00330E89" w:rsidRPr="004447F6">
        <w:rPr>
          <w:rFonts w:cstheme="minorHAnsi"/>
        </w:rPr>
        <w:t>.</w:t>
      </w:r>
      <w:r w:rsidR="00ED21E3" w:rsidRPr="004447F6">
        <w:rPr>
          <w:rFonts w:cstheme="minorHAnsi"/>
        </w:rPr>
        <w:t xml:space="preserve"> The trail was paused and </w:t>
      </w:r>
      <w:r w:rsidR="00653984" w:rsidRPr="004447F6">
        <w:rPr>
          <w:rFonts w:cstheme="minorHAnsi"/>
        </w:rPr>
        <w:t xml:space="preserve">subsequently </w:t>
      </w:r>
      <w:r w:rsidR="00ED21E3" w:rsidRPr="004447F6">
        <w:rPr>
          <w:rFonts w:cstheme="minorHAnsi"/>
        </w:rPr>
        <w:t>restarted following an external review as causality could not be determined</w:t>
      </w:r>
      <w:r w:rsidR="001F269E" w:rsidRPr="004447F6">
        <w:rPr>
          <w:rFonts w:cstheme="minorHAnsi"/>
        </w:rPr>
        <w:t xml:space="preserve"> at the time</w:t>
      </w:r>
      <w:r w:rsidR="00330E89" w:rsidRPr="004447F6">
        <w:rPr>
          <w:rFonts w:cstheme="minorHAnsi"/>
        </w:rPr>
        <w:t xml:space="preserve"> </w:t>
      </w:r>
      <w:r w:rsidR="00330E89" w:rsidRPr="004447F6">
        <w:rPr>
          <w:rFonts w:cstheme="minorHAnsi"/>
        </w:rPr>
        <w:fldChar w:fldCharType="begin" w:fldLock="1"/>
      </w:r>
      <w:r w:rsidR="00DB0E82" w:rsidRPr="004447F6">
        <w:rPr>
          <w:rFonts w:cstheme="minorHAnsi"/>
        </w:rPr>
        <w:instrText>ADDIN CSL_CITATION {"citationItems":[{"id":"ITEM-1","itemData":{"DOI":"10.1056/nejmc2106075","ISSN":"0028-4793","PMID":"33861522","abstract":"Thrombotic Thrombocytopenia after Ad26.COV2.S Vaccination — Manufacturer’s Response The manufacturer of the Ad26.COV2.S vaccine against Covid-19 comments on recent reports of thrombosis, including ...","author":[{"dropping-particle":"","family":"Sadoff","given":"Jerald","non-dropping-particle":"","parse-names":false,"suffix":""},{"dropping-particle":"","family":"Davis","given":"Kourtney","non-dropping-particle":"","parse-names":false,"suffix":""},{"dropping-particle":"","family":"Douoguih","given":"Macaya","non-dropping-particle":"","parse-names":false,"suffix":""}],"container-title":"New England Journal of Medicine","id":"ITEM-1","issue":"20","issued":{"date-parts":[["2021"]]},"page":"1965-1966","title":"Thrombotic Thrombocytopenia after Ad26.COV2.S Vaccination — Response from the Manufacturer","type":"article-journal","volume":"384"},"uris":["http://www.mendeley.com/documents/?uuid=87e88377-6b14-4f6a-8914-9b7e0c04108f"]}],"mendeley":{"formattedCitation":"(35)","plainTextFormattedCitation":"(35)","previouslyFormattedCitation":"(35)"},"properties":{"noteIndex":0},"schema":"https://github.com/citation-style-language/schema/raw/master/csl-citation.json"}</w:instrText>
      </w:r>
      <w:r w:rsidR="00330E89" w:rsidRPr="004447F6">
        <w:rPr>
          <w:rFonts w:cstheme="minorHAnsi"/>
        </w:rPr>
        <w:fldChar w:fldCharType="separate"/>
      </w:r>
      <w:r w:rsidR="00632A99" w:rsidRPr="004447F6">
        <w:rPr>
          <w:rFonts w:cstheme="minorHAnsi"/>
          <w:noProof/>
        </w:rPr>
        <w:t>(35)</w:t>
      </w:r>
      <w:r w:rsidR="00330E89" w:rsidRPr="004447F6">
        <w:rPr>
          <w:rFonts w:cstheme="minorHAnsi"/>
        </w:rPr>
        <w:fldChar w:fldCharType="end"/>
      </w:r>
      <w:r w:rsidR="00330E89" w:rsidRPr="004447F6">
        <w:rPr>
          <w:rFonts w:cstheme="minorHAnsi"/>
        </w:rPr>
        <w:t>.</w:t>
      </w:r>
      <w:r w:rsidR="00ED21E3" w:rsidRPr="004447F6">
        <w:rPr>
          <w:rFonts w:cstheme="minorHAnsi"/>
        </w:rPr>
        <w:t xml:space="preserve"> Causality has not been </w:t>
      </w:r>
      <w:r w:rsidR="00653984" w:rsidRPr="004447F6">
        <w:rPr>
          <w:rFonts w:cstheme="minorHAnsi"/>
        </w:rPr>
        <w:t>confirmed</w:t>
      </w:r>
      <w:r w:rsidR="00ED21E3" w:rsidRPr="004447F6">
        <w:rPr>
          <w:rFonts w:cstheme="minorHAnsi"/>
        </w:rPr>
        <w:t xml:space="preserve"> for other events, as underlying</w:t>
      </w:r>
      <w:r w:rsidR="00D765FD" w:rsidRPr="004447F6">
        <w:rPr>
          <w:rFonts w:cstheme="minorHAnsi"/>
        </w:rPr>
        <w:t xml:space="preserve"> medical conditions may have predisposed </w:t>
      </w:r>
      <w:r w:rsidR="00ED21E3" w:rsidRPr="004447F6">
        <w:rPr>
          <w:rFonts w:cstheme="minorHAnsi"/>
        </w:rPr>
        <w:t xml:space="preserve">the affected </w:t>
      </w:r>
      <w:r w:rsidR="00D765FD" w:rsidRPr="004447F6">
        <w:rPr>
          <w:rFonts w:cstheme="minorHAnsi"/>
        </w:rPr>
        <w:t>individuals</w:t>
      </w:r>
      <w:r w:rsidR="00330E89" w:rsidRPr="004447F6">
        <w:rPr>
          <w:rFonts w:cstheme="minorHAnsi"/>
        </w:rPr>
        <w:t xml:space="preserve">. </w:t>
      </w:r>
      <w:r w:rsidR="00653984" w:rsidRPr="004447F6">
        <w:rPr>
          <w:rFonts w:cstheme="minorHAnsi"/>
        </w:rPr>
        <w:t>Detailed post-approval surveillance of these events was advised</w:t>
      </w:r>
      <w:r w:rsidR="00330E89" w:rsidRPr="004447F6">
        <w:rPr>
          <w:rFonts w:cstheme="minorHAnsi"/>
        </w:rPr>
        <w:t xml:space="preserve"> </w:t>
      </w:r>
      <w:r w:rsidR="00330E89" w:rsidRPr="004447F6">
        <w:rPr>
          <w:rFonts w:cstheme="minorHAnsi"/>
        </w:rPr>
        <w:fldChar w:fldCharType="begin" w:fldLock="1"/>
      </w:r>
      <w:r w:rsidR="00DB0E82" w:rsidRPr="004447F6">
        <w:rPr>
          <w:rFonts w:cstheme="minorHAnsi"/>
        </w:rPr>
        <w:instrText>ADDIN CSL_CITATION {"citationItems":[{"id":"ITEM-1","itemData":{"DOI":"10.1056/nejmoa2101544","ISSN":"0028-4793","PMID":"33882225","abstract":"BACKGROUND The Ad26.COV2.S vaccine is a recombinant, replication-incompetent human adenovirus type 26 vector encoding full-length severe acute respiratory syndrome coronavirus 2 (SARS-CoV-2) spike protein in a prefusion-stabilized conformation. METHODS In an international, randomized, double-blind, placebo-controlled, phase 3 trial, we randomly assigned adult participants in a 1:1 ratio to receive a single dose of Ad26.COV2.S (5×1010 viral particles) or placebo. The primary end points were vaccine efficacy against moderate to severe-critical coronavirus disease 2019 (Covid-19) with an onset at least 14 days and at least 28 days after administration among participants in the per-protocol population who had tested negative for SARS-CoV-2. Safety was also assessed. RESULTS The per-protocol population included 19,630 SARS-CoV-2-negative participants who received Ad26.COV2.S and 19,691 who received placebo. Ad26.COV2.S protected against moderate to severe-critical Covid-19 with onset at least 14 days after administration (116 cases in the vaccine group vs. 348 in the placebo group; efficacy, 66.9%; adjusted 95% confidence interval [CI], 59.0 to 73.4) and at least 28 days after administration (66 vs. 193 cases; efficacy, 66.1%; adjusted 95% CI, 55.0 to 74.8). Vaccine efficacy was higher against severe-critical Covid-19 (76.7% [adjusted 95% CI, 54.6 to 89.1] for onset at ≥14 days and 85.4% [adjusted 95% CI, 54.2 to 96.9] for onset at ≥28 days). Despite 86 of 91 cases (94.5%) in South Africa with sequenced virus having the 20H/501Y.V2 variant, vaccine efficacy was 52.0% and 64.0% against moderate to severe-critical Covid-19 with onset at least 14 days and at least 28 days after administration, respectively, and efficacy against severe-critical Covid-19 was 73.1% and 81.7%, respectively. Reactogenicity was higher with Ad26.COV2.S than with placebo but was generally mild to moderate and transient. The incidence of serious adverse events was balanced between the two groups. Three deaths occurred in the vaccine group (none were Covid-19-related), and 16 in the placebo group (5 were Covid-19-related). CONCLUSIONS A single dose of Ad26.COV2.S protected against symptomatic Covid-19 and asymptomatic SARS-CoV-2 infection and was effective against severe-critical disease, including hospitalization and death. Safety appeared to be similar to that in other phase 3 trials of Covid-19 vaccines. (Funded by Janssen Research and Development and others; ENSEMBLE ClinicalTrials.g…","author":[{"dropping-particle":"","family":"Sadoff","given":"Jerald","non-dropping-particle":"","parse-names":false,"suffix":""},{"dropping-particle":"","family":"Gray","given":"Glenda","non-dropping-particle":"","parse-names":false,"suffix":""},{"dropping-particle":"","family":"Vandebosch","given":"An","non-dropping-particle":"","parse-names":false,"suffix":""},{"dropping-particle":"","family":"Cárdenas","given":"Vicky","non-dropping-particle":"","parse-names":false,"suffix":""},{"dropping-particle":"","family":"Shukarev","given":"Georgi","non-dropping-particle":"","parse-names":false,"suffix":""},{"dropping-particle":"","family":"Grinsztejn","given":"Beatriz","non-dropping-particle":"","parse-names":false,"suffix":""},{"dropping-particle":"","family":"Goepfert","given":"Paul A.","non-dropping-particle":"","parse-names":false,"suffix":""},{"dropping-particle":"","family":"Truyers","given":"Carla","non-dropping-particle":"","parse-names":false,"suffix":""},{"dropping-particle":"","family":"Fennema","given":"Hein","non-dropping-particle":"","parse-names":false,"suffix":""},{"dropping-particle":"","family":"Spiessens","given":"Bart","non-dropping-particle":"","parse-names":false,"suffix":""},{"dropping-particle":"","family":"Offergeld","given":"Kim","non-dropping-particle":"","parse-names":false,"suffix":""},{"dropping-particle":"","family":"Scheper","given":"Gert","non-dropping-particle":"","parse-names":false,"suffix":""},{"dropping-particle":"","family":"Taylor","given":"Kimberly L.","non-dropping-particle":"","parse-names":false,"suffix":""},{"dropping-particle":"","family":"Robb","given":"Merlin L.","non-dropping-particle":"","parse-names":false,"suffix":""},{"dropping-particle":"","family":"Treanor","given":"John","non-dropping-particle":"","parse-names":false,"suffix":""},{"dropping-particle":"","family":"Barouch","given":"Dan H.","non-dropping-particle":"","parse-names":false,"suffix":""},{"dropping-particle":"","family":"Stoddard","given":"Jeffrey","non-dropping-particle":"","parse-names":false,"suffix":""},{"dropping-particle":"","family":"Ryser","given":"Martin F.","non-dropping-particle":"","parse-names":false,"suffix":""},{"dropping-particle":"","family":"Marovich","given":"Mary A.","non-dropping-particle":"","parse-names":false,"suffix":""},{"dropping-particle":"","family":"Neuzil","given":"Kathleen M.","non-dropping-particle":"","parse-names":false,"suffix":""},{"dropping-particle":"","family":"Corey","given":"Lawrence","non-dropping-particle":"","parse-names":false,"suffix":""},{"dropping-particle":"","family":"Cauwenberghs","given":"Nancy","non-dropping-particle":"","parse-names":false,"suffix":""},{"dropping-particle":"","family":"Tanner","given":"Tamzin","non-dropping-particle":"","parse-names":false,"suffix":""},{"dropping-particle":"","family":"Hardt","given":"Karin","non-dropping-particle":"","parse-names":false,"suffix":""},{"dropping-particle":"","family":"Ruiz-Guiñazú","given":"Javier","non-dropping-particle":"","parse-names":false,"suffix":""},{"dropping-particle":"","family":"Gars","given":"Mathieu","non-dropping-particle":"Le","parse-names":false,"suffix":""},{"dropping-particle":"","family":"Schuitemaker","given":"Hanneke","non-dropping-particle":"","parse-names":false,"suffix":""},{"dropping-particle":"","family":"Hoof","given":"Johan","non-dropping-particle":"Van","parse-names":false,"suffix":""},{"dropping-particle":"","family":"Struyf","given":"Frank","non-dropping-particle":"","parse-names":false,"suffix":""},{"dropping-particle":"","family":"Douoguih","given":"Macaya","non-dropping-particle":"","parse-names":false,"suffix":""}],"container-title":"New England Journal of Medicine","id":"ITEM-1","issued":{"date-parts":[["2021"]]},"title":"Safety and Efficacy of Single-Dose Ad26.COV2.S Vaccine against Covid-19","type":"article-journal"},"uris":["http://www.mendeley.com/documents/?uuid=58874b08-b3d3-4edf-8fa1-be237691e76b"]}],"mendeley":{"formattedCitation":"(34)","plainTextFormattedCitation":"(34)","previouslyFormattedCitation":"(34)"},"properties":{"noteIndex":0},"schema":"https://github.com/citation-style-language/schema/raw/master/csl-citation.json"}</w:instrText>
      </w:r>
      <w:r w:rsidR="00330E89" w:rsidRPr="004447F6">
        <w:rPr>
          <w:rFonts w:cstheme="minorHAnsi"/>
        </w:rPr>
        <w:fldChar w:fldCharType="separate"/>
      </w:r>
      <w:r w:rsidR="00632A99" w:rsidRPr="004447F6">
        <w:rPr>
          <w:rFonts w:cstheme="minorHAnsi"/>
          <w:noProof/>
        </w:rPr>
        <w:t>(34)</w:t>
      </w:r>
      <w:r w:rsidR="00330E89" w:rsidRPr="004447F6">
        <w:rPr>
          <w:rFonts w:cstheme="minorHAnsi"/>
        </w:rPr>
        <w:fldChar w:fldCharType="end"/>
      </w:r>
      <w:r w:rsidR="00330E89" w:rsidRPr="004447F6">
        <w:rPr>
          <w:rFonts w:cstheme="minorHAnsi"/>
        </w:rPr>
        <w:t>.</w:t>
      </w:r>
      <w:r w:rsidR="00653984" w:rsidRPr="004447F6">
        <w:rPr>
          <w:rFonts w:cstheme="minorHAnsi"/>
        </w:rPr>
        <w:t xml:space="preserve"> </w:t>
      </w:r>
    </w:p>
    <w:p w14:paraId="42F6B44F" w14:textId="3B2B2785" w:rsidR="00AF1D33" w:rsidRPr="004447F6" w:rsidRDefault="00B07F57" w:rsidP="00183921">
      <w:pPr>
        <w:spacing w:line="360" w:lineRule="auto"/>
        <w:jc w:val="both"/>
        <w:rPr>
          <w:rFonts w:cstheme="minorHAnsi"/>
        </w:rPr>
      </w:pPr>
      <w:r w:rsidRPr="004447F6">
        <w:t xml:space="preserve">The phase III trial of the Sputnik vaccine did not </w:t>
      </w:r>
      <w:r w:rsidR="00EA36D9" w:rsidRPr="004447F6">
        <w:t>feature</w:t>
      </w:r>
      <w:r w:rsidRPr="004447F6">
        <w:t xml:space="preserve"> any significant neurological adverse events in over 16</w:t>
      </w:r>
      <w:r w:rsidR="00B84131" w:rsidRPr="004447F6">
        <w:t>,</w:t>
      </w:r>
      <w:r w:rsidR="00E70A26" w:rsidRPr="004447F6">
        <w:t>000</w:t>
      </w:r>
      <w:r w:rsidRPr="004447F6">
        <w:t xml:space="preserve"> participants in the vaccine group </w:t>
      </w:r>
      <w:r w:rsidRPr="004447F6">
        <w:fldChar w:fldCharType="begin" w:fldLock="1"/>
      </w:r>
      <w:r w:rsidR="00DB0E82" w:rsidRPr="004447F6">
        <w:instrText>ADDIN CSL_CITATION {"citationItems":[{"id":"ITEM-1","itemData":{"DOI":"10.1016/S0140-6736(21)00234-8","ISSN":"0140-6736","author":[{"dropping-particle":"","family":"Logunov","given":"Denis Y","non-dropping-particle":"","parse-names":false,"suffix":""},{"dropping-particle":"V","family":"Dolzhikova","given":"Inna","non-dropping-particle":"","parse-names":false,"suffix":""},{"dropping-particle":"V","family":"Shcheblyakov","given":"Dmitry","non-dropping-particle":"","parse-names":false,"suffix":""},{"dropping-particle":"","family":"Tukhvatulin","given":"Amir I","non-dropping-particle":"","parse-names":false,"suffix":""},{"dropping-particle":"V","family":"Zubkova","given":"Olga","non-dropping-particle":"","parse-names":false,"suffix":""},{"dropping-particle":"","family":"Dzharullaeva","given":"Alina S","non-dropping-particle":"","parse-names":false,"suffix":""},{"dropping-particle":"V","family":"Kovyrshina","given":"Anna","non-dropping-particle":"","parse-names":false,"suffix":""},{"dropping-particle":"","family":"Lubenets","given":"Nadezhda L","non-dropping-particle":"","parse-names":false,"suffix":""},{"dropping-particle":"","family":"Grousova","given":"Daria M","non-dropping-particle":"","parse-names":false,"suffix":""},{"dropping-particle":"","family":"Erokhova","given":"Alina S","non-dropping-particle":"","parse-names":false,"suffix":""},{"dropping-particle":"","family":"Botikov","given":"Andrei G","non-dropping-particle":"","parse-names":false,"suffix":""},{"dropping-particle":"","family":"Izhaeva","given":"Fatima M","non-dropping-particle":"","parse-names":false,"suffix":""},{"dropping-particle":"","family":"Popova","given":"Olga","non-dropping-particle":"","parse-names":false,"suffix":""},{"dropping-particle":"","family":"Ozharovskaya","given":"Tatiana A","non-dropping-particle":"","parse-names":false,"suffix":""},{"dropping-particle":"","family":"Esmagambetov","given":"Ilias B","non-dropping-particle":"","parse-names":false,"suffix":""},{"dropping-particle":"","family":"Favorskaya","given":"Irina A","non-dropping-particle":"","parse-names":false,"suffix":""},{"dropping-particle":"","family":"Zrelkin","given":"Denis I","non-dropping-particle":"","parse-names":false,"suffix":""},{"dropping-particle":"V","family":"Voronina","given":"Daria","non-dropping-particle":"","parse-names":false,"suffix":""},{"dropping-particle":"","family":"Shcherbinin","given":"Dmitry N","non-dropping-particle":"","parse-names":false,"suffix":""},{"dropping-particle":"","family":"Semikhin","given":"Alexander S","non-dropping-particle":"","parse-names":false,"suffix":""},{"dropping-particle":"V","family":"Simakova","given":"Yana","non-dropping-particle":"","parse-names":false,"suffix":""},{"dropping-particle":"","family":"Tokarskaya","given":"Elizaveta A","non-dropping-particle":"","parse-names":false,"suffix":""},{"dropping-particle":"","family":"Egorova","given":"Daria A","non-dropping-particle":"","parse-names":false,"suffix":""},{"dropping-particle":"","family":"Shmarov","given":"Maksim M","non-dropping-particle":"","parse-names":false,"suffix":""},{"dropping-particle":"","family":"Nikitenko","given":"Natalia A","non-dropping-particle":"","parse-names":false,"suffix":""},{"dropping-particle":"","family":"Gushchin","given":"Vladimir A","non-dropping-particle":"","parse-names":false,"suffix":""},{"dropping-particle":"","family":"Smolyarchuk","given":"Elena A","non-dropping-particle":"","parse-names":false,"suffix":""},{"dropping-particle":"","family":"Zyryanov","given":"Sergey K","non-dropping-particle":"","parse-names":false,"suffix":""},{"dropping-particle":"V","family":"Borisevich","given":"Sergei","non-dropping-particle":"","parse-names":false,"suffix":""},{"dropping-particle":"","family":"Naroditsky","given":"Boris S","non-dropping-particle":"","parse-names":false,"suffix":""},{"dropping-particle":"","family":"Gintsburg","given":"Alexander L","non-dropping-particle":"","parse-names":false,"suffix":""}],"container-title":"The Lancet","id":"ITEM-1","issue":"10275","issued":{"date-parts":[["2021","2","20"]]},"note":"doi: 10.1016/S0140-6736(21)00234-8","page":"671-681","publisher":"Elsevier","title":"Safety and efficacy of an rAd26 and rAd5 vector-based heterologous prime-boost COVID-19 vaccine: an interim analysis of a randomised controlled phase 3 trial in Russia","type":"article-journal","volume":"397"},"uris":["http://www.mendeley.com/documents/?uuid=85626ed2-36c5-4632-8269-39ec0684dcfc"]}],"mendeley":{"formattedCitation":"(36)","plainTextFormattedCitation":"(36)","previouslyFormattedCitation":"(36)"},"properties":{"noteIndex":0},"schema":"https://github.com/citation-style-language/schema/raw/master/csl-citation.json"}</w:instrText>
      </w:r>
      <w:r w:rsidRPr="004447F6">
        <w:fldChar w:fldCharType="separate"/>
      </w:r>
      <w:r w:rsidR="00632A99" w:rsidRPr="004447F6">
        <w:rPr>
          <w:noProof/>
        </w:rPr>
        <w:t>(36)</w:t>
      </w:r>
      <w:r w:rsidRPr="004447F6">
        <w:fldChar w:fldCharType="end"/>
      </w:r>
      <w:r w:rsidRPr="004447F6">
        <w:t xml:space="preserve">. </w:t>
      </w:r>
      <w:r w:rsidRPr="004447F6">
        <w:rPr>
          <w:rFonts w:cstheme="minorHAnsi"/>
        </w:rPr>
        <w:t>Full peer-review</w:t>
      </w:r>
      <w:r w:rsidR="006A381D" w:rsidRPr="004447F6">
        <w:rPr>
          <w:rFonts w:cstheme="minorHAnsi"/>
        </w:rPr>
        <w:t xml:space="preserve"> publications of </w:t>
      </w:r>
      <w:r w:rsidRPr="004447F6">
        <w:rPr>
          <w:rFonts w:cstheme="minorHAnsi"/>
        </w:rPr>
        <w:t>some other</w:t>
      </w:r>
      <w:r w:rsidR="005245E8" w:rsidRPr="004447F6">
        <w:rPr>
          <w:rFonts w:cstheme="minorHAnsi"/>
        </w:rPr>
        <w:t xml:space="preserve"> vaccine phase III trials, </w:t>
      </w:r>
      <w:r w:rsidR="006A381D" w:rsidRPr="004447F6">
        <w:rPr>
          <w:rFonts w:cstheme="minorHAnsi"/>
        </w:rPr>
        <w:t>with</w:t>
      </w:r>
      <w:r w:rsidR="005245E8" w:rsidRPr="004447F6">
        <w:rPr>
          <w:rFonts w:cstheme="minorHAnsi"/>
        </w:rPr>
        <w:t xml:space="preserve"> an estimate of neurological adverse events, are currently awaited. </w:t>
      </w:r>
    </w:p>
    <w:p w14:paraId="68126705" w14:textId="77777777" w:rsidR="001F269E" w:rsidRPr="004447F6" w:rsidRDefault="001F269E" w:rsidP="00183921">
      <w:pPr>
        <w:spacing w:line="360" w:lineRule="auto"/>
        <w:jc w:val="both"/>
        <w:rPr>
          <w:rFonts w:cstheme="minorHAnsi"/>
        </w:rPr>
      </w:pPr>
    </w:p>
    <w:p w14:paraId="092C6846" w14:textId="3D99FE09" w:rsidR="00183921" w:rsidRPr="004447F6" w:rsidRDefault="00544B91" w:rsidP="00183921">
      <w:pPr>
        <w:spacing w:line="360" w:lineRule="auto"/>
        <w:jc w:val="both"/>
        <w:rPr>
          <w:rFonts w:cstheme="minorHAnsi"/>
          <w:u w:val="single"/>
        </w:rPr>
      </w:pPr>
      <w:r w:rsidRPr="004447F6">
        <w:rPr>
          <w:rFonts w:cstheme="minorHAnsi"/>
          <w:u w:val="single"/>
        </w:rPr>
        <w:t>Post-approval surveillance</w:t>
      </w:r>
    </w:p>
    <w:p w14:paraId="757AF8B4" w14:textId="63A3D2BA" w:rsidR="00221BD1" w:rsidRPr="004447F6" w:rsidRDefault="001F269E" w:rsidP="00183921">
      <w:pPr>
        <w:spacing w:line="360" w:lineRule="auto"/>
        <w:jc w:val="both"/>
        <w:rPr>
          <w:rFonts w:cstheme="minorHAnsi"/>
        </w:rPr>
      </w:pPr>
      <w:r w:rsidRPr="004447F6">
        <w:rPr>
          <w:rFonts w:cstheme="minorHAnsi"/>
        </w:rPr>
        <w:t>T</w:t>
      </w:r>
      <w:r w:rsidR="00EA36D9" w:rsidRPr="004447F6">
        <w:rPr>
          <w:rFonts w:cstheme="minorHAnsi"/>
        </w:rPr>
        <w:t>hat</w:t>
      </w:r>
      <w:r w:rsidR="00544B91" w:rsidRPr="004447F6">
        <w:rPr>
          <w:rFonts w:cstheme="minorHAnsi"/>
        </w:rPr>
        <w:t xml:space="preserve"> rare</w:t>
      </w:r>
      <w:r w:rsidRPr="004447F6">
        <w:rPr>
          <w:rFonts w:cstheme="minorHAnsi"/>
        </w:rPr>
        <w:t>,</w:t>
      </w:r>
      <w:r w:rsidR="00544B91" w:rsidRPr="004447F6">
        <w:rPr>
          <w:rFonts w:cstheme="minorHAnsi"/>
        </w:rPr>
        <w:t xml:space="preserve"> but significant</w:t>
      </w:r>
      <w:r w:rsidRPr="004447F6">
        <w:rPr>
          <w:rFonts w:cstheme="minorHAnsi"/>
        </w:rPr>
        <w:t>,</w:t>
      </w:r>
      <w:r w:rsidR="00544B91" w:rsidRPr="004447F6">
        <w:rPr>
          <w:rFonts w:cstheme="minorHAnsi"/>
        </w:rPr>
        <w:t xml:space="preserve"> adverse events may only be detected following large-scale, open-label monitoring is exemplified by the emergence of </w:t>
      </w:r>
      <w:r w:rsidR="00AF25FF" w:rsidRPr="004447F6">
        <w:rPr>
          <w:rFonts w:cstheme="minorHAnsi"/>
        </w:rPr>
        <w:t>v</w:t>
      </w:r>
      <w:r w:rsidR="00544B91" w:rsidRPr="004447F6">
        <w:rPr>
          <w:rFonts w:cstheme="minorHAnsi"/>
        </w:rPr>
        <w:t>accine-induced thrombosis with thrombocytopenia (VITT). VITT resembles heparin-induced autoimmune thrombocytopenia,</w:t>
      </w:r>
      <w:r w:rsidR="00AF56A2" w:rsidRPr="004447F6">
        <w:rPr>
          <w:rFonts w:cstheme="minorHAnsi"/>
        </w:rPr>
        <w:t xml:space="preserve"> </w:t>
      </w:r>
      <w:r w:rsidR="00544B91" w:rsidRPr="004447F6">
        <w:rPr>
          <w:rFonts w:cstheme="minorHAnsi"/>
        </w:rPr>
        <w:t xml:space="preserve">manifesting with </w:t>
      </w:r>
      <w:r w:rsidR="00AF25FF" w:rsidRPr="004447F6">
        <w:rPr>
          <w:rFonts w:cstheme="minorHAnsi"/>
        </w:rPr>
        <w:t xml:space="preserve">low </w:t>
      </w:r>
      <w:r w:rsidR="00544B91" w:rsidRPr="004447F6">
        <w:rPr>
          <w:rFonts w:cstheme="minorHAnsi"/>
        </w:rPr>
        <w:t>platelet count</w:t>
      </w:r>
      <w:r w:rsidR="00EA36D9" w:rsidRPr="004447F6">
        <w:rPr>
          <w:rFonts w:cstheme="minorHAnsi"/>
        </w:rPr>
        <w:t xml:space="preserve"> and</w:t>
      </w:r>
      <w:r w:rsidR="00544B91" w:rsidRPr="004447F6">
        <w:rPr>
          <w:rFonts w:cstheme="minorHAnsi"/>
        </w:rPr>
        <w:t xml:space="preserve"> extensive thromboses</w:t>
      </w:r>
      <w:r w:rsidR="00EA36D9" w:rsidRPr="004447F6">
        <w:rPr>
          <w:rFonts w:cstheme="minorHAnsi"/>
        </w:rPr>
        <w:t xml:space="preserve">. VITT </w:t>
      </w:r>
      <w:r w:rsidRPr="004447F6">
        <w:rPr>
          <w:rFonts w:cstheme="minorHAnsi"/>
        </w:rPr>
        <w:t xml:space="preserve">has been reported to </w:t>
      </w:r>
      <w:r w:rsidR="00EA36D9" w:rsidRPr="004447F6">
        <w:rPr>
          <w:rFonts w:cstheme="minorHAnsi"/>
        </w:rPr>
        <w:t>arise due to the</w:t>
      </w:r>
      <w:r w:rsidR="00544B91" w:rsidRPr="004447F6">
        <w:rPr>
          <w:rFonts w:cstheme="minorHAnsi"/>
        </w:rPr>
        <w:t xml:space="preserve"> development of antibodies to platelet factor 4, </w:t>
      </w:r>
      <w:r w:rsidR="00AF25FF" w:rsidRPr="004447F6">
        <w:rPr>
          <w:rFonts w:cstheme="minorHAnsi"/>
        </w:rPr>
        <w:t xml:space="preserve">typically four to twenty-eight days after the first dose of </w:t>
      </w:r>
      <w:r w:rsidR="00AF56A2" w:rsidRPr="004447F6">
        <w:rPr>
          <w:rFonts w:cstheme="minorHAnsi"/>
        </w:rPr>
        <w:t xml:space="preserve">an </w:t>
      </w:r>
      <w:r w:rsidR="00AF25FF" w:rsidRPr="004447F6">
        <w:rPr>
          <w:rFonts w:cstheme="minorHAnsi"/>
        </w:rPr>
        <w:t>adenovirus-</w:t>
      </w:r>
      <w:r w:rsidR="00AF25FF" w:rsidRPr="004447F6">
        <w:rPr>
          <w:rFonts w:cstheme="minorHAnsi"/>
        </w:rPr>
        <w:lastRenderedPageBreak/>
        <w:t>vector</w:t>
      </w:r>
      <w:r w:rsidR="00AF56A2" w:rsidRPr="004447F6">
        <w:rPr>
          <w:rFonts w:cstheme="minorHAnsi"/>
        </w:rPr>
        <w:t>-based</w:t>
      </w:r>
      <w:r w:rsidR="00AF25FF" w:rsidRPr="004447F6">
        <w:rPr>
          <w:rFonts w:cstheme="minorHAnsi"/>
        </w:rPr>
        <w:t xml:space="preserve"> vaccine</w:t>
      </w:r>
      <w:r w:rsidR="00EA36D9" w:rsidRPr="004447F6">
        <w:rPr>
          <w:rFonts w:cstheme="minorHAnsi"/>
        </w:rPr>
        <w:t xml:space="preserve"> </w:t>
      </w:r>
      <w:r w:rsidR="00EA36D9" w:rsidRPr="004447F6">
        <w:rPr>
          <w:rFonts w:cstheme="minorHAnsi"/>
        </w:rPr>
        <w:fldChar w:fldCharType="begin" w:fldLock="1"/>
      </w:r>
      <w:r w:rsidR="00DB0E82" w:rsidRPr="004447F6">
        <w:rPr>
          <w:rFonts w:cstheme="minorHAnsi"/>
        </w:rPr>
        <w:instrText>ADDIN CSL_CITATION {"citationItems":[{"id":"ITEM-1","itemData":{"DOI":"10.1056/nejmoa2105385","ISSN":"0028-4793","PMID":"33861525","abstract":"BACKGROUND The mainstay of control of the coronavirus disease 2019 (Covid-19) pandemic is vaccination against severe acute respiratory syndrome coronavirus 2 (SARS-CoV-2). Within a year, several vaccines have been developed and millions of doses delivered. Reporting of adverse events is a critical postmarketing activity. METHODS We report findings in 23 patients who presented with thrombosis and thrombocytopenia 6 to 24 days after receiving the first dose of the ChAdOx1 nCoV-19 vaccine (AstraZeneca). On the basis of their clinical and laboratory features, we identify a novel underlying mechanism and address the therapeutic implications. RESULTS In the absence of previous prothrombotic medical conditions, 22 patients presented with acute thrombocytopenia and thrombosis, primarily cerebral venous thrombosis, and 1 patient presented with isolated thrombocytopenia and a hemorrhagic phenotype. All the patients had low or normal fibrinogen levels and elevated d-dimer levels at presentation. No evidence of thrombophilia or causative precipitants was identified. Testing for antibodies to platelet factor 4 (PF4) was positive in 21 patients, negative in 1 patient, and equivocal in 1 patient. On the basis of the pathophysiological features observed in these patients, we recommend that treatment with platelet transfusions be avoided because of the risk of progression in thrombotic symptoms and that the administration of a nonheparin anticoagulant agent and intravenous immune globulin be considered for the first occurrence of these symptoms. CONCLUSIONS Vaccination against SARS-CoV-2 remains critical for control of the Covid-19 pandemic. A pathogenic PF4-dependent syndrome, unrelated to the use of heparin therapy, can occur after the administration of the ChAdOx1 nCoV-19 vaccine. Rapid identification of this rare syndrome is important because of the therapeutic implications.","author":[{"dropping-particle":"","family":"Scully","given":"Marie","non-dropping-particle":"","parse-names":false,"suffix":""},{"dropping-particle":"","family":"Singh","given":"Deepak","non-dropping-particle":"","parse-names":false,"suffix":""},{"dropping-particle":"","family":"Lown","given":"Robert","non-dropping-particle":"","parse-names":false,"suffix":""},{"dropping-particle":"","family":"Poles","given":"Anthony","non-dropping-particle":"","parse-names":false,"suffix":""},{"dropping-particle":"","family":"Solomon","given":"Tom","non-dropping-particle":"","parse-names":false,"suffix":""},{"dropping-particle":"","family":"Levi","given":"Marcel","non-dropping-particle":"","parse-names":false,"suffix":""},{"dropping-particle":"","family":"Goldblatt","given":"David","non-dropping-particle":"","parse-names":false,"suffix":""},{"dropping-particle":"","family":"Kotoucek","given":"Pavel","non-dropping-particle":"","parse-names":false,"suffix":""},{"dropping-particle":"","family":"Thomas","given":"William","non-dropping-particle":"","parse-names":false,"suffix":""},{"dropping-particle":"","family":"Lester","given":"William","non-dropping-particle":"","parse-names":false,"suffix":""}],"container-title":"New England Journal of Medicine","id":"ITEM-1","issued":{"date-parts":[["2021"]]},"title":"Pathologic Antibodies to Platelet Factor 4 after ChAdOx1 nCoV-19 Vaccination","type":"article-journal"},"uris":["http://www.mendeley.com/documents/?uuid=fd004cad-4be9-4697-bbc4-70a8316bce0b"]}],"mendeley":{"formattedCitation":"(37)","plainTextFormattedCitation":"(37)","previouslyFormattedCitation":"(37)"},"properties":{"noteIndex":0},"schema":"https://github.com/citation-style-language/schema/raw/master/csl-citation.json"}</w:instrText>
      </w:r>
      <w:r w:rsidR="00EA36D9" w:rsidRPr="004447F6">
        <w:rPr>
          <w:rFonts w:cstheme="minorHAnsi"/>
        </w:rPr>
        <w:fldChar w:fldCharType="separate"/>
      </w:r>
      <w:r w:rsidR="00632A99" w:rsidRPr="004447F6">
        <w:rPr>
          <w:rFonts w:cstheme="minorHAnsi"/>
          <w:noProof/>
        </w:rPr>
        <w:t>(37)</w:t>
      </w:r>
      <w:r w:rsidR="00EA36D9" w:rsidRPr="004447F6">
        <w:rPr>
          <w:rFonts w:cstheme="minorHAnsi"/>
        </w:rPr>
        <w:fldChar w:fldCharType="end"/>
      </w:r>
      <w:r w:rsidR="00EA36D9" w:rsidRPr="004447F6">
        <w:rPr>
          <w:rFonts w:cstheme="minorHAnsi"/>
        </w:rPr>
        <w:t xml:space="preserve">. </w:t>
      </w:r>
      <w:r w:rsidR="00AF56A2" w:rsidRPr="004447F6">
        <w:rPr>
          <w:rFonts w:cstheme="minorHAnsi"/>
        </w:rPr>
        <w:t xml:space="preserve">The most common </w:t>
      </w:r>
      <w:r w:rsidRPr="004447F6">
        <w:rPr>
          <w:rFonts w:cstheme="minorHAnsi"/>
        </w:rPr>
        <w:t xml:space="preserve">neurological </w:t>
      </w:r>
      <w:r w:rsidR="00AF56A2" w:rsidRPr="004447F6">
        <w:rPr>
          <w:rFonts w:cstheme="minorHAnsi"/>
        </w:rPr>
        <w:t>manifestation of VITT is cerebral venous sinus thrombosis (CVST), but arterial stroke is also a recognised complication</w:t>
      </w:r>
      <w:r w:rsidR="00EA36D9" w:rsidRPr="004447F6">
        <w:rPr>
          <w:rFonts w:cstheme="minorHAnsi"/>
        </w:rPr>
        <w:t xml:space="preserve"> </w:t>
      </w:r>
      <w:r w:rsidR="00EA36D9" w:rsidRPr="004447F6">
        <w:rPr>
          <w:rFonts w:cstheme="minorHAnsi"/>
        </w:rPr>
        <w:fldChar w:fldCharType="begin" w:fldLock="1"/>
      </w:r>
      <w:r w:rsidR="00DB0E82" w:rsidRPr="004447F6">
        <w:rPr>
          <w:rFonts w:cstheme="minorHAnsi"/>
        </w:rPr>
        <w:instrText>ADDIN CSL_CITATION {"citationItems":[{"id":"ITEM-1","itemData":{"DOI":"10.1136/jnnp-2021-326984","abstract":"A syndrome of vaccine-induced immune thrombotic thrombocytopaenia (VITT) has recently been reported following the ChAdOx1 nCoV-19 (Oxford–AstraZeneca) recombinant adenoviral vector vaccine encoding the spike glycoprotein of SARS-CoV-2.1–4 Previously described patients developed thrombosis, mainly affecting cerebral venous sinuses, with thrombocytopaenia and antibodies to platelet factor 4 (PF4), but the characteristics of VITT with arterial thrombosis have not previously been described. Here, we report three patients with VITT who presented with ischaemic stroke.Patient 1, a 35-year-old Asian woman, developed episodic right temporal and periorbital headache 6 days after receiving the ChAdOx1 nCoV-19 vaccine. Five days later, she awoke with left face, arm and leg weakness, right gaze preference and drowsiness. Non-contrast CT and CT angiography (CTA) revealed occlusion of the right middle cerebral artery (MCA) distal M1 segment with extensive ischaemia and haemorrhagic transformation (figure 1A-C)). Subsequent imaging revealed right portal vein thrombosis. The platelet count was 64 x 109/L (reference range 150 –400 x 109/L); D-dimer was raised at 11 220 µg/L (reference range 0–550); and the Asserachrom HPIA IgG assay for anti-PF4 antibodies was positive (76.1%). The patient underwent urgent decompressive hemicraniectomy …","author":[{"dropping-particle":"","family":"Al-Mayhani","given":"Talal","non-dropping-particle":"","parse-names":false,"suffix":""},{"dropping-particle":"","family":"Saber","given":"Sadia","non-dropping-particle":"","parse-names":false,"suffix":""},{"dropping-particle":"","family":"Stubbs","given":"Matthew J","non-dropping-particle":"","parse-names":false,"suffix":""},{"dropping-particle":"","family":"Losseff","given":"Nicholas A","non-dropping-particle":"","parse-names":false,"suffix":""},{"dropping-particle":"","family":"Perry","given":"Richard J","non-dropping-particle":"","parse-names":false,"suffix":""},{"dropping-particle":"","family":"Simister","given":"Robert J","non-dropping-particle":"","parse-names":false,"suffix":""},{"dropping-particle":"","family":"Gull","given":"David","non-dropping-particle":"","parse-names":false,"suffix":""},{"dropping-particle":"","family":"Jäger","given":"Hans Rolf","non-dropping-particle":"","parse-names":false,"suffix":""},{"dropping-particle":"","family":"Scully","given":"Marie A","non-dropping-particle":"","parse-names":false,"suffix":""},{"dropping-particle":"","family":"Werring","given":"David J","non-dropping-particle":"","parse-names":false,"suffix":""}],"container-title":"Journal of Neurology, Neurosurgery &amp;amp;amp; Psychiatry","id":"ITEM-1","issued":{"date-parts":[["2021","5","20"]]},"page":"jnnp-2021-326984","title":"Ischaemic stroke as a presenting feature of ChAdOx1 nCoV-19 vaccine-induced immune thrombotic thrombocytopaenia","type":"article-journal"},"uris":["http://www.mendeley.com/documents/?uuid=29eb7462-04ca-4753-ba68-3c566ef614db"]}],"mendeley":{"formattedCitation":"(38)","plainTextFormattedCitation":"(38)","previouslyFormattedCitation":"(38)"},"properties":{"noteIndex":0},"schema":"https://github.com/citation-style-language/schema/raw/master/csl-citation.json"}</w:instrText>
      </w:r>
      <w:r w:rsidR="00EA36D9" w:rsidRPr="004447F6">
        <w:rPr>
          <w:rFonts w:cstheme="minorHAnsi"/>
        </w:rPr>
        <w:fldChar w:fldCharType="separate"/>
      </w:r>
      <w:r w:rsidR="00632A99" w:rsidRPr="004447F6">
        <w:rPr>
          <w:rFonts w:cstheme="minorHAnsi"/>
          <w:noProof/>
        </w:rPr>
        <w:t>(38)</w:t>
      </w:r>
      <w:r w:rsidR="00EA36D9" w:rsidRPr="004447F6">
        <w:rPr>
          <w:rFonts w:cstheme="minorHAnsi"/>
        </w:rPr>
        <w:fldChar w:fldCharType="end"/>
      </w:r>
      <w:r w:rsidR="00221BD1" w:rsidRPr="004447F6">
        <w:rPr>
          <w:rFonts w:cstheme="minorHAnsi"/>
        </w:rPr>
        <w:t xml:space="preserve">. </w:t>
      </w:r>
    </w:p>
    <w:p w14:paraId="1DCAA33D" w14:textId="02FB8607" w:rsidR="00F04FCE" w:rsidRPr="004447F6" w:rsidRDefault="00221BD1" w:rsidP="00183921">
      <w:pPr>
        <w:spacing w:line="360" w:lineRule="auto"/>
        <w:jc w:val="both"/>
        <w:rPr>
          <w:rFonts w:cstheme="minorHAnsi"/>
        </w:rPr>
      </w:pPr>
      <w:r w:rsidRPr="004447F6">
        <w:rPr>
          <w:rFonts w:cstheme="minorHAnsi"/>
        </w:rPr>
        <w:t>C</w:t>
      </w:r>
      <w:r w:rsidR="00EA3BA5" w:rsidRPr="004447F6">
        <w:rPr>
          <w:rFonts w:cstheme="minorHAnsi"/>
        </w:rPr>
        <w:t xml:space="preserve">oncerns about the association </w:t>
      </w:r>
      <w:r w:rsidRPr="004447F6">
        <w:rPr>
          <w:rFonts w:cstheme="minorHAnsi"/>
        </w:rPr>
        <w:t xml:space="preserve">of VITT </w:t>
      </w:r>
      <w:r w:rsidR="00EA3BA5" w:rsidRPr="004447F6">
        <w:rPr>
          <w:rFonts w:cstheme="minorHAnsi"/>
        </w:rPr>
        <w:t xml:space="preserve">with </w:t>
      </w:r>
      <w:r w:rsidRPr="004447F6">
        <w:rPr>
          <w:rFonts w:cstheme="minorHAnsi"/>
        </w:rPr>
        <w:t xml:space="preserve">SARS-CoV-2 </w:t>
      </w:r>
      <w:r w:rsidR="00EA3BA5" w:rsidRPr="004447F6">
        <w:rPr>
          <w:rFonts w:cstheme="minorHAnsi"/>
        </w:rPr>
        <w:t xml:space="preserve">vaccination were first raised in March 2021 </w:t>
      </w:r>
      <w:r w:rsidRPr="004447F6">
        <w:rPr>
          <w:rFonts w:cstheme="minorHAnsi"/>
        </w:rPr>
        <w:fldChar w:fldCharType="begin" w:fldLock="1"/>
      </w:r>
      <w:r w:rsidR="00DB0E82" w:rsidRPr="004447F6">
        <w:rPr>
          <w:rFonts w:cstheme="minorHAnsi"/>
        </w:rPr>
        <w:instrText>ADDIN CSL_CITATION {"citationItems":[{"id":"ITEM-1","itemData":{"URL":"https://www.ema.europa.eu/en/news/astrazenecas-covid-19-vaccine-ema-finds-possible-link-very-rare-cases-unusual-blood-clots-low-blood","accessed":{"date-parts":[["2021","4","8"]]},"author":[{"dropping-particle":"","family":"European Medicines Agency","given":"","non-dropping-particle":"","parse-names":false,"suffix":""}],"id":"ITEM-1","issued":{"date-parts":[["2021"]]},"title":"AstraZeneca’s COVID-19 vaccine: EMA finds possible link to very rare cases of unusual blood clots with low blood platelets Share","type":"webpage"},"uris":["http://www.mendeley.com/documents/?uuid=9d280f1c-391a-43dd-a371-dc5197951e5b"]}],"mendeley":{"formattedCitation":"(39)","plainTextFormattedCitation":"(39)","previouslyFormattedCitation":"(39)"},"properties":{"noteIndex":0},"schema":"https://github.com/citation-style-language/schema/raw/master/csl-citation.json"}</w:instrText>
      </w:r>
      <w:r w:rsidRPr="004447F6">
        <w:rPr>
          <w:rFonts w:cstheme="minorHAnsi"/>
        </w:rPr>
        <w:fldChar w:fldCharType="separate"/>
      </w:r>
      <w:r w:rsidR="00632A99" w:rsidRPr="004447F6">
        <w:rPr>
          <w:rFonts w:cstheme="minorHAnsi"/>
          <w:noProof/>
        </w:rPr>
        <w:t>(39)</w:t>
      </w:r>
      <w:r w:rsidRPr="004447F6">
        <w:rPr>
          <w:rFonts w:cstheme="minorHAnsi"/>
        </w:rPr>
        <w:fldChar w:fldCharType="end"/>
      </w:r>
      <w:r w:rsidRPr="004447F6">
        <w:rPr>
          <w:rFonts w:cstheme="minorHAnsi"/>
        </w:rPr>
        <w:t>,</w:t>
      </w:r>
      <w:r w:rsidR="00EA3BA5" w:rsidRPr="004447F6">
        <w:rPr>
          <w:rFonts w:cstheme="minorHAnsi"/>
        </w:rPr>
        <w:t xml:space="preserve"> and case</w:t>
      </w:r>
      <w:r w:rsidRPr="004447F6">
        <w:rPr>
          <w:rFonts w:cstheme="minorHAnsi"/>
        </w:rPr>
        <w:t>s reported</w:t>
      </w:r>
      <w:r w:rsidR="00EA3BA5" w:rsidRPr="004447F6">
        <w:rPr>
          <w:rFonts w:cstheme="minorHAnsi"/>
        </w:rPr>
        <w:t xml:space="preserve"> </w:t>
      </w:r>
      <w:r w:rsidRPr="004447F6">
        <w:rPr>
          <w:rFonts w:cstheme="minorHAnsi"/>
        </w:rPr>
        <w:t>in the literature</w:t>
      </w:r>
      <w:r w:rsidR="00EA3BA5" w:rsidRPr="004447F6">
        <w:rPr>
          <w:rFonts w:cstheme="minorHAnsi"/>
        </w:rPr>
        <w:t xml:space="preserve"> followed shortly after</w:t>
      </w:r>
      <w:r w:rsidR="00CB023D" w:rsidRPr="004447F6">
        <w:rPr>
          <w:rFonts w:cstheme="minorHAnsi"/>
        </w:rPr>
        <w:t>wards</w:t>
      </w:r>
      <w:r w:rsidRPr="004447F6">
        <w:rPr>
          <w:rFonts w:cstheme="minorHAnsi"/>
        </w:rPr>
        <w:t xml:space="preserve"> </w:t>
      </w:r>
      <w:r w:rsidRPr="004447F6">
        <w:rPr>
          <w:rFonts w:cstheme="minorHAnsi"/>
        </w:rPr>
        <w:fldChar w:fldCharType="begin" w:fldLock="1"/>
      </w:r>
      <w:r w:rsidR="00DB0E82" w:rsidRPr="004447F6">
        <w:rPr>
          <w:rFonts w:cstheme="minorHAnsi"/>
        </w:rPr>
        <w:instrText>ADDIN CSL_CITATION {"citationItems":[{"id":"ITEM-1","itemData":{"DOI":"10.1056/nejmoa2104882","ISSN":"0028-4793","PMID":"33835768","abstract":"We report findings in five patients who presented with venous thrombosis and thrombocytopenia 7 to 10 days after receiving the first dose of the ChAdOx1 nCoV-19 adenoviral vector vaccine against coronavirus disease 2019 (Covid-19). The patients were health care workers who were 32 to 54 years of age. All the patients had high levels of antibodies to platelet factor 4-polyanion complexes; however, they had had no previous exposure to heparin. Because the five cases occurred in a population of more than 130,000 vaccinated persons, we propose that they represent a rare vaccine-related variant of spontaneous heparin-induced thrombocytopenia that we refer to as vaccine-induced immune thrombotic thrombocytopenia.","author":[{"dropping-particle":"","family":"Schultz","given":"Nina H.","non-dropping-particle":"","parse-names":false,"suffix":""},{"dropping-particle":"","family":"Sørvoll","given":"Ingvild H.","non-dropping-particle":"","parse-names":false,"suffix":""},{"dropping-particle":"","family":"Michelsen","given":"Annika E.","non-dropping-particle":"","parse-names":false,"suffix":""},{"dropping-particle":"","family":"Munthe","given":"Ludvig A.","non-dropping-particle":"","parse-names":false,"suffix":""},{"dropping-particle":"","family":"Lund-Johansen","given":"Fridtjof","non-dropping-particle":"","parse-names":false,"suffix":""},{"dropping-particle":"","family":"Ahlen","given":"Maria T.","non-dropping-particle":"","parse-names":false,"suffix":""},{"dropping-particle":"","family":"Wiedmann","given":"Markus","non-dropping-particle":"","parse-names":false,"suffix":""},{"dropping-particle":"","family":"Aamodt","given":"Anne-Hege","non-dropping-particle":"","parse-names":false,"suffix":""},{"dropping-particle":"","family":"Skattør","given":"Thor H.","non-dropping-particle":"","parse-names":false,"suffix":""},{"dropping-particle":"","family":"Tjønnfjord","given":"Geir E.","non-dropping-particle":"","parse-names":false,"suffix":""},{"dropping-particle":"","family":"Holme","given":"Pål A.","non-dropping-particle":"","parse-names":false,"suffix":""}],"container-title":"New England Journal of Medicine","id":"ITEM-1","issued":{"date-parts":[["2021"]]},"title":"Thrombosis and Thrombocytopenia after ChAdOx1 nCoV-19 Vaccination","type":"article-journal"},"uris":["http://www.mendeley.com/documents/?uuid=9332a2bc-9276-44a5-bbb2-a71ad916fd22"]},{"id":"ITEM-2","itemData":{"DOI":"10.1056/nejmoa2104840","ISSN":"0028-4793","PMID":"33835769","abstract":"BACKGROUND Several cases of unusual thrombotic events and thrombocytopenia have developed after vaccination with the recombinant adenoviral vector encoding the spike protein antigen of severe acute respiratory syndrome coronavirus 2 (SARS-CoV-2) (ChAdOx1 nCov-19, AstraZeneca). More data were needed on the pathogenesis of this unusual clotting disorder. METHODS We assessed the clinical and laboratory features of 11 patients in Germany and Austria in whom thrombosis or thrombocytopenia had developed after vaccination with ChAdOx1 nCov-19. We used a standard enzyme-linked immunosorbent assay to detect platelet factor 4 (PF4)-heparin antibodies and a modified (PF4-enhanced) platelet-activation test to detect platelet-activating antibodies under various reaction conditions. Included in this testing were samples from patients who had blood samples referred for investigation of vaccine-associated thrombotic events, with 28 testing positive on a screening PF4-heparin immunoassay. RESULTS Of the 11 original patients, 9 were women, with a median age of 36 years (range, 22 to 49). Beginning 5 to 16 days after vaccination, the patients presented with one or more thrombotic events, with the exception of 1 patient, who presented with fatal intracranial hemorrhage. Of the patients with one or more thrombotic events, 9 had cerebral venous thrombosis, 3 had splanchnic-vein thrombosis, 3 had pulmonary embolism, and 4 had other thromboses; of these patients, 6 died. Five patients had disseminated intravascular coagulation. None of the patients had received heparin before symptom onset. All 28 patients who tested positive for antibodies against PF4-heparin tested positive on the platelet-activation assay in the presence of PF4 independent of heparin. Platelet activation was inhibited by high levels of heparin, Fc receptor-blocking monoclonal antibody, and immune globulin (10 mg per milliliter). Additional studies with PF4 or PF4-heparin affinity purified antibodies in 2 patients confirmed PF4-dependent platelet activation. CONCLUSIONS Vaccination with ChAdOx1 nCov-19 can result in the rare development of immune thrombotic thrombocytopenia mediated by platelet-activating antibodies against PF4, which clinically mimics autoimmune heparin-induced thrombocytopenia. (Funded by the German Research Foundation.).","author":[{"dropping-particle":"","family":"Greinacher","given":"Andreas","non-dropping-particle":"","parse-names":false,"suffix":""},{"dropping-particle":"","family":"Thiele","given":"Thomas","non-dropping-particle":"","parse-names":false,"suffix":""},{"dropping-particle":"","family":"Warkentin","given":"Theodore E.","non-dropping-particle":"","parse-names":false,"suffix":""},{"dropping-particle":"","family":"Weisser","given":"Karin","non-dropping-particle":"","parse-names":false,"suffix":""},{"dropping-particle":"","family":"Kyrle","given":"Paul A.","non-dropping-particle":"","parse-names":false,"suffix":""},{"dropping-particle":"","family":"Eichinger","given":"Sabine","non-dropping-particle":"","parse-names":false,"suffix":""}],"container-title":"New England Journal of Medicine","id":"ITEM-2","issued":{"date-parts":[["2021"]]},"title":"Thrombotic Thrombocytopenia after ChAdOx1 nCov-19 Vaccination","type":"article-journal"},"uris":["http://www.mendeley.com/documents/?uuid=115c2b73-c112-4291-9518-3228fdc213d6"]}],"mendeley":{"formattedCitation":"(40,41)","plainTextFormattedCitation":"(40,41)","previouslyFormattedCitation":"(40,41)"},"properties":{"noteIndex":0},"schema":"https://github.com/citation-style-language/schema/raw/master/csl-citation.json"}</w:instrText>
      </w:r>
      <w:r w:rsidRPr="004447F6">
        <w:rPr>
          <w:rFonts w:cstheme="minorHAnsi"/>
        </w:rPr>
        <w:fldChar w:fldCharType="separate"/>
      </w:r>
      <w:r w:rsidR="00632A99" w:rsidRPr="004447F6">
        <w:rPr>
          <w:rFonts w:cstheme="minorHAnsi"/>
          <w:noProof/>
        </w:rPr>
        <w:t>(40,41)</w:t>
      </w:r>
      <w:r w:rsidRPr="004447F6">
        <w:rPr>
          <w:rFonts w:cstheme="minorHAnsi"/>
        </w:rPr>
        <w:fldChar w:fldCharType="end"/>
      </w:r>
      <w:r w:rsidR="00EA3BA5" w:rsidRPr="004447F6">
        <w:rPr>
          <w:rFonts w:cstheme="minorHAnsi"/>
        </w:rPr>
        <w:t>. The unique clinical features of the syndrome and the consistent temporal relationship with the vaccine led to the confirmation of its causative role. In response to this, many countries, including Germany, US, Norway, Canada, the UK and others, suspended or amended the target age ranges of the implicated vaccines: ChAdOx1 and Ad26.CoV2.S</w:t>
      </w:r>
      <w:r w:rsidRPr="004447F6">
        <w:rPr>
          <w:rFonts w:cstheme="minorHAnsi"/>
        </w:rPr>
        <w:t xml:space="preserve"> </w:t>
      </w:r>
      <w:r w:rsidRPr="004447F6">
        <w:rPr>
          <w:rFonts w:cstheme="minorHAnsi"/>
        </w:rPr>
        <w:fldChar w:fldCharType="begin" w:fldLock="1"/>
      </w:r>
      <w:r w:rsidR="00DB0E82" w:rsidRPr="004447F6">
        <w:rPr>
          <w:rFonts w:cstheme="minorHAnsi"/>
        </w:rPr>
        <w:instrText>ADDIN CSL_CITATION {"citationItems":[{"id":"ITEM-1","itemData":{"URL":"https://www.gov.uk/government/publications/use-of-the-astrazeneca-covid-19-vaccine-jcvi-statement/jcvi-statement-on-use-of-the-astrazeneca-covid-19-vaccine-7-april-2021","accessed":{"date-parts":[["2021","4","8"]]},"author":[{"dropping-particle":"","family":"Joint Committee on Vaccines and Immunisation (JCVI)","given":"","non-dropping-particle":"","parse-names":false,"suffix":""}],"id":"ITEM-1","issued":{"date-parts":[["2021"]]},"title":"JCVI statement on use of the AstraZeneca COVID-19 vaccine: 7 April 2021","type":"webpage"},"uris":["http://www.mendeley.com/documents/?uuid=00819707-38de-448b-b679-ae1a1557582b"]},{"id":"ITEM-2","itemData":{"container-title":"BBC News","id":"ITEM-2","issued":{"date-parts":[["2021"]]},"title":"Covid: Germany limits use of AstraZeneca Covid jab for under-60s","type":"article-newspaper"},"uris":["http://www.mendeley.com/documents/?uuid=0d16bd38-ec05-4f43-854d-cddf5ed99635"]}],"mendeley":{"formattedCitation":"(42,43)","plainTextFormattedCitation":"(42,43)","previouslyFormattedCitation":"(42,43)"},"properties":{"noteIndex":0},"schema":"https://github.com/citation-style-language/schema/raw/master/csl-citation.json"}</w:instrText>
      </w:r>
      <w:r w:rsidRPr="004447F6">
        <w:rPr>
          <w:rFonts w:cstheme="minorHAnsi"/>
        </w:rPr>
        <w:fldChar w:fldCharType="separate"/>
      </w:r>
      <w:r w:rsidR="00632A99" w:rsidRPr="004447F6">
        <w:rPr>
          <w:rFonts w:cstheme="minorHAnsi"/>
          <w:noProof/>
        </w:rPr>
        <w:t>(42,43)</w:t>
      </w:r>
      <w:r w:rsidRPr="004447F6">
        <w:rPr>
          <w:rFonts w:cstheme="minorHAnsi"/>
        </w:rPr>
        <w:fldChar w:fldCharType="end"/>
      </w:r>
      <w:r w:rsidR="00EA3BA5" w:rsidRPr="004447F6">
        <w:rPr>
          <w:rFonts w:cstheme="minorHAnsi"/>
        </w:rPr>
        <w:t xml:space="preserve">. </w:t>
      </w:r>
      <w:r w:rsidR="00F04FCE" w:rsidRPr="004447F6">
        <w:rPr>
          <w:rFonts w:cstheme="minorHAnsi"/>
        </w:rPr>
        <w:t xml:space="preserve">As of </w:t>
      </w:r>
      <w:r w:rsidR="00E70A26" w:rsidRPr="004447F6">
        <w:rPr>
          <w:rFonts w:cstheme="minorHAnsi"/>
        </w:rPr>
        <w:t>2</w:t>
      </w:r>
      <w:r w:rsidR="00E70A26" w:rsidRPr="004447F6">
        <w:rPr>
          <w:rFonts w:cstheme="minorHAnsi"/>
          <w:vertAlign w:val="superscript"/>
        </w:rPr>
        <w:t>nd</w:t>
      </w:r>
      <w:r w:rsidR="00E70A26" w:rsidRPr="004447F6">
        <w:rPr>
          <w:rFonts w:cstheme="minorHAnsi"/>
        </w:rPr>
        <w:t xml:space="preserve"> </w:t>
      </w:r>
      <w:r w:rsidR="00F04FCE" w:rsidRPr="004447F6">
        <w:rPr>
          <w:rFonts w:cstheme="minorHAnsi"/>
        </w:rPr>
        <w:t xml:space="preserve">of </w:t>
      </w:r>
      <w:r w:rsidR="00E70A26" w:rsidRPr="004447F6">
        <w:rPr>
          <w:rFonts w:cstheme="minorHAnsi"/>
        </w:rPr>
        <w:t xml:space="preserve">June </w:t>
      </w:r>
      <w:r w:rsidR="00F04FCE" w:rsidRPr="004447F6">
        <w:rPr>
          <w:rFonts w:cstheme="minorHAnsi"/>
        </w:rPr>
        <w:t xml:space="preserve">2021, there </w:t>
      </w:r>
      <w:r w:rsidRPr="004447F6">
        <w:rPr>
          <w:rFonts w:cstheme="minorHAnsi"/>
        </w:rPr>
        <w:t>have been</w:t>
      </w:r>
      <w:r w:rsidR="00F04FCE" w:rsidRPr="004447F6">
        <w:rPr>
          <w:rFonts w:cstheme="minorHAnsi"/>
        </w:rPr>
        <w:t xml:space="preserve"> </w:t>
      </w:r>
      <w:r w:rsidR="00E70A26" w:rsidRPr="004447F6">
        <w:rPr>
          <w:rFonts w:cstheme="minorHAnsi"/>
        </w:rPr>
        <w:t xml:space="preserve">372 </w:t>
      </w:r>
      <w:r w:rsidRPr="004447F6">
        <w:rPr>
          <w:rFonts w:cstheme="minorHAnsi"/>
        </w:rPr>
        <w:t xml:space="preserve">cases </w:t>
      </w:r>
      <w:r w:rsidR="00F04FCE" w:rsidRPr="004447F6">
        <w:rPr>
          <w:rFonts w:cstheme="minorHAnsi"/>
        </w:rPr>
        <w:t xml:space="preserve">of VITT reported to the UK </w:t>
      </w:r>
      <w:r w:rsidR="008F6185" w:rsidRPr="004447F6">
        <w:rPr>
          <w:rFonts w:cstheme="minorHAnsi"/>
        </w:rPr>
        <w:t>Medicines and Healthcare products Regulatory Agency (</w:t>
      </w:r>
      <w:r w:rsidR="00F04FCE" w:rsidRPr="004447F6">
        <w:rPr>
          <w:rFonts w:cstheme="minorHAnsi"/>
        </w:rPr>
        <w:t>MHRA</w:t>
      </w:r>
      <w:r w:rsidR="008F6185" w:rsidRPr="004447F6">
        <w:rPr>
          <w:rFonts w:cstheme="minorHAnsi"/>
        </w:rPr>
        <w:t>)</w:t>
      </w:r>
      <w:r w:rsidR="00F04FCE" w:rsidRPr="004447F6">
        <w:rPr>
          <w:rFonts w:cstheme="minorHAnsi"/>
        </w:rPr>
        <w:t xml:space="preserve">, of which </w:t>
      </w:r>
      <w:r w:rsidR="00BE7B11" w:rsidRPr="004447F6">
        <w:rPr>
          <w:rFonts w:cstheme="minorHAnsi"/>
        </w:rPr>
        <w:t xml:space="preserve">135 </w:t>
      </w:r>
      <w:r w:rsidR="00F04FCE" w:rsidRPr="004447F6">
        <w:rPr>
          <w:rFonts w:cstheme="minorHAnsi"/>
        </w:rPr>
        <w:t>had CVST</w:t>
      </w:r>
      <w:r w:rsidR="00522890" w:rsidRPr="004447F6">
        <w:rPr>
          <w:rFonts w:cstheme="minorHAnsi"/>
        </w:rPr>
        <w:t xml:space="preserve"> </w:t>
      </w:r>
      <w:r w:rsidR="00522890" w:rsidRPr="004447F6">
        <w:rPr>
          <w:rFonts w:cstheme="minorHAnsi"/>
        </w:rPr>
        <w:fldChar w:fldCharType="begin" w:fldLock="1"/>
      </w:r>
      <w:r w:rsidR="00CB023D" w:rsidRPr="004447F6">
        <w:rPr>
          <w:rFonts w:cstheme="minorHAnsi"/>
        </w:rPr>
        <w:instrText>ADDIN CSL_CITATION {"citationItems":[{"id":"ITEM-1","itemData":{"URL":"https://www.gov.uk/government/publications/coronavirus-covid-19-vaccine-adverse-reactions/coronavirus-vaccine-summary-of-yellow-card-reporting","accessed":{"date-parts":[["2021","2","22"]]},"author":[{"dropping-particle":"","family":"Medicines &amp; Healthcare Products Regulatory Agency","given":"","non-dropping-particle":"","parse-names":false,"suffix":""}],"id":"ITEM-1","issued":{"date-parts":[["2021"]]},"title":"Coronavirus vaccine - weekly summary of Yellow Card reporting","type":"webpage"},"uris":["http://www.mendeley.com/documents/?uuid=654cd1d9-780f-4030-ac84-56b5e9604b4b"]}],"mendeley":{"formattedCitation":"(8)","plainTextFormattedCitation":"(8)","previouslyFormattedCitation":"(8)"},"properties":{"noteIndex":0},"schema":"https://github.com/citation-style-language/schema/raw/master/csl-citation.json"}</w:instrText>
      </w:r>
      <w:r w:rsidR="00522890" w:rsidRPr="004447F6">
        <w:rPr>
          <w:rFonts w:cstheme="minorHAnsi"/>
        </w:rPr>
        <w:fldChar w:fldCharType="separate"/>
      </w:r>
      <w:r w:rsidR="00CB023D" w:rsidRPr="004447F6">
        <w:rPr>
          <w:rFonts w:cstheme="minorHAnsi"/>
          <w:noProof/>
        </w:rPr>
        <w:t>(8)</w:t>
      </w:r>
      <w:r w:rsidR="00522890" w:rsidRPr="004447F6">
        <w:rPr>
          <w:rFonts w:cstheme="minorHAnsi"/>
        </w:rPr>
        <w:fldChar w:fldCharType="end"/>
      </w:r>
      <w:r w:rsidRPr="004447F6">
        <w:rPr>
          <w:rFonts w:cstheme="minorHAnsi"/>
        </w:rPr>
        <w:t xml:space="preserve">. This translates to </w:t>
      </w:r>
      <w:r w:rsidR="00F04FCE" w:rsidRPr="004447F6">
        <w:rPr>
          <w:rFonts w:cstheme="minorHAnsi"/>
        </w:rPr>
        <w:t xml:space="preserve">an overall incidence of </w:t>
      </w:r>
      <w:r w:rsidR="00BE7B11" w:rsidRPr="004447F6">
        <w:rPr>
          <w:rFonts w:cstheme="minorHAnsi"/>
        </w:rPr>
        <w:t xml:space="preserve">14.2 </w:t>
      </w:r>
      <w:r w:rsidRPr="004447F6">
        <w:rPr>
          <w:rFonts w:cstheme="minorHAnsi"/>
        </w:rPr>
        <w:t xml:space="preserve">cases </w:t>
      </w:r>
      <w:r w:rsidR="00F04FCE" w:rsidRPr="004447F6">
        <w:rPr>
          <w:rFonts w:cstheme="minorHAnsi"/>
        </w:rPr>
        <w:t xml:space="preserve">per </w:t>
      </w:r>
      <w:r w:rsidRPr="004447F6">
        <w:rPr>
          <w:rFonts w:cstheme="minorHAnsi"/>
        </w:rPr>
        <w:t xml:space="preserve">every </w:t>
      </w:r>
      <w:r w:rsidR="00F04FCE" w:rsidRPr="004447F6">
        <w:rPr>
          <w:rFonts w:cstheme="minorHAnsi"/>
        </w:rPr>
        <w:t xml:space="preserve">million doses administered. An epidemiological study of Danish and Norwegian adults </w:t>
      </w:r>
      <w:r w:rsidR="008F6185" w:rsidRPr="004447F6">
        <w:rPr>
          <w:rFonts w:cstheme="minorHAnsi"/>
        </w:rPr>
        <w:t>reported</w:t>
      </w:r>
      <w:r w:rsidR="00F04FCE" w:rsidRPr="004447F6">
        <w:rPr>
          <w:rFonts w:cstheme="minorHAnsi"/>
        </w:rPr>
        <w:t xml:space="preserve"> a higher incidence of CVST post ChAdOx1 vaccine with an excess of 2.5 events for every 100</w:t>
      </w:r>
      <w:r w:rsidRPr="004447F6">
        <w:rPr>
          <w:rFonts w:cstheme="minorHAnsi"/>
        </w:rPr>
        <w:t>,</w:t>
      </w:r>
      <w:r w:rsidR="00F04FCE" w:rsidRPr="004447F6">
        <w:rPr>
          <w:rFonts w:cstheme="minorHAnsi"/>
        </w:rPr>
        <w:t>000 vaccines administered</w:t>
      </w:r>
      <w:r w:rsidR="002A6572" w:rsidRPr="004447F6">
        <w:rPr>
          <w:rFonts w:cstheme="minorHAnsi"/>
        </w:rPr>
        <w:t xml:space="preserve"> </w:t>
      </w:r>
      <w:r w:rsidR="002A6572" w:rsidRPr="004447F6">
        <w:rPr>
          <w:rFonts w:cstheme="minorHAnsi"/>
        </w:rPr>
        <w:fldChar w:fldCharType="begin" w:fldLock="1"/>
      </w:r>
      <w:r w:rsidR="00DB0E82" w:rsidRPr="004447F6">
        <w:rPr>
          <w:rFonts w:cstheme="minorHAnsi"/>
        </w:rPr>
        <w:instrText>ADDIN CSL_CITATION {"citationItems":[{"id":"ITEM-1","itemData":{"DOI":"10.1136/bmj.n1114","ISSN":"17561833","PMID":"33952445","abstract":"Objective: To assess rates of cardiovascular and haemostatic events in the first 28 days after vaccination with the Oxford-AstraZeneca vaccine ChAdOx1-S in Denmark and Norway and to compare them with rates observed in the general populations. Design: Population based cohort study. Setting: Nationwide healthcare registers in Denmark and Norway. Participants: All people aged 18-65 years who received a first vaccination with ChAdOx1-S from 9 February 2021 to 11 March 2021. The general populations of Denmark (2016-18) and Norway (2018-19) served as comparator cohorts. Main outcome measures: Observed 28 day rates of hospital contacts for incident arterial events, venous thromboembolism, thrombocytopenia/coagulation disorders, and bleeding among vaccinated people compared with expected rates, based on national age and sex specific background rates from the general populations of the two countries. Results: The vaccinated cohorts comprised 148 792 people in Denmark (median age 45 years, 80% women) and 132 472 in Norway (median age 44 years, 78% women), who received their first dose of ChAdOx1-S. Among 281 264 people who received ChAdOx1-S, the standardised morbidity ratio for arterial events was 0.97 (95% confidence interval 0.77 to 1.20). 59 venous thromboembolic events were observed in the vaccinated cohort compared with 30 expected based on the incidence rates in the general population, corresponding to a standardised morbidity ratio of 1.97 (1.50 to 2.54) and 11 (5.6 to 17.0) excess events per 100 000 vaccinations. A higher than expected rate of cerebral venous thrombosis was observed: standardised morbidity ratio 20.25 (8.14 to 41.73); an excess of 2.5 (0.9 to 5.2) events per 100 000 vaccinations. The standardised morbidity ratio for any thrombocytopenia/coagulation disorders was 1.52 (0.97 to 2.25) and for any bleeding was 1.23 (0.97 to 1.55). 15 deaths were observed in the vaccine cohort compared with 44 expected. Conclusions: Among recipients of ChAdOx1-S, increased rates of venous thromboembolic events, including cerebral venous thrombosis, were observed. For the remaining safety outcomes, results were largely reassuring, with slightly higher rates of thrombocytopenia/coagulation disorders and bleeding, which could be influenced by increased surveillance of vaccine recipients. The absolute risks of venous thromboembolic events were, however, small, and the findings should be interpreted in the light of the proven beneficial effects of the vaccine, the…","author":[{"dropping-particle":"","family":"Pottegård","given":"Anton","non-dropping-particle":"","parse-names":false,"suffix":""},{"dropping-particle":"","family":"Lund","given":"Lars Christian","non-dropping-particle":"","parse-names":false,"suffix":""},{"dropping-particle":"","family":"Karlstad","given":"Øystein","non-dropping-particle":"","parse-names":false,"suffix":""},{"dropping-particle":"","family":"Dahl","given":"Jesper","non-dropping-particle":"","parse-names":false,"suffix":""},{"dropping-particle":"","family":"Andersen","given":"Morten","non-dropping-particle":"","parse-names":false,"suffix":""},{"dropping-particle":"","family":"Hallas","given":"Jesper","non-dropping-particle":"","parse-names":false,"suffix":""},{"dropping-particle":"","family":"Lidegaard","given":"Øjvind","non-dropping-particle":"","parse-names":false,"suffix":""},{"dropping-particle":"","family":"Tapia","given":"German","non-dropping-particle":"","parse-names":false,"suffix":""},{"dropping-particle":"","family":"Gulseth","given":"Hanne Løvdal","non-dropping-particle":"","parse-names":false,"suffix":""},{"dropping-particle":"","family":"Ruiz","given":"Paz Lopez Doriga","non-dropping-particle":"","parse-names":false,"suffix":""},{"dropping-particle":"","family":"Watle","given":"Sara Viksmoen","non-dropping-particle":"","parse-names":false,"suffix":""},{"dropping-particle":"","family":"Mikkelsen","given":"Anders Pretzmann","non-dropping-particle":"","parse-names":false,"suffix":""},{"dropping-particle":"","family":"Pedersen","given":"Lars","non-dropping-particle":"","parse-names":false,"suffix":""},{"dropping-particle":"","family":"Sørensen","given":"Henrik Toft","non-dropping-particle":"","parse-names":false,"suffix":""},{"dropping-particle":"","family":"Thomsen","given":"Reimar Wernich","non-dropping-particle":"","parse-names":false,"suffix":""},{"dropping-particle":"","family":"Hviid","given":"Anders","non-dropping-particle":"","parse-names":false,"suffix":""}],"container-title":"The BMJ","id":"ITEM-1","issued":{"date-parts":[["2021"]]},"title":"Arterial events, venous thromboembolism, thrombocytopenia, and bleeding after vaccination with Oxford-AstraZeneca ChAdOx1-S in Denmark and Norway: Population based cohort study","type":"article-journal","volume":"373"},"uris":["http://www.mendeley.com/documents/?uuid=462a65e9-7c31-4aa9-9954-90b6ac0a5ada"]}],"mendeley":{"formattedCitation":"(44)","plainTextFormattedCitation":"(44)","previouslyFormattedCitation":"(44)"},"properties":{"noteIndex":0},"schema":"https://github.com/citation-style-language/schema/raw/master/csl-citation.json"}</w:instrText>
      </w:r>
      <w:r w:rsidR="002A6572" w:rsidRPr="004447F6">
        <w:rPr>
          <w:rFonts w:cstheme="minorHAnsi"/>
        </w:rPr>
        <w:fldChar w:fldCharType="separate"/>
      </w:r>
      <w:r w:rsidR="00632A99" w:rsidRPr="004447F6">
        <w:rPr>
          <w:rFonts w:cstheme="minorHAnsi"/>
          <w:noProof/>
        </w:rPr>
        <w:t>(44)</w:t>
      </w:r>
      <w:r w:rsidR="002A6572" w:rsidRPr="004447F6">
        <w:rPr>
          <w:rFonts w:cstheme="minorHAnsi"/>
        </w:rPr>
        <w:fldChar w:fldCharType="end"/>
      </w:r>
      <w:r w:rsidR="002A6572" w:rsidRPr="004447F6">
        <w:rPr>
          <w:rFonts w:cstheme="minorHAnsi"/>
        </w:rPr>
        <w:t>.</w:t>
      </w:r>
    </w:p>
    <w:p w14:paraId="38652AF6" w14:textId="6A7A1715" w:rsidR="00221BD1" w:rsidRPr="004447F6" w:rsidDel="00B837EE" w:rsidRDefault="00FB208E" w:rsidP="003D55B0">
      <w:pPr>
        <w:spacing w:line="360" w:lineRule="auto"/>
        <w:jc w:val="both"/>
        <w:rPr>
          <w:rFonts w:cstheme="minorHAnsi"/>
        </w:rPr>
      </w:pPr>
      <w:r w:rsidRPr="004447F6">
        <w:rPr>
          <w:rFonts w:cstheme="minorHAnsi"/>
        </w:rPr>
        <w:t>Neurological adverse events are tracked by national regulatory bodies worldwide</w:t>
      </w:r>
      <w:r w:rsidR="008B3153" w:rsidRPr="004447F6">
        <w:rPr>
          <w:rFonts w:cstheme="minorHAnsi"/>
        </w:rPr>
        <w:t>.</w:t>
      </w:r>
      <w:r w:rsidR="008F6185" w:rsidRPr="004447F6">
        <w:rPr>
          <w:rFonts w:cstheme="minorHAnsi"/>
        </w:rPr>
        <w:t xml:space="preserve"> This includes the UK MHRA</w:t>
      </w:r>
      <w:r w:rsidR="00B837EE" w:rsidRPr="004447F6">
        <w:rPr>
          <w:rFonts w:cstheme="minorHAnsi"/>
        </w:rPr>
        <w:t xml:space="preserve">’s </w:t>
      </w:r>
      <w:r w:rsidR="001F269E" w:rsidRPr="004447F6">
        <w:rPr>
          <w:rFonts w:cstheme="minorHAnsi"/>
        </w:rPr>
        <w:t xml:space="preserve">Yellow Card </w:t>
      </w:r>
      <w:r w:rsidR="00B837EE" w:rsidRPr="004447F6">
        <w:rPr>
          <w:rFonts w:cstheme="minorHAnsi"/>
        </w:rPr>
        <w:t>system</w:t>
      </w:r>
      <w:r w:rsidR="008F6185" w:rsidRPr="004447F6">
        <w:rPr>
          <w:rFonts w:cstheme="minorHAnsi"/>
        </w:rPr>
        <w:t xml:space="preserve"> as well as </w:t>
      </w:r>
      <w:r w:rsidR="00B837EE" w:rsidRPr="004447F6">
        <w:rPr>
          <w:rFonts w:cstheme="minorHAnsi"/>
        </w:rPr>
        <w:t xml:space="preserve">the US </w:t>
      </w:r>
      <w:proofErr w:type="spellStart"/>
      <w:r w:rsidR="00B837EE" w:rsidRPr="004447F6">
        <w:rPr>
          <w:rFonts w:cstheme="minorHAnsi"/>
        </w:rPr>
        <w:t>Centers</w:t>
      </w:r>
      <w:proofErr w:type="spellEnd"/>
      <w:r w:rsidR="00B837EE" w:rsidRPr="004447F6">
        <w:rPr>
          <w:rFonts w:cstheme="minorHAnsi"/>
        </w:rPr>
        <w:t xml:space="preserve"> for Disease Control and Prevention’s Vaccine Adverse Event Reporting System. Both agencies run rapid cycle analysis as well as comparison of observed v</w:t>
      </w:r>
      <w:r w:rsidR="0086228A" w:rsidRPr="004447F6">
        <w:rPr>
          <w:rFonts w:cstheme="minorHAnsi"/>
        </w:rPr>
        <w:t>ersus</w:t>
      </w:r>
      <w:r w:rsidR="00B837EE" w:rsidRPr="004447F6">
        <w:rPr>
          <w:rFonts w:cstheme="minorHAnsi"/>
        </w:rPr>
        <w:t xml:space="preserve"> expected rates to allow early safety signal detection. </w:t>
      </w:r>
      <w:r w:rsidR="00FC31DD" w:rsidRPr="004447F6">
        <w:rPr>
          <w:rFonts w:cstheme="minorHAnsi"/>
        </w:rPr>
        <w:t>S</w:t>
      </w:r>
      <w:r w:rsidR="00DD0CE9" w:rsidRPr="004447F6">
        <w:rPr>
          <w:rFonts w:cstheme="minorHAnsi"/>
        </w:rPr>
        <w:t xml:space="preserve">everal hundred </w:t>
      </w:r>
      <w:r w:rsidR="0086228A" w:rsidRPr="004447F6">
        <w:rPr>
          <w:rFonts w:cstheme="minorHAnsi"/>
        </w:rPr>
        <w:t>Y</w:t>
      </w:r>
      <w:r w:rsidR="00DD0CE9" w:rsidRPr="004447F6">
        <w:rPr>
          <w:rFonts w:cstheme="minorHAnsi"/>
        </w:rPr>
        <w:t xml:space="preserve">ellow </w:t>
      </w:r>
      <w:r w:rsidR="0086228A" w:rsidRPr="004447F6">
        <w:rPr>
          <w:rFonts w:cstheme="minorHAnsi"/>
        </w:rPr>
        <w:t>C</w:t>
      </w:r>
      <w:r w:rsidR="00DD0CE9" w:rsidRPr="004447F6">
        <w:rPr>
          <w:rFonts w:cstheme="minorHAnsi"/>
        </w:rPr>
        <w:t xml:space="preserve">ard reports for Bell’s palsy, seizures, GBS and transverse myelitis have been submitted following almost 65 million doses of COVID-19 vaccinations administered in the UK </w:t>
      </w:r>
      <w:r w:rsidR="00FC31DD" w:rsidRPr="004447F6">
        <w:rPr>
          <w:rFonts w:cstheme="minorHAnsi"/>
        </w:rPr>
        <w:fldChar w:fldCharType="begin" w:fldLock="1"/>
      </w:r>
      <w:r w:rsidR="00CB023D" w:rsidRPr="004447F6">
        <w:rPr>
          <w:rFonts w:cstheme="minorHAnsi"/>
        </w:rPr>
        <w:instrText>ADDIN CSL_CITATION {"citationItems":[{"id":"ITEM-1","itemData":{"URL":"https://www.gov.uk/government/publications/coronavirus-covid-19-vaccine-adverse-reactions/coronavirus-vaccine-summary-of-yellow-card-reporting","accessed":{"date-parts":[["2021","2","22"]]},"author":[{"dropping-particle":"","family":"Medicines &amp; Healthcare Products Regulatory Agency","given":"","non-dropping-particle":"","parse-names":false,"suffix":""}],"id":"ITEM-1","issued":{"date-parts":[["2021"]]},"title":"Coronavirus vaccine - weekly summary of Yellow Card reporting","type":"webpage"},"uris":["http://www.mendeley.com/documents/?uuid=654cd1d9-780f-4030-ac84-56b5e9604b4b"]}],"mendeley":{"formattedCitation":"(8)","plainTextFormattedCitation":"(8)","previouslyFormattedCitation":"(8)"},"properties":{"noteIndex":0},"schema":"https://github.com/citation-style-language/schema/raw/master/csl-citation.json"}</w:instrText>
      </w:r>
      <w:r w:rsidR="00FC31DD" w:rsidRPr="004447F6">
        <w:rPr>
          <w:rFonts w:cstheme="minorHAnsi"/>
        </w:rPr>
        <w:fldChar w:fldCharType="separate"/>
      </w:r>
      <w:r w:rsidR="00CB023D" w:rsidRPr="004447F6">
        <w:rPr>
          <w:rFonts w:cstheme="minorHAnsi"/>
          <w:noProof/>
        </w:rPr>
        <w:t>(8)</w:t>
      </w:r>
      <w:r w:rsidR="00FC31DD" w:rsidRPr="004447F6">
        <w:rPr>
          <w:rFonts w:cstheme="minorHAnsi"/>
        </w:rPr>
        <w:fldChar w:fldCharType="end"/>
      </w:r>
      <w:r w:rsidR="00DD0CE9" w:rsidRPr="004447F6">
        <w:rPr>
          <w:rFonts w:cstheme="minorHAnsi"/>
        </w:rPr>
        <w:t xml:space="preserve">. So far, these numbers do not exceed the natural expected </w:t>
      </w:r>
      <w:r w:rsidR="0086228A" w:rsidRPr="004447F6">
        <w:rPr>
          <w:rFonts w:cstheme="minorHAnsi"/>
        </w:rPr>
        <w:t xml:space="preserve">case </w:t>
      </w:r>
      <w:r w:rsidR="00DD0CE9" w:rsidRPr="004447F6">
        <w:rPr>
          <w:rFonts w:cstheme="minorHAnsi"/>
        </w:rPr>
        <w:t>rates</w:t>
      </w:r>
      <w:r w:rsidR="0086228A" w:rsidRPr="004447F6">
        <w:rPr>
          <w:rFonts w:cstheme="minorHAnsi"/>
        </w:rPr>
        <w:t>,</w:t>
      </w:r>
      <w:r w:rsidR="00DD0CE9" w:rsidRPr="004447F6">
        <w:rPr>
          <w:rFonts w:cstheme="minorHAnsi"/>
        </w:rPr>
        <w:t xml:space="preserve"> </w:t>
      </w:r>
      <w:r w:rsidR="001F269E" w:rsidRPr="004447F6">
        <w:rPr>
          <w:rFonts w:cstheme="minorHAnsi"/>
        </w:rPr>
        <w:t xml:space="preserve">although </w:t>
      </w:r>
      <w:r w:rsidR="0086228A" w:rsidRPr="004447F6">
        <w:rPr>
          <w:rFonts w:cstheme="minorHAnsi"/>
        </w:rPr>
        <w:t>reports continue to be closely monitored</w:t>
      </w:r>
      <w:r w:rsidR="00DD0CE9" w:rsidRPr="004447F6">
        <w:rPr>
          <w:rFonts w:cstheme="minorHAnsi"/>
        </w:rPr>
        <w:t xml:space="preserve">. </w:t>
      </w:r>
      <w:r w:rsidR="00141B0F" w:rsidRPr="004447F6">
        <w:rPr>
          <w:rFonts w:cstheme="minorHAnsi"/>
        </w:rPr>
        <w:t>Similarly, there are only individual case reports of neurological adverse events following COVID-19 vaccines in the literature</w:t>
      </w:r>
      <w:r w:rsidR="0086228A" w:rsidRPr="004447F6">
        <w:rPr>
          <w:rFonts w:cstheme="minorHAnsi"/>
        </w:rPr>
        <w:t>; t</w:t>
      </w:r>
      <w:r w:rsidR="00141B0F" w:rsidRPr="004447F6">
        <w:rPr>
          <w:rFonts w:cstheme="minorHAnsi"/>
        </w:rPr>
        <w:t>hese include GBS</w:t>
      </w:r>
      <w:r w:rsidR="00FC31DD" w:rsidRPr="004447F6">
        <w:rPr>
          <w:rFonts w:cstheme="minorHAnsi"/>
        </w:rPr>
        <w:t xml:space="preserve"> </w:t>
      </w:r>
      <w:r w:rsidR="00FC31DD" w:rsidRPr="004447F6">
        <w:rPr>
          <w:rFonts w:cstheme="minorHAnsi"/>
        </w:rPr>
        <w:fldChar w:fldCharType="begin" w:fldLock="1"/>
      </w:r>
      <w:r w:rsidR="00DB0E82" w:rsidRPr="004447F6">
        <w:rPr>
          <w:rFonts w:cstheme="minorHAnsi"/>
        </w:rPr>
        <w:instrText>ADDIN CSL_CITATION {"citationItems":[{"id":"ITEM-1","itemData":{"DOI":"https://doi.org/10.1016/j.idcr.2021.e01143","ISSN":"2214-2509","abstract":"Safety monitoring is of paramount importance for vaccines authorized for emergent use (EUA) by the US Food and Drug Administration (FDA) against SARS-CoV-2. Mass immunization is an essential tool to end the current pandemic, but vaccine surveillance is necessary to identify any potentially associated harms. At the same time, probability of temporal bias should be borne in mind before making conclusions about causality between the vaccine and an attributable undesired effect. We report a case of Guillain-Barré syndrome after the first dose of SARS-CoV-2 vaccine and believe this is a temporal, rather than causal association.","author":[{"dropping-particle":"","family":"Ogbebor","given":"Osakpolor","non-dropping-particle":"","parse-names":false,"suffix":""},{"dropping-particle":"","family":"Seth","given":"Harshit","non-dropping-particle":"","parse-names":false,"suffix":""},{"dropping-particle":"","family":"Min","given":"Zaw","non-dropping-particle":"","parse-names":false,"suffix":""},{"dropping-particle":"","family":"Bhanot","given":"Nitin","non-dropping-particle":"","parse-names":false,"suffix":""}],"container-title":"IDCases","id":"ITEM-1","issued":{"date-parts":[["2021"]]},"page":"e01143","title":"Guillain-Barré syndrome following the first dose of SARS-CoV-2 vaccine: A temporal occurrence, not a causal association","type":"article-journal","volume":"24"},"uris":["http://www.mendeley.com/documents/?uuid=832627f0-4369-4459-ae9e-24eb531b6f8f"]}],"mendeley":{"formattedCitation":"(45)","plainTextFormattedCitation":"(45)","previouslyFormattedCitation":"(45)"},"properties":{"noteIndex":0},"schema":"https://github.com/citation-style-language/schema/raw/master/csl-citation.json"}</w:instrText>
      </w:r>
      <w:r w:rsidR="00FC31DD" w:rsidRPr="004447F6">
        <w:rPr>
          <w:rFonts w:cstheme="minorHAnsi"/>
        </w:rPr>
        <w:fldChar w:fldCharType="separate"/>
      </w:r>
      <w:r w:rsidR="00632A99" w:rsidRPr="004447F6">
        <w:rPr>
          <w:rFonts w:cstheme="minorHAnsi"/>
          <w:noProof/>
        </w:rPr>
        <w:t>(45)</w:t>
      </w:r>
      <w:r w:rsidR="00FC31DD" w:rsidRPr="004447F6">
        <w:rPr>
          <w:rFonts w:cstheme="minorHAnsi"/>
        </w:rPr>
        <w:fldChar w:fldCharType="end"/>
      </w:r>
      <w:r w:rsidR="00FC31DD" w:rsidRPr="004447F6">
        <w:rPr>
          <w:rFonts w:cstheme="minorHAnsi"/>
        </w:rPr>
        <w:t>,</w:t>
      </w:r>
      <w:r w:rsidR="00141B0F" w:rsidRPr="004447F6">
        <w:rPr>
          <w:rFonts w:cstheme="minorHAnsi"/>
        </w:rPr>
        <w:t xml:space="preserve"> Bell’s </w:t>
      </w:r>
      <w:r w:rsidR="00B84131" w:rsidRPr="004447F6">
        <w:rPr>
          <w:rFonts w:cstheme="minorHAnsi"/>
        </w:rPr>
        <w:t>p</w:t>
      </w:r>
      <w:r w:rsidR="00141B0F" w:rsidRPr="004447F6">
        <w:rPr>
          <w:rFonts w:cstheme="minorHAnsi"/>
        </w:rPr>
        <w:t>alsy</w:t>
      </w:r>
      <w:r w:rsidR="003D55B0" w:rsidRPr="004447F6">
        <w:rPr>
          <w:rFonts w:cstheme="minorHAnsi"/>
        </w:rPr>
        <w:t xml:space="preserve"> </w:t>
      </w:r>
      <w:r w:rsidR="003D55B0" w:rsidRPr="004447F6">
        <w:rPr>
          <w:rFonts w:cstheme="minorHAnsi"/>
        </w:rPr>
        <w:fldChar w:fldCharType="begin" w:fldLock="1"/>
      </w:r>
      <w:r w:rsidR="00DB0E82" w:rsidRPr="004447F6">
        <w:rPr>
          <w:rFonts w:cstheme="minorHAnsi"/>
        </w:rPr>
        <w:instrText>ADDIN CSL_CITATION {"citationItems":[{"id":"ITEM-1","itemData":{"DOI":"10.1007/s00415-021-10462-4","ISSN":"14321459","PMID":"33611630","author":[{"dropping-particle":"","family":"Colella","given":"Giuseppe","non-dropping-particle":"","parse-names":false,"suffix":""},{"dropping-particle":"","family":"Orlandi","given":"Massimiliano","non-dropping-particle":"","parse-names":false,"suffix":""},{"dropping-particle":"","family":"Cirillo","given":"Nicola","non-dropping-particle":"","parse-names":false,"suffix":""}],"container-title":"Journal of Neurology","id":"ITEM-1","issued":{"date-parts":[["2021"]]},"title":"Bell’s palsy following COVID-19 vaccination","type":"article-journal"},"uris":["http://www.mendeley.com/documents/?uuid=93f68e57-ea12-4067-9235-e8dcdf6b6cfb"]}],"mendeley":{"formattedCitation":"(46)","plainTextFormattedCitation":"(46)","previouslyFormattedCitation":"(46)"},"properties":{"noteIndex":0},"schema":"https://github.com/citation-style-language/schema/raw/master/csl-citation.json"}</w:instrText>
      </w:r>
      <w:r w:rsidR="003D55B0" w:rsidRPr="004447F6">
        <w:rPr>
          <w:rFonts w:cstheme="minorHAnsi"/>
        </w:rPr>
        <w:fldChar w:fldCharType="separate"/>
      </w:r>
      <w:r w:rsidR="00632A99" w:rsidRPr="004447F6">
        <w:rPr>
          <w:rFonts w:cstheme="minorHAnsi"/>
          <w:noProof/>
        </w:rPr>
        <w:t>(46)</w:t>
      </w:r>
      <w:r w:rsidR="003D55B0" w:rsidRPr="004447F6">
        <w:rPr>
          <w:rFonts w:cstheme="minorHAnsi"/>
        </w:rPr>
        <w:fldChar w:fldCharType="end"/>
      </w:r>
      <w:r w:rsidR="003D55B0" w:rsidRPr="004447F6">
        <w:rPr>
          <w:rFonts w:cstheme="minorHAnsi"/>
        </w:rPr>
        <w:t>,</w:t>
      </w:r>
      <w:r w:rsidR="00141B0F" w:rsidRPr="004447F6">
        <w:rPr>
          <w:rFonts w:cstheme="minorHAnsi"/>
        </w:rPr>
        <w:t xml:space="preserve"> </w:t>
      </w:r>
      <w:r w:rsidR="00B84131" w:rsidRPr="004447F6">
        <w:rPr>
          <w:rFonts w:cstheme="minorHAnsi"/>
        </w:rPr>
        <w:t xml:space="preserve">acute disseminated encephalomyelitis </w:t>
      </w:r>
      <w:r w:rsidR="00141B0F" w:rsidRPr="004447F6">
        <w:rPr>
          <w:rFonts w:cstheme="minorHAnsi"/>
        </w:rPr>
        <w:t>(ADEM)</w:t>
      </w:r>
      <w:r w:rsidR="003D55B0" w:rsidRPr="004447F6">
        <w:rPr>
          <w:rFonts w:cstheme="minorHAnsi"/>
        </w:rPr>
        <w:t xml:space="preserve"> </w:t>
      </w:r>
      <w:r w:rsidR="003D55B0" w:rsidRPr="004447F6">
        <w:rPr>
          <w:rFonts w:cstheme="minorHAnsi"/>
        </w:rPr>
        <w:fldChar w:fldCharType="begin" w:fldLock="1"/>
      </w:r>
      <w:r w:rsidR="00DB0E82" w:rsidRPr="004447F6">
        <w:rPr>
          <w:rFonts w:cstheme="minorHAnsi"/>
        </w:rPr>
        <w:instrText>ADDIN CSL_CITATION {"citationItems":[{"id":"ITEM-1","itemData":{"DOI":"10.1007/s13760-021-01608-2","ISSN":"22402993","author":[{"dropping-particle":"","family":"Cao","given":"Liming","non-dropping-particle":"","parse-names":false,"suffix":""},{"dropping-particle":"","family":"Ren","given":"Lijie","non-dropping-particle":"","parse-names":false,"suffix":""}],"container-title":"Acta Neurologica Belgica","id":"ITEM-1","issued":{"date-parts":[["2021"]]},"title":"Acute disseminated encephalomyelitis after severe acute respiratory syndrome coronavirus 2 vaccination: a case report","type":"article-journal"},"uris":["http://www.mendeley.com/documents/?uuid=39b7aa3f-2fc1-4d2c-8eb5-f70749d08ec9"]}],"mendeley":{"formattedCitation":"(47)","plainTextFormattedCitation":"(47)","previouslyFormattedCitation":"(47)"},"properties":{"noteIndex":0},"schema":"https://github.com/citation-style-language/schema/raw/master/csl-citation.json"}</w:instrText>
      </w:r>
      <w:r w:rsidR="003D55B0" w:rsidRPr="004447F6">
        <w:rPr>
          <w:rFonts w:cstheme="minorHAnsi"/>
        </w:rPr>
        <w:fldChar w:fldCharType="separate"/>
      </w:r>
      <w:r w:rsidR="00632A99" w:rsidRPr="004447F6">
        <w:rPr>
          <w:rFonts w:cstheme="minorHAnsi"/>
          <w:noProof/>
        </w:rPr>
        <w:t>(47)</w:t>
      </w:r>
      <w:r w:rsidR="003D55B0" w:rsidRPr="004447F6">
        <w:rPr>
          <w:rFonts w:cstheme="minorHAnsi"/>
        </w:rPr>
        <w:fldChar w:fldCharType="end"/>
      </w:r>
      <w:r w:rsidR="003D55B0" w:rsidRPr="004447F6">
        <w:rPr>
          <w:rFonts w:cstheme="minorHAnsi"/>
        </w:rPr>
        <w:t>,</w:t>
      </w:r>
      <w:r w:rsidR="00141B0F" w:rsidRPr="004447F6">
        <w:rPr>
          <w:rFonts w:cstheme="minorHAnsi"/>
        </w:rPr>
        <w:t xml:space="preserve"> transverse myelitis</w:t>
      </w:r>
      <w:r w:rsidR="003D55B0" w:rsidRPr="004447F6">
        <w:rPr>
          <w:rFonts w:cstheme="minorHAnsi"/>
        </w:rPr>
        <w:t xml:space="preserve"> </w:t>
      </w:r>
      <w:r w:rsidR="003D55B0" w:rsidRPr="004447F6">
        <w:rPr>
          <w:rFonts w:cstheme="minorHAnsi"/>
        </w:rPr>
        <w:fldChar w:fldCharType="begin" w:fldLock="1"/>
      </w:r>
      <w:r w:rsidR="00DB0E82" w:rsidRPr="004447F6">
        <w:rPr>
          <w:rFonts w:cstheme="minorHAnsi"/>
        </w:rPr>
        <w:instrText>ADDIN CSL_CITATION {"citationItems":[{"id":"ITEM-1","itemData":{"ISBN":"1664-3224","abstract":"&lt;sec&gt;IntroductionAlthough acute transverse myelitis (ATM) is a rare neurological condition (1.34-4.6 cases per million/year) COVID-19-associated ATM cases have occurred during the pandemic.&lt;/sec&gt;&lt;sec&gt;Case-finding methodsWe report a patient from Panama with SARS-CoV-2 infection complicated by ATM and present a comprehensive clinical review of 43 patients with COVID-19-associated ATM from 21 countries published from March 2020 to January 2021. In addition, 3 cases of ATM were reported as serious adverse events during the clinical trials of the COVID-19 vaccine ChAdOx1 nCoV-19 (AZD1222).&lt;/sec&gt;&lt;sec&gt;ResultsAll patients had typical features of ATM with acute onset of paralysis, sensory level and sphincter deficits due to spinal cord lesions demonstrated by imaging. There were 23 males (53%) and 20 females (47%) ranging from ages 21- to 73- years-old (mean age, 49 years), with two peaks at 29 and 58 years, excluding 3 pediatric cases. The main clinical manifestations were quadriplegia (58%) and paraplegia (42%). MRI reports were available in 40 patients; localized ATM lesions affected ≤3 cord segments (12 cases, 30%) at cervical (5 cases) and thoracic cord levels (7 cases); 28 cases (70%) had longitudinally-extensive ATM (LEATM) involving ≥4 spinal cord segments (cervicothoracic in 18 cases and thoracolumbar-sacral in 10 patients). Acute disseminated encephalomyelitis (ADEM) occurred in 8 patients, mainly women (67%) ranging from 27- to 64-years-old. Three ATM patients also had blindness from myeloneuritis optica (MNO) and two more also had acute motor axonal neuropathy (AMAN).&lt;/sec&gt;&lt;sec&gt;ConclusionsWe found ATM to be an unexpectedly frequent neurological complication of COVID-19. Most cases (68%) had a latency of 10 days to 6 weeks that may indicate post-infectious neurological complications mediated by the host’s response to the virus. In 32% a brief latency (15 hours to 5 days) suggested a direct neurotropic effect of SARS-CoV-2. The occurrence of 3 reported ATM adverse effects among 11,636 participants in the AZD1222 vaccine trials is extremely high considering a worldwide incidence of 0.5/million COVID-19-associated ATM cases found in this report. The pathogenesis of ATM remains unknown, but it is conceivable that SARS-CoV-2 antigens –perhaps also present in the AZD1222 COVID-19 vaccine or its chimpanzee adenovirus adjuvant– may induce immune mechanisms leading to the myelitis.&lt;/sec&gt;","author":[{"dropping-particle":"","family":"Román","given":"Gustavo C","non-dropping-particle":"","parse-names":false,"suffix":""},{"dropping-particle":"","family":"Gracia","given":"Fernando","non-dropping-particle":"","parse-names":false,"suffix":""},{"dropping-particle":"","family":"Torres","given":"Antonio","non-dropping-particle":"","parse-names":false,"suffix":""},{"dropping-particle":"","family":"Palacios","given":"Alexis","non-dropping-particle":"","parse-names":false,"suffix":""},{"dropping-particle":"","family":"Gracia","given":"Karla","non-dropping-particle":"","parse-names":false,"suffix":""},{"dropping-particle":"","family":"Harris","given":"Diógenes","non-dropping-particle":"","parse-names":false,"suffix":""}],"container-title":"Frontiers in Immunology  ","id":"ITEM-1","issued":{"date-parts":[["2021"]]},"page":"879","title":"Acute Transverse Myelitis (ATM):Clinical Review of 43 Patients With COVID-19-Associated ATM and 3 Post-Vaccination ATM Serious Adverse Events With the ChAdOx1 nCoV-19 Vaccine (AZD1222)   ","type":"article","volume":"12      "},"uris":["http://www.mendeley.com/documents/?uuid=e9222a85-e4a7-4267-acfc-da7531e160c5"]}],"mendeley":{"formattedCitation":"(48)","plainTextFormattedCitation":"(48)","previouslyFormattedCitation":"(48)"},"properties":{"noteIndex":0},"schema":"https://github.com/citation-style-language/schema/raw/master/csl-citation.json"}</w:instrText>
      </w:r>
      <w:r w:rsidR="003D55B0" w:rsidRPr="004447F6">
        <w:rPr>
          <w:rFonts w:cstheme="minorHAnsi"/>
        </w:rPr>
        <w:fldChar w:fldCharType="separate"/>
      </w:r>
      <w:r w:rsidR="00632A99" w:rsidRPr="004447F6">
        <w:rPr>
          <w:rFonts w:cstheme="minorHAnsi"/>
          <w:noProof/>
        </w:rPr>
        <w:t>(48)</w:t>
      </w:r>
      <w:r w:rsidR="003D55B0" w:rsidRPr="004447F6">
        <w:rPr>
          <w:rFonts w:cstheme="minorHAnsi"/>
        </w:rPr>
        <w:fldChar w:fldCharType="end"/>
      </w:r>
      <w:r w:rsidR="003D55B0" w:rsidRPr="004447F6">
        <w:rPr>
          <w:rFonts w:cstheme="minorHAnsi"/>
        </w:rPr>
        <w:t>,</w:t>
      </w:r>
      <w:r w:rsidR="00141B0F" w:rsidRPr="004447F6">
        <w:rPr>
          <w:rFonts w:cstheme="minorHAnsi"/>
        </w:rPr>
        <w:t xml:space="preserve"> delirium</w:t>
      </w:r>
      <w:r w:rsidR="003D55B0" w:rsidRPr="004447F6">
        <w:rPr>
          <w:rFonts w:cstheme="minorHAnsi"/>
        </w:rPr>
        <w:t xml:space="preserve"> </w:t>
      </w:r>
      <w:r w:rsidR="003D55B0" w:rsidRPr="004447F6">
        <w:rPr>
          <w:rFonts w:cstheme="minorHAnsi"/>
        </w:rPr>
        <w:fldChar w:fldCharType="begin" w:fldLock="1"/>
      </w:r>
      <w:r w:rsidR="00DB0E82" w:rsidRPr="004447F6">
        <w:rPr>
          <w:rFonts w:cstheme="minorHAnsi"/>
        </w:rPr>
        <w:instrText>ADDIN CSL_CITATION {"citationItems":[{"id":"ITEM-1","itemData":{"DOI":"https://doi.org/10.1111/ggi.14163","ISSN":"1444-1586","author":[{"dropping-particle":"","family":"Zavala-Jonguitud","given":"Luis Fernando","non-dropping-particle":"","parse-names":false,"suffix":""},{"dropping-particle":"","family":"Pérez-García","given":"Carla Cristina","non-dropping-particle":"","parse-names":false,"suffix":""}],"container-title":"Geriatrics &amp; Gerontology International","id":"ITEM-1","issue":"6","issued":{"date-parts":[["2021","6","1"]]},"note":"https://doi.org/10.1111/ggi.14163","page":"540","publisher":"John Wiley &amp; Sons, Ltd","title":"Delirium triggered by COVID-19 vaccine in an elderly patient","type":"article-journal","volume":"21"},"uris":["http://www.mendeley.com/documents/?uuid=0291c4cf-f86a-4b9f-9ae3-b44e3883fb55"]}],"mendeley":{"formattedCitation":"(49)","plainTextFormattedCitation":"(49)","previouslyFormattedCitation":"(49)"},"properties":{"noteIndex":0},"schema":"https://github.com/citation-style-language/schema/raw/master/csl-citation.json"}</w:instrText>
      </w:r>
      <w:r w:rsidR="003D55B0" w:rsidRPr="004447F6">
        <w:rPr>
          <w:rFonts w:cstheme="minorHAnsi"/>
        </w:rPr>
        <w:fldChar w:fldCharType="separate"/>
      </w:r>
      <w:r w:rsidR="00632A99" w:rsidRPr="004447F6">
        <w:rPr>
          <w:rFonts w:cstheme="minorHAnsi"/>
          <w:noProof/>
        </w:rPr>
        <w:t>(49)</w:t>
      </w:r>
      <w:r w:rsidR="003D55B0" w:rsidRPr="004447F6">
        <w:rPr>
          <w:rFonts w:cstheme="minorHAnsi"/>
        </w:rPr>
        <w:fldChar w:fldCharType="end"/>
      </w:r>
      <w:r w:rsidR="003D55B0" w:rsidRPr="004447F6">
        <w:rPr>
          <w:rFonts w:cstheme="minorHAnsi"/>
        </w:rPr>
        <w:t>,</w:t>
      </w:r>
      <w:r w:rsidR="00141B0F" w:rsidRPr="004447F6">
        <w:rPr>
          <w:rFonts w:cstheme="minorHAnsi"/>
        </w:rPr>
        <w:t xml:space="preserve"> and seizures </w:t>
      </w:r>
      <w:r w:rsidR="003D55B0" w:rsidRPr="004447F6">
        <w:rPr>
          <w:rFonts w:cstheme="minorHAnsi"/>
        </w:rPr>
        <w:fldChar w:fldCharType="begin" w:fldLock="1"/>
      </w:r>
      <w:r w:rsidR="00DB0E82" w:rsidRPr="004447F6">
        <w:rPr>
          <w:rFonts w:cstheme="minorHAnsi"/>
        </w:rPr>
        <w:instrText>ADDIN CSL_CITATION {"citationItems":[{"id":"ITEM-1","itemData":{"DOI":"10.1016/j.dsx.2021.05.003","ISSN":"18780334","author":[{"dropping-particle":"","family":"Ghosh","given":"Ritwik","non-dropping-particle":"","parse-names":false,"suffix":""},{"dropping-particle":"","family":"Dubey","given":"Souvik","non-dropping-particle":"","parse-names":false,"suffix":""},{"dropping-particle":"","family":"Roy","given":"Dipayan","non-dropping-particle":"","parse-names":false,"suffix":""},{"dropping-particle":"","family":"Mandal","given":"Arpan","non-dropping-particle":"","parse-names":false,"suffix":""},{"dropping-particle":"","family":"Naga","given":"Dinabandhu","non-dropping-particle":"","parse-names":false,"suffix":""},{"dropping-particle":"","family":"Benito-León","given":"Julián","non-dropping-particle":"","parse-names":false,"suffix":""}],"container-title":"Diabetes and Metabolic Syndrome: Clinical Research and Reviews","id":"ITEM-1","issued":{"date-parts":[["2021"]]},"title":"Focal onset non-motor seizure following COVID-19 vaccination: A mere coincidence?","type":"article-journal"},"uris":["http://www.mendeley.com/documents/?uuid=dab8e658-ce10-40b4-a725-4bc772f1f35c"]}],"mendeley":{"formattedCitation":"(50)","plainTextFormattedCitation":"(50)","previouslyFormattedCitation":"(50)"},"properties":{"noteIndex":0},"schema":"https://github.com/citation-style-language/schema/raw/master/csl-citation.json"}</w:instrText>
      </w:r>
      <w:r w:rsidR="003D55B0" w:rsidRPr="004447F6">
        <w:rPr>
          <w:rFonts w:cstheme="minorHAnsi"/>
        </w:rPr>
        <w:fldChar w:fldCharType="separate"/>
      </w:r>
      <w:r w:rsidR="00632A99" w:rsidRPr="004447F6">
        <w:rPr>
          <w:rFonts w:cstheme="minorHAnsi"/>
          <w:noProof/>
        </w:rPr>
        <w:t>(50)</w:t>
      </w:r>
      <w:r w:rsidR="003D55B0" w:rsidRPr="004447F6">
        <w:rPr>
          <w:rFonts w:cstheme="minorHAnsi"/>
        </w:rPr>
        <w:fldChar w:fldCharType="end"/>
      </w:r>
      <w:r w:rsidR="003D55B0" w:rsidRPr="004447F6">
        <w:rPr>
          <w:rFonts w:cstheme="minorHAnsi"/>
        </w:rPr>
        <w:t>.</w:t>
      </w:r>
      <w:r w:rsidR="00141B0F" w:rsidRPr="004447F6">
        <w:rPr>
          <w:rFonts w:cstheme="minorHAnsi"/>
        </w:rPr>
        <w:t xml:space="preserve"> The authors of these articles warn against attributing causality based solely on the temporal association. </w:t>
      </w:r>
    </w:p>
    <w:p w14:paraId="528AC966" w14:textId="055871CC" w:rsidR="00183921" w:rsidRPr="004447F6" w:rsidRDefault="004D1E37" w:rsidP="00183921">
      <w:pPr>
        <w:spacing w:line="360" w:lineRule="auto"/>
        <w:jc w:val="both"/>
        <w:rPr>
          <w:rFonts w:cstheme="minorHAnsi"/>
        </w:rPr>
      </w:pPr>
      <w:r w:rsidRPr="004447F6">
        <w:rPr>
          <w:rFonts w:cstheme="minorHAnsi"/>
        </w:rPr>
        <w:t xml:space="preserve">Several </w:t>
      </w:r>
      <w:r w:rsidR="00322D8E" w:rsidRPr="004447F6">
        <w:rPr>
          <w:rFonts w:cstheme="minorHAnsi"/>
        </w:rPr>
        <w:t>videos</w:t>
      </w:r>
      <w:r w:rsidR="00765421" w:rsidRPr="004447F6">
        <w:rPr>
          <w:rFonts w:cstheme="minorHAnsi"/>
        </w:rPr>
        <w:t xml:space="preserve"> of </w:t>
      </w:r>
      <w:r w:rsidR="0086228A" w:rsidRPr="004447F6">
        <w:rPr>
          <w:rFonts w:cstheme="minorHAnsi"/>
        </w:rPr>
        <w:t xml:space="preserve">neurological and neuropsychiatric </w:t>
      </w:r>
      <w:r w:rsidR="00765421" w:rsidRPr="004447F6">
        <w:rPr>
          <w:rFonts w:cstheme="minorHAnsi"/>
        </w:rPr>
        <w:t>post-vaccination symptoms and signs</w:t>
      </w:r>
      <w:r w:rsidR="00322D8E" w:rsidRPr="004447F6">
        <w:rPr>
          <w:rFonts w:cstheme="minorHAnsi"/>
        </w:rPr>
        <w:t xml:space="preserve"> </w:t>
      </w:r>
      <w:r w:rsidR="0086228A" w:rsidRPr="004447F6">
        <w:rPr>
          <w:rFonts w:cstheme="minorHAnsi"/>
        </w:rPr>
        <w:t xml:space="preserve">have been shared </w:t>
      </w:r>
      <w:r w:rsidR="00765421" w:rsidRPr="004447F6">
        <w:rPr>
          <w:rFonts w:cstheme="minorHAnsi"/>
        </w:rPr>
        <w:t xml:space="preserve">on social media, many of which have </w:t>
      </w:r>
      <w:r w:rsidR="00322D8E" w:rsidRPr="004447F6">
        <w:rPr>
          <w:rFonts w:cstheme="minorHAnsi"/>
        </w:rPr>
        <w:t>been widely shared and</w:t>
      </w:r>
      <w:r w:rsidR="00491F53" w:rsidRPr="004447F6">
        <w:rPr>
          <w:rFonts w:cstheme="minorHAnsi"/>
        </w:rPr>
        <w:t xml:space="preserve"> in some cases picked up by </w:t>
      </w:r>
      <w:r w:rsidR="00322D8E" w:rsidRPr="004447F6">
        <w:rPr>
          <w:rFonts w:cstheme="minorHAnsi"/>
        </w:rPr>
        <w:t>news channels</w:t>
      </w:r>
      <w:r w:rsidR="00915BA7" w:rsidRPr="004447F6">
        <w:rPr>
          <w:rFonts w:cstheme="minorHAnsi"/>
        </w:rPr>
        <w:t xml:space="preserve"> </w:t>
      </w:r>
      <w:r w:rsidR="00C60D3E" w:rsidRPr="004447F6">
        <w:rPr>
          <w:rFonts w:cstheme="minorHAnsi"/>
        </w:rPr>
        <w:fldChar w:fldCharType="begin" w:fldLock="1"/>
      </w:r>
      <w:r w:rsidR="00DB0E82" w:rsidRPr="004447F6">
        <w:rPr>
          <w:rFonts w:cstheme="minorHAnsi"/>
        </w:rPr>
        <w:instrText>ADDIN CSL_CITATION {"citationItems":[{"id":"ITEM-1","itemData":{"DOI":"https://www.wired.com/story/they-claimed-the-covid-vaccine-made-them-sick-and-went-viral/?code=dDm2qMLXnoET5hKYS0mWp60Lr4tWi2D-iQbZbcYjP7g&amp;state=%7B%22redirectURL%22%3A%22https%3A%2F%2Fwww.wired.com%2Fstory%2Fthey-claimed-the-covid-vaccine-made-them-sick-and-went-viral%2F%3Futm_source%3DWIR_REG_GATE%22%7D&amp;utm_source=WIR_REG_GATE","author":[{"dropping-particle":"","family":"Volpicelli","given":"Gian","non-dropping-particle":"","parse-names":false,"suffix":""}],"container-title":"Wired","id":"ITEM-1","issued":{"date-parts":[["2021"]]},"title":"They Claimed the Covid Vaccine Made Them Sick—and Went Viral","type":"article-newspaper"},"uris":["http://www.mendeley.com/documents/?uuid=6bbbde5e-2c57-4858-8c9d-f96fcd0b7d8d"]}],"mendeley":{"formattedCitation":"(51)","plainTextFormattedCitation":"(51)","previouslyFormattedCitation":"(51)"},"properties":{"noteIndex":0},"schema":"https://github.com/citation-style-language/schema/raw/master/csl-citation.json"}</w:instrText>
      </w:r>
      <w:r w:rsidR="00C60D3E" w:rsidRPr="004447F6">
        <w:rPr>
          <w:rFonts w:cstheme="minorHAnsi"/>
        </w:rPr>
        <w:fldChar w:fldCharType="separate"/>
      </w:r>
      <w:r w:rsidR="00632A99" w:rsidRPr="004447F6">
        <w:rPr>
          <w:rFonts w:cstheme="minorHAnsi"/>
          <w:noProof/>
        </w:rPr>
        <w:t>(51)</w:t>
      </w:r>
      <w:r w:rsidR="00C60D3E" w:rsidRPr="004447F6">
        <w:rPr>
          <w:rFonts w:cstheme="minorHAnsi"/>
        </w:rPr>
        <w:fldChar w:fldCharType="end"/>
      </w:r>
      <w:r w:rsidR="00915BA7" w:rsidRPr="004447F6">
        <w:rPr>
          <w:rFonts w:cstheme="minorHAnsi"/>
        </w:rPr>
        <w:t>.</w:t>
      </w:r>
      <w:r w:rsidR="00C60D3E" w:rsidRPr="004447F6">
        <w:rPr>
          <w:rFonts w:cstheme="minorHAnsi"/>
        </w:rPr>
        <w:t xml:space="preserve"> </w:t>
      </w:r>
      <w:r w:rsidR="00765421" w:rsidRPr="004447F6">
        <w:rPr>
          <w:rFonts w:cstheme="minorHAnsi"/>
        </w:rPr>
        <w:t xml:space="preserve">In some </w:t>
      </w:r>
      <w:r w:rsidR="00457564" w:rsidRPr="004447F6">
        <w:rPr>
          <w:rFonts w:cstheme="minorHAnsi"/>
        </w:rPr>
        <w:t xml:space="preserve">of these </w:t>
      </w:r>
      <w:r w:rsidR="00765421" w:rsidRPr="004447F6">
        <w:rPr>
          <w:rFonts w:cstheme="minorHAnsi"/>
        </w:rPr>
        <w:t>widely circulated video</w:t>
      </w:r>
      <w:r w:rsidR="00965B29" w:rsidRPr="004447F6">
        <w:rPr>
          <w:rFonts w:cstheme="minorHAnsi"/>
        </w:rPr>
        <w:t xml:space="preserve">s, from countries such as the United States, </w:t>
      </w:r>
      <w:r w:rsidR="00765421" w:rsidRPr="004447F6">
        <w:rPr>
          <w:rFonts w:cstheme="minorHAnsi"/>
        </w:rPr>
        <w:t>objective</w:t>
      </w:r>
      <w:r w:rsidR="00322D8E" w:rsidRPr="004447F6">
        <w:rPr>
          <w:rFonts w:cstheme="minorHAnsi"/>
        </w:rPr>
        <w:t xml:space="preserve"> clinical features suggestive of </w:t>
      </w:r>
      <w:r w:rsidR="00491F53" w:rsidRPr="004447F6">
        <w:rPr>
          <w:rFonts w:cstheme="minorHAnsi"/>
        </w:rPr>
        <w:t xml:space="preserve">functional neurological disorders </w:t>
      </w:r>
      <w:r w:rsidR="00965B29" w:rsidRPr="004447F6">
        <w:rPr>
          <w:rFonts w:cstheme="minorHAnsi"/>
        </w:rPr>
        <w:t xml:space="preserve">(FND) </w:t>
      </w:r>
      <w:r w:rsidR="00765421" w:rsidRPr="004447F6">
        <w:rPr>
          <w:rFonts w:cstheme="minorHAnsi"/>
        </w:rPr>
        <w:t>have been identified</w:t>
      </w:r>
      <w:r w:rsidR="008B3153" w:rsidRPr="004447F6">
        <w:rPr>
          <w:rFonts w:cstheme="minorHAnsi"/>
        </w:rPr>
        <w:t>, although clinical evaluation would be required to confirm this</w:t>
      </w:r>
      <w:r w:rsidR="00915BA7" w:rsidRPr="004447F6">
        <w:rPr>
          <w:rFonts w:cstheme="minorHAnsi"/>
        </w:rPr>
        <w:t xml:space="preserve"> </w:t>
      </w:r>
      <w:r w:rsidR="00322D8E" w:rsidRPr="004447F6">
        <w:rPr>
          <w:rFonts w:cstheme="minorHAnsi"/>
        </w:rPr>
        <w:fldChar w:fldCharType="begin" w:fldLock="1"/>
      </w:r>
      <w:r w:rsidR="00DB0E82" w:rsidRPr="004447F6">
        <w:rPr>
          <w:rFonts w:cstheme="minorHAnsi"/>
        </w:rPr>
        <w:instrText>ADDIN CSL_CITATION {"citationItems":[{"id":"ITEM-1","itemData":{"URL":"https://www.fndsociety.org/UserFiles/file/FNDSSocietyPressReleaseCOVIDVaccines.pdf","accessed":{"date-parts":[["2021","2","20"]]},"author":[{"dropping-particle":"","family":"Functional Neurological Disorder Society","given":"","non-dropping-particle":"","parse-names":false,"suffix":""}],"id":"ITEM-1","issued":{"date-parts":[["2021"]]},"title":"FNDS Press Release COVID Vaccines","type":"webpage"},"uris":["http://www.mendeley.com/documents/?uuid=94250848-70b7-4e26-95a6-00f61affb44b"]}],"mendeley":{"formattedCitation":"(52)","plainTextFormattedCitation":"(52)","previouslyFormattedCitation":"(52)"},"properties":{"noteIndex":0},"schema":"https://github.com/citation-style-language/schema/raw/master/csl-citation.json"}</w:instrText>
      </w:r>
      <w:r w:rsidR="00322D8E" w:rsidRPr="004447F6">
        <w:rPr>
          <w:rFonts w:cstheme="minorHAnsi"/>
        </w:rPr>
        <w:fldChar w:fldCharType="separate"/>
      </w:r>
      <w:r w:rsidR="00632A99" w:rsidRPr="004447F6">
        <w:rPr>
          <w:rFonts w:cstheme="minorHAnsi"/>
          <w:noProof/>
        </w:rPr>
        <w:t>(52)</w:t>
      </w:r>
      <w:r w:rsidR="00322D8E" w:rsidRPr="004447F6">
        <w:rPr>
          <w:rFonts w:cstheme="minorHAnsi"/>
        </w:rPr>
        <w:fldChar w:fldCharType="end"/>
      </w:r>
      <w:r w:rsidR="00915BA7" w:rsidRPr="004447F6">
        <w:rPr>
          <w:rFonts w:cstheme="minorHAnsi"/>
        </w:rPr>
        <w:t>.</w:t>
      </w:r>
      <w:r w:rsidR="00322D8E" w:rsidRPr="004447F6">
        <w:rPr>
          <w:rFonts w:cstheme="minorHAnsi"/>
        </w:rPr>
        <w:t xml:space="preserve"> </w:t>
      </w:r>
      <w:r w:rsidR="001916A4" w:rsidRPr="004447F6">
        <w:rPr>
          <w:rFonts w:cstheme="minorHAnsi"/>
        </w:rPr>
        <w:t>Further</w:t>
      </w:r>
      <w:r w:rsidR="00DD0CE9" w:rsidRPr="004447F6">
        <w:rPr>
          <w:rFonts w:cstheme="minorHAnsi"/>
        </w:rPr>
        <w:t xml:space="preserve">, </w:t>
      </w:r>
      <w:r w:rsidR="001916A4" w:rsidRPr="004447F6">
        <w:rPr>
          <w:rFonts w:cstheme="minorHAnsi"/>
        </w:rPr>
        <w:t>64 anxiety-related adverse events (such as syncope, sweating or dizziness) were reported in clusters following Ad26.CoV2.S vaccination in the US</w:t>
      </w:r>
      <w:r w:rsidR="009971C9" w:rsidRPr="004447F6">
        <w:rPr>
          <w:rFonts w:cstheme="minorHAnsi"/>
        </w:rPr>
        <w:t xml:space="preserve"> </w:t>
      </w:r>
      <w:r w:rsidR="009971C9" w:rsidRPr="004447F6">
        <w:rPr>
          <w:rFonts w:cstheme="minorHAnsi"/>
        </w:rPr>
        <w:fldChar w:fldCharType="begin" w:fldLock="1"/>
      </w:r>
      <w:r w:rsidR="00DB0E82" w:rsidRPr="004447F6">
        <w:rPr>
          <w:rFonts w:cstheme="minorHAnsi"/>
        </w:rPr>
        <w:instrText>ADDIN CSL_CITATION {"citationItems":[{"id":"ITEM-1","itemData":{"DOI":"10.15585/mmwr.mm7018e3","ISSN":"0149-2195","PMID":"33956781","abstract":"On April 7, 2021, after 5 weeks' use of the Janssen COVID-19 vaccine under the Food and Drug Administration (FDA) Emergency Use Authorization (EUA), CDC received reports of clusters of anxiety-related events after administration of Janssen COVID-19 vaccine from five mass vaccination sites, all in different states. To further investigate these cases, CDC interviewed vaccination site staff members to gather additional information about the reported events and vaccination site practices. Four of the five sites temporarily closed while an investigation took place. Overall, 64 anxiety-related events, including 17 reports of syncope (fainting), an anxiety-related event, among 8,624 Janssen COVID-19 vaccine recipients, were reported from these sites for vaccines administered during April 7-9. As a follow-up to these interviews, CDC analyzed reports of syncope shortly after receipt of Janssen COVID-19 vaccine to the Vaccine Adverse Event Reporting System (VAERS), the vaccine safety monitoring program managed by CDC and FDA. To compare the occurrence of these events with those reported after receipt of other vaccines, reports of syncopal events after influenza vaccine administered in the 2019-20 influenza season were also reviewed. Syncope after Janssen COVID-19 vaccination was reported to VAERS (8.2 episodes per 100,000 doses). By comparison, after influenza vaccination, the reporting rate of syncope was 0.05 episodes per 100,000 doses. Anxiety-related events can occur after any vaccination. It is important that vaccination providers are aware that anxiety-related adverse events might be reported more frequently after receipt of the Janssen COVID-19 vaccine than after influenza vaccination and observe all COVID-19 vaccine recipients for any adverse reactions for at least 15 minutes after vaccine administration.","author":[{"dropping-particle":"","family":"Hause","given":"Anne M.","non-dropping-particle":"","parse-names":false,"suffix":""},{"dropping-particle":"","family":"Gee","given":"Julianne","non-dropping-particle":"","parse-names":false,"suffix":""},{"dropping-particle":"","family":"Johnson","given":"Tara","non-dropping-particle":"","parse-names":false,"suffix":""},{"dropping-particle":"","family":"Jazwa","given":"Amelia","non-dropping-particle":"","parse-names":false,"suffix":""},{"dropping-particle":"","family":"Marquez","given":"Paige","non-dropping-particle":"","parse-names":false,"suffix":""},{"dropping-particle":"","family":"Miller","given":"Elaine","non-dropping-particle":"","parse-names":false,"suffix":""},{"dropping-particle":"","family":"Su","given":"John","non-dropping-particle":"","parse-names":false,"suffix":""},{"dropping-particle":"","family":"Shimabukuro","given":"Tom T.","non-dropping-particle":"","parse-names":false,"suffix":""},{"dropping-particle":"","family":"Shay","given":"David K.","non-dropping-particle":"","parse-names":false,"suffix":""}],"container-title":"MMWR. Morbidity and Mortality Weekly Report","id":"ITEM-1","issue":"18","issued":{"date-parts":[["2021"]]},"page":"685-688","title":"Anxiety-Related Adverse Event Clusters After Janssen COVID-19 Vaccination — Five U.S. Mass Vaccination Sites, April 2021","type":"article-journal","volume":"70"},"uris":["http://www.mendeley.com/documents/?uuid=f44687dd-f502-48b8-a2f0-17135084f4e5"]}],"mendeley":{"formattedCitation":"(53)","plainTextFormattedCitation":"(53)","previouslyFormattedCitation":"(53)"},"properties":{"noteIndex":0},"schema":"https://github.com/citation-style-language/schema/raw/master/csl-citation.json"}</w:instrText>
      </w:r>
      <w:r w:rsidR="009971C9" w:rsidRPr="004447F6">
        <w:rPr>
          <w:rFonts w:cstheme="minorHAnsi"/>
        </w:rPr>
        <w:fldChar w:fldCharType="separate"/>
      </w:r>
      <w:r w:rsidR="00632A99" w:rsidRPr="004447F6">
        <w:rPr>
          <w:rFonts w:cstheme="minorHAnsi"/>
          <w:noProof/>
        </w:rPr>
        <w:t>(53)</w:t>
      </w:r>
      <w:r w:rsidR="009971C9" w:rsidRPr="004447F6">
        <w:rPr>
          <w:rFonts w:cstheme="minorHAnsi"/>
        </w:rPr>
        <w:fldChar w:fldCharType="end"/>
      </w:r>
      <w:r w:rsidR="009971C9" w:rsidRPr="004447F6">
        <w:rPr>
          <w:rFonts w:cstheme="minorHAnsi"/>
        </w:rPr>
        <w:t>.</w:t>
      </w:r>
      <w:r w:rsidR="001916A4" w:rsidRPr="004447F6">
        <w:rPr>
          <w:rFonts w:cstheme="minorHAnsi"/>
        </w:rPr>
        <w:t xml:space="preserve"> All were classified as non-</w:t>
      </w:r>
      <w:r w:rsidR="009971C9" w:rsidRPr="004447F6">
        <w:rPr>
          <w:rFonts w:cstheme="minorHAnsi"/>
        </w:rPr>
        <w:t>serious,</w:t>
      </w:r>
      <w:r w:rsidR="001916A4" w:rsidRPr="004447F6">
        <w:rPr>
          <w:rFonts w:cstheme="minorHAnsi"/>
        </w:rPr>
        <w:t xml:space="preserve"> but the authors highlighted that the importance of recognising such events </w:t>
      </w:r>
      <w:r w:rsidR="0086228A" w:rsidRPr="004447F6">
        <w:rPr>
          <w:rFonts w:cstheme="minorHAnsi"/>
        </w:rPr>
        <w:t>to</w:t>
      </w:r>
      <w:r w:rsidR="001916A4" w:rsidRPr="004447F6">
        <w:rPr>
          <w:rFonts w:cstheme="minorHAnsi"/>
        </w:rPr>
        <w:t xml:space="preserve"> provide reassurance to the affected </w:t>
      </w:r>
      <w:r w:rsidR="00530E65" w:rsidRPr="004447F6">
        <w:rPr>
          <w:rFonts w:cstheme="minorHAnsi"/>
        </w:rPr>
        <w:t>individuals</w:t>
      </w:r>
      <w:r w:rsidR="001916A4" w:rsidRPr="004447F6">
        <w:rPr>
          <w:rFonts w:cstheme="minorHAnsi"/>
        </w:rPr>
        <w:t xml:space="preserve"> and </w:t>
      </w:r>
      <w:r w:rsidR="00530E65" w:rsidRPr="004447F6">
        <w:rPr>
          <w:rFonts w:cstheme="minorHAnsi"/>
        </w:rPr>
        <w:t xml:space="preserve">to </w:t>
      </w:r>
      <w:r w:rsidR="001916A4" w:rsidRPr="004447F6">
        <w:rPr>
          <w:rFonts w:cstheme="minorHAnsi"/>
        </w:rPr>
        <w:t xml:space="preserve">other members of public attending vaccination centres. </w:t>
      </w:r>
    </w:p>
    <w:p w14:paraId="208315D7" w14:textId="77777777" w:rsidR="00AB5A67" w:rsidRPr="004447F6" w:rsidRDefault="00AB5A67" w:rsidP="006C40EE">
      <w:pPr>
        <w:spacing w:line="360" w:lineRule="auto"/>
        <w:jc w:val="both"/>
        <w:rPr>
          <w:rFonts w:cstheme="minorHAnsi"/>
          <w:b/>
          <w:bCs/>
        </w:rPr>
      </w:pPr>
    </w:p>
    <w:p w14:paraId="3D98634F" w14:textId="77695F8A" w:rsidR="00AE29C9" w:rsidRPr="004447F6" w:rsidRDefault="00DF7110" w:rsidP="006C40EE">
      <w:pPr>
        <w:spacing w:line="360" w:lineRule="auto"/>
        <w:jc w:val="both"/>
        <w:rPr>
          <w:rFonts w:cstheme="minorHAnsi"/>
          <w:b/>
          <w:bCs/>
        </w:rPr>
      </w:pPr>
      <w:r w:rsidRPr="004447F6">
        <w:rPr>
          <w:rFonts w:cstheme="minorHAnsi"/>
          <w:b/>
          <w:bCs/>
        </w:rPr>
        <w:lastRenderedPageBreak/>
        <w:t>C</w:t>
      </w:r>
      <w:r w:rsidR="00310CE5" w:rsidRPr="004447F6">
        <w:rPr>
          <w:rFonts w:cstheme="minorHAnsi"/>
          <w:b/>
          <w:bCs/>
        </w:rPr>
        <w:t>onsiderations for c</w:t>
      </w:r>
      <w:r w:rsidR="00AE29C9" w:rsidRPr="004447F6">
        <w:rPr>
          <w:rFonts w:cstheme="minorHAnsi"/>
          <w:b/>
          <w:bCs/>
        </w:rPr>
        <w:t>ausality</w:t>
      </w:r>
      <w:r w:rsidR="00310CE5" w:rsidRPr="004447F6">
        <w:rPr>
          <w:rFonts w:cstheme="minorHAnsi"/>
          <w:b/>
          <w:bCs/>
        </w:rPr>
        <w:t xml:space="preserve"> assessments</w:t>
      </w:r>
    </w:p>
    <w:p w14:paraId="4B745D4F" w14:textId="71040533" w:rsidR="00190F3A" w:rsidRPr="004447F6" w:rsidRDefault="00E77A50" w:rsidP="00E77A50">
      <w:pPr>
        <w:spacing w:line="360" w:lineRule="auto"/>
        <w:jc w:val="both"/>
        <w:rPr>
          <w:rFonts w:cstheme="minorHAnsi"/>
        </w:rPr>
      </w:pPr>
      <w:r w:rsidRPr="004447F6">
        <w:rPr>
          <w:rFonts w:cstheme="minorHAnsi"/>
        </w:rPr>
        <w:t>There are several tools for assessing causality for post-vaccination sequelae</w:t>
      </w:r>
      <w:r w:rsidR="00915BA7" w:rsidRPr="004447F6">
        <w:rPr>
          <w:rFonts w:cstheme="minorHAnsi"/>
        </w:rPr>
        <w:t>,</w:t>
      </w:r>
      <w:r w:rsidRPr="004447F6">
        <w:rPr>
          <w:rFonts w:cstheme="minorHAnsi"/>
        </w:rPr>
        <w:t xml:space="preserve"> including the WHO’s GA</w:t>
      </w:r>
      <w:r w:rsidR="00567B60" w:rsidRPr="004447F6">
        <w:rPr>
          <w:rFonts w:cstheme="minorHAnsi"/>
        </w:rPr>
        <w:t>CVS</w:t>
      </w:r>
      <w:r w:rsidRPr="004447F6">
        <w:rPr>
          <w:rFonts w:cstheme="minorHAnsi"/>
        </w:rPr>
        <w:t xml:space="preserve"> causality assessment tool</w:t>
      </w:r>
      <w:r w:rsidR="00915BA7" w:rsidRPr="004447F6">
        <w:rPr>
          <w:rFonts w:cstheme="minorHAnsi"/>
        </w:rPr>
        <w:t xml:space="preserve"> </w:t>
      </w:r>
      <w:r w:rsidRPr="004447F6">
        <w:rPr>
          <w:rFonts w:cstheme="minorHAnsi"/>
          <w:i/>
          <w:iCs/>
        </w:rPr>
        <w:fldChar w:fldCharType="begin" w:fldLock="1"/>
      </w:r>
      <w:r w:rsidR="00DB0E82" w:rsidRPr="004447F6">
        <w:rPr>
          <w:rFonts w:cstheme="minorHAnsi"/>
          <w:i/>
          <w:iCs/>
        </w:rPr>
        <w:instrText>ADDIN CSL_CITATION {"citationItems":[{"id":"ITEM-1","itemData":{"ISSN":"9241513659","author":[{"dropping-particle":"","family":"World Health Organization","given":"","non-dropping-particle":"","parse-names":false,"suffix":""}],"id":"ITEM-1","issued":{"date-parts":[["2019"]]},"publisher":"World Health Organization","title":"Causality assessment of an adverse event following immunization (AEFI): user manual for the revised WHO classification","type":"report"},"uris":["http://www.mendeley.com/documents/?uuid=b9c3dfd1-09e0-4411-aae3-3259c4cbeacd"]}],"mendeley":{"formattedCitation":"(26)","plainTextFormattedCitation":"(26)","previouslyFormattedCitation":"(26)"},"properties":{"noteIndex":0},"schema":"https://github.com/citation-style-language/schema/raw/master/csl-citation.json"}</w:instrText>
      </w:r>
      <w:r w:rsidRPr="004447F6">
        <w:rPr>
          <w:rFonts w:cstheme="minorHAnsi"/>
          <w:i/>
          <w:iCs/>
        </w:rPr>
        <w:fldChar w:fldCharType="separate"/>
      </w:r>
      <w:r w:rsidR="00632A99" w:rsidRPr="004447F6">
        <w:rPr>
          <w:rFonts w:cstheme="minorHAnsi"/>
          <w:iCs/>
          <w:noProof/>
        </w:rPr>
        <w:t>(26)</w:t>
      </w:r>
      <w:r w:rsidRPr="004447F6">
        <w:rPr>
          <w:rFonts w:cstheme="minorHAnsi"/>
          <w:i/>
          <w:iCs/>
        </w:rPr>
        <w:fldChar w:fldCharType="end"/>
      </w:r>
      <w:r w:rsidR="00915BA7" w:rsidRPr="004447F6">
        <w:rPr>
          <w:rFonts w:cstheme="minorHAnsi"/>
          <w:i/>
          <w:iCs/>
        </w:rPr>
        <w:t>.</w:t>
      </w:r>
      <w:r w:rsidRPr="004447F6">
        <w:rPr>
          <w:rFonts w:cstheme="minorHAnsi"/>
        </w:rPr>
        <w:t xml:space="preserve"> In Table </w:t>
      </w:r>
      <w:r w:rsidR="006A7A52" w:rsidRPr="004447F6">
        <w:rPr>
          <w:rFonts w:cstheme="minorHAnsi"/>
        </w:rPr>
        <w:t>2</w:t>
      </w:r>
      <w:r w:rsidRPr="004447F6">
        <w:rPr>
          <w:rFonts w:cstheme="minorHAnsi"/>
        </w:rPr>
        <w:t xml:space="preserve"> we correlate the GA</w:t>
      </w:r>
      <w:r w:rsidR="00567B60" w:rsidRPr="004447F6">
        <w:rPr>
          <w:rFonts w:cstheme="minorHAnsi"/>
        </w:rPr>
        <w:t>CVS</w:t>
      </w:r>
      <w:r w:rsidRPr="004447F6">
        <w:rPr>
          <w:rFonts w:cstheme="minorHAnsi"/>
        </w:rPr>
        <w:t xml:space="preserve"> criteria with the well-known Bradford Hill criteria for causality</w:t>
      </w:r>
      <w:r w:rsidR="00915BA7" w:rsidRPr="004447F6">
        <w:rPr>
          <w:rFonts w:cstheme="minorHAnsi"/>
        </w:rPr>
        <w:t xml:space="preserve"> </w:t>
      </w:r>
      <w:r w:rsidRPr="004447F6">
        <w:rPr>
          <w:rFonts w:cstheme="minorHAnsi"/>
        </w:rPr>
        <w:fldChar w:fldCharType="begin" w:fldLock="1"/>
      </w:r>
      <w:r w:rsidR="00CB023D" w:rsidRPr="004447F6">
        <w:rPr>
          <w:rFonts w:cstheme="minorHAnsi"/>
        </w:rPr>
        <w:instrText>ADDIN CSL_CITATION {"citationItems":[{"id":"ITEM-1","itemData":{"DOI":"10.1136/jnnp-2020-323667","ISSN":"1468330X","PMID":"32503883","abstract":"IntroductionClinicians are increasingly recognising neurological presentations occur in some patients.1 A case series from Wuhan described associated neurological syndromes (eg, ‘dizziness’ and ‘impaired consciousness’), but with little detail regarding symptomatology, and cerebrospinal fluid (CSF) and neuroimaging findings.2 The extent to which these disorders were caused by the virus per se, rather than being complications of critical illness, unmasking of degenerative disease, or iatrogenic effects of repurposed medications is not clear.Numerous case reports have since emerged and, at the time of writing, published cases include encephalopathy,3 encephalitis,4 Guillain-Barré syndrome (GBS)5 and stroke.6 In most of these cases, the virus has been identified in respiratory samples, and in a small number in CSF. So far, the reporting of clinical features has been extremely variable, for example, several cases have claimed to report encephalitis without clear evidence of central nervous system (CNS) inflammation, which would not meet established definitions of the disease.7 Whether severe acute respiratory syndrome coronavirus 2 (SARS-CoV2) is associated with neurological manifestations is of critical importance as this may result in substantial morbidity and mortality.Defining causalityIt is crucial that neurologists and neuropsychiatrists apply a systematic strategy to determine whether there is evidence that SARS-CoV2 is causing these manifestations, whether they are a consequence of severe systemic disease alone, or simply coincidence. In 1965, Hill proposed criteria on which to build an argument for disease causation, which …","author":[{"dropping-particle":"","family":"Ellul","given":"Mark","non-dropping-particle":"","parse-names":false,"suffix":""},{"dropping-particle":"","family":"Varatharaj","given":"Aravinthan","non-dropping-particle":"","parse-names":false,"suffix":""},{"dropping-particle":"","family":"Nicholson","given":"Timothy R.","non-dropping-particle":"","parse-names":false,"suffix":""},{"dropping-particle":"","family":"Pollak","given":"Thomas Arthur","non-dropping-particle":"","parse-names":false,"suffix":""},{"dropping-particle":"","family":"Thomas","given":"Naomi","non-dropping-particle":"","parse-names":false,"suffix":""},{"dropping-particle":"","family":"Easton","given":"Ava","non-dropping-particle":"","parse-names":false,"suffix":""},{"dropping-particle":"","family":"Zandi","given":"Michael S.","non-dropping-particle":"","parse-names":false,"suffix":""},{"dropping-particle":"","family":"Manji","given":"Hadi","non-dropping-particle":"","parse-names":false,"suffix":""},{"dropping-particle":"","family":"Solomon","given":"Tom","non-dropping-particle":"","parse-names":false,"suffix":""},{"dropping-particle":"","family":"Carson","given":"Alan","non-dropping-particle":"","parse-names":false,"suffix":""},{"dropping-particle":"","family":"Turner","given":"Martin R.","non-dropping-particle":"","parse-names":false,"suffix":""},{"dropping-particle":"","family":"Kneen","given":"Rachel","non-dropping-particle":"","parse-names":false,"suffix":""},{"dropping-particle":"","family":"Galea","given":"Ian","non-dropping-particle":"","parse-names":false,"suffix":""},{"dropping-particle":"","family":"Pett","given":"Sarah","non-dropping-particle":"","parse-names":false,"suffix":""},{"dropping-particle":"","family":"Thomas","given":"Rhys Huw","non-dropping-particle":"","parse-names":false,"suffix":""},{"dropping-particle":"","family":"Michael","given":"Benedict Daniel","non-dropping-particle":"","parse-names":false,"suffix":""}],"container-title":"Journal of Neurology, Neurosurgery and Psychiatry","id":"ITEM-1","issue":"8","issued":{"date-parts":[["2020","6","5"]]},"page":"811-812","title":"Defining causality in COVID-19 and neurological disorders","type":"article-journal","volume":"91"},"uris":["http://www.mendeley.com/documents/?uuid=d6da08a8-9ed9-4a3e-86a3-7c6d9cdc8037"]}],"mendeley":{"formattedCitation":"(15)","plainTextFormattedCitation":"(15)","previouslyFormattedCitation":"(15)"},"properties":{"noteIndex":0},"schema":"https://github.com/citation-style-language/schema/raw/master/csl-citation.json"}</w:instrText>
      </w:r>
      <w:r w:rsidRPr="004447F6">
        <w:rPr>
          <w:rFonts w:cstheme="minorHAnsi"/>
        </w:rPr>
        <w:fldChar w:fldCharType="separate"/>
      </w:r>
      <w:r w:rsidR="00CB023D" w:rsidRPr="004447F6">
        <w:rPr>
          <w:rFonts w:cstheme="minorHAnsi"/>
          <w:noProof/>
        </w:rPr>
        <w:t>(15)</w:t>
      </w:r>
      <w:r w:rsidRPr="004447F6">
        <w:rPr>
          <w:rFonts w:cstheme="minorHAnsi"/>
        </w:rPr>
        <w:fldChar w:fldCharType="end"/>
      </w:r>
      <w:r w:rsidR="00915BA7" w:rsidRPr="004447F6">
        <w:rPr>
          <w:rFonts w:cstheme="minorHAnsi"/>
        </w:rPr>
        <w:t>,</w:t>
      </w:r>
      <w:r w:rsidRPr="004447F6">
        <w:rPr>
          <w:rFonts w:cstheme="minorHAnsi"/>
        </w:rPr>
        <w:t xml:space="preserve"> and discuss the implications for establishing causality in neurological adverse events associated with COVID-19 vaccination, including FND. </w:t>
      </w:r>
    </w:p>
    <w:p w14:paraId="042A6253" w14:textId="2CEB77B6" w:rsidR="001A63D1" w:rsidRPr="004447F6" w:rsidRDefault="001A63D1" w:rsidP="00E77A50">
      <w:pPr>
        <w:spacing w:line="360" w:lineRule="auto"/>
        <w:jc w:val="both"/>
        <w:rPr>
          <w:rFonts w:cstheme="minorHAnsi"/>
          <w:u w:val="single"/>
        </w:rPr>
      </w:pPr>
      <w:r w:rsidRPr="004447F6">
        <w:rPr>
          <w:rFonts w:cstheme="minorHAnsi"/>
          <w:u w:val="single"/>
        </w:rPr>
        <w:t>Assessing causality</w:t>
      </w:r>
    </w:p>
    <w:p w14:paraId="64AA9DF1" w14:textId="6603C44A" w:rsidR="00FD6EC5" w:rsidRPr="004447F6" w:rsidRDefault="00190F3A" w:rsidP="00E77A50">
      <w:pPr>
        <w:spacing w:line="360" w:lineRule="auto"/>
        <w:jc w:val="both"/>
        <w:rPr>
          <w:rFonts w:cstheme="minorHAnsi"/>
        </w:rPr>
      </w:pPr>
      <w:r w:rsidRPr="004447F6">
        <w:rPr>
          <w:rFonts w:cstheme="minorHAnsi"/>
        </w:rPr>
        <w:t xml:space="preserve">Before proceeding to any causality assessment, </w:t>
      </w:r>
      <w:r w:rsidR="00E77A50" w:rsidRPr="004447F6">
        <w:rPr>
          <w:rFonts w:cstheme="minorHAnsi"/>
        </w:rPr>
        <w:t xml:space="preserve">the adverse event diagnosis </w:t>
      </w:r>
      <w:r w:rsidRPr="004447F6">
        <w:rPr>
          <w:rFonts w:cstheme="minorHAnsi"/>
        </w:rPr>
        <w:t xml:space="preserve">must be first </w:t>
      </w:r>
      <w:r w:rsidR="00E77A50" w:rsidRPr="004447F6">
        <w:rPr>
          <w:rFonts w:cstheme="minorHAnsi"/>
        </w:rPr>
        <w:t>validated</w:t>
      </w:r>
      <w:r w:rsidRPr="004447F6">
        <w:rPr>
          <w:rFonts w:cstheme="minorHAnsi"/>
        </w:rPr>
        <w:t xml:space="preserve">. This </w:t>
      </w:r>
      <w:r w:rsidR="00200DA0" w:rsidRPr="004447F6">
        <w:rPr>
          <w:rFonts w:cstheme="minorHAnsi"/>
        </w:rPr>
        <w:t>can</w:t>
      </w:r>
      <w:r w:rsidRPr="004447F6">
        <w:rPr>
          <w:rFonts w:cstheme="minorHAnsi"/>
        </w:rPr>
        <w:t xml:space="preserve"> be done using the </w:t>
      </w:r>
      <w:r w:rsidR="00200DA0" w:rsidRPr="004447F6">
        <w:rPr>
          <w:rFonts w:cstheme="minorHAnsi"/>
        </w:rPr>
        <w:t>Brighton</w:t>
      </w:r>
      <w:r w:rsidRPr="004447F6">
        <w:rPr>
          <w:rFonts w:cstheme="minorHAnsi"/>
        </w:rPr>
        <w:t xml:space="preserve"> Collaboration </w:t>
      </w:r>
      <w:r w:rsidR="00200DA0" w:rsidRPr="004447F6">
        <w:rPr>
          <w:rFonts w:cstheme="minorHAnsi"/>
        </w:rPr>
        <w:t>guidance</w:t>
      </w:r>
      <w:r w:rsidRPr="004447F6">
        <w:rPr>
          <w:rFonts w:cstheme="minorHAnsi"/>
        </w:rPr>
        <w:t>, which provid</w:t>
      </w:r>
      <w:r w:rsidR="00200DA0" w:rsidRPr="004447F6">
        <w:rPr>
          <w:rFonts w:cstheme="minorHAnsi"/>
        </w:rPr>
        <w:t>es definitions and levels of diagnostic certainty for neurological conditions such as GBS and Miller</w:t>
      </w:r>
      <w:r w:rsidR="00CC0C48" w:rsidRPr="004447F6">
        <w:rPr>
          <w:rFonts w:cstheme="minorHAnsi"/>
        </w:rPr>
        <w:t>-</w:t>
      </w:r>
      <w:r w:rsidR="00200DA0" w:rsidRPr="004447F6">
        <w:rPr>
          <w:rFonts w:cstheme="minorHAnsi"/>
        </w:rPr>
        <w:t xml:space="preserve">Fisher </w:t>
      </w:r>
      <w:r w:rsidR="00CC0C48" w:rsidRPr="004447F6">
        <w:rPr>
          <w:rFonts w:cstheme="minorHAnsi"/>
        </w:rPr>
        <w:t>s</w:t>
      </w:r>
      <w:r w:rsidR="00200DA0" w:rsidRPr="004447F6">
        <w:rPr>
          <w:rFonts w:cstheme="minorHAnsi"/>
        </w:rPr>
        <w:t xml:space="preserve">yndrome, transverse myelitis, Bell’s </w:t>
      </w:r>
      <w:r w:rsidR="00CC0C48" w:rsidRPr="004447F6">
        <w:rPr>
          <w:rFonts w:cstheme="minorHAnsi"/>
        </w:rPr>
        <w:t>p</w:t>
      </w:r>
      <w:r w:rsidR="00200DA0" w:rsidRPr="004447F6">
        <w:rPr>
          <w:rFonts w:cstheme="minorHAnsi"/>
        </w:rPr>
        <w:t>alsy, encephalitis and ADEM as well as generalised convulsive seizures</w:t>
      </w:r>
      <w:r w:rsidR="00C4650B" w:rsidRPr="004447F6">
        <w:rPr>
          <w:rFonts w:cstheme="minorHAnsi"/>
        </w:rPr>
        <w:t xml:space="preserve"> </w:t>
      </w:r>
      <w:r w:rsidR="00C4650B" w:rsidRPr="004447F6">
        <w:rPr>
          <w:rFonts w:cstheme="minorHAnsi"/>
        </w:rPr>
        <w:fldChar w:fldCharType="begin" w:fldLock="1"/>
      </w:r>
      <w:r w:rsidR="001A63D1" w:rsidRPr="004447F6">
        <w:rPr>
          <w:rFonts w:cstheme="minorHAnsi"/>
        </w:rPr>
        <w:instrText>ADDIN CSL_CITATION {"citationItems":[{"id":"ITEM-1","itemData":{"URL":"https://brightoncollaboration.us/category/pubs-tools/","accessed":{"date-parts":[["2021","6","2"]]},"author":[{"dropping-particle":"","family":"Brighton Collaboration","given":"","non-dropping-particle":"","parse-names":false,"suffix":""}],"id":"ITEM-1","issued":{"date-parts":[["0"]]},"title":"BRIGHTON COLLABORATION PUBLICATIONS AND RELATED TOOLS","type":"webpage"},"uris":["http://www.mendeley.com/documents/?uuid=1998695e-3116-4b8a-b75b-04145e66f1ca"]}],"mendeley":{"formattedCitation":"(54)","plainTextFormattedCitation":"(54)","previouslyFormattedCitation":"(54)"},"properties":{"noteIndex":0},"schema":"https://github.com/citation-style-language/schema/raw/master/csl-citation.json"}</w:instrText>
      </w:r>
      <w:r w:rsidR="00C4650B" w:rsidRPr="004447F6">
        <w:rPr>
          <w:rFonts w:cstheme="minorHAnsi"/>
        </w:rPr>
        <w:fldChar w:fldCharType="separate"/>
      </w:r>
      <w:r w:rsidR="00CB023D" w:rsidRPr="004447F6">
        <w:rPr>
          <w:rFonts w:cstheme="minorHAnsi"/>
          <w:noProof/>
        </w:rPr>
        <w:t>(54)</w:t>
      </w:r>
      <w:r w:rsidR="00C4650B" w:rsidRPr="004447F6">
        <w:rPr>
          <w:rFonts w:cstheme="minorHAnsi"/>
        </w:rPr>
        <w:fldChar w:fldCharType="end"/>
      </w:r>
      <w:r w:rsidR="00200DA0" w:rsidRPr="004447F6">
        <w:rPr>
          <w:rFonts w:cstheme="minorHAnsi"/>
        </w:rPr>
        <w:t xml:space="preserve">. </w:t>
      </w:r>
      <w:r w:rsidR="0086228A" w:rsidRPr="004447F6">
        <w:rPr>
          <w:rFonts w:cstheme="minorHAnsi"/>
        </w:rPr>
        <w:t>Nevertheless, t</w:t>
      </w:r>
      <w:r w:rsidR="00CC0C48" w:rsidRPr="004447F6">
        <w:rPr>
          <w:rFonts w:cstheme="minorHAnsi"/>
        </w:rPr>
        <w:t xml:space="preserve">here are two </w:t>
      </w:r>
      <w:r w:rsidR="0086228A" w:rsidRPr="004447F6">
        <w:rPr>
          <w:rFonts w:cstheme="minorHAnsi"/>
        </w:rPr>
        <w:t xml:space="preserve">principal </w:t>
      </w:r>
      <w:r w:rsidR="00CC0C48" w:rsidRPr="004447F6">
        <w:rPr>
          <w:rFonts w:cstheme="minorHAnsi"/>
        </w:rPr>
        <w:t>limitations to using well-established case definitions. First, some recognised, but atypical variants will not meet the diagnostic criteria, precluding causality assessment (</w:t>
      </w:r>
      <w:r w:rsidR="00FD6EC5" w:rsidRPr="004447F6">
        <w:rPr>
          <w:rFonts w:cstheme="minorHAnsi"/>
        </w:rPr>
        <w:t>an example of this is</w:t>
      </w:r>
      <w:r w:rsidR="00CC0C48" w:rsidRPr="004447F6">
        <w:rPr>
          <w:rFonts w:cstheme="minorHAnsi"/>
        </w:rPr>
        <w:t xml:space="preserve"> facial diplegia with paraesthesia variant of GBS)</w:t>
      </w:r>
      <w:r w:rsidR="00C4650B" w:rsidRPr="004447F6">
        <w:rPr>
          <w:rFonts w:cstheme="minorHAnsi"/>
        </w:rPr>
        <w:t xml:space="preserve"> </w:t>
      </w:r>
      <w:r w:rsidR="00C4650B" w:rsidRPr="004447F6">
        <w:rPr>
          <w:rFonts w:cstheme="minorHAnsi"/>
        </w:rPr>
        <w:fldChar w:fldCharType="begin" w:fldLock="1"/>
      </w:r>
      <w:r w:rsidR="001A63D1" w:rsidRPr="004447F6">
        <w:rPr>
          <w:rFonts w:cstheme="minorHAnsi"/>
        </w:rPr>
        <w:instrText>ADDIN CSL_CITATION {"citationItems":[{"id":"ITEM-1","itemData":{"DOI":"10.1038/s41582-019-0250-9","ISSN":"17594766","PMID":"31541214","abstract":"Guillain–Barré syndrome (GBS) is a rare, but potentially fatal, immune-mediated disease of the peripheral nerves and nerve roots that is usually triggered by infections. The incidence of GBS can therefore increase during outbreaks of infectious diseases, as was seen during the Zika virus epidemics in 2013 in French Polynesia and 2015 in Latin America. Diagnosis and management of GBS can be complicated as its clinical presentation and disease course are heterogeneous, and no international clinical guidelines are currently available. To support clinicians, especially in the context of an outbreak, we have developed a globally applicable guideline for the diagnosis and management of GBS. The guideline is based on current literature and expert consensus, and has a ten-step structure to facilitate its use in clinical practice. We first provide an introduction to the diagnostic criteria, clinical variants and differential diagnoses of GBS. The ten steps then cover early recognition and diagnosis of GBS, admission to the intensive care unit, treatment indication and selection, monitoring and treatment of disease progression, prediction of clinical course and outcome, and management of complications and sequelae.","author":[{"dropping-particle":"","family":"Leonhard","given":"Sonja E.","non-dropping-particle":"","parse-names":false,"suffix":""},{"dropping-particle":"","family":"Mandarakas","given":"Melissa R.","non-dropping-particle":"","parse-names":false,"suffix":""},{"dropping-particle":"","family":"Gondim","given":"Francisco A.A.","non-dropping-particle":"","parse-names":false,"suffix":""},{"dropping-particle":"","family":"Bateman","given":"Kathleen","non-dropping-particle":"","parse-names":false,"suffix":""},{"dropping-particle":"","family":"Ferreira","given":"Maria L.B.","non-dropping-particle":"","parse-names":false,"suffix":""},{"dropping-particle":"","family":"Cornblath","given":"David R.","non-dropping-particle":"","parse-names":false,"suffix":""},{"dropping-particle":"","family":"Doorn","given":"Pieter A.","non-dropping-particle":"van","parse-names":false,"suffix":""},{"dropping-particle":"","family":"Dourado","given":"Mario E.","non-dropping-particle":"","parse-names":false,"suffix":""},{"dropping-particle":"","family":"Hughes","given":"Richard A.C.","non-dropping-particle":"","parse-names":false,"suffix":""},{"dropping-particle":"","family":"Islam","given":"Badrul","non-dropping-particle":"","parse-names":false,"suffix":""},{"dropping-particle":"","family":"Kusunoki","given":"Susumu","non-dropping-particle":"","parse-names":false,"suffix":""},{"dropping-particle":"","family":"Pardo","given":"Carlos A.","non-dropping-particle":"","parse-names":false,"suffix":""},{"dropping-particle":"","family":"Reisin","given":"Ricardo","non-dropping-particle":"","parse-names":false,"suffix":""},{"dropping-particle":"","family":"Sejvar","given":"James J.","non-dropping-particle":"","parse-names":false,"suffix":""},{"dropping-particle":"","family":"Shahrizaila","given":"Nortina","non-dropping-particle":"","parse-names":false,"suffix":""},{"dropping-particle":"","family":"Soares","given":"Cristiane","non-dropping-particle":"","parse-names":false,"suffix":""},{"dropping-particle":"","family":"Umapathi","given":"Thirugnanam","non-dropping-particle":"","parse-names":false,"suffix":""},{"dropping-particle":"","family":"Wang","given":"Yuzhong","non-dropping-particle":"","parse-names":false,"suffix":""},{"dropping-particle":"","family":"Yiu","given":"Eppie M.","non-dropping-particle":"","parse-names":false,"suffix":""},{"dropping-particle":"","family":"Willison","given":"Hugh J.","non-dropping-particle":"","parse-names":false,"suffix":""},{"dropping-particle":"","family":"Jacobs","given":"Bart C.","non-dropping-particle":"","parse-names":false,"suffix":""}],"container-title":"Nature Reviews Neurology","id":"ITEM-1","issue":"11","issued":{"date-parts":[["2019"]]},"page":"671-683","title":"Diagnosis and management of Guillain–Barré syndrome in ten steps","type":"article-journal","volume":"15"},"uris":["http://www.mendeley.com/documents/?uuid=9aac553e-d682-4eff-86fb-2b2004d67659"]}],"mendeley":{"formattedCitation":"(55)","plainTextFormattedCitation":"(55)","previouslyFormattedCitation":"(55)"},"properties":{"noteIndex":0},"schema":"https://github.com/citation-style-language/schema/raw/master/csl-citation.json"}</w:instrText>
      </w:r>
      <w:r w:rsidR="00C4650B" w:rsidRPr="004447F6">
        <w:rPr>
          <w:rFonts w:cstheme="minorHAnsi"/>
        </w:rPr>
        <w:fldChar w:fldCharType="separate"/>
      </w:r>
      <w:r w:rsidR="00CB023D" w:rsidRPr="004447F6">
        <w:rPr>
          <w:rFonts w:cstheme="minorHAnsi"/>
          <w:noProof/>
        </w:rPr>
        <w:t>(55)</w:t>
      </w:r>
      <w:r w:rsidR="00C4650B" w:rsidRPr="004447F6">
        <w:rPr>
          <w:rFonts w:cstheme="minorHAnsi"/>
        </w:rPr>
        <w:fldChar w:fldCharType="end"/>
      </w:r>
      <w:r w:rsidR="00CC0C48" w:rsidRPr="004447F6">
        <w:rPr>
          <w:rFonts w:cstheme="minorHAnsi"/>
        </w:rPr>
        <w:t xml:space="preserve">. </w:t>
      </w:r>
      <w:r w:rsidR="0086228A" w:rsidRPr="004447F6">
        <w:rPr>
          <w:rFonts w:cstheme="minorHAnsi"/>
        </w:rPr>
        <w:t>In these cases, c</w:t>
      </w:r>
      <w:r w:rsidR="00FD6EC5" w:rsidRPr="004447F6">
        <w:rPr>
          <w:rFonts w:cstheme="minorHAnsi"/>
        </w:rPr>
        <w:t>linicians may agree on working definitions for such condition to include them in the surveillance sensitivity analysis</w:t>
      </w:r>
      <w:r w:rsidR="00C4650B" w:rsidRPr="004447F6">
        <w:rPr>
          <w:rFonts w:cstheme="minorHAnsi"/>
        </w:rPr>
        <w:t xml:space="preserve"> </w:t>
      </w:r>
      <w:r w:rsidR="00C4650B" w:rsidRPr="004447F6">
        <w:rPr>
          <w:rFonts w:cstheme="minorHAnsi"/>
        </w:rPr>
        <w:fldChar w:fldCharType="begin" w:fldLock="1"/>
      </w:r>
      <w:r w:rsidR="001A63D1" w:rsidRPr="004447F6">
        <w:rPr>
          <w:rFonts w:cstheme="minorHAnsi"/>
        </w:rPr>
        <w:instrText>ADDIN CSL_CITATION {"citationItems":[{"id":"ITEM-1","itemData":{"ISSN":"9241513659","author":[{"dropping-particle":"","family":"World Health Organization","given":"","non-dropping-particle":"","parse-names":false,"suffix":""}],"id":"ITEM-1","issued":{"date-parts":[["2019"]]},"publisher":"World Health Organization","title":"Causality assessment of an adverse event following immunization (AEFI): updated user manual for the revised WHO classification","type":"report"},"uris":["http://www.mendeley.com/documents/?uuid=2bd03602-2b0c-4670-8a3c-bd2ac11638f9"]}],"mendeley":{"formattedCitation":"(56)","plainTextFormattedCitation":"(56)","previouslyFormattedCitation":"(56)"},"properties":{"noteIndex":0},"schema":"https://github.com/citation-style-language/schema/raw/master/csl-citation.json"}</w:instrText>
      </w:r>
      <w:r w:rsidR="00C4650B" w:rsidRPr="004447F6">
        <w:rPr>
          <w:rFonts w:cstheme="minorHAnsi"/>
        </w:rPr>
        <w:fldChar w:fldCharType="separate"/>
      </w:r>
      <w:r w:rsidR="00CB023D" w:rsidRPr="004447F6">
        <w:rPr>
          <w:rFonts w:cstheme="minorHAnsi"/>
          <w:noProof/>
        </w:rPr>
        <w:t>(56)</w:t>
      </w:r>
      <w:r w:rsidR="00C4650B" w:rsidRPr="004447F6">
        <w:rPr>
          <w:rFonts w:cstheme="minorHAnsi"/>
        </w:rPr>
        <w:fldChar w:fldCharType="end"/>
      </w:r>
      <w:r w:rsidR="00FD6EC5" w:rsidRPr="004447F6">
        <w:rPr>
          <w:rFonts w:cstheme="minorHAnsi"/>
        </w:rPr>
        <w:t xml:space="preserve">. </w:t>
      </w:r>
      <w:r w:rsidR="00CC0C48" w:rsidRPr="004447F6">
        <w:rPr>
          <w:rFonts w:cstheme="minorHAnsi"/>
        </w:rPr>
        <w:t xml:space="preserve">Second, </w:t>
      </w:r>
      <w:r w:rsidR="00FD6EC5" w:rsidRPr="004447F6">
        <w:rPr>
          <w:rFonts w:cstheme="minorHAnsi"/>
        </w:rPr>
        <w:t>no case definitions are available for new and emerg</w:t>
      </w:r>
      <w:r w:rsidR="001F269E" w:rsidRPr="004447F6">
        <w:rPr>
          <w:rFonts w:cstheme="minorHAnsi"/>
        </w:rPr>
        <w:t>ent</w:t>
      </w:r>
      <w:r w:rsidR="00FD6EC5" w:rsidRPr="004447F6">
        <w:rPr>
          <w:rFonts w:cstheme="minorHAnsi"/>
        </w:rPr>
        <w:t xml:space="preserve"> adverse events, such as VITT. In </w:t>
      </w:r>
      <w:r w:rsidR="001F269E" w:rsidRPr="004447F6">
        <w:rPr>
          <w:rFonts w:cstheme="minorHAnsi"/>
        </w:rPr>
        <w:t xml:space="preserve">the </w:t>
      </w:r>
      <w:r w:rsidR="00FD6EC5" w:rsidRPr="004447F6">
        <w:rPr>
          <w:rFonts w:cstheme="minorHAnsi"/>
        </w:rPr>
        <w:t>case of VITT, the</w:t>
      </w:r>
      <w:r w:rsidR="000816BF" w:rsidRPr="004447F6">
        <w:rPr>
          <w:rFonts w:cstheme="minorHAnsi"/>
        </w:rPr>
        <w:t xml:space="preserve"> consistent clinical presentation, </w:t>
      </w:r>
      <w:r w:rsidR="00FD6EC5" w:rsidRPr="004447F6">
        <w:rPr>
          <w:rFonts w:cstheme="minorHAnsi"/>
        </w:rPr>
        <w:t>specific laboratory features (such as thrombocytopenia and positive platelet factor 4 antibodies)</w:t>
      </w:r>
      <w:r w:rsidR="001F269E" w:rsidRPr="004447F6">
        <w:rPr>
          <w:rFonts w:cstheme="minorHAnsi"/>
        </w:rPr>
        <w:t>,</w:t>
      </w:r>
      <w:r w:rsidR="00FD6EC5" w:rsidRPr="004447F6">
        <w:rPr>
          <w:rFonts w:cstheme="minorHAnsi"/>
        </w:rPr>
        <w:t xml:space="preserve"> as well as </w:t>
      </w:r>
      <w:r w:rsidR="000816BF" w:rsidRPr="004447F6">
        <w:rPr>
          <w:rFonts w:cstheme="minorHAnsi"/>
        </w:rPr>
        <w:t xml:space="preserve">the </w:t>
      </w:r>
      <w:r w:rsidR="00FD6EC5" w:rsidRPr="004447F6">
        <w:rPr>
          <w:rFonts w:cstheme="minorHAnsi"/>
        </w:rPr>
        <w:t xml:space="preserve">objective radiological </w:t>
      </w:r>
      <w:r w:rsidR="000816BF" w:rsidRPr="004447F6">
        <w:rPr>
          <w:rFonts w:cstheme="minorHAnsi"/>
        </w:rPr>
        <w:t>findings allowed</w:t>
      </w:r>
      <w:r w:rsidR="00FD6EC5" w:rsidRPr="004447F6">
        <w:rPr>
          <w:rFonts w:cstheme="minorHAnsi"/>
        </w:rPr>
        <w:t xml:space="preserve"> the scientific community to rapidly establish </w:t>
      </w:r>
      <w:r w:rsidR="000816BF" w:rsidRPr="004447F6">
        <w:rPr>
          <w:rFonts w:cstheme="minorHAnsi"/>
        </w:rPr>
        <w:t>diagnostic criteria</w:t>
      </w:r>
      <w:r w:rsidR="00C4650B" w:rsidRPr="004447F6">
        <w:rPr>
          <w:rFonts w:cstheme="minorHAnsi"/>
        </w:rPr>
        <w:t xml:space="preserve"> </w:t>
      </w:r>
      <w:r w:rsidR="00C4650B" w:rsidRPr="004447F6">
        <w:rPr>
          <w:rFonts w:cstheme="minorHAnsi"/>
        </w:rPr>
        <w:fldChar w:fldCharType="begin" w:fldLock="1"/>
      </w:r>
      <w:r w:rsidR="00DB0E82" w:rsidRPr="004447F6">
        <w:rPr>
          <w:rFonts w:cstheme="minorHAnsi"/>
        </w:rPr>
        <w:instrText>ADDIN CSL_CITATION {"citationItems":[{"id":"ITEM-1","itemData":{"DOI":"10.1056/nejmoa2104840","ISSN":"0028-4793","PMID":"33835769","abstract":"BACKGROUND Several cases of unusual thrombotic events and thrombocytopenia have developed after vaccination with the recombinant adenoviral vector encoding the spike protein antigen of severe acute respiratory syndrome coronavirus 2 (SARS-CoV-2) (ChAdOx1 nCov-19, AstraZeneca). More data were needed on the pathogenesis of this unusual clotting disorder. METHODS We assessed the clinical and laboratory features of 11 patients in Germany and Austria in whom thrombosis or thrombocytopenia had developed after vaccination with ChAdOx1 nCov-19. We used a standard enzyme-linked immunosorbent assay to detect platelet factor 4 (PF4)-heparin antibodies and a modified (PF4-enhanced) platelet-activation test to detect platelet-activating antibodies under various reaction conditions. Included in this testing were samples from patients who had blood samples referred for investigation of vaccine-associated thrombotic events, with 28 testing positive on a screening PF4-heparin immunoassay. RESULTS Of the 11 original patients, 9 were women, with a median age of 36 years (range, 22 to 49). Beginning 5 to 16 days after vaccination, the patients presented with one or more thrombotic events, with the exception of 1 patient, who presented with fatal intracranial hemorrhage. Of the patients with one or more thrombotic events, 9 had cerebral venous thrombosis, 3 had splanchnic-vein thrombosis, 3 had pulmonary embolism, and 4 had other thromboses; of these patients, 6 died. Five patients had disseminated intravascular coagulation. None of the patients had received heparin before symptom onset. All 28 patients who tested positive for antibodies against PF4-heparin tested positive on the platelet-activation assay in the presence of PF4 independent of heparin. Platelet activation was inhibited by high levels of heparin, Fc receptor-blocking monoclonal antibody, and immune globulin (10 mg per milliliter). Additional studies with PF4 or PF4-heparin affinity purified antibodies in 2 patients confirmed PF4-dependent platelet activation. CONCLUSIONS Vaccination with ChAdOx1 nCov-19 can result in the rare development of immune thrombotic thrombocytopenia mediated by platelet-activating antibodies against PF4, which clinically mimics autoimmune heparin-induced thrombocytopenia. (Funded by the German Research Foundation.).","author":[{"dropping-particle":"","family":"Greinacher","given":"Andreas","non-dropping-particle":"","parse-names":false,"suffix":""},{"dropping-particle":"","family":"Thiele","given":"Thomas","non-dropping-particle":"","parse-names":false,"suffix":""},{"dropping-particle":"","family":"Warkentin","given":"Theodore E.","non-dropping-particle":"","parse-names":false,"suffix":""},{"dropping-particle":"","family":"Weisser","given":"Karin","non-dropping-particle":"","parse-names":false,"suffix":""},{"dropping-particle":"","family":"Kyrle","given":"Paul A.","non-dropping-particle":"","parse-names":false,"suffix":""},{"dropping-particle":"","family":"Eichinger","given":"Sabine","non-dropping-particle":"","parse-names":false,"suffix":""}],"container-title":"New England Journal of Medicine","id":"ITEM-1","issued":{"date-parts":[["2021"]]},"title":"Thrombotic Thrombocytopenia after ChAdOx1 nCov-19 Vaccination","type":"article-journal"},"uris":["http://www.mendeley.com/documents/?uuid=115c2b73-c112-4291-9518-3228fdc213d6"]},{"id":"ITEM-2","itemData":{"DOI":"10.1136/jnnp-2021-326984","abstract":"A syndrome of vaccine-induced immune thrombotic thrombocytopaenia (VITT) has recently been reported following the ChAdOx1 nCoV-19 (Oxford–AstraZeneca) recombinant adenoviral vector vaccine encoding the spike glycoprotein of SARS-CoV-2.1–4 Previously described patients developed thrombosis, mainly affecting cerebral venous sinuses, with thrombocytopaenia and antibodies to platelet factor 4 (PF4), but the characteristics of VITT with arterial thrombosis have not previously been described. Here, we report three patients with VITT who presented with ischaemic stroke.Patient 1, a 35-year-old Asian woman, developed episodic right temporal and periorbital headache 6 days after receiving the ChAdOx1 nCoV-19 vaccine. Five days later, she awoke with left face, arm and leg weakness, right gaze preference and drowsiness. Non-contrast CT and CT angiography (CTA) revealed occlusion of the right middle cerebral artery (MCA) distal M1 segment with extensive ischaemia and haemorrhagic transformation (figure 1A-C)). Subsequent imaging revealed right portal vein thrombosis. The platelet count was 64 x 109/L (reference range 150 –400 x 109/L); D-dimer was raised at 11 220 µg/L (reference range 0–550); and the Asserachrom HPIA IgG assay for anti-PF4 antibodies was positive (76.1%). The patient underwent urgent decompressive hemicraniectomy …","author":[{"dropping-particle":"","family":"Al-Mayhani","given":"Talal","non-dropping-particle":"","parse-names":false,"suffix":""},{"dropping-particle":"","family":"Saber","given":"Sadia","non-dropping-particle":"","parse-names":false,"suffix":""},{"dropping-particle":"","family":"Stubbs","given":"Matthew J","non-dropping-particle":"","parse-names":false,"suffix":""},{"dropping-particle":"","family":"Losseff","given":"Nicholas A","non-dropping-particle":"","parse-names":false,"suffix":""},{"dropping-particle":"","family":"Perry","given":"Richard J","non-dropping-particle":"","parse-names":false,"suffix":""},{"dropping-particle":"","family":"Simister","given":"Robert J","non-dropping-particle":"","parse-names":false,"suffix":""},{"dropping-particle":"","family":"Gull","given":"David","non-dropping-particle":"","parse-names":false,"suffix":""},{"dropping-particle":"","family":"Jäger","given":"Hans Rolf","non-dropping-particle":"","parse-names":false,"suffix":""},{"dropping-particle":"","family":"Scully","given":"Marie A","non-dropping-particle":"","parse-names":false,"suffix":""},{"dropping-particle":"","family":"Werring","given":"David J","non-dropping-particle":"","parse-names":false,"suffix":""}],"container-title":"Journal of Neurology, Neurosurgery &amp;amp;amp; Psychiatry","id":"ITEM-2","issued":{"date-parts":[["2021","5","20"]]},"page":"jnnp-2021-326984","title":"Ischaemic stroke as a presenting feature of ChAdOx1 nCoV-19 vaccine-induced immune thrombotic thrombocytopaenia","type":"article-journal"},"uris":["http://www.mendeley.com/documents/?uuid=29eb7462-04ca-4753-ba68-3c566ef614db"]}],"mendeley":{"formattedCitation":"(38,41)","plainTextFormattedCitation":"(38,41)","previouslyFormattedCitation":"(38,41)"},"properties":{"noteIndex":0},"schema":"https://github.com/citation-style-language/schema/raw/master/csl-citation.json"}</w:instrText>
      </w:r>
      <w:r w:rsidR="00C4650B" w:rsidRPr="004447F6">
        <w:rPr>
          <w:rFonts w:cstheme="minorHAnsi"/>
        </w:rPr>
        <w:fldChar w:fldCharType="separate"/>
      </w:r>
      <w:r w:rsidR="00632A99" w:rsidRPr="004447F6">
        <w:rPr>
          <w:rFonts w:cstheme="minorHAnsi"/>
          <w:noProof/>
        </w:rPr>
        <w:t>(38,41)</w:t>
      </w:r>
      <w:r w:rsidR="00C4650B" w:rsidRPr="004447F6">
        <w:rPr>
          <w:rFonts w:cstheme="minorHAnsi"/>
        </w:rPr>
        <w:fldChar w:fldCharType="end"/>
      </w:r>
      <w:r w:rsidR="00FD6EC5" w:rsidRPr="004447F6">
        <w:rPr>
          <w:rFonts w:cstheme="minorHAnsi"/>
        </w:rPr>
        <w:t xml:space="preserve">. </w:t>
      </w:r>
      <w:r w:rsidR="00D0394E" w:rsidRPr="004447F6">
        <w:rPr>
          <w:rFonts w:cstheme="minorHAnsi"/>
        </w:rPr>
        <w:t>Case definitions</w:t>
      </w:r>
      <w:r w:rsidR="000816BF" w:rsidRPr="004447F6">
        <w:rPr>
          <w:rFonts w:cstheme="minorHAnsi"/>
        </w:rPr>
        <w:t xml:space="preserve"> are being </w:t>
      </w:r>
      <w:r w:rsidR="00BE0006" w:rsidRPr="004447F6">
        <w:rPr>
          <w:rFonts w:cstheme="minorHAnsi"/>
        </w:rPr>
        <w:t>refined</w:t>
      </w:r>
      <w:r w:rsidR="000816BF" w:rsidRPr="004447F6">
        <w:rPr>
          <w:rFonts w:cstheme="minorHAnsi"/>
        </w:rPr>
        <w:t xml:space="preserve"> in larger cohort studies</w:t>
      </w:r>
      <w:r w:rsidR="00BE0006" w:rsidRPr="004447F6">
        <w:rPr>
          <w:rFonts w:cstheme="minorHAnsi"/>
        </w:rPr>
        <w:t xml:space="preserve"> </w:t>
      </w:r>
      <w:r w:rsidR="00D0394E" w:rsidRPr="004447F6">
        <w:rPr>
          <w:rFonts w:cstheme="minorHAnsi"/>
        </w:rPr>
        <w:t>to reflect</w:t>
      </w:r>
      <w:r w:rsidR="00BE0006" w:rsidRPr="004447F6">
        <w:rPr>
          <w:rFonts w:cstheme="minorHAnsi"/>
        </w:rPr>
        <w:t xml:space="preserve"> clinical variants not meeting the original definitions (for example, up to 5% of patients with VITT may have normal platelet count at presentation</w:t>
      </w:r>
      <w:r w:rsidR="00BE7B11" w:rsidRPr="004447F6">
        <w:rPr>
          <w:rFonts w:cstheme="minorHAnsi"/>
        </w:rPr>
        <w:t>)</w:t>
      </w:r>
      <w:r w:rsidR="00C4650B" w:rsidRPr="004447F6">
        <w:rPr>
          <w:rFonts w:cstheme="minorHAnsi"/>
        </w:rPr>
        <w:t xml:space="preserve"> </w:t>
      </w:r>
      <w:r w:rsidR="00C4650B" w:rsidRPr="004447F6">
        <w:rPr>
          <w:rFonts w:cstheme="minorHAnsi"/>
        </w:rPr>
        <w:fldChar w:fldCharType="begin" w:fldLock="1"/>
      </w:r>
      <w:r w:rsidR="001A63D1" w:rsidRPr="004447F6">
        <w:rPr>
          <w:rFonts w:cstheme="minorHAnsi"/>
        </w:rPr>
        <w:instrText>ADDIN CSL_CITATION {"citationItems":[{"id":"ITEM-1","itemData":{"author":[{"dropping-particle":"","family":"Expert Haematology Panel","given":"","non-dropping-particle":"","parse-names":false,"suffix":""}],"id":"ITEM-1","issued":{"date-parts":[["2021"]]},"title":"Guidance from the Expert Haematology Panel (EHP) on Covid-19 Vaccine-induced Immune Thrombocytopenia and Thrombosis (VITT)","type":"report"},"uris":["http://www.mendeley.com/documents/?uuid=89c2c593-0830-4177-8477-00d69b2ef8a5"]}],"mendeley":{"formattedCitation":"(57)","plainTextFormattedCitation":"(57)","previouslyFormattedCitation":"(57)"},"properties":{"noteIndex":0},"schema":"https://github.com/citation-style-language/schema/raw/master/csl-citation.json"}</w:instrText>
      </w:r>
      <w:r w:rsidR="00C4650B" w:rsidRPr="004447F6">
        <w:rPr>
          <w:rFonts w:cstheme="minorHAnsi"/>
        </w:rPr>
        <w:fldChar w:fldCharType="separate"/>
      </w:r>
      <w:r w:rsidR="00CB023D" w:rsidRPr="004447F6">
        <w:rPr>
          <w:rFonts w:cstheme="minorHAnsi"/>
          <w:noProof/>
        </w:rPr>
        <w:t>(57)</w:t>
      </w:r>
      <w:r w:rsidR="00C4650B" w:rsidRPr="004447F6">
        <w:rPr>
          <w:rFonts w:cstheme="minorHAnsi"/>
        </w:rPr>
        <w:fldChar w:fldCharType="end"/>
      </w:r>
      <w:r w:rsidR="00C4650B" w:rsidRPr="004447F6">
        <w:rPr>
          <w:rFonts w:cstheme="minorHAnsi"/>
        </w:rPr>
        <w:t>.</w:t>
      </w:r>
      <w:r w:rsidR="000816BF" w:rsidRPr="004447F6">
        <w:rPr>
          <w:rFonts w:cstheme="minorHAnsi"/>
        </w:rPr>
        <w:t xml:space="preserve"> Establishing case definitions is, however, </w:t>
      </w:r>
      <w:r w:rsidR="00D0394E" w:rsidRPr="004447F6">
        <w:rPr>
          <w:rFonts w:cstheme="minorHAnsi"/>
        </w:rPr>
        <w:t>is a particular challenge</w:t>
      </w:r>
      <w:r w:rsidR="008C2C27" w:rsidRPr="004447F6">
        <w:rPr>
          <w:rFonts w:cstheme="minorHAnsi"/>
        </w:rPr>
        <w:t xml:space="preserve"> for </w:t>
      </w:r>
      <w:r w:rsidR="000816BF" w:rsidRPr="004447F6">
        <w:rPr>
          <w:rFonts w:cstheme="minorHAnsi"/>
        </w:rPr>
        <w:t xml:space="preserve">adverse events with variable presentations and without specific </w:t>
      </w:r>
      <w:r w:rsidR="008C2C27" w:rsidRPr="004447F6">
        <w:rPr>
          <w:rFonts w:cstheme="minorHAnsi"/>
        </w:rPr>
        <w:t>diagnostic</w:t>
      </w:r>
      <w:r w:rsidR="000816BF" w:rsidRPr="004447F6">
        <w:rPr>
          <w:rFonts w:cstheme="minorHAnsi"/>
        </w:rPr>
        <w:t xml:space="preserve"> tests, such as FND.</w:t>
      </w:r>
    </w:p>
    <w:p w14:paraId="770E85E3" w14:textId="6E687437" w:rsidR="001F269E" w:rsidRPr="004447F6" w:rsidRDefault="008C2C27" w:rsidP="00E77A50">
      <w:pPr>
        <w:spacing w:line="360" w:lineRule="auto"/>
        <w:jc w:val="both"/>
        <w:rPr>
          <w:rFonts w:cstheme="minorHAnsi"/>
        </w:rPr>
      </w:pPr>
      <w:r w:rsidRPr="004447F6">
        <w:rPr>
          <w:rFonts w:cstheme="minorHAnsi"/>
        </w:rPr>
        <w:t xml:space="preserve">Once the </w:t>
      </w:r>
      <w:r w:rsidR="001F269E" w:rsidRPr="004447F6">
        <w:rPr>
          <w:rFonts w:cstheme="minorHAnsi"/>
        </w:rPr>
        <w:t xml:space="preserve">clinical </w:t>
      </w:r>
      <w:r w:rsidRPr="004447F6">
        <w:rPr>
          <w:rFonts w:cstheme="minorHAnsi"/>
        </w:rPr>
        <w:t xml:space="preserve">case definition is ascertained, one can proceed to the causality assessment. </w:t>
      </w:r>
      <w:r w:rsidR="00F2630E" w:rsidRPr="004447F6">
        <w:rPr>
          <w:rFonts w:cstheme="minorHAnsi"/>
        </w:rPr>
        <w:t xml:space="preserve">Using questions summarised in </w:t>
      </w:r>
      <w:r w:rsidR="0086228A" w:rsidRPr="004447F6">
        <w:rPr>
          <w:rFonts w:cstheme="minorHAnsi"/>
        </w:rPr>
        <w:t>T</w:t>
      </w:r>
      <w:r w:rsidR="00F2630E" w:rsidRPr="004447F6">
        <w:rPr>
          <w:rFonts w:cstheme="minorHAnsi"/>
        </w:rPr>
        <w:t>able 2, t</w:t>
      </w:r>
      <w:r w:rsidRPr="004447F6">
        <w:rPr>
          <w:rFonts w:cstheme="minorHAnsi"/>
        </w:rPr>
        <w:t>he WHO</w:t>
      </w:r>
      <w:r w:rsidR="006A7A52" w:rsidRPr="004447F6">
        <w:rPr>
          <w:rFonts w:cstheme="minorHAnsi"/>
        </w:rPr>
        <w:t xml:space="preserve"> </w:t>
      </w:r>
      <w:r w:rsidRPr="004447F6">
        <w:rPr>
          <w:rFonts w:cstheme="minorHAnsi"/>
        </w:rPr>
        <w:t xml:space="preserve">algorithm for </w:t>
      </w:r>
      <w:r w:rsidR="006A7A52" w:rsidRPr="004447F6">
        <w:rPr>
          <w:rFonts w:cstheme="minorHAnsi"/>
        </w:rPr>
        <w:t>AEFI</w:t>
      </w:r>
      <w:r w:rsidRPr="004447F6">
        <w:rPr>
          <w:rFonts w:cstheme="minorHAnsi"/>
        </w:rPr>
        <w:t xml:space="preserve"> groups events into </w:t>
      </w:r>
      <w:r w:rsidR="00F2630E" w:rsidRPr="004447F6">
        <w:rPr>
          <w:rFonts w:cstheme="minorHAnsi"/>
        </w:rPr>
        <w:t>five</w:t>
      </w:r>
      <w:r w:rsidRPr="004447F6">
        <w:rPr>
          <w:rFonts w:cstheme="minorHAnsi"/>
        </w:rPr>
        <w:t xml:space="preserve"> categories</w:t>
      </w:r>
      <w:r w:rsidR="00F2630E" w:rsidRPr="004447F6">
        <w:rPr>
          <w:rFonts w:cstheme="minorHAnsi"/>
        </w:rPr>
        <w:t>: consistent with ca</w:t>
      </w:r>
      <w:r w:rsidR="002827DA" w:rsidRPr="004447F6">
        <w:rPr>
          <w:rFonts w:cstheme="minorHAnsi"/>
        </w:rPr>
        <w:t>us</w:t>
      </w:r>
      <w:r w:rsidR="00F2630E" w:rsidRPr="004447F6">
        <w:rPr>
          <w:rFonts w:cstheme="minorHAnsi"/>
        </w:rPr>
        <w:t>al association, indeterminate, inconsistent with ca</w:t>
      </w:r>
      <w:r w:rsidR="002827DA" w:rsidRPr="004447F6">
        <w:rPr>
          <w:rFonts w:cstheme="minorHAnsi"/>
        </w:rPr>
        <w:t>u</w:t>
      </w:r>
      <w:r w:rsidR="00F2630E" w:rsidRPr="004447F6">
        <w:rPr>
          <w:rFonts w:cstheme="minorHAnsi"/>
        </w:rPr>
        <w:t>sal association, unclassifiable (insufficient information) or unsuitable for ca</w:t>
      </w:r>
      <w:r w:rsidR="002827DA" w:rsidRPr="004447F6">
        <w:rPr>
          <w:rFonts w:cstheme="minorHAnsi"/>
        </w:rPr>
        <w:t>us</w:t>
      </w:r>
      <w:r w:rsidR="00F2630E" w:rsidRPr="004447F6">
        <w:rPr>
          <w:rFonts w:cstheme="minorHAnsi"/>
        </w:rPr>
        <w:t>al</w:t>
      </w:r>
      <w:r w:rsidR="002827DA" w:rsidRPr="004447F6">
        <w:rPr>
          <w:rFonts w:cstheme="minorHAnsi"/>
        </w:rPr>
        <w:t>i</w:t>
      </w:r>
      <w:r w:rsidR="00F2630E" w:rsidRPr="004447F6">
        <w:rPr>
          <w:rFonts w:cstheme="minorHAnsi"/>
        </w:rPr>
        <w:t xml:space="preserve">ty assessment (not meeting </w:t>
      </w:r>
      <w:r w:rsidR="001F269E" w:rsidRPr="004447F6">
        <w:rPr>
          <w:rFonts w:cstheme="minorHAnsi"/>
        </w:rPr>
        <w:t xml:space="preserve">clinical </w:t>
      </w:r>
      <w:r w:rsidR="00F2630E" w:rsidRPr="004447F6">
        <w:rPr>
          <w:rFonts w:cstheme="minorHAnsi"/>
        </w:rPr>
        <w:t>case definitions)</w:t>
      </w:r>
      <w:r w:rsidR="0086228A" w:rsidRPr="004447F6">
        <w:rPr>
          <w:rFonts w:cstheme="minorHAnsi"/>
        </w:rPr>
        <w:t xml:space="preserve">. </w:t>
      </w:r>
      <w:r w:rsidR="00F2630E" w:rsidRPr="004447F6">
        <w:rPr>
          <w:rFonts w:cstheme="minorHAnsi"/>
        </w:rPr>
        <w:t>Events are classified as inconsistent with ca</w:t>
      </w:r>
      <w:r w:rsidR="002827DA" w:rsidRPr="004447F6">
        <w:rPr>
          <w:rFonts w:cstheme="minorHAnsi"/>
        </w:rPr>
        <w:t>us</w:t>
      </w:r>
      <w:r w:rsidR="00F2630E" w:rsidRPr="004447F6">
        <w:rPr>
          <w:rFonts w:cstheme="minorHAnsi"/>
        </w:rPr>
        <w:t>al association if there is a strong suspicion of alternative causes and as consistent with ca</w:t>
      </w:r>
      <w:r w:rsidR="002827DA" w:rsidRPr="004447F6">
        <w:rPr>
          <w:rFonts w:cstheme="minorHAnsi"/>
        </w:rPr>
        <w:t>u</w:t>
      </w:r>
      <w:r w:rsidR="00F2630E" w:rsidRPr="004447F6">
        <w:rPr>
          <w:rFonts w:cstheme="minorHAnsi"/>
        </w:rPr>
        <w:t xml:space="preserve">sal association if there is no alternative aetiology and previous evidence suggests association the vaccination </w:t>
      </w:r>
      <w:r w:rsidR="0086228A" w:rsidRPr="004447F6">
        <w:rPr>
          <w:rFonts w:cstheme="minorHAnsi"/>
        </w:rPr>
        <w:fldChar w:fldCharType="begin" w:fldLock="1"/>
      </w:r>
      <w:r w:rsidR="00DB0E82" w:rsidRPr="004447F6">
        <w:rPr>
          <w:rFonts w:cstheme="minorHAnsi"/>
        </w:rPr>
        <w:instrText>ADDIN CSL_CITATION {"citationItems":[{"id":"ITEM-1","itemData":{"ISSN":"9241513659","author":[{"dropping-particle":"","family":"World Health Organization","given":"","non-dropping-particle":"","parse-names":false,"suffix":""}],"id":"ITEM-1","issued":{"date-parts":[["2019"]]},"publisher":"World Health Organization","title":"Causality assessment of an adverse event following immunization (AEFI): user manual for the revised WHO classification","type":"report"},"uris":["http://www.mendeley.com/documents/?uuid=b9c3dfd1-09e0-4411-aae3-3259c4cbeacd"]}],"mendeley":{"formattedCitation":"(26)","plainTextFormattedCitation":"(26)","previouslyFormattedCitation":"(26)"},"properties":{"noteIndex":0},"schema":"https://github.com/citation-style-language/schema/raw/master/csl-citation.json"}</w:instrText>
      </w:r>
      <w:r w:rsidR="0086228A" w:rsidRPr="004447F6">
        <w:rPr>
          <w:rFonts w:cstheme="minorHAnsi"/>
        </w:rPr>
        <w:fldChar w:fldCharType="separate"/>
      </w:r>
      <w:r w:rsidR="00632A99" w:rsidRPr="004447F6">
        <w:rPr>
          <w:rFonts w:cstheme="minorHAnsi"/>
          <w:noProof/>
        </w:rPr>
        <w:t>(26)</w:t>
      </w:r>
      <w:r w:rsidR="0086228A" w:rsidRPr="004447F6">
        <w:rPr>
          <w:rFonts w:cstheme="minorHAnsi"/>
        </w:rPr>
        <w:fldChar w:fldCharType="end"/>
      </w:r>
      <w:r w:rsidR="0086228A" w:rsidRPr="004447F6">
        <w:rPr>
          <w:rFonts w:cstheme="minorHAnsi"/>
        </w:rPr>
        <w:t>. A consequence of this is</w:t>
      </w:r>
      <w:r w:rsidR="00F2630E" w:rsidRPr="004447F6">
        <w:rPr>
          <w:rFonts w:cstheme="minorHAnsi"/>
        </w:rPr>
        <w:t xml:space="preserve"> that for any new vaccine</w:t>
      </w:r>
      <w:r w:rsidR="00670967" w:rsidRPr="004447F6">
        <w:rPr>
          <w:rFonts w:cstheme="minorHAnsi"/>
        </w:rPr>
        <w:t xml:space="preserve">, all adverse events will be initially classified as </w:t>
      </w:r>
      <w:r w:rsidR="001F269E" w:rsidRPr="004447F6">
        <w:rPr>
          <w:rFonts w:cstheme="minorHAnsi"/>
        </w:rPr>
        <w:t>'</w:t>
      </w:r>
      <w:r w:rsidR="00670967" w:rsidRPr="004447F6">
        <w:rPr>
          <w:rFonts w:cstheme="minorHAnsi"/>
        </w:rPr>
        <w:t>indeterminate</w:t>
      </w:r>
      <w:r w:rsidR="001F269E" w:rsidRPr="004447F6">
        <w:rPr>
          <w:rFonts w:cstheme="minorHAnsi"/>
        </w:rPr>
        <w:t>'</w:t>
      </w:r>
      <w:r w:rsidR="00670967" w:rsidRPr="004447F6">
        <w:rPr>
          <w:rFonts w:cstheme="minorHAnsi"/>
        </w:rPr>
        <w:t xml:space="preserve">, until further evidence becomes available. This significantly limits the use of </w:t>
      </w:r>
      <w:r w:rsidR="001F269E" w:rsidRPr="004447F6">
        <w:rPr>
          <w:rFonts w:cstheme="minorHAnsi"/>
        </w:rPr>
        <w:t xml:space="preserve">these </w:t>
      </w:r>
      <w:r w:rsidR="00670967" w:rsidRPr="004447F6">
        <w:rPr>
          <w:rFonts w:cstheme="minorHAnsi"/>
        </w:rPr>
        <w:t xml:space="preserve">criteria </w:t>
      </w:r>
      <w:r w:rsidR="005A6810" w:rsidRPr="004447F6">
        <w:rPr>
          <w:rFonts w:cstheme="minorHAnsi"/>
        </w:rPr>
        <w:t xml:space="preserve">for assessment of </w:t>
      </w:r>
      <w:r w:rsidR="001F269E" w:rsidRPr="004447F6">
        <w:rPr>
          <w:rFonts w:cstheme="minorHAnsi"/>
        </w:rPr>
        <w:t>adverse events</w:t>
      </w:r>
      <w:r w:rsidR="005A6810" w:rsidRPr="004447F6">
        <w:rPr>
          <w:rFonts w:cstheme="minorHAnsi"/>
        </w:rPr>
        <w:t xml:space="preserve"> following </w:t>
      </w:r>
      <w:r w:rsidR="001F269E" w:rsidRPr="004447F6">
        <w:rPr>
          <w:rFonts w:cstheme="minorHAnsi"/>
        </w:rPr>
        <w:t xml:space="preserve">novel </w:t>
      </w:r>
      <w:r w:rsidR="00670967" w:rsidRPr="004447F6">
        <w:rPr>
          <w:rFonts w:cstheme="minorHAnsi"/>
        </w:rPr>
        <w:t>vaccines</w:t>
      </w:r>
      <w:r w:rsidR="001F269E" w:rsidRPr="004447F6">
        <w:rPr>
          <w:rFonts w:cstheme="minorHAnsi"/>
        </w:rPr>
        <w:t>, such as large-scale programmes for SARS-CoV2</w:t>
      </w:r>
      <w:r w:rsidR="00670967" w:rsidRPr="004447F6">
        <w:rPr>
          <w:rFonts w:cstheme="minorHAnsi"/>
        </w:rPr>
        <w:t>.</w:t>
      </w:r>
      <w:r w:rsidR="00E502BE" w:rsidRPr="004447F6">
        <w:rPr>
          <w:rFonts w:cstheme="minorHAnsi"/>
        </w:rPr>
        <w:t xml:space="preserve"> </w:t>
      </w:r>
    </w:p>
    <w:p w14:paraId="78DD4DAA" w14:textId="20B07CE2" w:rsidR="00F2630E" w:rsidRPr="004447F6" w:rsidRDefault="00E502BE" w:rsidP="00E77A50">
      <w:pPr>
        <w:spacing w:line="360" w:lineRule="auto"/>
        <w:jc w:val="both"/>
        <w:rPr>
          <w:rFonts w:cstheme="minorHAnsi"/>
        </w:rPr>
      </w:pPr>
      <w:r w:rsidRPr="004447F6">
        <w:rPr>
          <w:rFonts w:cstheme="minorHAnsi"/>
        </w:rPr>
        <w:lastRenderedPageBreak/>
        <w:t xml:space="preserve">Instead, </w:t>
      </w:r>
      <w:r w:rsidR="005A6810" w:rsidRPr="004447F6">
        <w:rPr>
          <w:rFonts w:cstheme="minorHAnsi"/>
        </w:rPr>
        <w:t>we propose</w:t>
      </w:r>
      <w:r w:rsidR="00115D45" w:rsidRPr="004447F6">
        <w:rPr>
          <w:rFonts w:cstheme="minorHAnsi"/>
        </w:rPr>
        <w:t xml:space="preserve"> </w:t>
      </w:r>
      <w:r w:rsidR="005A6810" w:rsidRPr="004447F6">
        <w:rPr>
          <w:rFonts w:cstheme="minorHAnsi"/>
        </w:rPr>
        <w:t>classifying</w:t>
      </w:r>
      <w:r w:rsidR="0086228A" w:rsidRPr="004447F6">
        <w:rPr>
          <w:rFonts w:cstheme="minorHAnsi"/>
        </w:rPr>
        <w:t xml:space="preserve"> cases</w:t>
      </w:r>
      <w:r w:rsidR="00115D45" w:rsidRPr="004447F6">
        <w:rPr>
          <w:rFonts w:cstheme="minorHAnsi"/>
        </w:rPr>
        <w:t xml:space="preserve"> as</w:t>
      </w:r>
      <w:r w:rsidRPr="004447F6">
        <w:rPr>
          <w:rFonts w:cstheme="minorHAnsi"/>
        </w:rPr>
        <w:t xml:space="preserve">: probable, </w:t>
      </w:r>
      <w:r w:rsidR="00115D45" w:rsidRPr="004447F6">
        <w:rPr>
          <w:rFonts w:cstheme="minorHAnsi"/>
        </w:rPr>
        <w:t xml:space="preserve">possible, and unlikely, </w:t>
      </w:r>
      <w:r w:rsidR="0086228A" w:rsidRPr="004447F6">
        <w:rPr>
          <w:rFonts w:cstheme="minorHAnsi"/>
        </w:rPr>
        <w:t>considering</w:t>
      </w:r>
      <w:r w:rsidR="00115D45" w:rsidRPr="004447F6">
        <w:rPr>
          <w:rFonts w:cstheme="minorHAnsi"/>
        </w:rPr>
        <w:t xml:space="preserve"> the temporal relationship, individual risk factors and the likelihood of an alternative aetiology</w:t>
      </w:r>
      <w:r w:rsidR="0086228A" w:rsidRPr="004447F6">
        <w:rPr>
          <w:rFonts w:cstheme="minorHAnsi"/>
        </w:rPr>
        <w:t xml:space="preserve"> (Table 3)</w:t>
      </w:r>
      <w:r w:rsidR="00115D45" w:rsidRPr="004447F6">
        <w:rPr>
          <w:rFonts w:cstheme="minorHAnsi"/>
        </w:rPr>
        <w:t xml:space="preserve">. This </w:t>
      </w:r>
      <w:r w:rsidR="001F269E" w:rsidRPr="004447F6">
        <w:rPr>
          <w:rFonts w:cstheme="minorHAnsi"/>
        </w:rPr>
        <w:t xml:space="preserve">approach </w:t>
      </w:r>
      <w:r w:rsidR="00115D45" w:rsidRPr="004447F6">
        <w:rPr>
          <w:rFonts w:cstheme="minorHAnsi"/>
        </w:rPr>
        <w:t xml:space="preserve">may support clinicians in assessing individual </w:t>
      </w:r>
      <w:r w:rsidR="005A6810" w:rsidRPr="004447F6">
        <w:rPr>
          <w:rFonts w:cstheme="minorHAnsi"/>
        </w:rPr>
        <w:t>patients</w:t>
      </w:r>
      <w:r w:rsidR="00115D45" w:rsidRPr="004447F6">
        <w:rPr>
          <w:rFonts w:cstheme="minorHAnsi"/>
        </w:rPr>
        <w:t xml:space="preserve"> where the evidence from the literature is sparse, but it should not replace the statutory reporting to regulatory bodies.</w:t>
      </w:r>
    </w:p>
    <w:p w14:paraId="2DB3AF09" w14:textId="6B0B8B57" w:rsidR="00B84131" w:rsidRPr="004447F6" w:rsidRDefault="00B84131" w:rsidP="00E77A50">
      <w:pPr>
        <w:spacing w:line="360" w:lineRule="auto"/>
        <w:jc w:val="both"/>
        <w:rPr>
          <w:rFonts w:cstheme="minorHAnsi"/>
        </w:rPr>
      </w:pPr>
    </w:p>
    <w:p w14:paraId="34ED7BFF" w14:textId="77777777" w:rsidR="008B3F34" w:rsidRPr="004447F6" w:rsidRDefault="008B3F34" w:rsidP="00E77A50">
      <w:pPr>
        <w:spacing w:line="360" w:lineRule="auto"/>
        <w:jc w:val="both"/>
        <w:rPr>
          <w:rFonts w:cstheme="minorHAnsi"/>
        </w:rPr>
      </w:pPr>
    </w:p>
    <w:tbl>
      <w:tblPr>
        <w:tblStyle w:val="TableGrid"/>
        <w:tblW w:w="0" w:type="auto"/>
        <w:tblLook w:val="04A0" w:firstRow="1" w:lastRow="0" w:firstColumn="1" w:lastColumn="0" w:noHBand="0" w:noVBand="1"/>
      </w:tblPr>
      <w:tblGrid>
        <w:gridCol w:w="1528"/>
        <w:gridCol w:w="1302"/>
        <w:gridCol w:w="3119"/>
        <w:gridCol w:w="3067"/>
      </w:tblGrid>
      <w:tr w:rsidR="005D35B7" w:rsidRPr="004447F6" w14:paraId="624D9C72" w14:textId="6132E0F1" w:rsidTr="00310CE5">
        <w:tc>
          <w:tcPr>
            <w:tcW w:w="1528" w:type="dxa"/>
          </w:tcPr>
          <w:p w14:paraId="2F1121C7" w14:textId="117F9FDF" w:rsidR="005D35B7" w:rsidRPr="004447F6" w:rsidRDefault="005D35B7" w:rsidP="00D47C7B">
            <w:pPr>
              <w:spacing w:line="276" w:lineRule="auto"/>
              <w:rPr>
                <w:rFonts w:cstheme="minorHAnsi"/>
                <w:b/>
                <w:bCs/>
                <w:sz w:val="18"/>
                <w:szCs w:val="18"/>
              </w:rPr>
            </w:pPr>
            <w:r w:rsidRPr="004447F6">
              <w:rPr>
                <w:rFonts w:cstheme="minorHAnsi"/>
                <w:b/>
                <w:bCs/>
                <w:sz w:val="18"/>
                <w:szCs w:val="18"/>
              </w:rPr>
              <w:t xml:space="preserve">WHO </w:t>
            </w:r>
            <w:r w:rsidR="00567B60" w:rsidRPr="004447F6">
              <w:rPr>
                <w:rFonts w:cstheme="minorHAnsi"/>
                <w:b/>
                <w:bCs/>
                <w:sz w:val="18"/>
                <w:szCs w:val="18"/>
              </w:rPr>
              <w:t xml:space="preserve">GACVS </w:t>
            </w:r>
            <w:r w:rsidRPr="004447F6">
              <w:rPr>
                <w:rFonts w:cstheme="minorHAnsi"/>
                <w:b/>
                <w:bCs/>
                <w:sz w:val="18"/>
                <w:szCs w:val="18"/>
              </w:rPr>
              <w:t>Criteria</w:t>
            </w:r>
          </w:p>
        </w:tc>
        <w:tc>
          <w:tcPr>
            <w:tcW w:w="1302" w:type="dxa"/>
          </w:tcPr>
          <w:p w14:paraId="1A3CD760" w14:textId="18CE3699" w:rsidR="005D35B7" w:rsidRPr="004447F6" w:rsidRDefault="005D35B7" w:rsidP="00D47C7B">
            <w:pPr>
              <w:spacing w:line="276" w:lineRule="auto"/>
              <w:rPr>
                <w:rFonts w:cstheme="minorHAnsi"/>
                <w:b/>
                <w:bCs/>
                <w:sz w:val="18"/>
                <w:szCs w:val="18"/>
              </w:rPr>
            </w:pPr>
            <w:r w:rsidRPr="004447F6">
              <w:rPr>
                <w:rFonts w:cstheme="minorHAnsi"/>
                <w:b/>
                <w:bCs/>
                <w:sz w:val="18"/>
                <w:szCs w:val="18"/>
              </w:rPr>
              <w:t>Bradford Hill equivalent</w:t>
            </w:r>
          </w:p>
        </w:tc>
        <w:tc>
          <w:tcPr>
            <w:tcW w:w="3119" w:type="dxa"/>
          </w:tcPr>
          <w:p w14:paraId="3F49AD54" w14:textId="3250BFF5" w:rsidR="005D35B7" w:rsidRPr="004447F6" w:rsidRDefault="00F2630E" w:rsidP="00D47C7B">
            <w:pPr>
              <w:spacing w:line="276" w:lineRule="auto"/>
              <w:rPr>
                <w:rFonts w:cstheme="minorHAnsi"/>
                <w:b/>
                <w:bCs/>
                <w:sz w:val="18"/>
                <w:szCs w:val="18"/>
              </w:rPr>
            </w:pPr>
            <w:r w:rsidRPr="004447F6">
              <w:rPr>
                <w:rFonts w:cstheme="minorHAnsi"/>
                <w:b/>
                <w:bCs/>
                <w:sz w:val="18"/>
                <w:szCs w:val="18"/>
              </w:rPr>
              <w:t>Consideration</w:t>
            </w:r>
            <w:r w:rsidR="00310CE5" w:rsidRPr="004447F6">
              <w:rPr>
                <w:rFonts w:cstheme="minorHAnsi"/>
                <w:b/>
                <w:bCs/>
                <w:sz w:val="18"/>
                <w:szCs w:val="18"/>
              </w:rPr>
              <w:t>s for</w:t>
            </w:r>
            <w:r w:rsidRPr="004447F6">
              <w:rPr>
                <w:rFonts w:cstheme="minorHAnsi"/>
                <w:b/>
                <w:bCs/>
                <w:sz w:val="18"/>
                <w:szCs w:val="18"/>
              </w:rPr>
              <w:t xml:space="preserve"> assessing</w:t>
            </w:r>
            <w:r w:rsidR="00E77A50" w:rsidRPr="004447F6">
              <w:rPr>
                <w:rFonts w:cstheme="minorHAnsi"/>
                <w:b/>
                <w:bCs/>
                <w:sz w:val="18"/>
                <w:szCs w:val="18"/>
              </w:rPr>
              <w:t xml:space="preserve"> causality of covid-19 vaccination in organic neurological adverse events</w:t>
            </w:r>
          </w:p>
        </w:tc>
        <w:tc>
          <w:tcPr>
            <w:tcW w:w="3067" w:type="dxa"/>
          </w:tcPr>
          <w:p w14:paraId="77EC597C" w14:textId="00D877E7" w:rsidR="005D35B7" w:rsidRPr="004447F6" w:rsidRDefault="00310CE5" w:rsidP="00D47C7B">
            <w:pPr>
              <w:spacing w:line="276" w:lineRule="auto"/>
              <w:rPr>
                <w:rFonts w:cstheme="minorHAnsi"/>
                <w:b/>
                <w:bCs/>
                <w:sz w:val="18"/>
                <w:szCs w:val="18"/>
              </w:rPr>
            </w:pPr>
            <w:r w:rsidRPr="004447F6">
              <w:rPr>
                <w:rFonts w:cstheme="minorHAnsi"/>
                <w:b/>
                <w:bCs/>
                <w:sz w:val="18"/>
                <w:szCs w:val="18"/>
              </w:rPr>
              <w:t>Considerations</w:t>
            </w:r>
            <w:r w:rsidR="00E77A50" w:rsidRPr="004447F6">
              <w:rPr>
                <w:rFonts w:cstheme="minorHAnsi"/>
                <w:b/>
                <w:bCs/>
                <w:sz w:val="18"/>
                <w:szCs w:val="18"/>
              </w:rPr>
              <w:t xml:space="preserve"> for </w:t>
            </w:r>
            <w:r w:rsidRPr="004447F6">
              <w:rPr>
                <w:rFonts w:cstheme="minorHAnsi"/>
                <w:b/>
                <w:bCs/>
                <w:sz w:val="18"/>
                <w:szCs w:val="18"/>
              </w:rPr>
              <w:t>assessing</w:t>
            </w:r>
            <w:r w:rsidR="00E77A50" w:rsidRPr="004447F6">
              <w:rPr>
                <w:rFonts w:cstheme="minorHAnsi"/>
                <w:b/>
                <w:bCs/>
                <w:sz w:val="18"/>
                <w:szCs w:val="18"/>
              </w:rPr>
              <w:t xml:space="preserve"> causality of </w:t>
            </w:r>
            <w:r w:rsidRPr="004447F6">
              <w:rPr>
                <w:rFonts w:cstheme="minorHAnsi"/>
                <w:b/>
                <w:bCs/>
                <w:sz w:val="18"/>
                <w:szCs w:val="18"/>
              </w:rPr>
              <w:t>SARS-CoV-2</w:t>
            </w:r>
            <w:r w:rsidR="00E77A50" w:rsidRPr="004447F6">
              <w:rPr>
                <w:rFonts w:cstheme="minorHAnsi"/>
                <w:b/>
                <w:bCs/>
                <w:sz w:val="18"/>
                <w:szCs w:val="18"/>
              </w:rPr>
              <w:t xml:space="preserve"> vaccination in </w:t>
            </w:r>
            <w:r w:rsidRPr="004447F6">
              <w:rPr>
                <w:rFonts w:cstheme="minorHAnsi"/>
                <w:b/>
                <w:bCs/>
                <w:sz w:val="18"/>
                <w:szCs w:val="18"/>
              </w:rPr>
              <w:t>functional neurological disorders</w:t>
            </w:r>
          </w:p>
        </w:tc>
      </w:tr>
      <w:tr w:rsidR="005D35B7" w:rsidRPr="004447F6" w14:paraId="562C0043" w14:textId="4131E561" w:rsidTr="00310CE5">
        <w:tc>
          <w:tcPr>
            <w:tcW w:w="1528" w:type="dxa"/>
          </w:tcPr>
          <w:p w14:paraId="47CF98F2" w14:textId="1FE84359" w:rsidR="005D35B7" w:rsidRPr="004447F6" w:rsidRDefault="005D35B7" w:rsidP="00D47C7B">
            <w:pPr>
              <w:spacing w:line="276" w:lineRule="auto"/>
              <w:rPr>
                <w:rFonts w:cstheme="minorHAnsi"/>
                <w:sz w:val="18"/>
                <w:szCs w:val="18"/>
              </w:rPr>
            </w:pPr>
            <w:r w:rsidRPr="004447F6">
              <w:rPr>
                <w:sz w:val="18"/>
                <w:szCs w:val="18"/>
              </w:rPr>
              <w:t>Is there evidence in published peer reviewed literature that this vaccine may cause such an event if administered correctly?</w:t>
            </w:r>
          </w:p>
        </w:tc>
        <w:tc>
          <w:tcPr>
            <w:tcW w:w="1302" w:type="dxa"/>
          </w:tcPr>
          <w:p w14:paraId="6A44525E" w14:textId="7DA058F3" w:rsidR="005D35B7" w:rsidRPr="004447F6" w:rsidRDefault="005D35B7" w:rsidP="00D47C7B">
            <w:pPr>
              <w:spacing w:line="276" w:lineRule="auto"/>
              <w:rPr>
                <w:rFonts w:cstheme="minorHAnsi"/>
                <w:sz w:val="18"/>
                <w:szCs w:val="18"/>
              </w:rPr>
            </w:pPr>
            <w:r w:rsidRPr="004447F6">
              <w:rPr>
                <w:rFonts w:cstheme="minorHAnsi"/>
                <w:sz w:val="18"/>
                <w:szCs w:val="18"/>
              </w:rPr>
              <w:t>Consistency, strength &amp; experimental evidence</w:t>
            </w:r>
          </w:p>
        </w:tc>
        <w:tc>
          <w:tcPr>
            <w:tcW w:w="3119" w:type="dxa"/>
          </w:tcPr>
          <w:p w14:paraId="022B6771" w14:textId="6258FDDB" w:rsidR="005D35B7" w:rsidRPr="004447F6" w:rsidRDefault="00472AC4" w:rsidP="00D47C7B">
            <w:pPr>
              <w:spacing w:line="276" w:lineRule="auto"/>
              <w:rPr>
                <w:rFonts w:cstheme="minorHAnsi"/>
                <w:sz w:val="18"/>
                <w:szCs w:val="18"/>
              </w:rPr>
            </w:pPr>
            <w:r w:rsidRPr="004447F6">
              <w:rPr>
                <w:rFonts w:cstheme="minorHAnsi"/>
                <w:sz w:val="18"/>
                <w:szCs w:val="18"/>
              </w:rPr>
              <w:t xml:space="preserve">Limited evidence exists for new products, such as </w:t>
            </w:r>
            <w:bookmarkStart w:id="1" w:name="_Hlk74692522"/>
            <w:r w:rsidR="00B151A9" w:rsidRPr="004447F6">
              <w:rPr>
                <w:rFonts w:cstheme="minorHAnsi"/>
                <w:sz w:val="18"/>
                <w:szCs w:val="18"/>
              </w:rPr>
              <w:t>SARS-CoV-2</w:t>
            </w:r>
            <w:r w:rsidRPr="004447F6">
              <w:rPr>
                <w:rFonts w:cstheme="minorHAnsi"/>
                <w:sz w:val="18"/>
                <w:szCs w:val="18"/>
              </w:rPr>
              <w:t xml:space="preserve"> </w:t>
            </w:r>
            <w:bookmarkEnd w:id="1"/>
            <w:r w:rsidRPr="004447F6">
              <w:rPr>
                <w:rFonts w:cstheme="minorHAnsi"/>
                <w:sz w:val="18"/>
                <w:szCs w:val="18"/>
              </w:rPr>
              <w:t>vaccines. Isolated cases, such as CVST with thrombocytopenia in phase III Ad26.COV</w:t>
            </w:r>
            <w:proofErr w:type="gramStart"/>
            <w:r w:rsidRPr="004447F6">
              <w:rPr>
                <w:rFonts w:cstheme="minorHAnsi"/>
                <w:sz w:val="18"/>
                <w:szCs w:val="18"/>
              </w:rPr>
              <w:t>2.S</w:t>
            </w:r>
            <w:proofErr w:type="gramEnd"/>
            <w:r w:rsidR="00FD633C" w:rsidRPr="004447F6">
              <w:rPr>
                <w:rFonts w:cstheme="minorHAnsi"/>
                <w:sz w:val="18"/>
                <w:szCs w:val="18"/>
              </w:rPr>
              <w:t xml:space="preserve"> trial</w:t>
            </w:r>
            <w:r w:rsidRPr="004447F6">
              <w:rPr>
                <w:rFonts w:cstheme="minorHAnsi"/>
                <w:sz w:val="18"/>
                <w:szCs w:val="18"/>
              </w:rPr>
              <w:t xml:space="preserve">, </w:t>
            </w:r>
            <w:r w:rsidR="00FD633C" w:rsidRPr="004447F6">
              <w:rPr>
                <w:rFonts w:cstheme="minorHAnsi"/>
                <w:sz w:val="18"/>
                <w:szCs w:val="18"/>
              </w:rPr>
              <w:t>might have been reported in the clinical trials</w:t>
            </w:r>
            <w:r w:rsidRPr="004447F6">
              <w:rPr>
                <w:rFonts w:cstheme="minorHAnsi"/>
                <w:sz w:val="18"/>
                <w:szCs w:val="18"/>
              </w:rPr>
              <w:t xml:space="preserve">. Currently, multiple </w:t>
            </w:r>
            <w:r w:rsidR="00FD633C" w:rsidRPr="004447F6">
              <w:rPr>
                <w:rFonts w:cstheme="minorHAnsi"/>
                <w:sz w:val="18"/>
                <w:szCs w:val="18"/>
              </w:rPr>
              <w:t xml:space="preserve">case </w:t>
            </w:r>
            <w:r w:rsidRPr="004447F6">
              <w:rPr>
                <w:rFonts w:cstheme="minorHAnsi"/>
                <w:sz w:val="18"/>
                <w:szCs w:val="18"/>
              </w:rPr>
              <w:t xml:space="preserve">reports </w:t>
            </w:r>
            <w:r w:rsidR="00FD633C" w:rsidRPr="004447F6">
              <w:rPr>
                <w:rFonts w:cstheme="minorHAnsi"/>
                <w:sz w:val="18"/>
                <w:szCs w:val="18"/>
              </w:rPr>
              <w:t xml:space="preserve">and some epidemiological studies link </w:t>
            </w:r>
            <w:r w:rsidRPr="004447F6">
              <w:rPr>
                <w:rFonts w:cstheme="minorHAnsi"/>
                <w:sz w:val="18"/>
                <w:szCs w:val="18"/>
              </w:rPr>
              <w:t>VITT with adenovirus</w:t>
            </w:r>
            <w:r w:rsidR="00FD633C" w:rsidRPr="004447F6">
              <w:rPr>
                <w:rFonts w:cstheme="minorHAnsi"/>
                <w:sz w:val="18"/>
                <w:szCs w:val="18"/>
              </w:rPr>
              <w:t>-vector</w:t>
            </w:r>
            <w:r w:rsidRPr="004447F6">
              <w:rPr>
                <w:rFonts w:cstheme="minorHAnsi"/>
                <w:sz w:val="18"/>
                <w:szCs w:val="18"/>
              </w:rPr>
              <w:t xml:space="preserve"> vaccines. On the other hand, </w:t>
            </w:r>
            <w:r w:rsidR="00FD633C" w:rsidRPr="004447F6">
              <w:rPr>
                <w:rFonts w:cstheme="minorHAnsi"/>
                <w:sz w:val="18"/>
                <w:szCs w:val="18"/>
              </w:rPr>
              <w:t xml:space="preserve">only </w:t>
            </w:r>
            <w:r w:rsidRPr="004447F6">
              <w:rPr>
                <w:rFonts w:cstheme="minorHAnsi"/>
                <w:sz w:val="18"/>
                <w:szCs w:val="18"/>
              </w:rPr>
              <w:t>isolated case reports are available for Bell’s palsy, GBS, transverse myelitis and seizures, with no evidence from epidemiological studies.</w:t>
            </w:r>
          </w:p>
        </w:tc>
        <w:tc>
          <w:tcPr>
            <w:tcW w:w="3067" w:type="dxa"/>
          </w:tcPr>
          <w:p w14:paraId="3239937B" w14:textId="6D69B5DB" w:rsidR="005D35B7" w:rsidRPr="004447F6" w:rsidRDefault="005D35B7" w:rsidP="00D47C7B">
            <w:pPr>
              <w:spacing w:line="276" w:lineRule="auto"/>
              <w:rPr>
                <w:rFonts w:cstheme="minorHAnsi"/>
                <w:sz w:val="18"/>
                <w:szCs w:val="18"/>
              </w:rPr>
            </w:pPr>
            <w:r w:rsidRPr="004447F6">
              <w:rPr>
                <w:rFonts w:cstheme="minorHAnsi"/>
                <w:sz w:val="18"/>
                <w:szCs w:val="18"/>
              </w:rPr>
              <w:t xml:space="preserve">In some widely circulated videos of </w:t>
            </w:r>
            <w:r w:rsidR="00B151A9" w:rsidRPr="004447F6">
              <w:rPr>
                <w:rFonts w:cstheme="minorHAnsi"/>
                <w:sz w:val="18"/>
                <w:szCs w:val="18"/>
              </w:rPr>
              <w:t xml:space="preserve">SARS-CoV-2 </w:t>
            </w:r>
            <w:r w:rsidRPr="004447F6">
              <w:rPr>
                <w:rFonts w:cstheme="minorHAnsi"/>
                <w:sz w:val="18"/>
                <w:szCs w:val="18"/>
              </w:rPr>
              <w:t>vaccine reactions,</w:t>
            </w:r>
            <w:r w:rsidR="00D13310" w:rsidRPr="004447F6">
              <w:rPr>
                <w:rFonts w:cstheme="minorHAnsi"/>
                <w:sz w:val="18"/>
                <w:szCs w:val="18"/>
              </w:rPr>
              <w:t xml:space="preserve"> </w:t>
            </w:r>
            <w:r w:rsidRPr="004447F6">
              <w:rPr>
                <w:rFonts w:cstheme="minorHAnsi"/>
                <w:sz w:val="18"/>
                <w:szCs w:val="18"/>
              </w:rPr>
              <w:t>objective clinical features suggestive of</w:t>
            </w:r>
            <w:r w:rsidR="00611FFE" w:rsidRPr="004447F6">
              <w:rPr>
                <w:rFonts w:cstheme="minorHAnsi"/>
                <w:sz w:val="18"/>
                <w:szCs w:val="18"/>
              </w:rPr>
              <w:t xml:space="preserve"> </w:t>
            </w:r>
            <w:r w:rsidRPr="004447F6">
              <w:rPr>
                <w:rFonts w:cstheme="minorHAnsi"/>
                <w:sz w:val="18"/>
                <w:szCs w:val="18"/>
              </w:rPr>
              <w:t>FND have been identified</w:t>
            </w:r>
            <w:r w:rsidR="00915BA7" w:rsidRPr="004447F6">
              <w:rPr>
                <w:rFonts w:cstheme="minorHAnsi"/>
                <w:sz w:val="18"/>
                <w:szCs w:val="18"/>
              </w:rPr>
              <w:t xml:space="preserve"> </w:t>
            </w:r>
            <w:r w:rsidRPr="004447F6">
              <w:rPr>
                <w:rFonts w:cstheme="minorHAnsi"/>
                <w:sz w:val="18"/>
                <w:szCs w:val="18"/>
              </w:rPr>
              <w:fldChar w:fldCharType="begin" w:fldLock="1"/>
            </w:r>
            <w:r w:rsidR="00DB0E82" w:rsidRPr="004447F6">
              <w:rPr>
                <w:rFonts w:cstheme="minorHAnsi"/>
                <w:sz w:val="18"/>
                <w:szCs w:val="18"/>
              </w:rPr>
              <w:instrText>ADDIN CSL_CITATION {"citationItems":[{"id":"ITEM-1","itemData":{"URL":"https://www.fndsociety.org/UserFiles/file/FNDSSocietyPressReleaseCOVIDVaccines.pdf","accessed":{"date-parts":[["2021","2","20"]]},"author":[{"dropping-particle":"","family":"Functional Neurological Disorder Society","given":"","non-dropping-particle":"","parse-names":false,"suffix":""}],"id":"ITEM-1","issued":{"date-parts":[["2021"]]},"title":"FNDS Press Release COVID Vaccines","type":"webpage"},"uris":["http://www.mendeley.com/documents/?uuid=94250848-70b7-4e26-95a6-00f61affb44b"]},{"id":"ITEM-2","itemData":{"DOI":"10.1001/jamaneurol.2021.1042","author":[{"dropping-particle":"","family":"Dongkyung","given":"David","non-dropping-particle":"","parse-names":false,"suffix":""},{"dropping-particle":"","family":"Kung","given":"Candice","non-dropping-particle":"","parse-names":false,"suffix":""},{"dropping-particle":"","family":"Perez","given":"David","non-dropping-particle":"","parse-names":false,"suffix":""}],"container-title":"JAMA Neurology","id":"ITEM-2","issued":{"date-parts":[["2021"]]},"title":"Helping the Public Understand Adverse Events Associated With COVID-19 Vaccinations","type":"article-journal"},"uris":["http://www.mendeley.com/documents/?uuid=591d17c8-3655-4278-ad6d-0aa32acc4e78"]}],"mendeley":{"formattedCitation":"(52,58)","plainTextFormattedCitation":"(52,58)","previouslyFormattedCitation":"(52,58)"},"properties":{"noteIndex":0},"schema":"https://github.com/citation-style-language/schema/raw/master/csl-citation.json"}</w:instrText>
            </w:r>
            <w:r w:rsidRPr="004447F6">
              <w:rPr>
                <w:rFonts w:cstheme="minorHAnsi"/>
                <w:sz w:val="18"/>
                <w:szCs w:val="18"/>
              </w:rPr>
              <w:fldChar w:fldCharType="separate"/>
            </w:r>
            <w:r w:rsidR="00632A99" w:rsidRPr="004447F6">
              <w:rPr>
                <w:rFonts w:cstheme="minorHAnsi"/>
                <w:noProof/>
                <w:sz w:val="18"/>
                <w:szCs w:val="18"/>
              </w:rPr>
              <w:t>(52,58)</w:t>
            </w:r>
            <w:r w:rsidRPr="004447F6">
              <w:rPr>
                <w:rFonts w:cstheme="minorHAnsi"/>
                <w:sz w:val="18"/>
                <w:szCs w:val="18"/>
              </w:rPr>
              <w:fldChar w:fldCharType="end"/>
            </w:r>
            <w:r w:rsidR="00915BA7" w:rsidRPr="004447F6">
              <w:rPr>
                <w:rFonts w:cstheme="minorHAnsi"/>
                <w:sz w:val="18"/>
                <w:szCs w:val="18"/>
              </w:rPr>
              <w:t>.</w:t>
            </w:r>
            <w:r w:rsidR="00812066" w:rsidRPr="004447F6">
              <w:rPr>
                <w:rFonts w:cstheme="minorHAnsi"/>
                <w:sz w:val="18"/>
                <w:szCs w:val="18"/>
              </w:rPr>
              <w:t xml:space="preserve"> Case reports of probable FND precipitated by </w:t>
            </w:r>
            <w:r w:rsidR="00B151A9" w:rsidRPr="004447F6">
              <w:rPr>
                <w:rFonts w:cstheme="minorHAnsi"/>
                <w:sz w:val="18"/>
                <w:szCs w:val="18"/>
              </w:rPr>
              <w:t xml:space="preserve">SARS-CoV-2 </w:t>
            </w:r>
            <w:r w:rsidR="00812066" w:rsidRPr="004447F6">
              <w:rPr>
                <w:rFonts w:cstheme="minorHAnsi"/>
                <w:sz w:val="18"/>
                <w:szCs w:val="18"/>
              </w:rPr>
              <w:t xml:space="preserve">vaccines have been </w:t>
            </w:r>
            <w:r w:rsidR="009005C4" w:rsidRPr="004447F6">
              <w:rPr>
                <w:rFonts w:cstheme="minorHAnsi"/>
                <w:sz w:val="18"/>
                <w:szCs w:val="18"/>
              </w:rPr>
              <w:t>recently published</w:t>
            </w:r>
            <w:r w:rsidR="00310CE5" w:rsidRPr="004447F6">
              <w:rPr>
                <w:rFonts w:cstheme="minorHAnsi"/>
                <w:sz w:val="18"/>
                <w:szCs w:val="18"/>
              </w:rPr>
              <w:t xml:space="preserve"> </w:t>
            </w:r>
            <w:r w:rsidR="00310CE5" w:rsidRPr="004447F6">
              <w:rPr>
                <w:rFonts w:cstheme="minorHAnsi"/>
                <w:sz w:val="18"/>
                <w:szCs w:val="18"/>
              </w:rPr>
              <w:fldChar w:fldCharType="begin" w:fldLock="1"/>
            </w:r>
            <w:r w:rsidR="001A63D1" w:rsidRPr="004447F6">
              <w:rPr>
                <w:rFonts w:cstheme="minorHAnsi"/>
                <w:sz w:val="18"/>
                <w:szCs w:val="18"/>
              </w:rPr>
              <w:instrText>ADDIN CSL_CITATION {"citationItems":[{"id":"ITEM-1","itemData":{"author":[{"dropping-particle":"","family":"Butler","given":"Matthew","non-dropping-particle":"","parse-names":false,"suffix":""},{"dropping-particle":"","family":"Coebergh","given":"Jan","non-dropping-particle":"","parse-names":false,"suffix":""},{"dropping-particle":"","family":"Safavi","given":"Farinaz","non-dropping-particle":"","parse-names":false,"suffix":""},{"dropping-particle":"","family":"Carson","given":"Alan","non-dropping-particle":"","parse-names":false,"suffix":""},{"dropping-particle":"","family":"Hallett","given":"Mark","non-dropping-particle":"","parse-names":false,"suffix":""},{"dropping-particle":"","family":"Michael","given":"Benedict","non-dropping-particle":"","parse-names":false,"suffix":""},{"dropping-particle":"","family":"Pollak","given":"Thomas A","non-dropping-particle":"","parse-names":false,"suffix":""},{"dropping-particle":"","family":"Solomon","given":"Tom","non-dropping-particle":"","parse-names":false,"suffix":""},{"dropping-particle":"","family":"Stone","given":"Jon","non-dropping-particle":"","parse-names":false,"suffix":""},{"dropping-particle":"","family":"Nicholson","given":"Timothy R","non-dropping-particle":"","parse-names":false,"suffix":""}],"container-title":"The Journal of Neuropsychiatry and Clinical Neurosciences","id":"ITEM-1","issued":{"date-parts":[["2021"]]},"title":"Functional neurological disorder after SARS-CoV-2 vaccines: two case reports and discussion of potential public health implications","type":"article-journal","volume":"IN PRESS"},"uris":["http://www.mendeley.com/documents/?uuid=6f415888-a3f8-4de8-b5e9-87a00221f4bf"]}],"mendeley":{"formattedCitation":"(59)","plainTextFormattedCitation":"(59)","previouslyFormattedCitation":"(59)"},"properties":{"noteIndex":0},"schema":"https://github.com/citation-style-language/schema/raw/master/csl-citation.json"}</w:instrText>
            </w:r>
            <w:r w:rsidR="00310CE5" w:rsidRPr="004447F6">
              <w:rPr>
                <w:rFonts w:cstheme="minorHAnsi"/>
                <w:sz w:val="18"/>
                <w:szCs w:val="18"/>
              </w:rPr>
              <w:fldChar w:fldCharType="separate"/>
            </w:r>
            <w:r w:rsidR="00CB023D" w:rsidRPr="004447F6">
              <w:rPr>
                <w:rFonts w:cstheme="minorHAnsi"/>
                <w:noProof/>
                <w:sz w:val="18"/>
                <w:szCs w:val="18"/>
              </w:rPr>
              <w:t>(59)</w:t>
            </w:r>
            <w:r w:rsidR="00310CE5" w:rsidRPr="004447F6">
              <w:rPr>
                <w:rFonts w:cstheme="minorHAnsi"/>
                <w:sz w:val="18"/>
                <w:szCs w:val="18"/>
              </w:rPr>
              <w:fldChar w:fldCharType="end"/>
            </w:r>
            <w:r w:rsidR="00812066" w:rsidRPr="004447F6">
              <w:rPr>
                <w:rFonts w:cstheme="minorHAnsi"/>
                <w:sz w:val="18"/>
                <w:szCs w:val="18"/>
              </w:rPr>
              <w:t>.</w:t>
            </w:r>
          </w:p>
        </w:tc>
      </w:tr>
      <w:tr w:rsidR="005D35B7" w:rsidRPr="004447F6" w14:paraId="16A43538" w14:textId="65DB95F8" w:rsidTr="00310CE5">
        <w:tc>
          <w:tcPr>
            <w:tcW w:w="1528" w:type="dxa"/>
          </w:tcPr>
          <w:p w14:paraId="5677A49E" w14:textId="219BFA78" w:rsidR="005D35B7" w:rsidRPr="004447F6" w:rsidRDefault="005D35B7" w:rsidP="00D47C7B">
            <w:pPr>
              <w:spacing w:line="276" w:lineRule="auto"/>
              <w:rPr>
                <w:rFonts w:cstheme="minorHAnsi"/>
                <w:sz w:val="18"/>
                <w:szCs w:val="18"/>
              </w:rPr>
            </w:pPr>
            <w:r w:rsidRPr="004447F6">
              <w:rPr>
                <w:rFonts w:cstheme="minorHAnsi"/>
                <w:sz w:val="18"/>
                <w:szCs w:val="18"/>
              </w:rPr>
              <w:t>Is there a biological plausibility that this vaccine could cause such an event?</w:t>
            </w:r>
          </w:p>
        </w:tc>
        <w:tc>
          <w:tcPr>
            <w:tcW w:w="1302" w:type="dxa"/>
          </w:tcPr>
          <w:p w14:paraId="0704D2A4" w14:textId="40786F3C" w:rsidR="005D35B7" w:rsidRPr="004447F6" w:rsidRDefault="005D35B7" w:rsidP="00D47C7B">
            <w:pPr>
              <w:spacing w:line="276" w:lineRule="auto"/>
              <w:rPr>
                <w:rFonts w:cstheme="minorHAnsi"/>
                <w:sz w:val="18"/>
                <w:szCs w:val="18"/>
              </w:rPr>
            </w:pPr>
            <w:r w:rsidRPr="004447F6">
              <w:rPr>
                <w:rFonts w:cstheme="minorHAnsi"/>
                <w:sz w:val="18"/>
                <w:szCs w:val="18"/>
              </w:rPr>
              <w:t>Biological plausibility</w:t>
            </w:r>
          </w:p>
        </w:tc>
        <w:tc>
          <w:tcPr>
            <w:tcW w:w="3119" w:type="dxa"/>
          </w:tcPr>
          <w:p w14:paraId="46F32E1F" w14:textId="6F9F0BE6" w:rsidR="005D35B7" w:rsidRPr="004447F6" w:rsidRDefault="00FD633C" w:rsidP="00D47C7B">
            <w:pPr>
              <w:spacing w:line="276" w:lineRule="auto"/>
              <w:rPr>
                <w:rFonts w:cstheme="minorHAnsi"/>
                <w:sz w:val="18"/>
                <w:szCs w:val="18"/>
              </w:rPr>
            </w:pPr>
            <w:r w:rsidRPr="004447F6">
              <w:rPr>
                <w:rFonts w:cstheme="minorHAnsi"/>
                <w:sz w:val="18"/>
                <w:szCs w:val="18"/>
              </w:rPr>
              <w:t>The immune response</w:t>
            </w:r>
            <w:r w:rsidR="005D35B7" w:rsidRPr="004447F6">
              <w:rPr>
                <w:rFonts w:cstheme="minorHAnsi"/>
                <w:sz w:val="18"/>
                <w:szCs w:val="18"/>
              </w:rPr>
              <w:t xml:space="preserve"> to </w:t>
            </w:r>
            <w:r w:rsidR="00B151A9" w:rsidRPr="004447F6">
              <w:rPr>
                <w:rFonts w:cstheme="minorHAnsi"/>
                <w:sz w:val="18"/>
                <w:szCs w:val="18"/>
              </w:rPr>
              <w:t xml:space="preserve">SARS-CoV-2 </w:t>
            </w:r>
            <w:r w:rsidR="005D35B7" w:rsidRPr="004447F6">
              <w:rPr>
                <w:rFonts w:cstheme="minorHAnsi"/>
                <w:sz w:val="18"/>
                <w:szCs w:val="18"/>
              </w:rPr>
              <w:t>vaccine</w:t>
            </w:r>
            <w:r w:rsidRPr="004447F6">
              <w:rPr>
                <w:rFonts w:cstheme="minorHAnsi"/>
                <w:sz w:val="18"/>
                <w:szCs w:val="18"/>
              </w:rPr>
              <w:t>s is the most likely mechanism for neurological AE. For example</w:t>
            </w:r>
            <w:r w:rsidR="00310CE5" w:rsidRPr="004447F6">
              <w:rPr>
                <w:rFonts w:cstheme="minorHAnsi"/>
                <w:sz w:val="18"/>
                <w:szCs w:val="18"/>
              </w:rPr>
              <w:t>,</w:t>
            </w:r>
            <w:r w:rsidRPr="004447F6">
              <w:rPr>
                <w:rFonts w:cstheme="minorHAnsi"/>
                <w:sz w:val="18"/>
                <w:szCs w:val="18"/>
              </w:rPr>
              <w:t xml:space="preserve"> vaccines are a recognised risk factor for GBS.</w:t>
            </w:r>
            <w:r w:rsidR="00310CE5" w:rsidRPr="004447F6">
              <w:rPr>
                <w:rFonts w:cstheme="minorHAnsi"/>
                <w:sz w:val="18"/>
                <w:szCs w:val="18"/>
              </w:rPr>
              <w:t xml:space="preserve"> </w:t>
            </w:r>
            <w:r w:rsidR="00472AC4" w:rsidRPr="004447F6">
              <w:rPr>
                <w:rFonts w:cstheme="minorHAnsi"/>
                <w:sz w:val="18"/>
                <w:szCs w:val="18"/>
              </w:rPr>
              <w:t xml:space="preserve">However, confirming exact mechanisms, </w:t>
            </w:r>
            <w:r w:rsidRPr="004447F6">
              <w:rPr>
                <w:rFonts w:cstheme="minorHAnsi"/>
                <w:sz w:val="18"/>
                <w:szCs w:val="18"/>
              </w:rPr>
              <w:t xml:space="preserve">and identifying responsible components of the vaccine (if any) may take a long time even in well-defined AE such as VITT. </w:t>
            </w:r>
          </w:p>
        </w:tc>
        <w:tc>
          <w:tcPr>
            <w:tcW w:w="3067" w:type="dxa"/>
          </w:tcPr>
          <w:p w14:paraId="34154574" w14:textId="3C2D5566" w:rsidR="005D35B7" w:rsidRPr="004447F6" w:rsidRDefault="005D35B7" w:rsidP="00D47C7B">
            <w:pPr>
              <w:spacing w:line="276" w:lineRule="auto"/>
              <w:rPr>
                <w:rFonts w:cstheme="minorHAnsi"/>
                <w:sz w:val="18"/>
                <w:szCs w:val="18"/>
              </w:rPr>
            </w:pPr>
            <w:r w:rsidRPr="004447F6">
              <w:rPr>
                <w:rFonts w:cstheme="minorHAnsi"/>
                <w:sz w:val="18"/>
                <w:szCs w:val="18"/>
              </w:rPr>
              <w:t xml:space="preserve">Physiological reactions (e.g. vasovagal symptoms or flu-like symptoms), as well as </w:t>
            </w:r>
            <w:r w:rsidR="007C6948" w:rsidRPr="004447F6">
              <w:rPr>
                <w:rFonts w:cstheme="minorHAnsi"/>
                <w:sz w:val="18"/>
                <w:szCs w:val="18"/>
              </w:rPr>
              <w:t xml:space="preserve">injection site </w:t>
            </w:r>
            <w:r w:rsidRPr="004447F6">
              <w:rPr>
                <w:rFonts w:cstheme="minorHAnsi"/>
                <w:sz w:val="18"/>
                <w:szCs w:val="18"/>
              </w:rPr>
              <w:t>pain, may trigger and/or evolve into functional symptoms</w:t>
            </w:r>
            <w:r w:rsidR="001D3643" w:rsidRPr="004447F6">
              <w:rPr>
                <w:rFonts w:cstheme="minorHAnsi"/>
                <w:sz w:val="18"/>
                <w:szCs w:val="18"/>
              </w:rPr>
              <w:t xml:space="preserve"> </w:t>
            </w:r>
            <w:r w:rsidR="001D3643" w:rsidRPr="004447F6">
              <w:rPr>
                <w:rFonts w:cstheme="minorHAnsi"/>
                <w:sz w:val="18"/>
                <w:szCs w:val="18"/>
              </w:rPr>
              <w:fldChar w:fldCharType="begin" w:fldLock="1"/>
            </w:r>
            <w:r w:rsidR="00DB0E82" w:rsidRPr="004447F6">
              <w:rPr>
                <w:rFonts w:cstheme="minorHAnsi"/>
                <w:sz w:val="18"/>
                <w:szCs w:val="18"/>
              </w:rPr>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(27)","plainTextFormattedCitation":"(27)","previouslyFormattedCitation":"(27)"},"properties":{"noteIndex":0},"schema":"https://github.com/citation-style-language/schema/raw/master/csl-citation.json"}</w:instrText>
            </w:r>
            <w:r w:rsidR="001D3643" w:rsidRPr="004447F6">
              <w:rPr>
                <w:rFonts w:cstheme="minorHAnsi"/>
                <w:sz w:val="18"/>
                <w:szCs w:val="18"/>
              </w:rPr>
              <w:fldChar w:fldCharType="separate"/>
            </w:r>
            <w:r w:rsidR="00632A99" w:rsidRPr="004447F6">
              <w:rPr>
                <w:rFonts w:cstheme="minorHAnsi"/>
                <w:noProof/>
                <w:sz w:val="18"/>
                <w:szCs w:val="18"/>
              </w:rPr>
              <w:t>(27)</w:t>
            </w:r>
            <w:r w:rsidR="001D3643" w:rsidRPr="004447F6">
              <w:rPr>
                <w:rFonts w:cstheme="minorHAnsi"/>
                <w:sz w:val="18"/>
                <w:szCs w:val="18"/>
              </w:rPr>
              <w:fldChar w:fldCharType="end"/>
            </w:r>
            <w:r w:rsidR="001D3643" w:rsidRPr="004447F6">
              <w:rPr>
                <w:rFonts w:cstheme="minorHAnsi"/>
                <w:sz w:val="18"/>
                <w:szCs w:val="18"/>
              </w:rPr>
              <w:t xml:space="preserve">. </w:t>
            </w:r>
          </w:p>
        </w:tc>
      </w:tr>
      <w:tr w:rsidR="005D35B7" w:rsidRPr="004447F6" w14:paraId="0E1CB855" w14:textId="2F163E5F" w:rsidTr="00310CE5">
        <w:tc>
          <w:tcPr>
            <w:tcW w:w="1528" w:type="dxa"/>
          </w:tcPr>
          <w:p w14:paraId="349A5EF7" w14:textId="54361F65" w:rsidR="005D35B7" w:rsidRPr="004447F6" w:rsidRDefault="005D35B7" w:rsidP="00D47C7B">
            <w:pPr>
              <w:spacing w:line="276" w:lineRule="auto"/>
              <w:rPr>
                <w:rFonts w:cstheme="minorHAnsi"/>
                <w:sz w:val="18"/>
                <w:szCs w:val="18"/>
              </w:rPr>
            </w:pPr>
            <w:r w:rsidRPr="004447F6">
              <w:rPr>
                <w:rFonts w:cstheme="minorHAnsi"/>
                <w:sz w:val="18"/>
                <w:szCs w:val="18"/>
              </w:rPr>
              <w:t>In this patient, did a specific test demonstrate the causal role of the vaccine?</w:t>
            </w:r>
          </w:p>
        </w:tc>
        <w:tc>
          <w:tcPr>
            <w:tcW w:w="1302" w:type="dxa"/>
          </w:tcPr>
          <w:p w14:paraId="3D4796AB" w14:textId="61666040" w:rsidR="005D35B7" w:rsidRPr="004447F6" w:rsidRDefault="005D35B7" w:rsidP="00D47C7B">
            <w:pPr>
              <w:spacing w:line="276" w:lineRule="auto"/>
              <w:rPr>
                <w:rFonts w:cstheme="minorHAnsi"/>
                <w:sz w:val="18"/>
                <w:szCs w:val="18"/>
              </w:rPr>
            </w:pPr>
            <w:r w:rsidRPr="004447F6">
              <w:rPr>
                <w:rFonts w:cstheme="minorHAnsi"/>
                <w:sz w:val="18"/>
                <w:szCs w:val="18"/>
              </w:rPr>
              <w:t>Coherence</w:t>
            </w:r>
          </w:p>
        </w:tc>
        <w:tc>
          <w:tcPr>
            <w:tcW w:w="3119" w:type="dxa"/>
          </w:tcPr>
          <w:p w14:paraId="2A7EDBA2" w14:textId="0280013F" w:rsidR="005D35B7" w:rsidRPr="004447F6" w:rsidRDefault="00670967" w:rsidP="00D47C7B">
            <w:pPr>
              <w:spacing w:line="276" w:lineRule="auto"/>
              <w:rPr>
                <w:rFonts w:cstheme="minorHAnsi"/>
                <w:sz w:val="18"/>
                <w:szCs w:val="18"/>
              </w:rPr>
            </w:pPr>
            <w:r w:rsidRPr="004447F6">
              <w:rPr>
                <w:rFonts w:cstheme="minorHAnsi"/>
                <w:sz w:val="18"/>
                <w:szCs w:val="18"/>
              </w:rPr>
              <w:t>Antibodies to platelet factor 4 have been used to confirm the diagnosis of VITT. However, it is recognised that not all patients will uniformly test positive.</w:t>
            </w:r>
          </w:p>
          <w:p w14:paraId="2139F75C" w14:textId="07151F24" w:rsidR="00670967" w:rsidRPr="004447F6" w:rsidRDefault="00670967" w:rsidP="00D47C7B">
            <w:pPr>
              <w:spacing w:line="276" w:lineRule="auto"/>
              <w:rPr>
                <w:rFonts w:cstheme="minorHAnsi"/>
                <w:sz w:val="18"/>
                <w:szCs w:val="18"/>
              </w:rPr>
            </w:pPr>
            <w:r w:rsidRPr="004447F6">
              <w:rPr>
                <w:rFonts w:cstheme="minorHAnsi"/>
                <w:sz w:val="18"/>
                <w:szCs w:val="18"/>
              </w:rPr>
              <w:t>For other neurological events, specific tests can demonstrate the diagnosis (such as nerve conduction studies in GBS) but will not be able to attribute it directly to the vaccine.</w:t>
            </w:r>
          </w:p>
        </w:tc>
        <w:tc>
          <w:tcPr>
            <w:tcW w:w="3067" w:type="dxa"/>
          </w:tcPr>
          <w:p w14:paraId="03638414" w14:textId="439859C3" w:rsidR="005D35B7" w:rsidRPr="004447F6" w:rsidRDefault="005D35B7" w:rsidP="00D47C7B">
            <w:pPr>
              <w:spacing w:line="276" w:lineRule="auto"/>
              <w:rPr>
                <w:rFonts w:cstheme="minorHAnsi"/>
                <w:sz w:val="18"/>
                <w:szCs w:val="18"/>
              </w:rPr>
            </w:pPr>
            <w:r w:rsidRPr="004447F6">
              <w:rPr>
                <w:rFonts w:cstheme="minorHAnsi"/>
                <w:sz w:val="18"/>
                <w:szCs w:val="18"/>
              </w:rPr>
              <w:t>FND is identified by positive clinical features</w:t>
            </w:r>
            <w:r w:rsidR="00F2709B" w:rsidRPr="004447F6">
              <w:rPr>
                <w:rFonts w:cstheme="minorHAnsi"/>
                <w:sz w:val="18"/>
                <w:szCs w:val="18"/>
              </w:rPr>
              <w:t>. FND does</w:t>
            </w:r>
            <w:r w:rsidRPr="004447F6">
              <w:rPr>
                <w:rFonts w:cstheme="minorHAnsi"/>
                <w:sz w:val="18"/>
                <w:szCs w:val="18"/>
              </w:rPr>
              <w:t xml:space="preserve"> not implicate specific vaccine constituents</w:t>
            </w:r>
            <w:r w:rsidR="00F2709B" w:rsidRPr="004447F6">
              <w:rPr>
                <w:rFonts w:cstheme="minorHAnsi"/>
                <w:sz w:val="18"/>
                <w:szCs w:val="18"/>
              </w:rPr>
              <w:t xml:space="preserve"> - it</w:t>
            </w:r>
            <w:r w:rsidRPr="004447F6">
              <w:rPr>
                <w:rFonts w:cstheme="minorHAnsi"/>
                <w:sz w:val="18"/>
                <w:szCs w:val="18"/>
              </w:rPr>
              <w:t xml:space="preserve"> is precipitated by the physical procedure of being vaccinated.</w:t>
            </w:r>
          </w:p>
        </w:tc>
      </w:tr>
      <w:tr w:rsidR="005D35B7" w:rsidRPr="004447F6" w14:paraId="6324E22D" w14:textId="1BCEA445" w:rsidTr="00310CE5">
        <w:tc>
          <w:tcPr>
            <w:tcW w:w="1528" w:type="dxa"/>
          </w:tcPr>
          <w:p w14:paraId="4771F739" w14:textId="189B6C03" w:rsidR="005D35B7" w:rsidRPr="004447F6" w:rsidRDefault="005D35B7" w:rsidP="00D47C7B">
            <w:pPr>
              <w:spacing w:line="276" w:lineRule="auto"/>
              <w:rPr>
                <w:rFonts w:cstheme="minorHAnsi"/>
                <w:sz w:val="18"/>
                <w:szCs w:val="18"/>
              </w:rPr>
            </w:pPr>
            <w:r w:rsidRPr="004447F6">
              <w:rPr>
                <w:rFonts w:cstheme="minorHAnsi"/>
                <w:sz w:val="18"/>
                <w:szCs w:val="18"/>
              </w:rPr>
              <w:t>Did the event occur within a plausible time window after vaccine administration?</w:t>
            </w:r>
          </w:p>
        </w:tc>
        <w:tc>
          <w:tcPr>
            <w:tcW w:w="1302" w:type="dxa"/>
          </w:tcPr>
          <w:p w14:paraId="7A263127" w14:textId="40B19E35" w:rsidR="005D35B7" w:rsidRPr="004447F6" w:rsidRDefault="005D35B7" w:rsidP="00D47C7B">
            <w:pPr>
              <w:spacing w:line="276" w:lineRule="auto"/>
              <w:rPr>
                <w:rFonts w:cstheme="minorHAnsi"/>
                <w:sz w:val="18"/>
                <w:szCs w:val="18"/>
              </w:rPr>
            </w:pPr>
            <w:r w:rsidRPr="004447F6">
              <w:rPr>
                <w:rFonts w:cstheme="minorHAnsi"/>
                <w:sz w:val="18"/>
                <w:szCs w:val="18"/>
              </w:rPr>
              <w:t>Temporality</w:t>
            </w:r>
          </w:p>
        </w:tc>
        <w:tc>
          <w:tcPr>
            <w:tcW w:w="3119" w:type="dxa"/>
          </w:tcPr>
          <w:p w14:paraId="6727DA7E" w14:textId="6C83DF22" w:rsidR="00670967" w:rsidRPr="004447F6" w:rsidRDefault="00670967" w:rsidP="00D47C7B">
            <w:pPr>
              <w:spacing w:line="276" w:lineRule="auto"/>
              <w:rPr>
                <w:rFonts w:cstheme="minorHAnsi"/>
                <w:sz w:val="18"/>
                <w:szCs w:val="18"/>
              </w:rPr>
            </w:pPr>
            <w:r w:rsidRPr="004447F6">
              <w:rPr>
                <w:rFonts w:cstheme="minorHAnsi"/>
                <w:sz w:val="18"/>
                <w:szCs w:val="18"/>
              </w:rPr>
              <w:t xml:space="preserve">Most </w:t>
            </w:r>
            <w:r w:rsidR="00BE0006" w:rsidRPr="004447F6">
              <w:rPr>
                <w:rFonts w:cstheme="minorHAnsi"/>
                <w:sz w:val="18"/>
                <w:szCs w:val="18"/>
              </w:rPr>
              <w:t>immune-</w:t>
            </w:r>
            <w:r w:rsidRPr="004447F6">
              <w:rPr>
                <w:rFonts w:cstheme="minorHAnsi"/>
                <w:sz w:val="18"/>
                <w:szCs w:val="18"/>
              </w:rPr>
              <w:t>mediated events are expected to develop days to weeks after vaccination. For VITT, the timeline is 5 to 30 days, although patients may present later (</w:t>
            </w:r>
            <w:r w:rsidR="00BE0006" w:rsidRPr="004447F6">
              <w:rPr>
                <w:rFonts w:cstheme="minorHAnsi"/>
                <w:sz w:val="18"/>
                <w:szCs w:val="18"/>
              </w:rPr>
              <w:t>as thrombosis may be initially asymptomatic</w:t>
            </w:r>
            <w:r w:rsidRPr="004447F6">
              <w:rPr>
                <w:rFonts w:cstheme="minorHAnsi"/>
                <w:sz w:val="18"/>
                <w:szCs w:val="18"/>
              </w:rPr>
              <w:t xml:space="preserve">). </w:t>
            </w:r>
            <w:r w:rsidR="00BE0006" w:rsidRPr="004447F6">
              <w:rPr>
                <w:rFonts w:cstheme="minorHAnsi"/>
                <w:sz w:val="18"/>
                <w:szCs w:val="18"/>
              </w:rPr>
              <w:t xml:space="preserve">For other immune-mediated neurological conditions, such as GBS or transverse </w:t>
            </w:r>
            <w:r w:rsidR="00BE0006" w:rsidRPr="004447F6">
              <w:rPr>
                <w:rFonts w:cstheme="minorHAnsi"/>
                <w:sz w:val="18"/>
                <w:szCs w:val="18"/>
              </w:rPr>
              <w:lastRenderedPageBreak/>
              <w:t>myelitis, the standard cut-off is 42 days, although additional sensitivity analys</w:t>
            </w:r>
            <w:r w:rsidR="0086228A" w:rsidRPr="004447F6">
              <w:rPr>
                <w:rFonts w:cstheme="minorHAnsi"/>
                <w:sz w:val="18"/>
                <w:szCs w:val="18"/>
              </w:rPr>
              <w:t>e</w:t>
            </w:r>
            <w:r w:rsidR="00BE0006" w:rsidRPr="004447F6">
              <w:rPr>
                <w:rFonts w:cstheme="minorHAnsi"/>
                <w:sz w:val="18"/>
                <w:szCs w:val="18"/>
              </w:rPr>
              <w:t>s are often run using longer time intervals (up to 3 months). Events developing &lt;24h (except for seizures) would be unlikely to be attributed to the vaccination.</w:t>
            </w:r>
          </w:p>
          <w:p w14:paraId="26389124" w14:textId="237F5426" w:rsidR="005D35B7" w:rsidRPr="004447F6" w:rsidRDefault="00812066" w:rsidP="00310CE5">
            <w:pPr>
              <w:spacing w:line="276" w:lineRule="auto"/>
              <w:jc w:val="both"/>
              <w:rPr>
                <w:rFonts w:cstheme="minorHAnsi"/>
                <w:sz w:val="18"/>
                <w:szCs w:val="18"/>
              </w:rPr>
            </w:pPr>
            <w:r w:rsidRPr="004447F6">
              <w:rPr>
                <w:rFonts w:cstheme="minorHAnsi"/>
                <w:sz w:val="18"/>
                <w:szCs w:val="18"/>
              </w:rPr>
              <w:fldChar w:fldCharType="begin" w:fldLock="1"/>
            </w:r>
            <w:r w:rsidR="00DB0E82" w:rsidRPr="004447F6">
              <w:rPr>
                <w:rFonts w:cstheme="minorHAnsi"/>
                <w:sz w:val="18"/>
                <w:szCs w:val="18"/>
              </w:rPr>
              <w:instrText>ADDIN CSL_CITATION {"citationItems":[{"id":"ITEM-1","itemData":{"DOI":"10.1016/j.vaccine.2003.09.008","ISSN":"0264410X","PMID":"14741144","author":[{"dropping-particle":"","family":"Bonhoeffer","given":"Jan","non-dropping-particle":"","parse-names":false,"suffix":""},{"dropping-particle":"","family":"Menkes","given":"John","non-dropping-particle":"","parse-names":false,"suffix":""},{"dropping-particle":"","family":"Gold","given":"Michael S.","non-dropping-particle":"","parse-names":false,"suffix":""},{"dropping-particle":"","family":"Souza-Brito","given":"Glacus","non-dropping-particle":"De","parse-names":false,"suffix":""},{"dropping-particle":"","family":"Fisher","given":"Margaret C.","non-dropping-particle":"","parse-names":false,"suffix":""},{"dropping-particle":"","family":"Halsey","given":"Neal","non-dropping-particle":"","parse-names":false,"suffix":""},{"dropping-particle":"","family":"Vermeer","given":"Patricia","non-dropping-particle":"","parse-names":false,"suffix":""}],"container-title":"Vaccine","id":"ITEM-1","issue":"5-6","issued":{"date-parts":[["2004"]]},"page":"557-562","title":"Generalized convulsive seizure as an adverse event following immunization: Case definition and guidelines for data collection, analysis, and presentation","type":"article-journal","volume":"22"},"uris":["http://www.mendeley.com/documents/?uuid=6b6b7846-8619-41f8-a994-cf5045a0a437"]},{"id":"ITEM-2","itemData":{"DOI":"10.1016/j.vaccine.2010.06.003","ISSN":"0264410X","PMID":"20600491","author":[{"dropping-particle":"","family":"Sejvar","given":"James J.","non-dropping-particle":"","parse-names":false,"suffix":""},{"dropping-particle":"","family":"Kohl","given":"Katrin S.","non-dropping-particle":"","parse-names":false,"suffix":""},{"dropping-particle":"","family":"Gidudu","given":"Jane","non-dropping-particle":"","parse-names":false,"suffix":""},{"dropping-particle":"","family":"Amato","given":"Anthony","non-dropping-particle":"","parse-names":false,"suffix":""},{"dropping-particle":"","family":"Bakshi","given":"Nandini","non-dropping-particle":"","parse-names":false,"suffix":""},{"dropping-particle":"","family":"Baxter","given":"Roger","non-dropping-particle":"","parse-names":false,"suffix":""},{"dropping-particle":"","family":"Burwen","given":"Dale R.","non-dropping-particle":"","parse-names":false,"suffix":""},{"dropping-particle":"","family":"Cornblath","given":"David R.","non-dropping-particle":"","parse-names":false,"suffix":""},{"dropping-particle":"","family":"Cleerbout","given":"Jan","non-dropping-particle":"","parse-names":false,"suffix":""},{"dropping-particle":"","family":"Edwards","given":"Kathryn M.","non-dropping-particle":"","parse-names":false,"suffix":""},{"dropping-particle":"","family":"Heininger","given":"Ulrich","non-dropping-particle":"","parse-names":false,"suffix":""},{"dropping-particle":"","family":"Hughes","given":"Richard","non-dropping-particle":"","parse-names":false,"suffix":""},{"dropping-particle":"","family":"Khuri-Bulos","given":"Najwa","non-dropping-particle":"","parse-names":false,"suffix":""},{"dropping-particle":"","family":"Korinthenberg","given":"Rudolf","non-dropping-particle":"","parse-names":false,"suffix":""},{"dropping-particle":"","family":"Law","given":"Barbara J.","non-dropping-particle":"","parse-names":false,"suffix":""},{"dropping-particle":"","family":"Munro","given":"Ursula","non-dropping-particle":"","parse-names":false,"suffix":""},{"dropping-particle":"","family":"Maltezou","given":"Helena C.","non-dropping-particle":"","parse-names":false,"suffix":""},{"dropping-particle":"","family":"Nell","given":"Patricia","non-dropping-particle":"","parse-names":false,"suffix":""},{"dropping-particle":"","family":"Oleske","given":"James","non-dropping-particle":"","parse-names":false,"suffix":""},{"dropping-particle":"","family":"Sparks","given":"Robert","non-dropping-particle":"","parse-names":false,"suffix":""},{"dropping-particle":"","family":"Velentgas","given":"Priscilla","non-dropping-particle":"","parse-names":false,"suffix":""},{"dropping-particle":"","family":"Vermeer","given":"Patricia","non-dropping-particle":"","parse-names":false,"suffix":""},{"dropping-particle":"","family":"Wiznitzer","given":"Max","non-dropping-particle":"","parse-names":false,"suffix":""},{"dropping-particle":"","family":"Blum","given":"Mike","non-dropping-particle":"","parse-names":false,"suffix":""},{"dropping-particle":"","family":"Heath","given":"Paul","non-dropping-particle":"","parse-names":false,"suffix":""},{"dropping-particle":"","family":"Izurieta","given":"Hector","non-dropping-particle":"","parse-names":false,"suffix":""},{"dropping-particle":"","family":"Stanislawski","given":"Brigitte Keller","non-dropping-particle":"","parse-names":false,"suffix":""},{"dropping-particle":"","family":"Odile","given":"Katrin Kohl","non-dropping-particle":"","parse-names":false,"suffix":""},{"dropping-particle":"","family":"Rudiger","given":"Leroy Adam","non-dropping-particle":"","parse-names":false,"suffix":""},{"dropping-particle":"","family":"Elisabeth","given":"Adderson","non-dropping-particle":"","parse-names":false,"suffix":""},{"dropping-particle":"","family":"Maria","given":"Aguilar","non-dropping-particle":"","parse-names":false,"suffix":""},{"dropping-particle":"","family":"Grace","given":"Aldrovandi","non-dropping-particle":"","parse-names":false,"suffix":""},{"dropping-particle":"","family":"Mary","given":"Allen","non-dropping-particle":"","parse-names":false,"suffix":""},{"dropping-particle":"","family":"Sjafri","given":"Bachtiar Novilia","non-dropping-particle":"","parse-names":false,"suffix":""},{"dropping-particle":"","family":"Salim","given":"Barami A.A.","non-dropping-particle":"","parse-names":false,"suffix":""},{"dropping-particle":"","family":"Roger","given":"Baxter","non-dropping-particle":"","parse-names":false,"suffix":""},{"dropping-particle":"","family":"Julie","given":"Bettinger","non-dropping-particle":"","parse-names":false,"suffix":""},{"dropping-particle":"","family":"Roman","given":"Bilynsky","non-dropping-particle":"","parse-names":false,"suffix":""},{"dropping-particle":"","family":"Michael","given":"Blum","non-dropping-particle":"","parse-names":false,"suffix":""},{"dropping-particle":"","family":"Jan","given":"Bonhoeffer","non-dropping-particle":"","parse-names":false,"suffix":""},{"dropping-particle":"","family":"Michael","given":"Brady","non-dropping-particle":"","parse-names":false,"suffix":""},{"dropping-particle":"","family":"Michael","given":"Buettcher","non-dropping-particle":"","parse-names":false,"suffix":""},{"dropping-particle":"","family":"Jim","given":"Buttery","non-dropping-particle":"","parse-names":false,"suffix":""},{"dropping-particle":"","family":"Alejandro","given":"Cane","non-dropping-particle":"","parse-names":false,"suffix":""},{"dropping-particle":"","family":"Soju","given":"Chang","non-dropping-particle":"","parse-names":false,"suffix":""},{"dropping-particle":"","family":"Arani","given":"Chatterjee","non-dropping-particle":"","parse-names":false,"suffix":""},{"dropping-particle":"","family":"Krishan","given":"Chawla","non-dropping-particle":"","parse-names":false,"suffix":""},{"dropping-particle":"","family":"Thomas","given":"Cherian","non-dropping-particle":"","parse-names":false,"suffix":""},{"dropping-particle":"","family":"Jan","given":"Cleerbout","non-dropping-particle":"","parse-names":false,"suffix":""},{"dropping-particle":"","family":"Philippe","given":"Close","non-dropping-particle":"","parse-names":false,"suffix":""},{"dropping-particle":"","family":"Richard","given":"Condit","non-dropping-particle":"","parse-names":false,"suffix":""},{"dropping-particle":"","family":"David","given":"Cornblath","non-dropping-particle":"","parse-names":false,"suffix":""},{"dropping-particle":"","family":"Couch Robert","given":"B.","non-dropping-particle":"","parse-names":false,"suffix":""},{"dropping-particle":"","family":"Costa","given":"Christopher","non-dropping-particle":"Da","parse-names":false,"suffix":""},{"dropping-particle":"","family":"Larry","given":"Davis","non-dropping-particle":"","parse-names":false,"suffix":""},{"dropping-particle":"","family":"Menezes","given":"Martins Reinaldo","non-dropping-particle":"De","parse-names":false,"suffix":""},{"dropping-particle":"","family":"Vries","given":"Corinne","non-dropping-particle":"De","parse-names":false,"suffix":""},{"dropping-particle":"","family":"Maria","given":"Deotti Sandra","non-dropping-particle":"","parse-names":false,"suffix":""},{"dropping-particle":"","family":"Dragana","given":"Dimitrijevic","non-dropping-particle":"","parse-names":false,"suffix":""},{"dropping-particle":"","family":"Duo","given":"Dong","non-dropping-particle":"","parse-names":false,"suffix":""},{"dropping-particle":"","family":"Birgitta","given":"Evengard","non-dropping-particle":"","parse-names":false,"suffix":""},{"dropping-particle":"","family":"Cristian","given":"Falup Pecurariu","non-dropping-particle":"","parse-names":false,"suffix":""},{"dropping-particle":"","family":"Rohini","given":"Fernandopulle","non-dropping-particle":"","parse-names":false,"suffix":""},{"dropping-particle":"","family":"Germano","given":"Ferreira","non-dropping-particle":"","parse-names":false,"suffix":""},{"dropping-particle":"","family":"Fisher Margaret","given":"C.","non-dropping-particle":"","parse-names":false,"suffix":""},{"dropping-particle":"","family":"Jochem","given":"Galama","non-dropping-particle":"","parse-names":false,"suffix":""},{"dropping-particle":"","family":"Karl","given":"Gallegos","non-dropping-particle":"","parse-names":false,"suffix":""},{"dropping-particle":"","family":"Mark","given":"Gershman","non-dropping-particle":"","parse-names":false,"suffix":""},{"dropping-particle":"","family":"Neville","given":"Gibbs","non-dropping-particle":"","parse-names":false,"suffix":""},{"dropping-particle":"","family":"Jane","given":"Gidudu","non-dropping-particle":"","parse-names":false,"suffix":""},{"dropping-particle":"","family":"Marc","given":"Gurwith","non-dropping-particle":"","parse-names":false,"suffix":""},{"dropping-particle":"","family":"Neal","given":"Halsey","non-dropping-particle":"","parse-names":false,"suffix":""},{"dropping-particle":"","family":"Erin","given":"Hanlon","non-dropping-particle":"","parse-names":false,"suffix":""},{"dropping-particle":"","family":"William","given":"Hitchcock","non-dropping-particle":"","parse-names":false,"suffix":""},{"dropping-particle":"","family":"Shah","given":"Hossain","non-dropping-particle":"","parse-names":false,"suffix":""},{"dropping-particle":"","family":"Huang","given":"Wan Ting","non-dropping-particle":"","parse-names":false,"suffix":""},{"dropping-particle":"","family":"Deborah","given":"Hunter","non-dropping-particle":"","parse-names":false,"suffix":""},{"dropping-particle":"","family":"David","given":"Isaacs","non-dropping-particle":"","parse-names":false,"suffix":""},{"dropping-particle":"","family":"Robert","given":"Jacobson","non-dropping-particle":"","parse-names":false,"suffix":""},{"dropping-particle":"","family":"Rosemary","given":"Johann Liang","non-dropping-particle":"","parse-names":false,"suffix":""},{"dropping-particle":"","family":"Barbara","given":"Jones","non-dropping-particle":"","parse-names":false,"suffix":""},{"dropping-particle":"","family":"Milivoj","given":"Jovancevic","non-dropping-particle":"","parse-names":false,"suffix":""},{"dropping-particle":"","family":"Islam","given":"Kaisar Mahfuzul","non-dropping-particle":"","parse-names":false,"suffix":""},{"dropping-particle":"","family":"Gagandeep","given":"Kang","non-dropping-particle":"","parse-names":false,"suffix":""},{"dropping-particle":"","family":"Bettina","given":"Klug","non-dropping-particle":"","parse-names":false,"suffix":""},{"dropping-particle":"","family":"Rudolf","given":"Korinthenberg","non-dropping-particle":"","parse-names":false,"suffix":""},{"dropping-particle":"","family":"Andrea","given":"Kulcsar","non-dropping-particle":"","parse-names":false,"suffix":""},{"dropping-particle":"","family":"Grace","given":"Lee","non-dropping-particle":"","parse-names":false,"suffix":""},{"dropping-particle":"","family":"Fabio","given":"Lievano","non-dropping-particle":"","parse-names":false,"suffix":""},{"dropping-particle":"","family":"MacDonald","given":"Noni","non-dropping-particle":"","parse-names":false,"suffix":""},{"dropping-particle":"","family":"Asif","given":"Mahmood","non-dropping-particle":"","parse-names":false,"suffix":""},{"dropping-particle":"","family":"Helena","given":"Maltezou","non-dropping-particle":"","parse-names":false,"suffix":""},{"dropping-particle":"","family":"Susana","given":"Martin Martin","non-dropping-particle":"","parse-names":false,"suffix":""},{"dropping-particle":"","family":"David","given":"McIntosh G.","non-dropping-particle":"","parse-names":false,"suffix":""},{"dropping-particle":"","family":"Dirk","given":"Mentzer","non-dropping-particle":"","parse-names":false,"suffix":""},{"dropping-particle":"","family":"Stefanie","given":"Meredith","non-dropping-particle":"","parse-names":false,"suffix":""},{"dropping-particle":"","family":"Zsofia","given":"Meszner","non-dropping-particle":"","parse-names":false,"suffix":""},{"dropping-particle":"","family":"Julie","given":"Milstien","non-dropping-particle":"","parse-names":false,"suffix":""},{"dropping-particle":"","family":"Mary","given":"Minor","non-dropping-particle":"","parse-names":false,"suffix":""},{"dropping-particle":"","family":"John","given":"Modlin","non-dropping-particle":"","parse-names":false,"suffix":""},{"dropping-particle":"","family":"Jay","given":"Montgomery","non-dropping-particle":"","parse-names":false,"suffix":""},{"dropping-particle":"","family":"Ann","given":"Morse","non-dropping-particle":"","parse-names":false,"suffix":""},{"dropping-particle":"","family":"Ursula","given":"Munro","non-dropping-particle":"","parse-names":false,"suffix":""},{"dropping-particle":"","family":"David","given":"Nalin","non-dropping-particle":"","parse-names":false,"suffix":""},{"dropping-particle":"","family":"Patricia","given":"Nell","non-dropping-particle":"","parse-names":false,"suffix":""},{"dropping-particle":"","family":"Suchitra","given":"Nimmannitya","non-dropping-particle":"","parse-names":false,"suffix":""},{"dropping-particle":"","family":"Thomas","given":"Nisslein","non-dropping-particle":"","parse-names":false,"suffix":""},{"dropping-particle":"","family":"Hanne","given":"Nokleby","non-dropping-particle":"","parse-names":false,"suffix":""},{"dropping-particle":"","family":"Kenneth","given":"Nwosu","non-dropping-particle":"","parse-names":false,"suffix":""},{"dropping-particle":"","family":"Oleske James","given":"M.","non-dropping-particle":"","parse-names":false,"suffix":""},{"dropping-particle":"","family":"Badri","given":"Patnaik","non-dropping-particle":"","parse-names":false,"suffix":""},{"dropping-particle":"","family":"Luis","given":"Pinheiro","non-dropping-particle":"","parse-names":false,"suffix":""},{"dropping-particle":"","family":"Farshad","given":"Pourmalek","non-dropping-particle":"","parse-names":false,"suffix":""},{"dropping-particle":"","family":"Ranjan","given":"Ramasamy","non-dropping-particle":"","parse-names":false,"suffix":""},{"dropping-particle":"","family":"Eva-Beate","given":"Rump","non-dropping-particle":"","parse-names":false,"suffix":""},{"dropping-particle":"","family":"Heather","given":"Samson","non-dropping-particle":"","parse-names":false,"suffix":""},{"dropping-particle":"","family":"Eliane","given":"Santos","non-dropping-particle":"","parse-names":false,"suffix":""},{"dropping-particle":"","family":"Elisabeth","given":"Schuller","non-dropping-particle":"","parse-names":false,"suffix":""},{"dropping-particle":"","family":"Viola","given":"Schultze","non-dropping-particle":"","parse-names":false,"suffix":""},{"dropping-particle":"","family":"Sidhu Maninder","given":"K.","non-dropping-particle":"","parse-names":false,"suffix":""},{"dropping-particle":"","family":"Francoise","given":"Sillan","non-dropping-particle":"","parse-names":false,"suffix":""},{"dropping-particle":"","family":"Joseph","given":"Sliman","non-dropping-particle":"","parse-names":false,"suffix":""},{"dropping-particle":"","family":"Sally","given":"Soh Bee Leng","non-dropping-particle":"","parse-names":false,"suffix":""},{"dropping-particle":"","family":"Robert","given":"Sparks","non-dropping-particle":"","parse-names":false,"suffix":""},{"dropping-particle":"","family":"Ralf","given":"Sprenger","non-dropping-particle":"","parse-names":false,"suffix":""},{"dropping-particle":"","family":"Russell","given":"Steele","non-dropping-particle":"","parse-names":false,"suffix":""},{"dropping-particle":"","family":"Rudolf","given":"Stoller","non-dropping-particle":"","parse-names":false,"suffix":""},{"dropping-particle":"","family":"Jann","given":"Storsaeter","non-dropping-particle":"","parse-names":false,"suffix":""},{"dropping-particle":"","family":"Vladimir","given":"Suznjevic","non-dropping-particle":"","parse-names":false,"suffix":""},{"dropping-particle":"","family":"Amina","given":"Tebaa","non-dropping-particle":"","parse-names":false,"suffix":""},{"dropping-particle":"","family":"Giuseppe","given":"Tridente","non-dropping-particle":"","parse-names":false,"suffix":""},{"dropping-particle":"","family":"Georgios","given":"Trimis","non-dropping-particle":"","parse-names":false,"suffix":""},{"dropping-particle":"","family":"Ingrid","given":"Uhnoo","non-dropping-particle":"","parse-names":false,"suffix":""},{"dropping-particle":"","family":"Dinther","given":"Kristy","non-dropping-particle":"Van","parse-names":false,"suffix":""},{"dropping-particle":"","family":"Frederick","given":"Varricchio","non-dropping-particle":"","parse-names":false,"suffix":""},{"dropping-particle":"","family":"Rafael","given":"Ventura","non-dropping-particle":"","parse-names":false,"suffix":""},{"dropping-particle":"","family":"Anna","given":"Vilella","non-dropping-particle":"","parse-names":false,"suffix":""},{"dropping-particle":"","family":"Beverly","given":"Warden","non-dropping-particle":"","parse-names":false,"suffix":""},{"dropping-particle":"","family":"William","given":"Weston","non-dropping-particle":"","parse-names":false,"suffix":""},{"dropping-particle":"","family":"Omala","given":"Wimalaratne","non-dropping-particle":"","parse-names":false,"suffix":""},{"dropping-particle":"","family":"Virginia","given":"Wong","non-dropping-particle":"","parse-names":false,"suffix":""},{"dropping-particle":"","family":"Chun-Nei","given":"","non-dropping-particle":"","parse-names":false,"suffix":""},{"dropping-particle":"","family":"Thad","given":"Zajdowicz","non-dropping-particle":"","parse-names":false,"suffix":""},{"dropping-particle":"","family":"Khalequz","given":"Zaman","non-dropping-particle":"","parse-names":false,"suffix":""},{"dropping-particle":"","family":"Giovanna","given":"Zanoni","non-dropping-particle":"","parse-names":false,"suffix":""},{"dropping-particle":"","family":"Andrzej","given":"Zielinski","non-dropping-particle":"","parse-names":false,"suffix":""},{"dropping-particle":"","family":"Patrick","given":"Zuber","non-dropping-particle":"","parse-names":false,"suffix":""}],"container-title":"Vaccine","id":"ITEM-2","issue":"3","issued":{"date-parts":[["2011"]]},"page":"599-612","title":"Guillain-Barré syndrome and Fisher syndrome: Case definitions and guidelines for collection, analysis, and presentation of immunization safety data","type":"article-journal","volume":"29"},"uris":["http://www.mendeley.com/documents/?uuid=ef79efa2-2510-4877-ad90-6ce0f43701bb"]}],"mendeley":{"formattedCitation":"(21,60)","plainTextFormattedCitation":"(21,60)","previouslyFormattedCitation":"(21,60)"},"properties":{"noteIndex":0},"schema":"https://github.com/citation-style-language/schema/raw/master/csl-citation.json"}</w:instrText>
            </w:r>
            <w:r w:rsidRPr="004447F6">
              <w:rPr>
                <w:rFonts w:cstheme="minorHAnsi"/>
                <w:sz w:val="18"/>
                <w:szCs w:val="18"/>
              </w:rPr>
              <w:fldChar w:fldCharType="separate"/>
            </w:r>
            <w:r w:rsidR="00632A99" w:rsidRPr="004447F6">
              <w:rPr>
                <w:rFonts w:cstheme="minorHAnsi"/>
                <w:noProof/>
                <w:sz w:val="18"/>
                <w:szCs w:val="18"/>
              </w:rPr>
              <w:t>(21,60)</w:t>
            </w:r>
            <w:r w:rsidRPr="004447F6">
              <w:rPr>
                <w:rFonts w:cstheme="minorHAnsi"/>
                <w:sz w:val="18"/>
                <w:szCs w:val="18"/>
              </w:rPr>
              <w:fldChar w:fldCharType="end"/>
            </w:r>
            <w:r w:rsidR="00915BA7" w:rsidRPr="004447F6">
              <w:rPr>
                <w:rFonts w:cstheme="minorHAnsi"/>
                <w:sz w:val="18"/>
                <w:szCs w:val="18"/>
              </w:rPr>
              <w:t>.</w:t>
            </w:r>
          </w:p>
        </w:tc>
        <w:tc>
          <w:tcPr>
            <w:tcW w:w="3067" w:type="dxa"/>
          </w:tcPr>
          <w:p w14:paraId="6180BCF6" w14:textId="62E5DEF5" w:rsidR="005D35B7" w:rsidRPr="004447F6" w:rsidRDefault="00812066" w:rsidP="00D47C7B">
            <w:pPr>
              <w:spacing w:line="276" w:lineRule="auto"/>
              <w:rPr>
                <w:rFonts w:cstheme="minorHAnsi"/>
                <w:sz w:val="18"/>
                <w:szCs w:val="18"/>
              </w:rPr>
            </w:pPr>
            <w:r w:rsidRPr="004447F6">
              <w:rPr>
                <w:rFonts w:cstheme="minorHAnsi"/>
                <w:sz w:val="18"/>
                <w:szCs w:val="18"/>
              </w:rPr>
              <w:lastRenderedPageBreak/>
              <w:t xml:space="preserve">FND precipitated by vaccination </w:t>
            </w:r>
            <w:r w:rsidR="00F2709B" w:rsidRPr="004447F6">
              <w:rPr>
                <w:rFonts w:cstheme="minorHAnsi"/>
                <w:sz w:val="18"/>
                <w:szCs w:val="18"/>
              </w:rPr>
              <w:t xml:space="preserve">can potentially </w:t>
            </w:r>
            <w:r w:rsidRPr="004447F6">
              <w:rPr>
                <w:rFonts w:cstheme="minorHAnsi"/>
                <w:sz w:val="18"/>
                <w:szCs w:val="18"/>
              </w:rPr>
              <w:t>arise within minutes if precipitated by the vaccination procedure itself but could also develop over days if precipitated by physiological effects of vaccination e.g., vasovagal or ‘flu-like side effects.</w:t>
            </w:r>
          </w:p>
        </w:tc>
      </w:tr>
      <w:tr w:rsidR="005D35B7" w:rsidRPr="004447F6" w14:paraId="6555933C" w14:textId="22DE17AA" w:rsidTr="00310CE5">
        <w:tc>
          <w:tcPr>
            <w:tcW w:w="1528" w:type="dxa"/>
          </w:tcPr>
          <w:p w14:paraId="3A541A04" w14:textId="35579A5F" w:rsidR="005D35B7" w:rsidRPr="004447F6" w:rsidRDefault="005D35B7" w:rsidP="00D47C7B">
            <w:pPr>
              <w:spacing w:line="276" w:lineRule="auto"/>
              <w:rPr>
                <w:rFonts w:cstheme="minorHAnsi"/>
                <w:sz w:val="18"/>
                <w:szCs w:val="18"/>
              </w:rPr>
            </w:pPr>
            <w:r w:rsidRPr="004447F6">
              <w:rPr>
                <w:rFonts w:cstheme="minorHAnsi"/>
                <w:sz w:val="18"/>
                <w:szCs w:val="18"/>
              </w:rPr>
              <w:t>Could the current event have occurred in this patient without vaccination (background rate)?</w:t>
            </w:r>
            <w:r w:rsidRPr="004447F6">
              <w:rPr>
                <w:sz w:val="18"/>
                <w:szCs w:val="18"/>
              </w:rPr>
              <w:t xml:space="preserve"> </w:t>
            </w:r>
          </w:p>
        </w:tc>
        <w:tc>
          <w:tcPr>
            <w:tcW w:w="1302" w:type="dxa"/>
          </w:tcPr>
          <w:p w14:paraId="4776D3D5" w14:textId="7F41715D" w:rsidR="005D35B7" w:rsidRPr="004447F6" w:rsidRDefault="005D35B7" w:rsidP="00D47C7B">
            <w:pPr>
              <w:spacing w:line="276" w:lineRule="auto"/>
              <w:rPr>
                <w:rFonts w:cstheme="minorHAnsi"/>
                <w:sz w:val="18"/>
                <w:szCs w:val="18"/>
              </w:rPr>
            </w:pPr>
            <w:r w:rsidRPr="004447F6">
              <w:rPr>
                <w:rFonts w:cstheme="minorHAnsi"/>
                <w:sz w:val="18"/>
                <w:szCs w:val="18"/>
              </w:rPr>
              <w:t>Specificity</w:t>
            </w:r>
          </w:p>
        </w:tc>
        <w:tc>
          <w:tcPr>
            <w:tcW w:w="3119" w:type="dxa"/>
          </w:tcPr>
          <w:p w14:paraId="0BA30889" w14:textId="52CBE1EA" w:rsidR="00B02C80" w:rsidRPr="004447F6" w:rsidRDefault="00B02C80" w:rsidP="00D47C7B">
            <w:pPr>
              <w:spacing w:line="276" w:lineRule="auto"/>
              <w:rPr>
                <w:rFonts w:cstheme="minorHAnsi"/>
                <w:sz w:val="18"/>
                <w:szCs w:val="18"/>
              </w:rPr>
            </w:pPr>
            <w:r w:rsidRPr="004447F6">
              <w:rPr>
                <w:rFonts w:cstheme="minorHAnsi"/>
                <w:sz w:val="18"/>
                <w:szCs w:val="18"/>
              </w:rPr>
              <w:t>VITT has not been described prior to the adenovirus-vaccines and so baseline rates of CVST with thrombocytopenia are unknown. Epidemiological studies may use CVST only as baseline rate, but such approach is limited.</w:t>
            </w:r>
          </w:p>
          <w:p w14:paraId="5AEE2F6A" w14:textId="1FBE2331" w:rsidR="00B02C80" w:rsidRPr="004447F6" w:rsidRDefault="00B02C80" w:rsidP="00D47C7B">
            <w:pPr>
              <w:spacing w:line="276" w:lineRule="auto"/>
              <w:rPr>
                <w:rFonts w:cstheme="minorHAnsi"/>
                <w:sz w:val="18"/>
                <w:szCs w:val="18"/>
              </w:rPr>
            </w:pPr>
            <w:r w:rsidRPr="004447F6">
              <w:rPr>
                <w:rFonts w:cstheme="minorHAnsi"/>
                <w:sz w:val="18"/>
                <w:szCs w:val="18"/>
              </w:rPr>
              <w:t xml:space="preserve">Baseline rates for GBS, transverse myelitis and </w:t>
            </w:r>
            <w:r w:rsidR="009F71DB" w:rsidRPr="004447F6">
              <w:rPr>
                <w:rFonts w:cstheme="minorHAnsi"/>
                <w:sz w:val="18"/>
                <w:szCs w:val="18"/>
              </w:rPr>
              <w:t>Bell’s palsy are routinely used in vaccine surveillance.</w:t>
            </w:r>
          </w:p>
          <w:p w14:paraId="2C3151E4" w14:textId="37F87993" w:rsidR="00B02C80" w:rsidRPr="004447F6" w:rsidRDefault="00B02C80" w:rsidP="00D47C7B">
            <w:pPr>
              <w:spacing w:line="276" w:lineRule="auto"/>
              <w:rPr>
                <w:rFonts w:cstheme="minorHAnsi"/>
                <w:sz w:val="18"/>
                <w:szCs w:val="18"/>
              </w:rPr>
            </w:pPr>
            <w:r w:rsidRPr="004447F6">
              <w:rPr>
                <w:rFonts w:cstheme="minorHAnsi"/>
                <w:sz w:val="18"/>
                <w:szCs w:val="18"/>
              </w:rPr>
              <w:t xml:space="preserve">Beyond </w:t>
            </w:r>
            <w:r w:rsidR="009F71DB" w:rsidRPr="004447F6">
              <w:rPr>
                <w:rFonts w:cstheme="minorHAnsi"/>
                <w:sz w:val="18"/>
                <w:szCs w:val="18"/>
              </w:rPr>
              <w:t>spontaneous occurrence</w:t>
            </w:r>
            <w:r w:rsidRPr="004447F6">
              <w:rPr>
                <w:rFonts w:cstheme="minorHAnsi"/>
                <w:sz w:val="18"/>
                <w:szCs w:val="18"/>
              </w:rPr>
              <w:t xml:space="preserve">, one must consider </w:t>
            </w:r>
            <w:r w:rsidR="009F71DB" w:rsidRPr="004447F6">
              <w:rPr>
                <w:rFonts w:cstheme="minorHAnsi"/>
                <w:sz w:val="18"/>
                <w:szCs w:val="18"/>
              </w:rPr>
              <w:t>explaining the event by risks factors and alternative aetiologies.</w:t>
            </w:r>
          </w:p>
          <w:p w14:paraId="34A97E0D" w14:textId="62D20294" w:rsidR="005D35B7" w:rsidRPr="004447F6" w:rsidRDefault="00B02C80" w:rsidP="00D47C7B">
            <w:pPr>
              <w:spacing w:line="276" w:lineRule="auto"/>
              <w:rPr>
                <w:rFonts w:cstheme="minorHAnsi"/>
                <w:sz w:val="18"/>
                <w:szCs w:val="18"/>
              </w:rPr>
            </w:pPr>
            <w:r w:rsidRPr="004447F6">
              <w:rPr>
                <w:rFonts w:cstheme="minorHAnsi"/>
                <w:sz w:val="18"/>
                <w:szCs w:val="18"/>
              </w:rPr>
              <w:t xml:space="preserve">For </w:t>
            </w:r>
            <w:r w:rsidR="003E6320" w:rsidRPr="004447F6">
              <w:rPr>
                <w:rFonts w:cstheme="minorHAnsi"/>
                <w:sz w:val="18"/>
                <w:szCs w:val="18"/>
              </w:rPr>
              <w:t>example, one’s risk of Bell’s palsy is increased in pregnancy, whereas GBS may be triggered by infective illness.</w:t>
            </w:r>
          </w:p>
        </w:tc>
        <w:tc>
          <w:tcPr>
            <w:tcW w:w="3067" w:type="dxa"/>
          </w:tcPr>
          <w:p w14:paraId="3D3E969F" w14:textId="3C6BC288" w:rsidR="005D35B7" w:rsidRPr="004447F6" w:rsidRDefault="0009179B" w:rsidP="00D47C7B">
            <w:pPr>
              <w:spacing w:line="276" w:lineRule="auto"/>
              <w:rPr>
                <w:rFonts w:cstheme="minorHAnsi"/>
                <w:sz w:val="18"/>
                <w:szCs w:val="18"/>
              </w:rPr>
            </w:pPr>
            <w:r w:rsidRPr="004447F6">
              <w:rPr>
                <w:rFonts w:cstheme="minorHAnsi"/>
                <w:sz w:val="18"/>
                <w:szCs w:val="18"/>
              </w:rPr>
              <w:t>FND is common</w:t>
            </w:r>
            <w:r w:rsidR="00915BA7" w:rsidRPr="004447F6">
              <w:rPr>
                <w:rFonts w:cstheme="minorHAnsi"/>
                <w:sz w:val="18"/>
                <w:szCs w:val="18"/>
              </w:rPr>
              <w:t xml:space="preserve"> </w:t>
            </w:r>
            <w:r w:rsidRPr="004447F6">
              <w:rPr>
                <w:rFonts w:cstheme="minorHAnsi"/>
                <w:sz w:val="18"/>
                <w:szCs w:val="18"/>
              </w:rPr>
              <w:fldChar w:fldCharType="begin" w:fldLock="1"/>
            </w:r>
            <w:r w:rsidR="00DB0E82" w:rsidRPr="004447F6">
              <w:rPr>
                <w:rFonts w:cstheme="minorHAnsi"/>
                <w:sz w:val="18"/>
                <w:szCs w:val="18"/>
              </w:rPr>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(27)","plainTextFormattedCitation":"(27)","previouslyFormattedCitation":"(27)"},"properties":{"noteIndex":0},"schema":"https://github.com/citation-style-language/schema/raw/master/csl-citation.json"}</w:instrText>
            </w:r>
            <w:r w:rsidRPr="004447F6">
              <w:rPr>
                <w:rFonts w:cstheme="minorHAnsi"/>
                <w:sz w:val="18"/>
                <w:szCs w:val="18"/>
              </w:rPr>
              <w:fldChar w:fldCharType="separate"/>
            </w:r>
            <w:r w:rsidR="00632A99" w:rsidRPr="004447F6">
              <w:rPr>
                <w:rFonts w:cstheme="minorHAnsi"/>
                <w:noProof/>
                <w:sz w:val="18"/>
                <w:szCs w:val="18"/>
              </w:rPr>
              <w:t>(27)</w:t>
            </w:r>
            <w:r w:rsidRPr="004447F6">
              <w:rPr>
                <w:rFonts w:cstheme="minorHAnsi"/>
                <w:sz w:val="18"/>
                <w:szCs w:val="18"/>
              </w:rPr>
              <w:fldChar w:fldCharType="end"/>
            </w:r>
            <w:r w:rsidRPr="004447F6">
              <w:rPr>
                <w:rFonts w:cstheme="minorHAnsi"/>
                <w:sz w:val="18"/>
                <w:szCs w:val="18"/>
              </w:rPr>
              <w:t xml:space="preserve"> and in many cases would arise independently of vaccination</w:t>
            </w:r>
            <w:r w:rsidR="00A00A43" w:rsidRPr="004447F6">
              <w:rPr>
                <w:rFonts w:cstheme="minorHAnsi"/>
                <w:sz w:val="18"/>
                <w:szCs w:val="18"/>
              </w:rPr>
              <w:t xml:space="preserve">, although, as discussed above, it may be a precipitating factor in some cases. Sociological and pandemic factors may further predispose those with a risk of FND to develop the disorder from a </w:t>
            </w:r>
            <w:r w:rsidR="00B84131" w:rsidRPr="004447F6">
              <w:rPr>
                <w:rFonts w:cstheme="minorHAnsi"/>
                <w:sz w:val="18"/>
                <w:szCs w:val="18"/>
              </w:rPr>
              <w:t xml:space="preserve">precipitating </w:t>
            </w:r>
            <w:r w:rsidR="00A00A43" w:rsidRPr="004447F6">
              <w:rPr>
                <w:rFonts w:cstheme="minorHAnsi"/>
                <w:sz w:val="18"/>
                <w:szCs w:val="18"/>
              </w:rPr>
              <w:t>stressor</w:t>
            </w:r>
            <w:r w:rsidR="007002B8" w:rsidRPr="004447F6">
              <w:rPr>
                <w:rFonts w:cstheme="minorHAnsi"/>
                <w:sz w:val="18"/>
                <w:szCs w:val="18"/>
              </w:rPr>
              <w:t>,</w:t>
            </w:r>
            <w:r w:rsidR="00A00A43" w:rsidRPr="004447F6">
              <w:rPr>
                <w:rFonts w:cstheme="minorHAnsi"/>
                <w:sz w:val="18"/>
                <w:szCs w:val="18"/>
              </w:rPr>
              <w:t xml:space="preserve"> such as vaccination</w:t>
            </w:r>
            <w:r w:rsidR="00915BA7" w:rsidRPr="004447F6">
              <w:rPr>
                <w:rFonts w:cstheme="minorHAnsi"/>
                <w:sz w:val="18"/>
                <w:szCs w:val="18"/>
              </w:rPr>
              <w:t xml:space="preserve"> </w:t>
            </w:r>
            <w:r w:rsidR="007002B8" w:rsidRPr="004447F6">
              <w:rPr>
                <w:rFonts w:cstheme="minorHAnsi"/>
                <w:sz w:val="18"/>
                <w:szCs w:val="18"/>
              </w:rPr>
              <w:fldChar w:fldCharType="begin" w:fldLock="1"/>
            </w:r>
            <w:r w:rsidR="001A63D1" w:rsidRPr="004447F6">
              <w:rPr>
                <w:rFonts w:cstheme="minorHAnsi"/>
                <w:sz w:val="18"/>
                <w:szCs w:val="18"/>
              </w:rPr>
              <w:instrText>ADDIN CSL_CITATION {"citationItems":[{"id":"ITEM-1","itemData":{"DOI":"10.1136/jnnp-2018-318297","ISSN":"1468330X","PMID":"30409887","abstract":"At the interface between mind and body, psychiatry and neurology, functional neurological disorder (FND) remains poorly understood. Formerly dominant stress-related aetiological models have been increasingly challenged, in part due to cases without any history of past or recent trauma. In this perspective article, we review current evidence for such models, and how research into the role of traumatic stress in other disorders and the neurobiology of the stress response can inform our mechanistic understanding of FND. First, we discuss the association between stress and the onset or exacerbation of a variety of physical and mental health problems. Second, we review the role of hypothalamic-pituitary-adrenal axis dysfunction in the neurobiology of ill-health, alongside evidence for similar mechanisms in FND. Third, we advocate a stress-diathesis model, in which biological susceptibility interacts with early life adversity, where FND can be precipitated by traumatic events later in life and maintained by psychological responses. We hypothesise that greater biological susceptibility to FND is associated with less severe remote and recent stress, and that FND precipitated by more severe stress is associated with lower biological vulnerability. This would explain clinical experience of variable exposure to historical and recent traumatic stress among people with FND and requires empirical investigation. A testable, evidence-based stress-diathesis model can inform nuanced understanding of how biological and psychological factors interact at the individual level, with potential to inform personalised treatment pathways. Much-needed research to establish the aetiology of FND will enhance clinical care and communication, facilitate effective treatment and inform prevention strategies.","author":[{"dropping-particle":"","family":"Keynejad","given":"Roxanne C.","non-dropping-particle":"","parse-names":false,"suffix":""},{"dropping-particle":"","family":"Frodl","given":"Thomas","non-dropping-particle":"","parse-names":false,"suffix":""},{"dropping-particle":"","family":"Kanaan","given":"Richard","non-dropping-particle":"","parse-names":false,"suffix":""},{"dropping-particle":"","family":"Pariante","given":"Carmine","non-dropping-particle":"","parse-names":false,"suffix":""},{"dropping-particle":"","family":"Reuber","given":"Markus","non-dropping-particle":"","parse-names":false,"suffix":""},{"dropping-particle":"","family":"Nicholson","given":"Timothy R.","non-dropping-particle":"","parse-names":false,"suffix":""}],"container-title":"Journal of Neurology, Neurosurgery and Psychiatry","id":"ITEM-1","issue":"7","issued":{"date-parts":[["2019"]]},"page":"813-821","title":"Stress and functional neurological disorders: Mechanistic insights","type":"article-journal","volume":"90"},"uris":["http://www.mendeley.com/documents/?uuid=ee0bbd8f-19cf-4dfa-a563-c0d1501c08b3"]}],"mendeley":{"formattedCitation":"(61)","plainTextFormattedCitation":"(61)","previouslyFormattedCitation":"(61)"},"properties":{"noteIndex":0},"schema":"https://github.com/citation-style-language/schema/raw/master/csl-citation.json"}</w:instrText>
            </w:r>
            <w:r w:rsidR="007002B8" w:rsidRPr="004447F6">
              <w:rPr>
                <w:rFonts w:cstheme="minorHAnsi"/>
                <w:sz w:val="18"/>
                <w:szCs w:val="18"/>
              </w:rPr>
              <w:fldChar w:fldCharType="separate"/>
            </w:r>
            <w:r w:rsidR="00CB023D" w:rsidRPr="004447F6">
              <w:rPr>
                <w:rFonts w:cstheme="minorHAnsi"/>
                <w:noProof/>
                <w:sz w:val="18"/>
                <w:szCs w:val="18"/>
              </w:rPr>
              <w:t>(61)</w:t>
            </w:r>
            <w:r w:rsidR="007002B8" w:rsidRPr="004447F6">
              <w:rPr>
                <w:rFonts w:cstheme="minorHAnsi"/>
                <w:sz w:val="18"/>
                <w:szCs w:val="18"/>
              </w:rPr>
              <w:fldChar w:fldCharType="end"/>
            </w:r>
            <w:r w:rsidR="00915BA7" w:rsidRPr="004447F6">
              <w:rPr>
                <w:rFonts w:cstheme="minorHAnsi"/>
                <w:sz w:val="18"/>
                <w:szCs w:val="18"/>
              </w:rPr>
              <w:t>.</w:t>
            </w:r>
          </w:p>
        </w:tc>
      </w:tr>
      <w:tr w:rsidR="005D35B7" w:rsidRPr="004447F6" w14:paraId="463B6EF6" w14:textId="25251EA4" w:rsidTr="00310CE5">
        <w:tc>
          <w:tcPr>
            <w:tcW w:w="1528" w:type="dxa"/>
          </w:tcPr>
          <w:p w14:paraId="45B631B3" w14:textId="27A18A52" w:rsidR="005D35B7" w:rsidRPr="004447F6" w:rsidRDefault="005D35B7" w:rsidP="00D47C7B">
            <w:pPr>
              <w:spacing w:line="276" w:lineRule="auto"/>
              <w:rPr>
                <w:rFonts w:cstheme="minorHAnsi"/>
                <w:sz w:val="18"/>
                <w:szCs w:val="18"/>
              </w:rPr>
            </w:pPr>
            <w:r w:rsidRPr="004447F6">
              <w:rPr>
                <w:rFonts w:cstheme="minorHAnsi"/>
                <w:sz w:val="18"/>
                <w:szCs w:val="18"/>
              </w:rPr>
              <w:t>Have similar events been observed in previous vaccination campaigns?</w:t>
            </w:r>
          </w:p>
        </w:tc>
        <w:tc>
          <w:tcPr>
            <w:tcW w:w="1302" w:type="dxa"/>
          </w:tcPr>
          <w:p w14:paraId="799D7ECF" w14:textId="72EAB910" w:rsidR="005D35B7" w:rsidRPr="004447F6" w:rsidRDefault="005D35B7" w:rsidP="00D47C7B">
            <w:pPr>
              <w:spacing w:line="276" w:lineRule="auto"/>
              <w:rPr>
                <w:rFonts w:cstheme="minorHAnsi"/>
                <w:sz w:val="18"/>
                <w:szCs w:val="18"/>
              </w:rPr>
            </w:pPr>
            <w:r w:rsidRPr="004447F6">
              <w:rPr>
                <w:rFonts w:cstheme="minorHAnsi"/>
                <w:sz w:val="18"/>
                <w:szCs w:val="18"/>
              </w:rPr>
              <w:t>Analogy</w:t>
            </w:r>
          </w:p>
        </w:tc>
        <w:tc>
          <w:tcPr>
            <w:tcW w:w="3119" w:type="dxa"/>
          </w:tcPr>
          <w:p w14:paraId="7059F0F7" w14:textId="2B049D85" w:rsidR="003E6320" w:rsidRPr="004447F6" w:rsidRDefault="003E6320" w:rsidP="00D47C7B">
            <w:pPr>
              <w:spacing w:line="276" w:lineRule="auto"/>
              <w:rPr>
                <w:rFonts w:cstheme="minorHAnsi"/>
                <w:sz w:val="18"/>
                <w:szCs w:val="18"/>
              </w:rPr>
            </w:pPr>
            <w:r w:rsidRPr="004447F6">
              <w:rPr>
                <w:rFonts w:cstheme="minorHAnsi"/>
                <w:sz w:val="18"/>
                <w:szCs w:val="18"/>
              </w:rPr>
              <w:t>Examples of neurological events associated with vaccinations include:</w:t>
            </w:r>
          </w:p>
          <w:p w14:paraId="1B9AE3E7" w14:textId="72EF9F62" w:rsidR="005D35B7" w:rsidRPr="004447F6" w:rsidRDefault="005D35B7" w:rsidP="00D47C7B">
            <w:pPr>
              <w:spacing w:line="276" w:lineRule="auto"/>
              <w:rPr>
                <w:rFonts w:cstheme="minorHAnsi"/>
                <w:sz w:val="18"/>
                <w:szCs w:val="18"/>
              </w:rPr>
            </w:pPr>
            <w:r w:rsidRPr="004447F6">
              <w:rPr>
                <w:rFonts w:cstheme="minorHAnsi"/>
                <w:sz w:val="18"/>
                <w:szCs w:val="18"/>
              </w:rPr>
              <w:t>1976 Swine ‘</w:t>
            </w:r>
            <w:r w:rsidR="00611FFE" w:rsidRPr="004447F6">
              <w:rPr>
                <w:rFonts w:cstheme="minorHAnsi"/>
                <w:sz w:val="18"/>
                <w:szCs w:val="18"/>
              </w:rPr>
              <w:t>F</w:t>
            </w:r>
            <w:r w:rsidRPr="004447F6">
              <w:rPr>
                <w:rFonts w:cstheme="minorHAnsi"/>
                <w:sz w:val="18"/>
                <w:szCs w:val="18"/>
              </w:rPr>
              <w:t>lu vaccination association with GBS</w:t>
            </w:r>
            <w:r w:rsidR="00915BA7" w:rsidRPr="004447F6">
              <w:rPr>
                <w:rFonts w:cstheme="minorHAnsi"/>
                <w:sz w:val="18"/>
                <w:szCs w:val="18"/>
              </w:rPr>
              <w:t xml:space="preserve"> </w:t>
            </w:r>
            <w:r w:rsidRPr="004447F6">
              <w:rPr>
                <w:rFonts w:cstheme="minorHAnsi"/>
                <w:sz w:val="18"/>
                <w:szCs w:val="18"/>
              </w:rPr>
              <w:fldChar w:fldCharType="begin" w:fldLock="1"/>
            </w:r>
            <w:r w:rsidR="00DB0E82" w:rsidRPr="004447F6">
              <w:rPr>
                <w:rFonts w:cstheme="minorHAnsi"/>
                <w:sz w:val="18"/>
                <w:szCs w:val="18"/>
              </w:rPr>
              <w:instrText>ADDIN CSL_CITATION {"citationItems":[{"id":"ITEM-1","itemData":{"DOI":"10.1093/infdis/jiaa544","ISSN":"15376613","PMID":"33137189","author":[{"dropping-particle":"","family":"Salmon","given":"Daniel A.","non-dropping-particle":"","parse-names":false,"suffix":""},{"dropping-particle":"","family":"Dudley","given":"Matthew Z.","non-dropping-particle":"","parse-names":false,"suffix":""},{"dropping-particle":"","family":"Carleton","given":"Bruce C.","non-dropping-particle":"","parse-names":false,"suffix":""}],"container-title":"The Journal of infectious diseases","id":"ITEM-1","issue":"3","issued":{"date-parts":[["2021"]]},"page":"355-358","title":"Guillain-Barré Syndrome Following Influenza Vaccines Affords Opportunity to Improve Vaccine Confidence","type":"article-journal","volume":"223"},"uris":["http://www.mendeley.com/documents/?uuid=fcafff94-d5fb-4f48-8a8f-7c3b2277b8fc"]},{"id":"ITEM-2","itemData":{"DOI":"10.1016/j.vaccine.2010.06.003","ISSN":"0264410X","PMID":"20600491","author":[{"dropping-particle":"","family":"Sejvar","given":"James J.","non-dropping-particle":"","parse-names":false,"suffix":""},{"dropping-particle":"","family":"Kohl","given":"Katrin S.","non-dropping-particle":"","parse-names":false,"suffix":""},{"dropping-particle":"","family":"Gidudu","given":"Jane","non-dropping-particle":"","parse-names":false,"suffix":""},{"dropping-particle":"","family":"Amato","given":"Anthony","non-dropping-particle":"","parse-names":false,"suffix":""},{"dropping-particle":"","family":"Bakshi","given":"Nandini","non-dropping-particle":"","parse-names":false,"suffix":""},{"dropping-particle":"","family":"Baxter","given":"Roger","non-dropping-particle":"","parse-names":false,"suffix":""},{"dropping-particle":"","family":"Burwen","given":"Dale R.","non-dropping-particle":"","parse-names":false,"suffix":""},{"dropping-particle":"","family":"Cornblath","given":"David R.","non-dropping-particle":"","parse-names":false,"suffix":""},{"dropping-particle":"","family":"Cleerbout","given":"Jan","non-dropping-particle":"","parse-names":false,"suffix":""},{"dropping-particle":"","family":"Edwards","given":"Kathryn M.","non-dropping-particle":"","parse-names":false,"suffix":""},{"dropping-particle":"","family":"Heininger","given":"Ulrich","non-dropping-particle":"","parse-names":false,"suffix":""},{"dropping-particle":"","family":"Hughes","given":"Richard","non-dropping-particle":"","parse-names":false,"suffix":""},{"dropping-particle":"","family":"Khuri-Bulos","given":"Najwa","non-dropping-particle":"","parse-names":false,"suffix":""},{"dropping-particle":"","family":"Korinthenberg","given":"Rudolf","non-dropping-particle":"","parse-names":false,"suffix":""},{"dropping-particle":"","family":"Law","given":"Barbara J.","non-dropping-particle":"","parse-names":false,"suffix":""},{"dropping-particle":"","family":"Munro","given":"Ursula","non-dropping-particle":"","parse-names":false,"suffix":""},{"dropping-particle":"","family":"Maltezou","given":"Helena C.","non-dropping-particle":"","parse-names":false,"suffix":""},{"dropping-particle":"","family":"Nell","given":"Patricia","non-dropping-particle":"","parse-names":false,"suffix":""},{"dropping-particle":"","family":"Oleske","given":"James","non-dropping-particle":"","parse-names":false,"suffix":""},{"dropping-particle":"","family":"Sparks","given":"Robert","non-dropping-particle":"","parse-names":false,"suffix":""},{"dropping-particle":"","family":"Velentgas","given":"Priscilla","non-dropping-particle":"","parse-names":false,"suffix":""},{"dropping-particle":"","family":"Vermeer","given":"Patricia","non-dropping-particle":"","parse-names":false,"suffix":""},{"dropping-particle":"","family":"Wiznitzer","given":"Max","non-dropping-particle":"","parse-names":false,"suffix":""},{"dropping-particle":"","family":"Blum","given":"Mike","non-dropping-particle":"","parse-names":false,"suffix":""},{"dropping-particle":"","family":"Heath","given":"Paul","non-dropping-particle":"","parse-names":false,"suffix":""},{"dropping-particle":"","family":"Izurieta","given":"Hector","non-dropping-particle":"","parse-names":false,"suffix":""},{"dropping-particle":"","family":"Stanislawski","given":"Brigitte Keller","non-dropping-particle":"","parse-names":false,"suffix":""},{"dropping-particle":"","family":"Odile","given":"Katrin Kohl","non-dropping-particle":"","parse-names":false,"suffix":""},{"dropping-particle":"","family":"Rudiger","given":"Leroy Adam","non-dropping-particle":"","parse-names":false,"suffix":""},{"dropping-particle":"","family":"Elisabeth","given":"Adderson","non-dropping-particle":"","parse-names":false,"suffix":""},{"dropping-particle":"","family":"Maria","given":"Aguilar","non-dropping-particle":"","parse-names":false,"suffix":""},{"dropping-particle":"","family":"Grace","given":"Aldrovandi","non-dropping-particle":"","parse-names":false,"suffix":""},{"dropping-particle":"","family":"Mary","given":"Allen","non-dropping-particle":"","parse-names":false,"suffix":""},{"dropping-particle":"","family":"Sjafri","given":"Bachtiar Novilia","non-dropping-particle":"","parse-names":false,"suffix":""},{"dropping-particle":"","family":"Salim","given":"Barami A.A.","non-dropping-particle":"","parse-names":false,"suffix":""},{"dropping-particle":"","family":"Roger","given":"Baxter","non-dropping-particle":"","parse-names":false,"suffix":""},{"dropping-particle":"","family":"Julie","given":"Bettinger","non-dropping-particle":"","parse-names":false,"suffix":""},{"dropping-particle":"","family":"Roman","given":"Bilynsky","non-dropping-particle":"","parse-names":false,"suffix":""},{"dropping-particle":"","family":"Michael","given":"Blum","non-dropping-particle":"","parse-names":false,"suffix":""},{"dropping-particle":"","family":"Jan","given":"Bonhoeffer","non-dropping-particle":"","parse-names":false,"suffix":""},{"dropping-particle":"","family":"Michael","given":"Brady","non-dropping-particle":"","parse-names":false,"suffix":""},{"dropping-particle":"","family":"Michael","given":"Buettcher","non-dropping-particle":"","parse-names":false,"suffix":""},{"dropping-particle":"","family":"Jim","given":"Buttery","non-dropping-particle":"","parse-names":false,"suffix":""},{"dropping-particle":"","family":"Alejandro","given":"Cane","non-dropping-particle":"","parse-names":false,"suffix":""},{"dropping-particle":"","family":"Soju","given":"Chang","non-dropping-particle":"","parse-names":false,"suffix":""},{"dropping-particle":"","family":"Arani","given":"Chatterjee","non-dropping-particle":"","parse-names":false,"suffix":""},{"dropping-particle":"","family":"Krishan","given":"Chawla","non-dropping-particle":"","parse-names":false,"suffix":""},{"dropping-particle":"","family":"Thomas","given":"Cherian","non-dropping-particle":"","parse-names":false,"suffix":""},{"dropping-particle":"","family":"Jan","given":"Cleerbout","non-dropping-particle":"","parse-names":false,"suffix":""},{"dropping-particle":"","family":"Philippe","given":"Close","non-dropping-particle":"","parse-names":false,"suffix":""},{"dropping-particle":"","family":"Richard","given":"Condit","non-dropping-particle":"","parse-names":false,"suffix":""},{"dropping-particle":"","family":"David","given":"Cornblath","non-dropping-particle":"","parse-names":false,"suffix":""},{"dropping-particle":"","family":"Couch Robert","given":"B.","non-dropping-particle":"","parse-names":false,"suffix":""},{"dropping-particle":"","family":"Costa","given":"Christopher","non-dropping-particle":"Da","parse-names":false,"suffix":""},{"dropping-particle":"","family":"Larry","given":"Davis","non-dropping-particle":"","parse-names":false,"suffix":""},{"dropping-particle":"","family":"Menezes","given":"Martins Reinaldo","non-dropping-particle":"De","parse-names":false,"suffix":""},{"dropping-particle":"","family":"Vries","given":"Corinne","non-dropping-particle":"De","parse-names":false,"suffix":""},{"dropping-particle":"","family":"Maria","given":"Deotti Sandra","non-dropping-particle":"","parse-names":false,"suffix":""},{"dropping-particle":"","family":"Dragana","given":"Dimitrijevic","non-dropping-particle":"","parse-names":false,"suffix":""},{"dropping-particle":"","family":"Duo","given":"Dong","non-dropping-particle":"","parse-names":false,"suffix":""},{"dropping-particle":"","family":"Birgitta","given":"Evengard","non-dropping-particle":"","parse-names":false,"suffix":""},{"dropping-particle":"","family":"Cristian","given":"Falup Pecurariu","non-dropping-particle":"","parse-names":false,"suffix":""},{"dropping-particle":"","family":"Rohini","given":"Fernandopulle","non-dropping-particle":"","parse-names":false,"suffix":""},{"dropping-particle":"","family":"Germano","given":"Ferreira","non-dropping-particle":"","parse-names":false,"suffix":""},{"dropping-particle":"","family":"Fisher Margaret","given":"C.","non-dropping-particle":"","parse-names":false,"suffix":""},{"dropping-particle":"","family":"Jochem","given":"Galama","non-dropping-particle":"","parse-names":false,"suffix":""},{"dropping-particle":"","family":"Karl","given":"Gallegos","non-dropping-particle":"","parse-names":false,"suffix":""},{"dropping-particle":"","family":"Mark","given":"Gershman","non-dropping-particle":"","parse-names":false,"suffix":""},{"dropping-particle":"","family":"Neville","given":"Gibbs","non-dropping-particle":"","parse-names":false,"suffix":""},{"dropping-particle":"","family":"Jane","given":"Gidudu","non-dropping-particle":"","parse-names":false,"suffix":""},{"dropping-particle":"","family":"Marc","given":"Gurwith","non-dropping-particle":"","parse-names":false,"suffix":""},{"dropping-particle":"","family":"Neal","given":"Halsey","non-dropping-particle":"","parse-names":false,"suffix":""},{"dropping-particle":"","family":"Erin","given":"Hanlon","non-dropping-particle":"","parse-names":false,"suffix":""},{"dropping-particle":"","family":"William","given":"Hitchcock","non-dropping-particle":"","parse-names":false,"suffix":""},{"dropping-particle":"","family":"Shah","given":"Hossain","non-dropping-particle":"","parse-names":false,"suffix":""},{"dropping-particle":"","family":"Huang","given":"Wan Ting","non-dropping-particle":"","parse-names":false,"suffix":""},{"dropping-particle":"","family":"Deborah","given":"Hunter","non-dropping-particle":"","parse-names":false,"suffix":""},{"dropping-particle":"","family":"David","given":"Isaacs","non-dropping-particle":"","parse-names":false,"suffix":""},{"dropping-particle":"","family":"Robert","given":"Jacobson","non-dropping-particle":"","parse-names":false,"suffix":""},{"dropping-particle":"","family":"Rosemary","given":"Johann Liang","non-dropping-particle":"","parse-names":false,"suffix":""},{"dropping-particle":"","family":"Barbara","given":"Jones","non-dropping-particle":"","parse-names":false,"suffix":""},{"dropping-particle":"","family":"Milivoj","given":"Jovancevic","non-dropping-particle":"","parse-names":false,"suffix":""},{"dropping-particle":"","family":"Islam","given":"Kaisar Mahfuzul","non-dropping-particle":"","parse-names":false,"suffix":""},{"dropping-particle":"","family":"Gagandeep","given":"Kang","non-dropping-particle":"","parse-names":false,"suffix":""},{"dropping-particle":"","family":"Bettina","given":"Klug","non-dropping-particle":"","parse-names":false,"suffix":""},{"dropping-particle":"","family":"Rudolf","given":"Korinthenberg","non-dropping-particle":"","parse-names":false,"suffix":""},{"dropping-particle":"","family":"Andrea","given":"Kulcsar","non-dropping-particle":"","parse-names":false,"suffix":""},{"dropping-particle":"","family":"Grace","given":"Lee","non-dropping-particle":"","parse-names":false,"suffix":""},{"dropping-particle":"","family":"Fabio","given":"Lievano","non-dropping-particle":"","parse-names":false,"suffix":""},{"dropping-particle":"","family":"MacDonald","given":"Noni","non-dropping-particle":"","parse-names":false,"suffix":""},{"dropping-particle":"","family":"Asif","given":"Mahmood","non-dropping-particle":"","parse-names":false,"suffix":""},{"dropping-particle":"","family":"Helena","given":"Maltezou","non-dropping-particle":"","parse-names":false,"suffix":""},{"dropping-particle":"","family":"Susana","given":"Martin Martin","non-dropping-particle":"","parse-names":false,"suffix":""},{"dropping-particle":"","family":"David","given":"McIntosh G.","non-dropping-particle":"","parse-names":false,"suffix":""},{"dropping-particle":"","family":"Dirk","given":"Mentzer","non-dropping-particle":"","parse-names":false,"suffix":""},{"dropping-particle":"","family":"Stefanie","given":"Meredith","non-dropping-particle":"","parse-names":false,"suffix":""},{"dropping-particle":"","family":"Zsofia","given":"Meszner","non-dropping-particle":"","parse-names":false,"suffix":""},{"dropping-particle":"","family":"Julie","given":"Milstien","non-dropping-particle":"","parse-names":false,"suffix":""},{"dropping-particle":"","family":"Mary","given":"Minor","non-dropping-particle":"","parse-names":false,"suffix":""},{"dropping-particle":"","family":"John","given":"Modlin","non-dropping-particle":"","parse-names":false,"suffix":""},{"dropping-particle":"","family":"Jay","given":"Montgomery","non-dropping-particle":"","parse-names":false,"suffix":""},{"dropping-particle":"","family":"Ann","given":"Morse","non-dropping-particle":"","parse-names":false,"suffix":""},{"dropping-particle":"","family":"Ursula","given":"Munro","non-dropping-particle":"","parse-names":false,"suffix":""},{"dropping-particle":"","family":"David","given":"Nalin","non-dropping-particle":"","parse-names":false,"suffix":""},{"dropping-particle":"","family":"Patricia","given":"Nell","non-dropping-particle":"","parse-names":false,"suffix":""},{"dropping-particle":"","family":"Suchitra","given":"Nimmannitya","non-dropping-particle":"","parse-names":false,"suffix":""},{"dropping-particle":"","family":"Thomas","given":"Nisslein","non-dropping-particle":"","parse-names":false,"suffix":""},{"dropping-particle":"","family":"Hanne","given":"Nokleby","non-dropping-particle":"","parse-names":false,"suffix":""},{"dropping-particle":"","family":"Kenneth","given":"Nwosu","non-dropping-particle":"","parse-names":false,"suffix":""},{"dropping-particle":"","family":"Oleske James","given":"M.","non-dropping-particle":"","parse-names":false,"suffix":""},{"dropping-particle":"","family":"Badri","given":"Patnaik","non-dropping-particle":"","parse-names":false,"suffix":""},{"dropping-particle":"","family":"Luis","given":"Pinheiro","non-dropping-particle":"","parse-names":false,"suffix":""},{"dropping-particle":"","family":"Farshad","given":"Pourmalek","non-dropping-particle":"","parse-names":false,"suffix":""},{"dropping-particle":"","family":"Ranjan","given":"Ramasamy","non-dropping-particle":"","parse-names":false,"suffix":""},{"dropping-particle":"","family":"Eva-Beate","given":"Rump","non-dropping-particle":"","parse-names":false,"suffix":""},{"dropping-particle":"","family":"Heather","given":"Samson","non-dropping-particle":"","parse-names":false,"suffix":""},{"dropping-particle":"","family":"Eliane","given":"Santos","non-dropping-particle":"","parse-names":false,"suffix":""},{"dropping-particle":"","family":"Elisabeth","given":"Schuller","non-dropping-particle":"","parse-names":false,"suffix":""},{"dropping-particle":"","family":"Viola","given":"Schultze","non-dropping-particle":"","parse-names":false,"suffix":""},{"dropping-particle":"","family":"Sidhu Maninder","given":"K.","non-dropping-particle":"","parse-names":false,"suffix":""},{"dropping-particle":"","family":"Francoise","given":"Sillan","non-dropping-particle":"","parse-names":false,"suffix":""},{"dropping-particle":"","family":"Joseph","given":"Sliman","non-dropping-particle":"","parse-names":false,"suffix":""},{"dropping-particle":"","family":"Sally","given":"Soh Bee Leng","non-dropping-particle":"","parse-names":false,"suffix":""},{"dropping-particle":"","family":"Robert","given":"Sparks","non-dropping-particle":"","parse-names":false,"suffix":""},{"dropping-particle":"","family":"Ralf","given":"Sprenger","non-dropping-particle":"","parse-names":false,"suffix":""},{"dropping-particle":"","family":"Russell","given":"Steele","non-dropping-particle":"","parse-names":false,"suffix":""},{"dropping-particle":"","family":"Rudolf","given":"Stoller","non-dropping-particle":"","parse-names":false,"suffix":""},{"dropping-particle":"","family":"Jann","given":"Storsaeter","non-dropping-particle":"","parse-names":false,"suffix":""},{"dropping-particle":"","family":"Vladimir","given":"Suznjevic","non-dropping-particle":"","parse-names":false,"suffix":""},{"dropping-particle":"","family":"Amina","given":"Tebaa","non-dropping-particle":"","parse-names":false,"suffix":""},{"dropping-particle":"","family":"Giuseppe","given":"Tridente","non-dropping-particle":"","parse-names":false,"suffix":""},{"dropping-particle":"","family":"Georgios","given":"Trimis","non-dropping-particle":"","parse-names":false,"suffix":""},{"dropping-particle":"","family":"Ingrid","given":"Uhnoo","non-dropping-particle":"","parse-names":false,"suffix":""},{"dropping-particle":"","family":"Dinther","given":"Kristy","non-dropping-particle":"Van","parse-names":false,"suffix":""},{"dropping-particle":"","family":"Frederick","given":"Varricchio","non-dropping-particle":"","parse-names":false,"suffix":""},{"dropping-particle":"","family":"Rafael","given":"Ventura","non-dropping-particle":"","parse-names":false,"suffix":""},{"dropping-particle":"","family":"Anna","given":"Vilella","non-dropping-particle":"","parse-names":false,"suffix":""},{"dropping-particle":"","family":"Beverly","given":"Warden","non-dropping-particle":"","parse-names":false,"suffix":""},{"dropping-particle":"","family":"William","given":"Weston","non-dropping-particle":"","parse-names":false,"suffix":""},{"dropping-particle":"","family":"Omala","given":"Wimalaratne","non-dropping-particle":"","parse-names":false,"suffix":""},{"dropping-particle":"","family":"Virginia","given":"Wong","non-dropping-particle":"","parse-names":false,"suffix":""},{"dropping-particle":"","family":"Chun-Nei","given":"","non-dropping-particle":"","parse-names":false,"suffix":""},{"dropping-particle":"","family":"Thad","given":"Zajdowicz","non-dropping-particle":"","parse-names":false,"suffix":""},{"dropping-particle":"","family":"Khalequz","given":"Zaman","non-dropping-particle":"","parse-names":false,"suffix":""},{"dropping-particle":"","family":"Giovanna","given":"Zanoni","non-dropping-particle":"","parse-names":false,"suffix":""},{"dropping-particle":"","family":"Andrzej","given":"Zielinski","non-dropping-particle":"","parse-names":false,"suffix":""},{"dropping-particle":"","family":"Patrick","given":"Zuber","non-dropping-particle":"","parse-names":false,"suffix":""}],"container-title":"Vaccine","id":"ITEM-2","issue":"3","issued":{"date-parts":[["2011"]]},"page":"599-612","title":"Guillain-Barré syndrome and Fisher syndrome: Case definitions and guidelines for collection, analysis, and presentation of immunization safety data","type":"article-journal","volume":"29"},"uris":["http://www.mendeley.com/documents/?uuid=ef79efa2-2510-4877-ad90-6ce0f43701bb"]}],"mendeley":{"formattedCitation":"(21,62)","plainTextFormattedCitation":"(21,62)","previouslyFormattedCitation":"(21,62)"},"properties":{"noteIndex":0},"schema":"https://github.com/citation-style-language/schema/raw/master/csl-citation.json"}</w:instrText>
            </w:r>
            <w:r w:rsidRPr="004447F6">
              <w:rPr>
                <w:rFonts w:cstheme="minorHAnsi"/>
                <w:sz w:val="18"/>
                <w:szCs w:val="18"/>
              </w:rPr>
              <w:fldChar w:fldCharType="separate"/>
            </w:r>
            <w:r w:rsidR="00632A99" w:rsidRPr="004447F6">
              <w:rPr>
                <w:rFonts w:cstheme="minorHAnsi"/>
                <w:noProof/>
                <w:sz w:val="18"/>
                <w:szCs w:val="18"/>
              </w:rPr>
              <w:t>(21,62)</w:t>
            </w:r>
            <w:r w:rsidRPr="004447F6">
              <w:rPr>
                <w:rFonts w:cstheme="minorHAnsi"/>
                <w:sz w:val="18"/>
                <w:szCs w:val="18"/>
              </w:rPr>
              <w:fldChar w:fldCharType="end"/>
            </w:r>
            <w:r w:rsidR="00915BA7" w:rsidRPr="004447F6">
              <w:rPr>
                <w:rFonts w:cstheme="minorHAnsi"/>
                <w:sz w:val="18"/>
                <w:szCs w:val="18"/>
              </w:rPr>
              <w:t>.</w:t>
            </w:r>
          </w:p>
          <w:p w14:paraId="13B24034" w14:textId="30271185" w:rsidR="005D35B7" w:rsidRPr="004447F6" w:rsidRDefault="005D35B7" w:rsidP="00D47C7B">
            <w:pPr>
              <w:spacing w:line="276" w:lineRule="auto"/>
              <w:rPr>
                <w:rFonts w:cstheme="minorHAnsi"/>
                <w:sz w:val="18"/>
                <w:szCs w:val="18"/>
              </w:rPr>
            </w:pPr>
            <w:r w:rsidRPr="004447F6">
              <w:rPr>
                <w:rFonts w:cstheme="minorHAnsi"/>
                <w:sz w:val="18"/>
                <w:szCs w:val="18"/>
              </w:rPr>
              <w:t>2001 intranasal ‘flu vaccine association with Bell</w:t>
            </w:r>
            <w:r w:rsidR="007C4E92" w:rsidRPr="004447F6">
              <w:rPr>
                <w:rFonts w:cstheme="minorHAnsi"/>
                <w:sz w:val="18"/>
                <w:szCs w:val="18"/>
              </w:rPr>
              <w:t>’</w:t>
            </w:r>
            <w:r w:rsidRPr="004447F6">
              <w:rPr>
                <w:rFonts w:cstheme="minorHAnsi"/>
                <w:sz w:val="18"/>
                <w:szCs w:val="18"/>
              </w:rPr>
              <w:t>s palsy</w:t>
            </w:r>
            <w:r w:rsidR="00915BA7" w:rsidRPr="004447F6">
              <w:rPr>
                <w:rFonts w:cstheme="minorHAnsi"/>
                <w:sz w:val="18"/>
                <w:szCs w:val="18"/>
              </w:rPr>
              <w:t xml:space="preserve"> </w:t>
            </w:r>
            <w:r w:rsidRPr="004447F6">
              <w:rPr>
                <w:rFonts w:cstheme="minorHAnsi"/>
                <w:sz w:val="18"/>
                <w:szCs w:val="18"/>
              </w:rPr>
              <w:fldChar w:fldCharType="begin" w:fldLock="1"/>
            </w:r>
            <w:r w:rsidR="00DB0E82" w:rsidRPr="004447F6">
              <w:rPr>
                <w:rFonts w:cstheme="minorHAnsi"/>
                <w:sz w:val="18"/>
                <w:szCs w:val="18"/>
              </w:rPr>
              <w:instrText>ADDIN CSL_CITATION {"citationItems":[{"id":"ITEM-1","itemData":{"DOI":"10.1056/nejmoa030595","ISSN":"0028-4793","PMID":"14985487","abstract":"BACKGROUND: After the introduction of an inactivated intranasal influenza vaccine that was used only in Switzerland, 46 cases of Bell's palsy were reported. METHODS: We conducted a matched case-control study and a case-series analysis. All primary care physicians, ear, nose, and throat specialists, and neurologists in German-speaking regions of Switzerland were requested to identify cases of Bell's palsy diagnosed in adults between October 1, 2000, and April 30, 2001. Each physician was invited to select three control patients for each patient with Bell's palsy, with matching according to age, date of the clinic visit, and physician. Vaccination information was provided by the physicians. RESULTS: A total of 773 patients with Bell's palsy were identified. Of the 412 (53.3 percent) who could be evaluated, 250 (60.7 percent) were enrolled and matched with 722 control patients; the other 162 patients had no controls. In the case-control study, we found that 68 patients with Bell's palsy (27.2 percent) and 8 controls (1.1 percent) had received the intranasal vaccine (P&lt;0.001). In contrast to parenteral vaccines, the intranasal vaccine significantly increased the risk of Bell's palsy (adjusted odds ratio, 84.0; 95 percent confidence interval, 20.1 to 351.9). Even according to conservative assumptions, the relative risk of Bell's palsy was estimated to be 19 times the risk in the controls, corresponding to 13 excess cases per 10,000 vaccinees within 1 to 91 days after vaccination. In the case-series analysis, the period of highest risk was 31 to 60 days after vaccination. CONCLUSIONS: This study suggests a strong association between the inactivated intranasal influenza vaccine used in Switzerland and Bell's palsy. This vaccine is no longer in clinical use.","author":[{"dropping-particle":"","family":"Mutsch","given":"Margot","non-dropping-particle":"","parse-names":false,"suffix":""},{"dropping-particle":"","family":"Zhou","given":"Weigong","non-dropping-particle":"","parse-names":false,"suffix":""},{"dropping-particle":"","family":"Rhodes","given":"Philip","non-dropping-particle":"","parse-names":false,"suffix":""},{"dropping-particle":"","family":"Bopp","given":"Matthias","non-dropping-particle":"","parse-names":false,"suffix":""},{"dropping-particle":"","family":"Chen","given":"Robert T.","non-dropping-particle":"","parse-names":false,"suffix":""},{"dropping-particle":"","family":"Linder","given":"Thomas","non-dropping-particle":"","parse-names":false,"suffix":""},{"dropping-particle":"","family":"Spyr","given":"Christian","non-dropping-particle":"","parse-names":false,"suffix":""},{"dropping-particle":"","family":"Steffen","given":"Robert","non-dropping-particle":"","parse-names":false,"suffix":""}],"container-title":"New England Journal of Medicine","id":"ITEM-1","issue":"9","issued":{"date-parts":[["2004"]]},"page":"896-903","title":"Use of the Inactivated Intranasal Influenza Vaccine and the Risk of Bell's Palsy in Switzerland","type":"article-journal","volume":"350"},"uris":["http://www.mendeley.com/documents/?uuid=9b784443-6c0f-4f13-ac9c-2b0895e9fba7"]}],"mendeley":{"formattedCitation":"(22)","plainTextFormattedCitation":"(22)","previouslyFormattedCitation":"(22)"},"properties":{"noteIndex":0},"schema":"https://github.com/citation-style-language/schema/raw/master/csl-citation.json"}</w:instrText>
            </w:r>
            <w:r w:rsidRPr="004447F6">
              <w:rPr>
                <w:rFonts w:cstheme="minorHAnsi"/>
                <w:sz w:val="18"/>
                <w:szCs w:val="18"/>
              </w:rPr>
              <w:fldChar w:fldCharType="separate"/>
            </w:r>
            <w:r w:rsidR="00632A99" w:rsidRPr="004447F6">
              <w:rPr>
                <w:rFonts w:cstheme="minorHAnsi"/>
                <w:noProof/>
                <w:sz w:val="18"/>
                <w:szCs w:val="18"/>
              </w:rPr>
              <w:t>(22)</w:t>
            </w:r>
            <w:r w:rsidRPr="004447F6">
              <w:rPr>
                <w:rFonts w:cstheme="minorHAnsi"/>
                <w:sz w:val="18"/>
                <w:szCs w:val="18"/>
              </w:rPr>
              <w:fldChar w:fldCharType="end"/>
            </w:r>
            <w:r w:rsidR="00915BA7" w:rsidRPr="004447F6">
              <w:rPr>
                <w:rFonts w:cstheme="minorHAnsi"/>
                <w:sz w:val="18"/>
                <w:szCs w:val="18"/>
              </w:rPr>
              <w:t>.</w:t>
            </w:r>
          </w:p>
          <w:p w14:paraId="2A16C2C9" w14:textId="59B65008" w:rsidR="005D35B7" w:rsidRPr="004447F6" w:rsidRDefault="005D35B7" w:rsidP="00D47C7B">
            <w:pPr>
              <w:spacing w:line="276" w:lineRule="auto"/>
              <w:rPr>
                <w:rFonts w:cstheme="minorHAnsi"/>
                <w:sz w:val="18"/>
                <w:szCs w:val="18"/>
              </w:rPr>
            </w:pPr>
            <w:r w:rsidRPr="004447F6">
              <w:rPr>
                <w:rFonts w:cstheme="minorHAnsi"/>
                <w:sz w:val="18"/>
                <w:szCs w:val="18"/>
              </w:rPr>
              <w:t>2010 childhood-onset narcolepsy following Pandemrix vaccination</w:t>
            </w:r>
            <w:r w:rsidR="00915BA7" w:rsidRPr="004447F6">
              <w:rPr>
                <w:rFonts w:cstheme="minorHAnsi"/>
                <w:sz w:val="18"/>
                <w:szCs w:val="18"/>
              </w:rPr>
              <w:t xml:space="preserve">  </w:t>
            </w:r>
            <w:r w:rsidRPr="004447F6">
              <w:rPr>
                <w:rFonts w:cstheme="minorHAnsi"/>
                <w:sz w:val="18"/>
                <w:szCs w:val="18"/>
              </w:rPr>
              <w:fldChar w:fldCharType="begin" w:fldLock="1"/>
            </w:r>
            <w:r w:rsidR="00DB0E82" w:rsidRPr="004447F6">
              <w:rPr>
                <w:rFonts w:cstheme="minorHAnsi"/>
                <w:sz w:val="18"/>
                <w:szCs w:val="18"/>
              </w:rPr>
              <w:instrText>ADDIN CSL_CITATION {"citationItems":[{"id":"ITEM-1","itemData":{"DOI":"10.1097/PCC.0b013e3181cf4652","ISSN":"15297535","abstract":"OBJECTIVE:: To outline a series of cases demonstrating neurologic complications in children with Influenza infection. The ongoing 2009 influenza A (H1N1) presents significant challenges to the field of pediatric critical care and requires increased awareness of new presentations and sequelae of infection. Since World Health Organization declared a H1N1 pandemic, much attention has been focused on its respiratory manifestations of the illness, but limited information regarding neurologic complications has been reported. DESIGN:: Case series. SETTING:: Pediatric intensive care unit of a tertiary care medical facility. PATIENTS:: Four children admitted to the pediatric intensive care unit between March and November 2009 at the Children's Hospital of Pittsburgh with altered mental status and influenza infection. INTERVENTIONS:: None. MEASUREMENTS AND MAIN RESULTS:: The clinical course was extracted by chart review and is summarized. All children demonstrated a coryzal prodrome, fever, and altered level of consciousness at admission, and one child presented with clinical seizures. Diagnostic studies performed to establish a diagnosis are summarized. All children had abnormal electroencephalograms early in their intensive care unit course and 50% had abnormal imaging studies. All children survived but 50% had neurologic deficits at hospital discharge. CONCLUSION:: We conclude that 2009 influenza A (H1N1) can cause significant acute and residual neurologic sequelae. Clinicians should consider Influenza within a comprehensive differential diagnosis in children with unexplained mental status changes during periods of pandemic influenza. © 2010 by the Society of Critical Care Medicine and the World Federation of Pediatric Intensive and Critical Care Societies.","author":[{"dropping-particle":"","family":"Baltagi","given":"Sirine A.","non-dropping-particle":"","parse-names":false,"suffix":""},{"dropping-particle":"","family":"Shoykhet","given":"Michael","non-dropping-particle":"","parse-names":false,"suffix":""},{"dropping-particle":"","family":"Felmet","given":"Kathryn","non-dropping-particle":"","parse-names":false,"suffix":""},{"dropping-particle":"","family":"Kochanek","given":"Patrick M.","non-dropping-particle":"","parse-names":false,"suffix":""},{"dropping-particle":"","family":"Bell","given":"Michael J.","non-dropping-particle":"","parse-names":false,"suffix":""}],"container-title":"Pediatric Critical Care Medicine","id":"ITEM-1","issue":"2","issued":{"date-parts":[["2010"]]},"page":"179-184","title":"Neurological sequelae of 2009 influenza A (H1N1) in children: A case series observed during a pandemic","type":"article-journal","volume":"11"},"uris":["http://www.mendeley.com/documents/?uuid=63f882bc-28a2-43e8-97ad-ff333ddc2139"]}],"mendeley":{"formattedCitation":"(17)","plainTextFormattedCitation":"(17)","previouslyFormattedCitation":"(17)"},"properties":{"noteIndex":0},"schema":"https://github.com/citation-style-language/schema/raw/master/csl-citation.json"}</w:instrText>
            </w:r>
            <w:r w:rsidRPr="004447F6">
              <w:rPr>
                <w:rFonts w:cstheme="minorHAnsi"/>
                <w:sz w:val="18"/>
                <w:szCs w:val="18"/>
              </w:rPr>
              <w:fldChar w:fldCharType="separate"/>
            </w:r>
            <w:r w:rsidR="00632A99" w:rsidRPr="004447F6">
              <w:rPr>
                <w:rFonts w:cstheme="minorHAnsi"/>
                <w:noProof/>
                <w:sz w:val="18"/>
                <w:szCs w:val="18"/>
              </w:rPr>
              <w:t>(17)</w:t>
            </w:r>
            <w:r w:rsidRPr="004447F6">
              <w:rPr>
                <w:rFonts w:cstheme="minorHAnsi"/>
                <w:sz w:val="18"/>
                <w:szCs w:val="18"/>
              </w:rPr>
              <w:fldChar w:fldCharType="end"/>
            </w:r>
            <w:r w:rsidR="00915BA7" w:rsidRPr="004447F6">
              <w:rPr>
                <w:rFonts w:cstheme="minorHAnsi"/>
                <w:sz w:val="18"/>
                <w:szCs w:val="18"/>
              </w:rPr>
              <w:t>.</w:t>
            </w:r>
          </w:p>
        </w:tc>
        <w:tc>
          <w:tcPr>
            <w:tcW w:w="3067" w:type="dxa"/>
          </w:tcPr>
          <w:p w14:paraId="1C153AFE" w14:textId="75A08B1B" w:rsidR="005D35B7" w:rsidRPr="004447F6" w:rsidRDefault="005D35B7" w:rsidP="00D47C7B">
            <w:pPr>
              <w:spacing w:line="276" w:lineRule="auto"/>
              <w:rPr>
                <w:rFonts w:cstheme="minorHAnsi"/>
                <w:sz w:val="18"/>
                <w:szCs w:val="18"/>
              </w:rPr>
            </w:pPr>
            <w:r w:rsidRPr="004447F6">
              <w:rPr>
                <w:rFonts w:cstheme="minorHAnsi"/>
                <w:sz w:val="18"/>
                <w:szCs w:val="18"/>
              </w:rPr>
              <w:t xml:space="preserve">Functional </w:t>
            </w:r>
            <w:r w:rsidR="001A63D1" w:rsidRPr="004447F6">
              <w:rPr>
                <w:rFonts w:cstheme="minorHAnsi"/>
                <w:sz w:val="18"/>
                <w:szCs w:val="18"/>
              </w:rPr>
              <w:t>symptoms have been described</w:t>
            </w:r>
            <w:r w:rsidRPr="004447F6">
              <w:rPr>
                <w:rFonts w:cstheme="minorHAnsi"/>
                <w:sz w:val="18"/>
                <w:szCs w:val="18"/>
              </w:rPr>
              <w:t xml:space="preserve"> following HPV </w:t>
            </w:r>
            <w:r w:rsidR="001A63D1" w:rsidRPr="004447F6">
              <w:rPr>
                <w:rFonts w:cstheme="minorHAnsi"/>
                <w:sz w:val="18"/>
                <w:szCs w:val="18"/>
              </w:rPr>
              <w:fldChar w:fldCharType="begin" w:fldLock="1"/>
            </w:r>
            <w:r w:rsidR="00DB0E82" w:rsidRPr="004447F6">
              <w:rPr>
                <w:rFonts w:cstheme="minorHAnsi"/>
                <w:sz w:val="18"/>
                <w:szCs w:val="18"/>
              </w:rPr>
              <w:instrText>ADDIN CSL_CITATION {"citationItems":[{"id":"ITEM-1","itemData":{"DOI":"10.1016/j.vaccine.2020.08.044","ISSN":"18732518","PMID":"32878709","abstract":"Importance: The absence of a positive diagnosis of psychogenic non-epileptic seizures (PNES) in immunization stress-related response (ISRR) clusters may have not only a direct impact on affected patients’ health but may also reduce compliance to national vaccination programs. It is therefore crucial to develop efficient diagnostic tools and a feasible proposal for proper communication and treatment of ISRR. Purpose: To explore the psychogenic nature of patients’ convulsive seizures in a suspected outbreak of an ISRR cluster following human papillomavirus vaccination in Rio Branco, Brazil. Methods: Twelve patients with convulsive seizures were submitted to prolonged intensive video-electroencephalography monitoring, brain magnetic resonance imaging, cerebrospinal fluid diagnostic testing, laboratory subsidiary examinations, and complete neurological and psychiatric evaluations. Results: Ten patients received the positive diagnosis of PNES, and two patients received the diagnosis of idiopathic generalized epilepsy. No biological association was found between the HPV vaccine and the clinical problems presented by the patients. Conclusions: Prolonged VEEG monitoring can contribute significantly to the positive diagnosis of PNES in ISRR clusters and to avoid hesitancy to vaccinate.","author":[{"dropping-particle":"","family":"Marchetti","given":"Renato Luiz","non-dropping-particle":"","parse-names":false,"suffix":""},{"dropping-particle":"","family":"Gallucci-Neto","given":"Jose","non-dropping-particle":"","parse-names":false,"suffix":""},{"dropping-particle":"","family":"Kurcgant","given":"Daniela","non-dropping-particle":"","parse-names":false,"suffix":""},{"dropping-particle":"","family":"Proença","given":"Inah Carolina Galatro Faria","non-dropping-particle":"","parse-names":false,"suffix":""},{"dropping-particle":"","family":"Valiengo","given":"Leandro da Costa Lane","non-dropping-particle":"","parse-names":false,"suffix":""},{"dropping-particle":"","family":"Fiore","given":"Lia Arno","non-dropping-particle":"","parse-names":false,"suffix":""},{"dropping-particle":"","family":"Pinto","given":"Lécio Figueira","non-dropping-particle":"","parse-names":false,"suffix":""},{"dropping-particle":"","family":"Maranhão","given":"Ana Goretti Kalume","non-dropping-particle":"","parse-names":false,"suffix":""},{"dropping-particle":"","family":"Oliveira","given":"Maria Tereza da Costa","non-dropping-particle":"","parse-names":false,"suffix":""},{"dropping-particle":"","family":"Oliveira","given":"Lucia Helena","non-dropping-particle":"de","parse-names":false,"suffix":""}],"container-title":"Vaccine","id":"ITEM-1","issue":"43","issued":{"date-parts":[["2020"]]},"page":"6714-6720","title":"Immunization stress-related responses presenting as psychogenic non-epileptic seizures following HPV vaccination in Rio Branco, Brazil","type":"article-journal","volume":"38"},"uris":["http://www.mendeley.com/documents/?uuid=9264ec07-dae2-49a7-9756-199079342bbd"]},{"id":"ITEM-2","itemData":{"DOI":"10.1080/21645515.2018.1511667","ISSN":"2164554X","PMID":"30118381","abstract":"We report the case of multiple adverse reactions following HPV vaccination in Colombian adolescents in Carmen de Bolivar. In August 2012, the country introduced a school-based HPV immunization programme which successfully reached over 90% of the target population in the first year. In 2014, between May 29th and June 2nd,15 adolescent girls in one school presented adverse reactions after vaccination and were admitted to the local hospital. Soon, videos of girls fainting, twitching, and arriving unconscious at emergency rooms started to appear in national news media as well as on social media platforms such as YouTube. The viral spread of these videos and disturbing images were followed by the viral spread of symptoms, with over 600 cases reported across Colombia. Thorough epidemiological investigation by Colombian health authorities found no organic association between the teenagers’ symptoms and the HPV vaccine, concluding this was a case of mass psychogenic reaction to vaccination. Scientific evidence did not appease the anxious public whose confidence in HPV immunization dropped dramatically. By 2016, HPV vaccine uptake among eligible girls declined to 14% for the first dose and 5% for the complete course, down from 98% and 88%, respectively, in 2012. We document this case and discuss the role of news and social media, particularly YouTube, as a driver of contagious psychogenic reactions. We also discuss the role of health authorities and government, and the importance of acting rapidly and appropriately to contain the spread of such symptoms and maintain public confidence in vaccines.","author":[{"dropping-particle":"","family":"Simas","given":"Clarissa","non-dropping-particle":"","parse-names":false,"suffix":""},{"dropping-particle":"","family":"Munoz","given":"Nubia","non-dropping-particle":"","parse-names":false,"suffix":""},{"dropping-particle":"","family":"Arregoces","given":"Leonardo","non-dropping-particle":"","parse-names":false,"suffix":""},{"dropping-particle":"","family":"Larson","given":"Heidi J.","non-dropping-particle":"","parse-names":false,"suffix":""}],"container-title":"Human Vaccines and Immunotherapeutics","id":"ITEM-2","issue":"1","issued":{"date-parts":[["2019"]]},"page":"163-166","title":"HPV vaccine confidence and cases of mass psychogenic illness following immunization in Carmen de Bolivar, Colombia","type":"article-journal","volume":"15"},"uris":["http://www.mendeley.com/documents/?uuid=777d1e6b-5142-4481-930d-593440cb33dd"]}],"mendeley":{"formattedCitation":"(23,63)","plainTextFormattedCitation":"(23,63)","previouslyFormattedCitation":"(23,63)"},"properties":{"noteIndex":0},"schema":"https://github.com/citation-style-language/schema/raw/master/csl-citation.json"}</w:instrText>
            </w:r>
            <w:r w:rsidR="001A63D1" w:rsidRPr="004447F6">
              <w:rPr>
                <w:rFonts w:cstheme="minorHAnsi"/>
                <w:sz w:val="18"/>
                <w:szCs w:val="18"/>
              </w:rPr>
              <w:fldChar w:fldCharType="separate"/>
            </w:r>
            <w:r w:rsidR="00632A99" w:rsidRPr="004447F6">
              <w:rPr>
                <w:rFonts w:cstheme="minorHAnsi"/>
                <w:noProof/>
                <w:sz w:val="18"/>
                <w:szCs w:val="18"/>
              </w:rPr>
              <w:t>(23,63)</w:t>
            </w:r>
            <w:r w:rsidR="001A63D1" w:rsidRPr="004447F6">
              <w:rPr>
                <w:rFonts w:cstheme="minorHAnsi"/>
                <w:sz w:val="18"/>
                <w:szCs w:val="18"/>
              </w:rPr>
              <w:fldChar w:fldCharType="end"/>
            </w:r>
            <w:r w:rsidR="001A63D1" w:rsidRPr="004447F6">
              <w:rPr>
                <w:rFonts w:cstheme="minorHAnsi"/>
                <w:sz w:val="18"/>
                <w:szCs w:val="18"/>
              </w:rPr>
              <w:t xml:space="preserve"> as well as </w:t>
            </w:r>
            <w:r w:rsidRPr="004447F6">
              <w:rPr>
                <w:rFonts w:cstheme="minorHAnsi"/>
                <w:sz w:val="18"/>
                <w:szCs w:val="18"/>
              </w:rPr>
              <w:t>the H1N1 vaccination</w:t>
            </w:r>
            <w:r w:rsidR="00915BA7" w:rsidRPr="004447F6">
              <w:rPr>
                <w:rFonts w:cstheme="minorHAnsi"/>
                <w:sz w:val="18"/>
                <w:szCs w:val="18"/>
              </w:rPr>
              <w:t xml:space="preserve"> </w:t>
            </w:r>
            <w:r w:rsidRPr="004447F6">
              <w:rPr>
                <w:rFonts w:cstheme="minorHAnsi"/>
                <w:sz w:val="18"/>
                <w:szCs w:val="18"/>
              </w:rPr>
              <w:fldChar w:fldCharType="begin" w:fldLock="1"/>
            </w:r>
            <w:r w:rsidR="00DB0E82" w:rsidRPr="004447F6">
              <w:rPr>
                <w:rFonts w:cstheme="minorHAnsi"/>
                <w:sz w:val="18"/>
                <w:szCs w:val="18"/>
              </w:rPr>
              <w:instrText>ADDIN CSL_CITATION {"citationItems":[{"id":"ITEM-1","itemData":{"DOI":"10.7774/cevr.2017.6.1.31","ISSN":"2287366X","abstract":"Purpose: Adverse events during mass vaccination campaigns have had a profoundly negative impact on vaccine coverage rates. The objective of the study was to identify the characteristics of reported psychogenic illness cases following mass vaccination that needed further interventions of the national immunization program. Materials and Methods: We collected documents that were submitted to the Korea Centers for Disease Control and Prevention for vaccine injury compensation, and analyzed cases of psychogenic illness following pandemic influenza A (H1N1) vaccination in 2009 which were confirmed by the Korean Advisory Committee on Vaccine Injury Compensation. Results: During the 2009-2010 influenza season, 13 million Koreans were vaccinated against pandemic influenza. Of 28 reported psychogenic illness cases following immunization, 25 were vaccinated through school-located mass immunization. Significant numbers of them were female adolescents (68%) or had underlying vulnerable conditions or emotional life stressors (36%). They required lengthy hospitalization (median, 7 days) and high medical costs (median, US $1,582 per case). Conclusion: Health authorities and organizers of future mass vaccinations should be well aware of the possible occurrence of psychogenic illness, acknowledge their detailed characteristics, and take its economic burden into account to mitigate the risk of transmission of infectious diseases efficiently.","author":[{"dropping-particle":"","family":"Yang","given":"Tae Un","non-dropping-particle":"","parse-names":false,"suffix":""},{"dropping-particle":"","family":"Kim","given":"Hee Jung","non-dropping-particle":"","parse-names":false,"suffix":""},{"dropping-particle":"","family":"Lee","given":"Yeon Kyeong","non-dropping-particle":"","parse-names":false,"suffix":""},{"dropping-particle":"","family":"Park","given":"Young Joon","non-dropping-particle":"","parse-names":false,"suffix":""}],"container-title":"Clinical and Experimental Vaccine Research","id":"ITEM-1","issue":"1","issued":{"date-parts":[["2017"]]},"page":"31-37","title":"Psychogenic illness following vaccination: Exploratory study of mass vaccination against pandemic influenza A (H1N1) in 2009 in South Korea","type":"article-journal","volume":"6"},"uris":["http://www.mendeley.com/documents/?uuid=c7c05c60-7453-4e0f-a251-3f7a84f99b5b"]},{"id":"ITEM-2","itemData":{"DOI":"10.1176/jnp.23.3.jnpe37","ISSN":"15457222","author":[{"dropping-particle":"","family":"Lin","given":"Chien Yu","non-dropping-particle":"","parse-names":false,"suffix":""},{"dropping-particle":"","family":"Peng","given":"Chun Chih","non-dropping-particle":"","parse-names":false,"suffix":""},{"dropping-particle":"","family":"Liu","given":"Hui Ching","non-dropping-particle":"","parse-names":false,"suffix":""},{"dropping-particle":"","family":"Chiu","given":"Nan Chang","non-dropping-particle":"","parse-names":false,"suffix":""}],"container-title":"Journal of Neuropsychiatry and Clinical Neurosciences","id":"ITEM-2","issue":"3","issued":{"date-parts":[["2011"]]},"title":"Psychogenic movement disorder after H1N1 influenza vaccination","type":"article-journal","volume":"23"},"uris":["http://www.mendeley.com/documents/?uuid=e7e4ef74-46b1-42b0-a2cb-835187afb019"]}],"mendeley":{"formattedCitation":"(24,25)","plainTextFormattedCitation":"(24,25)","previouslyFormattedCitation":"(24,25)"},"properties":{"noteIndex":0},"schema":"https://github.com/citation-style-language/schema/raw/master/csl-citation.json"}</w:instrText>
            </w:r>
            <w:r w:rsidRPr="004447F6">
              <w:rPr>
                <w:rFonts w:cstheme="minorHAnsi"/>
                <w:sz w:val="18"/>
                <w:szCs w:val="18"/>
              </w:rPr>
              <w:fldChar w:fldCharType="separate"/>
            </w:r>
            <w:r w:rsidR="00632A99" w:rsidRPr="004447F6">
              <w:rPr>
                <w:rFonts w:cstheme="minorHAnsi"/>
                <w:noProof/>
                <w:sz w:val="18"/>
                <w:szCs w:val="18"/>
              </w:rPr>
              <w:t>(24,25)</w:t>
            </w:r>
            <w:r w:rsidRPr="004447F6">
              <w:rPr>
                <w:rFonts w:cstheme="minorHAnsi"/>
                <w:sz w:val="18"/>
                <w:szCs w:val="18"/>
              </w:rPr>
              <w:fldChar w:fldCharType="end"/>
            </w:r>
            <w:r w:rsidR="001A63D1" w:rsidRPr="004447F6">
              <w:rPr>
                <w:rFonts w:cstheme="minorHAnsi"/>
                <w:sz w:val="18"/>
                <w:szCs w:val="18"/>
              </w:rPr>
              <w:t xml:space="preserve"> campaigns.</w:t>
            </w:r>
          </w:p>
        </w:tc>
      </w:tr>
    </w:tbl>
    <w:p w14:paraId="753E7DF4" w14:textId="3C104E50" w:rsidR="00DF283B" w:rsidRPr="004447F6" w:rsidRDefault="00DF283B" w:rsidP="00B34C98">
      <w:pPr>
        <w:spacing w:line="360" w:lineRule="auto"/>
        <w:jc w:val="both"/>
        <w:rPr>
          <w:rFonts w:cstheme="minorHAnsi"/>
        </w:rPr>
      </w:pPr>
    </w:p>
    <w:p w14:paraId="03BBF55E" w14:textId="4277DEEB" w:rsidR="00DF283B" w:rsidRPr="004447F6" w:rsidRDefault="00DF283B" w:rsidP="00DF283B">
      <w:pPr>
        <w:jc w:val="both"/>
        <w:rPr>
          <w:i/>
          <w:iCs/>
          <w:sz w:val="18"/>
          <w:szCs w:val="18"/>
        </w:rPr>
      </w:pPr>
      <w:r w:rsidRPr="004447F6">
        <w:rPr>
          <w:b/>
          <w:bCs/>
          <w:i/>
          <w:iCs/>
          <w:sz w:val="18"/>
          <w:szCs w:val="18"/>
        </w:rPr>
        <w:t xml:space="preserve">Table </w:t>
      </w:r>
      <w:r w:rsidR="00BB660A" w:rsidRPr="004447F6">
        <w:rPr>
          <w:b/>
          <w:bCs/>
          <w:i/>
          <w:iCs/>
          <w:sz w:val="18"/>
          <w:szCs w:val="18"/>
        </w:rPr>
        <w:t>2</w:t>
      </w:r>
      <w:r w:rsidRPr="004447F6">
        <w:rPr>
          <w:i/>
          <w:iCs/>
          <w:sz w:val="18"/>
          <w:szCs w:val="18"/>
        </w:rPr>
        <w:t>: Criteria for defining causality in vaccine related adverse events adapted from WHO criteria</w:t>
      </w:r>
      <w:r w:rsidR="00915BA7" w:rsidRPr="004447F6">
        <w:rPr>
          <w:i/>
          <w:iCs/>
          <w:sz w:val="18"/>
          <w:szCs w:val="18"/>
        </w:rPr>
        <w:t xml:space="preserve"> </w:t>
      </w:r>
      <w:r w:rsidRPr="004447F6">
        <w:rPr>
          <w:i/>
          <w:iCs/>
          <w:sz w:val="18"/>
          <w:szCs w:val="18"/>
        </w:rPr>
        <w:fldChar w:fldCharType="begin" w:fldLock="1"/>
      </w:r>
      <w:r w:rsidR="001A63D1" w:rsidRPr="004447F6">
        <w:rPr>
          <w:i/>
          <w:iCs/>
          <w:sz w:val="18"/>
          <w:szCs w:val="18"/>
        </w:rPr>
        <w:instrText>ADDIN CSL_CITATION {"citationItems":[{"id":"ITEM-1","itemData":{"ISSN":"9241513659","author":[{"dropping-particle":"","family":"World Health Organization","given":"","non-dropping-particle":"","parse-names":false,"suffix":""}],"id":"ITEM-1","issued":{"date-parts":[["2019"]]},"publisher":"World Health Organization","title":"Causality assessment of an adverse event following immunization (AEFI): updated user manual for the revised WHO classification","type":"report"},"uris":["http://www.mendeley.com/documents/?uuid=2bd03602-2b0c-4670-8a3c-bd2ac11638f9"]}],"mendeley":{"formattedCitation":"(56)","plainTextFormattedCitation":"(56)","previouslyFormattedCitation":"(56)"},"properties":{"noteIndex":0},"schema":"https://github.com/citation-style-language/schema/raw/master/csl-citation.json"}</w:instrText>
      </w:r>
      <w:r w:rsidRPr="004447F6">
        <w:rPr>
          <w:i/>
          <w:iCs/>
          <w:sz w:val="18"/>
          <w:szCs w:val="18"/>
        </w:rPr>
        <w:fldChar w:fldCharType="separate"/>
      </w:r>
      <w:r w:rsidR="00CB023D" w:rsidRPr="004447F6">
        <w:rPr>
          <w:iCs/>
          <w:noProof/>
          <w:sz w:val="18"/>
          <w:szCs w:val="18"/>
        </w:rPr>
        <w:t>(56)</w:t>
      </w:r>
      <w:r w:rsidRPr="004447F6">
        <w:rPr>
          <w:i/>
          <w:iCs/>
          <w:sz w:val="18"/>
          <w:szCs w:val="18"/>
        </w:rPr>
        <w:fldChar w:fldCharType="end"/>
      </w:r>
      <w:r w:rsidR="00670967" w:rsidRPr="004447F6">
        <w:rPr>
          <w:i/>
          <w:iCs/>
          <w:sz w:val="18"/>
          <w:szCs w:val="18"/>
        </w:rPr>
        <w:t xml:space="preserve"> and</w:t>
      </w:r>
      <w:r w:rsidRPr="004447F6">
        <w:rPr>
          <w:i/>
          <w:iCs/>
          <w:sz w:val="18"/>
          <w:szCs w:val="18"/>
        </w:rPr>
        <w:t xml:space="preserve"> from </w:t>
      </w:r>
      <w:r w:rsidR="001F269E" w:rsidRPr="004447F6">
        <w:rPr>
          <w:i/>
          <w:iCs/>
          <w:sz w:val="18"/>
          <w:szCs w:val="18"/>
        </w:rPr>
        <w:t>Bradford</w:t>
      </w:r>
      <w:r w:rsidR="00DB0E82" w:rsidRPr="004447F6">
        <w:rPr>
          <w:i/>
          <w:iCs/>
          <w:sz w:val="18"/>
          <w:szCs w:val="18"/>
        </w:rPr>
        <w:t xml:space="preserve"> </w:t>
      </w:r>
      <w:r w:rsidRPr="004447F6">
        <w:rPr>
          <w:i/>
          <w:iCs/>
          <w:sz w:val="18"/>
          <w:szCs w:val="18"/>
        </w:rPr>
        <w:t xml:space="preserve">Hill criteria </w:t>
      </w:r>
      <w:r w:rsidRPr="004447F6">
        <w:rPr>
          <w:i/>
          <w:iCs/>
          <w:sz w:val="18"/>
          <w:szCs w:val="18"/>
        </w:rPr>
        <w:fldChar w:fldCharType="begin" w:fldLock="1"/>
      </w:r>
      <w:r w:rsidR="005D61C9" w:rsidRPr="004447F6">
        <w:rPr>
          <w:i/>
          <w:iCs/>
          <w:sz w:val="18"/>
          <w:szCs w:val="18"/>
        </w:rPr>
        <w:instrText>ADDIN CSL_CITATION {"citationItems":[{"id":"ITEM-1","itemData":{"DOI":"10.1177/003591576505800503","ISSN":"01410768","PMID":"14283879","author":[{"dropping-particle":"","family":"Hill","given":"Austin Bradford","non-dropping-particle":"","parse-names":false,"suffix":""}],"container-title":"Journal of the Royal Society of Medicine","id":"ITEM-1","issue":"5","issued":{"date-parts":[["1965"]]},"page":"295-300","title":"The Environment and Disease: Association or Causation?","type":"article-journal","volume":"58"},"uris":["http://www.mendeley.com/documents/?uuid=05d8d8e8-c96b-4b69-a798-7fb163eb9ac6"]}],"mendeley":{"formattedCitation":"(64)","plainTextFormattedCitation":"(64)","previouslyFormattedCitation":"(64)"},"properties":{"noteIndex":0},"schema":"https://github.com/citation-style-language/schema/raw/master/csl-citation.json"}</w:instrText>
      </w:r>
      <w:r w:rsidRPr="004447F6">
        <w:rPr>
          <w:i/>
          <w:iCs/>
          <w:sz w:val="18"/>
          <w:szCs w:val="18"/>
        </w:rPr>
        <w:fldChar w:fldCharType="separate"/>
      </w:r>
      <w:r w:rsidR="001A63D1" w:rsidRPr="004447F6">
        <w:rPr>
          <w:iCs/>
          <w:noProof/>
          <w:sz w:val="18"/>
          <w:szCs w:val="18"/>
        </w:rPr>
        <w:t>(64)</w:t>
      </w:r>
      <w:r w:rsidRPr="004447F6">
        <w:rPr>
          <w:i/>
          <w:iCs/>
          <w:sz w:val="18"/>
          <w:szCs w:val="18"/>
        </w:rPr>
        <w:fldChar w:fldCharType="end"/>
      </w:r>
      <w:r w:rsidR="00915BA7" w:rsidRPr="004447F6">
        <w:rPr>
          <w:i/>
          <w:iCs/>
          <w:sz w:val="18"/>
          <w:szCs w:val="18"/>
        </w:rPr>
        <w:t>.</w:t>
      </w:r>
      <w:r w:rsidRPr="004447F6">
        <w:rPr>
          <w:i/>
          <w:iCs/>
          <w:sz w:val="18"/>
          <w:szCs w:val="18"/>
        </w:rPr>
        <w:t xml:space="preserve"> </w:t>
      </w:r>
    </w:p>
    <w:p w14:paraId="056E49FC" w14:textId="0D84209B" w:rsidR="00115D45" w:rsidRPr="004447F6" w:rsidRDefault="00115D45" w:rsidP="07BB3B13">
      <w:pPr>
        <w:spacing w:line="360" w:lineRule="auto"/>
        <w:jc w:val="both"/>
        <w:rPr>
          <w:rFonts w:cstheme="minorHAnsi"/>
        </w:rPr>
      </w:pPr>
    </w:p>
    <w:tbl>
      <w:tblPr>
        <w:tblStyle w:val="TableGrid"/>
        <w:tblW w:w="0" w:type="auto"/>
        <w:tblLook w:val="04A0" w:firstRow="1" w:lastRow="0" w:firstColumn="1" w:lastColumn="0" w:noHBand="0" w:noVBand="1"/>
      </w:tblPr>
      <w:tblGrid>
        <w:gridCol w:w="1783"/>
        <w:gridCol w:w="3654"/>
        <w:gridCol w:w="3579"/>
      </w:tblGrid>
      <w:tr w:rsidR="006A5E49" w:rsidRPr="004447F6" w14:paraId="7863F953" w14:textId="6D1075A7" w:rsidTr="00310CE5">
        <w:tc>
          <w:tcPr>
            <w:tcW w:w="1783" w:type="dxa"/>
            <w:shd w:val="clear" w:color="auto" w:fill="auto"/>
          </w:tcPr>
          <w:p w14:paraId="514076D4" w14:textId="77777777" w:rsidR="006A5E49" w:rsidRPr="004447F6" w:rsidRDefault="006A5E49" w:rsidP="000E1E4C">
            <w:pPr>
              <w:rPr>
                <w:rFonts w:cstheme="minorHAnsi"/>
                <w:b/>
                <w:bCs/>
                <w:sz w:val="18"/>
                <w:szCs w:val="18"/>
              </w:rPr>
            </w:pPr>
            <w:r w:rsidRPr="004447F6">
              <w:rPr>
                <w:rFonts w:cstheme="minorHAnsi"/>
                <w:b/>
                <w:bCs/>
                <w:sz w:val="18"/>
                <w:szCs w:val="18"/>
              </w:rPr>
              <w:t>Causality Label</w:t>
            </w:r>
          </w:p>
        </w:tc>
        <w:tc>
          <w:tcPr>
            <w:tcW w:w="3654" w:type="dxa"/>
            <w:shd w:val="clear" w:color="auto" w:fill="auto"/>
          </w:tcPr>
          <w:p w14:paraId="311B840D" w14:textId="481EA5BF" w:rsidR="006A5E49" w:rsidRPr="004447F6" w:rsidRDefault="006A5E49" w:rsidP="000E1E4C">
            <w:pPr>
              <w:rPr>
                <w:rFonts w:cstheme="minorHAnsi"/>
                <w:b/>
                <w:bCs/>
                <w:sz w:val="18"/>
                <w:szCs w:val="18"/>
              </w:rPr>
            </w:pPr>
            <w:r w:rsidRPr="004447F6">
              <w:rPr>
                <w:rFonts w:cstheme="minorHAnsi"/>
                <w:b/>
                <w:bCs/>
                <w:sz w:val="18"/>
                <w:szCs w:val="18"/>
              </w:rPr>
              <w:t>Assessment Criteria</w:t>
            </w:r>
          </w:p>
        </w:tc>
        <w:tc>
          <w:tcPr>
            <w:tcW w:w="3579" w:type="dxa"/>
            <w:shd w:val="clear" w:color="auto" w:fill="auto"/>
          </w:tcPr>
          <w:p w14:paraId="2B7E7BCF" w14:textId="013EBCAE" w:rsidR="006A5E49" w:rsidRPr="004447F6" w:rsidRDefault="005A6810" w:rsidP="000E1E4C">
            <w:pPr>
              <w:rPr>
                <w:rFonts w:cstheme="minorHAnsi"/>
                <w:b/>
                <w:bCs/>
                <w:sz w:val="18"/>
                <w:szCs w:val="18"/>
              </w:rPr>
            </w:pPr>
            <w:r w:rsidRPr="004447F6">
              <w:rPr>
                <w:rFonts w:cstheme="minorHAnsi"/>
                <w:b/>
                <w:bCs/>
                <w:sz w:val="18"/>
                <w:szCs w:val="18"/>
              </w:rPr>
              <w:t>Considerations for Neurological AEFI</w:t>
            </w:r>
          </w:p>
        </w:tc>
      </w:tr>
      <w:tr w:rsidR="006A5E49" w:rsidRPr="004447F6" w14:paraId="0AA7F9B8" w14:textId="2E607CA8" w:rsidTr="00310CE5">
        <w:tc>
          <w:tcPr>
            <w:tcW w:w="1783" w:type="dxa"/>
          </w:tcPr>
          <w:p w14:paraId="2E60D758" w14:textId="77777777" w:rsidR="006A5E49" w:rsidRPr="004447F6" w:rsidRDefault="006A5E49" w:rsidP="000E1E4C">
            <w:pPr>
              <w:rPr>
                <w:rFonts w:cstheme="minorHAnsi"/>
                <w:sz w:val="18"/>
                <w:szCs w:val="18"/>
              </w:rPr>
            </w:pPr>
            <w:r w:rsidRPr="004447F6">
              <w:rPr>
                <w:rFonts w:cstheme="minorHAnsi"/>
                <w:sz w:val="18"/>
                <w:szCs w:val="18"/>
              </w:rPr>
              <w:t>Probable</w:t>
            </w:r>
          </w:p>
        </w:tc>
        <w:tc>
          <w:tcPr>
            <w:tcW w:w="3654" w:type="dxa"/>
          </w:tcPr>
          <w:p w14:paraId="54321DEA" w14:textId="77777777" w:rsidR="006A5E49" w:rsidRPr="004447F6" w:rsidRDefault="006A5E49" w:rsidP="000E1E4C">
            <w:pPr>
              <w:rPr>
                <w:rFonts w:cstheme="minorHAnsi"/>
                <w:sz w:val="18"/>
                <w:szCs w:val="18"/>
              </w:rPr>
            </w:pPr>
            <w:r w:rsidRPr="004447F6">
              <w:rPr>
                <w:rFonts w:cstheme="minorHAnsi"/>
                <w:sz w:val="18"/>
                <w:szCs w:val="18"/>
              </w:rPr>
              <w:t>Typical time frame.</w:t>
            </w:r>
          </w:p>
          <w:p w14:paraId="21B276C5" w14:textId="77777777" w:rsidR="006A5E49" w:rsidRPr="004447F6" w:rsidRDefault="006A5E49" w:rsidP="000E1E4C">
            <w:pPr>
              <w:rPr>
                <w:rFonts w:cstheme="minorHAnsi"/>
                <w:sz w:val="18"/>
                <w:szCs w:val="18"/>
              </w:rPr>
            </w:pPr>
            <w:r w:rsidRPr="004447F6">
              <w:rPr>
                <w:rFonts w:cstheme="minorHAnsi"/>
                <w:sz w:val="18"/>
                <w:szCs w:val="18"/>
              </w:rPr>
              <w:t>AND</w:t>
            </w:r>
          </w:p>
          <w:p w14:paraId="56833876" w14:textId="77777777" w:rsidR="006A5E49" w:rsidRPr="004447F6" w:rsidRDefault="006A5E49" w:rsidP="000E1E4C">
            <w:pPr>
              <w:rPr>
                <w:rFonts w:cstheme="minorHAnsi"/>
                <w:sz w:val="18"/>
                <w:szCs w:val="18"/>
              </w:rPr>
            </w:pPr>
            <w:r w:rsidRPr="004447F6">
              <w:rPr>
                <w:rFonts w:cstheme="minorHAnsi"/>
                <w:sz w:val="18"/>
                <w:szCs w:val="18"/>
              </w:rPr>
              <w:t>No indication of an alternative aetiology.</w:t>
            </w:r>
          </w:p>
          <w:p w14:paraId="0319D8FE" w14:textId="77777777" w:rsidR="006A5E49" w:rsidRPr="004447F6" w:rsidRDefault="006A5E49" w:rsidP="000E1E4C">
            <w:pPr>
              <w:rPr>
                <w:rFonts w:cstheme="minorHAnsi"/>
                <w:sz w:val="18"/>
                <w:szCs w:val="18"/>
              </w:rPr>
            </w:pPr>
            <w:r w:rsidRPr="004447F6">
              <w:rPr>
                <w:rFonts w:cstheme="minorHAnsi"/>
                <w:sz w:val="18"/>
                <w:szCs w:val="18"/>
              </w:rPr>
              <w:t>AND</w:t>
            </w:r>
          </w:p>
          <w:p w14:paraId="11A63EC0" w14:textId="77777777" w:rsidR="006A5E49" w:rsidRPr="004447F6" w:rsidRDefault="006A5E49" w:rsidP="000E1E4C">
            <w:pPr>
              <w:rPr>
                <w:rFonts w:cstheme="minorHAnsi"/>
                <w:sz w:val="18"/>
                <w:szCs w:val="18"/>
              </w:rPr>
            </w:pPr>
            <w:r w:rsidRPr="004447F6">
              <w:rPr>
                <w:rFonts w:cstheme="minorHAnsi"/>
                <w:sz w:val="18"/>
                <w:szCs w:val="18"/>
              </w:rPr>
              <w:t>No risk factors.</w:t>
            </w:r>
          </w:p>
        </w:tc>
        <w:tc>
          <w:tcPr>
            <w:tcW w:w="3579" w:type="dxa"/>
          </w:tcPr>
          <w:p w14:paraId="6CD9C518" w14:textId="7A2D9893" w:rsidR="005A6810" w:rsidRPr="004447F6" w:rsidRDefault="005A6810" w:rsidP="000E1E4C">
            <w:pPr>
              <w:rPr>
                <w:rFonts w:cstheme="minorHAnsi"/>
                <w:sz w:val="18"/>
                <w:szCs w:val="18"/>
              </w:rPr>
            </w:pPr>
            <w:r w:rsidRPr="004447F6">
              <w:rPr>
                <w:rFonts w:cstheme="minorHAnsi"/>
                <w:sz w:val="18"/>
                <w:szCs w:val="18"/>
              </w:rPr>
              <w:t>For immune-associated AEFI, &lt;6 weeks from vaccination.</w:t>
            </w:r>
          </w:p>
          <w:p w14:paraId="469B054F" w14:textId="5A0F44D8" w:rsidR="006A5E49" w:rsidRPr="004447F6" w:rsidRDefault="005A6810" w:rsidP="000E1E4C">
            <w:pPr>
              <w:rPr>
                <w:rFonts w:cstheme="minorHAnsi"/>
                <w:sz w:val="18"/>
                <w:szCs w:val="18"/>
              </w:rPr>
            </w:pPr>
            <w:r w:rsidRPr="004447F6">
              <w:rPr>
                <w:rFonts w:cstheme="minorHAnsi"/>
                <w:sz w:val="18"/>
                <w:szCs w:val="18"/>
              </w:rPr>
              <w:t>No risk factors or alternative aetiology identified by the means of clinical, laboratory, radiological and electrophysiological assessment, as indicated.</w:t>
            </w:r>
          </w:p>
        </w:tc>
      </w:tr>
      <w:tr w:rsidR="006A5E49" w:rsidRPr="004447F6" w14:paraId="7BA11128" w14:textId="44277E17" w:rsidTr="00310CE5">
        <w:trPr>
          <w:trHeight w:val="1260"/>
        </w:trPr>
        <w:tc>
          <w:tcPr>
            <w:tcW w:w="1783" w:type="dxa"/>
          </w:tcPr>
          <w:p w14:paraId="6923C821" w14:textId="77777777" w:rsidR="006A5E49" w:rsidRPr="004447F6" w:rsidRDefault="006A5E49" w:rsidP="000E1E4C">
            <w:pPr>
              <w:rPr>
                <w:rFonts w:cstheme="minorHAnsi"/>
                <w:sz w:val="18"/>
                <w:szCs w:val="18"/>
              </w:rPr>
            </w:pPr>
            <w:r w:rsidRPr="004447F6">
              <w:rPr>
                <w:rFonts w:cstheme="minorHAnsi"/>
                <w:sz w:val="18"/>
                <w:szCs w:val="18"/>
              </w:rPr>
              <w:t>Possible</w:t>
            </w:r>
          </w:p>
        </w:tc>
        <w:tc>
          <w:tcPr>
            <w:tcW w:w="3654" w:type="dxa"/>
          </w:tcPr>
          <w:p w14:paraId="1CC19459" w14:textId="77777777" w:rsidR="006A5E49" w:rsidRPr="004447F6" w:rsidRDefault="006A5E49" w:rsidP="000E1E4C">
            <w:pPr>
              <w:rPr>
                <w:rFonts w:cstheme="minorHAnsi"/>
                <w:sz w:val="18"/>
                <w:szCs w:val="18"/>
              </w:rPr>
            </w:pPr>
            <w:r w:rsidRPr="004447F6">
              <w:rPr>
                <w:rFonts w:cstheme="minorHAnsi"/>
                <w:sz w:val="18"/>
                <w:szCs w:val="18"/>
              </w:rPr>
              <w:t>Plausible time frame, but outside of typical.</w:t>
            </w:r>
          </w:p>
          <w:p w14:paraId="4964E58F" w14:textId="77777777" w:rsidR="006A5E49" w:rsidRPr="004447F6" w:rsidRDefault="006A5E49" w:rsidP="000E1E4C">
            <w:pPr>
              <w:rPr>
                <w:rFonts w:cstheme="minorHAnsi"/>
                <w:sz w:val="18"/>
                <w:szCs w:val="18"/>
              </w:rPr>
            </w:pPr>
            <w:r w:rsidRPr="004447F6">
              <w:rPr>
                <w:rFonts w:cstheme="minorHAnsi"/>
                <w:sz w:val="18"/>
                <w:szCs w:val="18"/>
              </w:rPr>
              <w:t>AND/OR</w:t>
            </w:r>
          </w:p>
          <w:p w14:paraId="078E16BF" w14:textId="20E389E4" w:rsidR="006A5E49" w:rsidRPr="004447F6" w:rsidRDefault="006A5E49" w:rsidP="000E1E4C">
            <w:pPr>
              <w:rPr>
                <w:rFonts w:cstheme="minorHAnsi"/>
                <w:sz w:val="18"/>
                <w:szCs w:val="18"/>
              </w:rPr>
            </w:pPr>
            <w:r w:rsidRPr="004447F6">
              <w:rPr>
                <w:rFonts w:cstheme="minorHAnsi"/>
                <w:sz w:val="18"/>
                <w:szCs w:val="18"/>
              </w:rPr>
              <w:t>There may be an indication of an alternative aetiology and/or risk factors, but these are unlikely to explain the event.</w:t>
            </w:r>
          </w:p>
        </w:tc>
        <w:tc>
          <w:tcPr>
            <w:tcW w:w="3579" w:type="dxa"/>
          </w:tcPr>
          <w:p w14:paraId="66A5F78A" w14:textId="46B85433" w:rsidR="006A5E49" w:rsidRPr="004447F6" w:rsidRDefault="00BE7B11" w:rsidP="000E1E4C">
            <w:pPr>
              <w:rPr>
                <w:rFonts w:cstheme="minorHAnsi"/>
                <w:sz w:val="18"/>
                <w:szCs w:val="18"/>
              </w:rPr>
            </w:pPr>
            <w:r w:rsidRPr="004447F6">
              <w:rPr>
                <w:rFonts w:cstheme="minorHAnsi"/>
                <w:sz w:val="18"/>
                <w:szCs w:val="18"/>
              </w:rPr>
              <w:t xml:space="preserve">For </w:t>
            </w:r>
            <w:r w:rsidR="005A6810" w:rsidRPr="004447F6">
              <w:rPr>
                <w:rFonts w:cstheme="minorHAnsi"/>
                <w:sz w:val="18"/>
                <w:szCs w:val="18"/>
              </w:rPr>
              <w:t>immune- associated AEFI</w:t>
            </w:r>
            <w:r w:rsidRPr="004447F6">
              <w:rPr>
                <w:rFonts w:cstheme="minorHAnsi"/>
                <w:sz w:val="18"/>
                <w:szCs w:val="18"/>
              </w:rPr>
              <w:t>,</w:t>
            </w:r>
            <w:r w:rsidR="005A6810" w:rsidRPr="004447F6">
              <w:rPr>
                <w:rFonts w:cstheme="minorHAnsi"/>
                <w:sz w:val="18"/>
                <w:szCs w:val="18"/>
              </w:rPr>
              <w:t xml:space="preserve"> 6-12 weeks from vaccination. </w:t>
            </w:r>
          </w:p>
          <w:p w14:paraId="3A1D22C1" w14:textId="376ECD1A" w:rsidR="005A6810" w:rsidRPr="004447F6" w:rsidRDefault="005A6810" w:rsidP="000E1E4C">
            <w:pPr>
              <w:rPr>
                <w:rFonts w:cstheme="minorHAnsi"/>
                <w:sz w:val="18"/>
                <w:szCs w:val="18"/>
              </w:rPr>
            </w:pPr>
            <w:r w:rsidRPr="004447F6">
              <w:rPr>
                <w:rFonts w:cstheme="minorHAnsi"/>
                <w:sz w:val="18"/>
                <w:szCs w:val="18"/>
              </w:rPr>
              <w:t>Presence of risk factors, such as a previous episode of Bell’s palsy in a patient with post</w:t>
            </w:r>
            <w:r w:rsidR="00B84131" w:rsidRPr="004447F6">
              <w:rPr>
                <w:rFonts w:cstheme="minorHAnsi"/>
                <w:sz w:val="18"/>
                <w:szCs w:val="18"/>
              </w:rPr>
              <w:t>-</w:t>
            </w:r>
            <w:r w:rsidRPr="004447F6">
              <w:rPr>
                <w:rFonts w:cstheme="minorHAnsi"/>
                <w:sz w:val="18"/>
                <w:szCs w:val="18"/>
              </w:rPr>
              <w:t>vaccin</w:t>
            </w:r>
            <w:r w:rsidR="00B84131" w:rsidRPr="004447F6">
              <w:rPr>
                <w:rFonts w:cstheme="minorHAnsi"/>
                <w:sz w:val="18"/>
                <w:szCs w:val="18"/>
              </w:rPr>
              <w:t>ation Bell’s palsy</w:t>
            </w:r>
            <w:r w:rsidRPr="004447F6">
              <w:rPr>
                <w:rFonts w:cstheme="minorHAnsi"/>
                <w:sz w:val="18"/>
                <w:szCs w:val="18"/>
              </w:rPr>
              <w:t>.</w:t>
            </w:r>
          </w:p>
        </w:tc>
      </w:tr>
      <w:tr w:rsidR="006A5E49" w:rsidRPr="004447F6" w14:paraId="7FA5A34F" w14:textId="0ACB1D42" w:rsidTr="00310CE5">
        <w:trPr>
          <w:trHeight w:val="994"/>
        </w:trPr>
        <w:tc>
          <w:tcPr>
            <w:tcW w:w="1783" w:type="dxa"/>
          </w:tcPr>
          <w:p w14:paraId="6D1C2942" w14:textId="77777777" w:rsidR="006A5E49" w:rsidRPr="004447F6" w:rsidRDefault="006A5E49" w:rsidP="000E1E4C">
            <w:pPr>
              <w:rPr>
                <w:rFonts w:cstheme="minorHAnsi"/>
                <w:sz w:val="18"/>
                <w:szCs w:val="18"/>
              </w:rPr>
            </w:pPr>
            <w:r w:rsidRPr="004447F6">
              <w:rPr>
                <w:rFonts w:cstheme="minorHAnsi"/>
                <w:sz w:val="18"/>
                <w:szCs w:val="18"/>
              </w:rPr>
              <w:lastRenderedPageBreak/>
              <w:t xml:space="preserve">Unlikely </w:t>
            </w:r>
          </w:p>
        </w:tc>
        <w:tc>
          <w:tcPr>
            <w:tcW w:w="3654" w:type="dxa"/>
          </w:tcPr>
          <w:p w14:paraId="6C67C162" w14:textId="6FFD39D0" w:rsidR="006A5E49" w:rsidRPr="004447F6" w:rsidRDefault="006A5E49" w:rsidP="000E1E4C">
            <w:pPr>
              <w:rPr>
                <w:rFonts w:cstheme="minorHAnsi"/>
                <w:sz w:val="18"/>
                <w:szCs w:val="18"/>
              </w:rPr>
            </w:pPr>
            <w:r w:rsidRPr="004447F6">
              <w:rPr>
                <w:rFonts w:cstheme="minorHAnsi"/>
                <w:sz w:val="18"/>
                <w:szCs w:val="18"/>
              </w:rPr>
              <w:t xml:space="preserve">Timeline not </w:t>
            </w:r>
            <w:r w:rsidR="00B47D2D" w:rsidRPr="004447F6">
              <w:rPr>
                <w:rFonts w:cstheme="minorHAnsi"/>
                <w:sz w:val="18"/>
                <w:szCs w:val="18"/>
              </w:rPr>
              <w:t xml:space="preserve">in keeping </w:t>
            </w:r>
            <w:r w:rsidRPr="004447F6">
              <w:rPr>
                <w:rFonts w:cstheme="minorHAnsi"/>
                <w:sz w:val="18"/>
                <w:szCs w:val="18"/>
              </w:rPr>
              <w:t>with</w:t>
            </w:r>
            <w:r w:rsidR="00B47D2D" w:rsidRPr="004447F6">
              <w:rPr>
                <w:rFonts w:cstheme="minorHAnsi"/>
                <w:sz w:val="18"/>
                <w:szCs w:val="18"/>
              </w:rPr>
              <w:t xml:space="preserve"> prior established temporal associations</w:t>
            </w:r>
          </w:p>
          <w:p w14:paraId="6372C8E8" w14:textId="27DD93B7" w:rsidR="006A5E49" w:rsidRPr="004447F6" w:rsidRDefault="005A6810" w:rsidP="000E1E4C">
            <w:pPr>
              <w:rPr>
                <w:rFonts w:cstheme="minorHAnsi"/>
                <w:sz w:val="18"/>
                <w:szCs w:val="18"/>
              </w:rPr>
            </w:pPr>
            <w:r w:rsidRPr="004447F6">
              <w:rPr>
                <w:rFonts w:cstheme="minorHAnsi"/>
                <w:sz w:val="18"/>
                <w:szCs w:val="18"/>
              </w:rPr>
              <w:t>AND/</w:t>
            </w:r>
            <w:r w:rsidR="006A5E49" w:rsidRPr="004447F6">
              <w:rPr>
                <w:rFonts w:cstheme="minorHAnsi"/>
                <w:sz w:val="18"/>
                <w:szCs w:val="18"/>
              </w:rPr>
              <w:t>OR</w:t>
            </w:r>
          </w:p>
          <w:p w14:paraId="1992CE2D" w14:textId="2D2C89D5" w:rsidR="006A5E49" w:rsidRPr="004447F6" w:rsidRDefault="006A5E49" w:rsidP="000E1E4C">
            <w:pPr>
              <w:rPr>
                <w:rFonts w:cstheme="minorHAnsi"/>
                <w:sz w:val="18"/>
                <w:szCs w:val="18"/>
              </w:rPr>
            </w:pPr>
            <w:r w:rsidRPr="004447F6">
              <w:rPr>
                <w:rFonts w:cstheme="minorHAnsi"/>
                <w:sz w:val="18"/>
                <w:szCs w:val="18"/>
              </w:rPr>
              <w:t>Alternative aetiology and/or risk factors fully explain the event.</w:t>
            </w:r>
          </w:p>
        </w:tc>
        <w:tc>
          <w:tcPr>
            <w:tcW w:w="3579" w:type="dxa"/>
          </w:tcPr>
          <w:p w14:paraId="372EE9C8" w14:textId="609FC56A" w:rsidR="005A6810" w:rsidRPr="004447F6" w:rsidRDefault="00BE7B11" w:rsidP="005A6810">
            <w:pPr>
              <w:rPr>
                <w:rFonts w:cstheme="minorHAnsi"/>
                <w:sz w:val="18"/>
                <w:szCs w:val="18"/>
              </w:rPr>
            </w:pPr>
            <w:r w:rsidRPr="004447F6">
              <w:rPr>
                <w:rFonts w:cstheme="minorHAnsi"/>
                <w:sz w:val="18"/>
                <w:szCs w:val="18"/>
              </w:rPr>
              <w:t xml:space="preserve">For </w:t>
            </w:r>
            <w:r w:rsidR="005A6810" w:rsidRPr="004447F6">
              <w:rPr>
                <w:rFonts w:cstheme="minorHAnsi"/>
                <w:sz w:val="18"/>
                <w:szCs w:val="18"/>
              </w:rPr>
              <w:t>immune- associated AEFI</w:t>
            </w:r>
            <w:r w:rsidRPr="004447F6">
              <w:rPr>
                <w:rFonts w:cstheme="minorHAnsi"/>
                <w:sz w:val="18"/>
                <w:szCs w:val="18"/>
              </w:rPr>
              <w:t>,</w:t>
            </w:r>
            <w:r w:rsidR="005A6810" w:rsidRPr="004447F6">
              <w:rPr>
                <w:rFonts w:cstheme="minorHAnsi"/>
                <w:sz w:val="18"/>
                <w:szCs w:val="18"/>
              </w:rPr>
              <w:t xml:space="preserve"> &lt;24 hours or more &gt;12 weeks from vaccination. </w:t>
            </w:r>
          </w:p>
          <w:p w14:paraId="2D2E29F8" w14:textId="32F04F4A" w:rsidR="006A5E49" w:rsidRPr="004447F6" w:rsidRDefault="005A6810" w:rsidP="000E1E4C">
            <w:pPr>
              <w:rPr>
                <w:rFonts w:cstheme="minorHAnsi"/>
                <w:sz w:val="18"/>
                <w:szCs w:val="18"/>
              </w:rPr>
            </w:pPr>
            <w:r w:rsidRPr="004447F6">
              <w:rPr>
                <w:rFonts w:cstheme="minorHAnsi"/>
                <w:sz w:val="18"/>
                <w:szCs w:val="18"/>
              </w:rPr>
              <w:t>Clear alternative aetiology, such as Campylobacter diarrhoea preceding GBS.</w:t>
            </w:r>
          </w:p>
        </w:tc>
      </w:tr>
    </w:tbl>
    <w:p w14:paraId="17DE9680" w14:textId="585C5BD7" w:rsidR="00115D45" w:rsidRPr="004447F6" w:rsidRDefault="00115D45" w:rsidP="07BB3B13">
      <w:pPr>
        <w:spacing w:line="360" w:lineRule="auto"/>
        <w:jc w:val="both"/>
        <w:rPr>
          <w:rFonts w:cstheme="minorHAnsi"/>
        </w:rPr>
      </w:pPr>
    </w:p>
    <w:p w14:paraId="201931F8" w14:textId="54BBB2B9" w:rsidR="00310CE5" w:rsidRPr="004447F6" w:rsidRDefault="00310CE5" w:rsidP="00310CE5">
      <w:pPr>
        <w:jc w:val="both"/>
        <w:rPr>
          <w:i/>
          <w:iCs/>
          <w:sz w:val="18"/>
          <w:szCs w:val="18"/>
        </w:rPr>
      </w:pPr>
      <w:r w:rsidRPr="004447F6">
        <w:rPr>
          <w:b/>
          <w:bCs/>
          <w:i/>
          <w:iCs/>
          <w:sz w:val="18"/>
          <w:szCs w:val="18"/>
        </w:rPr>
        <w:t>Table 3</w:t>
      </w:r>
      <w:r w:rsidRPr="004447F6">
        <w:rPr>
          <w:i/>
          <w:iCs/>
          <w:sz w:val="18"/>
          <w:szCs w:val="18"/>
        </w:rPr>
        <w:t xml:space="preserve">: Suggested criteria for labelling causality in neurological AEFI.  </w:t>
      </w:r>
    </w:p>
    <w:p w14:paraId="38EE2BE0" w14:textId="562E2459" w:rsidR="001A63D1" w:rsidRPr="004447F6" w:rsidRDefault="001A63D1" w:rsidP="001A63D1">
      <w:pPr>
        <w:spacing w:line="360" w:lineRule="auto"/>
        <w:jc w:val="both"/>
      </w:pPr>
      <w:r w:rsidRPr="004447F6">
        <w:t xml:space="preserve">High-quality randomised controlled trials may often be one of the strongest means by which to assess causality </w:t>
      </w:r>
      <w:r w:rsidR="00F2709B" w:rsidRPr="004447F6">
        <w:t xml:space="preserve">in </w:t>
      </w:r>
      <w:r w:rsidRPr="004447F6">
        <w:t xml:space="preserve">AEFIs, however in situations such as the ongoing SARS-CoV-2 vaccination campaign undertaking such trials post-licencing may not be feasible, or ethical </w:t>
      </w:r>
      <w:r w:rsidRPr="004447F6">
        <w:fldChar w:fldCharType="begin" w:fldLock="1"/>
      </w:r>
      <w:r w:rsidR="004D541E" w:rsidRPr="004447F6">
        <w:instrText>ADDIN CSL_CITATION {"citationItems":[{"id":"ITEM-1","itemData":{"DOI":"10.1016/j.vaccine.2021.01.057","ISSN":"18732518","PMID":"33558107","abstract":"&lt;h2 class=\"section-title u-h3 u-margin-l-top u-margin-xs-bottom\"&gt;Highlights&lt;/h2&gt;&lt;dl class=\"list\"&gt;&lt;dt class=\"list-label\"&gt;•&lt;/dt&gt;&lt;dd class=\"list-description\"&gt;&lt;p&gt;Covid-19 vaccine safety problems may be identified only after widespread use of the vaccine.&lt;/p&gt;&lt;/dd&gt;&lt;dt class=\"list-label\"&gt;•&lt;/dt&gt;&lt;dd class=\"list-description\"&gt;&lt;p&gt;Rapid introduction across many different countries may lead to conflicting safety signals.&lt;/p&gt;&lt;/dd&gt;&lt;dt class=\"list-label\"&gt;•&lt;/dt&gt;&lt;dd class=\"list-description\"&gt;&lt;p&gt;Evidence from multiple countries and sources should be carefully weighed against each other.&lt;/p&gt;&lt;/dd&gt;&lt;dt class=\"list-label\"&gt;•&lt;/dt&gt;&lt;dd class=\"list-description\"&gt;&lt;p&gt;Background rate data are critical for rapid assessments of claims of safety issues.&lt;/p&gt;&lt;/dd&gt;&lt;dt class=\"list-label\"&gt;•&lt;/dt&gt;&lt;dd class=\"list-description\"&gt;&lt;p&gt;Relevant safety evidence should be shared quickly with WHO, regulators, and other stakeholders.&lt;/p&gt;&lt;/dd&gt;&lt;/dl&gt;","author":[{"dropping-particle":"","family":"Hampton","given":"Lee M.","non-dropping-particle":"","parse-names":false,"suffix":""},{"dropping-particle":"","family":"Aggarwal","given":"Rakesh","non-dropping-particle":"","parse-names":false,"suffix":""},{"dropping-particle":"","family":"Evans","given":"Stephen J.W.","non-dropping-particle":"","parse-names":false,"suffix":""},{"dropping-particle":"","family":"Law","given":"Barbara","non-dropping-particle":"","parse-names":false,"suffix":""}],"container-title":"Vaccine","id":"ITEM-1","issue":"10","issued":{"date-parts":[["2021"]]},"page":"1478-1480","title":"General determination of causation between Covid-19 vaccines and possible adverse events","type":"article-journal","volume":"39"},"uris":["http://www.mendeley.com/documents/?uuid=7e23c49b-aa94-49f5-9a9a-af1c2dfe4f17"]}],"mendeley":{"formattedCitation":"(65)","plainTextFormattedCitation":"(65)","previouslyFormattedCitation":"(65)"},"properties":{"noteIndex":0},"schema":"https://github.com/citation-style-language/schema/raw/master/csl-citation.json"}</w:instrText>
      </w:r>
      <w:r w:rsidRPr="004447F6">
        <w:fldChar w:fldCharType="separate"/>
      </w:r>
      <w:r w:rsidR="005D61C9" w:rsidRPr="004447F6">
        <w:rPr>
          <w:noProof/>
        </w:rPr>
        <w:t>(65)</w:t>
      </w:r>
      <w:r w:rsidRPr="004447F6">
        <w:fldChar w:fldCharType="end"/>
      </w:r>
      <w:r w:rsidRPr="004447F6">
        <w:t xml:space="preserve">. Instead, alternative methods of establishing causality, such as triangulation, may be used. Triangulation, a process akin to the Bradford Hill criterion of consistency, involves the integration of results from different epidemiological methods (e.g., RCT and observational cohort studies) with different inherent biases. If two or more methods point towards a potentially causal event (particularly if the association is maintained amongst differing populations), this strengthens conviction in causal association </w:t>
      </w:r>
      <w:r w:rsidRPr="004447F6">
        <w:fldChar w:fldCharType="begin" w:fldLock="1"/>
      </w:r>
      <w:r w:rsidR="004D541E" w:rsidRPr="004447F6">
        <w:instrText>ADDIN CSL_CITATION {"citationItems":[{"id":"ITEM-1","itemData":{"DOI":"10.1093/ije/dyw314","ISSN":"14643685","PMID":"28108528","abstract":"Triangulation is the practice of obtaining more reliable answers to research questions through integrating results from several different approaches, where each approach has different key sources of potential bias that are unrelated to each other. With respect to causal questions in aetiological epidemiology, if the results of different approaches all point to the same conclusion, this strengthens confidence in the finding. This is particularly the case when the key sources of bias of some of the approaches would predict that findings would point in opposite directions if they were due to such biases. Where there are inconsistencies, understanding the key sources of bias of each approach can help to identify what further research is required to address the causal question. The aim of this paper is to illustrate how triangulation might be used to improve causal inference in aetiological epidemiology. We propose a minimum set of criteria for use in triangulation in aetiological epidemiology, summarize the key sources of bias of several approaches and describe how these might be integrated within a triangulation framework. We emphasize the importance of being explicit about the expected direction of bias within each approach, whenever this is possible, and seeking to identify approaches that would be expected to bias the true causal effect in different directions. We also note the importance, when comparing results, of taking account of differences in the duration and timing of exposures. We provide three examples to illustrate these points.","author":[{"dropping-particle":"","family":"Lawlor","given":"Debbie A.","non-dropping-particle":"","parse-names":false,"suffix":""},{"dropping-particle":"","family":"Tilling","given":"Kate","non-dropping-particle":"","parse-names":false,"suffix":""},{"dropping-particle":"","family":"Smith","given":"George Davey","non-dropping-particle":"","parse-names":false,"suffix":""}],"container-title":"International Journal of Epidemiology","id":"ITEM-1","issue":"6","issued":{"date-parts":[["2016"]]},"page":"1866-1886","title":"Triangulation in aetiological epidemiology","type":"article-journal","volume":"45"},"uris":["http://www.mendeley.com/documents/?uuid=52004a05-1a4d-489d-92a8-51ccb5245cfb"]}],"mendeley":{"formattedCitation":"(66)","plainTextFormattedCitation":"(66)","previouslyFormattedCitation":"(66)"},"properties":{"noteIndex":0},"schema":"https://github.com/citation-style-language/schema/raw/master/csl-citation.json"}</w:instrText>
      </w:r>
      <w:r w:rsidRPr="004447F6">
        <w:fldChar w:fldCharType="separate"/>
      </w:r>
      <w:r w:rsidR="005D61C9" w:rsidRPr="004447F6">
        <w:rPr>
          <w:noProof/>
        </w:rPr>
        <w:t>(66)</w:t>
      </w:r>
      <w:r w:rsidRPr="004447F6">
        <w:fldChar w:fldCharType="end"/>
      </w:r>
      <w:r w:rsidRPr="004447F6">
        <w:t xml:space="preserve">. As well as this, although a mechanism (the Bradford Hill criterion of </w:t>
      </w:r>
      <w:r w:rsidR="00B47D2D" w:rsidRPr="004447F6">
        <w:t>'</w:t>
      </w:r>
      <w:r w:rsidRPr="004447F6">
        <w:t>biological plausibility</w:t>
      </w:r>
      <w:r w:rsidR="00B47D2D" w:rsidRPr="004447F6">
        <w:t>'</w:t>
      </w:r>
      <w:r w:rsidRPr="004447F6">
        <w:t>) is often preferred in causality assessments, it may not be immediately apparent, and causality should not be refuted simply on the absence of biological mechanisms, particularly should the other evidence for causality be strong.</w:t>
      </w:r>
    </w:p>
    <w:p w14:paraId="462E1BDA" w14:textId="5B93941B" w:rsidR="005D61C9" w:rsidRPr="004447F6" w:rsidRDefault="005D61C9" w:rsidP="005D61C9">
      <w:pPr>
        <w:spacing w:line="360" w:lineRule="auto"/>
        <w:jc w:val="both"/>
      </w:pPr>
      <w:r w:rsidRPr="004447F6">
        <w:t xml:space="preserve">Although associations between SARS-CoV-2 vaccines and neurological adverse events may arise, these tools reiterate that caution must be exercised before causality is determined. Alternative aetiologies or recurrence of previous neurological disease may be responsible for the observed events, as was the case in some of the neurological AE associated with the </w:t>
      </w:r>
      <w:r w:rsidRPr="004447F6">
        <w:rPr>
          <w:rFonts w:cstheme="minorHAnsi"/>
        </w:rPr>
        <w:t>ChAdOx1</w:t>
      </w:r>
      <w:r w:rsidRPr="004447F6">
        <w:t xml:space="preserve">vaccine </w:t>
      </w:r>
      <w:r w:rsidRPr="004447F6">
        <w:fldChar w:fldCharType="begin" w:fldLock="1"/>
      </w:r>
      <w:r w:rsidR="00DB0E82" w:rsidRPr="004447F6">
        <w:instrText>ADDIN CSL_CITATION {"citationItems":[{"id":"ITEM-1","itemData":{"DOI":"10.1016/S0140-6736(20)32623-4","ISSN":"1474547X","PMID":"33306990","author":[{"dropping-particle":"","family":"Knoll","given":"Maria Deloria","non-dropping-particle":"","parse-names":false,"suffix":""},{"dropping-particle":"","family":"Wonodi","given":"Chizoba","non-dropping-particle":"","parse-names":false,"suffix":""}],"container-title":"The Lancet","id":"ITEM-1","issue":"10269","issued":{"date-parts":[["2021"]]},"page":"72-74","title":"Oxford–AstraZeneca COVID-19 vaccine efficacy","type":"article-journal","volume":"397"},"uris":["http://www.mendeley.com/documents/?uuid=08106c22-9fbc-46e1-8d54-b584628b2651"]}],"mendeley":{"formattedCitation":"(31)","plainTextFormattedCitation":"(31)","previouslyFormattedCitation":"(31)"},"properties":{"noteIndex":0},"schema":"https://github.com/citation-style-language/schema/raw/master/csl-citation.json"}</w:instrText>
      </w:r>
      <w:r w:rsidRPr="004447F6">
        <w:fldChar w:fldCharType="separate"/>
      </w:r>
      <w:r w:rsidR="00632A99" w:rsidRPr="004447F6">
        <w:rPr>
          <w:noProof/>
        </w:rPr>
        <w:t>(31)</w:t>
      </w:r>
      <w:r w:rsidRPr="004447F6">
        <w:fldChar w:fldCharType="end"/>
      </w:r>
      <w:r w:rsidRPr="004447F6">
        <w:t xml:space="preserve">. Further, the baseline rate of a condition may account for its occurrence in vaccinated population </w:t>
      </w:r>
      <w:r w:rsidRPr="004447F6">
        <w:fldChar w:fldCharType="begin" w:fldLock="1"/>
      </w:r>
      <w:r w:rsidR="004D541E" w:rsidRPr="004447F6">
        <w:instrText>ADDIN CSL_CITATION {"citationItems":[{"id":"ITEM-1","itemData":{"URL":"https://www.facialpalsy.org.uk/news/facial-palsy-and-covid-19-vaccine/","accessed":{"date-parts":[["2021","2","20"]]},"author":[{"dropping-particle":"","family":"Facial Palsy UK Medical Advisory Board","given":"","non-dropping-particle":"","parse-names":false,"suffix":""}],"id":"ITEM-1","issued":{"date-parts":[["0"]]},"title":"Facial Palsy and Covid-19 vaccine","type":"webpage"},"uris":["http://www.mendeley.com/documents/?uuid=0917afa8-434b-4eb9-b8f0-a6233b094b10"]}],"mendeley":{"formattedCitation":"(67)","plainTextFormattedCitation":"(67)","previouslyFormattedCitation":"(67)"},"properties":{"noteIndex":0},"schema":"https://github.com/citation-style-language/schema/raw/master/csl-citation.json"}</w:instrText>
      </w:r>
      <w:r w:rsidRPr="004447F6">
        <w:fldChar w:fldCharType="separate"/>
      </w:r>
      <w:r w:rsidRPr="004447F6">
        <w:rPr>
          <w:noProof/>
        </w:rPr>
        <w:t>(67)</w:t>
      </w:r>
      <w:r w:rsidRPr="004447F6">
        <w:fldChar w:fldCharType="end"/>
      </w:r>
      <w:r w:rsidRPr="004447F6">
        <w:t xml:space="preserve">. </w:t>
      </w:r>
    </w:p>
    <w:p w14:paraId="3F2694FA" w14:textId="4FAA8830" w:rsidR="005D61C9" w:rsidRPr="004447F6" w:rsidRDefault="005D61C9" w:rsidP="001A63D1">
      <w:pPr>
        <w:spacing w:line="360" w:lineRule="auto"/>
        <w:jc w:val="both"/>
      </w:pPr>
      <w:r w:rsidRPr="004447F6">
        <w:t xml:space="preserve">Additional attributes related to </w:t>
      </w:r>
      <w:r w:rsidR="00B151A9" w:rsidRPr="004447F6">
        <w:t xml:space="preserve">the </w:t>
      </w:r>
      <w:r w:rsidRPr="004447F6">
        <w:t xml:space="preserve">current </w:t>
      </w:r>
      <w:r w:rsidR="00B151A9" w:rsidRPr="004447F6">
        <w:rPr>
          <w:rFonts w:cstheme="minorHAnsi"/>
        </w:rPr>
        <w:t xml:space="preserve">SARS-CoV-2 </w:t>
      </w:r>
      <w:r w:rsidRPr="004447F6">
        <w:t xml:space="preserve">vaccination programmes which </w:t>
      </w:r>
      <w:r w:rsidR="00B84131" w:rsidRPr="004447F6">
        <w:t>may need to</w:t>
      </w:r>
      <w:r w:rsidRPr="004447F6">
        <w:t xml:space="preserve"> be considered when assessing causality include (but are not limited to) a) the two-dose nature of some vaccine programmes, b) the possibility of some patients, e.g. due to vaccination supply changes, receiving two separate brands of vaccine in a single dose schedule c) the individual’s prior exposure to SARS-CoV-2 (i.e. antigen formation and/or development of neurological complications of </w:t>
      </w:r>
      <w:r w:rsidR="00B151A9" w:rsidRPr="004447F6">
        <w:t>COVID</w:t>
      </w:r>
      <w:r w:rsidRPr="004447F6">
        <w:t xml:space="preserve">-19 itself). These factors will also remain important if in future a seasonal </w:t>
      </w:r>
      <w:r w:rsidR="00B151A9" w:rsidRPr="004447F6">
        <w:t xml:space="preserve">SARS-CoV-2 </w:t>
      </w:r>
      <w:r w:rsidRPr="004447F6">
        <w:t>‘booster’ vaccination is required.</w:t>
      </w:r>
    </w:p>
    <w:p w14:paraId="587CD3A3" w14:textId="4C255078" w:rsidR="001A63D1" w:rsidRPr="004447F6" w:rsidRDefault="001A63D1" w:rsidP="07BB3B13">
      <w:pPr>
        <w:spacing w:line="360" w:lineRule="auto"/>
        <w:jc w:val="both"/>
        <w:rPr>
          <w:u w:val="single"/>
        </w:rPr>
      </w:pPr>
      <w:r w:rsidRPr="004447F6">
        <w:rPr>
          <w:u w:val="single"/>
        </w:rPr>
        <w:t>Practical considerations</w:t>
      </w:r>
    </w:p>
    <w:p w14:paraId="03DF3163" w14:textId="73A81820" w:rsidR="00E627AE" w:rsidRPr="004447F6" w:rsidRDefault="00E627AE" w:rsidP="07BB3B13">
      <w:pPr>
        <w:spacing w:line="360" w:lineRule="auto"/>
        <w:jc w:val="both"/>
      </w:pPr>
      <w:r w:rsidRPr="004447F6">
        <w:t>While causality is</w:t>
      </w:r>
      <w:r w:rsidR="00D576FB" w:rsidRPr="004447F6">
        <w:t xml:space="preserve"> under </w:t>
      </w:r>
      <w:r w:rsidRPr="004447F6">
        <w:t>intense study</w:t>
      </w:r>
      <w:r w:rsidR="00D576FB" w:rsidRPr="004447F6">
        <w:t xml:space="preserve">, a practical issue for </w:t>
      </w:r>
      <w:r w:rsidR="00576D5C" w:rsidRPr="004447F6">
        <w:t>clinicians</w:t>
      </w:r>
      <w:r w:rsidR="00D576FB" w:rsidRPr="004447F6">
        <w:t xml:space="preserve"> is advising </w:t>
      </w:r>
      <w:r w:rsidR="00576D5C" w:rsidRPr="004447F6">
        <w:t>on</w:t>
      </w:r>
      <w:r w:rsidR="00D576FB" w:rsidRPr="004447F6">
        <w:t xml:space="preserve"> </w:t>
      </w:r>
      <w:r w:rsidR="00C66C90" w:rsidRPr="004447F6">
        <w:rPr>
          <w:rFonts w:cstheme="minorHAnsi"/>
        </w:rPr>
        <w:t xml:space="preserve">SARS-CoV-2 </w:t>
      </w:r>
      <w:r w:rsidR="00D576FB" w:rsidRPr="004447F6">
        <w:t xml:space="preserve">vaccine uptake in patients with a history of </w:t>
      </w:r>
      <w:r w:rsidRPr="004447F6">
        <w:t xml:space="preserve">disabling or life-threatening </w:t>
      </w:r>
      <w:r w:rsidR="00D576FB" w:rsidRPr="004447F6">
        <w:t xml:space="preserve">GBS, acute disseminated encephalomyelitis or transverse myelitis, </w:t>
      </w:r>
      <w:r w:rsidR="00576D5C" w:rsidRPr="004447F6">
        <w:t xml:space="preserve">which are </w:t>
      </w:r>
      <w:r w:rsidR="00D576FB" w:rsidRPr="004447F6">
        <w:t xml:space="preserve">thought to have been linked to </w:t>
      </w:r>
      <w:r w:rsidR="00E502BE" w:rsidRPr="004447F6">
        <w:t>previous</w:t>
      </w:r>
      <w:r w:rsidR="00D576FB" w:rsidRPr="004447F6">
        <w:t xml:space="preserve"> </w:t>
      </w:r>
      <w:r w:rsidR="00D576FB" w:rsidRPr="004447F6">
        <w:lastRenderedPageBreak/>
        <w:t>vaccin</w:t>
      </w:r>
      <w:r w:rsidR="00576D5C" w:rsidRPr="004447F6">
        <w:t>ation</w:t>
      </w:r>
      <w:r w:rsidR="00D576FB" w:rsidRPr="004447F6">
        <w:t xml:space="preserve">. Bayesian inference may suggest updating the probability of neurological complication based on an individual’s prior history. </w:t>
      </w:r>
      <w:r w:rsidRPr="004447F6">
        <w:t>However</w:t>
      </w:r>
      <w:r w:rsidR="007C4E92" w:rsidRPr="004447F6">
        <w:t>,</w:t>
      </w:r>
      <w:r w:rsidRPr="004447F6">
        <w:t xml:space="preserve"> </w:t>
      </w:r>
      <w:r w:rsidR="00E502BE" w:rsidRPr="004447F6">
        <w:t xml:space="preserve">as </w:t>
      </w:r>
      <w:r w:rsidR="00D576FB" w:rsidRPr="004447F6">
        <w:t xml:space="preserve">there </w:t>
      </w:r>
      <w:r w:rsidRPr="004447F6">
        <w:t xml:space="preserve">are no </w:t>
      </w:r>
      <w:r w:rsidR="00E502BE" w:rsidRPr="004447F6">
        <w:t xml:space="preserve">confirmed </w:t>
      </w:r>
      <w:r w:rsidRPr="004447F6">
        <w:t xml:space="preserve">signals that these conditions occur with </w:t>
      </w:r>
      <w:r w:rsidR="00C66C90" w:rsidRPr="004447F6">
        <w:rPr>
          <w:rFonts w:cstheme="minorHAnsi"/>
        </w:rPr>
        <w:t xml:space="preserve">SARS-CoV-2 </w:t>
      </w:r>
      <w:r w:rsidR="00D576FB" w:rsidRPr="004447F6">
        <w:t>vaccine</w:t>
      </w:r>
      <w:r w:rsidRPr="004447F6">
        <w:t xml:space="preserve">s, </w:t>
      </w:r>
      <w:r w:rsidR="00E502BE" w:rsidRPr="004447F6">
        <w:t>cautious advice must be given</w:t>
      </w:r>
      <w:r w:rsidR="00D576FB" w:rsidRPr="004447F6">
        <w:t>.</w:t>
      </w:r>
      <w:r w:rsidRPr="004447F6">
        <w:t xml:space="preserve"> </w:t>
      </w:r>
      <w:r w:rsidR="00D576FB" w:rsidRPr="004447F6">
        <w:t xml:space="preserve">Other factors which may help shared decision-making include the population prevalence of </w:t>
      </w:r>
      <w:r w:rsidR="00B151A9" w:rsidRPr="004447F6">
        <w:t>COVID</w:t>
      </w:r>
      <w:r w:rsidRPr="004447F6">
        <w:t>-19</w:t>
      </w:r>
      <w:r w:rsidR="00D576FB" w:rsidRPr="004447F6">
        <w:t xml:space="preserve">, the individual’s risk of mortality from </w:t>
      </w:r>
      <w:r w:rsidR="00B151A9" w:rsidRPr="004447F6">
        <w:t>COVID</w:t>
      </w:r>
      <w:r w:rsidRPr="004447F6">
        <w:t>-19</w:t>
      </w:r>
      <w:r w:rsidR="00D576FB" w:rsidRPr="004447F6">
        <w:t xml:space="preserve"> and patient preference.</w:t>
      </w:r>
    </w:p>
    <w:p w14:paraId="32DFA395" w14:textId="4970EE07" w:rsidR="00D576FB" w:rsidRPr="004447F6" w:rsidRDefault="001A63D1" w:rsidP="07BB3B13">
      <w:pPr>
        <w:spacing w:line="360" w:lineRule="auto"/>
        <w:jc w:val="both"/>
      </w:pPr>
      <w:r w:rsidRPr="004447F6">
        <w:t xml:space="preserve">In the current rapid worldwide vaccination campaign, healthcare regulatory authorities have tended to either halt vaccination campaigns or recommend their use only in those with risk factors for </w:t>
      </w:r>
      <w:r w:rsidR="00B151A9" w:rsidRPr="004447F6">
        <w:t>COVID</w:t>
      </w:r>
      <w:r w:rsidRPr="004447F6">
        <w:t xml:space="preserve">-19 in response to potential adverse events </w:t>
      </w:r>
      <w:r w:rsidRPr="004447F6">
        <w:rPr>
          <w:rFonts w:cstheme="minorHAnsi"/>
        </w:rPr>
        <w:fldChar w:fldCharType="begin" w:fldLock="1"/>
      </w:r>
      <w:r w:rsidR="00DB0E82" w:rsidRPr="004447F6">
        <w:rPr>
          <w:rFonts w:cstheme="minorHAnsi"/>
        </w:rPr>
        <w:instrText>ADDIN CSL_CITATION {"citationItems":[{"id":"ITEM-1","itemData":{"URL":"https://www.ema.europa.eu/en/news/astrazenecas-covid-19-vaccine-ema-finds-possible-link-very-rare-cases-unusual-blood-clots-low-blood","accessed":{"date-parts":[["2021","4","8"]]},"author":[{"dropping-particle":"","family":"European Medicines Agency","given":"","non-dropping-particle":"","parse-names":false,"suffix":""}],"id":"ITEM-1","issued":{"date-parts":[["2021"]]},"title":"AstraZeneca’s COVID-19 vaccine: EMA finds possible link to very rare cases of unusual blood clots with low blood platelets Share","type":"webpage"},"uris":["http://www.mendeley.com/documents/?uuid=9d280f1c-391a-43dd-a371-dc5197951e5b"]},{"id":"ITEM-2","itemData":{"URL":"https://www.gov.uk/government/publications/use-of-the-astrazeneca-covid-19-vaccine-jcvi-statement/jcvi-statement-on-use-of-the-astrazeneca-covid-19-vaccine-7-april-2021","accessed":{"date-parts":[["2021","4","8"]]},"author":[{"dropping-particle":"","family":"Joint Committee on Vaccines and Immunisation (JCVI)","given":"","non-dropping-particle":"","parse-names":false,"suffix":""}],"id":"ITEM-2","issued":{"date-parts":[["2021"]]},"title":"JCVI statement on use of the AstraZeneca COVID-19 vaccine: 7 April 2021","type":"webpage"},"uris":["http://www.mendeley.com/documents/?uuid=00819707-38de-448b-b679-ae1a1557582b"]},{"id":"ITEM-3","itemData":{"container-title":"BBC News","id":"ITEM-3","issued":{"date-parts":[["2021"]]},"title":"Covid: Germany limits use of AstraZeneca Covid jab for under-60s","type":"article-newspaper"},"uris":["http://www.mendeley.com/documents/?uuid=0d16bd38-ec05-4f43-854d-cddf5ed99635"]}],"mendeley":{"formattedCitation":"(39,42,43)","plainTextFormattedCitation":"(39,42,43)","previouslyFormattedCitation":"(39,42,43)"},"properties":{"noteIndex":0},"schema":"https://github.com/citation-style-language/schema/raw/master/csl-citation.json"}</w:instrText>
      </w:r>
      <w:r w:rsidRPr="004447F6">
        <w:rPr>
          <w:rFonts w:cstheme="minorHAnsi"/>
        </w:rPr>
        <w:fldChar w:fldCharType="separate"/>
      </w:r>
      <w:r w:rsidR="00632A99" w:rsidRPr="004447F6">
        <w:rPr>
          <w:rFonts w:cstheme="minorHAnsi"/>
          <w:noProof/>
        </w:rPr>
        <w:t>(39,42,43)</w:t>
      </w:r>
      <w:r w:rsidRPr="004447F6">
        <w:rPr>
          <w:rFonts w:cstheme="minorHAnsi"/>
        </w:rPr>
        <w:fldChar w:fldCharType="end"/>
      </w:r>
      <w:r w:rsidRPr="004447F6">
        <w:rPr>
          <w:rFonts w:cstheme="minorHAnsi"/>
        </w:rPr>
        <w:t>.</w:t>
      </w:r>
      <w:r w:rsidRPr="004447F6">
        <w:t xml:space="preserve"> The latter appears to be a sensible course of action whilst causality is swiftly reviewed, given the high rates of known complications of </w:t>
      </w:r>
      <w:r w:rsidR="00B151A9" w:rsidRPr="004447F6">
        <w:t>COVID</w:t>
      </w:r>
      <w:r w:rsidRPr="004447F6">
        <w:t>-19 itself.</w:t>
      </w:r>
    </w:p>
    <w:p w14:paraId="0C686E5E" w14:textId="036DB9F5" w:rsidR="00A472BD" w:rsidRPr="004447F6" w:rsidRDefault="00A472BD" w:rsidP="07BB3B13">
      <w:pPr>
        <w:spacing w:line="360" w:lineRule="auto"/>
        <w:jc w:val="both"/>
        <w:rPr>
          <w:u w:val="single"/>
        </w:rPr>
      </w:pPr>
      <w:r w:rsidRPr="004447F6">
        <w:rPr>
          <w:u w:val="single"/>
        </w:rPr>
        <w:t>Legal issues</w:t>
      </w:r>
    </w:p>
    <w:p w14:paraId="2383A57A" w14:textId="75ED5553" w:rsidR="00A472BD" w:rsidRPr="004447F6" w:rsidRDefault="00A472BD" w:rsidP="07BB3B13">
      <w:pPr>
        <w:spacing w:line="360" w:lineRule="auto"/>
        <w:jc w:val="both"/>
        <w:rPr>
          <w:rFonts w:cstheme="minorHAnsi"/>
          <w:i/>
          <w:iCs/>
        </w:rPr>
      </w:pPr>
      <w:r w:rsidRPr="004447F6">
        <w:rPr>
          <w:rFonts w:cstheme="minorHAnsi"/>
        </w:rPr>
        <w:t xml:space="preserve">The potential for neurological AEFIs (including FND) to SARS-CoV-2 vaccines raises important medico-legal questions. An effective and fair compensation scheme for AEFIs is integral to maintaining public trust in vaccination campaigns </w:t>
      </w:r>
      <w:r w:rsidRPr="004447F6">
        <w:rPr>
          <w:rFonts w:cstheme="minorHAnsi"/>
        </w:rPr>
        <w:fldChar w:fldCharType="begin" w:fldLock="1"/>
      </w:r>
      <w:r w:rsidR="002E7916" w:rsidRPr="004447F6">
        <w:rPr>
          <w:rFonts w:cstheme="minorHAnsi"/>
        </w:rPr>
        <w:instrText>ADDIN CSL_CITATION {"citationItems":[{"id":"ITEM-1","itemData":{"DOI":"10.1016/S1473-3099(21)00065-7","ISSN":"14744457","PMID":"33548195","author":[{"dropping-particle":"","family":"Fairgrieve","given":"Duncan","non-dropping-particle":"","parse-names":false,"suffix":""},{"dropping-particle":"","family":"Holm","given":"Søren","non-dropping-particle":"","parse-names":false,"suffix":""},{"dropping-particle":"","family":"Howells","given":"Geraint","non-dropping-particle":"","parse-names":false,"suffix":""},{"dropping-particle":"","family":"Kirchhelle","given":"Claas","non-dropping-particle":"","parse-names":false,"suffix":""},{"dropping-particle":"","family":"Vanderslott","given":"Samantha","non-dropping-particle":"","parse-names":false,"suffix":""}],"container-title":"The Lancet Infectious Diseases","id":"ITEM-1","issue":"4","issued":{"date-parts":[["2021"]]},"page":"448-450","title":"In favour of a bespoke COVID-19 vaccines compensation scheme","type":"article-journal","volume":"21"},"uris":["http://www.mendeley.com/documents/?uuid=75794d0b-fbc5-4c1a-8eb8-b1c2e3c4f104"]}],"mendeley":{"formattedCitation":"(68)","plainTextFormattedCitation":"(68)","previouslyFormattedCitation":"(71)"},"properties":{"noteIndex":0},"schema":"https://github.com/citation-style-language/schema/raw/master/csl-citation.json"}</w:instrText>
      </w:r>
      <w:r w:rsidRPr="004447F6">
        <w:rPr>
          <w:rFonts w:cstheme="minorHAnsi"/>
        </w:rPr>
        <w:fldChar w:fldCharType="separate"/>
      </w:r>
      <w:r w:rsidR="002E7916" w:rsidRPr="004447F6">
        <w:rPr>
          <w:rFonts w:cstheme="minorHAnsi"/>
          <w:noProof/>
        </w:rPr>
        <w:t>(68)</w:t>
      </w:r>
      <w:r w:rsidRPr="004447F6">
        <w:rPr>
          <w:rFonts w:cstheme="minorHAnsi"/>
        </w:rPr>
        <w:fldChar w:fldCharType="end"/>
      </w:r>
      <w:r w:rsidRPr="004447F6">
        <w:rPr>
          <w:rFonts w:cstheme="minorHAnsi"/>
        </w:rPr>
        <w:t xml:space="preserve">. In the United Kingdom, for example, vaccine recipients (including of a SARS-CoV-2 vaccine) are entitled to claim compensation for ‘severe disability’ resulting from a vaccination </w:t>
      </w:r>
      <w:r w:rsidRPr="004447F6">
        <w:rPr>
          <w:rFonts w:cstheme="minorHAnsi"/>
        </w:rPr>
        <w:fldChar w:fldCharType="begin" w:fldLock="1"/>
      </w:r>
      <w:r w:rsidR="002E7916" w:rsidRPr="004447F6">
        <w:rPr>
          <w:rFonts w:cstheme="minorHAnsi"/>
        </w:rPr>
        <w:instrText>ADDIN CSL_CITATION {"citationItems":[{"id":"ITEM-1","itemData":{"URL":"https://www.gov.uk/vaccine-damage-payment","accessed":{"date-parts":[["2021","5","27"]]},"author":[{"dropping-particle":"","family":"GOV.UK","given":"","non-dropping-particle":"","parse-names":false,"suffix":""}],"id":"ITEM-1","issued":{"date-parts":[["2021"]]},"title":"Vaccine Damage Payment","type":"webpage"},"uris":["http://www.mendeley.com/documents/?uuid=2ecdb23a-41bb-464f-8ef6-95d63e729ab9"]}],"mendeley":{"formattedCitation":"(69)","plainTextFormattedCitation":"(69)","previouslyFormattedCitation":"(72)"},"properties":{"noteIndex":0},"schema":"https://github.com/citation-style-language/schema/raw/master/csl-citation.json"}</w:instrText>
      </w:r>
      <w:r w:rsidRPr="004447F6">
        <w:rPr>
          <w:rFonts w:cstheme="minorHAnsi"/>
        </w:rPr>
        <w:fldChar w:fldCharType="separate"/>
      </w:r>
      <w:r w:rsidR="002E7916" w:rsidRPr="004447F6">
        <w:rPr>
          <w:rFonts w:cstheme="minorHAnsi"/>
          <w:noProof/>
        </w:rPr>
        <w:t>(69)</w:t>
      </w:r>
      <w:r w:rsidRPr="004447F6">
        <w:rPr>
          <w:rFonts w:cstheme="minorHAnsi"/>
        </w:rPr>
        <w:fldChar w:fldCharType="end"/>
      </w:r>
      <w:r w:rsidRPr="004447F6">
        <w:rPr>
          <w:rFonts w:cstheme="minorHAnsi"/>
        </w:rPr>
        <w:t xml:space="preserve">. Other methods of seeking compensation, including indemnification in clinical trials of vaccines and direct legal action against vaccine manufacturers, may also be applicable in the SARS-CoV-2 vaccination campaign. We are not aware of any precedent in this area regarding </w:t>
      </w:r>
      <w:r w:rsidR="001D26DB" w:rsidRPr="004447F6">
        <w:rPr>
          <w:rFonts w:cstheme="minorHAnsi"/>
        </w:rPr>
        <w:t xml:space="preserve">severe and disabling </w:t>
      </w:r>
      <w:r w:rsidRPr="004447F6">
        <w:rPr>
          <w:rFonts w:cstheme="minorHAnsi"/>
        </w:rPr>
        <w:t xml:space="preserve">FND resulting from vaccination, but the fact that the vaccine constituents are not implicated, and significant or full recovery always remains possible, complicates an already complex field, in which 65% of historical claimants to the UK scheme have been unable to definitively prove causality </w:t>
      </w:r>
      <w:r w:rsidRPr="004447F6">
        <w:rPr>
          <w:rFonts w:cstheme="minorHAnsi"/>
        </w:rPr>
        <w:fldChar w:fldCharType="begin" w:fldLock="1"/>
      </w:r>
      <w:r w:rsidR="002E7916" w:rsidRPr="004447F6">
        <w:rPr>
          <w:rFonts w:cstheme="minorHAnsi"/>
        </w:rPr>
        <w:instrText>ADDIN CSL_CITATION {"citationItems":[{"id":"ITEM-1","itemData":{"DOI":"10.1016/S1473-3099(21)00065-7","ISSN":"14744457","PMID":"33548195","author":[{"dropping-particle":"","family":"Fairgrieve","given":"Duncan","non-dropping-particle":"","parse-names":false,"suffix":""},{"dropping-particle":"","family":"Holm","given":"Søren","non-dropping-particle":"","parse-names":false,"suffix":""},{"dropping-particle":"","family":"Howells","given":"Geraint","non-dropping-particle":"","parse-names":false,"suffix":""},{"dropping-particle":"","family":"Kirchhelle","given":"Claas","non-dropping-particle":"","parse-names":false,"suffix":""},{"dropping-particle":"","family":"Vanderslott","given":"Samantha","non-dropping-particle":"","parse-names":false,"suffix":""}],"container-title":"The Lancet Infectious Diseases","id":"ITEM-1","issue":"4","issued":{"date-parts":[["2021"]]},"page":"448-450","title":"In favour of a bespoke COVID-19 vaccines compensation scheme","type":"article-journal","volume":"21"},"uris":["http://www.mendeley.com/documents/?uuid=75794d0b-fbc5-4c1a-8eb8-b1c2e3c4f104"]}],"mendeley":{"formattedCitation":"(68)","plainTextFormattedCitation":"(68)","previouslyFormattedCitation":"(71)"},"properties":{"noteIndex":0},"schema":"https://github.com/citation-style-language/schema/raw/master/csl-citation.json"}</w:instrText>
      </w:r>
      <w:r w:rsidRPr="004447F6">
        <w:rPr>
          <w:rFonts w:cstheme="minorHAnsi"/>
        </w:rPr>
        <w:fldChar w:fldCharType="separate"/>
      </w:r>
      <w:r w:rsidR="002E7916" w:rsidRPr="004447F6">
        <w:rPr>
          <w:rFonts w:cstheme="minorHAnsi"/>
          <w:noProof/>
        </w:rPr>
        <w:t>(68)</w:t>
      </w:r>
      <w:r w:rsidRPr="004447F6">
        <w:rPr>
          <w:rFonts w:cstheme="minorHAnsi"/>
        </w:rPr>
        <w:fldChar w:fldCharType="end"/>
      </w:r>
      <w:r w:rsidRPr="004447F6">
        <w:rPr>
          <w:rFonts w:cstheme="minorHAnsi"/>
        </w:rPr>
        <w:t xml:space="preserve">. </w:t>
      </w:r>
    </w:p>
    <w:p w14:paraId="15B06E54" w14:textId="64F9D4F1" w:rsidR="00624B8E" w:rsidRPr="004447F6" w:rsidRDefault="00EA3B06" w:rsidP="006C40EE">
      <w:pPr>
        <w:spacing w:line="360" w:lineRule="auto"/>
        <w:jc w:val="both"/>
        <w:rPr>
          <w:rFonts w:cstheme="minorHAnsi"/>
          <w:b/>
          <w:bCs/>
        </w:rPr>
      </w:pPr>
      <w:r w:rsidRPr="004447F6">
        <w:rPr>
          <w:rFonts w:cstheme="minorHAnsi"/>
          <w:b/>
          <w:bCs/>
        </w:rPr>
        <w:t xml:space="preserve">Functional </w:t>
      </w:r>
      <w:r w:rsidR="007C4E92" w:rsidRPr="004447F6">
        <w:rPr>
          <w:rFonts w:cstheme="minorHAnsi"/>
          <w:b/>
          <w:bCs/>
        </w:rPr>
        <w:t xml:space="preserve">Neurological Disorder </w:t>
      </w:r>
      <w:r w:rsidR="00812066" w:rsidRPr="004447F6">
        <w:rPr>
          <w:rFonts w:cstheme="minorHAnsi"/>
          <w:b/>
          <w:bCs/>
        </w:rPr>
        <w:t xml:space="preserve">(FND) </w:t>
      </w:r>
      <w:r w:rsidR="007221AE" w:rsidRPr="004447F6">
        <w:rPr>
          <w:rFonts w:cstheme="minorHAnsi"/>
          <w:b/>
          <w:bCs/>
        </w:rPr>
        <w:t>reactions to vaccination</w:t>
      </w:r>
    </w:p>
    <w:p w14:paraId="4835E9E5" w14:textId="00131DC2" w:rsidR="005D61C9" w:rsidRPr="004447F6" w:rsidRDefault="005D61C9" w:rsidP="00310CE5">
      <w:pPr>
        <w:spacing w:line="360" w:lineRule="auto"/>
        <w:jc w:val="both"/>
      </w:pPr>
      <w:r w:rsidRPr="004447F6">
        <w:rPr>
          <w:rFonts w:cstheme="minorHAnsi"/>
        </w:rPr>
        <w:t xml:space="preserve">As we have seen, an expected response to the vaccination programme, particularly in younger people, may be acute FND. </w:t>
      </w:r>
      <w:r w:rsidRPr="004447F6">
        <w:t xml:space="preserve"> Patients with FND may present with a range of neurological symptoms including, but not limited to, seizures, sensory abnormalities, gait or balance disturbance, and weakness. Symptoms arise as a disorder of neurological function as opposed to structural lesions, and often mimic patients’ expectations of illness models rather than symptoms seen in organic neurological disorders. These factors can lead to misinterpretations of such symptoms as being under the patient’s control and fuel both stigma and rejection of the diagnosis </w:t>
      </w:r>
      <w:r w:rsidRPr="004447F6">
        <w:fldChar w:fldCharType="begin" w:fldLock="1"/>
      </w:r>
      <w:r w:rsidR="00DB0E82" w:rsidRPr="004447F6">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(27)","plainTextFormattedCitation":"(27)","previouslyFormattedCitation":"(27)"},"properties":{"noteIndex":0},"schema":"https://github.com/citation-style-language/schema/raw/master/csl-citation.json"}</w:instrText>
      </w:r>
      <w:r w:rsidRPr="004447F6">
        <w:fldChar w:fldCharType="separate"/>
      </w:r>
      <w:r w:rsidR="00632A99" w:rsidRPr="004447F6">
        <w:rPr>
          <w:noProof/>
        </w:rPr>
        <w:t>(27)</w:t>
      </w:r>
      <w:r w:rsidRPr="004447F6">
        <w:fldChar w:fldCharType="end"/>
      </w:r>
      <w:r w:rsidRPr="004447F6">
        <w:t xml:space="preserve">. </w:t>
      </w:r>
      <w:r w:rsidRPr="004447F6">
        <w:rPr>
          <w:rFonts w:cstheme="minorHAnsi"/>
        </w:rPr>
        <w:t>As well as this,</w:t>
      </w:r>
      <w:r w:rsidR="00310CE5" w:rsidRPr="004447F6">
        <w:rPr>
          <w:rFonts w:cstheme="minorHAnsi"/>
        </w:rPr>
        <w:t xml:space="preserve"> healthcare workers are often unaware of, or lack confidence eliciting, the ‘positive’ clinical features that can reliably distinguish it from other neurological disorders </w:t>
      </w:r>
      <w:r w:rsidR="00310CE5" w:rsidRPr="004447F6">
        <w:rPr>
          <w:rFonts w:cstheme="minorHAnsi"/>
        </w:rPr>
        <w:fldChar w:fldCharType="begin" w:fldLock="1"/>
      </w:r>
      <w:r w:rsidR="00DB0E82" w:rsidRPr="004447F6">
        <w:rPr>
          <w:rFonts w:cstheme="minorHAnsi"/>
        </w:rPr>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(27)","plainTextFormattedCitation":"(27)","previouslyFormattedCitation":"(27)"},"properties":{"noteIndex":0},"schema":"https://github.com/citation-style-language/schema/raw/master/csl-citation.json"}</w:instrText>
      </w:r>
      <w:r w:rsidR="00310CE5" w:rsidRPr="004447F6">
        <w:rPr>
          <w:rFonts w:cstheme="minorHAnsi"/>
        </w:rPr>
        <w:fldChar w:fldCharType="separate"/>
      </w:r>
      <w:r w:rsidR="00632A99" w:rsidRPr="004447F6">
        <w:rPr>
          <w:rFonts w:cstheme="minorHAnsi"/>
          <w:noProof/>
        </w:rPr>
        <w:t>(27)</w:t>
      </w:r>
      <w:r w:rsidR="00310CE5" w:rsidRPr="004447F6">
        <w:rPr>
          <w:rFonts w:cstheme="minorHAnsi"/>
        </w:rPr>
        <w:fldChar w:fldCharType="end"/>
      </w:r>
      <w:r w:rsidR="00310CE5" w:rsidRPr="004447F6">
        <w:rPr>
          <w:rFonts w:cstheme="minorHAnsi"/>
        </w:rPr>
        <w:t xml:space="preserve">. </w:t>
      </w:r>
    </w:p>
    <w:p w14:paraId="20A24787" w14:textId="5F8EF4FD" w:rsidR="00812066" w:rsidRPr="004447F6" w:rsidRDefault="00812066" w:rsidP="00812066">
      <w:pPr>
        <w:spacing w:line="360" w:lineRule="auto"/>
        <w:jc w:val="both"/>
        <w:rPr>
          <w:rFonts w:cstheme="minorHAnsi"/>
        </w:rPr>
      </w:pPr>
      <w:r w:rsidRPr="004447F6">
        <w:rPr>
          <w:rFonts w:cstheme="minorHAnsi"/>
        </w:rPr>
        <w:lastRenderedPageBreak/>
        <w:t xml:space="preserve">Our understanding of FND has developed dramatically in </w:t>
      </w:r>
      <w:r w:rsidR="00E2355D" w:rsidRPr="004447F6">
        <w:rPr>
          <w:rFonts w:cstheme="minorHAnsi"/>
        </w:rPr>
        <w:t xml:space="preserve">the </w:t>
      </w:r>
      <w:r w:rsidRPr="004447F6">
        <w:rPr>
          <w:rFonts w:cstheme="minorHAnsi"/>
        </w:rPr>
        <w:t xml:space="preserve">last decade, and current models of the disorder challenge stress or psychological processes as the sole aetiological factor. Stress is not always present or relevant, and its primacy in older </w:t>
      </w:r>
      <w:r w:rsidR="00922ACA" w:rsidRPr="004447F6">
        <w:rPr>
          <w:rFonts w:cstheme="minorHAnsi"/>
        </w:rPr>
        <w:t xml:space="preserve">‘psychogenic’ or ‘conversion’ </w:t>
      </w:r>
      <w:r w:rsidRPr="004447F6">
        <w:rPr>
          <w:rFonts w:cstheme="minorHAnsi"/>
        </w:rPr>
        <w:t>models of FND has been replaced by more nuanced biopsychosocial models that, whilst acknowledging the important role of stress, do not assume its relevance for all. These models focus on cognitive and neurobiological processes underpinning symptom formation and persistence</w:t>
      </w:r>
      <w:r w:rsidR="00915BA7" w:rsidRPr="004447F6">
        <w:rPr>
          <w:rFonts w:cstheme="minorHAnsi"/>
        </w:rPr>
        <w:t>.</w:t>
      </w:r>
      <w:r w:rsidRPr="004447F6">
        <w:rPr>
          <w:rFonts w:cstheme="minorHAnsi"/>
        </w:rPr>
        <w:t xml:space="preserve"> Alongside the reduced primacy of psychological factors has been the acknowledgement of the importance of positive neurological signs </w:t>
      </w:r>
      <w:r w:rsidRPr="004447F6">
        <w:t>such as Hoover’s sign, which has a specificity of at least 95% in functional leg weakness</w:t>
      </w:r>
      <w:r w:rsidR="005D61C9" w:rsidRPr="004447F6">
        <w:t xml:space="preserve"> </w:t>
      </w:r>
      <w:r w:rsidR="005D61C9" w:rsidRPr="004447F6">
        <w:fldChar w:fldCharType="begin" w:fldLock="1"/>
      </w:r>
      <w:r w:rsidR="00DB0E82" w:rsidRPr="004447F6">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(27)","plainTextFormattedCitation":"(27)","previouslyFormattedCitation":"(27)"},"properties":{"noteIndex":0},"schema":"https://github.com/citation-style-language/schema/raw/master/csl-citation.json"}</w:instrText>
      </w:r>
      <w:r w:rsidR="005D61C9" w:rsidRPr="004447F6">
        <w:fldChar w:fldCharType="separate"/>
      </w:r>
      <w:r w:rsidR="00632A99" w:rsidRPr="004447F6">
        <w:rPr>
          <w:noProof/>
        </w:rPr>
        <w:t>(27)</w:t>
      </w:r>
      <w:r w:rsidR="005D61C9" w:rsidRPr="004447F6">
        <w:fldChar w:fldCharType="end"/>
      </w:r>
      <w:r w:rsidR="00915BA7" w:rsidRPr="004447F6">
        <w:t>.</w:t>
      </w:r>
      <w:r w:rsidRPr="004447F6">
        <w:t xml:space="preserve"> </w:t>
      </w:r>
      <w:r w:rsidRPr="004447F6">
        <w:rPr>
          <w:iCs/>
        </w:rPr>
        <w:t>It is recognised that a compassionate, thorough and open explanation of the disorder improves understanding and acceptance of the diagnosis and is a critical first step to successful treatment</w:t>
      </w:r>
      <w:r w:rsidR="001D3643" w:rsidRPr="004447F6">
        <w:rPr>
          <w:iCs/>
        </w:rPr>
        <w:t xml:space="preserve"> </w:t>
      </w:r>
      <w:r w:rsidR="001D3643" w:rsidRPr="004447F6">
        <w:rPr>
          <w:iCs/>
        </w:rPr>
        <w:fldChar w:fldCharType="begin" w:fldLock="1"/>
      </w:r>
      <w:r w:rsidR="00DB0E82" w:rsidRPr="004447F6">
        <w:rPr>
          <w:iCs/>
        </w:rPr>
        <w:instrText>ADDIN CSL_CITATION {"citationItems":[{"id":"ITEM-1","itemData":{"DOI":"10.1001/jamaneurol.2018.1264","ISSN":"21686149","PMID":"29868890","abstract":"The city of EL Alto is recognized as the epicenter of the October 2003 events that forced the resignation of president Gonzalo Sanchez de Lozada and began a political process that resulted in the erection of Evo Morales in 2005. Part of an explanation about how the residents of this city were able to articulate social mobilizations of such magnitude and impact is due to the predominately indigenous population of the city. This invites us to ask how the residents wove history of territory and the memories \"brought\" by the migrants from rural/indigenous communities in the construction of neighborhoods. In this essay I will argue that the current forms of social and neighborhood organization in El Alto, represent translations, adaptations, and re-inventions of forms of organization in their places of origin. This, in turn, manifests a complex tapestry of memories, social practices, and everyday actions, to give shape to their particular forms of organization. (English) [ABSTRACT FROM AUTHOR]","author":[{"dropping-particle":"","family":"Espay","given":"Alberto J.","non-dropping-particle":"","parse-names":false,"suffix":""},{"dropping-particle":"","family":"Aybek","given":"Selma","non-dropping-particle":"","parse-names":false,"suffix":""},{"dropping-particle":"","family":"Carson","given":"Alan","non-dropping-particle":"","parse-names":false,"suffix":""},{"dropping-particle":"","family":"Edwards","given":"Mark J.","non-dropping-particle":"","parse-names":false,"suffix":""},{"dropping-particle":"","family":"Goldstein","given":"Laura H.","non-dropping-particle":"","parse-names":false,"suffix":""},{"dropping-particle":"","family":"Hallett","given":"Mark","non-dropping-particle":"","parse-names":false,"suffix":""},{"dropping-particle":"","family":"LaFaver","given":"Kathrin","non-dropping-particle":"","parse-names":false,"suffix":""},{"dropping-particle":"","family":"LaFrance","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dropping-particle":"","family":"LaFrance Jr","given":"W Curt","non-dropping-particle":"","parse-names":false,"suffix":""},{"dropping-particle":"","family":"Lang","given":"Anthony E.","non-dropping-particle":"","parse-names":false,"suffix":""},{"dropping-particle":"","family":"Nicholson","given":"Tim","non-dropping-particle":"","parse-names":false,"suffix":""},{"dropping-particle":"","family":"Nielsen","given":"Glenn","non-dropping-particle":"","parse-names":false,"suffix":""},{"dropping-particle":"","family":"Reuber","given":"Markus","non-dropping-particle":"","parse-names":false,"suffix":""},{"dropping-particle":"","family":"Voon","given":"Valerie","non-dropping-particle":"","parse-names":false,"suffix":""},{"dropping-particle":"","family":"Stone","given":"Jon","non-dropping-particle":"","parse-names":false,"suffix":""},{"dropping-particle":"","family":"Morgante","given":"Francesca","non-dropping-particle":"","parse-names":false,"suffix":""}],"container-title":"JAMA Neurology","id":"ITEM-1","issue":"9","issued":{"date-parts":[["2018","9","1"]]},"page":"1132-1141","title":"Current concepts in diagnosis and treatment of functional neurological disorders","type":"article-journal","volume":"75"},"uris":["http://www.mendeley.com/documents/?uuid=a510b2fa-d4fd-4a68-a779-0c9817b8cc7f"]}],"mendeley":{"formattedCitation":"(27)","plainTextFormattedCitation":"(27)","previouslyFormattedCitation":"(27)"},"properties":{"noteIndex":0},"schema":"https://github.com/citation-style-language/schema/raw/master/csl-citation.json"}</w:instrText>
      </w:r>
      <w:r w:rsidR="001D3643" w:rsidRPr="004447F6">
        <w:rPr>
          <w:iCs/>
        </w:rPr>
        <w:fldChar w:fldCharType="separate"/>
      </w:r>
      <w:r w:rsidR="00632A99" w:rsidRPr="004447F6">
        <w:rPr>
          <w:iCs/>
          <w:noProof/>
        </w:rPr>
        <w:t>(27)</w:t>
      </w:r>
      <w:r w:rsidR="001D3643" w:rsidRPr="004447F6">
        <w:rPr>
          <w:iCs/>
        </w:rPr>
        <w:fldChar w:fldCharType="end"/>
      </w:r>
      <w:r w:rsidR="00915BA7" w:rsidRPr="004447F6">
        <w:rPr>
          <w:iCs/>
        </w:rPr>
        <w:t>.</w:t>
      </w:r>
    </w:p>
    <w:p w14:paraId="454FCFB8" w14:textId="0C3BFE54" w:rsidR="00973E3A" w:rsidRPr="004447F6" w:rsidRDefault="00812066" w:rsidP="00812066">
      <w:pPr>
        <w:spacing w:line="360" w:lineRule="auto"/>
        <w:jc w:val="both"/>
        <w:rPr>
          <w:rFonts w:cstheme="minorHAnsi"/>
        </w:rPr>
      </w:pPr>
      <w:r w:rsidRPr="004447F6">
        <w:rPr>
          <w:rFonts w:cstheme="minorHAnsi"/>
        </w:rPr>
        <w:t>In many cases, FND is precipitated by physical disorders, sometimes relatively ‘minor’ injuries or accidents</w:t>
      </w:r>
      <w:r w:rsidR="00915BA7" w:rsidRPr="004447F6">
        <w:rPr>
          <w:rFonts w:cstheme="minorHAnsi"/>
        </w:rPr>
        <w:t>.</w:t>
      </w:r>
      <w:r w:rsidRPr="004447F6">
        <w:rPr>
          <w:rFonts w:cstheme="minorHAnsi"/>
        </w:rPr>
        <w:t xml:space="preserve"> In the case of vaccination, it is plausible that physiological reactions (e.g., vasovagal symptoms or influenza-like symptoms), as well as unilateral pain from the injection site, may trigger and/or evolve into functional symptoms</w:t>
      </w:r>
      <w:r w:rsidR="00915BA7" w:rsidRPr="004447F6">
        <w:rPr>
          <w:rFonts w:cstheme="minorHAnsi"/>
        </w:rPr>
        <w:t xml:space="preserve"> </w:t>
      </w:r>
      <w:r w:rsidRPr="004447F6">
        <w:rPr>
          <w:rFonts w:cstheme="minorHAnsi"/>
        </w:rPr>
        <w:fldChar w:fldCharType="begin" w:fldLock="1"/>
      </w:r>
      <w:r w:rsidR="001A63D1" w:rsidRPr="004447F6">
        <w:rPr>
          <w:rFonts w:cstheme="minorHAnsi"/>
        </w:rPr>
        <w:instrText>ADDIN CSL_CITATION {"citationItems":[{"id":"ITEM-1","itemData":{"DOI":"10.1136/jnnp-2018-318297","ISSN":"1468330X","PMID":"30409887","abstract":"At the interface between mind and body, psychiatry and neurology, functional neurological disorder (FND) remains poorly understood. Formerly dominant stress-related aetiological models have been increasingly challenged, in part due to cases without any history of past or recent trauma. In this perspective article, we review current evidence for such models, and how research into the role of traumatic stress in other disorders and the neurobiology of the stress response can inform our mechanistic understanding of FND. First, we discuss the association between stress and the onset or exacerbation of a variety of physical and mental health problems. Second, we review the role of hypothalamic-pituitary-adrenal axis dysfunction in the neurobiology of ill-health, alongside evidence for similar mechanisms in FND. Third, we advocate a stress-diathesis model, in which biological susceptibility interacts with early life adversity, where FND can be precipitated by traumatic events later in life and maintained by psychological responses. We hypothesise that greater biological susceptibility to FND is associated with less severe remote and recent stress, and that FND precipitated by more severe stress is associated with lower biological vulnerability. This would explain clinical experience of variable exposure to historical and recent traumatic stress among people with FND and requires empirical investigation. A testable, evidence-based stress-diathesis model can inform nuanced understanding of how biological and psychological factors interact at the individual level, with potential to inform personalised treatment pathways. Much-needed research to establish the aetiology of FND will enhance clinical care and communication, facilitate effective treatment and inform prevention strategies.","author":[{"dropping-particle":"","family":"Keynejad","given":"Roxanne C.","non-dropping-particle":"","parse-names":false,"suffix":""},{"dropping-particle":"","family":"Frodl","given":"Thomas","non-dropping-particle":"","parse-names":false,"suffix":""},{"dropping-particle":"","family":"Kanaan","given":"Richard","non-dropping-particle":"","parse-names":false,"suffix":""},{"dropping-particle":"","family":"Pariante","given":"Carmine","non-dropping-particle":"","parse-names":false,"suffix":""},{"dropping-particle":"","family":"Reuber","given":"Markus","non-dropping-particle":"","parse-names":false,"suffix":""},{"dropping-particle":"","family":"Nicholson","given":"Timothy R.","non-dropping-particle":"","parse-names":false,"suffix":""}],"container-title":"Journal of Neurology, Neurosurgery and Psychiatry","id":"ITEM-1","issue":"7","issued":{"date-parts":[["2019"]]},"page":"813-821","title":"Stress and functional neurological disorders: Mechanistic insights","type":"article-journal","volume":"90"},"uris":["http://www.mendeley.com/documents/?uuid=ee0bbd8f-19cf-4dfa-a563-c0d1501c08b3"]}],"mendeley":{"formattedCitation":"(61)","plainTextFormattedCitation":"(61)","previouslyFormattedCitation":"(61)"},"properties":{"noteIndex":0},"schema":"https://github.com/citation-style-language/schema/raw/master/csl-citation.json"}</w:instrText>
      </w:r>
      <w:r w:rsidRPr="004447F6">
        <w:rPr>
          <w:rFonts w:cstheme="minorHAnsi"/>
        </w:rPr>
        <w:fldChar w:fldCharType="separate"/>
      </w:r>
      <w:r w:rsidR="00CB023D" w:rsidRPr="004447F6">
        <w:rPr>
          <w:rFonts w:cstheme="minorHAnsi"/>
          <w:noProof/>
        </w:rPr>
        <w:t>(61)</w:t>
      </w:r>
      <w:r w:rsidRPr="004447F6">
        <w:rPr>
          <w:rFonts w:cstheme="minorHAnsi"/>
        </w:rPr>
        <w:fldChar w:fldCharType="end"/>
      </w:r>
      <w:r w:rsidR="00915BA7" w:rsidRPr="004447F6">
        <w:rPr>
          <w:rFonts w:cstheme="minorHAnsi"/>
        </w:rPr>
        <w:t>.</w:t>
      </w:r>
      <w:r w:rsidR="00891732" w:rsidRPr="004447F6">
        <w:rPr>
          <w:rFonts w:cstheme="minorHAnsi"/>
        </w:rPr>
        <w:t xml:space="preserve"> </w:t>
      </w:r>
      <w:r w:rsidR="00973E3A" w:rsidRPr="004447F6">
        <w:rPr>
          <w:rFonts w:cstheme="minorHAnsi"/>
        </w:rPr>
        <w:t xml:space="preserve">Indeed, FND has been reported in response to previous vaccination campaigns, and case reports of FND precipitated by SARS-CoV-2 vaccination have been published </w:t>
      </w:r>
      <w:r w:rsidR="00973E3A" w:rsidRPr="004447F6">
        <w:rPr>
          <w:rFonts w:cstheme="minorHAnsi"/>
        </w:rPr>
        <w:fldChar w:fldCharType="begin" w:fldLock="1"/>
      </w:r>
      <w:r w:rsidR="00973E3A" w:rsidRPr="004447F6">
        <w:rPr>
          <w:rFonts w:cstheme="minorHAnsi"/>
        </w:rPr>
        <w:instrText>ADDIN CSL_CITATION {"citationItems":[{"id":"ITEM-1","itemData":{"author":[{"dropping-particle":"","family":"Butler","given":"Matthew","non-dropping-particle":"","parse-names":false,"suffix":""},{"dropping-particle":"","family":"Coebergh","given":"Jan","non-dropping-particle":"","parse-names":false,"suffix":""},{"dropping-particle":"","family":"Safavi","given":"Farinaz","non-dropping-particle":"","parse-names":false,"suffix":""},{"dropping-particle":"","family":"Carson","given":"Alan","non-dropping-particle":"","parse-names":false,"suffix":""},{"dropping-particle":"","family":"Hallett","given":"Mark","non-dropping-particle":"","parse-names":false,"suffix":""},{"dropping-particle":"","family":"Michael","given":"Benedict","non-dropping-particle":"","parse-names":false,"suffix":""},{"dropping-particle":"","family":"Pollak","given":"Thomas A","non-dropping-particle":"","parse-names":false,"suffix":""},{"dropping-particle":"","family":"Solomon","given":"Tom","non-dropping-particle":"","parse-names":false,"suffix":""},{"dropping-particle":"","family":"Stone","given":"Jon","non-dropping-particle":"","parse-names":false,"suffix":""},{"dropping-particle":"","family":"Nicholson","given":"Timothy R","non-dropping-particle":"","parse-names":false,"suffix":""}],"container-title":"The Journal of Neuropsychiatry and Clinical Neurosciences","id":"ITEM-1","issued":{"date-parts":[["2021"]]},"title":"Functional neurological disorder after SARS-CoV-2 vaccines: two case reports and discussion of potential public health implications","type":"article-journal","volume":"IN PRESS"},"uris":["http://www.mendeley.com/documents/?uuid=6f415888-a3f8-4de8-b5e9-87a00221f4bf"]}],"mendeley":{"formattedCitation":"(59)","plainTextFormattedCitation":"(59)","previouslyFormattedCitation":"(59)"},"properties":{"noteIndex":0},"schema":"https://github.com/citation-style-language/schema/raw/master/csl-citation.json"}</w:instrText>
      </w:r>
      <w:r w:rsidR="00973E3A" w:rsidRPr="004447F6">
        <w:rPr>
          <w:rFonts w:cstheme="minorHAnsi"/>
        </w:rPr>
        <w:fldChar w:fldCharType="separate"/>
      </w:r>
      <w:r w:rsidR="00973E3A" w:rsidRPr="004447F6">
        <w:rPr>
          <w:rFonts w:cstheme="minorHAnsi"/>
          <w:noProof/>
        </w:rPr>
        <w:t>(59)</w:t>
      </w:r>
      <w:r w:rsidR="00973E3A" w:rsidRPr="004447F6">
        <w:rPr>
          <w:rFonts w:cstheme="minorHAnsi"/>
        </w:rPr>
        <w:fldChar w:fldCharType="end"/>
      </w:r>
      <w:r w:rsidR="00973E3A" w:rsidRPr="004447F6">
        <w:rPr>
          <w:rFonts w:cstheme="minorHAnsi"/>
        </w:rPr>
        <w:t xml:space="preserve">. Despite this, clinicians must continue to be just as judicious in attributing causality of SARS-CoV-2 vaccines to FNDs as with any other neurological adverse event. </w:t>
      </w:r>
    </w:p>
    <w:p w14:paraId="4033B5F8" w14:textId="7717D2FD" w:rsidR="00B965E5" w:rsidRPr="004447F6" w:rsidRDefault="00891732" w:rsidP="00812066">
      <w:pPr>
        <w:spacing w:line="360" w:lineRule="auto"/>
        <w:jc w:val="both"/>
        <w:rPr>
          <w:rFonts w:cstheme="minorHAnsi"/>
        </w:rPr>
      </w:pPr>
      <w:r w:rsidRPr="004447F6">
        <w:rPr>
          <w:rFonts w:cstheme="minorHAnsi"/>
        </w:rPr>
        <w:t>Th</w:t>
      </w:r>
      <w:r w:rsidR="00973E3A" w:rsidRPr="004447F6">
        <w:rPr>
          <w:rFonts w:cstheme="minorHAnsi"/>
        </w:rPr>
        <w:t>e capacity for functional symptoms to develop</w:t>
      </w:r>
      <w:r w:rsidRPr="004447F6">
        <w:rPr>
          <w:rFonts w:cstheme="minorHAnsi"/>
        </w:rPr>
        <w:t xml:space="preserve"> </w:t>
      </w:r>
      <w:r w:rsidR="00973E3A" w:rsidRPr="004447F6">
        <w:rPr>
          <w:rFonts w:cstheme="minorHAnsi"/>
        </w:rPr>
        <w:t xml:space="preserve">in response to vaccination </w:t>
      </w:r>
      <w:r w:rsidRPr="004447F6">
        <w:rPr>
          <w:rFonts w:cstheme="minorHAnsi"/>
        </w:rPr>
        <w:t xml:space="preserve">may </w:t>
      </w:r>
      <w:r w:rsidR="00973E3A" w:rsidRPr="004447F6">
        <w:rPr>
          <w:rFonts w:cstheme="minorHAnsi"/>
        </w:rPr>
        <w:t xml:space="preserve">be increased due to wider factors of the global SARS-CoV-2 vaccination campaign. </w:t>
      </w:r>
      <w:r w:rsidR="007516F9" w:rsidRPr="004447F6">
        <w:rPr>
          <w:rFonts w:cstheme="minorHAnsi"/>
        </w:rPr>
        <w:t xml:space="preserve">Patients with FND have been shown to have </w:t>
      </w:r>
      <w:r w:rsidR="00A472BD" w:rsidRPr="004447F6">
        <w:rPr>
          <w:rFonts w:cstheme="minorHAnsi"/>
        </w:rPr>
        <w:t>heightened</w:t>
      </w:r>
      <w:r w:rsidR="007516F9" w:rsidRPr="004447F6">
        <w:rPr>
          <w:rFonts w:cstheme="minorHAnsi"/>
        </w:rPr>
        <w:t xml:space="preserve"> suggestibility</w:t>
      </w:r>
      <w:r w:rsidR="00424CB1" w:rsidRPr="004447F6">
        <w:rPr>
          <w:rFonts w:cstheme="minorHAnsi"/>
        </w:rPr>
        <w:t xml:space="preserve"> </w:t>
      </w:r>
      <w:r w:rsidR="00424CB1" w:rsidRPr="004447F6">
        <w:rPr>
          <w:rFonts w:cstheme="minorHAnsi"/>
        </w:rPr>
        <w:fldChar w:fldCharType="begin" w:fldLock="1"/>
      </w:r>
      <w:r w:rsidR="002E7916" w:rsidRPr="004447F6">
        <w:rPr>
          <w:rFonts w:cstheme="minorHAnsi"/>
        </w:rPr>
        <w:instrText>ADDIN CSL_CITATION {"citationItems":[{"id":"ITEM-1","itemData":{"DOI":"10.1101/2020.05.30.20117705","ISSN":"1468-330X","abstract":"Objective Responsiveness to direct verbal suggestions (suggestibility) has long been hypothesized to represent a predisposing factor for functional neurological disorder (FND) but previous research has yielded conflicting results. The aim of this study was to quantitatively evaluate whether FND patients display elevated suggestibility relative to controls via meta-analysis. Methods Four electronic databases were searched in November 2019, with the search updated in April 2020, for original studies assessing suggestibility using standardized behavioural scales or suggestive symptom induction protocols in FND patients and controls. The meta-analysis followed Cochrane, PRISMA, and MOOSE guidelines. Data extraction and study quality coding were performed by two independent reviewers. Standardized suggestibility scores and responsiveness to symptom induction protocols were used to calculate standardized mean differences (SMDs) between groups. Results Of 26,643 search results, 19 articles presenting 11 standardized suggestibility datasets (FND: n=316; control: n=360) and 11 symptom suggestibility datasets (FND: n=1285; control: n=1409) were included in random-effects meta-analyses. Meta-analyses revealed that FND patients displayed greater suggestibility than controls on standardized behavioural scales (SMD, 0.48 [95% CI, 0.15, 0.81]) and greater responsiveness to suggestive symptom induction (SMD, 1.39 [95% CI, 0.92, 1.86]). Moderation analyses presented mixed evidence regarding the extent to which effect sizes covaried with methodological differences across studies. No evidence of publication bias was found. Conclusions These results corroborate the hypothesis that FND is characterized by heightened responsiveness to verbal suggestion. Atypical suggestibility may confer risk for FND and be a cognitive marker that can inform diagnosis and treatment of this condition.Competing Interest StatementThe authors have declared no competing interest.Funding StatementThis study was supported by Bial Foundation bursary 70/16 and a Gyllenbergs Foundation fellowship, both to DBT. None of the authors at any time received payment or services from a third party for any aspect of the submitted work.Author DeclarationsI confirm all relevant ethical guidelines have been followed, and any necessary IRB and/or ethics committee approvals have been obtained.YesThe details of the IRB/oversight body that provided approval or exemption for the research described are given below:N/AAl…","author":[{"dropping-particle":"","family":"Wieder","given":"Lillian","non-dropping-particle":"","parse-names":false,"suffix":""},{"dropping-particle":"","family":"Brown","given":"Richard","non-dropping-particle":"","parse-names":false,"suffix":""},{"dropping-particle":"","family":"Thompson","given":"Trevor","non-dropping-particle":"","parse-names":false,"suffix":""},{"dropping-particle":"","family":"Terhune","given":"Devin","non-dropping-particle":"","parse-names":false,"suffix":""}],"container-title":"Journal of Neurology, Neurosurgery &amp; Psychiatry","id":"ITEM-1","issued":{"date-parts":[["2020","1","1"]]},"page":"jnnp-2020-323706","title":"Suggestibility in functional neurological disorder: A meta-analysis","type":"article-journal"},"uris":["http://www.mendeley.com/documents/?uuid=902ff9cd-4f08-4aaf-ac00-69f5616977d4"]}],"mendeley":{"formattedCitation":"(70)","plainTextFormattedCitation":"(70)","previouslyFormattedCitation":"(68)"},"properties":{"noteIndex":0},"schema":"https://github.com/citation-style-language/schema/raw/master/csl-citation.json"}</w:instrText>
      </w:r>
      <w:r w:rsidR="00424CB1" w:rsidRPr="004447F6">
        <w:rPr>
          <w:rFonts w:cstheme="minorHAnsi"/>
        </w:rPr>
        <w:fldChar w:fldCharType="separate"/>
      </w:r>
      <w:r w:rsidR="002E7916" w:rsidRPr="004447F6">
        <w:rPr>
          <w:rFonts w:cstheme="minorHAnsi"/>
          <w:noProof/>
        </w:rPr>
        <w:t>(70)</w:t>
      </w:r>
      <w:r w:rsidR="00424CB1" w:rsidRPr="004447F6">
        <w:rPr>
          <w:rFonts w:cstheme="minorHAnsi"/>
        </w:rPr>
        <w:fldChar w:fldCharType="end"/>
      </w:r>
      <w:r w:rsidR="007516F9" w:rsidRPr="004447F6">
        <w:rPr>
          <w:rFonts w:cstheme="minorHAnsi"/>
        </w:rPr>
        <w:t xml:space="preserve">, which is currently understood in a Bayesian framework </w:t>
      </w:r>
      <w:r w:rsidR="00424CB1" w:rsidRPr="004447F6">
        <w:rPr>
          <w:rFonts w:cstheme="minorHAnsi"/>
        </w:rPr>
        <w:t>to reflect a tendency to form</w:t>
      </w:r>
      <w:r w:rsidR="007516F9" w:rsidRPr="004447F6">
        <w:rPr>
          <w:rFonts w:cstheme="minorHAnsi"/>
        </w:rPr>
        <w:t xml:space="preserve"> over-precise ‘priors’ </w:t>
      </w:r>
      <w:r w:rsidR="007516F9" w:rsidRPr="004447F6">
        <w:rPr>
          <w:rFonts w:cstheme="minorHAnsi"/>
        </w:rPr>
        <w:fldChar w:fldCharType="begin" w:fldLock="1"/>
      </w:r>
      <w:r w:rsidR="002E7916" w:rsidRPr="004447F6">
        <w:rPr>
          <w:rFonts w:cstheme="minorHAnsi"/>
        </w:rPr>
        <w:instrText>ADDIN CSL_CITATION {"citationItems":[{"id":"ITEM-1","itemData":{"DOI":"10.1093/brain/aws129","ISBN":"0006-8950\\r1460-2156","ISSN":"14602156","PMID":"22641838","abstract":"This article provides a neurobiological account of symptoms that have been called 'hysterical', 'psychogenic' or 'medically unexplained', which we will call functional motor and sensory symptoms. We use a neurobiologically informed model of hierarchical Bayesian inference in the brain to explain functional motor and sensory symptoms in terms of perception and action arising from inference based on prior beliefs and sensory information. This explanation exploits the key balance between prior beliefs and sensory evidence that is mediated by (body focused) attention, symptom expectations, physical and emotional experiences and beliefs about illness. Crucially, this furnishes an explanation at three different levels: (i) underlying neuromodulatory (synaptic) mechanisms; (ii) cognitive and experiential processes (attention and attribution of agency); and (iii) formal computations that underlie perceptual inference (representation of uncertainty or precision). Our explanation involves primary and secondary failures of inference; the primary failure is the (autonomous) emergence of a percept or belief that is held with undue certainty (precision) following top-down attentional modulation of synaptic gain. This belief can constitute a sensory percept (or its absence) or induce movement (or its absence). The secondary failure of inference is when the ensuing percept (and any somatosensory consequences) is falsely inferred to be a symptom to explain why its content was not predicted by the source of attentional modulation. This account accommodates several fundamental observations about functional motor and sensory symptoms, including: (i) their induction and maintenance by attention; (ii) their modification by expectation, prior experience and cultural beliefs and (iii) their involuntary and symptomatic nature.","author":[{"dropping-particle":"","family":"Edwards","given":"Mark J.","non-dropping-particle":"","parse-names":false,"suffix":""},{"dropping-particle":"","family":"Adams","given":"Rick A.","non-dropping-particle":"","parse-names":false,"suffix":""},{"dropping-particle":"","family":"Brown","given":"Harriet","non-dropping-particle":"","parse-names":false,"suffix":""},{"dropping-particle":"","family":"Pareés","given":"Isabel","non-dropping-particle":"","parse-names":false,"suffix":""},{"dropping-particle":"","family":"Friston","given":"Karl J.","non-dropping-particle":"","parse-names":false,"suffix":""}],"container-title":"Brain","id":"ITEM-1","issue":"11","issued":{"date-parts":[["2012"]]},"title":"A Bayesian account of 'hysteria'","type":"article-journal","volume":"135"},"uris":["http://www.mendeley.com/documents/?uuid=52fccee7-9e0a-4746-8161-3d355b71e486"]}],"mendeley":{"formattedCitation":"(71)","plainTextFormattedCitation":"(71)","previouslyFormattedCitation":"(69)"},"properties":{"noteIndex":0},"schema":"https://github.com/citation-style-language/schema/raw/master/csl-citation.json"}</w:instrText>
      </w:r>
      <w:r w:rsidR="007516F9" w:rsidRPr="004447F6">
        <w:rPr>
          <w:rFonts w:cstheme="minorHAnsi"/>
        </w:rPr>
        <w:fldChar w:fldCharType="separate"/>
      </w:r>
      <w:r w:rsidR="002E7916" w:rsidRPr="004447F6">
        <w:rPr>
          <w:rFonts w:cstheme="minorHAnsi"/>
          <w:noProof/>
        </w:rPr>
        <w:t>(71)</w:t>
      </w:r>
      <w:r w:rsidR="007516F9" w:rsidRPr="004447F6">
        <w:rPr>
          <w:rFonts w:cstheme="minorHAnsi"/>
        </w:rPr>
        <w:fldChar w:fldCharType="end"/>
      </w:r>
      <w:r w:rsidR="007516F9" w:rsidRPr="004447F6">
        <w:rPr>
          <w:rFonts w:cstheme="minorHAnsi"/>
        </w:rPr>
        <w:t>.</w:t>
      </w:r>
      <w:r w:rsidR="00424CB1" w:rsidRPr="004447F6">
        <w:rPr>
          <w:rFonts w:cstheme="minorHAnsi"/>
        </w:rPr>
        <w:t xml:space="preserve"> </w:t>
      </w:r>
      <w:r w:rsidR="00A472BD" w:rsidRPr="004447F6">
        <w:rPr>
          <w:rFonts w:cstheme="minorHAnsi"/>
        </w:rPr>
        <w:t>Attentional focus on</w:t>
      </w:r>
      <w:r w:rsidR="00424CB1" w:rsidRPr="004447F6">
        <w:rPr>
          <w:rFonts w:cstheme="minorHAnsi"/>
        </w:rPr>
        <w:t xml:space="preserve"> </w:t>
      </w:r>
      <w:r w:rsidR="009B16B4" w:rsidRPr="004447F6">
        <w:rPr>
          <w:rFonts w:cstheme="minorHAnsi"/>
        </w:rPr>
        <w:t>potential</w:t>
      </w:r>
      <w:r w:rsidR="00424CB1" w:rsidRPr="004447F6">
        <w:rPr>
          <w:rFonts w:cstheme="minorHAnsi"/>
        </w:rPr>
        <w:t xml:space="preserve"> neurological side effects, particularly </w:t>
      </w:r>
      <w:r w:rsidR="009B16B4" w:rsidRPr="004447F6">
        <w:rPr>
          <w:rFonts w:cstheme="minorHAnsi"/>
        </w:rPr>
        <w:t>in the context of</w:t>
      </w:r>
      <w:r w:rsidR="00424CB1" w:rsidRPr="004447F6">
        <w:rPr>
          <w:rFonts w:cstheme="minorHAnsi"/>
        </w:rPr>
        <w:t xml:space="preserve"> ex</w:t>
      </w:r>
      <w:r w:rsidR="00B965E5" w:rsidRPr="004447F6">
        <w:rPr>
          <w:rFonts w:cstheme="minorHAnsi"/>
        </w:rPr>
        <w:t>tensive</w:t>
      </w:r>
      <w:r w:rsidR="00424CB1" w:rsidRPr="004447F6">
        <w:rPr>
          <w:rFonts w:cstheme="minorHAnsi"/>
        </w:rPr>
        <w:t xml:space="preserve"> media interest,</w:t>
      </w:r>
      <w:r w:rsidR="00973E3A" w:rsidRPr="004447F6">
        <w:rPr>
          <w:rFonts w:cstheme="minorHAnsi"/>
        </w:rPr>
        <w:t xml:space="preserve"> may result in somatic hypervigilance for specific symptoms in s</w:t>
      </w:r>
      <w:r w:rsidR="00A472BD" w:rsidRPr="004447F6">
        <w:rPr>
          <w:rFonts w:cstheme="minorHAnsi"/>
        </w:rPr>
        <w:t>ome</w:t>
      </w:r>
      <w:r w:rsidR="00973E3A" w:rsidRPr="004447F6">
        <w:rPr>
          <w:rFonts w:cstheme="minorHAnsi"/>
        </w:rPr>
        <w:t xml:space="preserve"> individuals</w:t>
      </w:r>
      <w:r w:rsidR="00A472BD" w:rsidRPr="004447F6">
        <w:rPr>
          <w:rFonts w:cstheme="minorHAnsi"/>
        </w:rPr>
        <w:t>, which in turn is likely to contribute to an increased risk of FND</w:t>
      </w:r>
      <w:r w:rsidR="00973E3A" w:rsidRPr="004447F6">
        <w:rPr>
          <w:rFonts w:cstheme="minorHAnsi"/>
        </w:rPr>
        <w:t xml:space="preserve"> </w:t>
      </w:r>
      <w:r w:rsidR="00973E3A" w:rsidRPr="004447F6">
        <w:rPr>
          <w:rFonts w:cstheme="minorHAnsi"/>
        </w:rPr>
        <w:fldChar w:fldCharType="begin" w:fldLock="1"/>
      </w:r>
      <w:r w:rsidR="00973E3A" w:rsidRPr="004447F6">
        <w:rPr>
          <w:rFonts w:cstheme="minorHAnsi"/>
        </w:rPr>
        <w:instrText>ADDIN CSL_CITATION {"citationItems":[{"id":"ITEM-1","itemData":{"URL":"https://www.fndsociety.org/UserFiles/file/FNDSSocietyPressReleaseCOVIDVaccines.pdf","accessed":{"date-parts":[["2021","2","20"]]},"author":[{"dropping-particle":"","family":"Functional Neurological Disorder Society","given":"","non-dropping-particle":"","parse-names":false,"suffix":""}],"id":"ITEM-1","issued":{"date-parts":[["2021"]]},"title":"FNDS Press Release COVID Vaccines","type":"webpage"},"uris":["http://www.mendeley.com/documents/?uuid=94250848-70b7-4e26-95a6-00f61affb44b"]}],"mendeley":{"formattedCitation":"(52)","plainTextFormattedCitation":"(52)","previouslyFormattedCitation":"(52)"},"properties":{"noteIndex":0},"schema":"https://github.com/citation-style-language/schema/raw/master/csl-citation.json"}</w:instrText>
      </w:r>
      <w:r w:rsidR="00973E3A" w:rsidRPr="004447F6">
        <w:rPr>
          <w:rFonts w:cstheme="minorHAnsi"/>
        </w:rPr>
        <w:fldChar w:fldCharType="separate"/>
      </w:r>
      <w:r w:rsidR="00973E3A" w:rsidRPr="004447F6">
        <w:rPr>
          <w:rFonts w:cstheme="minorHAnsi"/>
          <w:noProof/>
        </w:rPr>
        <w:t>(52)</w:t>
      </w:r>
      <w:r w:rsidR="00973E3A" w:rsidRPr="004447F6">
        <w:rPr>
          <w:rFonts w:cstheme="minorHAnsi"/>
        </w:rPr>
        <w:fldChar w:fldCharType="end"/>
      </w:r>
      <w:r w:rsidR="00973E3A" w:rsidRPr="004447F6">
        <w:rPr>
          <w:rFonts w:cstheme="minorHAnsi"/>
        </w:rPr>
        <w:t xml:space="preserve">. </w:t>
      </w:r>
      <w:r w:rsidR="00424CB1" w:rsidRPr="004447F6">
        <w:rPr>
          <w:rFonts w:cstheme="minorHAnsi"/>
        </w:rPr>
        <w:t xml:space="preserve"> </w:t>
      </w:r>
      <w:r w:rsidR="009B16B4" w:rsidRPr="004447F6">
        <w:rPr>
          <w:rFonts w:cstheme="minorHAnsi"/>
        </w:rPr>
        <w:t>Conceptually, this is supported by</w:t>
      </w:r>
      <w:r w:rsidR="005D61C9" w:rsidRPr="004447F6">
        <w:rPr>
          <w:rFonts w:cstheme="minorHAnsi"/>
        </w:rPr>
        <w:t xml:space="preserve"> the improvement of </w:t>
      </w:r>
      <w:r w:rsidR="009B16B4" w:rsidRPr="004447F6">
        <w:rPr>
          <w:rFonts w:cstheme="minorHAnsi"/>
        </w:rPr>
        <w:t>cases of FND in response to previous vaccination campaigns</w:t>
      </w:r>
      <w:r w:rsidR="005D61C9" w:rsidRPr="004447F6">
        <w:rPr>
          <w:rFonts w:cstheme="minorHAnsi"/>
        </w:rPr>
        <w:t xml:space="preserve"> </w:t>
      </w:r>
      <w:r w:rsidR="009B16B4" w:rsidRPr="004447F6">
        <w:rPr>
          <w:rFonts w:cstheme="minorHAnsi"/>
        </w:rPr>
        <w:t xml:space="preserve">once media coverage of the events ceased </w:t>
      </w:r>
      <w:r w:rsidR="009B16B4" w:rsidRPr="004447F6">
        <w:rPr>
          <w:rFonts w:cstheme="minorHAnsi"/>
        </w:rPr>
        <w:fldChar w:fldCharType="begin" w:fldLock="1"/>
      </w:r>
      <w:r w:rsidR="002E7916" w:rsidRPr="004447F6">
        <w:rPr>
          <w:rFonts w:cstheme="minorHAnsi"/>
        </w:rPr>
        <w:instrText>ADDIN CSL_CITATION {"citationItems":[{"id":"ITEM-1","itemData":{"DOI":"10.1258/jrsm.2012.120053","ISSN":"02675331","PMID":"23288084","author":[{"dropping-particle":"","family":"Bartholomew","given":"Robert E.","non-dropping-particle":"","parse-names":false,"suffix":""},{"dropping-particle":"","family":"Wessely","given":"Simon","non-dropping-particle":"","parse-names":false,"suffix":""},{"dropping-particle":"","family":"Rubin","given":"G. James","non-dropping-particle":"","parse-names":false,"suffix":""}],"container-title":"Journal of the Royal Society of Medicine, Supplement","id":"ITEM-1","issue":"12","issued":{"date-parts":[["2012"]]},"page":"509-512","title":"Mass psychogenic illness and the social network: Is it changing the pattern of outbreaks?","type":"article-journal","volume":"105"},"uris":["http://www.mendeley.com/documents/?uuid=05da9a28-5c1f-4815-b9fa-e31bf41562c2"]}],"mendeley":{"formattedCitation":"(72)","plainTextFormattedCitation":"(72)","previouslyFormattedCitation":"(70)"},"properties":{"noteIndex":0},"schema":"https://github.com/citation-style-language/schema/raw/master/csl-citation.json"}</w:instrText>
      </w:r>
      <w:r w:rsidR="009B16B4" w:rsidRPr="004447F6">
        <w:rPr>
          <w:rFonts w:cstheme="minorHAnsi"/>
        </w:rPr>
        <w:fldChar w:fldCharType="separate"/>
      </w:r>
      <w:r w:rsidR="002E7916" w:rsidRPr="004447F6">
        <w:rPr>
          <w:rFonts w:cstheme="minorHAnsi"/>
          <w:noProof/>
        </w:rPr>
        <w:t>(72)</w:t>
      </w:r>
      <w:r w:rsidR="009B16B4" w:rsidRPr="004447F6">
        <w:rPr>
          <w:rFonts w:cstheme="minorHAnsi"/>
        </w:rPr>
        <w:fldChar w:fldCharType="end"/>
      </w:r>
      <w:r w:rsidR="009B16B4" w:rsidRPr="004447F6">
        <w:rPr>
          <w:rFonts w:cstheme="minorHAnsi"/>
        </w:rPr>
        <w:t>.  Furthermore, t</w:t>
      </w:r>
      <w:r w:rsidR="00B965E5" w:rsidRPr="004447F6">
        <w:rPr>
          <w:rFonts w:cstheme="minorHAnsi"/>
        </w:rPr>
        <w:t>he capacity of social media to facilitate the dissemination of information, as well as mis- and disinformation, may contribute to the worldwide spread of functional reactions to vaccines</w:t>
      </w:r>
      <w:r w:rsidR="009B16B4" w:rsidRPr="004447F6">
        <w:rPr>
          <w:rFonts w:cstheme="minorHAnsi"/>
        </w:rPr>
        <w:t xml:space="preserve"> </w:t>
      </w:r>
      <w:r w:rsidR="00B965E5" w:rsidRPr="004447F6">
        <w:rPr>
          <w:rFonts w:cstheme="minorHAnsi"/>
        </w:rPr>
        <w:fldChar w:fldCharType="begin" w:fldLock="1"/>
      </w:r>
      <w:r w:rsidR="002E7916" w:rsidRPr="004447F6">
        <w:rPr>
          <w:rFonts w:cstheme="minorHAnsi"/>
        </w:rPr>
        <w:instrText>ADDIN CSL_CITATION {"citationItems":[{"id":"ITEM-1","itemData":{"DOI":"10.1258/jrsm.2012.120053","ISSN":"02675331","PMID":"23288084","author":[{"dropping-particle":"","family":"Bartholomew","given":"Robert E.","non-dropping-particle":"","parse-names":false,"suffix":""},{"dropping-particle":"","family":"Wessely","given":"Simon","non-dropping-particle":"","parse-names":false,"suffix":""},{"dropping-particle":"","family":"Rubin","given":"G. James","non-dropping-particle":"","parse-names":false,"suffix":""}],"container-title":"Journal of the Royal Society of Medicine, Supplement","id":"ITEM-1","issue":"12","issued":{"date-parts":[["2012"]]},"page":"509-512","title":"Mass psychogenic illness and the social network: Is it changing the pattern of outbreaks?","type":"article-journal","volume":"105"},"uris":["http://www.mendeley.com/documents/?uuid=05da9a28-5c1f-4815-b9fa-e31bf41562c2"]}],"mendeley":{"formattedCitation":"(72)","plainTextFormattedCitation":"(72)","previouslyFormattedCitation":"(70)"},"properties":{"noteIndex":0},"schema":"https://github.com/citation-style-language/schema/raw/master/csl-citation.json"}</w:instrText>
      </w:r>
      <w:r w:rsidR="00B965E5" w:rsidRPr="004447F6">
        <w:rPr>
          <w:rFonts w:cstheme="minorHAnsi"/>
        </w:rPr>
        <w:fldChar w:fldCharType="separate"/>
      </w:r>
      <w:r w:rsidR="002E7916" w:rsidRPr="004447F6">
        <w:rPr>
          <w:rFonts w:cstheme="minorHAnsi"/>
          <w:noProof/>
        </w:rPr>
        <w:t>(72)</w:t>
      </w:r>
      <w:r w:rsidR="00B965E5" w:rsidRPr="004447F6">
        <w:rPr>
          <w:rFonts w:cstheme="minorHAnsi"/>
        </w:rPr>
        <w:fldChar w:fldCharType="end"/>
      </w:r>
      <w:r w:rsidR="00B965E5" w:rsidRPr="004447F6">
        <w:rPr>
          <w:rFonts w:cstheme="minorHAnsi"/>
        </w:rPr>
        <w:t xml:space="preserve">.  </w:t>
      </w:r>
    </w:p>
    <w:p w14:paraId="563F001F" w14:textId="29EAB157" w:rsidR="007516F9" w:rsidRPr="004447F6" w:rsidRDefault="00B965E5" w:rsidP="00812066">
      <w:pPr>
        <w:spacing w:line="360" w:lineRule="auto"/>
        <w:jc w:val="both"/>
        <w:rPr>
          <w:rFonts w:cstheme="minorHAnsi"/>
        </w:rPr>
      </w:pPr>
      <w:r w:rsidRPr="004447F6">
        <w:rPr>
          <w:rFonts w:cstheme="minorHAnsi"/>
        </w:rPr>
        <w:t>The influence of media coverage</w:t>
      </w:r>
      <w:r w:rsidR="009B16B4" w:rsidRPr="004447F6">
        <w:rPr>
          <w:rFonts w:cstheme="minorHAnsi"/>
        </w:rPr>
        <w:t xml:space="preserve"> and public perception of vaccine reactions</w:t>
      </w:r>
      <w:r w:rsidRPr="004447F6">
        <w:rPr>
          <w:rFonts w:cstheme="minorHAnsi"/>
        </w:rPr>
        <w:t xml:space="preserve"> on susceptibility to FND </w:t>
      </w:r>
      <w:r w:rsidR="009B16B4" w:rsidRPr="004447F6">
        <w:rPr>
          <w:rFonts w:cstheme="minorHAnsi"/>
        </w:rPr>
        <w:t xml:space="preserve">offers a potential opportunity for healthcare professionals to reduce </w:t>
      </w:r>
      <w:r w:rsidR="005D61C9" w:rsidRPr="004447F6">
        <w:rPr>
          <w:rFonts w:cstheme="minorHAnsi"/>
        </w:rPr>
        <w:t xml:space="preserve">the </w:t>
      </w:r>
      <w:r w:rsidR="009B16B4" w:rsidRPr="004447F6">
        <w:rPr>
          <w:rFonts w:cstheme="minorHAnsi"/>
        </w:rPr>
        <w:t xml:space="preserve">incidence of </w:t>
      </w:r>
      <w:r w:rsidR="005D61C9" w:rsidRPr="004447F6">
        <w:rPr>
          <w:rFonts w:cstheme="minorHAnsi"/>
        </w:rPr>
        <w:t xml:space="preserve">expected </w:t>
      </w:r>
      <w:r w:rsidR="00A472BD" w:rsidRPr="004447F6">
        <w:rPr>
          <w:rFonts w:cstheme="minorHAnsi"/>
        </w:rPr>
        <w:t>vaccine related</w:t>
      </w:r>
      <w:r w:rsidR="005D61C9" w:rsidRPr="004447F6">
        <w:rPr>
          <w:rFonts w:cstheme="minorHAnsi"/>
        </w:rPr>
        <w:t xml:space="preserve"> </w:t>
      </w:r>
      <w:r w:rsidR="009B16B4" w:rsidRPr="004447F6">
        <w:rPr>
          <w:rFonts w:cstheme="minorHAnsi"/>
        </w:rPr>
        <w:t>FND</w:t>
      </w:r>
      <w:r w:rsidR="00B47D2D" w:rsidRPr="004447F6">
        <w:rPr>
          <w:rFonts w:cstheme="minorHAnsi"/>
        </w:rPr>
        <w:t xml:space="preserve">. The </w:t>
      </w:r>
      <w:r w:rsidRPr="004447F6">
        <w:rPr>
          <w:rFonts w:cstheme="minorHAnsi"/>
        </w:rPr>
        <w:t>better informed potential vaccine recipients a</w:t>
      </w:r>
      <w:r w:rsidR="00A472BD" w:rsidRPr="004447F6">
        <w:rPr>
          <w:rFonts w:cstheme="minorHAnsi"/>
        </w:rPr>
        <w:t xml:space="preserve">nd </w:t>
      </w:r>
      <w:r w:rsidRPr="004447F6">
        <w:rPr>
          <w:rFonts w:cstheme="minorHAnsi"/>
        </w:rPr>
        <w:t xml:space="preserve">the wider public are about the potential for FND in response to SARS-CoV-2 vaccines, the better the outcomes are likely to be for those who develop FND in response to vaccination </w:t>
      </w:r>
      <w:r w:rsidRPr="004447F6">
        <w:rPr>
          <w:rFonts w:cstheme="minorHAnsi"/>
        </w:rPr>
        <w:fldChar w:fldCharType="begin" w:fldLock="1"/>
      </w:r>
      <w:r w:rsidR="001A63D1" w:rsidRPr="004447F6">
        <w:rPr>
          <w:rFonts w:cstheme="minorHAnsi"/>
        </w:rPr>
        <w:instrText>ADDIN CSL_CITATION {"citationItems":[{"id":"ITEM-1","itemData":{"DOI":"10.1001/jamaneurol.2021.1042","author":[{"dropping-particle":"","family":"Dongkyung","given":"David","non-dropping-particle":"","parse-names":false,"suffix":""},{"dropping-particle":"","family":"Kung","given":"Candice","non-dropping-particle":"","parse-names":false,"suffix":""},{"dropping-particle":"","family":"Perez","given":"David","non-dropping-particle":"","parse-names":false,"suffix":""}],"container-title":"JAMA Neurology","id":"ITEM-1","issued":{"date-parts":[["2021"]]},"title":"Helping the Public Understand Adverse Events Associated With COVID-19 Vaccinations","type":"article-journal"},"uris":["http://www.mendeley.com/documents/?uuid=591d17c8-3655-4278-ad6d-0aa32acc4e78"]}],"mendeley":{"formattedCitation":"(58)","plainTextFormattedCitation":"(58)","previouslyFormattedCitation":"(58)"},"properties":{"noteIndex":0},"schema":"https://github.com/citation-style-language/schema/raw/master/csl-citation.json"}</w:instrText>
      </w:r>
      <w:r w:rsidRPr="004447F6">
        <w:rPr>
          <w:rFonts w:cstheme="minorHAnsi"/>
        </w:rPr>
        <w:fldChar w:fldCharType="separate"/>
      </w:r>
      <w:r w:rsidR="00CB023D" w:rsidRPr="004447F6">
        <w:rPr>
          <w:rFonts w:cstheme="minorHAnsi"/>
          <w:noProof/>
        </w:rPr>
        <w:t>(58)</w:t>
      </w:r>
      <w:r w:rsidRPr="004447F6">
        <w:rPr>
          <w:rFonts w:cstheme="minorHAnsi"/>
        </w:rPr>
        <w:fldChar w:fldCharType="end"/>
      </w:r>
      <w:r w:rsidRPr="004447F6">
        <w:rPr>
          <w:rFonts w:cstheme="minorHAnsi"/>
        </w:rPr>
        <w:t xml:space="preserve">. </w:t>
      </w:r>
      <w:r w:rsidR="001105AB" w:rsidRPr="004447F6">
        <w:rPr>
          <w:rFonts w:cstheme="minorHAnsi"/>
        </w:rPr>
        <w:t>Additionally, c</w:t>
      </w:r>
      <w:r w:rsidRPr="004447F6">
        <w:rPr>
          <w:rFonts w:cstheme="minorHAnsi"/>
        </w:rPr>
        <w:t>linicians and wider health authorities are implored to str</w:t>
      </w:r>
      <w:r w:rsidR="001105AB" w:rsidRPr="004447F6">
        <w:rPr>
          <w:rFonts w:cstheme="minorHAnsi"/>
        </w:rPr>
        <w:t>i</w:t>
      </w:r>
      <w:r w:rsidRPr="004447F6">
        <w:rPr>
          <w:rFonts w:cstheme="minorHAnsi"/>
        </w:rPr>
        <w:t xml:space="preserve">ke a balance between thorough investigation </w:t>
      </w:r>
      <w:r w:rsidR="00973E3A" w:rsidRPr="004447F6">
        <w:rPr>
          <w:rFonts w:cstheme="minorHAnsi"/>
        </w:rPr>
        <w:t>and</w:t>
      </w:r>
      <w:r w:rsidRPr="004447F6">
        <w:rPr>
          <w:rFonts w:cstheme="minorHAnsi"/>
        </w:rPr>
        <w:t xml:space="preserve"> reassurance </w:t>
      </w:r>
      <w:r w:rsidR="00973E3A" w:rsidRPr="004447F6">
        <w:rPr>
          <w:rFonts w:cstheme="minorHAnsi"/>
        </w:rPr>
        <w:t xml:space="preserve">in </w:t>
      </w:r>
      <w:r w:rsidRPr="004447F6">
        <w:rPr>
          <w:rFonts w:cstheme="minorHAnsi"/>
        </w:rPr>
        <w:lastRenderedPageBreak/>
        <w:t xml:space="preserve">patients in whom a functional reaction is </w:t>
      </w:r>
      <w:r w:rsidR="00B47D2D" w:rsidRPr="004447F6">
        <w:rPr>
          <w:rFonts w:cstheme="minorHAnsi"/>
        </w:rPr>
        <w:t>identified</w:t>
      </w:r>
      <w:r w:rsidRPr="004447F6">
        <w:rPr>
          <w:rFonts w:cstheme="minorHAnsi"/>
        </w:rPr>
        <w:t>. This is likely to prove challenging in some situations, particularly given the role of social media, however sensitive and informed handling of situations is likely to lead to better outcomes for patients and the wider vaccination campaign.</w:t>
      </w:r>
    </w:p>
    <w:p w14:paraId="0C9ED997" w14:textId="4E105238" w:rsidR="00812066" w:rsidRPr="004447F6" w:rsidRDefault="00812066" w:rsidP="00812066">
      <w:pPr>
        <w:spacing w:line="360" w:lineRule="auto"/>
        <w:jc w:val="both"/>
        <w:rPr>
          <w:rFonts w:cstheme="minorHAnsi"/>
          <w:i/>
          <w:iCs/>
        </w:rPr>
      </w:pPr>
      <w:r w:rsidRPr="004447F6">
        <w:rPr>
          <w:rFonts w:cstheme="minorHAnsi"/>
        </w:rPr>
        <w:t xml:space="preserve">Occasionally, functional symptoms can ‘spread’ between individuals </w:t>
      </w:r>
      <w:r w:rsidR="00643B35" w:rsidRPr="004447F6">
        <w:rPr>
          <w:rFonts w:cstheme="minorHAnsi"/>
        </w:rPr>
        <w:t>as ‘mass psychogenic</w:t>
      </w:r>
      <w:r w:rsidR="00922ACA" w:rsidRPr="004447F6">
        <w:rPr>
          <w:rFonts w:cstheme="minorHAnsi"/>
        </w:rPr>
        <w:t xml:space="preserve"> (functional)</w:t>
      </w:r>
      <w:r w:rsidR="00643B35" w:rsidRPr="004447F6">
        <w:rPr>
          <w:rFonts w:cstheme="minorHAnsi"/>
        </w:rPr>
        <w:t xml:space="preserve"> illnesses’</w:t>
      </w:r>
      <w:r w:rsidR="00922ACA" w:rsidRPr="004447F6">
        <w:rPr>
          <w:rFonts w:cstheme="minorHAnsi"/>
        </w:rPr>
        <w:t xml:space="preserve"> after</w:t>
      </w:r>
      <w:r w:rsidR="00643B35" w:rsidRPr="004447F6">
        <w:rPr>
          <w:rFonts w:cstheme="minorHAnsi"/>
        </w:rPr>
        <w:t xml:space="preserve"> </w:t>
      </w:r>
      <w:r w:rsidRPr="004447F6">
        <w:rPr>
          <w:rFonts w:cstheme="minorHAnsi"/>
        </w:rPr>
        <w:t>vaccination</w:t>
      </w:r>
      <w:r w:rsidR="00915BA7" w:rsidRPr="004447F6">
        <w:rPr>
          <w:rFonts w:cstheme="minorHAnsi"/>
        </w:rPr>
        <w:t>.</w:t>
      </w:r>
      <w:r w:rsidRPr="004447F6">
        <w:rPr>
          <w:rFonts w:cstheme="minorHAnsi"/>
        </w:rPr>
        <w:t xml:space="preserve"> </w:t>
      </w:r>
      <w:r w:rsidR="00A472BD" w:rsidRPr="004447F6">
        <w:rPr>
          <w:rFonts w:cstheme="minorHAnsi"/>
        </w:rPr>
        <w:t>These clusters of</w:t>
      </w:r>
      <w:r w:rsidR="00576D5C" w:rsidRPr="004447F6">
        <w:rPr>
          <w:rFonts w:cstheme="minorHAnsi"/>
        </w:rPr>
        <w:t xml:space="preserve"> functional illnesses</w:t>
      </w:r>
      <w:r w:rsidR="00643B35" w:rsidRPr="004447F6">
        <w:rPr>
          <w:rFonts w:cstheme="minorHAnsi"/>
        </w:rPr>
        <w:t xml:space="preserve"> occur most often within cohesive social groups such as schools or workplaces and can arise in many settings in response to stimuli which are perceived as noxious</w:t>
      </w:r>
      <w:r w:rsidR="00915BA7" w:rsidRPr="004447F6">
        <w:rPr>
          <w:rFonts w:cstheme="minorHAnsi"/>
        </w:rPr>
        <w:t>.</w:t>
      </w:r>
      <w:r w:rsidR="00643B35" w:rsidRPr="004447F6">
        <w:rPr>
          <w:rFonts w:cstheme="minorHAnsi"/>
        </w:rPr>
        <w:t xml:space="preserve"> </w:t>
      </w:r>
      <w:r w:rsidRPr="004447F6">
        <w:rPr>
          <w:rFonts w:cstheme="minorHAnsi"/>
        </w:rPr>
        <w:t>There were cases of functional disorders following the H1N1 vaccination in Taiwan</w:t>
      </w:r>
      <w:r w:rsidR="00915BA7" w:rsidRPr="004447F6">
        <w:rPr>
          <w:rFonts w:cstheme="minorHAnsi"/>
        </w:rPr>
        <w:t xml:space="preserve"> </w:t>
      </w:r>
      <w:r w:rsidRPr="004447F6">
        <w:rPr>
          <w:rFonts w:cstheme="minorHAnsi"/>
        </w:rPr>
        <w:fldChar w:fldCharType="begin" w:fldLock="1"/>
      </w:r>
      <w:r w:rsidR="00DB0E82" w:rsidRPr="004447F6">
        <w:rPr>
          <w:rFonts w:cstheme="minorHAnsi"/>
        </w:rPr>
        <w:instrText>ADDIN CSL_CITATION {"citationItems":[{"id":"ITEM-1","itemData":{"DOI":"10.1176/jnp.23.3.jnpe37","ISSN":"15457222","author":[{"dropping-particle":"","family":"Lin","given":"Chien Yu","non-dropping-particle":"","parse-names":false,"suffix":""},{"dropping-particle":"","family":"Peng","given":"Chun Chih","non-dropping-particle":"","parse-names":false,"suffix":""},{"dropping-particle":"","family":"Liu","given":"Hui Ching","non-dropping-particle":"","parse-names":false,"suffix":""},{"dropping-particle":"","family":"Chiu","given":"Nan Chang","non-dropping-particle":"","parse-names":false,"suffix":""}],"container-title":"Journal of Neuropsychiatry and Clinical Neurosciences","id":"ITEM-1","issue":"3","issued":{"date-parts":[["2011"]]},"title":"Psychogenic movement disorder after H1N1 influenza vaccination","type":"article-journal","volume":"23"},"uris":["http://www.mendeley.com/documents/?uuid=e7e4ef74-46b1-42b0-a2cb-835187afb019"]}],"mendeley":{"formattedCitation":"(24)","plainTextFormattedCitation":"(24)","previouslyFormattedCitation":"(24)"},"properties":{"noteIndex":0},"schema":"https://github.com/citation-style-language/schema/raw/master/csl-citation.json"}</w:instrText>
      </w:r>
      <w:r w:rsidRPr="004447F6">
        <w:rPr>
          <w:rFonts w:cstheme="minorHAnsi"/>
        </w:rPr>
        <w:fldChar w:fldCharType="separate"/>
      </w:r>
      <w:r w:rsidR="00632A99" w:rsidRPr="004447F6">
        <w:rPr>
          <w:rFonts w:cstheme="minorHAnsi"/>
          <w:noProof/>
        </w:rPr>
        <w:t>(24)</w:t>
      </w:r>
      <w:r w:rsidRPr="004447F6">
        <w:rPr>
          <w:rFonts w:cstheme="minorHAnsi"/>
        </w:rPr>
        <w:fldChar w:fldCharType="end"/>
      </w:r>
      <w:r w:rsidRPr="004447F6">
        <w:rPr>
          <w:rFonts w:cstheme="minorHAnsi"/>
        </w:rPr>
        <w:t xml:space="preserve"> and South Korea</w:t>
      </w:r>
      <w:r w:rsidR="00915BA7" w:rsidRPr="004447F6">
        <w:rPr>
          <w:rFonts w:cstheme="minorHAnsi"/>
        </w:rPr>
        <w:t xml:space="preserve"> </w:t>
      </w:r>
      <w:r w:rsidRPr="004447F6">
        <w:rPr>
          <w:rFonts w:cstheme="minorHAnsi"/>
        </w:rPr>
        <w:fldChar w:fldCharType="begin" w:fldLock="1"/>
      </w:r>
      <w:r w:rsidR="00DB0E82" w:rsidRPr="004447F6">
        <w:rPr>
          <w:rFonts w:cstheme="minorHAnsi"/>
        </w:rPr>
        <w:instrText>ADDIN CSL_CITATION {"citationItems":[{"id":"ITEM-1","itemData":{"DOI":"10.7774/cevr.2017.6.1.31","ISSN":"2287366X","abstract":"Purpose: Adverse events during mass vaccination campaigns have had a profoundly negative impact on vaccine coverage rates. The objective of the study was to identify the characteristics of reported psychogenic illness cases following mass vaccination that needed further interventions of the national immunization program. Materials and Methods: We collected documents that were submitted to the Korea Centers for Disease Control and Prevention for vaccine injury compensation, and analyzed cases of psychogenic illness following pandemic influenza A (H1N1) vaccination in 2009 which were confirmed by the Korean Advisory Committee on Vaccine Injury Compensation. Results: During the 2009-2010 influenza season, 13 million Koreans were vaccinated against pandemic influenza. Of 28 reported psychogenic illness cases following immunization, 25 were vaccinated through school-located mass immunization. Significant numbers of them were female adolescents (68%) or had underlying vulnerable conditions or emotional life stressors (36%). They required lengthy hospitalization (median, 7 days) and high medical costs (median, US $1,582 per case). Conclusion: Health authorities and organizers of future mass vaccinations should be well aware of the possible occurrence of psychogenic illness, acknowledge their detailed characteristics, and take its economic burden into account to mitigate the risk of transmission of infectious diseases efficiently.","author":[{"dropping-particle":"","family":"Yang","given":"Tae Un","non-dropping-particle":"","parse-names":false,"suffix":""},{"dropping-particle":"","family":"Kim","given":"Hee Jung","non-dropping-particle":"","parse-names":false,"suffix":""},{"dropping-particle":"","family":"Lee","given":"Yeon Kyeong","non-dropping-particle":"","parse-names":false,"suffix":""},{"dropping-particle":"","family":"Park","given":"Young Joon","non-dropping-particle":"","parse-names":false,"suffix":""}],"container-title":"Clinical and Experimental Vaccine Research","id":"ITEM-1","issue":"1","issued":{"date-parts":[["2017"]]},"page":"31-37","title":"Psychogenic illness following vaccination: Exploratory study of mass vaccination against pandemic influenza A (H1N1) in 2009 in South Korea","type":"article-journal","volume":"6"},"uris":["http://www.mendeley.com/documents/?uuid=c7c05c60-7453-4e0f-a251-3f7a84f99b5b"]}],"mendeley":{"formattedCitation":"(25)","plainTextFormattedCitation":"(25)","previouslyFormattedCitation":"(25)"},"properties":{"noteIndex":0},"schema":"https://github.com/citation-style-language/schema/raw/master/csl-citation.json"}</w:instrText>
      </w:r>
      <w:r w:rsidRPr="004447F6">
        <w:rPr>
          <w:rFonts w:cstheme="minorHAnsi"/>
        </w:rPr>
        <w:fldChar w:fldCharType="separate"/>
      </w:r>
      <w:r w:rsidR="00632A99" w:rsidRPr="004447F6">
        <w:rPr>
          <w:rFonts w:cstheme="minorHAnsi"/>
          <w:noProof/>
        </w:rPr>
        <w:t>(25)</w:t>
      </w:r>
      <w:r w:rsidRPr="004447F6">
        <w:rPr>
          <w:rFonts w:cstheme="minorHAnsi"/>
        </w:rPr>
        <w:fldChar w:fldCharType="end"/>
      </w:r>
      <w:r w:rsidR="00915BA7" w:rsidRPr="004447F6">
        <w:rPr>
          <w:rFonts w:cstheme="minorHAnsi"/>
        </w:rPr>
        <w:t>.</w:t>
      </w:r>
      <w:r w:rsidRPr="004447F6">
        <w:rPr>
          <w:rFonts w:cstheme="minorHAnsi"/>
        </w:rPr>
        <w:t xml:space="preserve"> In both countries, these predominantly affected schoolchildren, and in some cases in Taiwan, symptoms of functional dizziness and weakness spread in clusters, all of which resolved without medical intervention</w:t>
      </w:r>
      <w:r w:rsidR="00915BA7" w:rsidRPr="004447F6">
        <w:rPr>
          <w:rFonts w:cstheme="minorHAnsi"/>
          <w:i/>
          <w:iCs/>
        </w:rPr>
        <w:t>.</w:t>
      </w:r>
      <w:r w:rsidRPr="004447F6">
        <w:rPr>
          <w:rFonts w:cstheme="minorHAnsi"/>
          <w:i/>
          <w:iCs/>
        </w:rPr>
        <w:t xml:space="preserve"> </w:t>
      </w:r>
      <w:r w:rsidRPr="004447F6">
        <w:rPr>
          <w:rFonts w:cstheme="minorHAnsi"/>
        </w:rPr>
        <w:t>This phenomenon has been echoed in multiple other countries and in response to different vaccines</w:t>
      </w:r>
      <w:r w:rsidR="00915BA7" w:rsidRPr="004447F6">
        <w:rPr>
          <w:rFonts w:cstheme="minorHAnsi"/>
        </w:rPr>
        <w:t xml:space="preserve"> </w:t>
      </w:r>
      <w:r w:rsidRPr="004447F6">
        <w:rPr>
          <w:rFonts w:cstheme="minorHAnsi"/>
        </w:rPr>
        <w:fldChar w:fldCharType="begin" w:fldLock="1"/>
      </w:r>
      <w:r w:rsidR="004D541E" w:rsidRPr="004447F6">
        <w:rPr>
          <w:rFonts w:cstheme="minorHAnsi"/>
        </w:rPr>
        <w:instrText>ADDIN CSL_CITATION {"citationItems":[{"id":"ITEM-1","itemData":{"DOI":"10.1016/j.vaccine.2017.11.017","ISSN":"18732518","PMID":"29198916","abstract":"Background Clusters of anxiety-related adverse events following immunization (AEFI) have been observed in several countries and have disrupted country immunization programs. We conducted a systematic literature review to characterize these clusters, to generate prevention and management guidance for countries. Methods We searched seven peer-reviewed databases for English language reports of anxiety-related AEFI clusters (≥2 persons) with pre-specified keywords across 4 categories: symptom term, cluster term, vaccine term, and cluster AEFI phenomenon term/phrase. All relevant reports were included regardless of publication date, case-patient age, or vaccine. Two investigators independently reviewed abstracts and identified articles for full review. Data on epidemiologic/clinical information were extracted from full text review including setting, vaccine implicated, predominant case-patient symptoms, clinical management, community and media response, and outcome/impact on the vaccination program. Results Of 1472 abstracts reviewed, we identified eight published clusters, from all six World Health Organization (WHO) regions except the African Region. Seven clusters occurred among children in school settings, and one was among adult military reservists. The size and nature of these clusters ranged from 7 patients in one school to 806 patients in multiple schools. Patients’ symptoms included dizziness, headache, and fainting with rapid onset after vaccination. Implicated vaccines included tetanus (2), tetanus-diphtheria (1), hepatitis B (1), oral cholera (1), human papillomavirus (1), and influenza A (H1N1)pdm09 (2). In each report, all affected individuals recovered rapidly; however, vaccination program disruption was noted in some instances, sometimes for up to one year. Conclusions Anxiety-related AEFI clusters can be disruptive to vaccination programs, reducing public trust in immunizations and impacting vaccination coverage; response efforts to restore public confidence can be resource intensive. Health care providers should have training on recognition and clinical management of anxiety-related AEFI; public health authorities should have plans to prevent and effectively manage anxiety-related AEFI clusters. Prompt management of these occurrences can be even more important in an era of social media, in which information is rapidly spread.","author":[{"dropping-particle":"","family":"Loharikar","given":"Anagha","non-dropping-particle":"","parse-names":false,"suffix":""},{"dropping-particle":"","family":"Suragh","given":"Tiffany A.","non-dropping-particle":"","parse-names":false,"suffix":""},{"dropping-particle":"","family":"MacDonald","given":"Noni E.","non-dropping-particle":"","parse-names":false,"suffix":""},{"dropping-particle":"","family":"Balakrishnan","given":"Madhava R.","non-dropping-particle":"","parse-names":false,"suffix":""},{"dropping-particle":"","family":"Benes","given":"Oleg","non-dropping-particle":"","parse-names":false,"suffix":""},{"dropping-particle":"","family":"Lamprianou","given":"Smaragda","non-dropping-particle":"","parse-names":false,"suffix":""},{"dropping-particle":"","family":"Hyde","given":"Terri B.","non-dropping-particle":"","parse-names":false,"suffix":""},{"dropping-particle":"","family":"McNeil","given":"Michael M.","non-dropping-particle":"","parse-names":false,"suffix":""}],"container-title":"Vaccine","id":"ITEM-1","issue":"2","issued":{"date-parts":[["2018"]]},"page":"299-305","title":"Anxiety-related adverse events following immunization (AEFI): A systematic review of published clusters of illness","type":"article-journal","volume":"36"},"uris":["http://www.mendeley.com/documents/?uuid=d7063007-528a-4fbe-ad09-ab334b6854c3"]}],"mendeley":{"formattedCitation":"(73)","plainTextFormattedCitation":"(73)","previouslyFormattedCitation":"(73)"},"properties":{"noteIndex":0},"schema":"https://github.com/citation-style-language/schema/raw/master/csl-citation.json"}</w:instrText>
      </w:r>
      <w:r w:rsidRPr="004447F6">
        <w:rPr>
          <w:rFonts w:cstheme="minorHAnsi"/>
        </w:rPr>
        <w:fldChar w:fldCharType="separate"/>
      </w:r>
      <w:r w:rsidR="005D61C9" w:rsidRPr="004447F6">
        <w:rPr>
          <w:rFonts w:cstheme="minorHAnsi"/>
          <w:noProof/>
        </w:rPr>
        <w:t>(73)</w:t>
      </w:r>
      <w:r w:rsidRPr="004447F6">
        <w:rPr>
          <w:rFonts w:cstheme="minorHAnsi"/>
        </w:rPr>
        <w:fldChar w:fldCharType="end"/>
      </w:r>
      <w:r w:rsidR="00915BA7" w:rsidRPr="004447F6">
        <w:rPr>
          <w:rFonts w:cstheme="minorHAnsi"/>
        </w:rPr>
        <w:t>.</w:t>
      </w:r>
      <w:r w:rsidR="00643B35" w:rsidRPr="004447F6">
        <w:rPr>
          <w:rFonts w:cstheme="minorHAnsi"/>
        </w:rPr>
        <w:t xml:space="preserve"> </w:t>
      </w:r>
      <w:r w:rsidR="00CE1E00" w:rsidRPr="004447F6">
        <w:rPr>
          <w:rFonts w:cstheme="minorHAnsi"/>
        </w:rPr>
        <w:t xml:space="preserve">In situations in which functional illnesses have arisen contemporaneously with vaccination programmes, misunderstanding of causality and association has led to significant increases in vaccine hesitancy; in Colombia, following a large-scale outbreak of functional symptoms, HPV vaccine course uptake decreased from 88% to just 5% </w:t>
      </w:r>
      <w:r w:rsidR="00CE1E00" w:rsidRPr="004447F6">
        <w:rPr>
          <w:rFonts w:cstheme="minorHAnsi"/>
        </w:rPr>
        <w:fldChar w:fldCharType="begin" w:fldLock="1"/>
      </w:r>
      <w:r w:rsidR="005D61C9" w:rsidRPr="004447F6">
        <w:rPr>
          <w:rFonts w:cstheme="minorHAnsi"/>
        </w:rPr>
        <w:instrText>ADDIN CSL_CITATION {"citationItems":[{"id":"ITEM-1","itemData":{"DOI":"10.1080/21645515.2018.1511667","ISSN":"2164554X","PMID":"30118381","abstract":"We report the case of multiple adverse reactions following HPV vaccination in Colombian adolescents in Carmen de Bolivar. In August 2012, the country introduced a school-based HPV immunization programme which successfully reached over 90% of the target population in the first year. In 2014, between May 29th and June 2nd,15 adolescent girls in one school presented adverse reactions after vaccination and were admitted to the local hospital. Soon, videos of girls fainting, twitching, and arriving unconscious at emergency rooms started to appear in national news media as well as on social media platforms such as YouTube. The viral spread of these videos and disturbing images were followed by the viral spread of symptoms, with over 600 cases reported across Colombia. Thorough epidemiological investigation by Colombian health authorities found no organic association between the teenagers’ symptoms and the HPV vaccine, concluding this was a case of mass psychogenic reaction to vaccination. Scientific evidence did not appease the anxious public whose confidence in HPV immunization dropped dramatically. By 2016, HPV vaccine uptake among eligible girls declined to 14% for the first dose and 5% for the complete course, down from 98% and 88%, respectively, in 2012. We document this case and discuss the role of news and social media, particularly YouTube, as a driver of contagious psychogenic reactions. We also discuss the role of health authorities and government, and the importance of acting rapidly and appropriately to contain the spread of such symptoms and maintain public confidence in vaccines.","author":[{"dropping-particle":"","family":"Simas","given":"Clarissa","non-dropping-particle":"","parse-names":false,"suffix":""},{"dropping-particle":"","family":"Munoz","given":"Nubia","non-dropping-particle":"","parse-names":false,"suffix":""},{"dropping-particle":"","family":"Arregoces","given":"Leonardo","non-dropping-particle":"","parse-names":false,"suffix":""},{"dropping-particle":"","family":"Larson","given":"Heidi J.","non-dropping-particle":"","parse-names":false,"suffix":""}],"container-title":"Human Vaccines and Immunotherapeutics","id":"ITEM-1","issue":"1","issued":{"date-parts":[["2019"]]},"page":"163-166","title":"HPV vaccine confidence and cases of mass psychogenic illness following immunization in Carmen de Bolivar, Colombia","type":"article-journal","volume":"15"},"uris":["http://www.mendeley.com/documents/?uuid=777d1e6b-5142-4481-930d-593440cb33dd"]}],"mendeley":{"formattedCitation":"(63)","plainTextFormattedCitation":"(63)","previouslyFormattedCitation":"(63)"},"properties":{"noteIndex":0},"schema":"https://github.com/citation-style-language/schema/raw/master/csl-citation.json"}</w:instrText>
      </w:r>
      <w:r w:rsidR="00CE1E00" w:rsidRPr="004447F6">
        <w:rPr>
          <w:rFonts w:cstheme="minorHAnsi"/>
        </w:rPr>
        <w:fldChar w:fldCharType="separate"/>
      </w:r>
      <w:r w:rsidR="001A63D1" w:rsidRPr="004447F6">
        <w:rPr>
          <w:rFonts w:cstheme="minorHAnsi"/>
          <w:noProof/>
        </w:rPr>
        <w:t>(63)</w:t>
      </w:r>
      <w:r w:rsidR="00CE1E00" w:rsidRPr="004447F6">
        <w:rPr>
          <w:rFonts w:cstheme="minorHAnsi"/>
        </w:rPr>
        <w:fldChar w:fldCharType="end"/>
      </w:r>
      <w:r w:rsidR="00CE1E00" w:rsidRPr="004447F6">
        <w:rPr>
          <w:rFonts w:cstheme="minorHAnsi"/>
        </w:rPr>
        <w:t>.</w:t>
      </w:r>
    </w:p>
    <w:p w14:paraId="6B8DDC88" w14:textId="6B423E89" w:rsidR="00C97623" w:rsidRPr="004447F6" w:rsidRDefault="00B66DD7" w:rsidP="00C97623">
      <w:pPr>
        <w:spacing w:line="360" w:lineRule="auto"/>
        <w:jc w:val="both"/>
        <w:rPr>
          <w:rFonts w:cstheme="minorHAnsi"/>
        </w:rPr>
      </w:pPr>
      <w:r w:rsidRPr="004447F6">
        <w:rPr>
          <w:rFonts w:cstheme="minorHAnsi"/>
        </w:rPr>
        <w:t>I</w:t>
      </w:r>
      <w:r w:rsidR="00C97623" w:rsidRPr="004447F6">
        <w:rPr>
          <w:rFonts w:cstheme="minorHAnsi"/>
        </w:rPr>
        <w:t xml:space="preserve">nappropriate </w:t>
      </w:r>
      <w:r w:rsidRPr="004447F6">
        <w:rPr>
          <w:rFonts w:cstheme="minorHAnsi"/>
        </w:rPr>
        <w:t>recognition</w:t>
      </w:r>
      <w:r w:rsidR="008402DC" w:rsidRPr="004447F6">
        <w:rPr>
          <w:rFonts w:cstheme="minorHAnsi"/>
        </w:rPr>
        <w:t xml:space="preserve"> and </w:t>
      </w:r>
      <w:r w:rsidR="00C97623" w:rsidRPr="004447F6">
        <w:rPr>
          <w:rFonts w:cstheme="minorHAnsi"/>
        </w:rPr>
        <w:t xml:space="preserve">management of </w:t>
      </w:r>
      <w:r w:rsidR="00B07259" w:rsidRPr="004447F6">
        <w:rPr>
          <w:rFonts w:cstheme="minorHAnsi"/>
        </w:rPr>
        <w:t>FND</w:t>
      </w:r>
      <w:r w:rsidR="00C97623" w:rsidRPr="004447F6">
        <w:rPr>
          <w:rFonts w:cstheme="minorHAnsi"/>
        </w:rPr>
        <w:t xml:space="preserve"> </w:t>
      </w:r>
      <w:r w:rsidRPr="004447F6">
        <w:rPr>
          <w:rFonts w:cstheme="minorHAnsi"/>
        </w:rPr>
        <w:t>may</w:t>
      </w:r>
      <w:r w:rsidR="00C97623" w:rsidRPr="004447F6">
        <w:rPr>
          <w:rFonts w:cstheme="minorHAnsi"/>
        </w:rPr>
        <w:t xml:space="preserve"> be disruptive to vaccination programs</w:t>
      </w:r>
      <w:r w:rsidRPr="004447F6">
        <w:rPr>
          <w:rFonts w:cstheme="minorHAnsi"/>
        </w:rPr>
        <w:t>. To this end,</w:t>
      </w:r>
      <w:r w:rsidR="00C97623" w:rsidRPr="004447F6">
        <w:rPr>
          <w:rFonts w:cstheme="minorHAnsi"/>
        </w:rPr>
        <w:t xml:space="preserve"> vaccine providers should have training on recognising </w:t>
      </w:r>
      <w:r w:rsidR="00471E35" w:rsidRPr="004447F6">
        <w:rPr>
          <w:rFonts w:cstheme="minorHAnsi"/>
        </w:rPr>
        <w:t xml:space="preserve">functional </w:t>
      </w:r>
      <w:r w:rsidR="00CE62FC" w:rsidRPr="004447F6">
        <w:rPr>
          <w:rFonts w:cstheme="minorHAnsi"/>
        </w:rPr>
        <w:t>disorders</w:t>
      </w:r>
      <w:r w:rsidR="00471E35" w:rsidRPr="004447F6">
        <w:rPr>
          <w:rFonts w:cstheme="minorHAnsi"/>
        </w:rPr>
        <w:t xml:space="preserve"> which </w:t>
      </w:r>
      <w:r w:rsidR="00CE62FC" w:rsidRPr="004447F6">
        <w:rPr>
          <w:rFonts w:cstheme="minorHAnsi"/>
        </w:rPr>
        <w:t xml:space="preserve">should be </w:t>
      </w:r>
      <w:r w:rsidR="00471E35" w:rsidRPr="004447F6">
        <w:rPr>
          <w:rFonts w:cstheme="minorHAnsi"/>
        </w:rPr>
        <w:t>clearly distinguished</w:t>
      </w:r>
      <w:r w:rsidR="00CE62FC" w:rsidRPr="004447F6">
        <w:rPr>
          <w:rFonts w:cstheme="minorHAnsi"/>
        </w:rPr>
        <w:t xml:space="preserve"> </w:t>
      </w:r>
      <w:r w:rsidR="00471E35" w:rsidRPr="004447F6">
        <w:rPr>
          <w:rFonts w:cstheme="minorHAnsi"/>
        </w:rPr>
        <w:t>from</w:t>
      </w:r>
      <w:r w:rsidR="00CE62FC" w:rsidRPr="004447F6">
        <w:rPr>
          <w:rFonts w:cstheme="minorHAnsi"/>
        </w:rPr>
        <w:t xml:space="preserve"> </w:t>
      </w:r>
      <w:r w:rsidR="00471E35" w:rsidRPr="004447F6">
        <w:rPr>
          <w:rFonts w:cstheme="minorHAnsi"/>
        </w:rPr>
        <w:t xml:space="preserve">other AEs, such as </w:t>
      </w:r>
      <w:r w:rsidR="00CE62FC" w:rsidRPr="004447F6">
        <w:rPr>
          <w:rFonts w:cstheme="minorHAnsi"/>
        </w:rPr>
        <w:t>allergic reactions</w:t>
      </w:r>
      <w:r w:rsidR="00471E35" w:rsidRPr="004447F6">
        <w:rPr>
          <w:rFonts w:cstheme="minorHAnsi"/>
        </w:rPr>
        <w:t xml:space="preserve"> to</w:t>
      </w:r>
      <w:r w:rsidR="006E31D0" w:rsidRPr="004447F6">
        <w:rPr>
          <w:rFonts w:cstheme="minorHAnsi"/>
        </w:rPr>
        <w:t xml:space="preserve"> the</w:t>
      </w:r>
      <w:r w:rsidR="00471E35" w:rsidRPr="004447F6">
        <w:rPr>
          <w:rFonts w:cstheme="minorHAnsi"/>
        </w:rPr>
        <w:t xml:space="preserve"> vaccin</w:t>
      </w:r>
      <w:r w:rsidR="006E31D0" w:rsidRPr="004447F6">
        <w:rPr>
          <w:rFonts w:cstheme="minorHAnsi"/>
        </w:rPr>
        <w:t>e</w:t>
      </w:r>
      <w:r w:rsidR="00915BA7" w:rsidRPr="004447F6">
        <w:rPr>
          <w:rFonts w:cstheme="minorHAnsi"/>
          <w:i/>
          <w:iCs/>
        </w:rPr>
        <w:t>.</w:t>
      </w:r>
      <w:r w:rsidR="002D0F68" w:rsidRPr="004447F6">
        <w:rPr>
          <w:rFonts w:cstheme="minorHAnsi"/>
        </w:rPr>
        <w:t xml:space="preserve"> Although symptoms of FND are disabling and in some cases can be chronic, patients can be reassured that FND does not equate to any structural damage to the CNS.</w:t>
      </w:r>
      <w:r w:rsidR="00471E35" w:rsidRPr="004447F6">
        <w:rPr>
          <w:rFonts w:cstheme="minorHAnsi"/>
        </w:rPr>
        <w:t xml:space="preserve"> In the absence of this clarity, vaccine-associated FND has the capacity to contribute significantly to vaccine hesitancy</w:t>
      </w:r>
      <w:r w:rsidR="00915BA7" w:rsidRPr="004447F6">
        <w:rPr>
          <w:rFonts w:cstheme="minorHAnsi"/>
        </w:rPr>
        <w:t xml:space="preserve"> </w:t>
      </w:r>
      <w:r w:rsidR="00F03868" w:rsidRPr="004447F6">
        <w:rPr>
          <w:rFonts w:cstheme="minorHAnsi"/>
        </w:rPr>
        <w:fldChar w:fldCharType="begin" w:fldLock="1"/>
      </w:r>
      <w:r w:rsidR="004D541E" w:rsidRPr="004447F6">
        <w:rPr>
          <w:rFonts w:cstheme="minorHAnsi"/>
        </w:rPr>
        <w:instrText>ADDIN CSL_CITATION {"citationItems":[{"id":"ITEM-1","itemData":{"DOI":"10.1136/bmj.325.7361.430","ISSN":"09598146","PMID":"12193361","abstract":"The British Vaccination Act of 1840 was the first incursion of the state, in the name of public health, into traditional civil liberties. The activities of today's propagandists against immunisations are directly descended from, indeed little changed from, those of the anti-vaccinationists of the late nineteenth century, say Robert Wolfe and Lisa Sharp.","author":[{"dropping-particle":"","family":"Wolfe","given":"Robert M.","non-dropping-particle":"","parse-names":false,"suffix":""},{"dropping-particle":"","family":"Sharp","given":"Lisa K.","non-dropping-particle":"","parse-names":false,"suffix":""}],"container-title":"British Medical Journal","id":"ITEM-1","issue":"7361","issued":{"date-parts":[["2002"]]},"page":"430-432","title":"Anti-vaccinationists past and present","type":"article-journal","volume":"325"},"uris":["http://www.mendeley.com/documents/?uuid=4552a105-8058-4bfd-8b09-7bea8cebea4b"]}],"mendeley":{"formattedCitation":"(74)","plainTextFormattedCitation":"(74)","previouslyFormattedCitation":"(74)"},"properties":{"noteIndex":0},"schema":"https://github.com/citation-style-language/schema/raw/master/csl-citation.json"}</w:instrText>
      </w:r>
      <w:r w:rsidR="00F03868" w:rsidRPr="004447F6">
        <w:rPr>
          <w:rFonts w:cstheme="minorHAnsi"/>
        </w:rPr>
        <w:fldChar w:fldCharType="separate"/>
      </w:r>
      <w:r w:rsidR="005D61C9" w:rsidRPr="004447F6">
        <w:rPr>
          <w:rFonts w:cstheme="minorHAnsi"/>
          <w:noProof/>
        </w:rPr>
        <w:t>(74)</w:t>
      </w:r>
      <w:r w:rsidR="00F03868" w:rsidRPr="004447F6">
        <w:rPr>
          <w:rFonts w:cstheme="minorHAnsi"/>
        </w:rPr>
        <w:fldChar w:fldCharType="end"/>
      </w:r>
      <w:r w:rsidR="00915BA7" w:rsidRPr="004447F6">
        <w:rPr>
          <w:rFonts w:cstheme="minorHAnsi"/>
        </w:rPr>
        <w:t>.</w:t>
      </w:r>
    </w:p>
    <w:p w14:paraId="6E3B84E5" w14:textId="138ACCF5" w:rsidR="001859EB" w:rsidRPr="004447F6" w:rsidRDefault="00AF53B2" w:rsidP="006C40EE">
      <w:pPr>
        <w:spacing w:line="360" w:lineRule="auto"/>
        <w:jc w:val="both"/>
        <w:rPr>
          <w:rFonts w:cstheme="minorHAnsi"/>
          <w:b/>
          <w:bCs/>
        </w:rPr>
      </w:pPr>
      <w:r w:rsidRPr="004447F6">
        <w:rPr>
          <w:rFonts w:cstheme="minorHAnsi"/>
          <w:b/>
          <w:bCs/>
        </w:rPr>
        <w:t>Conclusion</w:t>
      </w:r>
    </w:p>
    <w:p w14:paraId="2AE0AAA9" w14:textId="5BA89CA4" w:rsidR="00A448CF" w:rsidRPr="004447F6" w:rsidRDefault="00A20663" w:rsidP="00A448CF">
      <w:pPr>
        <w:spacing w:line="360" w:lineRule="auto"/>
        <w:jc w:val="both"/>
        <w:rPr>
          <w:rFonts w:cstheme="minorHAnsi"/>
        </w:rPr>
      </w:pPr>
      <w:r w:rsidRPr="004447F6">
        <w:rPr>
          <w:rFonts w:cstheme="minorHAnsi"/>
        </w:rPr>
        <w:t>N</w:t>
      </w:r>
      <w:r w:rsidR="00256C25" w:rsidRPr="004447F6">
        <w:rPr>
          <w:rFonts w:cstheme="minorHAnsi"/>
        </w:rPr>
        <w:t xml:space="preserve">eurological </w:t>
      </w:r>
      <w:r w:rsidR="004D541E" w:rsidRPr="004447F6">
        <w:rPr>
          <w:rFonts w:cstheme="minorHAnsi"/>
        </w:rPr>
        <w:t xml:space="preserve">and neuropsychiatric </w:t>
      </w:r>
      <w:r w:rsidR="00256C25" w:rsidRPr="004447F6">
        <w:rPr>
          <w:rFonts w:cstheme="minorHAnsi"/>
        </w:rPr>
        <w:t xml:space="preserve">adverse events have been reported in clinical trials </w:t>
      </w:r>
      <w:r w:rsidR="00A33EE8" w:rsidRPr="004447F6">
        <w:rPr>
          <w:rFonts w:cstheme="minorHAnsi"/>
        </w:rPr>
        <w:t>of various SARS-CoV</w:t>
      </w:r>
      <w:r w:rsidR="008769E5" w:rsidRPr="004447F6">
        <w:rPr>
          <w:rFonts w:cstheme="minorHAnsi"/>
        </w:rPr>
        <w:t>-</w:t>
      </w:r>
      <w:r w:rsidR="00A33EE8" w:rsidRPr="004447F6">
        <w:rPr>
          <w:rFonts w:cstheme="minorHAnsi"/>
        </w:rPr>
        <w:t xml:space="preserve">2 vaccines </w:t>
      </w:r>
      <w:r w:rsidR="00256C25" w:rsidRPr="004447F6">
        <w:rPr>
          <w:rFonts w:cstheme="minorHAnsi"/>
        </w:rPr>
        <w:t>and</w:t>
      </w:r>
      <w:r w:rsidR="00B47D2D" w:rsidRPr="004447F6">
        <w:rPr>
          <w:rFonts w:cstheme="minorHAnsi"/>
        </w:rPr>
        <w:t>, more often,</w:t>
      </w:r>
      <w:r w:rsidR="00256C25" w:rsidRPr="004447F6">
        <w:rPr>
          <w:rFonts w:cstheme="minorHAnsi"/>
        </w:rPr>
        <w:t xml:space="preserve"> in </w:t>
      </w:r>
      <w:r w:rsidR="009F7825" w:rsidRPr="004447F6">
        <w:rPr>
          <w:rFonts w:cstheme="minorHAnsi"/>
        </w:rPr>
        <w:t>open-label</w:t>
      </w:r>
      <w:r w:rsidR="00256C25" w:rsidRPr="004447F6">
        <w:rPr>
          <w:rFonts w:cstheme="minorHAnsi"/>
        </w:rPr>
        <w:t xml:space="preserve"> monitoring</w:t>
      </w:r>
      <w:r w:rsidRPr="004447F6">
        <w:rPr>
          <w:rFonts w:cstheme="minorHAnsi"/>
        </w:rPr>
        <w:t xml:space="preserve">. In many cases, </w:t>
      </w:r>
      <w:r w:rsidR="00B561D5" w:rsidRPr="004447F6">
        <w:rPr>
          <w:rFonts w:cstheme="minorHAnsi"/>
        </w:rPr>
        <w:t>no</w:t>
      </w:r>
      <w:r w:rsidR="00A50A63" w:rsidRPr="004447F6">
        <w:rPr>
          <w:rFonts w:cstheme="minorHAnsi"/>
        </w:rPr>
        <w:t xml:space="preserve"> </w:t>
      </w:r>
      <w:r w:rsidR="00706E12" w:rsidRPr="004447F6">
        <w:rPr>
          <w:rFonts w:cstheme="minorHAnsi"/>
        </w:rPr>
        <w:t xml:space="preserve">definitive </w:t>
      </w:r>
      <w:r w:rsidR="00A50A63" w:rsidRPr="004447F6">
        <w:rPr>
          <w:rFonts w:cstheme="minorHAnsi"/>
        </w:rPr>
        <w:t xml:space="preserve">evidence </w:t>
      </w:r>
      <w:r w:rsidR="00183699" w:rsidRPr="004447F6">
        <w:rPr>
          <w:rFonts w:cstheme="minorHAnsi"/>
        </w:rPr>
        <w:t xml:space="preserve">has yet </w:t>
      </w:r>
      <w:r w:rsidR="00706E12" w:rsidRPr="004447F6">
        <w:rPr>
          <w:rFonts w:cstheme="minorHAnsi"/>
        </w:rPr>
        <w:t>support</w:t>
      </w:r>
      <w:r w:rsidR="00183699" w:rsidRPr="004447F6">
        <w:rPr>
          <w:rFonts w:cstheme="minorHAnsi"/>
        </w:rPr>
        <w:t>ed</w:t>
      </w:r>
      <w:r w:rsidR="00706E12" w:rsidRPr="004447F6">
        <w:rPr>
          <w:rFonts w:cstheme="minorHAnsi"/>
        </w:rPr>
        <w:t xml:space="preserve"> causality</w:t>
      </w:r>
      <w:r w:rsidRPr="004447F6">
        <w:rPr>
          <w:rFonts w:cstheme="minorHAnsi"/>
        </w:rPr>
        <w:t>. Despite this, there are</w:t>
      </w:r>
      <w:r w:rsidR="00B561D5" w:rsidRPr="004447F6">
        <w:rPr>
          <w:rFonts w:cstheme="minorHAnsi"/>
        </w:rPr>
        <w:t xml:space="preserve"> recognised rare</w:t>
      </w:r>
      <w:r w:rsidRPr="004447F6">
        <w:rPr>
          <w:rFonts w:cstheme="minorHAnsi"/>
        </w:rPr>
        <w:t xml:space="preserve"> adverse events which have been causally linked to SARS</w:t>
      </w:r>
      <w:r w:rsidR="004D541E" w:rsidRPr="004447F6">
        <w:rPr>
          <w:rFonts w:cstheme="minorHAnsi"/>
        </w:rPr>
        <w:t>-</w:t>
      </w:r>
      <w:r w:rsidRPr="004447F6">
        <w:rPr>
          <w:rFonts w:cstheme="minorHAnsi"/>
        </w:rPr>
        <w:t xml:space="preserve">CoV-2 vaccines, </w:t>
      </w:r>
      <w:r w:rsidR="004D541E" w:rsidRPr="004447F6">
        <w:rPr>
          <w:rFonts w:cstheme="minorHAnsi"/>
        </w:rPr>
        <w:t>for example</w:t>
      </w:r>
      <w:r w:rsidRPr="004447F6">
        <w:rPr>
          <w:rFonts w:cstheme="minorHAnsi"/>
        </w:rPr>
        <w:t xml:space="preserve"> VITT</w:t>
      </w:r>
      <w:r w:rsidR="00A50A63" w:rsidRPr="004447F6">
        <w:rPr>
          <w:rFonts w:cstheme="minorHAnsi"/>
        </w:rPr>
        <w:t xml:space="preserve">. </w:t>
      </w:r>
      <w:r w:rsidR="009F7825" w:rsidRPr="004447F6">
        <w:rPr>
          <w:rFonts w:cstheme="minorHAnsi"/>
        </w:rPr>
        <w:t>The nece</w:t>
      </w:r>
      <w:r w:rsidR="008769E5" w:rsidRPr="004447F6">
        <w:rPr>
          <w:rFonts w:cstheme="minorHAnsi"/>
        </w:rPr>
        <w:t>s</w:t>
      </w:r>
      <w:r w:rsidR="009F7825" w:rsidRPr="004447F6">
        <w:rPr>
          <w:rFonts w:cstheme="minorHAnsi"/>
        </w:rPr>
        <w:t>sary o</w:t>
      </w:r>
      <w:r w:rsidR="00706E12" w:rsidRPr="004447F6">
        <w:rPr>
          <w:rFonts w:cstheme="minorHAnsi"/>
        </w:rPr>
        <w:t>ngoing surveillance work is in progress</w:t>
      </w:r>
      <w:r w:rsidR="009F7825" w:rsidRPr="004447F6">
        <w:rPr>
          <w:rFonts w:cstheme="minorHAnsi"/>
        </w:rPr>
        <w:t>, however</w:t>
      </w:r>
      <w:r w:rsidR="00706E12" w:rsidRPr="004447F6">
        <w:rPr>
          <w:rFonts w:cstheme="minorHAnsi"/>
        </w:rPr>
        <w:t xml:space="preserve"> </w:t>
      </w:r>
      <w:r w:rsidR="009F7825" w:rsidRPr="004447F6">
        <w:rPr>
          <w:rFonts w:cstheme="minorHAnsi"/>
        </w:rPr>
        <w:t xml:space="preserve">the </w:t>
      </w:r>
      <w:r w:rsidR="00706E12" w:rsidRPr="004447F6">
        <w:rPr>
          <w:rFonts w:cstheme="minorHAnsi"/>
        </w:rPr>
        <w:t>current advice that the benefit of the vaccination</w:t>
      </w:r>
      <w:r w:rsidR="002931E0" w:rsidRPr="004447F6">
        <w:rPr>
          <w:rFonts w:cstheme="minorHAnsi"/>
        </w:rPr>
        <w:t xml:space="preserve"> </w:t>
      </w:r>
      <w:r w:rsidR="00706E12" w:rsidRPr="004447F6">
        <w:rPr>
          <w:rFonts w:cstheme="minorHAnsi"/>
        </w:rPr>
        <w:t>outweighs the risk</w:t>
      </w:r>
      <w:r w:rsidR="009F7825" w:rsidRPr="004447F6">
        <w:rPr>
          <w:rFonts w:cstheme="minorHAnsi"/>
        </w:rPr>
        <w:t xml:space="preserve"> appears to be accurate</w:t>
      </w:r>
      <w:r w:rsidR="00A33EE8" w:rsidRPr="004447F6">
        <w:rPr>
          <w:rFonts w:cstheme="minorHAnsi"/>
        </w:rPr>
        <w:t xml:space="preserve"> from a neurological standpoint</w:t>
      </w:r>
      <w:r w:rsidR="00706E12" w:rsidRPr="004447F6">
        <w:rPr>
          <w:rFonts w:cstheme="minorHAnsi"/>
        </w:rPr>
        <w:t>.</w:t>
      </w:r>
      <w:r w:rsidR="00A448CF" w:rsidRPr="004447F6">
        <w:rPr>
          <w:rFonts w:cstheme="minorHAnsi"/>
        </w:rPr>
        <w:t xml:space="preserve"> </w:t>
      </w:r>
      <w:r w:rsidR="004D541E" w:rsidRPr="004447F6">
        <w:rPr>
          <w:rFonts w:cstheme="minorHAnsi"/>
        </w:rPr>
        <w:t>Heightened reporting of adverse events, for example via the Yellow Card system, may be in part due to increased pharmacovigilance.</w:t>
      </w:r>
    </w:p>
    <w:p w14:paraId="5B9F18A0" w14:textId="4ADEAC45" w:rsidR="00A20663" w:rsidRPr="004447F6" w:rsidRDefault="00A20663" w:rsidP="00A448CF">
      <w:pPr>
        <w:spacing w:line="360" w:lineRule="auto"/>
        <w:jc w:val="both"/>
        <w:rPr>
          <w:rFonts w:cstheme="minorHAnsi"/>
        </w:rPr>
      </w:pPr>
      <w:r w:rsidRPr="004447F6">
        <w:rPr>
          <w:rFonts w:cstheme="minorHAnsi"/>
        </w:rPr>
        <w:t xml:space="preserve">In order to establish causality </w:t>
      </w:r>
      <w:r w:rsidR="00B47D2D" w:rsidRPr="004447F6">
        <w:rPr>
          <w:rFonts w:cstheme="minorHAnsi"/>
        </w:rPr>
        <w:t xml:space="preserve">clinical case definitions </w:t>
      </w:r>
      <w:r w:rsidRPr="004447F6">
        <w:rPr>
          <w:rFonts w:cstheme="minorHAnsi"/>
        </w:rPr>
        <w:t xml:space="preserve">must be established, for example via the Brighton collaboration guidelines </w:t>
      </w:r>
      <w:r w:rsidR="00B47D2D" w:rsidRPr="004447F6">
        <w:rPr>
          <w:rFonts w:cstheme="minorHAnsi"/>
        </w:rPr>
        <w:t xml:space="preserve">for conditions </w:t>
      </w:r>
      <w:r w:rsidRPr="004447F6">
        <w:rPr>
          <w:rFonts w:cstheme="minorHAnsi"/>
        </w:rPr>
        <w:t xml:space="preserve">recognised </w:t>
      </w:r>
      <w:r w:rsidR="00B47D2D" w:rsidRPr="004447F6">
        <w:rPr>
          <w:rFonts w:cstheme="minorHAnsi"/>
        </w:rPr>
        <w:t xml:space="preserve">to be </w:t>
      </w:r>
      <w:r w:rsidRPr="004447F6">
        <w:rPr>
          <w:rFonts w:cstheme="minorHAnsi"/>
        </w:rPr>
        <w:t xml:space="preserve">associated </w:t>
      </w:r>
      <w:r w:rsidR="00B47D2D" w:rsidRPr="004447F6">
        <w:rPr>
          <w:rFonts w:cstheme="minorHAnsi"/>
        </w:rPr>
        <w:t>with vaccination</w:t>
      </w:r>
      <w:r w:rsidRPr="004447F6">
        <w:rPr>
          <w:rFonts w:cstheme="minorHAnsi"/>
        </w:rPr>
        <w:t xml:space="preserve">, and </w:t>
      </w:r>
      <w:r w:rsidR="00B47D2D" w:rsidRPr="004447F6">
        <w:rPr>
          <w:rFonts w:cstheme="minorHAnsi"/>
        </w:rPr>
        <w:t xml:space="preserve">pro-active </w:t>
      </w:r>
      <w:r w:rsidRPr="004447F6">
        <w:rPr>
          <w:rFonts w:cstheme="minorHAnsi"/>
        </w:rPr>
        <w:t>clinician-led</w:t>
      </w:r>
      <w:r w:rsidR="004D541E" w:rsidRPr="004447F6">
        <w:rPr>
          <w:rFonts w:cstheme="minorHAnsi"/>
        </w:rPr>
        <w:t xml:space="preserve"> </w:t>
      </w:r>
      <w:r w:rsidRPr="004447F6">
        <w:rPr>
          <w:rFonts w:cstheme="minorHAnsi"/>
        </w:rPr>
        <w:t xml:space="preserve">definitions in </w:t>
      </w:r>
      <w:r w:rsidR="00B47D2D" w:rsidRPr="004447F6">
        <w:rPr>
          <w:rFonts w:cstheme="minorHAnsi"/>
        </w:rPr>
        <w:t xml:space="preserve">emergent </w:t>
      </w:r>
      <w:r w:rsidRPr="004447F6">
        <w:rPr>
          <w:rFonts w:cstheme="minorHAnsi"/>
        </w:rPr>
        <w:t xml:space="preserve">conditions </w:t>
      </w:r>
      <w:r w:rsidR="004D541E" w:rsidRPr="004447F6">
        <w:rPr>
          <w:rFonts w:cstheme="minorHAnsi"/>
        </w:rPr>
        <w:t>(</w:t>
      </w:r>
      <w:r w:rsidRPr="004447F6">
        <w:rPr>
          <w:rFonts w:cstheme="minorHAnsi"/>
        </w:rPr>
        <w:t>such as VITT</w:t>
      </w:r>
      <w:r w:rsidR="004D541E" w:rsidRPr="004447F6">
        <w:rPr>
          <w:rFonts w:cstheme="minorHAnsi"/>
        </w:rPr>
        <w:t>)</w:t>
      </w:r>
      <w:r w:rsidRPr="004447F6">
        <w:rPr>
          <w:rFonts w:cstheme="minorHAnsi"/>
        </w:rPr>
        <w:t xml:space="preserve">. </w:t>
      </w:r>
      <w:r w:rsidR="004D541E" w:rsidRPr="004447F6">
        <w:rPr>
          <w:rFonts w:cstheme="minorHAnsi"/>
        </w:rPr>
        <w:t>In assessing c</w:t>
      </w:r>
      <w:r w:rsidRPr="004447F6">
        <w:rPr>
          <w:rFonts w:cstheme="minorHAnsi"/>
        </w:rPr>
        <w:t>ausality</w:t>
      </w:r>
      <w:r w:rsidR="004D541E" w:rsidRPr="004447F6">
        <w:rPr>
          <w:rFonts w:cstheme="minorHAnsi"/>
        </w:rPr>
        <w:t>,</w:t>
      </w:r>
      <w:r w:rsidRPr="004447F6">
        <w:rPr>
          <w:rFonts w:cstheme="minorHAnsi"/>
        </w:rPr>
        <w:t xml:space="preserve"> tools such as the WHO GACVS or Bradford Hill criteria may be used, however we additionally propose criteria </w:t>
      </w:r>
      <w:r w:rsidRPr="004447F6">
        <w:rPr>
          <w:rFonts w:cstheme="minorHAnsi"/>
        </w:rPr>
        <w:lastRenderedPageBreak/>
        <w:t>which classify associated neurological or neuropsychiatric events into probable, possible, and unlikely cases, considering the temporal relationship, individual risk factors and the likelihood of an alternative aetiology. In such cases as the urgent SARS-CoV-2 vaccination campaign in which ongoing RCTs may be unfeasible and/or unethical, epidemiological methods of causality assessment such as triangulation may be used.</w:t>
      </w:r>
    </w:p>
    <w:p w14:paraId="5C4764B2" w14:textId="41BF70B1" w:rsidR="004D541E" w:rsidRPr="004447F6" w:rsidRDefault="002931E0" w:rsidP="006C40EE">
      <w:pPr>
        <w:spacing w:line="360" w:lineRule="auto"/>
        <w:jc w:val="both"/>
        <w:rPr>
          <w:rFonts w:cstheme="minorHAnsi"/>
        </w:rPr>
      </w:pPr>
      <w:r w:rsidRPr="004447F6">
        <w:rPr>
          <w:rFonts w:cstheme="minorHAnsi"/>
        </w:rPr>
        <w:t xml:space="preserve">Regardless of current surveillance of neurological adverse events, </w:t>
      </w:r>
      <w:r w:rsidR="00A448CF" w:rsidRPr="004447F6">
        <w:rPr>
          <w:rFonts w:cstheme="minorHAnsi"/>
        </w:rPr>
        <w:t xml:space="preserve">it is </w:t>
      </w:r>
      <w:r w:rsidR="00A33EE8" w:rsidRPr="004447F6">
        <w:rPr>
          <w:rFonts w:cstheme="minorHAnsi"/>
        </w:rPr>
        <w:t xml:space="preserve">increasingly </w:t>
      </w:r>
      <w:r w:rsidR="00A448CF" w:rsidRPr="004447F6">
        <w:rPr>
          <w:rFonts w:cstheme="minorHAnsi"/>
        </w:rPr>
        <w:t xml:space="preserve">likely that a significant minority of vaccine recipients will develop </w:t>
      </w:r>
      <w:r w:rsidR="00A33EE8" w:rsidRPr="004447F6">
        <w:rPr>
          <w:rFonts w:cstheme="minorHAnsi"/>
        </w:rPr>
        <w:t xml:space="preserve">both organic and/or </w:t>
      </w:r>
      <w:r w:rsidR="00A448CF" w:rsidRPr="004447F6">
        <w:rPr>
          <w:rFonts w:cstheme="minorHAnsi"/>
        </w:rPr>
        <w:t>functional reactions to vaccine administration</w:t>
      </w:r>
      <w:r w:rsidR="004D541E" w:rsidRPr="004447F6">
        <w:rPr>
          <w:rFonts w:cstheme="minorHAnsi"/>
        </w:rPr>
        <w:t>, which have already been noted in previous vaccination campaigns, as well as on videos and in case series during the COVID-19 pandemic</w:t>
      </w:r>
      <w:r w:rsidR="00A448CF" w:rsidRPr="004447F6">
        <w:rPr>
          <w:rFonts w:cstheme="minorHAnsi"/>
        </w:rPr>
        <w:t xml:space="preserve">. </w:t>
      </w:r>
      <w:r w:rsidR="004D541E" w:rsidRPr="004447F6">
        <w:rPr>
          <w:rFonts w:cstheme="minorHAnsi"/>
        </w:rPr>
        <w:t>FND reactions are</w:t>
      </w:r>
      <w:r w:rsidR="00A448CF" w:rsidRPr="004447F6">
        <w:rPr>
          <w:rFonts w:cstheme="minorHAnsi"/>
        </w:rPr>
        <w:t xml:space="preserve"> real and distressing</w:t>
      </w:r>
      <w:r w:rsidR="004D541E" w:rsidRPr="004447F6">
        <w:rPr>
          <w:rFonts w:cstheme="minorHAnsi"/>
        </w:rPr>
        <w:t>,</w:t>
      </w:r>
      <w:r w:rsidR="00A448CF" w:rsidRPr="004447F6">
        <w:rPr>
          <w:rFonts w:cstheme="minorHAnsi"/>
        </w:rPr>
        <w:t xml:space="preserve"> </w:t>
      </w:r>
      <w:r w:rsidR="001D26DB" w:rsidRPr="004447F6">
        <w:rPr>
          <w:rFonts w:cstheme="minorHAnsi"/>
        </w:rPr>
        <w:t>although</w:t>
      </w:r>
      <w:r w:rsidR="00031AD4" w:rsidRPr="004447F6">
        <w:rPr>
          <w:rFonts w:cstheme="minorHAnsi"/>
        </w:rPr>
        <w:t xml:space="preserve"> </w:t>
      </w:r>
      <w:r w:rsidR="00A33EE8" w:rsidRPr="004447F6">
        <w:rPr>
          <w:rFonts w:cstheme="minorHAnsi"/>
        </w:rPr>
        <w:t xml:space="preserve">require </w:t>
      </w:r>
      <w:r w:rsidR="00A448CF" w:rsidRPr="004447F6">
        <w:rPr>
          <w:rFonts w:cstheme="minorHAnsi"/>
        </w:rPr>
        <w:t xml:space="preserve">different </w:t>
      </w:r>
      <w:r w:rsidR="00A33EE8" w:rsidRPr="004447F6">
        <w:rPr>
          <w:rFonts w:cstheme="minorHAnsi"/>
        </w:rPr>
        <w:t>management</w:t>
      </w:r>
      <w:r w:rsidR="001D26DB" w:rsidRPr="004447F6">
        <w:rPr>
          <w:rFonts w:cstheme="minorHAnsi"/>
        </w:rPr>
        <w:t xml:space="preserve"> strategies</w:t>
      </w:r>
      <w:r w:rsidR="004D541E" w:rsidRPr="004447F6">
        <w:rPr>
          <w:rFonts w:cstheme="minorHAnsi"/>
        </w:rPr>
        <w:t>, and lack of public understanding of FND reactions to vaccination may significantly increase the risk of vaccine hesitancy</w:t>
      </w:r>
      <w:r w:rsidR="00A448CF" w:rsidRPr="004447F6">
        <w:rPr>
          <w:rFonts w:cstheme="minorHAnsi"/>
        </w:rPr>
        <w:t>.</w:t>
      </w:r>
      <w:r w:rsidR="00A33EE8" w:rsidRPr="004447F6">
        <w:rPr>
          <w:rFonts w:cstheme="minorHAnsi"/>
        </w:rPr>
        <w:t xml:space="preserve"> </w:t>
      </w:r>
      <w:r w:rsidR="004D541E" w:rsidRPr="004447F6">
        <w:rPr>
          <w:rFonts w:cstheme="minorHAnsi"/>
        </w:rPr>
        <w:t>Particular features of the SARS-CoV-2 vaccination campaign, including the role of social media in spreading (mis)information on vaccination</w:t>
      </w:r>
      <w:r w:rsidR="001D26DB" w:rsidRPr="004447F6">
        <w:rPr>
          <w:rFonts w:cstheme="minorHAnsi"/>
        </w:rPr>
        <w:t xml:space="preserve"> side-effects</w:t>
      </w:r>
      <w:r w:rsidR="004D541E" w:rsidRPr="004447F6">
        <w:rPr>
          <w:rFonts w:cstheme="minorHAnsi"/>
        </w:rPr>
        <w:t xml:space="preserve">, as well as </w:t>
      </w:r>
      <w:r w:rsidR="00CB42CE" w:rsidRPr="004447F6">
        <w:rPr>
          <w:rFonts w:cstheme="minorHAnsi"/>
        </w:rPr>
        <w:t>intense</w:t>
      </w:r>
      <w:r w:rsidR="004D541E" w:rsidRPr="004447F6">
        <w:rPr>
          <w:rFonts w:cstheme="minorHAnsi"/>
        </w:rPr>
        <w:t xml:space="preserve"> media interest</w:t>
      </w:r>
      <w:r w:rsidR="001D26DB" w:rsidRPr="004447F6">
        <w:rPr>
          <w:rFonts w:cstheme="minorHAnsi"/>
        </w:rPr>
        <w:t xml:space="preserve">, </w:t>
      </w:r>
      <w:r w:rsidR="004D541E" w:rsidRPr="004447F6">
        <w:rPr>
          <w:rFonts w:cstheme="minorHAnsi"/>
        </w:rPr>
        <w:t>may mean individuals are further predisposed to FND reactions. Despite this, these avenues also offer clinicians opportunity to better inform potential vaccine recipients, and in doing so potentially reduce the incidence of acute FND reactions.</w:t>
      </w:r>
    </w:p>
    <w:p w14:paraId="23D6D1F0" w14:textId="4EA013CF" w:rsidR="00F56064" w:rsidRPr="004447F6" w:rsidRDefault="00031AD4" w:rsidP="006C40EE">
      <w:pPr>
        <w:spacing w:line="360" w:lineRule="auto"/>
        <w:jc w:val="both"/>
        <w:rPr>
          <w:rFonts w:cstheme="minorHAnsi"/>
        </w:rPr>
      </w:pPr>
      <w:r w:rsidRPr="004447F6">
        <w:rPr>
          <w:rFonts w:cstheme="minorHAnsi"/>
        </w:rPr>
        <w:t>It</w:t>
      </w:r>
      <w:r w:rsidR="00A33EE8" w:rsidRPr="004447F6">
        <w:rPr>
          <w:rFonts w:cstheme="minorHAnsi"/>
        </w:rPr>
        <w:t xml:space="preserve"> is important that those working in the clinical neurosciences are abreast of the evidence for and against potential associations, including background rates and the potential for FND manifestations to both care for our patients and to </w:t>
      </w:r>
      <w:r w:rsidR="00A448CF" w:rsidRPr="004447F6">
        <w:rPr>
          <w:rFonts w:cstheme="minorHAnsi"/>
        </w:rPr>
        <w:t>not hamper ongoing vaccination efforts.</w:t>
      </w:r>
      <w:r w:rsidR="004D541E" w:rsidRPr="004447F6">
        <w:rPr>
          <w:rFonts w:cstheme="minorHAnsi"/>
        </w:rPr>
        <w:t xml:space="preserve"> At the individual level, clinicians are encouraged to have collaborative discussions with patients on the potential for neurological and neuropsychiatric complications of SARS-CoV-2 vaccinations.</w:t>
      </w:r>
    </w:p>
    <w:p w14:paraId="290F6EEE" w14:textId="77777777" w:rsidR="00F56064" w:rsidRPr="004447F6" w:rsidRDefault="00F56064" w:rsidP="00F56064">
      <w:pPr>
        <w:spacing w:line="360" w:lineRule="auto"/>
        <w:jc w:val="both"/>
        <w:rPr>
          <w:rFonts w:cstheme="minorHAnsi"/>
          <w:b/>
          <w:bCs/>
        </w:rPr>
      </w:pPr>
      <w:r w:rsidRPr="004447F6">
        <w:rPr>
          <w:rFonts w:cstheme="minorHAnsi"/>
          <w:b/>
          <w:bCs/>
        </w:rPr>
        <w:t>Conflicts of interest</w:t>
      </w:r>
    </w:p>
    <w:p w14:paraId="5E1A61E4" w14:textId="2A0613CA" w:rsidR="00F56064" w:rsidRPr="004447F6" w:rsidRDefault="00F56064" w:rsidP="00F56064">
      <w:pPr>
        <w:spacing w:line="360" w:lineRule="auto"/>
        <w:jc w:val="both"/>
        <w:rPr>
          <w:rFonts w:cstheme="minorHAnsi"/>
        </w:rPr>
      </w:pPr>
      <w:r w:rsidRPr="004447F6">
        <w:rPr>
          <w:rFonts w:cstheme="minorHAnsi"/>
        </w:rPr>
        <w:t>The authors declare no conflicts of interest.</w:t>
      </w:r>
    </w:p>
    <w:p w14:paraId="352A5081" w14:textId="77777777" w:rsidR="00F56064" w:rsidRPr="004447F6" w:rsidRDefault="00F56064" w:rsidP="00F56064">
      <w:pPr>
        <w:spacing w:line="360" w:lineRule="auto"/>
        <w:jc w:val="both"/>
        <w:rPr>
          <w:rFonts w:cstheme="minorHAnsi"/>
          <w:b/>
          <w:bCs/>
        </w:rPr>
      </w:pPr>
      <w:r w:rsidRPr="004447F6">
        <w:rPr>
          <w:rFonts w:cstheme="minorHAnsi"/>
          <w:b/>
          <w:bCs/>
        </w:rPr>
        <w:t>Funding and acknowledgements</w:t>
      </w:r>
    </w:p>
    <w:p w14:paraId="616016E9" w14:textId="4B379A0B" w:rsidR="00F56064" w:rsidRPr="004447F6" w:rsidRDefault="00F56064" w:rsidP="00F56064">
      <w:pPr>
        <w:spacing w:line="360" w:lineRule="auto"/>
        <w:jc w:val="both"/>
        <w:rPr>
          <w:rFonts w:cstheme="minorHAnsi"/>
        </w:rPr>
      </w:pPr>
      <w:r w:rsidRPr="004447F6">
        <w:rPr>
          <w:rFonts w:cstheme="minorHAnsi"/>
        </w:rPr>
        <w:t xml:space="preserve">MB is an NIHR Academic Clinical Fellow (ACF-2019-17-008). </w:t>
      </w:r>
      <w:r w:rsidR="00C7014A" w:rsidRPr="004447F6">
        <w:rPr>
          <w:rFonts w:cstheme="minorHAnsi"/>
        </w:rPr>
        <w:t xml:space="preserve">AT is </w:t>
      </w:r>
      <w:r w:rsidR="009971C9" w:rsidRPr="004447F6">
        <w:rPr>
          <w:rFonts w:cstheme="minorHAnsi"/>
        </w:rPr>
        <w:t xml:space="preserve">an </w:t>
      </w:r>
      <w:r w:rsidR="00C7014A" w:rsidRPr="004447F6">
        <w:rPr>
          <w:rFonts w:cstheme="minorHAnsi"/>
        </w:rPr>
        <w:t xml:space="preserve">NIHR Academic Clinical Fellow. </w:t>
      </w:r>
      <w:r w:rsidRPr="004447F6">
        <w:rPr>
          <w:rFonts w:cstheme="minorHAnsi"/>
        </w:rPr>
        <w:t xml:space="preserve">TS is supported by the National Institute for Health Research (NIHR) Health Protection Research Unit in Emerging and Zoonotic Infections (Grant Nos. IS-HPU-1112-10117 and NIHR200907), NIHR Programme Grant for Applied Research (No. RP-PG-0108-10,048), NIHR Global Health Research Group on Brain Infections (No. 17/63/110), and the European Union's Horizon 2020 research and innovation program </w:t>
      </w:r>
      <w:proofErr w:type="spellStart"/>
      <w:r w:rsidRPr="004447F6">
        <w:rPr>
          <w:rFonts w:cstheme="minorHAnsi"/>
        </w:rPr>
        <w:t>ZikaPLAN</w:t>
      </w:r>
      <w:proofErr w:type="spellEnd"/>
      <w:r w:rsidRPr="004447F6">
        <w:rPr>
          <w:rFonts w:cstheme="minorHAnsi"/>
        </w:rPr>
        <w:t xml:space="preserve"> (Preparedness Latin America Network), grant agreement No. 734584. BDM is supported to conduct COVID-19 neuroscience research by the UKRI/MRC (MR/V03605X/1); for additional neurological inflammation research due to viral infection BDM is also supported by grants </w:t>
      </w:r>
      <w:r w:rsidRPr="004447F6">
        <w:rPr>
          <w:rFonts w:cstheme="minorHAnsi"/>
        </w:rPr>
        <w:lastRenderedPageBreak/>
        <w:t>from the MRC/UKRI (MR/V007181//1), MRC (MR/</w:t>
      </w:r>
      <w:proofErr w:type="spellStart"/>
      <w:r w:rsidRPr="004447F6">
        <w:rPr>
          <w:rFonts w:cstheme="minorHAnsi"/>
        </w:rPr>
        <w:t>T028750</w:t>
      </w:r>
      <w:proofErr w:type="spellEnd"/>
      <w:r w:rsidRPr="004447F6">
        <w:rPr>
          <w:rFonts w:cstheme="minorHAnsi"/>
        </w:rPr>
        <w:t>/1) and Wellcome (</w:t>
      </w:r>
      <w:proofErr w:type="spellStart"/>
      <w:r w:rsidRPr="004447F6">
        <w:rPr>
          <w:rFonts w:cstheme="minorHAnsi"/>
        </w:rPr>
        <w:t>ISSF201902</w:t>
      </w:r>
      <w:proofErr w:type="spellEnd"/>
      <w:r w:rsidRPr="004447F6">
        <w:rPr>
          <w:rFonts w:cstheme="minorHAnsi"/>
        </w:rPr>
        <w:t>/3). TP is supported by a National Institute of Health Research (NIHR) Clinical Lectureship. The funding agencies have no role in the preparation of the article, or in the decision to submit it for publication.</w:t>
      </w:r>
    </w:p>
    <w:p w14:paraId="34BEE7B7" w14:textId="3112EFF2" w:rsidR="000C3563" w:rsidRPr="004447F6" w:rsidRDefault="000C3563" w:rsidP="00D47C7B">
      <w:pPr>
        <w:pageBreakBefore/>
        <w:spacing w:line="360" w:lineRule="auto"/>
        <w:jc w:val="both"/>
        <w:rPr>
          <w:rFonts w:cstheme="minorHAnsi"/>
          <w:b/>
          <w:bCs/>
        </w:rPr>
      </w:pPr>
      <w:r w:rsidRPr="004447F6">
        <w:rPr>
          <w:rFonts w:cstheme="minorHAnsi"/>
          <w:b/>
          <w:bCs/>
        </w:rPr>
        <w:lastRenderedPageBreak/>
        <w:t>References</w:t>
      </w:r>
    </w:p>
    <w:p w14:paraId="48C1D445" w14:textId="422D9B66" w:rsidR="002E7916" w:rsidRPr="004447F6" w:rsidRDefault="000C3563" w:rsidP="002E7916">
      <w:pPr>
        <w:widowControl w:val="0"/>
        <w:autoSpaceDE w:val="0"/>
        <w:autoSpaceDN w:val="0"/>
        <w:adjustRightInd w:val="0"/>
        <w:spacing w:line="360" w:lineRule="auto"/>
        <w:ind w:left="640" w:hanging="640"/>
        <w:rPr>
          <w:rFonts w:ascii="Calibri" w:hAnsi="Calibri" w:cs="Calibri"/>
          <w:noProof/>
          <w:szCs w:val="24"/>
        </w:rPr>
      </w:pPr>
      <w:r w:rsidRPr="004447F6">
        <w:rPr>
          <w:rFonts w:cstheme="minorHAnsi"/>
          <w:b/>
          <w:bCs/>
        </w:rPr>
        <w:fldChar w:fldCharType="begin" w:fldLock="1"/>
      </w:r>
      <w:r w:rsidRPr="004447F6">
        <w:rPr>
          <w:rFonts w:cstheme="minorHAnsi"/>
          <w:b/>
          <w:bCs/>
        </w:rPr>
        <w:instrText xml:space="preserve">ADDIN Mendeley Bibliography CSL_BIBLIOGRAPHY </w:instrText>
      </w:r>
      <w:r w:rsidRPr="004447F6">
        <w:rPr>
          <w:rFonts w:cstheme="minorHAnsi"/>
          <w:b/>
          <w:bCs/>
        </w:rPr>
        <w:fldChar w:fldCharType="separate"/>
      </w:r>
      <w:r w:rsidR="002E7916" w:rsidRPr="004447F6">
        <w:rPr>
          <w:rFonts w:ascii="Calibri" w:hAnsi="Calibri" w:cs="Calibri"/>
          <w:noProof/>
          <w:szCs w:val="24"/>
        </w:rPr>
        <w:t xml:space="preserve">1. </w:t>
      </w:r>
      <w:r w:rsidR="002E7916" w:rsidRPr="004447F6">
        <w:rPr>
          <w:rFonts w:ascii="Calibri" w:hAnsi="Calibri" w:cs="Calibri"/>
          <w:noProof/>
          <w:szCs w:val="24"/>
        </w:rPr>
        <w:tab/>
        <w:t>Holder J. Tracking Coronavirus Vaccinations Around the World [Internet]. New York Times. 2021 [cited 2021 Mar 29]. Available from: https://www.nytimes.com/interactive/2021/world/covid-vaccinations-tracker.html</w:t>
      </w:r>
    </w:p>
    <w:p w14:paraId="4EF93D4C"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 </w:t>
      </w:r>
      <w:r w:rsidRPr="004447F6">
        <w:rPr>
          <w:rFonts w:ascii="Calibri" w:hAnsi="Calibri" w:cs="Calibri"/>
          <w:noProof/>
          <w:szCs w:val="24"/>
        </w:rPr>
        <w:tab/>
        <w:t xml:space="preserve">Mahase E. Covid-19: WHO says rollout of AstraZeneca vaccine should continue, as Europe divides over safety. Br Med J. 2021;372(n728). </w:t>
      </w:r>
    </w:p>
    <w:p w14:paraId="4AB16B78"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3. </w:t>
      </w:r>
      <w:r w:rsidRPr="004447F6">
        <w:rPr>
          <w:rFonts w:ascii="Calibri" w:hAnsi="Calibri" w:cs="Calibri"/>
          <w:noProof/>
          <w:szCs w:val="24"/>
        </w:rPr>
        <w:tab/>
        <w:t>Craven J. COVID-19 vaccine tracker [Internet]. Regulatory Focus. 2021 [cited 2021 Apr 10]. Available from: https://www.raps.org/news-and-articles/news-articles/2020/3/covid-19-vaccine-tracker</w:t>
      </w:r>
    </w:p>
    <w:p w14:paraId="1374B2CA"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 </w:t>
      </w:r>
      <w:r w:rsidRPr="004447F6">
        <w:rPr>
          <w:rFonts w:ascii="Calibri" w:hAnsi="Calibri" w:cs="Calibri"/>
          <w:noProof/>
          <w:szCs w:val="24"/>
        </w:rPr>
        <w:tab/>
        <w:t xml:space="preserve">Polack FP, Thomas SJ, Kitchin N, Absalon J, Gurtman A, Lockhart S, et al. Safety and Efficacy of the BNT162b2 mRNA Covid-19 Vaccine. N Engl J Med. 2020;383(27):2603–15. </w:t>
      </w:r>
    </w:p>
    <w:p w14:paraId="7EFB9AD6"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5. </w:t>
      </w:r>
      <w:r w:rsidRPr="004447F6">
        <w:rPr>
          <w:rFonts w:ascii="Calibri" w:hAnsi="Calibri" w:cs="Calibri"/>
          <w:noProof/>
          <w:szCs w:val="24"/>
        </w:rPr>
        <w:tab/>
        <w:t xml:space="preserve">Baden LR, El Sahly HM, Essink B, Kotloff K, Frey S, Novak R, et al. Efficacy and Safety of the mRNA-1273 SARS-CoV-2 Vaccine. N Engl J Med. 2021;384(5):403–16. </w:t>
      </w:r>
    </w:p>
    <w:p w14:paraId="1570116F"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 </w:t>
      </w:r>
      <w:r w:rsidRPr="004447F6">
        <w:rPr>
          <w:rFonts w:ascii="Calibri" w:hAnsi="Calibri" w:cs="Calibri"/>
          <w:noProof/>
          <w:szCs w:val="24"/>
        </w:rPr>
        <w:tab/>
        <w:t xml:space="preserve">Wadman M. Public needs to prep for vaccine side effects. Science (80- ). 2020;370(6520):1022. </w:t>
      </w:r>
    </w:p>
    <w:p w14:paraId="07599563"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7. </w:t>
      </w:r>
      <w:r w:rsidRPr="004447F6">
        <w:rPr>
          <w:rFonts w:ascii="Calibri" w:hAnsi="Calibri" w:cs="Calibri"/>
          <w:noProof/>
          <w:szCs w:val="24"/>
        </w:rPr>
        <w:tab/>
        <w:t>Remmel A. COVID vaccines and safety: what the research says. Nat 2021 [Internet]. 2021;590:538–40. Available from: https://www.nature.com/articles/d41586-021-00290-x</w:t>
      </w:r>
    </w:p>
    <w:p w14:paraId="12C4A413"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8. </w:t>
      </w:r>
      <w:r w:rsidRPr="004447F6">
        <w:rPr>
          <w:rFonts w:ascii="Calibri" w:hAnsi="Calibri" w:cs="Calibri"/>
          <w:noProof/>
          <w:szCs w:val="24"/>
        </w:rPr>
        <w:tab/>
        <w:t>Medicines &amp; Healthcare Products Regulatory Agency. Coronavirus vaccine - weekly summary of Yellow Card reporting [Internet]. 2021 [cited 2021 Feb 22]. Available from: https://www.gov.uk/government/publications/coronavirus-covid-19-vaccine-adverse-reactions/coronavirus-vaccine-summary-of-yellow-card-reporting</w:t>
      </w:r>
    </w:p>
    <w:p w14:paraId="1CD72DB8"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9. </w:t>
      </w:r>
      <w:r w:rsidRPr="004447F6">
        <w:rPr>
          <w:rFonts w:ascii="Calibri" w:hAnsi="Calibri" w:cs="Calibri"/>
          <w:noProof/>
          <w:szCs w:val="24"/>
        </w:rPr>
        <w:tab/>
        <w:t>Medicines &amp; Healthcare Products Regulatory Agency. MHRA PUBLIC ASSESSMENT REPORT - Swine flu vaccines and antiviral medicines: UK postpandemic safety review [Internet]. 2011. Available from: https://assets.publishing.service.gov.uk/government/uploads/system/uploads/attachment_data/file/852415/Swine_flu_vaccines_and_antiviral_medicines_UK_post-pandemic_safety_review.pdf</w:t>
      </w:r>
    </w:p>
    <w:p w14:paraId="0601A3E5"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10. </w:t>
      </w:r>
      <w:r w:rsidRPr="004447F6">
        <w:rPr>
          <w:rFonts w:ascii="Calibri" w:hAnsi="Calibri" w:cs="Calibri"/>
          <w:noProof/>
          <w:szCs w:val="24"/>
        </w:rPr>
        <w:tab/>
        <w:t xml:space="preserve">Horwitz RI, Feinstein AR. Alternative Analytic Methods for Case-Control Studies of Estrogens and Endometrial Cancer. N Engl J Med. 1978;299(20):1089–94. </w:t>
      </w:r>
    </w:p>
    <w:p w14:paraId="07F93693"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11. </w:t>
      </w:r>
      <w:r w:rsidRPr="004447F6">
        <w:rPr>
          <w:rFonts w:ascii="Calibri" w:hAnsi="Calibri" w:cs="Calibri"/>
          <w:noProof/>
          <w:szCs w:val="24"/>
        </w:rPr>
        <w:tab/>
        <w:t xml:space="preserve">Pariente A, Gregoire F, Fourrier-Reglat A, Haramburu F, Moore N. Impact of safety alerts on </w:t>
      </w:r>
      <w:r w:rsidRPr="004447F6">
        <w:rPr>
          <w:rFonts w:ascii="Calibri" w:hAnsi="Calibri" w:cs="Calibri"/>
          <w:noProof/>
          <w:szCs w:val="24"/>
        </w:rPr>
        <w:lastRenderedPageBreak/>
        <w:t xml:space="preserve">measures of disproportionality in spontaneous reporting databases: The notoriety bias. Drug Saf. 2007; </w:t>
      </w:r>
    </w:p>
    <w:p w14:paraId="7EAF6995"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12. </w:t>
      </w:r>
      <w:r w:rsidRPr="004447F6">
        <w:rPr>
          <w:rFonts w:ascii="Calibri" w:hAnsi="Calibri" w:cs="Calibri"/>
          <w:noProof/>
          <w:szCs w:val="24"/>
        </w:rPr>
        <w:tab/>
        <w:t xml:space="preserve">Iboi EA, Ngonghala CN, Gumel AB. Will an imperfect vaccine curtail the COVID-19 pandemic in the U.S.? Infect Dis Model. 2020; </w:t>
      </w:r>
    </w:p>
    <w:p w14:paraId="2A728492"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13. </w:t>
      </w:r>
      <w:r w:rsidRPr="004447F6">
        <w:rPr>
          <w:rFonts w:ascii="Calibri" w:hAnsi="Calibri" w:cs="Calibri"/>
          <w:noProof/>
          <w:szCs w:val="24"/>
        </w:rPr>
        <w:tab/>
        <w:t xml:space="preserve">Butler M, Pollak TA, Rooney AG, Michael BD, Nicholson TR. Neuropsychiatric complications of covid-19. BMJ. 2020 Oct 13;371:m3871. </w:t>
      </w:r>
    </w:p>
    <w:p w14:paraId="0654B03B"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14. </w:t>
      </w:r>
      <w:r w:rsidRPr="004447F6">
        <w:rPr>
          <w:rFonts w:ascii="Calibri" w:hAnsi="Calibri" w:cs="Calibri"/>
          <w:noProof/>
          <w:szCs w:val="24"/>
        </w:rPr>
        <w:tab/>
        <w:t>Rogers JP, Watson C, Badenoch J, Cross B, Butler M, Song J, et al. The neurology and neuropsychiatry of COVID-19: a systematic review and meta-analysis of the early literature reveals frequent CNS manifestations and key emerging narratives. medRxiv [Internet]. 2021 Jan 1;2021.02.24.21252335. Available from: http://medrxiv.org/content/early/2021/02/26/2021.02.24.21252335.abstract</w:t>
      </w:r>
    </w:p>
    <w:p w14:paraId="79F97D14"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15. </w:t>
      </w:r>
      <w:r w:rsidRPr="004447F6">
        <w:rPr>
          <w:rFonts w:ascii="Calibri" w:hAnsi="Calibri" w:cs="Calibri"/>
          <w:noProof/>
          <w:szCs w:val="24"/>
        </w:rPr>
        <w:tab/>
        <w:t xml:space="preserve">Ellul M, Varatharaj A, Nicholson TR, Pollak TA, Thomas N, Easton A, et al. Defining causality in COVID-19 and neurological disorders. J Neurol Neurosurg Psychiatry. 2020 Jun 5;91(8):811–2. </w:t>
      </w:r>
    </w:p>
    <w:p w14:paraId="73406A90"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16. </w:t>
      </w:r>
      <w:r w:rsidRPr="004447F6">
        <w:rPr>
          <w:rFonts w:ascii="Calibri" w:hAnsi="Calibri" w:cs="Calibri"/>
          <w:noProof/>
          <w:szCs w:val="24"/>
        </w:rPr>
        <w:tab/>
        <w:t xml:space="preserve">Wang H. Anti-NMDA receptor encephalitis and vaccination. Int J Mol Sci. 2017;18(1). </w:t>
      </w:r>
    </w:p>
    <w:p w14:paraId="094511B9"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17. </w:t>
      </w:r>
      <w:r w:rsidRPr="004447F6">
        <w:rPr>
          <w:rFonts w:ascii="Calibri" w:hAnsi="Calibri" w:cs="Calibri"/>
          <w:noProof/>
          <w:szCs w:val="24"/>
        </w:rPr>
        <w:tab/>
        <w:t xml:space="preserve">Baltagi SA, Shoykhet M, Felmet K, Kochanek PM, Bell MJ. Neurological sequelae of 2009 influenza A (H1N1) in children: A case series observed during a pandemic. Pediatr Crit Care Med. 2010;11(2):179–84. </w:t>
      </w:r>
    </w:p>
    <w:p w14:paraId="39C59FFA"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18. </w:t>
      </w:r>
      <w:r w:rsidRPr="004447F6">
        <w:rPr>
          <w:rFonts w:ascii="Calibri" w:hAnsi="Calibri" w:cs="Calibri"/>
          <w:noProof/>
          <w:szCs w:val="24"/>
        </w:rPr>
        <w:tab/>
        <w:t xml:space="preserve">Partinen M, Saarenpää-Heikkilä O, Ilveskoski I, Hublin C, Linna M, Olsén P, et al. Increased incidence and clinical picture of childhood narcolepsy following the 2009 H1N1 pandemic vaccination campaign in Finland. PLoS One. 2012;7(3). </w:t>
      </w:r>
    </w:p>
    <w:p w14:paraId="6D971561"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19. </w:t>
      </w:r>
      <w:r w:rsidRPr="004447F6">
        <w:rPr>
          <w:rFonts w:ascii="Calibri" w:hAnsi="Calibri" w:cs="Calibri"/>
          <w:noProof/>
          <w:szCs w:val="24"/>
        </w:rPr>
        <w:tab/>
        <w:t xml:space="preserve">Sarkanen TO, Alakuijala APE, Dauvilliers YA, Partinen MM. Incidence of narcolepsy after H1N1 influenza and vaccinations: Systematic review and meta-analysis. Sleep Med Rev. 2018;38:177–86. </w:t>
      </w:r>
    </w:p>
    <w:p w14:paraId="581C2917"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20. </w:t>
      </w:r>
      <w:r w:rsidRPr="004447F6">
        <w:rPr>
          <w:rFonts w:ascii="Calibri" w:hAnsi="Calibri" w:cs="Calibri"/>
          <w:noProof/>
          <w:szCs w:val="24"/>
        </w:rPr>
        <w:tab/>
        <w:t xml:space="preserve">Li-Kim-Moy J, Booy R. The manufacturing process should remain the focus for severe febrile reactions in children administered an Australian inactivated influenza vaccine during 2010. Influenza Other Respi Viruses. 2016; </w:t>
      </w:r>
    </w:p>
    <w:p w14:paraId="4B614520"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21. </w:t>
      </w:r>
      <w:r w:rsidRPr="004447F6">
        <w:rPr>
          <w:rFonts w:ascii="Calibri" w:hAnsi="Calibri" w:cs="Calibri"/>
          <w:noProof/>
          <w:szCs w:val="24"/>
        </w:rPr>
        <w:tab/>
        <w:t xml:space="preserve">Sejvar JJ, Kohl KS, Gidudu J, Amato A, Bakshi N, Baxter R, et al. Guillain-Barré syndrome and Fisher syndrome: Case definitions and guidelines for collection, analysis, and presentation of immunization safety data. Vaccine. 2011;29(3):599–612. </w:t>
      </w:r>
    </w:p>
    <w:p w14:paraId="6DA5BA6F"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22. </w:t>
      </w:r>
      <w:r w:rsidRPr="004447F6">
        <w:rPr>
          <w:rFonts w:ascii="Calibri" w:hAnsi="Calibri" w:cs="Calibri"/>
          <w:noProof/>
          <w:szCs w:val="24"/>
        </w:rPr>
        <w:tab/>
        <w:t xml:space="preserve">Mutsch M, Zhou W, Rhodes P, Bopp M, Chen RT, Linder T, et al. Use of the Inactivated </w:t>
      </w:r>
      <w:r w:rsidRPr="004447F6">
        <w:rPr>
          <w:rFonts w:ascii="Calibri" w:hAnsi="Calibri" w:cs="Calibri"/>
          <w:noProof/>
          <w:szCs w:val="24"/>
        </w:rPr>
        <w:lastRenderedPageBreak/>
        <w:t xml:space="preserve">Intranasal Influenza Vaccine and the Risk of Bell’s Palsy in Switzerland. N Engl J Med. 2004;350(9):896–903. </w:t>
      </w:r>
    </w:p>
    <w:p w14:paraId="09EE1E0D"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23. </w:t>
      </w:r>
      <w:r w:rsidRPr="004447F6">
        <w:rPr>
          <w:rFonts w:ascii="Calibri" w:hAnsi="Calibri" w:cs="Calibri"/>
          <w:noProof/>
          <w:szCs w:val="24"/>
        </w:rPr>
        <w:tab/>
        <w:t xml:space="preserve">Marchetti RL, Gallucci-Neto J, Kurcgant D, Proença ICGF, Valiengo L da CL, Fiore LA, et al. Immunization stress-related responses presenting as psychogenic non-epileptic seizures following HPV vaccination in Rio Branco, Brazil. Vaccine. 2020;38(43):6714–20. </w:t>
      </w:r>
    </w:p>
    <w:p w14:paraId="0F039797"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24. </w:t>
      </w:r>
      <w:r w:rsidRPr="004447F6">
        <w:rPr>
          <w:rFonts w:ascii="Calibri" w:hAnsi="Calibri" w:cs="Calibri"/>
          <w:noProof/>
          <w:szCs w:val="24"/>
        </w:rPr>
        <w:tab/>
        <w:t xml:space="preserve">Lin CY, Peng CC, Liu HC, Chiu NC. Psychogenic movement disorder after H1N1 influenza vaccination. J Neuropsychiatry Clin Neurosci. 2011;23(3). </w:t>
      </w:r>
    </w:p>
    <w:p w14:paraId="17DB3E8B"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25. </w:t>
      </w:r>
      <w:r w:rsidRPr="004447F6">
        <w:rPr>
          <w:rFonts w:ascii="Calibri" w:hAnsi="Calibri" w:cs="Calibri"/>
          <w:noProof/>
          <w:szCs w:val="24"/>
        </w:rPr>
        <w:tab/>
        <w:t xml:space="preserve">Yang TU, Kim HJ, Lee YK, Park YJ. Psychogenic illness following vaccination: Exploratory study of mass vaccination against pandemic influenza A (H1N1) in 2009 in South Korea. Clin Exp Vaccine Res. 2017;6(1):31–7. </w:t>
      </w:r>
    </w:p>
    <w:p w14:paraId="50FB274C"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26. </w:t>
      </w:r>
      <w:r w:rsidRPr="004447F6">
        <w:rPr>
          <w:rFonts w:ascii="Calibri" w:hAnsi="Calibri" w:cs="Calibri"/>
          <w:noProof/>
          <w:szCs w:val="24"/>
        </w:rPr>
        <w:tab/>
        <w:t xml:space="preserve">World Health Organization. Causality assessment of an adverse event following immunization (AEFI): user manual for the revised WHO classification. World Health Organization; 2019. </w:t>
      </w:r>
    </w:p>
    <w:p w14:paraId="4E1F6F6B"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27. </w:t>
      </w:r>
      <w:r w:rsidRPr="004447F6">
        <w:rPr>
          <w:rFonts w:ascii="Calibri" w:hAnsi="Calibri" w:cs="Calibri"/>
          <w:noProof/>
          <w:szCs w:val="24"/>
        </w:rPr>
        <w:tab/>
        <w:t>Espay AJ, Aybek S, Carson A, Edwards MJ, Goldstein LH, Hallett M, et al. Current concepts in diagnosis and treatment of functional neurological disorders. JAMA Neurol [Internet]. 2018 Sep 1;75(9):1132–41. Available from: https://doi.org/10.1001/jamaneurol.2018.1264</w:t>
      </w:r>
    </w:p>
    <w:p w14:paraId="2702296C"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28. </w:t>
      </w:r>
      <w:r w:rsidRPr="004447F6">
        <w:rPr>
          <w:rFonts w:ascii="Calibri" w:hAnsi="Calibri" w:cs="Calibri"/>
          <w:noProof/>
          <w:szCs w:val="24"/>
        </w:rPr>
        <w:tab/>
        <w:t>World Health Organization. COVID-19 vaccines [Internet]. 2021 [cited 2021 Apr 1]. Available from: https://www.who.int/emergencies/diseases/novel-coronavirus-2019/covid-19-vaccines</w:t>
      </w:r>
    </w:p>
    <w:p w14:paraId="18FBEE00"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29. </w:t>
      </w:r>
      <w:r w:rsidRPr="004447F6">
        <w:rPr>
          <w:rFonts w:ascii="Calibri" w:hAnsi="Calibri" w:cs="Calibri"/>
          <w:noProof/>
          <w:szCs w:val="24"/>
        </w:rPr>
        <w:tab/>
        <w:t xml:space="preserve">Mozzicato P. MedDRA. Pharmaceut Med. 2009;23(2):65–75. </w:t>
      </w:r>
    </w:p>
    <w:p w14:paraId="13E640B5"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30. </w:t>
      </w:r>
      <w:r w:rsidRPr="004447F6">
        <w:rPr>
          <w:rFonts w:ascii="Calibri" w:hAnsi="Calibri" w:cs="Calibri"/>
          <w:noProof/>
          <w:szCs w:val="24"/>
        </w:rPr>
        <w:tab/>
        <w:t xml:space="preserve">SCHONBERGER LB, BREGMAN DJ, SULLIVAN-BOLYAI JZ, KEENLYSIDE RA, ZIEGLER DW, RETAILLIAU HF, et al. GUILLAIN-BARRE SYNDROME FOLLOWING VACCINATION IN THE NATIONAL INFLUENZA IMMUNIZATION PROGRAM, UNITED STATES, 1976–19771. Am J Epidemiol. 1979 Aug 1;110(2):105–23. </w:t>
      </w:r>
    </w:p>
    <w:p w14:paraId="034D16E8"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31. </w:t>
      </w:r>
      <w:r w:rsidRPr="004447F6">
        <w:rPr>
          <w:rFonts w:ascii="Calibri" w:hAnsi="Calibri" w:cs="Calibri"/>
          <w:noProof/>
          <w:szCs w:val="24"/>
        </w:rPr>
        <w:tab/>
        <w:t xml:space="preserve">Knoll MD, Wonodi C. Oxford–AstraZeneca COVID-19 vaccine efficacy. Lancet. 2021;397(10269):72–4. </w:t>
      </w:r>
    </w:p>
    <w:p w14:paraId="3F7469C5"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32. </w:t>
      </w:r>
      <w:r w:rsidRPr="004447F6">
        <w:rPr>
          <w:rFonts w:ascii="Calibri" w:hAnsi="Calibri" w:cs="Calibri"/>
          <w:noProof/>
          <w:szCs w:val="24"/>
        </w:rPr>
        <w:tab/>
        <w:t xml:space="preserve">Claims and counterclaims over alleged adverse reaction in covid-19 vaccine in India. BMJ. 2020;371:m4734. </w:t>
      </w:r>
    </w:p>
    <w:p w14:paraId="700A79D7"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33. </w:t>
      </w:r>
      <w:r w:rsidRPr="004447F6">
        <w:rPr>
          <w:rFonts w:ascii="Calibri" w:hAnsi="Calibri" w:cs="Calibri"/>
          <w:noProof/>
          <w:szCs w:val="24"/>
        </w:rPr>
        <w:tab/>
        <w:t xml:space="preserve">Rowlands S, Hooper R, Hughes R, Burney P. The epidemiology and treatment of Bell’s palsy in the UK. Eur J Neurol. 2002;9(1):63–7. </w:t>
      </w:r>
    </w:p>
    <w:p w14:paraId="5CF124B1"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34. </w:t>
      </w:r>
      <w:r w:rsidRPr="004447F6">
        <w:rPr>
          <w:rFonts w:ascii="Calibri" w:hAnsi="Calibri" w:cs="Calibri"/>
          <w:noProof/>
          <w:szCs w:val="24"/>
        </w:rPr>
        <w:tab/>
        <w:t xml:space="preserve">Sadoff J, Gray G, Vandebosch A, Cárdenas V, Shukarev G, Grinsztejn B, et al. Safety and Efficacy of Single-Dose Ad26.COV2.S Vaccine against Covid-19. N Engl J Med. 2021; </w:t>
      </w:r>
    </w:p>
    <w:p w14:paraId="2A19703F"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lastRenderedPageBreak/>
        <w:t xml:space="preserve">35. </w:t>
      </w:r>
      <w:r w:rsidRPr="004447F6">
        <w:rPr>
          <w:rFonts w:ascii="Calibri" w:hAnsi="Calibri" w:cs="Calibri"/>
          <w:noProof/>
          <w:szCs w:val="24"/>
        </w:rPr>
        <w:tab/>
        <w:t xml:space="preserve">Sadoff J, Davis K, Douoguih M. Thrombotic Thrombocytopenia after Ad26.COV2.S Vaccination — Response from the Manufacturer. N Engl J Med. 2021;384(20):1965–6. </w:t>
      </w:r>
    </w:p>
    <w:p w14:paraId="2CF3E17A"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36. </w:t>
      </w:r>
      <w:r w:rsidRPr="004447F6">
        <w:rPr>
          <w:rFonts w:ascii="Calibri" w:hAnsi="Calibri" w:cs="Calibri"/>
          <w:noProof/>
          <w:szCs w:val="24"/>
        </w:rPr>
        <w:tab/>
        <w:t xml:space="preserve">Logunov DY, Dolzhikova I V, Shcheblyakov D V, Tukhvatulin AI, Zubkova O V, Dzharullaeva AS, et al. Safety and efficacy of an rAd26 and rAd5 vector-based heterologous prime-boost COVID-19 vaccine: an interim analysis of a randomised controlled phase 3 trial in Russia. Lancet. 2021 Feb 20;397(10275):671–81. </w:t>
      </w:r>
    </w:p>
    <w:p w14:paraId="231DCED4"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37. </w:t>
      </w:r>
      <w:r w:rsidRPr="004447F6">
        <w:rPr>
          <w:rFonts w:ascii="Calibri" w:hAnsi="Calibri" w:cs="Calibri"/>
          <w:noProof/>
          <w:szCs w:val="24"/>
        </w:rPr>
        <w:tab/>
        <w:t xml:space="preserve">Scully M, Singh D, Lown R, Poles A, Solomon T, Levi M, et al. Pathologic Antibodies to Platelet Factor 4 after ChAdOx1 nCoV-19 Vaccination. N Engl J Med. 2021; </w:t>
      </w:r>
    </w:p>
    <w:p w14:paraId="499455C2"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38. </w:t>
      </w:r>
      <w:r w:rsidRPr="004447F6">
        <w:rPr>
          <w:rFonts w:ascii="Calibri" w:hAnsi="Calibri" w:cs="Calibri"/>
          <w:noProof/>
          <w:szCs w:val="24"/>
        </w:rPr>
        <w:tab/>
        <w:t>Al-Mayhani T, Saber S, Stubbs MJ, Losseff NA, Perry RJ, Simister RJ, et al. Ischaemic stroke as a presenting feature of ChAdOx1 nCoV-19 vaccine-induced immune thrombotic thrombocytopaenia. J Neurol Neurosurg &amp;amp;amp; Psychiatry [Internet]. 2021 May 20;jnnp-2021-326984. Available from: http://jnnp.bmj.com/content/early/2021/05/20/jnnp-2021-326984.abstract</w:t>
      </w:r>
    </w:p>
    <w:p w14:paraId="5AAADCE6"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39. </w:t>
      </w:r>
      <w:r w:rsidRPr="004447F6">
        <w:rPr>
          <w:rFonts w:ascii="Calibri" w:hAnsi="Calibri" w:cs="Calibri"/>
          <w:noProof/>
          <w:szCs w:val="24"/>
        </w:rPr>
        <w:tab/>
        <w:t>European Medicines Agency. AstraZeneca’s COVID-19 vaccine: EMA finds possible link to very rare cases of unusual blood clots with low blood platelets Share [Internet]. 2021 [cited 2021 Apr 8]. Available from: https://www.ema.europa.eu/en/news/astrazenecas-covid-19-vaccine-ema-finds-possible-link-very-rare-cases-unusual-blood-clots-low-blood</w:t>
      </w:r>
    </w:p>
    <w:p w14:paraId="67E95332"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40. </w:t>
      </w:r>
      <w:r w:rsidRPr="004447F6">
        <w:rPr>
          <w:rFonts w:ascii="Calibri" w:hAnsi="Calibri" w:cs="Calibri"/>
          <w:noProof/>
          <w:szCs w:val="24"/>
        </w:rPr>
        <w:tab/>
        <w:t xml:space="preserve">Schultz NH, Sørvoll IH, Michelsen AE, Munthe LA, Lund-Johansen F, Ahlen MT, et al. Thrombosis and Thrombocytopenia after ChAdOx1 nCoV-19 Vaccination. N Engl J Med. 2021; </w:t>
      </w:r>
    </w:p>
    <w:p w14:paraId="7D2997BA"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41. </w:t>
      </w:r>
      <w:r w:rsidRPr="004447F6">
        <w:rPr>
          <w:rFonts w:ascii="Calibri" w:hAnsi="Calibri" w:cs="Calibri"/>
          <w:noProof/>
          <w:szCs w:val="24"/>
        </w:rPr>
        <w:tab/>
        <w:t xml:space="preserve">Greinacher A, Thiele T, Warkentin TE, Weisser K, Kyrle PA, Eichinger S. Thrombotic Thrombocytopenia after ChAdOx1 nCov-19 Vaccination. N Engl J Med. 2021; </w:t>
      </w:r>
    </w:p>
    <w:p w14:paraId="3FAEB05C"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42. </w:t>
      </w:r>
      <w:r w:rsidRPr="004447F6">
        <w:rPr>
          <w:rFonts w:ascii="Calibri" w:hAnsi="Calibri" w:cs="Calibri"/>
          <w:noProof/>
          <w:szCs w:val="24"/>
        </w:rPr>
        <w:tab/>
        <w:t>Joint Committee on Vaccines and Immunisation (JCVI). JCVI statement on use of the AstraZeneca COVID-19 vaccine: 7 April 2021 [Internet]. 2021 [cited 2021 Apr 8]. Available from: https://www.gov.uk/government/publications/use-of-the-astrazeneca-covid-19-vaccine-jcvi-statement/jcvi-statement-on-use-of-the-astrazeneca-covid-19-vaccine-7-april-2021</w:t>
      </w:r>
    </w:p>
    <w:p w14:paraId="2BB08194"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43. </w:t>
      </w:r>
      <w:r w:rsidRPr="004447F6">
        <w:rPr>
          <w:rFonts w:ascii="Calibri" w:hAnsi="Calibri" w:cs="Calibri"/>
          <w:noProof/>
          <w:szCs w:val="24"/>
        </w:rPr>
        <w:tab/>
        <w:t>Covid: Germany limits use of AstraZeneca Covid jab for under-60s. BBC News [Internet]. 2021; Available from: https://www.bbc.co.uk/news/world-europe-56580728</w:t>
      </w:r>
    </w:p>
    <w:p w14:paraId="2D67E189"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44. </w:t>
      </w:r>
      <w:r w:rsidRPr="004447F6">
        <w:rPr>
          <w:rFonts w:ascii="Calibri" w:hAnsi="Calibri" w:cs="Calibri"/>
          <w:noProof/>
          <w:szCs w:val="24"/>
        </w:rPr>
        <w:tab/>
        <w:t xml:space="preserve">Pottegård A, Lund LC, Karlstad Ø, Dahl J, Andersen M, Hallas J, et al. Arterial events, venous thromboembolism, thrombocytopenia, and bleeding after vaccination with Oxford-AstraZeneca ChAdOx1-S in Denmark and Norway: Population based cohort study. BMJ. </w:t>
      </w:r>
      <w:r w:rsidRPr="004447F6">
        <w:rPr>
          <w:rFonts w:ascii="Calibri" w:hAnsi="Calibri" w:cs="Calibri"/>
          <w:noProof/>
          <w:szCs w:val="24"/>
        </w:rPr>
        <w:lastRenderedPageBreak/>
        <w:t xml:space="preserve">2021;373. </w:t>
      </w:r>
    </w:p>
    <w:p w14:paraId="05440549"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45. </w:t>
      </w:r>
      <w:r w:rsidRPr="004447F6">
        <w:rPr>
          <w:rFonts w:ascii="Calibri" w:hAnsi="Calibri" w:cs="Calibri"/>
          <w:noProof/>
          <w:szCs w:val="24"/>
        </w:rPr>
        <w:tab/>
        <w:t>Ogbebor O, Seth H, Min Z, Bhanot N. Guillain-Barré syndrome following the first dose of SARS-CoV-2 vaccine: A temporal occurrence, not a causal association. IDCases [Internet]. 2021;24:e01143. Available from: https://www.sciencedirect.com/science/article/pii/S2214250921000998</w:t>
      </w:r>
    </w:p>
    <w:p w14:paraId="1D8B840F"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46. </w:t>
      </w:r>
      <w:r w:rsidRPr="004447F6">
        <w:rPr>
          <w:rFonts w:ascii="Calibri" w:hAnsi="Calibri" w:cs="Calibri"/>
          <w:noProof/>
          <w:szCs w:val="24"/>
        </w:rPr>
        <w:tab/>
        <w:t xml:space="preserve">Colella G, Orlandi M, Cirillo N. Bell’s palsy following COVID-19 vaccination. J Neurol. 2021; </w:t>
      </w:r>
    </w:p>
    <w:p w14:paraId="0C55F251"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47. </w:t>
      </w:r>
      <w:r w:rsidRPr="004447F6">
        <w:rPr>
          <w:rFonts w:ascii="Calibri" w:hAnsi="Calibri" w:cs="Calibri"/>
          <w:noProof/>
          <w:szCs w:val="24"/>
        </w:rPr>
        <w:tab/>
        <w:t xml:space="preserve">Cao L, Ren L. Acute disseminated encephalomyelitis after severe acute respiratory syndrome coronavirus 2 vaccination: a case report. Acta Neurol Belg. 2021; </w:t>
      </w:r>
    </w:p>
    <w:p w14:paraId="583DD01C"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48. </w:t>
      </w:r>
      <w:r w:rsidRPr="004447F6">
        <w:rPr>
          <w:rFonts w:ascii="Calibri" w:hAnsi="Calibri" w:cs="Calibri"/>
          <w:noProof/>
          <w:szCs w:val="24"/>
        </w:rPr>
        <w:tab/>
        <w:t>Román GC, Gracia F, Torres A, Palacios A, Gracia K, Harris D. Acute Transverse Myelitis (ATM):Clinical Review of 43 Patients With COVID-19-Associated ATM and 3 Post-Vaccination ATM Serious Adverse Events With the ChAdOx1 nCoV-19 Vaccine (AZD1222)    [Internet]. Vol. 12, Frontiers in Immunology  . 2021. p. 879. Available from: https://www.frontiersin.org/article/10.3389/fimmu.2021.653786</w:t>
      </w:r>
    </w:p>
    <w:p w14:paraId="5665B556"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49. </w:t>
      </w:r>
      <w:r w:rsidRPr="004447F6">
        <w:rPr>
          <w:rFonts w:ascii="Calibri" w:hAnsi="Calibri" w:cs="Calibri"/>
          <w:noProof/>
          <w:szCs w:val="24"/>
        </w:rPr>
        <w:tab/>
        <w:t>Zavala-Jonguitud LF, Pérez-García CC. Delirium triggered by COVID-19 vaccine in an elderly patient. Geriatr Gerontol Int [Internet]. 2021 Jun 1;21(6):540. Available from: https://doi.org/10.1111/ggi.14163</w:t>
      </w:r>
    </w:p>
    <w:p w14:paraId="16EA850D"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50. </w:t>
      </w:r>
      <w:r w:rsidRPr="004447F6">
        <w:rPr>
          <w:rFonts w:ascii="Calibri" w:hAnsi="Calibri" w:cs="Calibri"/>
          <w:noProof/>
          <w:szCs w:val="24"/>
        </w:rPr>
        <w:tab/>
        <w:t xml:space="preserve">Ghosh R, Dubey S, Roy D, Mandal A, Naga D, Benito-León J. Focal onset non-motor seizure following COVID-19 vaccination: A mere coincidence? Diabetes Metab Syndr Clin Res Rev. 2021; </w:t>
      </w:r>
    </w:p>
    <w:p w14:paraId="3DFF1146"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51. </w:t>
      </w:r>
      <w:r w:rsidRPr="004447F6">
        <w:rPr>
          <w:rFonts w:ascii="Calibri" w:hAnsi="Calibri" w:cs="Calibri"/>
          <w:noProof/>
          <w:szCs w:val="24"/>
        </w:rPr>
        <w:tab/>
        <w:t>Volpicelli G. They Claimed the Covid Vaccine Made Them Sick—and Went Viral. Wired [Internet]. 2021; Available from: https://www.wired.com/story/they-claimed-the-covid-vaccine-made-them-sick-and-went-viral/</w:t>
      </w:r>
    </w:p>
    <w:p w14:paraId="7D468431"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52. </w:t>
      </w:r>
      <w:r w:rsidRPr="004447F6">
        <w:rPr>
          <w:rFonts w:ascii="Calibri" w:hAnsi="Calibri" w:cs="Calibri"/>
          <w:noProof/>
          <w:szCs w:val="24"/>
        </w:rPr>
        <w:tab/>
        <w:t>Functional Neurological Disorder Society. FNDS Press Release COVID Vaccines [Internet]. 2021 [cited 2021 Feb 20]. Available from: https://www.fndsociety.org/UserFiles/file/FNDSSocietyPressReleaseCOVIDVaccines.pdf</w:t>
      </w:r>
    </w:p>
    <w:p w14:paraId="154A3CDF"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53. </w:t>
      </w:r>
      <w:r w:rsidRPr="004447F6">
        <w:rPr>
          <w:rFonts w:ascii="Calibri" w:hAnsi="Calibri" w:cs="Calibri"/>
          <w:noProof/>
          <w:szCs w:val="24"/>
        </w:rPr>
        <w:tab/>
        <w:t xml:space="preserve">Hause AM, Gee J, Johnson T, Jazwa A, Marquez P, Miller E, et al. Anxiety-Related Adverse Event Clusters After Janssen COVID-19 Vaccination — Five U.S. Mass Vaccination Sites, April 2021. MMWR Morb Mortal Wkly Rep. 2021;70(18):685–8. </w:t>
      </w:r>
    </w:p>
    <w:p w14:paraId="5C0DEE3C"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54. </w:t>
      </w:r>
      <w:r w:rsidRPr="004447F6">
        <w:rPr>
          <w:rFonts w:ascii="Calibri" w:hAnsi="Calibri" w:cs="Calibri"/>
          <w:noProof/>
          <w:szCs w:val="24"/>
        </w:rPr>
        <w:tab/>
        <w:t>Brighton Collaboration. BRIGHTON COLLABORATION PUBLICATIONS AND RELATED TOOLS [Internet]. [cited 2021 Jun 2]. Available from: https://brightoncollaboration.us/category/pubs-tools/</w:t>
      </w:r>
    </w:p>
    <w:p w14:paraId="1D79489E"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lastRenderedPageBreak/>
        <w:t xml:space="preserve">55. </w:t>
      </w:r>
      <w:r w:rsidRPr="004447F6">
        <w:rPr>
          <w:rFonts w:ascii="Calibri" w:hAnsi="Calibri" w:cs="Calibri"/>
          <w:noProof/>
          <w:szCs w:val="24"/>
        </w:rPr>
        <w:tab/>
        <w:t xml:space="preserve">Leonhard SE, Mandarakas MR, Gondim FAA, Bateman K, Ferreira MLB, Cornblath DR, et al. Diagnosis and management of Guillain–Barré syndrome in ten steps. Nat Rev Neurol. 2019;15(11):671–83. </w:t>
      </w:r>
    </w:p>
    <w:p w14:paraId="50E3A08D"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56. </w:t>
      </w:r>
      <w:r w:rsidRPr="004447F6">
        <w:rPr>
          <w:rFonts w:ascii="Calibri" w:hAnsi="Calibri" w:cs="Calibri"/>
          <w:noProof/>
          <w:szCs w:val="24"/>
        </w:rPr>
        <w:tab/>
        <w:t xml:space="preserve">World Health Organization. Causality assessment of an adverse event following immunization (AEFI): updated user manual for the revised WHO classification. World Health Organization; 2019. </w:t>
      </w:r>
    </w:p>
    <w:p w14:paraId="4793222E"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57. </w:t>
      </w:r>
      <w:r w:rsidRPr="004447F6">
        <w:rPr>
          <w:rFonts w:ascii="Calibri" w:hAnsi="Calibri" w:cs="Calibri"/>
          <w:noProof/>
          <w:szCs w:val="24"/>
        </w:rPr>
        <w:tab/>
        <w:t>Expert Haematology Panel. Guidance from the Expert Haematology Panel (EHP) on Covid-19 Vaccine-induced Immune Thrombocytopenia and Thrombosis (VITT) [Internet]. 2021. Available from: https://b-s-h.org.uk/media/19718/guidance-v20-20210528-002.pdf</w:t>
      </w:r>
    </w:p>
    <w:p w14:paraId="72931A32"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58. </w:t>
      </w:r>
      <w:r w:rsidRPr="004447F6">
        <w:rPr>
          <w:rFonts w:ascii="Calibri" w:hAnsi="Calibri" w:cs="Calibri"/>
          <w:noProof/>
          <w:szCs w:val="24"/>
        </w:rPr>
        <w:tab/>
        <w:t xml:space="preserve">Dongkyung D, Kung C, Perez D. Helping the Public Understand Adverse Events Associated With COVID-19 Vaccinations. JAMA Neurol. 2021; </w:t>
      </w:r>
    </w:p>
    <w:p w14:paraId="1060E80D"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59. </w:t>
      </w:r>
      <w:r w:rsidRPr="004447F6">
        <w:rPr>
          <w:rFonts w:ascii="Calibri" w:hAnsi="Calibri" w:cs="Calibri"/>
          <w:noProof/>
          <w:szCs w:val="24"/>
        </w:rPr>
        <w:tab/>
        <w:t xml:space="preserve">Butler M, Coebergh J, Safavi F, Carson A, Hallett M, Michael B, et al. Functional neurological disorder after SARS-CoV-2 vaccines: two case reports and discussion of potential public health implications. J Neuropsychiatry Clin Neurosci. 2021;IN PRESS. </w:t>
      </w:r>
    </w:p>
    <w:p w14:paraId="70B3062C"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60. </w:t>
      </w:r>
      <w:r w:rsidRPr="004447F6">
        <w:rPr>
          <w:rFonts w:ascii="Calibri" w:hAnsi="Calibri" w:cs="Calibri"/>
          <w:noProof/>
          <w:szCs w:val="24"/>
        </w:rPr>
        <w:tab/>
        <w:t xml:space="preserve">Bonhoeffer J, Menkes J, Gold MS, De Souza-Brito G, Fisher MC, Halsey N, et al. Generalized convulsive seizure as an adverse event following immunization: Case definition and guidelines for data collection, analysis, and presentation. Vaccine. 2004;22(5–6):557–62. </w:t>
      </w:r>
    </w:p>
    <w:p w14:paraId="1F00C2D1"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61. </w:t>
      </w:r>
      <w:r w:rsidRPr="004447F6">
        <w:rPr>
          <w:rFonts w:ascii="Calibri" w:hAnsi="Calibri" w:cs="Calibri"/>
          <w:noProof/>
          <w:szCs w:val="24"/>
        </w:rPr>
        <w:tab/>
        <w:t xml:space="preserve">Keynejad RC, Frodl T, Kanaan R, Pariante C, Reuber M, Nicholson TR. Stress and functional neurological disorders: Mechanistic insights. J Neurol Neurosurg Psychiatry. 2019;90(7):813–21. </w:t>
      </w:r>
    </w:p>
    <w:p w14:paraId="7B3E9713"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62. </w:t>
      </w:r>
      <w:r w:rsidRPr="004447F6">
        <w:rPr>
          <w:rFonts w:ascii="Calibri" w:hAnsi="Calibri" w:cs="Calibri"/>
          <w:noProof/>
          <w:szCs w:val="24"/>
        </w:rPr>
        <w:tab/>
        <w:t xml:space="preserve">Salmon DA, Dudley MZ, Carleton BC. Guillain-Barré Syndrome Following Influenza Vaccines Affords Opportunity to Improve Vaccine Confidence. J Infect Dis. 2021;223(3):355–8. </w:t>
      </w:r>
    </w:p>
    <w:p w14:paraId="2B36BB39"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63. </w:t>
      </w:r>
      <w:r w:rsidRPr="004447F6">
        <w:rPr>
          <w:rFonts w:ascii="Calibri" w:hAnsi="Calibri" w:cs="Calibri"/>
          <w:noProof/>
          <w:szCs w:val="24"/>
        </w:rPr>
        <w:tab/>
        <w:t xml:space="preserve">Simas C, Munoz N, Arregoces L, Larson HJ. HPV vaccine confidence and cases of mass psychogenic illness following immunization in Carmen de Bolivar, Colombia. Hum Vaccines Immunother. 2019;15(1):163–6. </w:t>
      </w:r>
    </w:p>
    <w:p w14:paraId="6DB95558"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64. </w:t>
      </w:r>
      <w:r w:rsidRPr="004447F6">
        <w:rPr>
          <w:rFonts w:ascii="Calibri" w:hAnsi="Calibri" w:cs="Calibri"/>
          <w:noProof/>
          <w:szCs w:val="24"/>
        </w:rPr>
        <w:tab/>
        <w:t xml:space="preserve">Hill AB. The Environment and Disease: Association or Causation? J R Soc Med. 1965;58(5):295–300. </w:t>
      </w:r>
    </w:p>
    <w:p w14:paraId="7A0BF06D"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65. </w:t>
      </w:r>
      <w:r w:rsidRPr="004447F6">
        <w:rPr>
          <w:rFonts w:ascii="Calibri" w:hAnsi="Calibri" w:cs="Calibri"/>
          <w:noProof/>
          <w:szCs w:val="24"/>
        </w:rPr>
        <w:tab/>
        <w:t xml:space="preserve">Hampton LM, Aggarwal R, Evans SJW, Law B. General determination of causation between Covid-19 vaccines and possible adverse events. Vaccine. 2021;39(10):1478–80. </w:t>
      </w:r>
    </w:p>
    <w:p w14:paraId="37136F53"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66. </w:t>
      </w:r>
      <w:r w:rsidRPr="004447F6">
        <w:rPr>
          <w:rFonts w:ascii="Calibri" w:hAnsi="Calibri" w:cs="Calibri"/>
          <w:noProof/>
          <w:szCs w:val="24"/>
        </w:rPr>
        <w:tab/>
        <w:t xml:space="preserve">Lawlor DA, Tilling K, Smith GD. Triangulation in aetiological epidemiology. Int J Epidemiol. </w:t>
      </w:r>
      <w:r w:rsidRPr="004447F6">
        <w:rPr>
          <w:rFonts w:ascii="Calibri" w:hAnsi="Calibri" w:cs="Calibri"/>
          <w:noProof/>
          <w:szCs w:val="24"/>
        </w:rPr>
        <w:lastRenderedPageBreak/>
        <w:t xml:space="preserve">2016;45(6):1866–86. </w:t>
      </w:r>
    </w:p>
    <w:p w14:paraId="7FA28203"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67. </w:t>
      </w:r>
      <w:r w:rsidRPr="004447F6">
        <w:rPr>
          <w:rFonts w:ascii="Calibri" w:hAnsi="Calibri" w:cs="Calibri"/>
          <w:noProof/>
          <w:szCs w:val="24"/>
        </w:rPr>
        <w:tab/>
        <w:t>Facial Palsy UK Medical Advisory Board. Facial Palsy and Covid-19 vaccine [Internet]. [cited 2021 Feb 20]. Available from: https://www.facialpalsy.org.uk/news/facial-palsy-and-covid-19-vaccine/</w:t>
      </w:r>
    </w:p>
    <w:p w14:paraId="1862BC81"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68. </w:t>
      </w:r>
      <w:r w:rsidRPr="004447F6">
        <w:rPr>
          <w:rFonts w:ascii="Calibri" w:hAnsi="Calibri" w:cs="Calibri"/>
          <w:noProof/>
          <w:szCs w:val="24"/>
        </w:rPr>
        <w:tab/>
        <w:t xml:space="preserve">Fairgrieve D, Holm S, Howells G, Kirchhelle C, Vanderslott S. In favour of a bespoke COVID-19 vaccines compensation scheme. Lancet Infect Dis. 2021;21(4):448–50. </w:t>
      </w:r>
    </w:p>
    <w:p w14:paraId="1EE66DD1"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69. </w:t>
      </w:r>
      <w:r w:rsidRPr="004447F6">
        <w:rPr>
          <w:rFonts w:ascii="Calibri" w:hAnsi="Calibri" w:cs="Calibri"/>
          <w:noProof/>
          <w:szCs w:val="24"/>
        </w:rPr>
        <w:tab/>
        <w:t>GOV.UK. Vaccine Damage Payment [Internet]. 2021 [cited 2021 May 27]. Available from: https://www.gov.uk/vaccine-damage-payment</w:t>
      </w:r>
    </w:p>
    <w:p w14:paraId="090FB34F"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70. </w:t>
      </w:r>
      <w:r w:rsidRPr="004447F6">
        <w:rPr>
          <w:rFonts w:ascii="Calibri" w:hAnsi="Calibri" w:cs="Calibri"/>
          <w:noProof/>
          <w:szCs w:val="24"/>
        </w:rPr>
        <w:tab/>
        <w:t>Wieder L, Brown R, Thompson T, Terhune D. Suggestibility in functional neurological disorder: A meta-analysis. J Neurol Neurosurg Psychiatry [Internet]. 2020 Jan 1;jnnp-2020-323706. Available from: http://medrxiv.org/content/early/2020/06/03/2020.05.30.20117705.abstract</w:t>
      </w:r>
    </w:p>
    <w:p w14:paraId="3A5EA302"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71. </w:t>
      </w:r>
      <w:r w:rsidRPr="004447F6">
        <w:rPr>
          <w:rFonts w:ascii="Calibri" w:hAnsi="Calibri" w:cs="Calibri"/>
          <w:noProof/>
          <w:szCs w:val="24"/>
        </w:rPr>
        <w:tab/>
        <w:t xml:space="preserve">Edwards MJ, Adams RA, Brown H, Pareés I, Friston KJ. A Bayesian account of “hysteria.” Brain. 2012;135(11). </w:t>
      </w:r>
    </w:p>
    <w:p w14:paraId="5BA05E3D"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72. </w:t>
      </w:r>
      <w:r w:rsidRPr="004447F6">
        <w:rPr>
          <w:rFonts w:ascii="Calibri" w:hAnsi="Calibri" w:cs="Calibri"/>
          <w:noProof/>
          <w:szCs w:val="24"/>
        </w:rPr>
        <w:tab/>
        <w:t xml:space="preserve">Bartholomew RE, Wessely S, Rubin GJ. Mass psychogenic illness and the social network: Is it changing the pattern of outbreaks? J R Soc Med Suppl. 2012;105(12):509–12. </w:t>
      </w:r>
    </w:p>
    <w:p w14:paraId="324C342F"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szCs w:val="24"/>
        </w:rPr>
      </w:pPr>
      <w:r w:rsidRPr="004447F6">
        <w:rPr>
          <w:rFonts w:ascii="Calibri" w:hAnsi="Calibri" w:cs="Calibri"/>
          <w:noProof/>
          <w:szCs w:val="24"/>
        </w:rPr>
        <w:t xml:space="preserve">73. </w:t>
      </w:r>
      <w:r w:rsidRPr="004447F6">
        <w:rPr>
          <w:rFonts w:ascii="Calibri" w:hAnsi="Calibri" w:cs="Calibri"/>
          <w:noProof/>
          <w:szCs w:val="24"/>
        </w:rPr>
        <w:tab/>
        <w:t xml:space="preserve">Loharikar A, Suragh TA, MacDonald NE, Balakrishnan MR, Benes O, Lamprianou S, et al. Anxiety-related adverse events following immunization (AEFI): A systematic review of published clusters of illness. Vaccine. 2018;36(2):299–305. </w:t>
      </w:r>
    </w:p>
    <w:p w14:paraId="307AC9BD" w14:textId="77777777" w:rsidR="002E7916" w:rsidRPr="004447F6" w:rsidRDefault="002E7916" w:rsidP="002E7916">
      <w:pPr>
        <w:widowControl w:val="0"/>
        <w:autoSpaceDE w:val="0"/>
        <w:autoSpaceDN w:val="0"/>
        <w:adjustRightInd w:val="0"/>
        <w:spacing w:line="360" w:lineRule="auto"/>
        <w:ind w:left="640" w:hanging="640"/>
        <w:rPr>
          <w:rFonts w:ascii="Calibri" w:hAnsi="Calibri" w:cs="Calibri"/>
          <w:noProof/>
        </w:rPr>
      </w:pPr>
      <w:r w:rsidRPr="004447F6">
        <w:rPr>
          <w:rFonts w:ascii="Calibri" w:hAnsi="Calibri" w:cs="Calibri"/>
          <w:noProof/>
          <w:szCs w:val="24"/>
        </w:rPr>
        <w:t xml:space="preserve">74. </w:t>
      </w:r>
      <w:r w:rsidRPr="004447F6">
        <w:rPr>
          <w:rFonts w:ascii="Calibri" w:hAnsi="Calibri" w:cs="Calibri"/>
          <w:noProof/>
          <w:szCs w:val="24"/>
        </w:rPr>
        <w:tab/>
        <w:t xml:space="preserve">Wolfe RM, Sharp LK. Anti-vaccinationists past and present. Br Med J. 2002;325(7361):430–2. </w:t>
      </w:r>
    </w:p>
    <w:p w14:paraId="0AAFF5E2" w14:textId="77777777" w:rsidR="003233A8" w:rsidRDefault="000C3563" w:rsidP="006C40EE">
      <w:pPr>
        <w:spacing w:line="360" w:lineRule="auto"/>
        <w:jc w:val="both"/>
        <w:rPr>
          <w:rFonts w:cstheme="minorHAnsi"/>
          <w:b/>
          <w:bCs/>
        </w:rPr>
      </w:pPr>
      <w:r w:rsidRPr="004447F6">
        <w:rPr>
          <w:rFonts w:cstheme="minorHAnsi"/>
          <w:b/>
          <w:bCs/>
        </w:rPr>
        <w:fldChar w:fldCharType="end"/>
      </w:r>
    </w:p>
    <w:p w14:paraId="46151D41" w14:textId="56B04126" w:rsidR="000C3563" w:rsidRPr="00C8363D" w:rsidRDefault="000C3563" w:rsidP="003233A8">
      <w:pPr>
        <w:rPr>
          <w:rFonts w:cstheme="minorHAnsi"/>
          <w:b/>
          <w:bCs/>
        </w:rPr>
      </w:pPr>
    </w:p>
    <w:sectPr w:rsidR="000C3563" w:rsidRPr="00C83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4396"/>
    <w:multiLevelType w:val="hybridMultilevel"/>
    <w:tmpl w:val="F836C302"/>
    <w:lvl w:ilvl="0" w:tplc="603084D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72A6B"/>
    <w:multiLevelType w:val="hybridMultilevel"/>
    <w:tmpl w:val="CBF4D788"/>
    <w:lvl w:ilvl="0" w:tplc="A3161DA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A464F"/>
    <w:multiLevelType w:val="hybridMultilevel"/>
    <w:tmpl w:val="BCC6A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rzwtzs6fr5fpe0at85rzt6zzrz0wvwf2vx&quot;&gt;References ALS&lt;record-ids&gt;&lt;item&gt;39&lt;/item&gt;&lt;/record-ids&gt;&lt;/item&gt;&lt;/Libraries&gt;"/>
  </w:docVars>
  <w:rsids>
    <w:rsidRoot w:val="000C3563"/>
    <w:rsid w:val="00005A3F"/>
    <w:rsid w:val="000130FF"/>
    <w:rsid w:val="00031AD4"/>
    <w:rsid w:val="000329A5"/>
    <w:rsid w:val="00040DF7"/>
    <w:rsid w:val="00062BBC"/>
    <w:rsid w:val="00065891"/>
    <w:rsid w:val="000674B7"/>
    <w:rsid w:val="000816BF"/>
    <w:rsid w:val="00083122"/>
    <w:rsid w:val="000902EF"/>
    <w:rsid w:val="0009179B"/>
    <w:rsid w:val="000A3BEF"/>
    <w:rsid w:val="000B2FA7"/>
    <w:rsid w:val="000B3335"/>
    <w:rsid w:val="000C3563"/>
    <w:rsid w:val="000D312C"/>
    <w:rsid w:val="000D7AC8"/>
    <w:rsid w:val="000E1E4C"/>
    <w:rsid w:val="000F3C8B"/>
    <w:rsid w:val="000F48A0"/>
    <w:rsid w:val="001105AB"/>
    <w:rsid w:val="00115D45"/>
    <w:rsid w:val="00116347"/>
    <w:rsid w:val="00121C89"/>
    <w:rsid w:val="001233F4"/>
    <w:rsid w:val="00124933"/>
    <w:rsid w:val="001252F5"/>
    <w:rsid w:val="00141B0F"/>
    <w:rsid w:val="00183699"/>
    <w:rsid w:val="00183921"/>
    <w:rsid w:val="001859EB"/>
    <w:rsid w:val="00190F3A"/>
    <w:rsid w:val="001916A4"/>
    <w:rsid w:val="00195B95"/>
    <w:rsid w:val="001A63D1"/>
    <w:rsid w:val="001D26DB"/>
    <w:rsid w:val="001D3643"/>
    <w:rsid w:val="001F0AC8"/>
    <w:rsid w:val="001F269E"/>
    <w:rsid w:val="001F3B1F"/>
    <w:rsid w:val="001F5F11"/>
    <w:rsid w:val="00200DA0"/>
    <w:rsid w:val="002173F7"/>
    <w:rsid w:val="00221BD1"/>
    <w:rsid w:val="002372A2"/>
    <w:rsid w:val="002515F5"/>
    <w:rsid w:val="00256C25"/>
    <w:rsid w:val="00267E9E"/>
    <w:rsid w:val="00272177"/>
    <w:rsid w:val="00273C0F"/>
    <w:rsid w:val="00274C47"/>
    <w:rsid w:val="002827DA"/>
    <w:rsid w:val="0028384D"/>
    <w:rsid w:val="00284E19"/>
    <w:rsid w:val="002917CA"/>
    <w:rsid w:val="002931E0"/>
    <w:rsid w:val="002A6572"/>
    <w:rsid w:val="002B61E5"/>
    <w:rsid w:val="002D0F68"/>
    <w:rsid w:val="002D5A0F"/>
    <w:rsid w:val="002E7916"/>
    <w:rsid w:val="002F636E"/>
    <w:rsid w:val="002F7950"/>
    <w:rsid w:val="0030077F"/>
    <w:rsid w:val="0030525D"/>
    <w:rsid w:val="00310CE5"/>
    <w:rsid w:val="00312CFD"/>
    <w:rsid w:val="00313E8C"/>
    <w:rsid w:val="00322D8E"/>
    <w:rsid w:val="003233A8"/>
    <w:rsid w:val="00330E89"/>
    <w:rsid w:val="00342684"/>
    <w:rsid w:val="003461A4"/>
    <w:rsid w:val="003664D3"/>
    <w:rsid w:val="00384DA0"/>
    <w:rsid w:val="00395A96"/>
    <w:rsid w:val="003978A4"/>
    <w:rsid w:val="003A70F0"/>
    <w:rsid w:val="003B31F9"/>
    <w:rsid w:val="003C4ACC"/>
    <w:rsid w:val="003D55B0"/>
    <w:rsid w:val="003E156B"/>
    <w:rsid w:val="003E2609"/>
    <w:rsid w:val="003E6320"/>
    <w:rsid w:val="003F210B"/>
    <w:rsid w:val="003F2D6D"/>
    <w:rsid w:val="003F6362"/>
    <w:rsid w:val="00416026"/>
    <w:rsid w:val="0042368F"/>
    <w:rsid w:val="00424CB1"/>
    <w:rsid w:val="00425C30"/>
    <w:rsid w:val="00431FE4"/>
    <w:rsid w:val="00432C4F"/>
    <w:rsid w:val="0043468B"/>
    <w:rsid w:val="00436D84"/>
    <w:rsid w:val="004401D0"/>
    <w:rsid w:val="004430B1"/>
    <w:rsid w:val="004447F6"/>
    <w:rsid w:val="00447358"/>
    <w:rsid w:val="00457564"/>
    <w:rsid w:val="00470806"/>
    <w:rsid w:val="00471E35"/>
    <w:rsid w:val="00472AC4"/>
    <w:rsid w:val="00477CBE"/>
    <w:rsid w:val="00486FBA"/>
    <w:rsid w:val="00491F53"/>
    <w:rsid w:val="00492060"/>
    <w:rsid w:val="004958CF"/>
    <w:rsid w:val="004A158C"/>
    <w:rsid w:val="004A3C7D"/>
    <w:rsid w:val="004B2CB7"/>
    <w:rsid w:val="004C037B"/>
    <w:rsid w:val="004D1E37"/>
    <w:rsid w:val="004D541E"/>
    <w:rsid w:val="005064F7"/>
    <w:rsid w:val="00522890"/>
    <w:rsid w:val="005245E8"/>
    <w:rsid w:val="00530E65"/>
    <w:rsid w:val="0053250B"/>
    <w:rsid w:val="00544B91"/>
    <w:rsid w:val="00546D09"/>
    <w:rsid w:val="0056341D"/>
    <w:rsid w:val="0056538B"/>
    <w:rsid w:val="00567B60"/>
    <w:rsid w:val="00576D5C"/>
    <w:rsid w:val="0059597E"/>
    <w:rsid w:val="00595C5C"/>
    <w:rsid w:val="00597F2B"/>
    <w:rsid w:val="005A39FC"/>
    <w:rsid w:val="005A59E8"/>
    <w:rsid w:val="005A6810"/>
    <w:rsid w:val="005D35B7"/>
    <w:rsid w:val="005D61C9"/>
    <w:rsid w:val="005E671E"/>
    <w:rsid w:val="005F2978"/>
    <w:rsid w:val="005F5D76"/>
    <w:rsid w:val="0060305F"/>
    <w:rsid w:val="00611458"/>
    <w:rsid w:val="00611FFE"/>
    <w:rsid w:val="00615E23"/>
    <w:rsid w:val="00624B8E"/>
    <w:rsid w:val="00624D58"/>
    <w:rsid w:val="00630E30"/>
    <w:rsid w:val="00632A99"/>
    <w:rsid w:val="00643B35"/>
    <w:rsid w:val="00645876"/>
    <w:rsid w:val="0064748C"/>
    <w:rsid w:val="00647C8C"/>
    <w:rsid w:val="00647EFB"/>
    <w:rsid w:val="0065002E"/>
    <w:rsid w:val="00653984"/>
    <w:rsid w:val="00657085"/>
    <w:rsid w:val="00670967"/>
    <w:rsid w:val="006973DC"/>
    <w:rsid w:val="006A381D"/>
    <w:rsid w:val="006A4BE4"/>
    <w:rsid w:val="006A5E49"/>
    <w:rsid w:val="006A7A52"/>
    <w:rsid w:val="006B21C6"/>
    <w:rsid w:val="006C2B18"/>
    <w:rsid w:val="006C40EE"/>
    <w:rsid w:val="006C47EB"/>
    <w:rsid w:val="006C50D5"/>
    <w:rsid w:val="006D6D69"/>
    <w:rsid w:val="006E31D0"/>
    <w:rsid w:val="006E4B51"/>
    <w:rsid w:val="006F4BC1"/>
    <w:rsid w:val="006F6324"/>
    <w:rsid w:val="007002B8"/>
    <w:rsid w:val="00704767"/>
    <w:rsid w:val="00706E12"/>
    <w:rsid w:val="00713ED3"/>
    <w:rsid w:val="007221AE"/>
    <w:rsid w:val="00733D1D"/>
    <w:rsid w:val="00737D03"/>
    <w:rsid w:val="00741083"/>
    <w:rsid w:val="0074188F"/>
    <w:rsid w:val="00741D9F"/>
    <w:rsid w:val="007516F9"/>
    <w:rsid w:val="00765421"/>
    <w:rsid w:val="00775FCC"/>
    <w:rsid w:val="00783A63"/>
    <w:rsid w:val="007B6A98"/>
    <w:rsid w:val="007C4E92"/>
    <w:rsid w:val="007C6948"/>
    <w:rsid w:val="007D33DC"/>
    <w:rsid w:val="007D693A"/>
    <w:rsid w:val="007F1E0F"/>
    <w:rsid w:val="008034F1"/>
    <w:rsid w:val="00811B5B"/>
    <w:rsid w:val="00812066"/>
    <w:rsid w:val="008147AF"/>
    <w:rsid w:val="008239C3"/>
    <w:rsid w:val="00830364"/>
    <w:rsid w:val="008402DC"/>
    <w:rsid w:val="008456D2"/>
    <w:rsid w:val="00851D39"/>
    <w:rsid w:val="00854F0E"/>
    <w:rsid w:val="0085622E"/>
    <w:rsid w:val="0086228A"/>
    <w:rsid w:val="00864EB4"/>
    <w:rsid w:val="008769E5"/>
    <w:rsid w:val="00877C13"/>
    <w:rsid w:val="00886D9C"/>
    <w:rsid w:val="00891732"/>
    <w:rsid w:val="008A0674"/>
    <w:rsid w:val="008A185A"/>
    <w:rsid w:val="008A5688"/>
    <w:rsid w:val="008A7343"/>
    <w:rsid w:val="008B3153"/>
    <w:rsid w:val="008B3F34"/>
    <w:rsid w:val="008B566B"/>
    <w:rsid w:val="008C2C27"/>
    <w:rsid w:val="008C4029"/>
    <w:rsid w:val="008E25E7"/>
    <w:rsid w:val="008F29BC"/>
    <w:rsid w:val="008F6185"/>
    <w:rsid w:val="009005C4"/>
    <w:rsid w:val="00911B75"/>
    <w:rsid w:val="00915BA7"/>
    <w:rsid w:val="00922ACA"/>
    <w:rsid w:val="0092419C"/>
    <w:rsid w:val="0092577C"/>
    <w:rsid w:val="009301B7"/>
    <w:rsid w:val="00946171"/>
    <w:rsid w:val="00954195"/>
    <w:rsid w:val="00965B29"/>
    <w:rsid w:val="00973E3A"/>
    <w:rsid w:val="009971C9"/>
    <w:rsid w:val="009A12A6"/>
    <w:rsid w:val="009A5D7F"/>
    <w:rsid w:val="009A6A60"/>
    <w:rsid w:val="009B16B4"/>
    <w:rsid w:val="009C5135"/>
    <w:rsid w:val="009E38B1"/>
    <w:rsid w:val="009E76CC"/>
    <w:rsid w:val="009F1CB7"/>
    <w:rsid w:val="009F71DB"/>
    <w:rsid w:val="009F7825"/>
    <w:rsid w:val="00A00A43"/>
    <w:rsid w:val="00A07019"/>
    <w:rsid w:val="00A20476"/>
    <w:rsid w:val="00A20663"/>
    <w:rsid w:val="00A33727"/>
    <w:rsid w:val="00A33EE8"/>
    <w:rsid w:val="00A428F5"/>
    <w:rsid w:val="00A448CF"/>
    <w:rsid w:val="00A472BD"/>
    <w:rsid w:val="00A47A84"/>
    <w:rsid w:val="00A50A63"/>
    <w:rsid w:val="00A514DC"/>
    <w:rsid w:val="00A6387F"/>
    <w:rsid w:val="00A7702E"/>
    <w:rsid w:val="00A80C0D"/>
    <w:rsid w:val="00A858ED"/>
    <w:rsid w:val="00AA7E38"/>
    <w:rsid w:val="00AB5A67"/>
    <w:rsid w:val="00AC0BC6"/>
    <w:rsid w:val="00AE0341"/>
    <w:rsid w:val="00AE0618"/>
    <w:rsid w:val="00AE29C9"/>
    <w:rsid w:val="00AF1D33"/>
    <w:rsid w:val="00AF25FF"/>
    <w:rsid w:val="00AF53B2"/>
    <w:rsid w:val="00AF56A2"/>
    <w:rsid w:val="00B02C80"/>
    <w:rsid w:val="00B07259"/>
    <w:rsid w:val="00B07F57"/>
    <w:rsid w:val="00B151A9"/>
    <w:rsid w:val="00B34C98"/>
    <w:rsid w:val="00B35446"/>
    <w:rsid w:val="00B45E17"/>
    <w:rsid w:val="00B47D2D"/>
    <w:rsid w:val="00B54B2D"/>
    <w:rsid w:val="00B561D5"/>
    <w:rsid w:val="00B66DD7"/>
    <w:rsid w:val="00B837EE"/>
    <w:rsid w:val="00B84131"/>
    <w:rsid w:val="00B85322"/>
    <w:rsid w:val="00B95882"/>
    <w:rsid w:val="00B965E5"/>
    <w:rsid w:val="00B96988"/>
    <w:rsid w:val="00BB6477"/>
    <w:rsid w:val="00BB660A"/>
    <w:rsid w:val="00BB73C9"/>
    <w:rsid w:val="00BC34BD"/>
    <w:rsid w:val="00BC4A90"/>
    <w:rsid w:val="00BC5DD5"/>
    <w:rsid w:val="00BD2A0B"/>
    <w:rsid w:val="00BE0006"/>
    <w:rsid w:val="00BE650A"/>
    <w:rsid w:val="00BE7B11"/>
    <w:rsid w:val="00BF2883"/>
    <w:rsid w:val="00BF3BF3"/>
    <w:rsid w:val="00BF6956"/>
    <w:rsid w:val="00C02B4F"/>
    <w:rsid w:val="00C069C2"/>
    <w:rsid w:val="00C34AB2"/>
    <w:rsid w:val="00C4650B"/>
    <w:rsid w:val="00C60D3E"/>
    <w:rsid w:val="00C6353E"/>
    <w:rsid w:val="00C66C90"/>
    <w:rsid w:val="00C7014A"/>
    <w:rsid w:val="00C825FD"/>
    <w:rsid w:val="00C8363D"/>
    <w:rsid w:val="00C9106A"/>
    <w:rsid w:val="00C97623"/>
    <w:rsid w:val="00CA1652"/>
    <w:rsid w:val="00CA2C33"/>
    <w:rsid w:val="00CB023D"/>
    <w:rsid w:val="00CB3E34"/>
    <w:rsid w:val="00CB42CE"/>
    <w:rsid w:val="00CB44E3"/>
    <w:rsid w:val="00CC0C48"/>
    <w:rsid w:val="00CC6F6C"/>
    <w:rsid w:val="00CD4C09"/>
    <w:rsid w:val="00CE056F"/>
    <w:rsid w:val="00CE1E00"/>
    <w:rsid w:val="00CE62FC"/>
    <w:rsid w:val="00CF60D4"/>
    <w:rsid w:val="00D0394E"/>
    <w:rsid w:val="00D06D29"/>
    <w:rsid w:val="00D07980"/>
    <w:rsid w:val="00D10621"/>
    <w:rsid w:val="00D13310"/>
    <w:rsid w:val="00D14775"/>
    <w:rsid w:val="00D16709"/>
    <w:rsid w:val="00D264B2"/>
    <w:rsid w:val="00D36F7D"/>
    <w:rsid w:val="00D46796"/>
    <w:rsid w:val="00D47C7B"/>
    <w:rsid w:val="00D54046"/>
    <w:rsid w:val="00D576FB"/>
    <w:rsid w:val="00D62E35"/>
    <w:rsid w:val="00D66079"/>
    <w:rsid w:val="00D67A6A"/>
    <w:rsid w:val="00D765FD"/>
    <w:rsid w:val="00D823A1"/>
    <w:rsid w:val="00D87A75"/>
    <w:rsid w:val="00D906F5"/>
    <w:rsid w:val="00D95ABF"/>
    <w:rsid w:val="00D967FA"/>
    <w:rsid w:val="00DB0E82"/>
    <w:rsid w:val="00DB708A"/>
    <w:rsid w:val="00DC13B5"/>
    <w:rsid w:val="00DC4263"/>
    <w:rsid w:val="00DD0CE9"/>
    <w:rsid w:val="00DF283B"/>
    <w:rsid w:val="00DF7110"/>
    <w:rsid w:val="00E0377C"/>
    <w:rsid w:val="00E04CB8"/>
    <w:rsid w:val="00E2355D"/>
    <w:rsid w:val="00E239FE"/>
    <w:rsid w:val="00E25CD3"/>
    <w:rsid w:val="00E33114"/>
    <w:rsid w:val="00E47CAE"/>
    <w:rsid w:val="00E502BE"/>
    <w:rsid w:val="00E53418"/>
    <w:rsid w:val="00E54312"/>
    <w:rsid w:val="00E627AE"/>
    <w:rsid w:val="00E65CE4"/>
    <w:rsid w:val="00E70A26"/>
    <w:rsid w:val="00E77A50"/>
    <w:rsid w:val="00E875DA"/>
    <w:rsid w:val="00EA1A7E"/>
    <w:rsid w:val="00EA36D9"/>
    <w:rsid w:val="00EA3B06"/>
    <w:rsid w:val="00EA3BA5"/>
    <w:rsid w:val="00EB70CE"/>
    <w:rsid w:val="00EC0DEC"/>
    <w:rsid w:val="00EC4768"/>
    <w:rsid w:val="00ED21E3"/>
    <w:rsid w:val="00EE2AA5"/>
    <w:rsid w:val="00F03868"/>
    <w:rsid w:val="00F04FCE"/>
    <w:rsid w:val="00F2630E"/>
    <w:rsid w:val="00F2709B"/>
    <w:rsid w:val="00F519AC"/>
    <w:rsid w:val="00F56064"/>
    <w:rsid w:val="00F64612"/>
    <w:rsid w:val="00F907C0"/>
    <w:rsid w:val="00F91246"/>
    <w:rsid w:val="00F95EFA"/>
    <w:rsid w:val="00F97762"/>
    <w:rsid w:val="00FB208E"/>
    <w:rsid w:val="00FB62BE"/>
    <w:rsid w:val="00FC1277"/>
    <w:rsid w:val="00FC1F07"/>
    <w:rsid w:val="00FC31DD"/>
    <w:rsid w:val="00FC4532"/>
    <w:rsid w:val="00FD5B08"/>
    <w:rsid w:val="00FD633C"/>
    <w:rsid w:val="00FD6EC5"/>
    <w:rsid w:val="00FE147B"/>
    <w:rsid w:val="00FE26E6"/>
    <w:rsid w:val="00FF7A41"/>
    <w:rsid w:val="07BB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A6888"/>
  <w15:chartTrackingRefBased/>
  <w15:docId w15:val="{7041B8D7-5279-4D69-A26F-6EC267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14DC"/>
    <w:rPr>
      <w:sz w:val="16"/>
      <w:szCs w:val="16"/>
    </w:rPr>
  </w:style>
  <w:style w:type="paragraph" w:styleId="CommentText">
    <w:name w:val="annotation text"/>
    <w:basedOn w:val="Normal"/>
    <w:link w:val="CommentTextChar"/>
    <w:uiPriority w:val="99"/>
    <w:unhideWhenUsed/>
    <w:rsid w:val="00A514DC"/>
    <w:pPr>
      <w:spacing w:line="240" w:lineRule="auto"/>
    </w:pPr>
    <w:rPr>
      <w:sz w:val="20"/>
      <w:szCs w:val="20"/>
    </w:rPr>
  </w:style>
  <w:style w:type="character" w:customStyle="1" w:styleId="CommentTextChar">
    <w:name w:val="Comment Text Char"/>
    <w:basedOn w:val="DefaultParagraphFont"/>
    <w:link w:val="CommentText"/>
    <w:uiPriority w:val="99"/>
    <w:rsid w:val="00A514DC"/>
    <w:rPr>
      <w:sz w:val="20"/>
      <w:szCs w:val="20"/>
    </w:rPr>
  </w:style>
  <w:style w:type="paragraph" w:styleId="CommentSubject">
    <w:name w:val="annotation subject"/>
    <w:basedOn w:val="CommentText"/>
    <w:next w:val="CommentText"/>
    <w:link w:val="CommentSubjectChar"/>
    <w:uiPriority w:val="99"/>
    <w:semiHidden/>
    <w:unhideWhenUsed/>
    <w:rsid w:val="00A514DC"/>
    <w:rPr>
      <w:b/>
      <w:bCs/>
    </w:rPr>
  </w:style>
  <w:style w:type="character" w:customStyle="1" w:styleId="CommentSubjectChar">
    <w:name w:val="Comment Subject Char"/>
    <w:basedOn w:val="CommentTextChar"/>
    <w:link w:val="CommentSubject"/>
    <w:uiPriority w:val="99"/>
    <w:semiHidden/>
    <w:rsid w:val="00A514DC"/>
    <w:rPr>
      <w:b/>
      <w:bCs/>
      <w:sz w:val="20"/>
      <w:szCs w:val="20"/>
    </w:rPr>
  </w:style>
  <w:style w:type="paragraph" w:styleId="BalloonText">
    <w:name w:val="Balloon Text"/>
    <w:basedOn w:val="Normal"/>
    <w:link w:val="BalloonTextChar"/>
    <w:uiPriority w:val="99"/>
    <w:semiHidden/>
    <w:unhideWhenUsed/>
    <w:rsid w:val="00A514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4DC"/>
    <w:rPr>
      <w:rFonts w:ascii="Times New Roman" w:hAnsi="Times New Roman" w:cs="Times New Roman"/>
      <w:sz w:val="18"/>
      <w:szCs w:val="18"/>
    </w:rPr>
  </w:style>
  <w:style w:type="paragraph" w:styleId="Revision">
    <w:name w:val="Revision"/>
    <w:hidden/>
    <w:uiPriority w:val="99"/>
    <w:semiHidden/>
    <w:rsid w:val="00A514DC"/>
    <w:pPr>
      <w:spacing w:after="0" w:line="240" w:lineRule="auto"/>
    </w:pPr>
  </w:style>
  <w:style w:type="character" w:styleId="Hyperlink">
    <w:name w:val="Hyperlink"/>
    <w:basedOn w:val="DefaultParagraphFont"/>
    <w:uiPriority w:val="99"/>
    <w:unhideWhenUsed/>
    <w:rsid w:val="00322D8E"/>
    <w:rPr>
      <w:color w:val="0563C1" w:themeColor="hyperlink"/>
      <w:u w:val="single"/>
    </w:rPr>
  </w:style>
  <w:style w:type="character" w:customStyle="1" w:styleId="UnresolvedMention1">
    <w:name w:val="Unresolved Mention1"/>
    <w:basedOn w:val="DefaultParagraphFont"/>
    <w:uiPriority w:val="99"/>
    <w:semiHidden/>
    <w:unhideWhenUsed/>
    <w:rsid w:val="00322D8E"/>
    <w:rPr>
      <w:color w:val="605E5C"/>
      <w:shd w:val="clear" w:color="auto" w:fill="E1DFDD"/>
    </w:rPr>
  </w:style>
  <w:style w:type="paragraph" w:styleId="ListParagraph">
    <w:name w:val="List Paragraph"/>
    <w:basedOn w:val="Normal"/>
    <w:uiPriority w:val="34"/>
    <w:qFormat/>
    <w:rsid w:val="00C6353E"/>
    <w:pPr>
      <w:ind w:left="720"/>
      <w:contextualSpacing/>
    </w:pPr>
  </w:style>
  <w:style w:type="character" w:styleId="FollowedHyperlink">
    <w:name w:val="FollowedHyperlink"/>
    <w:basedOn w:val="DefaultParagraphFont"/>
    <w:uiPriority w:val="99"/>
    <w:semiHidden/>
    <w:unhideWhenUsed/>
    <w:rsid w:val="00886D9C"/>
    <w:rPr>
      <w:color w:val="954F72" w:themeColor="followedHyperlink"/>
      <w:u w:val="single"/>
    </w:rPr>
  </w:style>
  <w:style w:type="paragraph" w:customStyle="1" w:styleId="EndNoteBibliographyTitle">
    <w:name w:val="EndNote Bibliography Title"/>
    <w:basedOn w:val="Normal"/>
    <w:link w:val="EndNoteBibliographyTitleChar"/>
    <w:rsid w:val="003233A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233A8"/>
    <w:rPr>
      <w:rFonts w:ascii="Calibri" w:hAnsi="Calibri" w:cs="Calibri"/>
      <w:noProof/>
      <w:lang w:val="en-US"/>
    </w:rPr>
  </w:style>
  <w:style w:type="paragraph" w:customStyle="1" w:styleId="EndNoteBibliography">
    <w:name w:val="EndNote Bibliography"/>
    <w:basedOn w:val="Normal"/>
    <w:link w:val="EndNoteBibliographyChar"/>
    <w:rsid w:val="003233A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233A8"/>
    <w:rPr>
      <w:rFonts w:ascii="Calibri" w:hAnsi="Calibri" w:cs="Calibri"/>
      <w:noProof/>
      <w:lang w:val="en-US"/>
    </w:rPr>
  </w:style>
  <w:style w:type="paragraph" w:styleId="NormalWeb">
    <w:name w:val="Normal (Web)"/>
    <w:basedOn w:val="Normal"/>
    <w:uiPriority w:val="99"/>
    <w:semiHidden/>
    <w:unhideWhenUsed/>
    <w:rsid w:val="0043468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4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8049">
      <w:bodyDiv w:val="1"/>
      <w:marLeft w:val="0"/>
      <w:marRight w:val="0"/>
      <w:marTop w:val="0"/>
      <w:marBottom w:val="0"/>
      <w:divBdr>
        <w:top w:val="none" w:sz="0" w:space="0" w:color="auto"/>
        <w:left w:val="none" w:sz="0" w:space="0" w:color="auto"/>
        <w:bottom w:val="none" w:sz="0" w:space="0" w:color="auto"/>
        <w:right w:val="none" w:sz="0" w:space="0" w:color="auto"/>
      </w:divBdr>
    </w:div>
    <w:div w:id="590772370">
      <w:bodyDiv w:val="1"/>
      <w:marLeft w:val="0"/>
      <w:marRight w:val="0"/>
      <w:marTop w:val="0"/>
      <w:marBottom w:val="0"/>
      <w:divBdr>
        <w:top w:val="none" w:sz="0" w:space="0" w:color="auto"/>
        <w:left w:val="none" w:sz="0" w:space="0" w:color="auto"/>
        <w:bottom w:val="none" w:sz="0" w:space="0" w:color="auto"/>
        <w:right w:val="none" w:sz="0" w:space="0" w:color="auto"/>
      </w:divBdr>
      <w:divsChild>
        <w:div w:id="1247227698">
          <w:marLeft w:val="0"/>
          <w:marRight w:val="0"/>
          <w:marTop w:val="0"/>
          <w:marBottom w:val="0"/>
          <w:divBdr>
            <w:top w:val="none" w:sz="0" w:space="0" w:color="auto"/>
            <w:left w:val="none" w:sz="0" w:space="0" w:color="auto"/>
            <w:bottom w:val="none" w:sz="0" w:space="0" w:color="auto"/>
            <w:right w:val="none" w:sz="0" w:space="0" w:color="auto"/>
          </w:divBdr>
          <w:divsChild>
            <w:div w:id="664357862">
              <w:marLeft w:val="0"/>
              <w:marRight w:val="0"/>
              <w:marTop w:val="0"/>
              <w:marBottom w:val="0"/>
              <w:divBdr>
                <w:top w:val="none" w:sz="0" w:space="0" w:color="auto"/>
                <w:left w:val="none" w:sz="0" w:space="0" w:color="auto"/>
                <w:bottom w:val="none" w:sz="0" w:space="0" w:color="auto"/>
                <w:right w:val="none" w:sz="0" w:space="0" w:color="auto"/>
              </w:divBdr>
              <w:divsChild>
                <w:div w:id="2119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8687">
      <w:bodyDiv w:val="1"/>
      <w:marLeft w:val="0"/>
      <w:marRight w:val="0"/>
      <w:marTop w:val="0"/>
      <w:marBottom w:val="0"/>
      <w:divBdr>
        <w:top w:val="none" w:sz="0" w:space="0" w:color="auto"/>
        <w:left w:val="none" w:sz="0" w:space="0" w:color="auto"/>
        <w:bottom w:val="none" w:sz="0" w:space="0" w:color="auto"/>
        <w:right w:val="none" w:sz="0" w:space="0" w:color="auto"/>
      </w:divBdr>
    </w:div>
    <w:div w:id="1765419971">
      <w:bodyDiv w:val="1"/>
      <w:marLeft w:val="0"/>
      <w:marRight w:val="0"/>
      <w:marTop w:val="0"/>
      <w:marBottom w:val="0"/>
      <w:divBdr>
        <w:top w:val="none" w:sz="0" w:space="0" w:color="auto"/>
        <w:left w:val="none" w:sz="0" w:space="0" w:color="auto"/>
        <w:bottom w:val="none" w:sz="0" w:space="0" w:color="auto"/>
        <w:right w:val="none" w:sz="0" w:space="0" w:color="auto"/>
      </w:divBdr>
    </w:div>
    <w:div w:id="1769042601">
      <w:bodyDiv w:val="1"/>
      <w:marLeft w:val="0"/>
      <w:marRight w:val="0"/>
      <w:marTop w:val="0"/>
      <w:marBottom w:val="0"/>
      <w:divBdr>
        <w:top w:val="none" w:sz="0" w:space="0" w:color="auto"/>
        <w:left w:val="none" w:sz="0" w:space="0" w:color="auto"/>
        <w:bottom w:val="none" w:sz="0" w:space="0" w:color="auto"/>
        <w:right w:val="none" w:sz="0" w:space="0" w:color="auto"/>
      </w:divBdr>
    </w:div>
    <w:div w:id="1818767732">
      <w:bodyDiv w:val="1"/>
      <w:marLeft w:val="0"/>
      <w:marRight w:val="0"/>
      <w:marTop w:val="0"/>
      <w:marBottom w:val="0"/>
      <w:divBdr>
        <w:top w:val="none" w:sz="0" w:space="0" w:color="auto"/>
        <w:left w:val="none" w:sz="0" w:space="0" w:color="auto"/>
        <w:bottom w:val="none" w:sz="0" w:space="0" w:color="auto"/>
        <w:right w:val="none" w:sz="0" w:space="0" w:color="auto"/>
      </w:divBdr>
      <w:divsChild>
        <w:div w:id="1843230048">
          <w:marLeft w:val="0"/>
          <w:marRight w:val="0"/>
          <w:marTop w:val="0"/>
          <w:marBottom w:val="0"/>
          <w:divBdr>
            <w:top w:val="none" w:sz="0" w:space="0" w:color="auto"/>
            <w:left w:val="none" w:sz="0" w:space="0" w:color="auto"/>
            <w:bottom w:val="none" w:sz="0" w:space="0" w:color="auto"/>
            <w:right w:val="none" w:sz="0" w:space="0" w:color="auto"/>
          </w:divBdr>
          <w:divsChild>
            <w:div w:id="343551612">
              <w:marLeft w:val="0"/>
              <w:marRight w:val="0"/>
              <w:marTop w:val="0"/>
              <w:marBottom w:val="0"/>
              <w:divBdr>
                <w:top w:val="none" w:sz="0" w:space="0" w:color="auto"/>
                <w:left w:val="none" w:sz="0" w:space="0" w:color="auto"/>
                <w:bottom w:val="none" w:sz="0" w:space="0" w:color="auto"/>
                <w:right w:val="none" w:sz="0" w:space="0" w:color="auto"/>
              </w:divBdr>
              <w:divsChild>
                <w:div w:id="26882475">
                  <w:marLeft w:val="0"/>
                  <w:marRight w:val="0"/>
                  <w:marTop w:val="0"/>
                  <w:marBottom w:val="0"/>
                  <w:divBdr>
                    <w:top w:val="none" w:sz="0" w:space="0" w:color="auto"/>
                    <w:left w:val="none" w:sz="0" w:space="0" w:color="auto"/>
                    <w:bottom w:val="none" w:sz="0" w:space="0" w:color="auto"/>
                    <w:right w:val="none" w:sz="0" w:space="0" w:color="auto"/>
                  </w:divBdr>
                  <w:divsChild>
                    <w:div w:id="1383863841">
                      <w:marLeft w:val="0"/>
                      <w:marRight w:val="0"/>
                      <w:marTop w:val="0"/>
                      <w:marBottom w:val="0"/>
                      <w:divBdr>
                        <w:top w:val="none" w:sz="0" w:space="0" w:color="auto"/>
                        <w:left w:val="none" w:sz="0" w:space="0" w:color="auto"/>
                        <w:bottom w:val="none" w:sz="0" w:space="0" w:color="auto"/>
                        <w:right w:val="none" w:sz="0" w:space="0" w:color="auto"/>
                      </w:divBdr>
                      <w:divsChild>
                        <w:div w:id="1283074870">
                          <w:marLeft w:val="0"/>
                          <w:marRight w:val="0"/>
                          <w:marTop w:val="100"/>
                          <w:marBottom w:val="100"/>
                          <w:divBdr>
                            <w:top w:val="single" w:sz="6" w:space="8" w:color="4285F4"/>
                            <w:left w:val="single" w:sz="6" w:space="8" w:color="4285F4"/>
                            <w:bottom w:val="single" w:sz="6" w:space="0" w:color="4285F4"/>
                            <w:right w:val="single" w:sz="6" w:space="11" w:color="4285F4"/>
                          </w:divBdr>
                          <w:divsChild>
                            <w:div w:id="497161446">
                              <w:marLeft w:val="0"/>
                              <w:marRight w:val="0"/>
                              <w:marTop w:val="0"/>
                              <w:marBottom w:val="0"/>
                              <w:divBdr>
                                <w:top w:val="none" w:sz="0" w:space="0" w:color="auto"/>
                                <w:left w:val="none" w:sz="0" w:space="0" w:color="auto"/>
                                <w:bottom w:val="none" w:sz="0" w:space="0" w:color="auto"/>
                                <w:right w:val="none" w:sz="0" w:space="0" w:color="auto"/>
                              </w:divBdr>
                              <w:divsChild>
                                <w:div w:id="1094934592">
                                  <w:marLeft w:val="0"/>
                                  <w:marRight w:val="0"/>
                                  <w:marTop w:val="0"/>
                                  <w:marBottom w:val="0"/>
                                  <w:divBdr>
                                    <w:top w:val="none" w:sz="0" w:space="0" w:color="auto"/>
                                    <w:left w:val="none" w:sz="0" w:space="0" w:color="auto"/>
                                    <w:bottom w:val="none" w:sz="0" w:space="0" w:color="auto"/>
                                    <w:right w:val="none" w:sz="0" w:space="0" w:color="auto"/>
                                  </w:divBdr>
                                  <w:divsChild>
                                    <w:div w:id="7466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69178">
                      <w:marLeft w:val="0"/>
                      <w:marRight w:val="0"/>
                      <w:marTop w:val="0"/>
                      <w:marBottom w:val="0"/>
                      <w:divBdr>
                        <w:top w:val="none" w:sz="0" w:space="0" w:color="auto"/>
                        <w:left w:val="none" w:sz="0" w:space="0" w:color="auto"/>
                        <w:bottom w:val="none" w:sz="0" w:space="0" w:color="auto"/>
                        <w:right w:val="none" w:sz="0" w:space="0" w:color="auto"/>
                      </w:divBdr>
                    </w:div>
                    <w:div w:id="1821382407">
                      <w:marLeft w:val="0"/>
                      <w:marRight w:val="0"/>
                      <w:marTop w:val="120"/>
                      <w:marBottom w:val="0"/>
                      <w:divBdr>
                        <w:top w:val="none" w:sz="0" w:space="0" w:color="auto"/>
                        <w:left w:val="none" w:sz="0" w:space="0" w:color="auto"/>
                        <w:bottom w:val="none" w:sz="0" w:space="0" w:color="auto"/>
                        <w:right w:val="none" w:sz="0" w:space="0" w:color="auto"/>
                      </w:divBdr>
                      <w:divsChild>
                        <w:div w:id="1689529550">
                          <w:marLeft w:val="0"/>
                          <w:marRight w:val="0"/>
                          <w:marTop w:val="0"/>
                          <w:marBottom w:val="0"/>
                          <w:divBdr>
                            <w:top w:val="none" w:sz="0" w:space="0" w:color="auto"/>
                            <w:left w:val="none" w:sz="0" w:space="0" w:color="auto"/>
                            <w:bottom w:val="none" w:sz="0" w:space="0" w:color="auto"/>
                            <w:right w:val="none" w:sz="0" w:space="0" w:color="auto"/>
                          </w:divBdr>
                          <w:divsChild>
                            <w:div w:id="1172529592">
                              <w:marLeft w:val="60"/>
                              <w:marRight w:val="60"/>
                              <w:marTop w:val="60"/>
                              <w:marBottom w:val="60"/>
                              <w:divBdr>
                                <w:top w:val="none" w:sz="0" w:space="0" w:color="auto"/>
                                <w:left w:val="none" w:sz="0" w:space="0" w:color="auto"/>
                                <w:bottom w:val="none" w:sz="0" w:space="0" w:color="auto"/>
                                <w:right w:val="none" w:sz="0" w:space="0" w:color="auto"/>
                              </w:divBdr>
                              <w:divsChild>
                                <w:div w:id="2061399637">
                                  <w:marLeft w:val="0"/>
                                  <w:marRight w:val="0"/>
                                  <w:marTop w:val="0"/>
                                  <w:marBottom w:val="0"/>
                                  <w:divBdr>
                                    <w:top w:val="single" w:sz="6" w:space="0" w:color="DADCE0"/>
                                    <w:left w:val="single" w:sz="6" w:space="0" w:color="DADCE0"/>
                                    <w:bottom w:val="single" w:sz="6" w:space="0" w:color="DADCE0"/>
                                    <w:right w:val="single" w:sz="6" w:space="0" w:color="DADCE0"/>
                                  </w:divBdr>
                                  <w:divsChild>
                                    <w:div w:id="724916554">
                                      <w:marLeft w:val="0"/>
                                      <w:marRight w:val="0"/>
                                      <w:marTop w:val="0"/>
                                      <w:marBottom w:val="0"/>
                                      <w:divBdr>
                                        <w:top w:val="none" w:sz="0" w:space="0" w:color="auto"/>
                                        <w:left w:val="none" w:sz="0" w:space="0" w:color="auto"/>
                                        <w:bottom w:val="none" w:sz="0" w:space="0" w:color="auto"/>
                                        <w:right w:val="none" w:sz="0" w:space="0" w:color="auto"/>
                                      </w:divBdr>
                                    </w:div>
                                    <w:div w:id="3096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3941">
                              <w:marLeft w:val="60"/>
                              <w:marRight w:val="60"/>
                              <w:marTop w:val="60"/>
                              <w:marBottom w:val="60"/>
                              <w:divBdr>
                                <w:top w:val="none" w:sz="0" w:space="0" w:color="auto"/>
                                <w:left w:val="none" w:sz="0" w:space="0" w:color="auto"/>
                                <w:bottom w:val="none" w:sz="0" w:space="0" w:color="auto"/>
                                <w:right w:val="none" w:sz="0" w:space="0" w:color="auto"/>
                              </w:divBdr>
                              <w:divsChild>
                                <w:div w:id="10191965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94627608">
                              <w:marLeft w:val="60"/>
                              <w:marRight w:val="60"/>
                              <w:marTop w:val="60"/>
                              <w:marBottom w:val="60"/>
                              <w:divBdr>
                                <w:top w:val="none" w:sz="0" w:space="0" w:color="auto"/>
                                <w:left w:val="none" w:sz="0" w:space="0" w:color="auto"/>
                                <w:bottom w:val="none" w:sz="0" w:space="0" w:color="auto"/>
                                <w:right w:val="none" w:sz="0" w:space="0" w:color="auto"/>
                              </w:divBdr>
                              <w:divsChild>
                                <w:div w:id="54699370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668093712">
                              <w:marLeft w:val="60"/>
                              <w:marRight w:val="60"/>
                              <w:marTop w:val="60"/>
                              <w:marBottom w:val="60"/>
                              <w:divBdr>
                                <w:top w:val="none" w:sz="0" w:space="0" w:color="auto"/>
                                <w:left w:val="none" w:sz="0" w:space="0" w:color="auto"/>
                                <w:bottom w:val="none" w:sz="0" w:space="0" w:color="auto"/>
                                <w:right w:val="none" w:sz="0" w:space="0" w:color="auto"/>
                              </w:divBdr>
                              <w:divsChild>
                                <w:div w:id="134979394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71249092">
                              <w:marLeft w:val="60"/>
                              <w:marRight w:val="60"/>
                              <w:marTop w:val="60"/>
                              <w:marBottom w:val="60"/>
                              <w:divBdr>
                                <w:top w:val="none" w:sz="0" w:space="0" w:color="auto"/>
                                <w:left w:val="none" w:sz="0" w:space="0" w:color="auto"/>
                                <w:bottom w:val="none" w:sz="0" w:space="0" w:color="auto"/>
                                <w:right w:val="none" w:sz="0" w:space="0" w:color="auto"/>
                              </w:divBdr>
                              <w:divsChild>
                                <w:div w:id="133688092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76251947">
                              <w:marLeft w:val="60"/>
                              <w:marRight w:val="60"/>
                              <w:marTop w:val="60"/>
                              <w:marBottom w:val="60"/>
                              <w:divBdr>
                                <w:top w:val="none" w:sz="0" w:space="0" w:color="auto"/>
                                <w:left w:val="none" w:sz="0" w:space="0" w:color="auto"/>
                                <w:bottom w:val="none" w:sz="0" w:space="0" w:color="auto"/>
                                <w:right w:val="none" w:sz="0" w:space="0" w:color="auto"/>
                              </w:divBdr>
                              <w:divsChild>
                                <w:div w:id="149745921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73939674">
                              <w:marLeft w:val="60"/>
                              <w:marRight w:val="60"/>
                              <w:marTop w:val="60"/>
                              <w:marBottom w:val="60"/>
                              <w:divBdr>
                                <w:top w:val="none" w:sz="0" w:space="0" w:color="auto"/>
                                <w:left w:val="none" w:sz="0" w:space="0" w:color="auto"/>
                                <w:bottom w:val="none" w:sz="0" w:space="0" w:color="auto"/>
                                <w:right w:val="none" w:sz="0" w:space="0" w:color="auto"/>
                              </w:divBdr>
                              <w:divsChild>
                                <w:div w:id="192888587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64327813">
                              <w:marLeft w:val="60"/>
                              <w:marRight w:val="60"/>
                              <w:marTop w:val="60"/>
                              <w:marBottom w:val="60"/>
                              <w:divBdr>
                                <w:top w:val="none" w:sz="0" w:space="0" w:color="auto"/>
                                <w:left w:val="none" w:sz="0" w:space="0" w:color="auto"/>
                                <w:bottom w:val="none" w:sz="0" w:space="0" w:color="auto"/>
                                <w:right w:val="none" w:sz="0" w:space="0" w:color="auto"/>
                              </w:divBdr>
                              <w:divsChild>
                                <w:div w:id="135168837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031175142">
                              <w:marLeft w:val="60"/>
                              <w:marRight w:val="60"/>
                              <w:marTop w:val="60"/>
                              <w:marBottom w:val="60"/>
                              <w:divBdr>
                                <w:top w:val="none" w:sz="0" w:space="0" w:color="auto"/>
                                <w:left w:val="none" w:sz="0" w:space="0" w:color="auto"/>
                                <w:bottom w:val="none" w:sz="0" w:space="0" w:color="auto"/>
                                <w:right w:val="none" w:sz="0" w:space="0" w:color="auto"/>
                              </w:divBdr>
                              <w:divsChild>
                                <w:div w:id="42981379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96421659">
                              <w:marLeft w:val="60"/>
                              <w:marRight w:val="60"/>
                              <w:marTop w:val="60"/>
                              <w:marBottom w:val="60"/>
                              <w:divBdr>
                                <w:top w:val="none" w:sz="0" w:space="0" w:color="auto"/>
                                <w:left w:val="none" w:sz="0" w:space="0" w:color="auto"/>
                                <w:bottom w:val="none" w:sz="0" w:space="0" w:color="auto"/>
                                <w:right w:val="none" w:sz="0" w:space="0" w:color="auto"/>
                              </w:divBdr>
                              <w:divsChild>
                                <w:div w:id="61848684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92519503">
                              <w:marLeft w:val="60"/>
                              <w:marRight w:val="60"/>
                              <w:marTop w:val="60"/>
                              <w:marBottom w:val="60"/>
                              <w:divBdr>
                                <w:top w:val="none" w:sz="0" w:space="0" w:color="auto"/>
                                <w:left w:val="none" w:sz="0" w:space="0" w:color="auto"/>
                                <w:bottom w:val="none" w:sz="0" w:space="0" w:color="auto"/>
                                <w:right w:val="none" w:sz="0" w:space="0" w:color="auto"/>
                              </w:divBdr>
                              <w:divsChild>
                                <w:div w:id="16660244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91246542">
                              <w:marLeft w:val="60"/>
                              <w:marRight w:val="60"/>
                              <w:marTop w:val="60"/>
                              <w:marBottom w:val="60"/>
                              <w:divBdr>
                                <w:top w:val="none" w:sz="0" w:space="0" w:color="auto"/>
                                <w:left w:val="none" w:sz="0" w:space="0" w:color="auto"/>
                                <w:bottom w:val="none" w:sz="0" w:space="0" w:color="auto"/>
                                <w:right w:val="none" w:sz="0" w:space="0" w:color="auto"/>
                              </w:divBdr>
                              <w:divsChild>
                                <w:div w:id="53327410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38917624">
                              <w:marLeft w:val="60"/>
                              <w:marRight w:val="60"/>
                              <w:marTop w:val="60"/>
                              <w:marBottom w:val="60"/>
                              <w:divBdr>
                                <w:top w:val="none" w:sz="0" w:space="0" w:color="auto"/>
                                <w:left w:val="none" w:sz="0" w:space="0" w:color="auto"/>
                                <w:bottom w:val="none" w:sz="0" w:space="0" w:color="auto"/>
                                <w:right w:val="none" w:sz="0" w:space="0" w:color="auto"/>
                              </w:divBdr>
                              <w:divsChild>
                                <w:div w:id="25310125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76911650">
                              <w:marLeft w:val="60"/>
                              <w:marRight w:val="60"/>
                              <w:marTop w:val="60"/>
                              <w:marBottom w:val="60"/>
                              <w:divBdr>
                                <w:top w:val="none" w:sz="0" w:space="0" w:color="auto"/>
                                <w:left w:val="none" w:sz="0" w:space="0" w:color="auto"/>
                                <w:bottom w:val="none" w:sz="0" w:space="0" w:color="auto"/>
                                <w:right w:val="none" w:sz="0" w:space="0" w:color="auto"/>
                              </w:divBdr>
                              <w:divsChild>
                                <w:div w:id="4865275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26598704">
                              <w:marLeft w:val="60"/>
                              <w:marRight w:val="60"/>
                              <w:marTop w:val="60"/>
                              <w:marBottom w:val="60"/>
                              <w:divBdr>
                                <w:top w:val="none" w:sz="0" w:space="0" w:color="auto"/>
                                <w:left w:val="none" w:sz="0" w:space="0" w:color="auto"/>
                                <w:bottom w:val="none" w:sz="0" w:space="0" w:color="auto"/>
                                <w:right w:val="none" w:sz="0" w:space="0" w:color="auto"/>
                              </w:divBdr>
                              <w:divsChild>
                                <w:div w:id="129205171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255943129">
                              <w:marLeft w:val="60"/>
                              <w:marRight w:val="60"/>
                              <w:marTop w:val="60"/>
                              <w:marBottom w:val="60"/>
                              <w:divBdr>
                                <w:top w:val="none" w:sz="0" w:space="0" w:color="auto"/>
                                <w:left w:val="none" w:sz="0" w:space="0" w:color="auto"/>
                                <w:bottom w:val="none" w:sz="0" w:space="0" w:color="auto"/>
                                <w:right w:val="none" w:sz="0" w:space="0" w:color="auto"/>
                              </w:divBdr>
                              <w:divsChild>
                                <w:div w:id="24388313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20386242">
                              <w:marLeft w:val="60"/>
                              <w:marRight w:val="60"/>
                              <w:marTop w:val="60"/>
                              <w:marBottom w:val="60"/>
                              <w:divBdr>
                                <w:top w:val="none" w:sz="0" w:space="0" w:color="auto"/>
                                <w:left w:val="none" w:sz="0" w:space="0" w:color="auto"/>
                                <w:bottom w:val="none" w:sz="0" w:space="0" w:color="auto"/>
                                <w:right w:val="none" w:sz="0" w:space="0" w:color="auto"/>
                              </w:divBdr>
                              <w:divsChild>
                                <w:div w:id="92217690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980184903">
                              <w:marLeft w:val="60"/>
                              <w:marRight w:val="60"/>
                              <w:marTop w:val="60"/>
                              <w:marBottom w:val="60"/>
                              <w:divBdr>
                                <w:top w:val="none" w:sz="0" w:space="0" w:color="auto"/>
                                <w:left w:val="none" w:sz="0" w:space="0" w:color="auto"/>
                                <w:bottom w:val="none" w:sz="0" w:space="0" w:color="auto"/>
                                <w:right w:val="none" w:sz="0" w:space="0" w:color="auto"/>
                              </w:divBdr>
                              <w:divsChild>
                                <w:div w:id="11818660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26356063">
                              <w:marLeft w:val="60"/>
                              <w:marRight w:val="60"/>
                              <w:marTop w:val="60"/>
                              <w:marBottom w:val="60"/>
                              <w:divBdr>
                                <w:top w:val="none" w:sz="0" w:space="0" w:color="auto"/>
                                <w:left w:val="none" w:sz="0" w:space="0" w:color="auto"/>
                                <w:bottom w:val="none" w:sz="0" w:space="0" w:color="auto"/>
                                <w:right w:val="none" w:sz="0" w:space="0" w:color="auto"/>
                              </w:divBdr>
                              <w:divsChild>
                                <w:div w:id="54082181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60140366">
                              <w:marLeft w:val="60"/>
                              <w:marRight w:val="60"/>
                              <w:marTop w:val="60"/>
                              <w:marBottom w:val="60"/>
                              <w:divBdr>
                                <w:top w:val="none" w:sz="0" w:space="0" w:color="auto"/>
                                <w:left w:val="none" w:sz="0" w:space="0" w:color="auto"/>
                                <w:bottom w:val="none" w:sz="0" w:space="0" w:color="auto"/>
                                <w:right w:val="none" w:sz="0" w:space="0" w:color="auto"/>
                              </w:divBdr>
                              <w:divsChild>
                                <w:div w:id="119341562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09464145">
                              <w:marLeft w:val="60"/>
                              <w:marRight w:val="60"/>
                              <w:marTop w:val="60"/>
                              <w:marBottom w:val="60"/>
                              <w:divBdr>
                                <w:top w:val="none" w:sz="0" w:space="0" w:color="auto"/>
                                <w:left w:val="none" w:sz="0" w:space="0" w:color="auto"/>
                                <w:bottom w:val="none" w:sz="0" w:space="0" w:color="auto"/>
                                <w:right w:val="none" w:sz="0" w:space="0" w:color="auto"/>
                              </w:divBdr>
                              <w:divsChild>
                                <w:div w:id="94792605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05019268">
                              <w:marLeft w:val="60"/>
                              <w:marRight w:val="60"/>
                              <w:marTop w:val="60"/>
                              <w:marBottom w:val="60"/>
                              <w:divBdr>
                                <w:top w:val="none" w:sz="0" w:space="0" w:color="auto"/>
                                <w:left w:val="none" w:sz="0" w:space="0" w:color="auto"/>
                                <w:bottom w:val="none" w:sz="0" w:space="0" w:color="auto"/>
                                <w:right w:val="none" w:sz="0" w:space="0" w:color="auto"/>
                              </w:divBdr>
                              <w:divsChild>
                                <w:div w:id="128707690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83171596">
                              <w:marLeft w:val="60"/>
                              <w:marRight w:val="60"/>
                              <w:marTop w:val="60"/>
                              <w:marBottom w:val="60"/>
                              <w:divBdr>
                                <w:top w:val="none" w:sz="0" w:space="0" w:color="auto"/>
                                <w:left w:val="none" w:sz="0" w:space="0" w:color="auto"/>
                                <w:bottom w:val="none" w:sz="0" w:space="0" w:color="auto"/>
                                <w:right w:val="none" w:sz="0" w:space="0" w:color="auto"/>
                              </w:divBdr>
                              <w:divsChild>
                                <w:div w:id="104205369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22364240">
                              <w:marLeft w:val="60"/>
                              <w:marRight w:val="60"/>
                              <w:marTop w:val="60"/>
                              <w:marBottom w:val="60"/>
                              <w:divBdr>
                                <w:top w:val="none" w:sz="0" w:space="0" w:color="auto"/>
                                <w:left w:val="none" w:sz="0" w:space="0" w:color="auto"/>
                                <w:bottom w:val="none" w:sz="0" w:space="0" w:color="auto"/>
                                <w:right w:val="none" w:sz="0" w:space="0" w:color="auto"/>
                              </w:divBdr>
                              <w:divsChild>
                                <w:div w:id="163186006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51258249">
                              <w:marLeft w:val="60"/>
                              <w:marRight w:val="60"/>
                              <w:marTop w:val="60"/>
                              <w:marBottom w:val="60"/>
                              <w:divBdr>
                                <w:top w:val="none" w:sz="0" w:space="0" w:color="auto"/>
                                <w:left w:val="none" w:sz="0" w:space="0" w:color="auto"/>
                                <w:bottom w:val="none" w:sz="0" w:space="0" w:color="auto"/>
                                <w:right w:val="none" w:sz="0" w:space="0" w:color="auto"/>
                              </w:divBdr>
                              <w:divsChild>
                                <w:div w:id="73173454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933661632">
                              <w:marLeft w:val="60"/>
                              <w:marRight w:val="60"/>
                              <w:marTop w:val="60"/>
                              <w:marBottom w:val="60"/>
                              <w:divBdr>
                                <w:top w:val="none" w:sz="0" w:space="0" w:color="auto"/>
                                <w:left w:val="none" w:sz="0" w:space="0" w:color="auto"/>
                                <w:bottom w:val="none" w:sz="0" w:space="0" w:color="auto"/>
                                <w:right w:val="none" w:sz="0" w:space="0" w:color="auto"/>
                              </w:divBdr>
                              <w:divsChild>
                                <w:div w:id="1161774788">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13068650">
                              <w:marLeft w:val="60"/>
                              <w:marRight w:val="60"/>
                              <w:marTop w:val="60"/>
                              <w:marBottom w:val="60"/>
                              <w:divBdr>
                                <w:top w:val="none" w:sz="0" w:space="0" w:color="auto"/>
                                <w:left w:val="none" w:sz="0" w:space="0" w:color="auto"/>
                                <w:bottom w:val="none" w:sz="0" w:space="0" w:color="auto"/>
                                <w:right w:val="none" w:sz="0" w:space="0" w:color="auto"/>
                              </w:divBdr>
                              <w:divsChild>
                                <w:div w:id="152328111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12995886">
                              <w:marLeft w:val="60"/>
                              <w:marRight w:val="60"/>
                              <w:marTop w:val="60"/>
                              <w:marBottom w:val="60"/>
                              <w:divBdr>
                                <w:top w:val="none" w:sz="0" w:space="0" w:color="auto"/>
                                <w:left w:val="none" w:sz="0" w:space="0" w:color="auto"/>
                                <w:bottom w:val="none" w:sz="0" w:space="0" w:color="auto"/>
                                <w:right w:val="none" w:sz="0" w:space="0" w:color="auto"/>
                              </w:divBdr>
                              <w:divsChild>
                                <w:div w:id="18351979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2430580">
                              <w:marLeft w:val="60"/>
                              <w:marRight w:val="60"/>
                              <w:marTop w:val="60"/>
                              <w:marBottom w:val="60"/>
                              <w:divBdr>
                                <w:top w:val="none" w:sz="0" w:space="0" w:color="auto"/>
                                <w:left w:val="none" w:sz="0" w:space="0" w:color="auto"/>
                                <w:bottom w:val="none" w:sz="0" w:space="0" w:color="auto"/>
                                <w:right w:val="none" w:sz="0" w:space="0" w:color="auto"/>
                              </w:divBdr>
                              <w:divsChild>
                                <w:div w:id="198488957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29673507">
                              <w:marLeft w:val="60"/>
                              <w:marRight w:val="60"/>
                              <w:marTop w:val="60"/>
                              <w:marBottom w:val="60"/>
                              <w:divBdr>
                                <w:top w:val="none" w:sz="0" w:space="0" w:color="auto"/>
                                <w:left w:val="none" w:sz="0" w:space="0" w:color="auto"/>
                                <w:bottom w:val="none" w:sz="0" w:space="0" w:color="auto"/>
                                <w:right w:val="none" w:sz="0" w:space="0" w:color="auto"/>
                              </w:divBdr>
                              <w:divsChild>
                                <w:div w:id="188752773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86416218">
                              <w:marLeft w:val="60"/>
                              <w:marRight w:val="60"/>
                              <w:marTop w:val="60"/>
                              <w:marBottom w:val="60"/>
                              <w:divBdr>
                                <w:top w:val="none" w:sz="0" w:space="0" w:color="auto"/>
                                <w:left w:val="none" w:sz="0" w:space="0" w:color="auto"/>
                                <w:bottom w:val="none" w:sz="0" w:space="0" w:color="auto"/>
                                <w:right w:val="none" w:sz="0" w:space="0" w:color="auto"/>
                              </w:divBdr>
                              <w:divsChild>
                                <w:div w:id="185677140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72615151">
                              <w:marLeft w:val="60"/>
                              <w:marRight w:val="60"/>
                              <w:marTop w:val="60"/>
                              <w:marBottom w:val="60"/>
                              <w:divBdr>
                                <w:top w:val="none" w:sz="0" w:space="0" w:color="auto"/>
                                <w:left w:val="none" w:sz="0" w:space="0" w:color="auto"/>
                                <w:bottom w:val="none" w:sz="0" w:space="0" w:color="auto"/>
                                <w:right w:val="none" w:sz="0" w:space="0" w:color="auto"/>
                              </w:divBdr>
                              <w:divsChild>
                                <w:div w:id="129918680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41570806">
                              <w:marLeft w:val="60"/>
                              <w:marRight w:val="60"/>
                              <w:marTop w:val="60"/>
                              <w:marBottom w:val="60"/>
                              <w:divBdr>
                                <w:top w:val="none" w:sz="0" w:space="0" w:color="auto"/>
                                <w:left w:val="none" w:sz="0" w:space="0" w:color="auto"/>
                                <w:bottom w:val="none" w:sz="0" w:space="0" w:color="auto"/>
                                <w:right w:val="none" w:sz="0" w:space="0" w:color="auto"/>
                              </w:divBdr>
                              <w:divsChild>
                                <w:div w:id="1675644273">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70467211">
                              <w:marLeft w:val="60"/>
                              <w:marRight w:val="60"/>
                              <w:marTop w:val="60"/>
                              <w:marBottom w:val="60"/>
                              <w:divBdr>
                                <w:top w:val="none" w:sz="0" w:space="0" w:color="auto"/>
                                <w:left w:val="none" w:sz="0" w:space="0" w:color="auto"/>
                                <w:bottom w:val="none" w:sz="0" w:space="0" w:color="auto"/>
                                <w:right w:val="none" w:sz="0" w:space="0" w:color="auto"/>
                              </w:divBdr>
                              <w:divsChild>
                                <w:div w:id="119612091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1868450609">
      <w:bodyDiv w:val="1"/>
      <w:marLeft w:val="0"/>
      <w:marRight w:val="0"/>
      <w:marTop w:val="0"/>
      <w:marBottom w:val="0"/>
      <w:divBdr>
        <w:top w:val="none" w:sz="0" w:space="0" w:color="auto"/>
        <w:left w:val="none" w:sz="0" w:space="0" w:color="auto"/>
        <w:bottom w:val="none" w:sz="0" w:space="0" w:color="auto"/>
        <w:right w:val="none" w:sz="0" w:space="0" w:color="auto"/>
      </w:divBdr>
    </w:div>
    <w:div w:id="1996101715">
      <w:bodyDiv w:val="1"/>
      <w:marLeft w:val="0"/>
      <w:marRight w:val="0"/>
      <w:marTop w:val="0"/>
      <w:marBottom w:val="0"/>
      <w:divBdr>
        <w:top w:val="none" w:sz="0" w:space="0" w:color="auto"/>
        <w:left w:val="none" w:sz="0" w:space="0" w:color="auto"/>
        <w:bottom w:val="none" w:sz="0" w:space="0" w:color="auto"/>
        <w:right w:val="none" w:sz="0" w:space="0" w:color="auto"/>
      </w:divBdr>
    </w:div>
    <w:div w:id="1996519894">
      <w:bodyDiv w:val="1"/>
      <w:marLeft w:val="0"/>
      <w:marRight w:val="0"/>
      <w:marTop w:val="0"/>
      <w:marBottom w:val="0"/>
      <w:divBdr>
        <w:top w:val="none" w:sz="0" w:space="0" w:color="auto"/>
        <w:left w:val="none" w:sz="0" w:space="0" w:color="auto"/>
        <w:bottom w:val="none" w:sz="0" w:space="0" w:color="auto"/>
        <w:right w:val="none" w:sz="0" w:space="0" w:color="auto"/>
      </w:divBdr>
    </w:div>
    <w:div w:id="20221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othy.nicholson@kcl.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CC56-D757-754C-B650-3E3026F1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7826</Words>
  <Characters>392940</Characters>
  <Application>Microsoft Office Word</Application>
  <DocSecurity>0</DocSecurity>
  <Lines>3274</Lines>
  <Paragraphs>799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Matthew</dc:creator>
  <cp:keywords/>
  <dc:description/>
  <cp:lastModifiedBy>Michael, Benedict</cp:lastModifiedBy>
  <cp:revision>2</cp:revision>
  <cp:lastPrinted>2021-04-20T08:17:00Z</cp:lastPrinted>
  <dcterms:created xsi:type="dcterms:W3CDTF">2021-07-01T14:26:00Z</dcterms:created>
  <dcterms:modified xsi:type="dcterms:W3CDTF">2021-07-01T14:26:00Z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4963a273-5822-37a1-9646-d0dd3295e653</vt:lpwstr>
  </property>
  <property fmtid="{D5CDD505-2E9C-101B-9397-08002B2CF9AE}" pid="24" name="Mendeley Citation Style_1">
    <vt:lpwstr>http://www.zotero.org/styles/vancouver</vt:lpwstr>
  </property>
</Properties>
</file>