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AB1B3" w14:textId="3B22EF2C" w:rsidR="00A762DB" w:rsidRDefault="00336046" w:rsidP="006A5A02">
      <w:pPr>
        <w:spacing w:before="120" w:line="360" w:lineRule="auto"/>
        <w:jc w:val="both"/>
        <w:rPr>
          <w:b/>
          <w:color w:val="000000"/>
        </w:rPr>
      </w:pPr>
      <w:r>
        <w:rPr>
          <w:b/>
          <w:color w:val="000000"/>
        </w:rPr>
        <w:t xml:space="preserve"> </w:t>
      </w:r>
    </w:p>
    <w:p w14:paraId="27D25338" w14:textId="4ACF414B" w:rsidR="00B662BC" w:rsidRDefault="00B662BC" w:rsidP="006A5A02">
      <w:pPr>
        <w:spacing w:before="120" w:line="360" w:lineRule="auto"/>
        <w:jc w:val="both"/>
        <w:rPr>
          <w:b/>
          <w:color w:val="000000"/>
        </w:rPr>
      </w:pPr>
    </w:p>
    <w:p w14:paraId="6073CA8B" w14:textId="77777777" w:rsidR="00B662BC" w:rsidRPr="00A762DB" w:rsidRDefault="00B662BC" w:rsidP="006A5A02">
      <w:pPr>
        <w:spacing w:before="120" w:line="360" w:lineRule="auto"/>
        <w:jc w:val="both"/>
        <w:rPr>
          <w:b/>
          <w:color w:val="000000"/>
        </w:rPr>
      </w:pPr>
    </w:p>
    <w:p w14:paraId="1A79DE64" w14:textId="6A4322A4" w:rsidR="00A762DB" w:rsidRPr="00701004" w:rsidRDefault="00A762DB" w:rsidP="002A788B">
      <w:pPr>
        <w:spacing w:before="120" w:line="360" w:lineRule="auto"/>
        <w:jc w:val="center"/>
        <w:rPr>
          <w:color w:val="000000"/>
        </w:rPr>
      </w:pPr>
      <w:r w:rsidRPr="00701004">
        <w:rPr>
          <w:color w:val="000000"/>
        </w:rPr>
        <w:t xml:space="preserve">Delay discounting and under-valuing of recent information predict </w:t>
      </w:r>
      <w:r w:rsidR="006652D9" w:rsidRPr="00701004">
        <w:rPr>
          <w:color w:val="000000"/>
        </w:rPr>
        <w:t xml:space="preserve">poorer </w:t>
      </w:r>
      <w:r w:rsidRPr="00701004">
        <w:rPr>
          <w:color w:val="000000"/>
        </w:rPr>
        <w:t>adherence to social distancing measures during the COVID-19 pandemic</w:t>
      </w:r>
    </w:p>
    <w:p w14:paraId="794FFD63" w14:textId="77777777" w:rsidR="00A762DB" w:rsidRPr="00701004" w:rsidRDefault="00A762DB" w:rsidP="006A5A02">
      <w:pPr>
        <w:spacing w:before="120" w:line="360" w:lineRule="auto"/>
        <w:jc w:val="both"/>
        <w:rPr>
          <w:b/>
          <w:color w:val="000000"/>
        </w:rPr>
      </w:pPr>
    </w:p>
    <w:p w14:paraId="24CD1A57" w14:textId="44BD4F0F" w:rsidR="00A762DB" w:rsidRPr="00701004" w:rsidRDefault="002A788B" w:rsidP="001738F0">
      <w:pPr>
        <w:spacing w:before="120" w:line="360" w:lineRule="auto"/>
        <w:jc w:val="center"/>
        <w:rPr>
          <w:color w:val="000000"/>
          <w:vertAlign w:val="superscript"/>
        </w:rPr>
      </w:pPr>
      <w:r w:rsidRPr="00701004">
        <w:rPr>
          <w:color w:val="000000"/>
        </w:rPr>
        <w:t>Alex Lloyd</w:t>
      </w:r>
      <w:r w:rsidR="001738F0" w:rsidRPr="00701004">
        <w:rPr>
          <w:color w:val="000000"/>
          <w:vertAlign w:val="superscript"/>
        </w:rPr>
        <w:t>1</w:t>
      </w:r>
      <w:r w:rsidR="004609CB" w:rsidRPr="00701004">
        <w:rPr>
          <w:rFonts w:ascii="Arial" w:hAnsi="Arial" w:cs="Arial"/>
          <w:color w:val="222222"/>
          <w:sz w:val="21"/>
          <w:szCs w:val="21"/>
          <w:shd w:val="clear" w:color="auto" w:fill="FFFFFF"/>
          <w:vertAlign w:val="superscript"/>
        </w:rPr>
        <w:t>†</w:t>
      </w:r>
      <w:r w:rsidRPr="00701004">
        <w:rPr>
          <w:color w:val="000000"/>
        </w:rPr>
        <w:t>, Ryan McKay</w:t>
      </w:r>
      <w:r w:rsidR="001738F0" w:rsidRPr="00701004">
        <w:rPr>
          <w:color w:val="000000"/>
          <w:vertAlign w:val="superscript"/>
        </w:rPr>
        <w:t>1</w:t>
      </w:r>
      <w:r w:rsidRPr="00701004">
        <w:rPr>
          <w:color w:val="000000"/>
        </w:rPr>
        <w:t>, Todd K. Hartman</w:t>
      </w:r>
      <w:r w:rsidR="009321F9" w:rsidRPr="00701004">
        <w:rPr>
          <w:color w:val="000000"/>
          <w:vertAlign w:val="superscript"/>
        </w:rPr>
        <w:t>2</w:t>
      </w:r>
      <w:r w:rsidRPr="00701004">
        <w:rPr>
          <w:color w:val="000000"/>
        </w:rPr>
        <w:t>, Benjamin</w:t>
      </w:r>
      <w:r w:rsidR="00602CEE" w:rsidRPr="00701004">
        <w:rPr>
          <w:color w:val="000000"/>
        </w:rPr>
        <w:t xml:space="preserve"> T.</w:t>
      </w:r>
      <w:r w:rsidRPr="00701004">
        <w:rPr>
          <w:color w:val="000000"/>
        </w:rPr>
        <w:t xml:space="preserve"> Vincent</w:t>
      </w:r>
      <w:r w:rsidR="001738F0" w:rsidRPr="00701004">
        <w:rPr>
          <w:color w:val="000000"/>
          <w:vertAlign w:val="superscript"/>
        </w:rPr>
        <w:t>3</w:t>
      </w:r>
      <w:r w:rsidRPr="00701004">
        <w:rPr>
          <w:color w:val="000000"/>
        </w:rPr>
        <w:t>, Jamie Murphy</w:t>
      </w:r>
      <w:r w:rsidR="001738F0" w:rsidRPr="00701004">
        <w:rPr>
          <w:color w:val="000000"/>
          <w:vertAlign w:val="superscript"/>
        </w:rPr>
        <w:t>4</w:t>
      </w:r>
      <w:r w:rsidRPr="00701004">
        <w:rPr>
          <w:color w:val="000000"/>
        </w:rPr>
        <w:t>, Jilly Gibson-Miller</w:t>
      </w:r>
      <w:r w:rsidR="009321F9" w:rsidRPr="00701004">
        <w:rPr>
          <w:color w:val="000000"/>
          <w:vertAlign w:val="superscript"/>
        </w:rPr>
        <w:t>5</w:t>
      </w:r>
      <w:r w:rsidRPr="00701004">
        <w:rPr>
          <w:color w:val="000000"/>
        </w:rPr>
        <w:t>, Liat Levita</w:t>
      </w:r>
      <w:r w:rsidR="009321F9" w:rsidRPr="00701004">
        <w:rPr>
          <w:color w:val="000000"/>
          <w:vertAlign w:val="superscript"/>
        </w:rPr>
        <w:t>5</w:t>
      </w:r>
      <w:r w:rsidRPr="00701004">
        <w:rPr>
          <w:color w:val="000000"/>
        </w:rPr>
        <w:t>, Kate Bennett</w:t>
      </w:r>
      <w:r w:rsidR="009321F9" w:rsidRPr="00701004">
        <w:rPr>
          <w:color w:val="000000"/>
          <w:vertAlign w:val="superscript"/>
        </w:rPr>
        <w:t>6</w:t>
      </w:r>
      <w:r w:rsidRPr="00701004">
        <w:rPr>
          <w:color w:val="000000"/>
        </w:rPr>
        <w:t xml:space="preserve">, </w:t>
      </w:r>
      <w:r w:rsidR="001738F0" w:rsidRPr="00701004">
        <w:rPr>
          <w:color w:val="000000"/>
        </w:rPr>
        <w:t>Orla McBride</w:t>
      </w:r>
      <w:r w:rsidR="00774DC9" w:rsidRPr="00701004">
        <w:rPr>
          <w:color w:val="000000"/>
          <w:vertAlign w:val="superscript"/>
        </w:rPr>
        <w:t>4</w:t>
      </w:r>
      <w:r w:rsidR="001738F0" w:rsidRPr="00701004">
        <w:rPr>
          <w:color w:val="000000"/>
        </w:rPr>
        <w:t>, Anton P. Martinez</w:t>
      </w:r>
      <w:r w:rsidR="009321F9" w:rsidRPr="00701004">
        <w:rPr>
          <w:color w:val="000000"/>
          <w:vertAlign w:val="superscript"/>
        </w:rPr>
        <w:t>5</w:t>
      </w:r>
      <w:r w:rsidR="001738F0" w:rsidRPr="00701004">
        <w:rPr>
          <w:color w:val="000000"/>
        </w:rPr>
        <w:t>, Thomas VA Stocks</w:t>
      </w:r>
      <w:r w:rsidR="009321F9" w:rsidRPr="00701004">
        <w:rPr>
          <w:color w:val="000000"/>
          <w:vertAlign w:val="superscript"/>
        </w:rPr>
        <w:t>5</w:t>
      </w:r>
      <w:r w:rsidR="001738F0" w:rsidRPr="00701004">
        <w:rPr>
          <w:color w:val="000000"/>
        </w:rPr>
        <w:t>, Frédérique Vallières</w:t>
      </w:r>
      <w:r w:rsidR="009321F9" w:rsidRPr="00701004">
        <w:rPr>
          <w:color w:val="000000"/>
          <w:vertAlign w:val="superscript"/>
        </w:rPr>
        <w:t>7</w:t>
      </w:r>
      <w:r w:rsidR="001738F0" w:rsidRPr="00701004">
        <w:rPr>
          <w:color w:val="000000"/>
        </w:rPr>
        <w:t>, Philip Hyland</w:t>
      </w:r>
      <w:r w:rsidR="009321F9" w:rsidRPr="00701004">
        <w:rPr>
          <w:color w:val="000000"/>
          <w:vertAlign w:val="superscript"/>
        </w:rPr>
        <w:t>8</w:t>
      </w:r>
      <w:r w:rsidR="001738F0" w:rsidRPr="00701004">
        <w:rPr>
          <w:color w:val="000000"/>
        </w:rPr>
        <w:t xml:space="preserve">, </w:t>
      </w:r>
      <w:proofErr w:type="spellStart"/>
      <w:r w:rsidR="001738F0" w:rsidRPr="00701004">
        <w:rPr>
          <w:color w:val="000000"/>
        </w:rPr>
        <w:t>Thanos</w:t>
      </w:r>
      <w:proofErr w:type="spellEnd"/>
      <w:r w:rsidR="001738F0" w:rsidRPr="00701004">
        <w:rPr>
          <w:color w:val="000000"/>
        </w:rPr>
        <w:t xml:space="preserve"> Karatzias</w:t>
      </w:r>
      <w:r w:rsidR="009321F9" w:rsidRPr="00701004">
        <w:rPr>
          <w:color w:val="000000"/>
          <w:vertAlign w:val="superscript"/>
        </w:rPr>
        <w:t>9</w:t>
      </w:r>
      <w:r w:rsidR="001738F0" w:rsidRPr="00701004">
        <w:rPr>
          <w:color w:val="000000"/>
        </w:rPr>
        <w:t>,</w:t>
      </w:r>
      <w:r w:rsidR="00A151B9" w:rsidRPr="00701004">
        <w:rPr>
          <w:color w:val="000000"/>
        </w:rPr>
        <w:t xml:space="preserve"> Sarah Butter</w:t>
      </w:r>
      <w:r w:rsidR="009321F9" w:rsidRPr="00701004">
        <w:rPr>
          <w:color w:val="000000"/>
          <w:vertAlign w:val="superscript"/>
        </w:rPr>
        <w:t>5</w:t>
      </w:r>
      <w:r w:rsidR="00A151B9" w:rsidRPr="00701004">
        <w:rPr>
          <w:color w:val="000000"/>
        </w:rPr>
        <w:t>,</w:t>
      </w:r>
      <w:r w:rsidR="001738F0" w:rsidRPr="00701004">
        <w:rPr>
          <w:color w:val="000000"/>
        </w:rPr>
        <w:t xml:space="preserve"> Mark Shevlin</w:t>
      </w:r>
      <w:r w:rsidR="001738F0" w:rsidRPr="00701004">
        <w:rPr>
          <w:color w:val="000000"/>
          <w:vertAlign w:val="superscript"/>
        </w:rPr>
        <w:t>4</w:t>
      </w:r>
      <w:r w:rsidR="001738F0" w:rsidRPr="00701004">
        <w:rPr>
          <w:color w:val="000000"/>
        </w:rPr>
        <w:t xml:space="preserve">, </w:t>
      </w:r>
      <w:r w:rsidRPr="00701004">
        <w:rPr>
          <w:color w:val="000000"/>
        </w:rPr>
        <w:t>Richard P. Bentall</w:t>
      </w:r>
      <w:r w:rsidR="009321F9" w:rsidRPr="00701004">
        <w:rPr>
          <w:color w:val="000000"/>
          <w:vertAlign w:val="superscript"/>
        </w:rPr>
        <w:t>5</w:t>
      </w:r>
      <w:r w:rsidR="001738F0" w:rsidRPr="00701004">
        <w:rPr>
          <w:color w:val="000000"/>
        </w:rPr>
        <w:t xml:space="preserve"> &amp;</w:t>
      </w:r>
      <w:r w:rsidRPr="00701004">
        <w:rPr>
          <w:color w:val="000000"/>
        </w:rPr>
        <w:t xml:space="preserve"> Liam Mason</w:t>
      </w:r>
      <w:r w:rsidR="009321F9" w:rsidRPr="00701004">
        <w:rPr>
          <w:color w:val="000000"/>
          <w:vertAlign w:val="superscript"/>
        </w:rPr>
        <w:t>10</w:t>
      </w:r>
    </w:p>
    <w:p w14:paraId="65A6C7DA" w14:textId="4A4DDB93" w:rsidR="001738F0" w:rsidRPr="00701004" w:rsidRDefault="001738F0" w:rsidP="001738F0">
      <w:pPr>
        <w:spacing w:before="120" w:line="360" w:lineRule="auto"/>
        <w:jc w:val="center"/>
        <w:rPr>
          <w:color w:val="000000"/>
          <w:vertAlign w:val="superscript"/>
        </w:rPr>
      </w:pPr>
    </w:p>
    <w:p w14:paraId="27ED6707" w14:textId="76FCC8A2" w:rsidR="001738F0" w:rsidRPr="00701004" w:rsidRDefault="001738F0" w:rsidP="001738F0">
      <w:pPr>
        <w:spacing w:before="120" w:line="360" w:lineRule="auto"/>
        <w:jc w:val="center"/>
        <w:rPr>
          <w:color w:val="000000"/>
        </w:rPr>
      </w:pPr>
      <w:r w:rsidRPr="00701004">
        <w:rPr>
          <w:color w:val="000000"/>
          <w:vertAlign w:val="superscript"/>
        </w:rPr>
        <w:t>1</w:t>
      </w:r>
      <w:r w:rsidRPr="00701004">
        <w:rPr>
          <w:color w:val="000000"/>
        </w:rPr>
        <w:t xml:space="preserve"> Royal Holloway, University of London, England</w:t>
      </w:r>
    </w:p>
    <w:p w14:paraId="5AA9E131" w14:textId="1FBF3639" w:rsidR="001738F0" w:rsidRPr="00701004" w:rsidRDefault="001738F0" w:rsidP="001738F0">
      <w:pPr>
        <w:spacing w:before="120" w:line="360" w:lineRule="auto"/>
        <w:jc w:val="center"/>
        <w:rPr>
          <w:color w:val="000000"/>
        </w:rPr>
      </w:pPr>
      <w:r w:rsidRPr="00701004">
        <w:rPr>
          <w:color w:val="000000"/>
          <w:vertAlign w:val="superscript"/>
        </w:rPr>
        <w:t>2</w:t>
      </w:r>
      <w:r w:rsidRPr="00701004">
        <w:rPr>
          <w:color w:val="000000"/>
        </w:rPr>
        <w:t xml:space="preserve"> University of </w:t>
      </w:r>
      <w:r w:rsidR="009321F9" w:rsidRPr="00701004">
        <w:rPr>
          <w:color w:val="000000"/>
        </w:rPr>
        <w:t>Manchester</w:t>
      </w:r>
      <w:r w:rsidRPr="00701004">
        <w:rPr>
          <w:color w:val="000000"/>
        </w:rPr>
        <w:t>, England</w:t>
      </w:r>
    </w:p>
    <w:p w14:paraId="4ACC96A9" w14:textId="24EB0A34" w:rsidR="001738F0" w:rsidRPr="00701004" w:rsidRDefault="001738F0" w:rsidP="001738F0">
      <w:pPr>
        <w:spacing w:before="120" w:line="360" w:lineRule="auto"/>
        <w:jc w:val="center"/>
        <w:rPr>
          <w:color w:val="000000"/>
        </w:rPr>
      </w:pPr>
      <w:r w:rsidRPr="00701004">
        <w:rPr>
          <w:color w:val="000000"/>
          <w:vertAlign w:val="superscript"/>
        </w:rPr>
        <w:t>3</w:t>
      </w:r>
      <w:r w:rsidRPr="00701004">
        <w:rPr>
          <w:color w:val="000000"/>
        </w:rPr>
        <w:t xml:space="preserve"> University of Dundee, Scotland</w:t>
      </w:r>
    </w:p>
    <w:p w14:paraId="5F159103" w14:textId="6786B0FA" w:rsidR="001738F0" w:rsidRPr="00701004" w:rsidRDefault="001738F0" w:rsidP="001738F0">
      <w:pPr>
        <w:spacing w:before="120" w:line="360" w:lineRule="auto"/>
        <w:jc w:val="center"/>
        <w:rPr>
          <w:color w:val="000000"/>
        </w:rPr>
      </w:pPr>
      <w:r w:rsidRPr="00701004">
        <w:rPr>
          <w:color w:val="000000"/>
          <w:vertAlign w:val="superscript"/>
        </w:rPr>
        <w:t>4</w:t>
      </w:r>
      <w:r w:rsidRPr="00701004">
        <w:rPr>
          <w:color w:val="000000"/>
        </w:rPr>
        <w:t xml:space="preserve"> University</w:t>
      </w:r>
      <w:r w:rsidR="002768B5" w:rsidRPr="00701004">
        <w:rPr>
          <w:color w:val="000000"/>
        </w:rPr>
        <w:t xml:space="preserve"> of Ulster</w:t>
      </w:r>
      <w:r w:rsidRPr="00701004">
        <w:rPr>
          <w:color w:val="000000"/>
        </w:rPr>
        <w:t>, Northern Ireland</w:t>
      </w:r>
    </w:p>
    <w:p w14:paraId="35404A67" w14:textId="60D13D70" w:rsidR="009321F9" w:rsidRPr="00701004" w:rsidRDefault="009321F9" w:rsidP="001738F0">
      <w:pPr>
        <w:spacing w:before="120" w:line="360" w:lineRule="auto"/>
        <w:jc w:val="center"/>
        <w:rPr>
          <w:color w:val="000000"/>
        </w:rPr>
      </w:pPr>
      <w:r w:rsidRPr="00701004">
        <w:rPr>
          <w:color w:val="000000"/>
          <w:vertAlign w:val="superscript"/>
        </w:rPr>
        <w:t xml:space="preserve">5 </w:t>
      </w:r>
      <w:r w:rsidRPr="00701004">
        <w:rPr>
          <w:color w:val="000000"/>
        </w:rPr>
        <w:t>University of Sheffield</w:t>
      </w:r>
      <w:r w:rsidR="004E19A3" w:rsidRPr="00701004">
        <w:rPr>
          <w:color w:val="000000"/>
        </w:rPr>
        <w:t>, England</w:t>
      </w:r>
    </w:p>
    <w:p w14:paraId="5A0757E2" w14:textId="4005D623" w:rsidR="001738F0" w:rsidRPr="00701004" w:rsidRDefault="009321F9" w:rsidP="001738F0">
      <w:pPr>
        <w:spacing w:before="120" w:line="360" w:lineRule="auto"/>
        <w:jc w:val="center"/>
        <w:rPr>
          <w:color w:val="000000"/>
        </w:rPr>
      </w:pPr>
      <w:r w:rsidRPr="00701004">
        <w:rPr>
          <w:color w:val="000000"/>
          <w:vertAlign w:val="superscript"/>
        </w:rPr>
        <w:t>6</w:t>
      </w:r>
      <w:r w:rsidR="001738F0" w:rsidRPr="00701004">
        <w:rPr>
          <w:color w:val="000000"/>
          <w:vertAlign w:val="superscript"/>
        </w:rPr>
        <w:t xml:space="preserve"> </w:t>
      </w:r>
      <w:r w:rsidR="001738F0" w:rsidRPr="00701004">
        <w:rPr>
          <w:color w:val="000000"/>
        </w:rPr>
        <w:t>University of Liverpool, England</w:t>
      </w:r>
    </w:p>
    <w:p w14:paraId="186E07AB" w14:textId="1A9EF177" w:rsidR="001738F0" w:rsidRPr="00701004" w:rsidRDefault="009321F9" w:rsidP="001738F0">
      <w:pPr>
        <w:spacing w:before="120" w:line="360" w:lineRule="auto"/>
        <w:jc w:val="center"/>
        <w:rPr>
          <w:color w:val="000000"/>
        </w:rPr>
      </w:pPr>
      <w:r w:rsidRPr="00701004">
        <w:rPr>
          <w:color w:val="000000"/>
          <w:vertAlign w:val="superscript"/>
        </w:rPr>
        <w:t xml:space="preserve">7 </w:t>
      </w:r>
      <w:r w:rsidR="00D65FB0" w:rsidRPr="00701004">
        <w:rPr>
          <w:color w:val="000000"/>
        </w:rPr>
        <w:t>Trinity</w:t>
      </w:r>
      <w:r w:rsidR="001738F0" w:rsidRPr="00701004">
        <w:rPr>
          <w:color w:val="000000"/>
        </w:rPr>
        <w:t xml:space="preserve"> College Dublin, Republic of Ireland</w:t>
      </w:r>
    </w:p>
    <w:p w14:paraId="185AAE7E" w14:textId="0BA60CBD" w:rsidR="001738F0" w:rsidRPr="00701004" w:rsidRDefault="009321F9" w:rsidP="001738F0">
      <w:pPr>
        <w:spacing w:before="120" w:line="360" w:lineRule="auto"/>
        <w:jc w:val="center"/>
        <w:rPr>
          <w:color w:val="000000"/>
        </w:rPr>
      </w:pPr>
      <w:r w:rsidRPr="00701004">
        <w:rPr>
          <w:color w:val="000000"/>
          <w:vertAlign w:val="superscript"/>
        </w:rPr>
        <w:t>8</w:t>
      </w:r>
      <w:r w:rsidR="001738F0" w:rsidRPr="00701004">
        <w:rPr>
          <w:color w:val="000000"/>
          <w:vertAlign w:val="superscript"/>
        </w:rPr>
        <w:t xml:space="preserve"> </w:t>
      </w:r>
      <w:r w:rsidR="002768B5" w:rsidRPr="00701004">
        <w:rPr>
          <w:color w:val="000000"/>
        </w:rPr>
        <w:t xml:space="preserve">National </w:t>
      </w:r>
      <w:r w:rsidR="001738F0" w:rsidRPr="00701004">
        <w:rPr>
          <w:color w:val="000000"/>
        </w:rPr>
        <w:t>University</w:t>
      </w:r>
      <w:r w:rsidR="002768B5" w:rsidRPr="00701004">
        <w:rPr>
          <w:color w:val="000000"/>
        </w:rPr>
        <w:t xml:space="preserve"> of Ireland, Maynooth</w:t>
      </w:r>
      <w:r w:rsidR="001738F0" w:rsidRPr="00701004">
        <w:rPr>
          <w:color w:val="000000"/>
        </w:rPr>
        <w:t>, Republic of Ireland</w:t>
      </w:r>
    </w:p>
    <w:p w14:paraId="3334C92B" w14:textId="4199D90F" w:rsidR="001738F0" w:rsidRPr="00701004" w:rsidRDefault="009321F9" w:rsidP="001738F0">
      <w:pPr>
        <w:spacing w:before="120" w:line="360" w:lineRule="auto"/>
        <w:jc w:val="center"/>
        <w:rPr>
          <w:color w:val="000000"/>
        </w:rPr>
      </w:pPr>
      <w:r w:rsidRPr="00701004">
        <w:rPr>
          <w:color w:val="000000"/>
          <w:vertAlign w:val="superscript"/>
        </w:rPr>
        <w:t>9</w:t>
      </w:r>
      <w:r w:rsidR="001738F0" w:rsidRPr="00701004">
        <w:rPr>
          <w:color w:val="000000"/>
          <w:vertAlign w:val="superscript"/>
        </w:rPr>
        <w:t xml:space="preserve"> </w:t>
      </w:r>
      <w:r w:rsidR="00E96E9F" w:rsidRPr="00701004">
        <w:rPr>
          <w:color w:val="000000"/>
        </w:rPr>
        <w:t>Edinburgh</w:t>
      </w:r>
      <w:r w:rsidR="001738F0" w:rsidRPr="00701004">
        <w:rPr>
          <w:color w:val="000000"/>
        </w:rPr>
        <w:t xml:space="preserve"> Napier University, Scotland</w:t>
      </w:r>
    </w:p>
    <w:p w14:paraId="5541125D" w14:textId="45E43DB8" w:rsidR="001738F0" w:rsidRPr="00701004" w:rsidRDefault="009321F9" w:rsidP="001738F0">
      <w:pPr>
        <w:spacing w:before="120" w:line="360" w:lineRule="auto"/>
        <w:jc w:val="center"/>
        <w:rPr>
          <w:color w:val="000000"/>
        </w:rPr>
      </w:pPr>
      <w:r w:rsidRPr="00701004">
        <w:rPr>
          <w:color w:val="000000"/>
          <w:vertAlign w:val="superscript"/>
        </w:rPr>
        <w:t>10</w:t>
      </w:r>
      <w:r w:rsidR="001738F0" w:rsidRPr="00701004">
        <w:rPr>
          <w:color w:val="000000"/>
        </w:rPr>
        <w:t xml:space="preserve"> University College London, England</w:t>
      </w:r>
    </w:p>
    <w:p w14:paraId="005F0004" w14:textId="142E9BF2" w:rsidR="00A762DB" w:rsidRPr="00701004" w:rsidRDefault="00A762DB" w:rsidP="006A5A02">
      <w:pPr>
        <w:spacing w:before="120" w:line="360" w:lineRule="auto"/>
        <w:jc w:val="both"/>
        <w:rPr>
          <w:b/>
          <w:color w:val="000000"/>
        </w:rPr>
      </w:pPr>
    </w:p>
    <w:p w14:paraId="5B2151A1" w14:textId="7B42BE2D" w:rsidR="008006E4" w:rsidRPr="00701004" w:rsidRDefault="008006E4" w:rsidP="006A5A02">
      <w:pPr>
        <w:spacing w:before="120" w:line="360" w:lineRule="auto"/>
        <w:jc w:val="both"/>
        <w:rPr>
          <w:color w:val="222222"/>
          <w:shd w:val="clear" w:color="auto" w:fill="FFFFFF"/>
        </w:rPr>
      </w:pPr>
      <w:r w:rsidRPr="00701004">
        <w:rPr>
          <w:rFonts w:ascii="Arial" w:hAnsi="Arial" w:cs="Arial"/>
          <w:color w:val="222222"/>
          <w:sz w:val="21"/>
          <w:szCs w:val="21"/>
          <w:shd w:val="clear" w:color="auto" w:fill="FFFFFF"/>
          <w:vertAlign w:val="superscript"/>
        </w:rPr>
        <w:t>†</w:t>
      </w:r>
      <w:r w:rsidRPr="00701004">
        <w:rPr>
          <w:rFonts w:ascii="Arial" w:hAnsi="Arial" w:cs="Arial"/>
          <w:color w:val="222222"/>
          <w:sz w:val="21"/>
          <w:szCs w:val="21"/>
          <w:shd w:val="clear" w:color="auto" w:fill="FFFFFF"/>
        </w:rPr>
        <w:t xml:space="preserve"> </w:t>
      </w:r>
      <w:r w:rsidRPr="00701004">
        <w:rPr>
          <w:color w:val="222222"/>
          <w:shd w:val="clear" w:color="auto" w:fill="FFFFFF"/>
        </w:rPr>
        <w:t xml:space="preserve">Corresponding author: </w:t>
      </w:r>
      <w:r w:rsidR="004609CB" w:rsidRPr="00701004">
        <w:rPr>
          <w:color w:val="222222"/>
          <w:shd w:val="clear" w:color="auto" w:fill="FFFFFF"/>
        </w:rPr>
        <w:t>Alex Lloyd, Department of Psychology, Royal Holloway, University of London, Egham Hill, Egham, TW20 0EX. Email: alex.lloyd120@gmail.com</w:t>
      </w:r>
    </w:p>
    <w:p w14:paraId="09CAB0FE" w14:textId="77777777" w:rsidR="008006E4" w:rsidRPr="00701004" w:rsidRDefault="008006E4" w:rsidP="006A5A02">
      <w:pPr>
        <w:spacing w:before="120" w:line="360" w:lineRule="auto"/>
        <w:jc w:val="both"/>
        <w:rPr>
          <w:b/>
          <w:color w:val="000000"/>
        </w:rPr>
      </w:pPr>
    </w:p>
    <w:p w14:paraId="551AE130" w14:textId="29800286" w:rsidR="00A762DB" w:rsidRPr="00701004" w:rsidRDefault="001738F0" w:rsidP="006A5A02">
      <w:pPr>
        <w:spacing w:before="120" w:line="360" w:lineRule="auto"/>
        <w:jc w:val="both"/>
        <w:rPr>
          <w:b/>
          <w:color w:val="000000"/>
        </w:rPr>
      </w:pPr>
      <w:r w:rsidRPr="00701004">
        <w:rPr>
          <w:b/>
          <w:color w:val="000000"/>
        </w:rPr>
        <w:t>Conflict of Interest</w:t>
      </w:r>
    </w:p>
    <w:p w14:paraId="38002AA9" w14:textId="71D79270" w:rsidR="00B54418" w:rsidRPr="00701004" w:rsidRDefault="001738F0" w:rsidP="00B662BC">
      <w:pPr>
        <w:spacing w:before="120" w:line="360" w:lineRule="auto"/>
        <w:jc w:val="both"/>
        <w:rPr>
          <w:color w:val="000000"/>
        </w:rPr>
      </w:pPr>
      <w:r w:rsidRPr="00701004">
        <w:rPr>
          <w:color w:val="000000"/>
        </w:rPr>
        <w:t>The authors report no conflict</w:t>
      </w:r>
      <w:r w:rsidR="00C9179D" w:rsidRPr="00701004">
        <w:rPr>
          <w:color w:val="000000"/>
        </w:rPr>
        <w:t>s</w:t>
      </w:r>
      <w:r w:rsidRPr="00701004">
        <w:rPr>
          <w:color w:val="000000"/>
        </w:rPr>
        <w:t xml:space="preserve"> of interest</w:t>
      </w:r>
      <w:r w:rsidR="005236B5" w:rsidRPr="00701004">
        <w:rPr>
          <w:color w:val="000000"/>
        </w:rPr>
        <w:t>.</w:t>
      </w:r>
    </w:p>
    <w:p w14:paraId="69C6B725" w14:textId="595549E1" w:rsidR="00EA673C" w:rsidRPr="00701004" w:rsidRDefault="00EA673C" w:rsidP="00B269A4">
      <w:pPr>
        <w:spacing w:before="120" w:line="480" w:lineRule="auto"/>
        <w:jc w:val="center"/>
        <w:rPr>
          <w:b/>
          <w:color w:val="000000"/>
        </w:rPr>
      </w:pPr>
      <w:r w:rsidRPr="00701004">
        <w:rPr>
          <w:b/>
          <w:color w:val="000000"/>
        </w:rPr>
        <w:lastRenderedPageBreak/>
        <w:t>Abstract</w:t>
      </w:r>
    </w:p>
    <w:p w14:paraId="6CCC081F" w14:textId="2511589B" w:rsidR="006A7A7C" w:rsidRPr="00701004" w:rsidRDefault="004164FB" w:rsidP="001E3FA3">
      <w:pPr>
        <w:autoSpaceDE w:val="0"/>
        <w:autoSpaceDN w:val="0"/>
        <w:adjustRightInd w:val="0"/>
        <w:spacing w:before="120" w:line="480" w:lineRule="auto"/>
        <w:ind w:firstLine="720"/>
        <w:jc w:val="both"/>
        <w:rPr>
          <w:color w:val="000000"/>
        </w:rPr>
      </w:pPr>
      <w:r w:rsidRPr="00701004">
        <w:rPr>
          <w:color w:val="000000"/>
        </w:rPr>
        <w:t xml:space="preserve">The COVID-19 pandemic has </w:t>
      </w:r>
      <w:r w:rsidR="00E62334" w:rsidRPr="00701004">
        <w:rPr>
          <w:color w:val="000000"/>
        </w:rPr>
        <w:t xml:space="preserve">brought about </w:t>
      </w:r>
      <w:r w:rsidRPr="00701004">
        <w:rPr>
          <w:color w:val="000000"/>
        </w:rPr>
        <w:t xml:space="preserve">unprecedented global changes in individual and collective behaviour. </w:t>
      </w:r>
      <w:r w:rsidR="001D6D48" w:rsidRPr="00701004">
        <w:rPr>
          <w:color w:val="000000"/>
        </w:rPr>
        <w:t>T</w:t>
      </w:r>
      <w:r w:rsidRPr="00701004">
        <w:rPr>
          <w:color w:val="000000"/>
        </w:rPr>
        <w:t>o reduce the spread of the virus, public health bodies have promoted social distancing measures whil</w:t>
      </w:r>
      <w:r w:rsidR="000D14A9" w:rsidRPr="00701004">
        <w:rPr>
          <w:color w:val="000000"/>
        </w:rPr>
        <w:t>e</w:t>
      </w:r>
      <w:r w:rsidRPr="00701004">
        <w:rPr>
          <w:color w:val="000000"/>
        </w:rPr>
        <w:t xml:space="preserve"> attempting to </w:t>
      </w:r>
      <w:r w:rsidR="001D6D48" w:rsidRPr="00701004">
        <w:rPr>
          <w:color w:val="000000"/>
        </w:rPr>
        <w:t xml:space="preserve">mitigate </w:t>
      </w:r>
      <w:r w:rsidRPr="00701004">
        <w:rPr>
          <w:color w:val="000000"/>
        </w:rPr>
        <w:t>the</w:t>
      </w:r>
      <w:r w:rsidR="001D6D48" w:rsidRPr="00701004">
        <w:rPr>
          <w:color w:val="000000"/>
        </w:rPr>
        <w:t>ir</w:t>
      </w:r>
      <w:r w:rsidRPr="00701004">
        <w:rPr>
          <w:color w:val="000000"/>
        </w:rPr>
        <w:t xml:space="preserve"> mental health consequences. The current study </w:t>
      </w:r>
      <w:r w:rsidR="0050547B" w:rsidRPr="00701004">
        <w:rPr>
          <w:color w:val="000000"/>
        </w:rPr>
        <w:t xml:space="preserve">aimed to identify cognitive predictors of social distancing adherence and mental health symptoms, using computational models derived from </w:t>
      </w:r>
      <w:r w:rsidRPr="00701004">
        <w:rPr>
          <w:color w:val="000000"/>
        </w:rPr>
        <w:t>delay discounting (</w:t>
      </w:r>
      <w:bookmarkStart w:id="0" w:name="_Hlk70498699"/>
      <w:r w:rsidR="0080513C" w:rsidRPr="00701004">
        <w:rPr>
          <w:color w:val="000000"/>
        </w:rPr>
        <w:t xml:space="preserve">the preference for smaller, immediate rewards </w:t>
      </w:r>
      <w:r w:rsidR="00820D9E" w:rsidRPr="00701004">
        <w:rPr>
          <w:color w:val="000000"/>
        </w:rPr>
        <w:t>over</w:t>
      </w:r>
      <w:r w:rsidR="0080513C" w:rsidRPr="00701004">
        <w:rPr>
          <w:color w:val="000000"/>
        </w:rPr>
        <w:t xml:space="preserve"> larger, delayed rewards</w:t>
      </w:r>
      <w:bookmarkEnd w:id="0"/>
      <w:r w:rsidR="0080513C" w:rsidRPr="00701004">
        <w:rPr>
          <w:color w:val="000000"/>
        </w:rPr>
        <w:t>)</w:t>
      </w:r>
      <w:r w:rsidRPr="00701004">
        <w:rPr>
          <w:color w:val="000000"/>
        </w:rPr>
        <w:t xml:space="preserve"> and patch foraging (the </w:t>
      </w:r>
      <w:r w:rsidR="0050547B" w:rsidRPr="00701004">
        <w:rPr>
          <w:color w:val="000000"/>
        </w:rPr>
        <w:t xml:space="preserve">ability to </w:t>
      </w:r>
      <w:r w:rsidR="00C50F75" w:rsidRPr="00701004">
        <w:rPr>
          <w:color w:val="000000"/>
        </w:rPr>
        <w:t>trade-off</w:t>
      </w:r>
      <w:r w:rsidRPr="00701004">
        <w:rPr>
          <w:color w:val="000000"/>
        </w:rPr>
        <w:t xml:space="preserve"> between exploiting a known resource and exploring an unknown one)</w:t>
      </w:r>
      <w:r w:rsidR="0050547B" w:rsidRPr="00701004">
        <w:rPr>
          <w:color w:val="000000"/>
        </w:rPr>
        <w:t>. I</w:t>
      </w:r>
      <w:r w:rsidRPr="00701004">
        <w:rPr>
          <w:color w:val="000000"/>
        </w:rPr>
        <w:t>n a representative sample of the UK population (</w:t>
      </w:r>
      <w:r w:rsidRPr="00701004">
        <w:rPr>
          <w:i/>
          <w:color w:val="000000"/>
        </w:rPr>
        <w:t>N</w:t>
      </w:r>
      <w:r w:rsidRPr="00701004">
        <w:rPr>
          <w:color w:val="000000"/>
        </w:rPr>
        <w:t>=442)</w:t>
      </w:r>
      <w:r w:rsidR="0050547B" w:rsidRPr="00701004">
        <w:rPr>
          <w:color w:val="000000"/>
        </w:rPr>
        <w:t xml:space="preserve">, we find that </w:t>
      </w:r>
      <w:r w:rsidR="001E3FA3" w:rsidRPr="00701004">
        <w:rPr>
          <w:color w:val="000000"/>
        </w:rPr>
        <w:t xml:space="preserve">steeper delay discounting predicted poorer adherence to social distancing measures and </w:t>
      </w:r>
      <w:r w:rsidR="0050547B" w:rsidRPr="00701004">
        <w:rPr>
          <w:color w:val="000000"/>
        </w:rPr>
        <w:t>g</w:t>
      </w:r>
      <w:r w:rsidRPr="00701004">
        <w:rPr>
          <w:color w:val="000000"/>
        </w:rPr>
        <w:t xml:space="preserve">reater sensitivity to reward magnitude during delay discounting predicted higher levels of anxiety symptoms. </w:t>
      </w:r>
      <w:r w:rsidR="009F7B3B" w:rsidRPr="00701004">
        <w:rPr>
          <w:color w:val="000000"/>
        </w:rPr>
        <w:t>Furthermore</w:t>
      </w:r>
      <w:r w:rsidRPr="00701004">
        <w:rPr>
          <w:color w:val="000000"/>
        </w:rPr>
        <w:t xml:space="preserve">, under-valuing recently sampled information during foraging </w:t>
      </w:r>
      <w:r w:rsidR="0050547B" w:rsidRPr="00701004">
        <w:rPr>
          <w:color w:val="000000"/>
        </w:rPr>
        <w:t xml:space="preserve">independently </w:t>
      </w:r>
      <w:r w:rsidRPr="00701004">
        <w:rPr>
          <w:color w:val="000000"/>
        </w:rPr>
        <w:t xml:space="preserve">predicted greater violation of </w:t>
      </w:r>
      <w:r w:rsidR="00D00C18" w:rsidRPr="00701004">
        <w:rPr>
          <w:color w:val="000000"/>
        </w:rPr>
        <w:t>lockdown</w:t>
      </w:r>
      <w:r w:rsidR="0050547B" w:rsidRPr="00701004">
        <w:rPr>
          <w:color w:val="000000"/>
        </w:rPr>
        <w:t xml:space="preserve"> </w:t>
      </w:r>
      <w:r w:rsidR="00D00C18" w:rsidRPr="00701004">
        <w:rPr>
          <w:color w:val="000000"/>
        </w:rPr>
        <w:t>guidance</w:t>
      </w:r>
      <w:r w:rsidRPr="00701004">
        <w:rPr>
          <w:color w:val="000000"/>
        </w:rPr>
        <w:t xml:space="preserve">. </w:t>
      </w:r>
      <w:r w:rsidR="00B96DF1" w:rsidRPr="00701004">
        <w:rPr>
          <w:color w:val="000000"/>
        </w:rPr>
        <w:t>Our results</w:t>
      </w:r>
      <w:r w:rsidRPr="00701004">
        <w:rPr>
          <w:color w:val="000000"/>
        </w:rPr>
        <w:t xml:space="preserve"> suggest that </w:t>
      </w:r>
      <w:bookmarkStart w:id="1" w:name="_Hlk70580517"/>
      <w:bookmarkStart w:id="2" w:name="_Hlk70506315"/>
      <w:r w:rsidR="004177EC" w:rsidRPr="00701004">
        <w:rPr>
          <w:color w:val="000000"/>
        </w:rPr>
        <w:t xml:space="preserve">those who show greater </w:t>
      </w:r>
      <w:r w:rsidR="0007377B" w:rsidRPr="00701004">
        <w:rPr>
          <w:color w:val="000000"/>
        </w:rPr>
        <w:t>discounting of delayed rewards</w:t>
      </w:r>
      <w:r w:rsidR="004177EC" w:rsidRPr="00701004">
        <w:rPr>
          <w:color w:val="000000"/>
        </w:rPr>
        <w:t xml:space="preserve"> </w:t>
      </w:r>
      <w:bookmarkEnd w:id="1"/>
      <w:r w:rsidR="004177EC" w:rsidRPr="00701004">
        <w:rPr>
          <w:color w:val="000000"/>
        </w:rPr>
        <w:t xml:space="preserve">struggle </w:t>
      </w:r>
      <w:bookmarkEnd w:id="2"/>
      <w:r w:rsidRPr="00701004">
        <w:rPr>
          <w:color w:val="000000"/>
        </w:rPr>
        <w:t xml:space="preserve">to maintain social distancing. Further, those who adapt </w:t>
      </w:r>
      <w:r w:rsidR="009F7B3B" w:rsidRPr="00701004">
        <w:rPr>
          <w:color w:val="000000"/>
        </w:rPr>
        <w:t>faster</w:t>
      </w:r>
      <w:r w:rsidRPr="00701004">
        <w:rPr>
          <w:color w:val="000000"/>
        </w:rPr>
        <w:t xml:space="preserve"> to new information </w:t>
      </w:r>
      <w:r w:rsidR="00B96DF1" w:rsidRPr="00701004">
        <w:rPr>
          <w:color w:val="000000"/>
        </w:rPr>
        <w:t>are better equipped</w:t>
      </w:r>
      <w:r w:rsidRPr="00701004">
        <w:rPr>
          <w:color w:val="000000"/>
        </w:rPr>
        <w:t xml:space="preserve"> to change their behaviour in response to public health measures. These findings can inform interventions that seek to increase </w:t>
      </w:r>
      <w:r w:rsidR="0087794D" w:rsidRPr="00701004">
        <w:rPr>
          <w:color w:val="000000"/>
        </w:rPr>
        <w:t>compliance with</w:t>
      </w:r>
      <w:r w:rsidRPr="00701004">
        <w:rPr>
          <w:color w:val="000000"/>
        </w:rPr>
        <w:t xml:space="preserve"> social distancing measures whilst minimising negative </w:t>
      </w:r>
      <w:r w:rsidR="00E62334" w:rsidRPr="00701004">
        <w:rPr>
          <w:color w:val="000000"/>
        </w:rPr>
        <w:t xml:space="preserve">repercussions for </w:t>
      </w:r>
      <w:r w:rsidRPr="00701004">
        <w:rPr>
          <w:color w:val="000000"/>
        </w:rPr>
        <w:t>mental health.</w:t>
      </w:r>
      <w:r w:rsidR="000024FE" w:rsidRPr="00701004">
        <w:rPr>
          <w:color w:val="000000"/>
        </w:rPr>
        <w:t xml:space="preserve"> </w:t>
      </w:r>
    </w:p>
    <w:p w14:paraId="68BE79B2" w14:textId="25C07304" w:rsidR="000024FE" w:rsidRPr="00701004" w:rsidRDefault="000024FE" w:rsidP="006A7A7C">
      <w:pPr>
        <w:spacing w:before="120" w:line="480" w:lineRule="auto"/>
        <w:jc w:val="center"/>
        <w:rPr>
          <w:color w:val="000000"/>
        </w:rPr>
      </w:pPr>
    </w:p>
    <w:p w14:paraId="630928C2" w14:textId="0DB09112" w:rsidR="00C7333E" w:rsidRPr="00701004" w:rsidRDefault="00C7333E" w:rsidP="006A7A7C">
      <w:pPr>
        <w:spacing w:before="120" w:line="480" w:lineRule="auto"/>
        <w:jc w:val="center"/>
        <w:rPr>
          <w:color w:val="000000"/>
        </w:rPr>
      </w:pPr>
    </w:p>
    <w:p w14:paraId="49BA1A5C" w14:textId="03920574" w:rsidR="009F7B3B" w:rsidRPr="00701004" w:rsidRDefault="009F7B3B" w:rsidP="006A7A7C">
      <w:pPr>
        <w:spacing w:before="120" w:line="480" w:lineRule="auto"/>
        <w:jc w:val="center"/>
        <w:rPr>
          <w:color w:val="000000"/>
        </w:rPr>
      </w:pPr>
    </w:p>
    <w:p w14:paraId="13E7F84D" w14:textId="452D6E8D" w:rsidR="009F7B3B" w:rsidRPr="00701004" w:rsidRDefault="009F7B3B" w:rsidP="006A7A7C">
      <w:pPr>
        <w:spacing w:before="120" w:line="480" w:lineRule="auto"/>
        <w:jc w:val="center"/>
        <w:rPr>
          <w:color w:val="000000"/>
        </w:rPr>
      </w:pPr>
    </w:p>
    <w:p w14:paraId="7AF6E31F" w14:textId="77777777" w:rsidR="009F7B3B" w:rsidRPr="00701004" w:rsidRDefault="009F7B3B" w:rsidP="006A7A7C">
      <w:pPr>
        <w:spacing w:before="120" w:line="480" w:lineRule="auto"/>
        <w:jc w:val="center"/>
        <w:rPr>
          <w:color w:val="000000"/>
        </w:rPr>
      </w:pPr>
    </w:p>
    <w:p w14:paraId="7899ED2C" w14:textId="77777777" w:rsidR="000D14A9" w:rsidRPr="00701004" w:rsidRDefault="000D14A9" w:rsidP="00FF4EC8">
      <w:pPr>
        <w:spacing w:before="120" w:line="480" w:lineRule="auto"/>
        <w:rPr>
          <w:b/>
          <w:color w:val="000000"/>
        </w:rPr>
      </w:pPr>
    </w:p>
    <w:p w14:paraId="2085AB1B" w14:textId="5985AF10" w:rsidR="00D4714F" w:rsidRPr="00701004" w:rsidRDefault="00D4714F" w:rsidP="006A7A7C">
      <w:pPr>
        <w:spacing w:before="120" w:line="480" w:lineRule="auto"/>
        <w:jc w:val="center"/>
        <w:rPr>
          <w:b/>
          <w:color w:val="000000"/>
        </w:rPr>
      </w:pPr>
      <w:r w:rsidRPr="00701004">
        <w:rPr>
          <w:b/>
          <w:color w:val="000000"/>
        </w:rPr>
        <w:lastRenderedPageBreak/>
        <w:t>Introduction</w:t>
      </w:r>
    </w:p>
    <w:p w14:paraId="01FFC5F3" w14:textId="5BEDDE4E" w:rsidR="00F726D5" w:rsidRPr="00701004" w:rsidRDefault="00F726D5" w:rsidP="00A13804">
      <w:pPr>
        <w:spacing w:before="120" w:line="480" w:lineRule="auto"/>
        <w:ind w:firstLine="720"/>
        <w:jc w:val="both"/>
        <w:rPr>
          <w:color w:val="000000"/>
        </w:rPr>
      </w:pPr>
      <w:r w:rsidRPr="00701004">
        <w:rPr>
          <w:color w:val="000000"/>
        </w:rPr>
        <w:t>The COVID-19 pandemic has required radical behavioural changes worldwide, most notably the enacting of social distancing measures and nationwide lockdowns. While public adherence to these novel measures has generally been good</w:t>
      </w:r>
      <w:r w:rsidRPr="00701004">
        <w:rPr>
          <w:color w:val="000000"/>
        </w:rPr>
        <w:fldChar w:fldCharType="begin" w:fldLock="1"/>
      </w:r>
      <w:r w:rsidR="00546949" w:rsidRPr="00701004">
        <w:rPr>
          <w:color w:val="000000"/>
        </w:rPr>
        <w:instrText xml:space="preserve"> ADDIN ZOTERO_ITEM CSL_CITATION {"citationID":"EClXAS8Q","properties":{"formattedCitation":"\\super 1\\nosupersub{}","plainCitation":"1","noteIndex":0},"citationItems":[{"id":"3dXyczz3/gzGVE3If","uris":["http://www.mendeley.com/documents/?uuid=c56cd0e9-15af-4d66-b673-028f815c806d"],"uri":["http://www.mendeley.com/documents/?uuid=c56cd0e9-15af-4d66-b673-028f815c806d"],"itemData":{"abstract":"While degraded trust and cohesion within a country are often shown to have large socioeconomic impacts, they can also have dramatic consequences when compliance is required for collective survival. We illustrate this point in the context of the COVID-19 [coronavirus disease 2019] crisis. Policy responses all over the world aim to reduce social interaction and limit contagion. Using data on human mobility and political trust at regional level in Europe, we examine whether the compliance to these containment policies depends on the level of trust in policy makers prior to the crisis. Using a double difference approach around the time of lockdown announcements, we find that high-trust regions decrease their mobility related to non-necessary activities significantly more than low-trust regions. We also exploit country and time variation in treatment using the daily strictness of national policies. The efficiency of policy stringency in terms of mobility reduction significantly increases with trust. The trust effect is nonlinear and increases with the degree of stringency. We assess how the impact of trust on mobility potentially translates in terms of mortality growth rate.COVID-19 (Disease); Public health; Epidemics","author":[{"dropping-particle":"","family":"Bargain","given":"Olivier","non-dropping-particle":"","parse-names":false,"suffix":""},{"dropping-particle":"","family":"Aminjonov","given":"Ulugbek","non-dropping-particle":"","parse-names":false,"suffix":""}],"container-title":"Bordeaux Economics Working Papers","id":"ITEM-1","issued":{"date-parts":[["2020"]]},"title":"Trust and Compliance to Public Health Policies in Times of COVID-19","type":"article-journal"}}],"schema":"https://github.com/citation-style-language/schema/raw/master/csl-citation.json"} </w:instrText>
      </w:r>
      <w:r w:rsidRPr="00701004">
        <w:rPr>
          <w:color w:val="000000"/>
        </w:rPr>
        <w:fldChar w:fldCharType="separate"/>
      </w:r>
      <w:r w:rsidR="00546949" w:rsidRPr="00701004">
        <w:rPr>
          <w:vertAlign w:val="superscript"/>
        </w:rPr>
        <w:t>1</w:t>
      </w:r>
      <w:r w:rsidRPr="00701004">
        <w:rPr>
          <w:color w:val="000000"/>
        </w:rPr>
        <w:fldChar w:fldCharType="end"/>
      </w:r>
      <w:r w:rsidRPr="00701004">
        <w:rPr>
          <w:color w:val="000000"/>
        </w:rPr>
        <w:t>,</w:t>
      </w:r>
      <w:r w:rsidR="004C3954" w:rsidRPr="00701004">
        <w:rPr>
          <w:color w:val="000000"/>
        </w:rPr>
        <w:t xml:space="preserve"> </w:t>
      </w:r>
      <w:r w:rsidRPr="00701004">
        <w:rPr>
          <w:color w:val="000000"/>
        </w:rPr>
        <w:t>their introduction</w:t>
      </w:r>
      <w:r w:rsidR="007D0604" w:rsidRPr="00701004">
        <w:rPr>
          <w:color w:val="000000"/>
        </w:rPr>
        <w:t xml:space="preserve"> </w:t>
      </w:r>
      <w:r w:rsidR="008773D3" w:rsidRPr="00701004">
        <w:rPr>
          <w:color w:val="000000"/>
        </w:rPr>
        <w:t>in response to</w:t>
      </w:r>
      <w:r w:rsidR="007D0604" w:rsidRPr="00701004">
        <w:rPr>
          <w:color w:val="000000"/>
        </w:rPr>
        <w:t xml:space="preserve"> the first wave</w:t>
      </w:r>
      <w:r w:rsidR="001D6D48" w:rsidRPr="00701004">
        <w:rPr>
          <w:color w:val="000000"/>
        </w:rPr>
        <w:t>s</w:t>
      </w:r>
      <w:r w:rsidR="007D0604" w:rsidRPr="00701004">
        <w:rPr>
          <w:color w:val="000000"/>
        </w:rPr>
        <w:t xml:space="preserve"> of the pandemic</w:t>
      </w:r>
      <w:r w:rsidRPr="00701004">
        <w:rPr>
          <w:color w:val="000000"/>
        </w:rPr>
        <w:t xml:space="preserve"> has been associated with elevated rates of mood and anxiety disorders</w:t>
      </w:r>
      <w:r w:rsidRPr="00701004">
        <w:rPr>
          <w:color w:val="000000"/>
        </w:rPr>
        <w:fldChar w:fldCharType="begin" w:fldLock="1"/>
      </w:r>
      <w:r w:rsidR="00546949" w:rsidRPr="00701004">
        <w:rPr>
          <w:color w:val="000000"/>
        </w:rPr>
        <w:instrText xml:space="preserve"> ADDIN ZOTERO_ITEM CSL_CITATION {"citationID":"3A8HlT5i","properties":{"formattedCitation":"\\super 2\\nosupersub{}","plainCitation":"2","noteIndex":0},"citationItems":[{"id":"3dXyczz3/QHOz0sqM","uris":["http://www.mendeley.com/documents/?uuid=77e3f69b-f455-32c6-ad63-19036dd437e1"],"uri":["http://www.mendeley.com/documents/?uuid=77e3f69b-f455-32c6-ad63-19036dd437e1"],"itemData":{"DOI":"10.31234/OSF.IO/HB6NQ","author":[{"dropping-particle":"","family":"Shevlin","given":"Mark","non-dropping-particle":"","parse-names":false,"suffix":""},{"dropping-particle":"","family":"McBride","given":"Orla","non-dropping-particle":"","parse-names":false,"suffix":""},{"dropping-particle":"","family":"Murphy","given":"Jamie","non-dropping-particle":"","parse-names":false,"suffix":""},{"dropping-particle":"","family":"Miller","given":"Jilly Gibson","non-dropping-particle":"","parse-names":false,"suffix":""},{"dropping-particle":"","family":"Hartman","given":"Todd K","non-dropping-particle":"","parse-names":false,"suffix":""},{"dropping-particle":"","family":"Levita","given":"Liat","non-dropping-particle":"","parse-names":false,"suffix":""},{"dropping-particle":"","family":"Mason","given":"Liam","non-dropping-particle":"","parse-names":false,"suffix":""},{"dropping-particle":"","family":"Martinez","given":"Anton Philipp","non-dropping-particle":"","parse-names":false,"suffix":""},{"dropping-particle":"","family":"McKay","given":"Ryan","non-dropping-particle":"","parse-names":false,"suffix":""},{"dropping-particle":"","family":"Stocks","given":"Thomas V A","non-dropping-particle":"","parse-names":false,"suffix":""},{"dropping-particle":"","family":"bennett","given":"kate m","non-dropping-particle":"","parse-names":false,"suffix":""},{"dropping-particle":"","family":"Hyland","given":"Philip","non-dropping-particle":"","parse-names":false,"suffix":""},{"dropping-particle":"","family":"Karatzias","given":"Thanos","non-dropping-particle":"","parse-names":false,"suffix":""},{"dropping-particle":"","family":"Bentall","given":"Richard P.","non-dropping-particle":"","parse-names":false,"suffix":""}],"id":"ITEM-1","issued":{"date-parts":[["0"]]},"publisher":"PsyArXiv","title":"Anxiety, Depression, Traumatic Stress, and COVID-19 Related Anxiety in the UK General Population During the COVID-19 Pandemic.","type":"article-journal"}}],"schema":"https://github.com/citation-style-language/schema/raw/master/csl-citation.json"} </w:instrText>
      </w:r>
      <w:r w:rsidRPr="00701004">
        <w:rPr>
          <w:color w:val="000000"/>
        </w:rPr>
        <w:fldChar w:fldCharType="separate"/>
      </w:r>
      <w:r w:rsidR="00546949" w:rsidRPr="00701004">
        <w:rPr>
          <w:vertAlign w:val="superscript"/>
        </w:rPr>
        <w:t>2</w:t>
      </w:r>
      <w:r w:rsidRPr="00701004">
        <w:rPr>
          <w:color w:val="000000"/>
        </w:rPr>
        <w:fldChar w:fldCharType="end"/>
      </w:r>
      <w:r w:rsidRPr="00701004">
        <w:rPr>
          <w:color w:val="000000"/>
        </w:rPr>
        <w:t>, and instances of non-compliance have hindered efforts to control the spread of the virus</w:t>
      </w:r>
      <w:r w:rsidRPr="00701004">
        <w:rPr>
          <w:color w:val="000000"/>
        </w:rPr>
        <w:fldChar w:fldCharType="begin" w:fldLock="1"/>
      </w:r>
      <w:r w:rsidR="00546949" w:rsidRPr="00701004">
        <w:rPr>
          <w:color w:val="000000"/>
        </w:rPr>
        <w:instrText xml:space="preserve"> ADDIN ZOTERO_ITEM CSL_CITATION {"citationID":"MmKZ7ckH","properties":{"formattedCitation":"\\super 3\\nosupersub{}","plainCitation":"3","noteIndex":0},"citationItems":[{"id":"3dXyczz3/FqdcEqSr","uris":["http://www.mendeley.com/documents/?uuid=a32d1a56-ea3d-496b-aec5-2310cdaf5dd1"],"uri":["http://www.mendeley.com/documents/?uuid=a32d1a56-ea3d-496b-aec5-2310cdaf5dd1"],"itemData":{"DOI":"10.1136/bmjopen-2020-039334","ISSN":"20446055","PMID":"32690752","abstract":"Objective This study explored UK public perceptions and experiences of social distancing and social isolation related to the COVID-19 pandemic. Design This qualitative study comprised five focus groups, carried out online during the early stages of the UK's stay at home order ( € lockdown'), and analysed using a thematic approach. Setting Focus groups took place via online videoconferencing. Participants Participants (n=27) were all UK residents aged 18 years and older, representing a range of gender, ethnic, age and occupational backgrounds. Results Qualitative analysis revealed four main themes: (1) loss - participants' loss of (in-person) social interaction, loss of income and loss of structure and routine led to psychological and emotional € losses' such as loss of motivation, loss of meaning and loss of self-worth; (2) criticisms of government communication - participants reported a lack of trust in government and a lack of clarity in the guidelines around social distancing and isolation; (3) adherence - participants reported high self-adherence to social distancing guidelines but reported seeing or hearing of non-adherence in others; (4) uncertainty around social reintegration and the future - some participants felt they would have lingering concerns over social contact while others were eager to return to high levels of social activity. Most participants, and particularly those in low-paid or precarious employment, reported feeling that the social distancing and isolation associated with COVID-19 policy has had negative impacts on their mental health and well-being during the early stages of the UK's € lockdown'. Conclusions A rapid response is necessary in terms of public health programming to mitigate the mental health impacts of COVID-19 social distancing and isolation. Social distancing and isolation € exit strategies' must account for the fact that, although some individuals will voluntarily or habitually continue to socially distance, others will seek high levels of social engagement as soon as possible.","author":[{"dropping-particle":"","family":"Williams","given":"Simon N.","non-dropping-particle":"","parse-names":false,"suffix":""},{"dropping-particle":"","family":"Armitage","given":"Christopher J.","non-dropping-particle":"","parse-names":false,"suffix":""},{"dropping-particle":"","family":"Tampe","given":"Tova","non-dropping-particle":"","parse-names":false,"suffix":""},{"dropping-particle":"","family":"Dienes","given":"Kimberly","non-dropping-particle":"","parse-names":false,"suffix":""}],"container-title":"BMJ Open","id":"ITEM-1","issued":{"date-parts":[["2020"]]},"title":"Public perceptions and experiences of social distancing and social isolation during the COVID-19 pandemic: A UK-based focus group study","type":"article-journal"}}],"schema":"https://github.com/citation-style-language/schema/raw/master/csl-citation.json"} </w:instrText>
      </w:r>
      <w:r w:rsidRPr="00701004">
        <w:rPr>
          <w:color w:val="000000"/>
        </w:rPr>
        <w:fldChar w:fldCharType="separate"/>
      </w:r>
      <w:r w:rsidR="00546949" w:rsidRPr="00701004">
        <w:rPr>
          <w:vertAlign w:val="superscript"/>
        </w:rPr>
        <w:t>3</w:t>
      </w:r>
      <w:r w:rsidRPr="00701004">
        <w:rPr>
          <w:color w:val="000000"/>
        </w:rPr>
        <w:fldChar w:fldCharType="end"/>
      </w:r>
      <w:r w:rsidRPr="00701004">
        <w:rPr>
          <w:color w:val="000000"/>
        </w:rPr>
        <w:t xml:space="preserve">. </w:t>
      </w:r>
      <w:proofErr w:type="gramStart"/>
      <w:r w:rsidR="001D6D48" w:rsidRPr="00701004">
        <w:rPr>
          <w:color w:val="000000"/>
        </w:rPr>
        <w:t>I</w:t>
      </w:r>
      <w:r w:rsidR="004C3954" w:rsidRPr="00701004">
        <w:rPr>
          <w:color w:val="000000"/>
        </w:rPr>
        <w:t>n light of</w:t>
      </w:r>
      <w:proofErr w:type="gramEnd"/>
      <w:r w:rsidR="004C3954" w:rsidRPr="00701004">
        <w:rPr>
          <w:color w:val="000000"/>
        </w:rPr>
        <w:t xml:space="preserve"> new waves of infection, there is </w:t>
      </w:r>
      <w:r w:rsidR="001D6D48" w:rsidRPr="00701004">
        <w:rPr>
          <w:color w:val="000000"/>
        </w:rPr>
        <w:t xml:space="preserve">growing </w:t>
      </w:r>
      <w:r w:rsidR="004C3954" w:rsidRPr="00701004">
        <w:rPr>
          <w:color w:val="000000"/>
        </w:rPr>
        <w:t xml:space="preserve">concern about the public’s ability to sustain these behaviours as the response to the pandemic becomes increasingly protracted. </w:t>
      </w:r>
      <w:r w:rsidRPr="00701004">
        <w:rPr>
          <w:color w:val="000000"/>
        </w:rPr>
        <w:t xml:space="preserve">Public health bodies worldwide thus face a dual challenge: how to promote compliance with public health measures, while coping with the mental health consequences </w:t>
      </w:r>
      <w:r w:rsidR="001D6D48" w:rsidRPr="00701004">
        <w:rPr>
          <w:color w:val="000000"/>
        </w:rPr>
        <w:t>these</w:t>
      </w:r>
      <w:r w:rsidRPr="00701004">
        <w:rPr>
          <w:color w:val="000000"/>
        </w:rPr>
        <w:t xml:space="preserve"> measures</w:t>
      </w:r>
      <w:r w:rsidR="001D6D48" w:rsidRPr="00701004">
        <w:rPr>
          <w:color w:val="000000"/>
        </w:rPr>
        <w:t xml:space="preserve"> may engender</w:t>
      </w:r>
      <w:r w:rsidRPr="00701004">
        <w:rPr>
          <w:color w:val="000000"/>
        </w:rPr>
        <w:t>.</w:t>
      </w:r>
      <w:r w:rsidR="00A13804" w:rsidRPr="00701004">
        <w:rPr>
          <w:color w:val="000000"/>
        </w:rPr>
        <w:t xml:space="preserve"> </w:t>
      </w:r>
      <w:r w:rsidRPr="00701004">
        <w:rPr>
          <w:color w:val="000000"/>
        </w:rPr>
        <w:t xml:space="preserve">Here we examine (a) whether </w:t>
      </w:r>
      <w:r w:rsidR="00E62334" w:rsidRPr="00701004">
        <w:rPr>
          <w:color w:val="000000"/>
        </w:rPr>
        <w:t xml:space="preserve">differences in </w:t>
      </w:r>
      <w:r w:rsidRPr="00701004">
        <w:rPr>
          <w:color w:val="000000"/>
        </w:rPr>
        <w:t xml:space="preserve">reward-based decision-making predict adherence to social distancing measures during the </w:t>
      </w:r>
      <w:r w:rsidR="00276A8A" w:rsidRPr="00701004">
        <w:rPr>
          <w:color w:val="000000"/>
        </w:rPr>
        <w:t>early</w:t>
      </w:r>
      <w:r w:rsidRPr="00701004">
        <w:rPr>
          <w:color w:val="000000"/>
        </w:rPr>
        <w:t xml:space="preserve"> </w:t>
      </w:r>
      <w:r w:rsidR="00276A8A" w:rsidRPr="00701004">
        <w:rPr>
          <w:color w:val="000000"/>
        </w:rPr>
        <w:t xml:space="preserve">acute </w:t>
      </w:r>
      <w:r w:rsidRPr="00701004">
        <w:rPr>
          <w:color w:val="000000"/>
        </w:rPr>
        <w:t>and</w:t>
      </w:r>
      <w:r w:rsidR="00276A8A" w:rsidRPr="00701004">
        <w:rPr>
          <w:color w:val="000000"/>
        </w:rPr>
        <w:t xml:space="preserve"> later</w:t>
      </w:r>
      <w:r w:rsidRPr="00701004">
        <w:rPr>
          <w:color w:val="000000"/>
        </w:rPr>
        <w:t xml:space="preserve"> established phases of the pandemic</w:t>
      </w:r>
      <w:r w:rsidR="003E5127" w:rsidRPr="00701004">
        <w:rPr>
          <w:color w:val="000000"/>
        </w:rPr>
        <w:t>’s first wave</w:t>
      </w:r>
      <w:r w:rsidRPr="00701004">
        <w:rPr>
          <w:color w:val="000000"/>
        </w:rPr>
        <w:t xml:space="preserve">; </w:t>
      </w:r>
      <w:r w:rsidR="00EB3F08" w:rsidRPr="00701004">
        <w:rPr>
          <w:color w:val="000000"/>
        </w:rPr>
        <w:t xml:space="preserve">(b) which cognitive characteristics predict poorer mental health during the pandemic; </w:t>
      </w:r>
      <w:r w:rsidR="004C3954" w:rsidRPr="00701004">
        <w:rPr>
          <w:color w:val="000000"/>
        </w:rPr>
        <w:t xml:space="preserve">and </w:t>
      </w:r>
      <w:r w:rsidR="00E62334" w:rsidRPr="00701004">
        <w:rPr>
          <w:color w:val="000000"/>
        </w:rPr>
        <w:t>(</w:t>
      </w:r>
      <w:r w:rsidR="00EB3F08" w:rsidRPr="00701004">
        <w:rPr>
          <w:color w:val="000000"/>
        </w:rPr>
        <w:t>c</w:t>
      </w:r>
      <w:r w:rsidR="00E62334" w:rsidRPr="00701004">
        <w:rPr>
          <w:color w:val="000000"/>
        </w:rPr>
        <w:t xml:space="preserve">) </w:t>
      </w:r>
      <w:r w:rsidR="004C3954" w:rsidRPr="00701004">
        <w:rPr>
          <w:color w:val="000000"/>
        </w:rPr>
        <w:t xml:space="preserve">how </w:t>
      </w:r>
      <w:r w:rsidR="008E0A95" w:rsidRPr="00701004">
        <w:rPr>
          <w:color w:val="000000"/>
        </w:rPr>
        <w:t xml:space="preserve">mental health </w:t>
      </w:r>
      <w:r w:rsidR="004C3954" w:rsidRPr="00701004">
        <w:rPr>
          <w:color w:val="000000"/>
        </w:rPr>
        <w:t>symptoms impact the relationship between reward-based decision-making and social distancing adherence</w:t>
      </w:r>
      <w:r w:rsidRPr="00701004">
        <w:rPr>
          <w:color w:val="000000"/>
        </w:rPr>
        <w:t>. Answers to these questions are crucial to inform public health policy and are in line with calls for the behavioural sciences to be at the heart of the national pandemic response to COVID-19</w:t>
      </w:r>
      <w:r w:rsidRPr="00701004">
        <w:rPr>
          <w:color w:val="000000"/>
        </w:rPr>
        <w:fldChar w:fldCharType="begin" w:fldLock="1"/>
      </w:r>
      <w:r w:rsidR="00546949" w:rsidRPr="00701004">
        <w:rPr>
          <w:color w:val="000000"/>
        </w:rPr>
        <w:instrText xml:space="preserve"> ADDIN ZOTERO_ITEM CSL_CITATION {"citationID":"ZWaSlWvY","properties":{"formattedCitation":"\\super 4,5\\nosupersub{}","plainCitation":"4,5","noteIndex":0},"citationItems":[{"id":"3dXyczz3/7uQ25FnJ","uris":["http://www.mendeley.com/documents/?uuid=5f7c1e80-565c-4913-a3f8-cca108ed9cae"],"uri":["http://www.mendeley.com/documents/?uuid=5f7c1e80-565c-4913-a3f8-cca108ed9cae"],"itemData":{"DOI":"10.1038/s41562-020-0866-1","ISSN":"23973374","PMID":"32221514","author":[{"dropping-particle":"","family":"Betsch","given":"Cornelia","non-dropping-particle":"","parse-names":false,"suffix":""}],"container-title":"Nature Human Behaviour","id":"ITEM-1","issued":{"date-parts":[["2020"]]},"title":"How behavioural science data helps mitigate the COVID-19 crisis","type":"article"}},{"id":"3dXyczz3/7QEOcZzn","uris":["http://www.mendeley.com/documents/?uuid=07aff403-4b5f-4ff0-8216-7f6e5a89db39"],"uri":["http://www.mendeley.com/documents/?uuid=07aff403-4b5f-4ff0-8216-7f6e5a89db39"],"itemData":{"abstract":"The COVID-19 pandemic represents a massive global health crisis. Because the crisis requires large-scale behaviour change and places significant psychological burdens on individuals, insights from the social and behavioural sciences can be used to help align human behavior with the recommendations of epidemiologists and public health experts. Here we discuss evidence from a selection of research topics relevant to pandemics, including work on navigating threats, social and cultural influences on behaviour, science communication, moral decision-making, leadership, and stress and coping. In each section, we note the nature and quality of prior research, including uncertainty and unsettled issues. We identify several insights for effective response to the COVID-19 pandemic, and also highlight important gaps researchers should move quickly to fill in the coming weeks and months","author":[{"dropping-particle":"al","family":"VanBavel","given":"J.J.; et","non-dropping-particle":"","parse-names":false,"suffix":""}],"container-title":"PsyArXiv","id":"ITEM-2","issued":{"date-parts":[["2020"]]},"title":"Using social and behavioural science to support COVID-19 pandemic response CITATION","type":"article-journal"}}],"schema":"https://github.com/citation-style-language/schema/raw/master/csl-citation.json"} </w:instrText>
      </w:r>
      <w:r w:rsidRPr="00701004">
        <w:rPr>
          <w:color w:val="000000"/>
        </w:rPr>
        <w:fldChar w:fldCharType="separate"/>
      </w:r>
      <w:r w:rsidR="00546949" w:rsidRPr="00701004">
        <w:rPr>
          <w:vertAlign w:val="superscript"/>
        </w:rPr>
        <w:t>4,5</w:t>
      </w:r>
      <w:r w:rsidRPr="00701004">
        <w:rPr>
          <w:color w:val="000000"/>
        </w:rPr>
        <w:fldChar w:fldCharType="end"/>
      </w:r>
      <w:r w:rsidRPr="00701004">
        <w:rPr>
          <w:color w:val="000000"/>
        </w:rPr>
        <w:t>.</w:t>
      </w:r>
    </w:p>
    <w:p w14:paraId="7BFC1901" w14:textId="7315FD13" w:rsidR="005C2EF6" w:rsidRPr="00701004" w:rsidRDefault="00CD0220" w:rsidP="006610AA">
      <w:pPr>
        <w:spacing w:before="120" w:line="480" w:lineRule="auto"/>
        <w:ind w:firstLine="720"/>
        <w:jc w:val="both"/>
        <w:rPr>
          <w:color w:val="000000"/>
        </w:rPr>
      </w:pPr>
      <w:r w:rsidRPr="00701004">
        <w:rPr>
          <w:color w:val="000000"/>
        </w:rPr>
        <w:t xml:space="preserve">Adhering to social distancing guidelines during the pandemic requires individuals to </w:t>
      </w:r>
      <w:r w:rsidR="00674A25" w:rsidRPr="00701004">
        <w:rPr>
          <w:color w:val="000000"/>
        </w:rPr>
        <w:t xml:space="preserve">forgo </w:t>
      </w:r>
      <w:r w:rsidRPr="00701004">
        <w:rPr>
          <w:color w:val="000000"/>
        </w:rPr>
        <w:t>the temptation of immediate gratification (</w:t>
      </w:r>
      <w:r w:rsidR="001D6D48" w:rsidRPr="00701004">
        <w:rPr>
          <w:color w:val="000000"/>
        </w:rPr>
        <w:t xml:space="preserve">e.g., </w:t>
      </w:r>
      <w:r w:rsidRPr="00701004">
        <w:rPr>
          <w:color w:val="000000"/>
        </w:rPr>
        <w:t>seeing friends, going to public places of leisure</w:t>
      </w:r>
      <w:r w:rsidR="001D6D48" w:rsidRPr="00701004">
        <w:rPr>
          <w:color w:val="000000"/>
        </w:rPr>
        <w:t>, etc.</w:t>
      </w:r>
      <w:r w:rsidRPr="00701004">
        <w:rPr>
          <w:color w:val="000000"/>
        </w:rPr>
        <w:t xml:space="preserve">) </w:t>
      </w:r>
      <w:r w:rsidR="00674A25" w:rsidRPr="00701004">
        <w:rPr>
          <w:color w:val="000000"/>
        </w:rPr>
        <w:t>in favour of</w:t>
      </w:r>
      <w:r w:rsidRPr="00701004">
        <w:rPr>
          <w:color w:val="000000"/>
        </w:rPr>
        <w:t xml:space="preserve"> obtaining significantly larger future rewards, both for themselves and society (</w:t>
      </w:r>
      <w:r w:rsidR="001D6D48" w:rsidRPr="00701004">
        <w:rPr>
          <w:color w:val="000000"/>
        </w:rPr>
        <w:t xml:space="preserve">e.g., </w:t>
      </w:r>
      <w:r w:rsidRPr="00701004">
        <w:rPr>
          <w:color w:val="000000"/>
        </w:rPr>
        <w:t>reduc</w:t>
      </w:r>
      <w:r w:rsidR="00CE1F52" w:rsidRPr="00701004">
        <w:rPr>
          <w:color w:val="000000"/>
        </w:rPr>
        <w:t>tion in</w:t>
      </w:r>
      <w:r w:rsidRPr="00701004">
        <w:rPr>
          <w:color w:val="000000"/>
        </w:rPr>
        <w:t xml:space="preserve"> the spread and impact of COVID-19, </w:t>
      </w:r>
      <w:r w:rsidR="00CE1F52" w:rsidRPr="00701004">
        <w:rPr>
          <w:color w:val="000000"/>
        </w:rPr>
        <w:t xml:space="preserve">relaxation </w:t>
      </w:r>
      <w:r w:rsidRPr="00701004">
        <w:rPr>
          <w:color w:val="000000"/>
        </w:rPr>
        <w:t xml:space="preserve">of restrictions on freedom of movement, etc). </w:t>
      </w:r>
      <w:bookmarkStart w:id="3" w:name="_Hlk70498776"/>
      <w:r w:rsidR="002C3BC3" w:rsidRPr="00701004">
        <w:rPr>
          <w:color w:val="000000"/>
        </w:rPr>
        <w:t xml:space="preserve">The </w:t>
      </w:r>
      <w:r w:rsidR="00E432DD" w:rsidRPr="00701004">
        <w:rPr>
          <w:color w:val="000000"/>
        </w:rPr>
        <w:t xml:space="preserve">extent to which </w:t>
      </w:r>
      <w:r w:rsidR="002C3BC3" w:rsidRPr="00701004">
        <w:rPr>
          <w:color w:val="000000"/>
        </w:rPr>
        <w:t xml:space="preserve">people </w:t>
      </w:r>
      <w:r w:rsidR="00614E7F" w:rsidRPr="00701004">
        <w:rPr>
          <w:color w:val="000000"/>
        </w:rPr>
        <w:t xml:space="preserve">place greater value on immediate rewards </w:t>
      </w:r>
      <w:r w:rsidR="00EF532C" w:rsidRPr="00701004">
        <w:rPr>
          <w:color w:val="000000"/>
        </w:rPr>
        <w:t>than</w:t>
      </w:r>
      <w:r w:rsidR="002C3BC3" w:rsidRPr="00701004">
        <w:rPr>
          <w:color w:val="000000"/>
        </w:rPr>
        <w:t xml:space="preserve"> </w:t>
      </w:r>
      <w:r w:rsidR="00820D9E" w:rsidRPr="00701004">
        <w:rPr>
          <w:color w:val="000000"/>
        </w:rPr>
        <w:t xml:space="preserve">on </w:t>
      </w:r>
      <w:r w:rsidR="006123B2" w:rsidRPr="00701004">
        <w:rPr>
          <w:color w:val="000000"/>
        </w:rPr>
        <w:t>l</w:t>
      </w:r>
      <w:r w:rsidR="006A6923" w:rsidRPr="00701004">
        <w:rPr>
          <w:color w:val="000000"/>
        </w:rPr>
        <w:t>ar</w:t>
      </w:r>
      <w:r w:rsidR="006123B2" w:rsidRPr="00701004">
        <w:rPr>
          <w:color w:val="000000"/>
        </w:rPr>
        <w:t>ger</w:t>
      </w:r>
      <w:r w:rsidR="00247BCD" w:rsidRPr="00701004">
        <w:rPr>
          <w:color w:val="000000"/>
        </w:rPr>
        <w:t xml:space="preserve">, </w:t>
      </w:r>
      <w:r w:rsidR="008E0A95" w:rsidRPr="00701004">
        <w:rPr>
          <w:color w:val="000000"/>
        </w:rPr>
        <w:t xml:space="preserve">but </w:t>
      </w:r>
      <w:r w:rsidR="00247BCD" w:rsidRPr="00701004">
        <w:rPr>
          <w:color w:val="000000"/>
        </w:rPr>
        <w:t>delayed rewards</w:t>
      </w:r>
      <w:r w:rsidR="00B20641" w:rsidRPr="00701004">
        <w:rPr>
          <w:color w:val="000000"/>
        </w:rPr>
        <w:t xml:space="preserve"> </w:t>
      </w:r>
      <w:bookmarkEnd w:id="3"/>
      <w:r w:rsidRPr="00701004">
        <w:rPr>
          <w:color w:val="000000"/>
        </w:rPr>
        <w:t xml:space="preserve">has been termed </w:t>
      </w:r>
      <w:r w:rsidR="001D6D48" w:rsidRPr="00701004">
        <w:rPr>
          <w:color w:val="000000"/>
        </w:rPr>
        <w:t>“</w:t>
      </w:r>
      <w:r w:rsidR="00A61AAD" w:rsidRPr="00701004">
        <w:rPr>
          <w:color w:val="000000"/>
        </w:rPr>
        <w:t>delay discounting</w:t>
      </w:r>
      <w:r w:rsidR="001D6D48" w:rsidRPr="00701004">
        <w:rPr>
          <w:color w:val="000000"/>
        </w:rPr>
        <w:t>”</w:t>
      </w:r>
      <w:r w:rsidR="00CE3F29" w:rsidRPr="00701004">
        <w:rPr>
          <w:color w:val="000000"/>
        </w:rPr>
        <w:fldChar w:fldCharType="begin" w:fldLock="1"/>
      </w:r>
      <w:r w:rsidR="00546949" w:rsidRPr="00701004">
        <w:rPr>
          <w:color w:val="000000"/>
        </w:rPr>
        <w:instrText xml:space="preserve"> ADDIN ZOTERO_ITEM CSL_CITATION {"citationID":"kZeAcYeJ","properties":{"formattedCitation":"\\super 6\\nosupersub{}","plainCitation":"6","noteIndex":0},"citationItems":[{"id":"3dXyczz3/uy4GH7FI","uris":["http://www.mendeley.com/documents/?uuid=4d916e7d-38db-4f78-9344-5f2b1dbe20ee"],"uri":["http://www.mendeley.com/documents/?uuid=4d916e7d-38db-4f78-9344-5f2b1dbe20ee"],"itemData":{"DOI":"10.1037/0096-3445.128.1.78","ISSN":"00963445","PMID":"10100392","abstract":"Fifty-six heroin addicts and 60 age-matched controls were offered choices between monetary rewards ($11-$80) available immediately and larger rewards ($25-$85) available after delays ranging from 1 week to 6 months. Participants had a 1-in-6 chance of winning a reward that they chose on one randomly selected trial. Delay-discounting rates were estimated from the pattern of participants' choices. The discounting model of impulsiveness (Ainslie, 1975) implies that delay-discounting rates are positively correlated with impulsiveness. On average, heroin addicts' discount rates were twice those of controls (p = .004), and discount rates were positively correlated with impulsivity as measured by self-report questionnaires (p &lt; .05). The results lend external validity to the delay-discounting rate as a measure of impulsiveness, a characteristic associated with substance abuse.","author":[{"dropping-particle":"","family":"Kirby","given":"Kris N.","non-dropping-particle":"","parse-names":false,"suffix":""},{"dropping-particle":"","family":"Petry","given":"Nancy M.","non-dropping-particle":"","parse-names":false,"suffix":""},{"dropping-particle":"","family":"Bickel","given":"Warren K.","non-dropping-particle":"","parse-names":false,"suffix":""}],"container-title":"Journal of Experimental Psychology: General","id":"ITEM-1","issued":{"date-parts":[["1999"]]},"title":"Heroin addicts have higher discount rates for delayed rewards than non-drug-using controls","type":"article-journal"}}],"schema":"https://github.com/citation-style-language/schema/raw/master/csl-citation.json"} </w:instrText>
      </w:r>
      <w:r w:rsidR="00CE3F29" w:rsidRPr="00701004">
        <w:rPr>
          <w:color w:val="000000"/>
        </w:rPr>
        <w:fldChar w:fldCharType="separate"/>
      </w:r>
      <w:r w:rsidR="00546949" w:rsidRPr="00701004">
        <w:rPr>
          <w:vertAlign w:val="superscript"/>
        </w:rPr>
        <w:t>6</w:t>
      </w:r>
      <w:r w:rsidR="00CE3F29" w:rsidRPr="00701004">
        <w:rPr>
          <w:color w:val="000000"/>
        </w:rPr>
        <w:fldChar w:fldCharType="end"/>
      </w:r>
      <w:r w:rsidR="00D4544A" w:rsidRPr="00701004">
        <w:rPr>
          <w:color w:val="000000"/>
        </w:rPr>
        <w:t xml:space="preserve">, which we measure in this study. </w:t>
      </w:r>
      <w:r w:rsidR="00EF532C" w:rsidRPr="00701004">
        <w:rPr>
          <w:color w:val="000000"/>
        </w:rPr>
        <w:t>Lower levels of delay discounting are typically associated with adaptive behaviours</w:t>
      </w:r>
      <w:r w:rsidR="00801E80" w:rsidRPr="00701004">
        <w:rPr>
          <w:color w:val="000000"/>
        </w:rPr>
        <w:fldChar w:fldCharType="begin" w:fldLock="1"/>
      </w:r>
      <w:r w:rsidR="00546949" w:rsidRPr="00701004">
        <w:rPr>
          <w:color w:val="000000"/>
        </w:rPr>
        <w:instrText xml:space="preserve"> ADDIN ZOTERO_ITEM CSL_CITATION {"citationID":"119mWgGS","properties":{"formattedCitation":"\\super 7\\nosupersub{}","plainCitation":"7","noteIndex":0},"citationItems":[{"id":"3dXyczz3/m5mlMwGs","uris":["http://www.mendeley.com/documents/?uuid=c19de399-0370-4996-a989-a79683d1b95e"],"uri":["http://www.mendeley.com/documents/?uuid=c19de399-0370-4996-a989-a79683d1b95e"],"itemData":{"abstract":"Poverty remains one of the most pressing problems facing the world; the mechanisms through which poverty arises and perpetuates itself, however, are not well understood. Here, we examine the evidence for the hypothesis that poverty may have particular psychological consequences that can lead to economic behaviors that make it difficult to escape poverty. The evidence indicates that poverty causes stress and negative affective states which in turn may lead to short-sighted and risk-averse decision-making, possibly by limiting attention and favoring habitual behaviors at the expense of goal-directed ones. Together, these relationships may constitute a feedback loop that contributes to the perpetuation of poverty. We conclude by pointing toward specific gaps in our knowledge and outlining poverty alleviation programs that this mechanism suggests. M ore than 1.5 billion people in the world live on less than $1 a day (purchasing power parity in December 2013 dollars) (1). This lack of financial means has far-reaching consequences: In Africa, the average person dies 21 years earlier than in Europe, one-third of the population is illiterate (1), and one in three children is stunted in growth (2). Economic poverty means living in squalor, dying early, and raising children who face similar prospects. But does poverty affect people's affective states and their economic choice patterns, i.e., the way they feel and act? Here, we discuss recent findings that suggest that poverty causes negative affect and stress—defined as an organism's reaction to environmental demands exceeding its regulatory capacity—and that this effect may change people's behaviorally revealed preferences. Poverty may, in particular, lower the willingness to take risks and to forgo current income in favor of higher future incomes. This may manifest itself in a low willingness to adopt new technologies and in low investments in long-term outcomes such as education and health, all of which may de-crease future incomes. Thus, poverty may favor behaviors that make it more difficult to escape poverty. Two caveats are in order at the outset. First, poverty is characterized not only by insufficient income but also by dysfunctional institutions, exposure to violence and crime, poor access to health care, and a host of other obstacles and inconveniences. This diversity complicates a single and simple account of the relationship between poverty and psychology. However, a first, useful step can be made by…","author":[{"dropping-particle":"","family":"Haushofer","given":"Johannes","non-dropping-particle":"","parse-names":false,"suffix":""},{"dropping-particle":"","family":"Fehr","given":"Ernst","non-dropping-particle":"","parse-names":false,"suffix":""}],"container-title":"Science","id":"ITEM-1","issued":{"date-parts":[["2014"]]},"title":"Haushofer &amp; Fehr. 2014. On the psychology of poverty. Science","type":"article-journal"}}],"schema":"https://github.com/citation-style-language/schema/raw/master/csl-citation.json"} </w:instrText>
      </w:r>
      <w:r w:rsidR="00801E80" w:rsidRPr="00701004">
        <w:rPr>
          <w:color w:val="000000"/>
        </w:rPr>
        <w:fldChar w:fldCharType="separate"/>
      </w:r>
      <w:r w:rsidR="00546949" w:rsidRPr="00701004">
        <w:rPr>
          <w:vertAlign w:val="superscript"/>
        </w:rPr>
        <w:t>7</w:t>
      </w:r>
      <w:r w:rsidR="00801E80" w:rsidRPr="00701004">
        <w:rPr>
          <w:color w:val="000000"/>
        </w:rPr>
        <w:fldChar w:fldCharType="end"/>
      </w:r>
      <w:r w:rsidR="00614E7F" w:rsidRPr="00701004">
        <w:rPr>
          <w:color w:val="000000"/>
        </w:rPr>
        <w:t xml:space="preserve"> </w:t>
      </w:r>
      <w:r w:rsidR="00B20641" w:rsidRPr="00701004">
        <w:rPr>
          <w:color w:val="000000"/>
        </w:rPr>
        <w:t xml:space="preserve">and </w:t>
      </w:r>
      <w:r w:rsidR="00DC5355" w:rsidRPr="00701004">
        <w:rPr>
          <w:color w:val="000000"/>
        </w:rPr>
        <w:t xml:space="preserve">have been associated with </w:t>
      </w:r>
      <w:r w:rsidR="00A61AAD" w:rsidRPr="00701004">
        <w:rPr>
          <w:color w:val="000000"/>
        </w:rPr>
        <w:t xml:space="preserve">multiple </w:t>
      </w:r>
      <w:r w:rsidR="0016118A" w:rsidRPr="00701004">
        <w:rPr>
          <w:color w:val="000000"/>
        </w:rPr>
        <w:t xml:space="preserve">health-promoting behaviours </w:t>
      </w:r>
      <w:r w:rsidR="00631B0B" w:rsidRPr="00701004">
        <w:rPr>
          <w:color w:val="000000"/>
        </w:rPr>
        <w:t>(</w:t>
      </w:r>
      <w:r w:rsidR="0016118A" w:rsidRPr="00701004">
        <w:rPr>
          <w:color w:val="000000"/>
        </w:rPr>
        <w:t>including</w:t>
      </w:r>
      <w:r w:rsidR="00631B0B" w:rsidRPr="00701004">
        <w:rPr>
          <w:color w:val="000000"/>
        </w:rPr>
        <w:t xml:space="preserve"> </w:t>
      </w:r>
      <w:r w:rsidR="00631B0B" w:rsidRPr="00701004">
        <w:rPr>
          <w:color w:val="000000"/>
        </w:rPr>
        <w:lastRenderedPageBreak/>
        <w:t>engaging in</w:t>
      </w:r>
      <w:r w:rsidR="0016118A" w:rsidRPr="00701004">
        <w:rPr>
          <w:color w:val="000000"/>
        </w:rPr>
        <w:t xml:space="preserve"> more frequent exercise and choosing to wear a seat belt while driving</w:t>
      </w:r>
      <w:r w:rsidR="00631B0B" w:rsidRPr="00701004">
        <w:rPr>
          <w:color w:val="000000"/>
        </w:rPr>
        <w:t>)</w:t>
      </w:r>
      <w:r w:rsidR="0016118A" w:rsidRPr="00701004">
        <w:rPr>
          <w:color w:val="000000"/>
        </w:rPr>
        <w:t>, low</w:t>
      </w:r>
      <w:r w:rsidR="00A61AAD" w:rsidRPr="00701004">
        <w:rPr>
          <w:color w:val="000000"/>
        </w:rPr>
        <w:t>er rates of</w:t>
      </w:r>
      <w:r w:rsidR="0016118A" w:rsidRPr="00701004">
        <w:rPr>
          <w:color w:val="000000"/>
        </w:rPr>
        <w:t xml:space="preserve"> </w:t>
      </w:r>
      <w:r w:rsidR="00247BCD" w:rsidRPr="00701004">
        <w:rPr>
          <w:color w:val="000000"/>
        </w:rPr>
        <w:t>illness</w:t>
      </w:r>
      <w:r w:rsidR="00A61AAD" w:rsidRPr="00701004">
        <w:rPr>
          <w:color w:val="000000"/>
        </w:rPr>
        <w:t xml:space="preserve"> </w:t>
      </w:r>
      <w:r w:rsidR="0016118A" w:rsidRPr="00701004">
        <w:rPr>
          <w:color w:val="000000"/>
        </w:rPr>
        <w:t>and greater longevit</w:t>
      </w:r>
      <w:r w:rsidR="009F3E04" w:rsidRPr="00701004">
        <w:rPr>
          <w:color w:val="000000"/>
        </w:rPr>
        <w:t>y</w:t>
      </w:r>
      <w:r w:rsidR="0016118A" w:rsidRPr="00701004">
        <w:rPr>
          <w:color w:val="000000"/>
        </w:rPr>
        <w:fldChar w:fldCharType="begin" w:fldLock="1"/>
      </w:r>
      <w:r w:rsidR="00546949" w:rsidRPr="00701004">
        <w:rPr>
          <w:color w:val="000000"/>
        </w:rPr>
        <w:instrText xml:space="preserve"> ADDIN ZOTERO_ITEM CSL_CITATION {"citationID":"qmZv6qfu","properties":{"formattedCitation":"\\super 8\\nosupersub{}","plainCitation":"8","noteIndex":0},"citationItems":[{"id":"3dXyczz3/NTzyUQE5","uris":["http://www.mendeley.com/documents/?uuid=d99f9824-412b-494d-a21d-fa333ec4b0d4"],"uri":["http://www.mendeley.com/documents/?uuid=d99f9824-412b-494d-a21d-fa333ec4b0d4"],"itemData":{"DOI":"10.3389/fnbeh.2014.00076","ISSN":"16625153","abstract":"The tendency to make unhealthy choices is hypothesized to be related to an individual's temporal discount rate, the theoretical rate at which they devalue delayed rewards. Furthermore, a particular form of temporal discounting, hyperbolic discounting, has been proposed to explain why unhealthy behavior can occur despite healthy intentions. We examine these two hypotheses in turn. We first systematically review studies which investigate whether discount rates can predict unhealthy behavior. These studies reveal that high discount rates for money (and in some instances food or drug rewards) are associated with several unhealthy behaviors and markers of health status, establishing discounting as a promising predictive measure. We secondly examine whether intention-incongruent unhealthy actions are consistent with hyperbolic discounting. We conclude that intention-incongruent actions are often triggered by environmental cues or changes in motivational state, whose effects are not parameterized by hyperbolic discounting. We propose a framework for understanding these state-based effects in terms of the interplay of two distinct reinforcement learning mechanisms: a \"model-based\" (or goal-directed) system and a \"model-free\" (or habitual) system. Under this framework, while discounting of delayed health may contribute to the initiation of unhealthy behavior, with repetition, many unhealthy behaviors become habitual; if health goals then change, habitual behavior can still arise in response to environmental cues. We propose that the burgeoning development of computational models of these processes will permit further identification of health decision-making phenotypes. © 2014 Story, Vlaev, Seymour, Darzi and Dolan.","author":[{"dropping-particle":"","family":"Story","given":"Giles W.","non-dropping-particle":"","parse-names":false,"suffix":""},{"dropping-particle":"","family":"Vlaev","given":"Ivo","non-dropping-particle":"","parse-names":false,"suffix":""},{"dropping-particle":"","family":"Seymour","given":"Ben","non-dropping-particle":"","parse-names":false,"suffix":""},{"dropping-particle":"","family":"Darzi","given":"Ara","non-dropping-particle":"","parse-names":false,"suffix":""},{"dropping-particle":"","family":"Dolan","given":"Raymond J.","non-dropping-particle":"","parse-names":false,"suffix":""}],"container-title":"Frontiers in Behavioral Neuroscience","id":"ITEM-1","issued":{"date-parts":[["2014"]]},"title":"Does temporal discounting explain unhealthy behavior? A systematic review and reinforcement learning perspective","type":"article"}}],"schema":"https://github.com/citation-style-language/schema/raw/master/csl-citation.json"} </w:instrText>
      </w:r>
      <w:r w:rsidR="0016118A" w:rsidRPr="00701004">
        <w:rPr>
          <w:color w:val="000000"/>
        </w:rPr>
        <w:fldChar w:fldCharType="separate"/>
      </w:r>
      <w:r w:rsidR="00546949" w:rsidRPr="00701004">
        <w:rPr>
          <w:vertAlign w:val="superscript"/>
        </w:rPr>
        <w:t>8</w:t>
      </w:r>
      <w:r w:rsidR="0016118A" w:rsidRPr="00701004">
        <w:rPr>
          <w:color w:val="000000"/>
        </w:rPr>
        <w:fldChar w:fldCharType="end"/>
      </w:r>
      <w:r w:rsidR="0016118A" w:rsidRPr="00701004">
        <w:rPr>
          <w:color w:val="000000"/>
        </w:rPr>
        <w:t>. Conversely,</w:t>
      </w:r>
      <w:r w:rsidR="00507BFD" w:rsidRPr="00701004">
        <w:rPr>
          <w:color w:val="000000"/>
        </w:rPr>
        <w:t xml:space="preserve"> </w:t>
      </w:r>
      <w:r w:rsidR="0016118A" w:rsidRPr="00701004">
        <w:rPr>
          <w:color w:val="000000"/>
        </w:rPr>
        <w:t>higher levels</w:t>
      </w:r>
      <w:r w:rsidR="004B6B18" w:rsidRPr="00701004">
        <w:rPr>
          <w:color w:val="000000"/>
        </w:rPr>
        <w:t xml:space="preserve"> </w:t>
      </w:r>
      <w:r w:rsidR="00CE1F52" w:rsidRPr="00701004">
        <w:rPr>
          <w:color w:val="000000"/>
        </w:rPr>
        <w:t xml:space="preserve">of </w:t>
      </w:r>
      <w:r w:rsidR="0016118A" w:rsidRPr="00701004">
        <w:rPr>
          <w:color w:val="000000"/>
        </w:rPr>
        <w:t xml:space="preserve">delay discounting </w:t>
      </w:r>
      <w:r w:rsidR="00507BFD" w:rsidRPr="00701004">
        <w:rPr>
          <w:color w:val="000000"/>
        </w:rPr>
        <w:t>predict a number of problematic health behaviours</w:t>
      </w:r>
      <w:r w:rsidR="003532F5" w:rsidRPr="00701004">
        <w:rPr>
          <w:color w:val="000000"/>
        </w:rPr>
        <w:t xml:space="preserve"> (</w:t>
      </w:r>
      <w:r w:rsidR="00507BFD" w:rsidRPr="00701004">
        <w:rPr>
          <w:color w:val="000000"/>
        </w:rPr>
        <w:t xml:space="preserve">including use of alcohol, </w:t>
      </w:r>
      <w:r w:rsidR="00170457" w:rsidRPr="00701004">
        <w:rPr>
          <w:color w:val="000000"/>
        </w:rPr>
        <w:t xml:space="preserve">tobacco </w:t>
      </w:r>
      <w:r w:rsidR="00507BFD" w:rsidRPr="00701004">
        <w:rPr>
          <w:color w:val="000000"/>
        </w:rPr>
        <w:t>and other drugs</w:t>
      </w:r>
      <w:r w:rsidR="00507BFD" w:rsidRPr="00701004">
        <w:rPr>
          <w:color w:val="000000"/>
        </w:rPr>
        <w:fldChar w:fldCharType="begin" w:fldLock="1"/>
      </w:r>
      <w:r w:rsidR="00546949" w:rsidRPr="00701004">
        <w:rPr>
          <w:color w:val="000000"/>
        </w:rPr>
        <w:instrText xml:space="preserve"> ADDIN ZOTERO_ITEM CSL_CITATION {"citationID":"uy73jzBK","properties":{"formattedCitation":"\\super 9\\nosupersub{}","plainCitation":"9","noteIndex":0},"citationItems":[{"id":"3dXyczz3/lgt1Skmp","uris":["http://www.mendeley.com/documents/?uuid=cdaa577c-e0cb-411b-a2dd-c6864fb14680"],"uri":["http://www.mendeley.com/documents/?uuid=cdaa577c-e0cb-411b-a2dd-c6864fb14680"],"itemData":{"DOI":"10.1037/12069-002","abstract":"Psychology is concerned with the factors that determine behavior. From the beginning of the field, two broad influences on behavior have been seen as important: factors resulting in within-person variability (state variables) and factors resulting in between-person variability (trait variables), also known as organismic and environmental influences, respectively. In this chapter, we first offer definitions of state and trait variables and give some indication of their historical and modern position. We then review state and trait influences on delay discounting. We conclude with implications for applied and clinical interventions.","author":[{"dropping-particle":"","family":"Odum","given":"Amy L.","non-dropping-particle":"","parse-names":false,"suffix":""},{"dropping-particle":"","family":"Baumann","given":"Ana A. L.","non-dropping-particle":"","parse-names":false,"suffix":""}],"container-title":"Impulsivity: The behavioral and neurological science of discounting.","id":"ITEM-1","issued":{"date-parts":[["2010"]]},"title":"Delay discounting: State and trait variable.","type":"chapter"}}],"schema":"https://github.com/citation-style-language/schema/raw/master/csl-citation.json"} </w:instrText>
      </w:r>
      <w:r w:rsidR="00507BFD" w:rsidRPr="00701004">
        <w:rPr>
          <w:color w:val="000000"/>
        </w:rPr>
        <w:fldChar w:fldCharType="separate"/>
      </w:r>
      <w:r w:rsidR="00546949" w:rsidRPr="00701004">
        <w:rPr>
          <w:vertAlign w:val="superscript"/>
        </w:rPr>
        <w:t>9</w:t>
      </w:r>
      <w:r w:rsidR="00507BFD" w:rsidRPr="00701004">
        <w:rPr>
          <w:color w:val="000000"/>
        </w:rPr>
        <w:fldChar w:fldCharType="end"/>
      </w:r>
      <w:r w:rsidR="003532F5" w:rsidRPr="00701004">
        <w:rPr>
          <w:color w:val="000000"/>
        </w:rPr>
        <w:t>)</w:t>
      </w:r>
      <w:r w:rsidR="00745591" w:rsidRPr="00701004">
        <w:rPr>
          <w:color w:val="000000"/>
        </w:rPr>
        <w:t>,</w:t>
      </w:r>
      <w:r w:rsidR="003532F5" w:rsidRPr="00701004">
        <w:rPr>
          <w:color w:val="000000"/>
        </w:rPr>
        <w:t xml:space="preserve"> </w:t>
      </w:r>
      <w:r w:rsidR="00D503E7" w:rsidRPr="00701004">
        <w:rPr>
          <w:color w:val="000000"/>
        </w:rPr>
        <w:t xml:space="preserve">as well as </w:t>
      </w:r>
      <w:r w:rsidR="00B20641" w:rsidRPr="00701004">
        <w:rPr>
          <w:color w:val="000000"/>
        </w:rPr>
        <w:t>poorer emotion regulation</w:t>
      </w:r>
      <w:r w:rsidR="00B20641" w:rsidRPr="00701004">
        <w:rPr>
          <w:color w:val="000000"/>
        </w:rPr>
        <w:fldChar w:fldCharType="begin" w:fldLock="1"/>
      </w:r>
      <w:r w:rsidR="00546949" w:rsidRPr="00701004">
        <w:rPr>
          <w:color w:val="000000"/>
        </w:rPr>
        <w:instrText xml:space="preserve"> ADDIN ZOTERO_ITEM CSL_CITATION {"citationID":"KarvPjl2","properties":{"formattedCitation":"\\super 10\\nosupersub{}","plainCitation":"10","noteIndex":0},"citationItems":[{"id":"3dXyczz3/sU9pfrSB","uris":["http://www.mendeley.com/documents/?uuid=29f8a11d-b8b0-4a0b-a235-09798a09de86"],"uri":["http://www.mendeley.com/documents/?uuid=29f8a11d-b8b0-4a0b-a235-09798a09de86"],"itemData":{"DOI":"10.1016/j.paid.2019.02.035","ISSN":"01918869","abstract":"Previous research demonstrates that stress is a precipitant of greater delay discounting, which reflects greater behavioral impulsivity. However, the underlying factors that explain this relationship are unclear. The concept of emotion regulation states that individuals with poorly regulated emotions often engage in maladaptive behaviors to escape from or down-regulate their emotions. One such behavior may be greater delay discounting. Thus, the purpose of this study was to examine whether difficulties in emotion regulation would mediate the association between stress and delay discounting. The sample consisted of 418 adults. In addition to the traditional discounting measure with pairs of hypothetical choices between immediate and delayed monetary outcomes, the Perceived Stress Scale and Difficulties in Emotion Regulation Scale were used to collect data. Results showed that experience of stress was related to individuals' poorer capability of emotion regulation, which in turn, was related to higher delay discounting rate. Additionally, higher stress level was directly related to greater delay discounting. Furthermore, difficulties in emotion regulation have a significant mediator role in the relationship between stress and delay discounting. It is argued that individuals with high levels of stress become prone to impulsive behavior like greater delay discounting via emotional dysregulation.","author":[{"dropping-particle":"","family":"Malesza","given":"Marta","non-dropping-particle":"","parse-names":false,"suffix":""}],"container-title":"Personality and Individual Differences","id":"ITEM-1","issued":{"date-parts":[["2019"]]},"title":"Stress and delay discounting: The mediating role of difficulties in emotion regulation","type":"article-journal"}}],"schema":"https://github.com/citation-style-language/schema/raw/master/csl-citation.json"} </w:instrText>
      </w:r>
      <w:r w:rsidR="00B20641" w:rsidRPr="00701004">
        <w:rPr>
          <w:color w:val="000000"/>
        </w:rPr>
        <w:fldChar w:fldCharType="separate"/>
      </w:r>
      <w:r w:rsidR="00546949" w:rsidRPr="00701004">
        <w:rPr>
          <w:vertAlign w:val="superscript"/>
        </w:rPr>
        <w:t>10</w:t>
      </w:r>
      <w:r w:rsidR="00B20641" w:rsidRPr="00701004">
        <w:rPr>
          <w:color w:val="000000"/>
        </w:rPr>
        <w:fldChar w:fldCharType="end"/>
      </w:r>
      <w:r w:rsidR="00631B0B" w:rsidRPr="00701004">
        <w:rPr>
          <w:color w:val="000000"/>
        </w:rPr>
        <w:t xml:space="preserve"> and </w:t>
      </w:r>
      <w:r w:rsidR="00B20641" w:rsidRPr="00701004">
        <w:rPr>
          <w:color w:val="000000"/>
        </w:rPr>
        <w:t xml:space="preserve">higher levels of </w:t>
      </w:r>
      <w:r w:rsidR="00631B0B" w:rsidRPr="00701004">
        <w:rPr>
          <w:color w:val="000000"/>
        </w:rPr>
        <w:t>mood and anxiety symptoms</w:t>
      </w:r>
      <w:r w:rsidR="00631B0B" w:rsidRPr="00701004">
        <w:rPr>
          <w:color w:val="000000"/>
        </w:rPr>
        <w:fldChar w:fldCharType="begin" w:fldLock="1"/>
      </w:r>
      <w:r w:rsidR="00546949" w:rsidRPr="00701004">
        <w:rPr>
          <w:color w:val="000000"/>
        </w:rPr>
        <w:instrText xml:space="preserve"> ADDIN ZOTERO_ITEM CSL_CITATION {"citationID":"Wf3EPydX","properties":{"formattedCitation":"\\super 11\\nosupersub{}","plainCitation":"11","noteIndex":0},"citationItems":[{"id":"3dXyczz3/yzSO1C1I","uris":["http://www.mendeley.com/documents/?uuid=871ebc7e-2aeb-468b-94cd-342955f63928"],"uri":["http://www.mendeley.com/documents/?uuid=871ebc7e-2aeb-468b-94cd-342955f63928"],"itemData":{"DOI":"10.1001/jamapsychiatry.2019.2102","ISSN":"2168622X","abstract":"Importance: Delay discounting is a behavioral economic index of impulsive preferences for smaller-immediate or larger-delayed rewards that is argued to be a transdiagnostic process across health conditions. Studies suggest some psychiatric disorders are associated with differences in discounting compared with controls, but null findings have also been reported. Objective: To conduct a meta-analysis of the published literature on delay discounting in people with psychiatric disorders. Data Sources: PubMed, MEDLINE, PsycInfo, Embase, and Web of Science databases were searched through December 10, 2018. The psychiatric keywords used were based on DSM-IV or DSM-5 diagnostic categories. Collected data were analyzed from December 10, 2018, through June 1, 2019. Study Selection: Following a preregistered Preferred Reporting Items for Systematic Reviews and Meta-Analysis (PRISMA) protocol, 2 independent raters reviewed titles, abstracts, and full-text articles. English-language articles comparing monetary delay discounting between participants with psychiatric disorders and controls were included. Data Extraction and Synthesis: Hedges g effect sizes were computed and random-effects models were used for all analyses. Heterogeneity statistics, one-study-removed analyses, and publication bias indices were also examined. Main Outcomes and Measures: Categorical comparisons of delay discounting between a psychiatric group and a control group. Results: The sample included 57 effect sizes from 43 studies across 8 diagnostic categories. Significantly steeper discounting for individuals with a psychiatric disorder compared with controls was observed for major depressive disorder (Hedges g = 0.37; P =.002; k = 7), schizophrenia (Hedges g = 0.46; P =.004; k = 12), borderline personality disorder (Hedges g = 0.60; P &lt;.001; k = 8), bipolar disorder (Hedges g = 0.68; P &lt;.001; k = 4), bulimia nervosa (Hedges g = 0.41; P =.001; k = 4), and binge-eating disorder (Hedges g = 0.34; P =.001; k = 7). In contrast, anorexia nervosa exhibited statistically significantly shallower discounting (Hedges g = -0.30; P &lt;.001; k = 10). Modest evidence of publication bias was indicated by a statistically significant Egger test for schizophrenia and at the aggregate level across studies. Conclusions and Relevance: Results of this study appear to provide empirical support for delay discounting as a transdiagnostic process across most of the psychiatric disorders examined; the literature search al…","author":[{"dropping-particle":"","family":"Amlung","given":"Michael","non-dropping-particle":"","parse-names":false,"suffix":""},{"dropping-particle":"","family":"Marsden","given":"Emma","non-dropping-particle":"","parse-names":false,"suffix":""},{"dropping-particle":"","family":"Holshausen","given":"Katherine","non-dropping-particle":"","parse-names":false,"suffix":""},{"dropping-particle":"","family":"Morris","given":"Vanessa","non-dropping-particle":"","parse-names":false,"suffix":""},{"dropping-particle":"","family":"Patel","given":"Herry","non-dropping-particle":"","parse-names":false,"suffix":""},{"dropping-particle":"","family":"Vedelago","given":"Lana","non-dropping-particle":"","parse-names":false,"suffix":""},{"dropping-particle":"","family":"Naish","given":"Katherine R.","non-dropping-particle":"","parse-names":false,"suffix":""},{"dropping-particle":"","family":"Reed","given":"Derek D.","non-dropping-particle":"","parse-names":false,"suffix":""},{"dropping-particle":"","family":"McCabe","given":"Randi E.","non-dropping-particle":"","parse-names":false,"suffix":""}],"container-title":"JAMA Psychiatry","id":"ITEM-1","issued":{"date-parts":[["2019"]]},"title":"Delay Discounting as a Transdiagnostic Process in Psychiatric Disorders: A Meta-analysis","type":"article-journal"}}],"schema":"https://github.com/citation-style-language/schema/raw/master/csl-citation.json"} </w:instrText>
      </w:r>
      <w:r w:rsidR="00631B0B" w:rsidRPr="00701004">
        <w:rPr>
          <w:color w:val="000000"/>
        </w:rPr>
        <w:fldChar w:fldCharType="separate"/>
      </w:r>
      <w:r w:rsidR="00546949" w:rsidRPr="00701004">
        <w:rPr>
          <w:vertAlign w:val="superscript"/>
        </w:rPr>
        <w:t>11</w:t>
      </w:r>
      <w:r w:rsidR="00631B0B" w:rsidRPr="00701004">
        <w:rPr>
          <w:color w:val="000000"/>
        </w:rPr>
        <w:fldChar w:fldCharType="end"/>
      </w:r>
      <w:r w:rsidR="00631B0B" w:rsidRPr="00701004">
        <w:rPr>
          <w:color w:val="000000"/>
        </w:rPr>
        <w:t xml:space="preserve">. </w:t>
      </w:r>
      <w:r w:rsidR="00C613EF" w:rsidRPr="00701004">
        <w:rPr>
          <w:color w:val="000000"/>
        </w:rPr>
        <w:t>In the context of the COVID-19 pandemic,</w:t>
      </w:r>
      <w:r w:rsidR="005C2EF6" w:rsidRPr="00701004">
        <w:rPr>
          <w:color w:val="000000"/>
        </w:rPr>
        <w:t xml:space="preserve"> </w:t>
      </w:r>
      <w:r w:rsidR="006610AA" w:rsidRPr="00701004">
        <w:rPr>
          <w:color w:val="000000"/>
        </w:rPr>
        <w:t>participants’ intention to comply with social distancing policies declines as the length of time that these measures are mandated increases</w:t>
      </w:r>
      <w:r w:rsidR="00801E80" w:rsidRPr="00701004">
        <w:rPr>
          <w:color w:val="000000"/>
        </w:rPr>
        <w:fldChar w:fldCharType="begin" w:fldLock="1"/>
      </w:r>
      <w:r w:rsidR="00546949" w:rsidRPr="00701004">
        <w:rPr>
          <w:color w:val="000000"/>
        </w:rPr>
        <w:instrText xml:space="preserve"> ADDIN ZOTERO_ITEM CSL_CITATION {"citationID":"1Dczc6i1","properties":{"formattedCitation":"\\super 12,13\\nosupersub{}","plainCitation":"12,13","noteIndex":0},"citationItems":[{"id":"3dXyczz3/QfKPJunv","uris":["http://www.mendeley.com/documents/?uuid=885c84a7-cb9f-4226-8e69-d5d69f570042"],"uri":["http://www.mendeley.com/documents/?uuid=885c84a7-cb9f-4226-8e69-d5d69f570042"],"itemData":{"DOI":"10.1007/s42822-020-00041-z","ISSN":"1064-9506","abstract":"The current study analyzed the effects of two frames for durations of time-calendar unit and calendar date-on measures of compliance to hypothetical social-distancing policies related to the COVID-19 pandemic. Participants reported the extent to which they would comply with hypothetical social-distancing policies lasting different durations of time. Durations of time were framed as calendar units (e.g., days, weeks, months, years) and calendar dates (i.e., specific dates the policies would extent to). Levels of compliance across durations of time were used to calculate the area under the curve (AuC) for each condition. Social-distancing policies framed in calendar dates yielded significantly greater AuC values compared to social-distancing policies framed in calendar units. Participants' self-reported political affiliation yielded a significant main effect: Conservative participants' AuC values were significantly lower than liberal participants' AuC values. The framing of the duration of time was a significant variable in controlling rates of compliance to hypothetical social-distancing policies. Delay discounting refers to the decrease in the perceived value of a reward because of a delay in accessing the reward (McKerchar &amp; Renda, 2012). That is, when presented with a small-magnitude reward and a large-magnitude reward, an individual may choose the small-magnitude reward if access to that reward is more immediate than access to the large-magnitude reward. The hypothesized behavioral mechanism for this choice is that the delay to consuming or accessing the reward reduces the subjective value of the larger, delayed consequence in comparison to the smaller, immediate consequence. In general, a choice that results in a small but immediate reward at the cost of a delayed but larger reward is termed impulsive, whereas a choice that results in Behavior and Social Issues https://doi.","author":[{"dropping-particle":"","family":"Harman","given":"Michael J.","non-dropping-particle":"","parse-names":false,"suffix":""}],"container-title":"Behavior and Social Issues","id":"ITEM-1","issued":{"date-parts":[["2021"]]},"title":"The Effects of Time Framing on Compliance to Hypothetical Social-Distancing Policies Related to COVID-19","type":"article-journal"}},{"id":"3dXyczz3/UoBhnrtL","uris":["http://www.mendeley.com/documents/?uuid=e43682a9-e2d4-4255-934f-d2f3f51f7e49"],"uri":["http://www.mendeley.com/documents/?uuid=e43682a9-e2d4-4255-934f-d2f3f51f7e49"],"itemData":{"DOI":"10.1007/s10389-020-01317-9","ISSN":"16132238","abstract":"Aim: Unprecedented community containment measures were taken following the recent outbreak of COVID-19 in Italy. The aim of the study was to explore the self-reported future compliance of citizens with such measures and its relationship with potentially impactful psychological variables. Subjects and methods: An online survey was completed by 931 people (18–76 years) distributed across the Italian territory. In addition to demographics, five dimensions were measured: self-reported compliance with containment measures over time (today, at 7, 14, 30, 60, 90, and 180 days from now) at three hypothetical risk levels (10, 50, 90% of likelihood of contracting the COVID-19), perceived risk, generalized anxiety, intolerance of uncertainty, and relevance of several psychological needs whose satisfaction is currently precluded. Results: The mean compliance scores follow a hyperbolic-like curve, decreasing over time for the lowest level of risk (10%), whilst they tend to flatten for ≥ 50% risk (90%). Significantly higher levels of anxiety, intolerance of uncertainty, and perceived risk were reported by women compared to men (p &lt; 0.001 for each variable). Outdoor sports was the only need associated with the discounting rate of compliance (rs = − 0.08, p = 0.018). Conclusion: The duration of containment measures plays a crucial role in tackling the spread of the disease as people will be less compliant over time. Psychological needs of citizens impacting on the compliance should be taken into account when planning an easing of the lockdown, along with interventions for protecting vulnerable groups from mental distress.","author":[{"dropping-particle":"","family":"Nese","given":"Mattia","non-dropping-particle":"","parse-names":false,"suffix":""},{"dropping-particle":"","family":"Riboli","given":"Greta","non-dropping-particle":"","parse-names":false,"suffix":""},{"dropping-particle":"","family":"Brighetti","given":"Gianni","non-dropping-particle":"","parse-names":false,"suffix":""},{"dropping-particle":"","family":"Sassi","given":"Valentina","non-dropping-particle":"","parse-names":false,"suffix":""},{"dropping-particle":"","family":"Camela","given":"Elvira","non-dropping-particle":"","parse-names":false,"suffix":""},{"dropping-particle":"","family":"Caselli","given":"Gabriele","non-dropping-particle":"","parse-names":false,"suffix":""},{"dropping-particle":"","family":"Sassaroli","given":"Sandra","non-dropping-particle":"","parse-names":false,"suffix":""},{"dropping-particle":"","family":"Borlimi","given":"Rosita","non-dropping-particle":"","parse-names":false,"suffix":""}],"container-title":"Journal of Public Health (Germany)","id":"ITEM-2","issued":{"date-parts":[["2020"]]},"title":"Delay discounting of compliance with containment measures during the COVID-19 outbreak: a survey of the Italian population","type":"article-journal"}}],"schema":"https://github.com/citation-style-language/schema/raw/master/csl-citation.json"} </w:instrText>
      </w:r>
      <w:r w:rsidR="00801E80" w:rsidRPr="00701004">
        <w:rPr>
          <w:color w:val="000000"/>
        </w:rPr>
        <w:fldChar w:fldCharType="separate"/>
      </w:r>
      <w:r w:rsidR="00546949" w:rsidRPr="00701004">
        <w:rPr>
          <w:vertAlign w:val="superscript"/>
        </w:rPr>
        <w:t>12,13</w:t>
      </w:r>
      <w:r w:rsidR="00801E80" w:rsidRPr="00701004">
        <w:rPr>
          <w:color w:val="000000"/>
        </w:rPr>
        <w:fldChar w:fldCharType="end"/>
      </w:r>
      <w:r w:rsidR="005C2EF6" w:rsidRPr="00701004">
        <w:rPr>
          <w:color w:val="000000"/>
        </w:rPr>
        <w:t xml:space="preserve">, demonstrating delay discounting in this novel context. However, </w:t>
      </w:r>
      <w:r w:rsidR="006610AA" w:rsidRPr="00701004">
        <w:rPr>
          <w:color w:val="000000"/>
        </w:rPr>
        <w:t xml:space="preserve">there is limited understanding about </w:t>
      </w:r>
      <w:r w:rsidR="005C2EF6" w:rsidRPr="00701004">
        <w:rPr>
          <w:color w:val="000000"/>
        </w:rPr>
        <w:t>whether individual differences in delay discounting predict</w:t>
      </w:r>
      <w:r w:rsidR="00185DC2" w:rsidRPr="00701004">
        <w:rPr>
          <w:color w:val="000000"/>
        </w:rPr>
        <w:t>s</w:t>
      </w:r>
      <w:r w:rsidR="005C2EF6" w:rsidRPr="00701004">
        <w:rPr>
          <w:color w:val="000000"/>
        </w:rPr>
        <w:t xml:space="preserve"> adherence to </w:t>
      </w:r>
      <w:r w:rsidR="00D822C7" w:rsidRPr="00701004">
        <w:rPr>
          <w:color w:val="000000"/>
        </w:rPr>
        <w:t>this novel health behaviour</w:t>
      </w:r>
      <w:r w:rsidR="005C2EF6" w:rsidRPr="00701004">
        <w:rPr>
          <w:color w:val="000000"/>
        </w:rPr>
        <w:t>.</w:t>
      </w:r>
    </w:p>
    <w:p w14:paraId="0898FCA2" w14:textId="323BBF2C" w:rsidR="008676C7" w:rsidRPr="00701004" w:rsidRDefault="00EF532C" w:rsidP="00C41EA3">
      <w:pPr>
        <w:spacing w:before="120" w:line="480" w:lineRule="auto"/>
        <w:ind w:firstLine="720"/>
        <w:jc w:val="both"/>
        <w:rPr>
          <w:color w:val="000000"/>
        </w:rPr>
      </w:pPr>
      <w:bookmarkStart w:id="4" w:name="_Hlk70498872"/>
      <w:r w:rsidRPr="00701004">
        <w:rPr>
          <w:color w:val="000000"/>
        </w:rPr>
        <w:t>Farsighted decisions can be influenced by the magnitude of the delayed reward</w:t>
      </w:r>
      <w:r w:rsidRPr="00701004">
        <w:rPr>
          <w:color w:val="000000"/>
        </w:rPr>
        <w:fldChar w:fldCharType="begin" w:fldLock="1"/>
      </w:r>
      <w:r w:rsidR="00546949" w:rsidRPr="00701004">
        <w:rPr>
          <w:color w:val="000000"/>
        </w:rPr>
        <w:instrText xml:space="preserve"> ADDIN ZOTERO_ITEM CSL_CITATION {"citationID":"gK22YFyc","properties":{"formattedCitation":"\\super 14,15\\nosupersub{}","plainCitation":"14,15","noteIndex":0},"citationItems":[{"id":"3dXyczz3/mV48F1pV","uris":["http://www.mendeley.com/documents/?uuid=ee32cca6-8714-4be4-bb1c-fac294cf9b9c"],"uri":["http://www.mendeley.com/documents/?uuid=ee32cca6-8714-4be4-bb1c-fac294cf9b9c"],"itemData":{"DOI":"10.1177/0272989X9501500408","ISSN":"1552681X","abstract":"Normative discounted utility theory specifies that the values of all future outcomes (for example, those related to health and money) should be discounted at a constant rate. Two experiments demonstrated that, contrary to this prescription, decision makers use different discount rates for health-related decisions and money-related decisions. Temporal discount ings for health and money were similar in that both demonstrated two biases previously found in monetary decisions: discount rates were inversely related to magnitude of outcome and length of delay. The relatively large discount rates used by the subjects suggest why it is often difficult to implement preventive health measures that improve future health. Key words: discounting; intertemporal choice; health decisions. © 1995, Sage Publications. All rights reserved.","author":[{"dropping-particle":"","family":"Chapman","given":"Gretchen B.","non-dropping-particle":"","parse-names":false,"suffix":""},{"dropping-particle":"","family":"Elstein","given":"Arthur S.","non-dropping-particle":"","parse-names":false,"suffix":""}],"container-title":"Medical Decision Making","id":"ITEM-1","issued":{"date-parts":[["1995"]]},"title":"Valuing the Future: Temporal Discounting of Health and Money","type":"article-journal"}},{"id":"3dXyczz3/5mTqevM5","uris":["http://www.mendeley.com/documents/?uuid=4f5161fc-e433-49c9-a8af-4c9cf1ad87fa"],"uri":["http://www.mendeley.com/documents/?uuid=4f5161fc-e433-49c9-a8af-4c9cf1ad87fa"],"itemData":{"DOI":"10.1037/0278-7393.22.3.771","ISSN":"02787393","PMID":"8656156","abstract":"In 3 experiments, choices for hypothetical amounts of future health and money showed that, contrary to normative discounted utility theory, the temporal discount rate, or annual percentage increase in value needed to offset a delay, differed for the 2 domains. Domain independence, defined as the low correlation between health and money discount rates relative to the consistency within each domain, was not due to different utility functions for health and money. Consistent with other research, these results suggest that decision domain affects the cognitive processes used. Despite this domain difference, there were some similarities between the 2 domains. Both health and money decisions revealed that discount rates were larger for short delays, small magnitudes, and gains as compared with losses.","author":[{"dropping-particle":"","family":"Chapman","given":"Gretchen B.","non-dropping-particle":"","parse-names":false,"suffix":""}],"container-title":"Journal of Experimental Psychology: Learning Memory and Cognition","id":"ITEM-2","issued":{"date-parts":[["1996"]]},"title":"Temporal discounting and utility for health and money","type":"article-journal"}}],"schema":"https://github.com/citation-style-language/schema/raw/master/csl-citation.json"} </w:instrText>
      </w:r>
      <w:r w:rsidRPr="00701004">
        <w:rPr>
          <w:color w:val="000000"/>
        </w:rPr>
        <w:fldChar w:fldCharType="separate"/>
      </w:r>
      <w:r w:rsidR="00546949" w:rsidRPr="00701004">
        <w:rPr>
          <w:vertAlign w:val="superscript"/>
        </w:rPr>
        <w:t>14,15</w:t>
      </w:r>
      <w:r w:rsidRPr="00701004">
        <w:rPr>
          <w:color w:val="000000"/>
        </w:rPr>
        <w:fldChar w:fldCharType="end"/>
      </w:r>
      <w:r w:rsidRPr="00701004">
        <w:rPr>
          <w:color w:val="000000"/>
        </w:rPr>
        <w:t xml:space="preserve"> with evidence that the rate of discounting declines if the magnitude of the delayed option is increased. </w:t>
      </w:r>
      <w:bookmarkStart w:id="5" w:name="_Hlk74641628"/>
      <w:r w:rsidRPr="00701004">
        <w:rPr>
          <w:color w:val="000000"/>
        </w:rPr>
        <w:t>The degree to which individuals are influenced by</w:t>
      </w:r>
      <w:r w:rsidR="00C41EA3" w:rsidRPr="00701004">
        <w:rPr>
          <w:color w:val="000000"/>
        </w:rPr>
        <w:t xml:space="preserve"> the magnitude of the delayed reward has also been shown to predict health </w:t>
      </w:r>
      <w:r w:rsidRPr="00701004">
        <w:rPr>
          <w:color w:val="000000"/>
        </w:rPr>
        <w:t>behaviours</w:t>
      </w:r>
      <w:bookmarkEnd w:id="5"/>
      <w:r w:rsidR="00801E80" w:rsidRPr="00701004">
        <w:rPr>
          <w:color w:val="000000"/>
        </w:rPr>
        <w:fldChar w:fldCharType="begin" w:fldLock="1"/>
      </w:r>
      <w:r w:rsidR="00546949" w:rsidRPr="00701004">
        <w:rPr>
          <w:color w:val="000000"/>
        </w:rPr>
        <w:instrText xml:space="preserve"> ADDIN ZOTERO_ITEM CSL_CITATION {"citationID":"zGYnRAql","properties":{"formattedCitation":"\\super 16\\nosupersub{}","plainCitation":"16","noteIndex":0},"citationItems":[{"id":"3dXyczz3/0TcLnsBy","uris":["http://www.mendeley.com/documents/?uuid=42d2708b-b0b4-47f1-bfa8-880e4ab76e69"],"uri":["http://www.mendeley.com/documents/?uuid=42d2708b-b0b4-47f1-bfa8-880e4ab76e69"],"itemData":{"DOI":"10.1007/s00213-019-05364-3","ISSN":"14322072","PMID":"31673722","abstract":"Rationale: Alcohol-use disorder (AUD) is associated with the propensity to choose smaller sooner options on the delay discounting task. It is unclear, however, how inherent risk underlies delay discounting behavior. As impulsive choice is a hallmark feature in AUD, it is important to understand the neural response to reward and delay while accounting for risk in impulsive decision-making. Objective: This study examined activation associated with delay and reward magnitude, while controlling for risk in a probabilistic delay discounting task in AUD and examined if differences in activation were associated with treatment outcomes. Methods: Thirty-nine recently abstinent alcohol-dependent volunteers and 46 controls completed a probabilistic delay discounting task paired with functional magnetic resonance imaging. Alcohol use was collected using a self-report journal for 3 months following baseline scan. Results: During delay stimulus presentations, Controls exhibited greater activation compared to the Alcohol group notably in the anterior insula, middle/dorsal anterior cingulate cortex (ACC), dorsolateral prefrontal cortex (PFC), and inferior parietal lobule. For magnitude, the Alcohol group exhibited greater activation than Controls primarily in medial PFC, rostral ACC, left posterior parietal cortex, and right precuneus. Within the Alcohol group, alcohol craving severity negatively correlated with right lateral PFC activation during reward magnitude in individuals who completed the 3-month study without relapse, while non-completers showed the opposite relationship. Conclusions: The results of this study extend previous findings that alcohol use disorder is associated with differences in activation during an immediate or delayed choice by delineating activation associated with the parameters of impulsive choice.","author":[{"dropping-particle":"","family":"Dennis","given":"Laura E.","non-dropping-particle":"","parse-names":false,"suffix":""},{"dropping-particle":"","family":"Kohno","given":"Milky","non-dropping-particle":"","parse-names":false,"suffix":""},{"dropping-particle":"","family":"McCready","given":"Holly D.","non-dropping-particle":"","parse-names":false,"suffix":""},{"dropping-particle":"","family":"Schwartz","given":"Daniel L.","non-dropping-particle":"","parse-names":false,"suffix":""},{"dropping-particle":"","family":"Schwartz","given":"Britta","non-dropping-particle":"","parse-names":false,"suffix":""},{"dropping-particle":"","family":"Lahna","given":"David","non-dropping-particle":"","parse-names":false,"suffix":""},{"dropping-particle":"","family":"Nagel","given":"Bonnie J.","non-dropping-particle":"","parse-names":false,"suffix":""},{"dropping-particle":"","family":"Mitchell","given":"Suzanne H.","non-dropping-particle":"","parse-names":false,"suffix":""},{"dropping-particle":"","family":"Hoffman","given":"William F.","non-dropping-particle":"","parse-names":false,"suffix":""}],"container-title":"Psychopharmacology","id":"ITEM-1","issued":{"date-parts":[["2020"]]},"title":"Neural correlates of reward magnitude and delay during a probabilistic delay discounting task in alcohol use disorder","type":"article-journal"}}],"schema":"https://github.com/citation-style-language/schema/raw/master/csl-citation.json"} </w:instrText>
      </w:r>
      <w:r w:rsidR="00801E80" w:rsidRPr="00701004">
        <w:rPr>
          <w:color w:val="000000"/>
        </w:rPr>
        <w:fldChar w:fldCharType="separate"/>
      </w:r>
      <w:r w:rsidR="00546949" w:rsidRPr="00701004">
        <w:rPr>
          <w:vertAlign w:val="superscript"/>
        </w:rPr>
        <w:t>16</w:t>
      </w:r>
      <w:r w:rsidR="00801E80" w:rsidRPr="00701004">
        <w:rPr>
          <w:color w:val="000000"/>
        </w:rPr>
        <w:fldChar w:fldCharType="end"/>
      </w:r>
      <w:r w:rsidR="0064386A" w:rsidRPr="00701004">
        <w:rPr>
          <w:color w:val="000000"/>
        </w:rPr>
        <w:t xml:space="preserve">. </w:t>
      </w:r>
      <w:bookmarkEnd w:id="4"/>
      <w:r w:rsidR="00E40DA2" w:rsidRPr="00701004">
        <w:rPr>
          <w:color w:val="000000"/>
        </w:rPr>
        <w:t>For example,</w:t>
      </w:r>
      <w:r w:rsidR="00F726D5" w:rsidRPr="00701004">
        <w:rPr>
          <w:color w:val="000000"/>
        </w:rPr>
        <w:t xml:space="preserve"> </w:t>
      </w:r>
      <w:r w:rsidR="00E40DA2" w:rsidRPr="00701004">
        <w:rPr>
          <w:color w:val="000000"/>
        </w:rPr>
        <w:t>c</w:t>
      </w:r>
      <w:r w:rsidR="00F726D5" w:rsidRPr="00701004">
        <w:rPr>
          <w:color w:val="000000"/>
        </w:rPr>
        <w:t xml:space="preserve">igarette smokers </w:t>
      </w:r>
      <w:r w:rsidR="002C3BC3" w:rsidRPr="00701004">
        <w:rPr>
          <w:color w:val="000000"/>
        </w:rPr>
        <w:t xml:space="preserve">modulate their delay discounting more as a function of </w:t>
      </w:r>
      <w:r w:rsidR="00E40DA2" w:rsidRPr="00701004">
        <w:rPr>
          <w:color w:val="000000"/>
        </w:rPr>
        <w:t xml:space="preserve">reward </w:t>
      </w:r>
      <w:r w:rsidR="00F726D5" w:rsidRPr="00701004">
        <w:rPr>
          <w:color w:val="000000"/>
        </w:rPr>
        <w:t>magnitude</w:t>
      </w:r>
      <w:r w:rsidR="009719CB" w:rsidRPr="00701004">
        <w:rPr>
          <w:color w:val="000000"/>
        </w:rPr>
        <w:t xml:space="preserve"> compared to non-smokers</w:t>
      </w:r>
      <w:r w:rsidR="00F726D5" w:rsidRPr="00701004">
        <w:rPr>
          <w:color w:val="000000"/>
        </w:rPr>
        <w:fldChar w:fldCharType="begin" w:fldLock="1"/>
      </w:r>
      <w:r w:rsidR="00546949" w:rsidRPr="00701004">
        <w:rPr>
          <w:color w:val="000000"/>
        </w:rPr>
        <w:instrText xml:space="preserve"> ADDIN ZOTERO_ITEM CSL_CITATION {"citationID":"HmYsgpy7","properties":{"formattedCitation":"\\super 17\\nosupersub{}","plainCitation":"17","noteIndex":0},"citationItems":[{"id":"3dXyczz3/hn7jGxOw","uris":["http://www.mendeley.com/documents/?uuid=33c85af6-ca2f-4fba-838f-df565bdee6d7"],"uri":["http://www.mendeley.com/documents/?uuid=33c85af6-ca2f-4fba-838f-df565bdee6d7"],"itemData":{"DOI":"10.1037/0021-843X.112.3.382","ISSN":"0021843X","PMID":"12943017","abstract":"Research has found that nicotine-dependent individuals delay discount monetary gains at a higher rate than matched controls. Delay discount rates, however, have also been found to vary across within-subject variables such as the magnitude of the outcome (e.g., $10 or $1,000), whether the outcome constitutes a gain or a loss, and the commodity being evaluated (e.g., money or health). The present study comprehensively investigated the differences in delay discounting between current and never-before cigarette smokers and across these within-subject variables. Both groups exhibited a magnitude, sign, and commodity effect. Current smokers' delay discount rates for monetary outcomes, however, were higher than never-before smokers across all magnitudes and both signs. This trend was also found for delayed health outcomes, but failed to reach significance.","author":[{"dropping-particle":"","family":"Baker","given":"Forest","non-dropping-particle":"","parse-names":false,"suffix":""},{"dropping-particle":"","family":"Johnson","given":"Matthew W.","non-dropping-particle":"","parse-names":false,"suffix":""},{"dropping-particle":"","family":"Bickel","given":"Warren K.","non-dropping-particle":"","parse-names":false,"suffix":""}],"container-title":"Journal of Abnormal Psychology","id":"ITEM-1","issued":{"date-parts":[["2003"]]},"title":"Delay discounting in current and never-before cigarette smokers: Similarities and differences across commodity, sign, and magnitude","type":"article-journal"}}],"schema":"https://github.com/citation-style-language/schema/raw/master/csl-citation.json"} </w:instrText>
      </w:r>
      <w:r w:rsidR="00F726D5" w:rsidRPr="00701004">
        <w:rPr>
          <w:color w:val="000000"/>
        </w:rPr>
        <w:fldChar w:fldCharType="separate"/>
      </w:r>
      <w:r w:rsidR="00546949" w:rsidRPr="00701004">
        <w:rPr>
          <w:vertAlign w:val="superscript"/>
        </w:rPr>
        <w:t>17</w:t>
      </w:r>
      <w:r w:rsidR="00F726D5" w:rsidRPr="00701004">
        <w:rPr>
          <w:color w:val="000000"/>
        </w:rPr>
        <w:fldChar w:fldCharType="end"/>
      </w:r>
      <w:r w:rsidR="007A5C9B" w:rsidRPr="00701004">
        <w:rPr>
          <w:color w:val="000000"/>
        </w:rPr>
        <w:t>,</w:t>
      </w:r>
      <w:r w:rsidR="00C374A2" w:rsidRPr="00701004">
        <w:rPr>
          <w:color w:val="000000"/>
        </w:rPr>
        <w:t xml:space="preserve"> and</w:t>
      </w:r>
      <w:r w:rsidR="00DF1672" w:rsidRPr="00701004">
        <w:rPr>
          <w:color w:val="000000"/>
        </w:rPr>
        <w:t xml:space="preserve"> </w:t>
      </w:r>
      <w:bookmarkStart w:id="6" w:name="_Hlk70498902"/>
      <w:r w:rsidRPr="00701004">
        <w:rPr>
          <w:color w:val="000000"/>
        </w:rPr>
        <w:t>it has been demonstrated that an intervention to foster cognitive control (generating justifications for choices)</w:t>
      </w:r>
      <w:r w:rsidRPr="00701004" w:rsidDel="00B67572">
        <w:rPr>
          <w:color w:val="000000"/>
        </w:rPr>
        <w:t xml:space="preserve"> </w:t>
      </w:r>
      <w:r w:rsidRPr="00701004">
        <w:rPr>
          <w:color w:val="000000"/>
        </w:rPr>
        <w:t>can reduce sensitivity to the magnitude effect in delay discounting</w:t>
      </w:r>
      <w:r w:rsidRPr="00701004">
        <w:rPr>
          <w:color w:val="000000"/>
        </w:rPr>
        <w:fldChar w:fldCharType="begin" w:fldLock="1"/>
      </w:r>
      <w:r w:rsidR="00546949" w:rsidRPr="00701004">
        <w:rPr>
          <w:color w:val="000000"/>
        </w:rPr>
        <w:instrText xml:space="preserve"> ADDIN ZOTERO_ITEM CSL_CITATION {"citationID":"4t5EZtnB","properties":{"formattedCitation":"\\super 18\\nosupersub{}","plainCitation":"18","noteIndex":0},"citationItems":[{"id":"3dXyczz3/j0wHSwhg","uris":["http://www.mendeley.com/documents/?uuid=2e507946-13ca-4c64-bc3c-86ff3cd50771"],"uri":["http://www.mendeley.com/documents/?uuid=2e507946-13ca-4c64-bc3c-86ff3cd50771"],"itemData":{"DOI":"10.1177/0956797617711455","ISSN":"14679280","abstract":"Impulsivity is a variable behavioral trait that depends on numerous factors. For example, increasing the absolute magnitude of available choice options promotes farsighted decisions. We argue that this magnitude effect arises in part from differential exertion of self-control as the perceived importance of the choice increases. First, we demonstrated that frontal executive-control areas were more engaged for more difficult decisions and that this effect was enhanced for high-magnitude rewards. Second, we showed that increased hunger, which is associated with lower self-control, reduced the magnitude effect. Third, we tested an intervention designed to increase self-control and showed that it reduced the magnitude effect. Taken together, our findings challenge existing theories about the magnitude effect and suggest that visceral and cognitive factors affecting choice may do so by influencing self-control.","author":[{"dropping-particle":"","family":"Ballard","given":"Ian C.","non-dropping-particle":"","parse-names":false,"suffix":""},{"dropping-particle":"","family":"Kim","given":"Bokyung","non-dropping-particle":"","parse-names":false,"suffix":""},{"dropping-particle":"","family":"Liatsis","given":"Anthony","non-dropping-particle":"","parse-names":false,"suffix":""},{"dropping-particle":"","family":"Aydogan","given":"Gökhan","non-dropping-particle":"","parse-names":false,"suffix":""},{"dropping-particle":"","family":"Cohen","given":"Jonathan D.","non-dropping-particle":"","parse-names":false,"suffix":""},{"dropping-particle":"","family":"McClure","given":"Samuel M.","non-dropping-particle":"","parse-names":false,"suffix":""}],"container-title":"Psychological Science","id":"ITEM-1","issued":{"date-parts":[["2017"]]},"title":"More Is Meaningful: The Magnitude Effect in Intertemporal Choice Depends on Self-Control","type":"article-journal"}}],"schema":"https://github.com/citation-style-language/schema/raw/master/csl-citation.json"} </w:instrText>
      </w:r>
      <w:r w:rsidRPr="00701004">
        <w:rPr>
          <w:color w:val="000000"/>
        </w:rPr>
        <w:fldChar w:fldCharType="separate"/>
      </w:r>
      <w:r w:rsidR="00546949" w:rsidRPr="00701004">
        <w:rPr>
          <w:vertAlign w:val="superscript"/>
        </w:rPr>
        <w:t>18</w:t>
      </w:r>
      <w:r w:rsidRPr="00701004">
        <w:rPr>
          <w:color w:val="000000"/>
        </w:rPr>
        <w:fldChar w:fldCharType="end"/>
      </w:r>
      <w:bookmarkEnd w:id="6"/>
      <w:r w:rsidR="00F726D5" w:rsidRPr="00701004">
        <w:rPr>
          <w:color w:val="000000"/>
        </w:rPr>
        <w:t xml:space="preserve">. </w:t>
      </w:r>
      <w:r w:rsidR="00DC50C4" w:rsidRPr="00701004">
        <w:rPr>
          <w:color w:val="000000"/>
        </w:rPr>
        <w:t xml:space="preserve"> </w:t>
      </w:r>
    </w:p>
    <w:p w14:paraId="0F61E462" w14:textId="74E33CDF" w:rsidR="00302291" w:rsidRPr="00701004" w:rsidRDefault="00AB12E2" w:rsidP="008E10D6">
      <w:pPr>
        <w:spacing w:before="120" w:line="480" w:lineRule="auto"/>
        <w:ind w:firstLine="720"/>
        <w:jc w:val="both"/>
        <w:rPr>
          <w:color w:val="000000"/>
          <w:shd w:val="clear" w:color="auto" w:fill="FFFFFF"/>
        </w:rPr>
      </w:pPr>
      <w:r w:rsidRPr="00701004">
        <w:rPr>
          <w:iCs/>
          <w:color w:val="000000"/>
        </w:rPr>
        <w:t>With regards to mental health, our working hypothesis is that lockdown is associated with fewer opportunities for immediate rewards, and that steeper discounters may find it subjectively more aversive when immediate reward frequency is lower (compared to shallower discounters), leading to high levels of mood and anxiety symptoms</w:t>
      </w:r>
      <w:r w:rsidR="0023146D" w:rsidRPr="00701004">
        <w:rPr>
          <w:iCs/>
          <w:color w:val="000000"/>
        </w:rPr>
        <w:t>.</w:t>
      </w:r>
      <w:r w:rsidR="0023146D" w:rsidRPr="00701004">
        <w:rPr>
          <w:color w:val="000000"/>
        </w:rPr>
        <w:t xml:space="preserve"> </w:t>
      </w:r>
      <w:r w:rsidR="004510AE" w:rsidRPr="00701004">
        <w:rPr>
          <w:color w:val="000000"/>
        </w:rPr>
        <w:t xml:space="preserve">Therefore, delay discounting preferences may be informative in </w:t>
      </w:r>
      <w:r w:rsidR="00087861" w:rsidRPr="00701004">
        <w:rPr>
          <w:color w:val="000000"/>
        </w:rPr>
        <w:t xml:space="preserve">identifying individuals who </w:t>
      </w:r>
      <w:r w:rsidR="00E21A75" w:rsidRPr="00701004">
        <w:rPr>
          <w:color w:val="000000"/>
        </w:rPr>
        <w:t xml:space="preserve">struggle to adhere to </w:t>
      </w:r>
      <w:r w:rsidR="00087861" w:rsidRPr="00701004">
        <w:rPr>
          <w:color w:val="000000"/>
        </w:rPr>
        <w:t>social distancing guidelines and</w:t>
      </w:r>
      <w:r w:rsidR="00366CD8" w:rsidRPr="00701004">
        <w:rPr>
          <w:color w:val="000000"/>
        </w:rPr>
        <w:t xml:space="preserve"> </w:t>
      </w:r>
      <w:r w:rsidR="005F703D" w:rsidRPr="00701004">
        <w:rPr>
          <w:color w:val="000000"/>
        </w:rPr>
        <w:t xml:space="preserve">who </w:t>
      </w:r>
      <w:r w:rsidR="00E21A75" w:rsidRPr="00701004">
        <w:rPr>
          <w:color w:val="000000"/>
        </w:rPr>
        <w:t xml:space="preserve">are </w:t>
      </w:r>
      <w:r w:rsidR="00366CD8" w:rsidRPr="00701004">
        <w:rPr>
          <w:color w:val="000000"/>
        </w:rPr>
        <w:t>at greater risk of</w:t>
      </w:r>
      <w:r w:rsidR="00087861" w:rsidRPr="00701004">
        <w:rPr>
          <w:color w:val="000000"/>
        </w:rPr>
        <w:t xml:space="preserve"> poor mental health outcomes </w:t>
      </w:r>
      <w:proofErr w:type="gramStart"/>
      <w:r w:rsidR="00087861" w:rsidRPr="00701004">
        <w:rPr>
          <w:color w:val="000000"/>
        </w:rPr>
        <w:t>as a result of</w:t>
      </w:r>
      <w:proofErr w:type="gramEnd"/>
      <w:r w:rsidR="00087861" w:rsidRPr="00701004">
        <w:rPr>
          <w:color w:val="000000"/>
        </w:rPr>
        <w:t xml:space="preserve"> lockdown.</w:t>
      </w:r>
      <w:r w:rsidR="00302291" w:rsidRPr="00701004">
        <w:rPr>
          <w:color w:val="000000"/>
        </w:rPr>
        <w:t xml:space="preserve"> Stressful changes in the environment may in turn also impact delay </w:t>
      </w:r>
      <w:r w:rsidR="00302291" w:rsidRPr="00701004">
        <w:rPr>
          <w:color w:val="000000"/>
        </w:rPr>
        <w:lastRenderedPageBreak/>
        <w:t>discounting</w:t>
      </w:r>
      <w:r w:rsidR="00302291" w:rsidRPr="00701004">
        <w:rPr>
          <w:color w:val="000000"/>
          <w:shd w:val="clear" w:color="auto" w:fill="FFFFFF"/>
        </w:rPr>
        <w:t xml:space="preserve">. </w:t>
      </w:r>
      <w:r w:rsidR="00302291" w:rsidRPr="00701004">
        <w:rPr>
          <w:color w:val="000000"/>
        </w:rPr>
        <w:t xml:space="preserve">Supporting this view, participants’ discounting became steeper in the aftermath of </w:t>
      </w:r>
      <w:r w:rsidR="00302291" w:rsidRPr="00701004">
        <w:rPr>
          <w:color w:val="000000"/>
          <w:shd w:val="clear" w:color="auto" w:fill="FFFFFF"/>
        </w:rPr>
        <w:t xml:space="preserve">the </w:t>
      </w:r>
      <w:r w:rsidR="00302291" w:rsidRPr="00701004">
        <w:rPr>
          <w:color w:val="000000"/>
        </w:rPr>
        <w:t>Wenchuan earthquake</w:t>
      </w:r>
      <w:r w:rsidR="00F829DC" w:rsidRPr="00701004">
        <w:rPr>
          <w:color w:val="000000"/>
        </w:rPr>
        <w:t>, for example</w:t>
      </w:r>
      <w:r w:rsidR="00302291" w:rsidRPr="00701004">
        <w:rPr>
          <w:color w:val="000000"/>
        </w:rPr>
        <w:fldChar w:fldCharType="begin" w:fldLock="1"/>
      </w:r>
      <w:r w:rsidR="00546949" w:rsidRPr="00701004">
        <w:rPr>
          <w:color w:val="000000"/>
        </w:rPr>
        <w:instrText xml:space="preserve"> ADDIN ZOTERO_ITEM CSL_CITATION {"citationID":"yfU31ToM","properties":{"formattedCitation":"\\super 19\\nosupersub{}","plainCitation":"19","noteIndex":0},"citationItems":[{"id":"3dXyczz3/0xNUK3mD","uris":["http://www.mendeley.com/documents/?uuid=46108f3a-8c65-4fd3-9e2a-b25c5f4f671e"],"uri":["http://www.mendeley.com/documents/?uuid=46108f3a-8c65-4fd3-9e2a-b25c5f4f671e"],"itemData":{"DOI":"10.1111/j.1559-1816.2011.00847.x","ISSN":"00219029","abstract":"On May 12, 2008, a major magnitude-8.0 earthquake shook Wenchuan, China. An opportunity sample of 104 college students was obtained to conduct a within-subject study investigating the influence of the earthquake on intertemporal choices. The findings indicated that after the earthquake, delayed gains were discounted significantly more steeply than before it, and that delayed losses tended to be discounted more steeply after the earthquake, although this tendency did not reach statistical significance. These results suggest that after the disaster, people might be more shortsighted when they make decisions with intertemporal tradeoffs. Implications of these findings for intervention and management in the aftermath of disasters are discussed. © 2011 Wiley Periodicals, Inc.","author":[{"dropping-particle":"","family":"Li","given":"Jin Zhen","non-dropping-particle":"","parse-names":false,"suffix":""},{"dropping-particle":"","family":"Li","given":"Shu","non-dropping-particle":"","parse-names":false,"suffix":""},{"dropping-particle":"","family":"Liu","given":"Huan","non-dropping-particle":"","parse-names":false,"suffix":""}],"container-title":"Journal of Applied Social Psychology","id":"ITEM-1","issued":{"date-parts":[["2011"]]},"title":"How has the Wenchuan earthquake influenced people's intertemporal choices?","type":"article-journal"}}],"schema":"https://github.com/citation-style-language/schema/raw/master/csl-citation.json"} </w:instrText>
      </w:r>
      <w:r w:rsidR="00302291" w:rsidRPr="00701004">
        <w:rPr>
          <w:color w:val="000000"/>
        </w:rPr>
        <w:fldChar w:fldCharType="separate"/>
      </w:r>
      <w:r w:rsidR="00546949" w:rsidRPr="00701004">
        <w:rPr>
          <w:vertAlign w:val="superscript"/>
        </w:rPr>
        <w:t>19</w:t>
      </w:r>
      <w:r w:rsidR="00302291" w:rsidRPr="00701004">
        <w:rPr>
          <w:color w:val="000000"/>
        </w:rPr>
        <w:fldChar w:fldCharType="end"/>
      </w:r>
      <w:r w:rsidR="00302291" w:rsidRPr="00701004">
        <w:rPr>
          <w:color w:val="000000"/>
        </w:rPr>
        <w:t>.</w:t>
      </w:r>
      <w:r w:rsidR="00302291" w:rsidRPr="00701004">
        <w:rPr>
          <w:color w:val="000000"/>
          <w:shd w:val="clear" w:color="auto" w:fill="FFFFFF"/>
        </w:rPr>
        <w:t xml:space="preserve"> </w:t>
      </w:r>
    </w:p>
    <w:p w14:paraId="7B7EDB88" w14:textId="3CA9FECC" w:rsidR="00A82A02" w:rsidRPr="00701004" w:rsidRDefault="001C159C" w:rsidP="00EE5CB3">
      <w:pPr>
        <w:spacing w:before="120" w:line="480" w:lineRule="auto"/>
        <w:ind w:firstLine="720"/>
        <w:jc w:val="both"/>
        <w:rPr>
          <w:color w:val="000000"/>
          <w:shd w:val="clear" w:color="auto" w:fill="FFFFFF"/>
        </w:rPr>
      </w:pPr>
      <w:r w:rsidRPr="00701004">
        <w:rPr>
          <w:color w:val="000000"/>
          <w:shd w:val="clear" w:color="auto" w:fill="FFFFFF"/>
        </w:rPr>
        <w:t>While delay discounting measures how people prioritise</w:t>
      </w:r>
      <w:r w:rsidR="00EE5CB3" w:rsidRPr="00701004">
        <w:rPr>
          <w:color w:val="000000"/>
          <w:shd w:val="clear" w:color="auto" w:fill="FFFFFF"/>
        </w:rPr>
        <w:t xml:space="preserve"> long versus short-term outcomes for the future</w:t>
      </w:r>
      <w:r w:rsidRPr="00701004">
        <w:rPr>
          <w:color w:val="000000"/>
          <w:shd w:val="clear" w:color="auto" w:fill="FFFFFF"/>
        </w:rPr>
        <w:t xml:space="preserve">, there are separate cognitive characteristics that are responsible for how much priority individuals place on </w:t>
      </w:r>
      <w:r w:rsidR="00EE5CB3" w:rsidRPr="00701004">
        <w:rPr>
          <w:color w:val="000000"/>
          <w:shd w:val="clear" w:color="auto" w:fill="FFFFFF"/>
        </w:rPr>
        <w:t>recent</w:t>
      </w:r>
      <w:r w:rsidR="00377506" w:rsidRPr="00701004">
        <w:rPr>
          <w:color w:val="000000"/>
          <w:shd w:val="clear" w:color="auto" w:fill="FFFFFF"/>
        </w:rPr>
        <w:t xml:space="preserve"> experiences.</w:t>
      </w:r>
      <w:r w:rsidR="003B5E80" w:rsidRPr="00701004">
        <w:rPr>
          <w:color w:val="000000"/>
          <w:shd w:val="clear" w:color="auto" w:fill="FFFFFF"/>
        </w:rPr>
        <w:t xml:space="preserve"> </w:t>
      </w:r>
      <w:r w:rsidR="00302291" w:rsidRPr="00701004">
        <w:rPr>
          <w:color w:val="000000"/>
        </w:rPr>
        <w:t xml:space="preserve">Rational models of decision-making </w:t>
      </w:r>
      <w:r w:rsidR="00556608" w:rsidRPr="00701004">
        <w:rPr>
          <w:color w:val="000000"/>
        </w:rPr>
        <w:t xml:space="preserve">contend </w:t>
      </w:r>
      <w:r w:rsidR="00302291" w:rsidRPr="00701004">
        <w:rPr>
          <w:color w:val="000000"/>
        </w:rPr>
        <w:t xml:space="preserve">that </w:t>
      </w:r>
      <w:r w:rsidR="009B1555" w:rsidRPr="00701004">
        <w:rPr>
          <w:color w:val="000000"/>
        </w:rPr>
        <w:t>it is adaptive to weight recent reward outcomes strongly when in a dynamically changing environment</w:t>
      </w:r>
      <w:r w:rsidR="00FA717C" w:rsidRPr="00701004">
        <w:rPr>
          <w:color w:val="000000"/>
        </w:rPr>
        <w:fldChar w:fldCharType="begin" w:fldLock="1"/>
      </w:r>
      <w:r w:rsidR="00546949" w:rsidRPr="00701004">
        <w:rPr>
          <w:color w:val="000000"/>
        </w:rPr>
        <w:instrText xml:space="preserve"> ADDIN ZOTERO_ITEM CSL_CITATION {"citationID":"bfxmuJmA","properties":{"formattedCitation":"\\super 20\\nosupersub{}","plainCitation":"20","noteIndex":0},"citationItems":[{"id":"3dXyczz3/ergQ9TGn","uris":["http://www.mendeley.com/documents/?uuid=d83e0017-2900-4d13-9466-417bb7e2b601"],"uri":["http://www.mendeley.com/documents/?uuid=d83e0017-2900-4d13-9466-417bb7e2b601"],"itemData":{"ISSN":"1097-6256","author":[{"dropping-particle":"","family":"Behrens","given":"Timothy E J","non-dropping-particle":"","parse-names":false,"suffix":""},{"dropping-particle":"","family":"Woolrich","given":"Mark W","non-dropping-particle":"","parse-names":false,"suffix":""},{"dropping-particle":"","family":"Walton","given":"Mark E","non-dropping-particle":"","parse-names":false,"suffix":""},{"dropping-particle":"","family":"Rushworth","given":"Matthew F S","non-dropping-particle":"","parse-names":false,"suffix":""}],"container-title":"Nat Neurosci","id":"ITEM-1","issue":"9","issued":{"date-parts":[["2007","9"]]},"note":"10.1038/nn1954","page":"1214-1221","publisher":"Nature Publishing Group","title":"Learning the value of information in an uncertain world","type":"article-journal","volume":"10"}}],"schema":"https://github.com/citation-style-language/schema/raw/master/csl-citation.json"} </w:instrText>
      </w:r>
      <w:r w:rsidR="00FA717C" w:rsidRPr="00701004">
        <w:rPr>
          <w:color w:val="000000"/>
        </w:rPr>
        <w:fldChar w:fldCharType="separate"/>
      </w:r>
      <w:r w:rsidR="00546949" w:rsidRPr="00701004">
        <w:rPr>
          <w:vertAlign w:val="superscript"/>
        </w:rPr>
        <w:t>20</w:t>
      </w:r>
      <w:r w:rsidR="00FA717C" w:rsidRPr="00701004">
        <w:rPr>
          <w:color w:val="000000"/>
        </w:rPr>
        <w:fldChar w:fldCharType="end"/>
      </w:r>
      <w:r w:rsidR="00FA717C" w:rsidRPr="00701004">
        <w:rPr>
          <w:color w:val="000000"/>
        </w:rPr>
        <w:t xml:space="preserve">. </w:t>
      </w:r>
      <w:r w:rsidR="009B1555" w:rsidRPr="00701004">
        <w:rPr>
          <w:color w:val="000000"/>
        </w:rPr>
        <w:t xml:space="preserve">In a volatile environment, </w:t>
      </w:r>
      <w:r w:rsidR="00302291" w:rsidRPr="00701004">
        <w:rPr>
          <w:color w:val="000000"/>
        </w:rPr>
        <w:t xml:space="preserve">previously learned </w:t>
      </w:r>
      <w:r w:rsidR="005F1FB4" w:rsidRPr="00701004">
        <w:rPr>
          <w:color w:val="000000"/>
        </w:rPr>
        <w:t>association</w:t>
      </w:r>
      <w:r w:rsidR="00302291" w:rsidRPr="00701004">
        <w:rPr>
          <w:color w:val="000000"/>
        </w:rPr>
        <w:t>s</w:t>
      </w:r>
      <w:r w:rsidR="005F1FB4" w:rsidRPr="00701004">
        <w:rPr>
          <w:color w:val="000000"/>
        </w:rPr>
        <w:t xml:space="preserve"> between actions and outcomes </w:t>
      </w:r>
      <w:r w:rsidR="00302291" w:rsidRPr="00701004">
        <w:rPr>
          <w:color w:val="000000"/>
        </w:rPr>
        <w:t xml:space="preserve">become </w:t>
      </w:r>
      <w:r w:rsidR="005F1FB4" w:rsidRPr="00701004">
        <w:rPr>
          <w:color w:val="000000"/>
        </w:rPr>
        <w:t>less certain</w:t>
      </w:r>
      <w:r w:rsidR="005F1FB4" w:rsidRPr="00701004">
        <w:rPr>
          <w:color w:val="000000"/>
        </w:rPr>
        <w:fldChar w:fldCharType="begin" w:fldLock="1"/>
      </w:r>
      <w:r w:rsidR="00546949" w:rsidRPr="00701004">
        <w:rPr>
          <w:color w:val="000000"/>
        </w:rPr>
        <w:instrText xml:space="preserve"> ADDIN ZOTERO_ITEM CSL_CITATION {"citationID":"1iFijpDy","properties":{"formattedCitation":"\\super 21\\nosupersub{}","plainCitation":"21","noteIndex":0},"citationItems":[{"id":"3dXyczz3/wwmKFgnU","uris":["http://www.mendeley.com/documents/?uuid=772e35a2-efa7-4a26-a763-c8230e03f267"],"uri":["http://www.mendeley.com/documents/?uuid=772e35a2-efa7-4a26-a763-c8230e03f267"],"itemData":{"DOI":"10.1146/annurev-neuro-080317-062007","ISSN":"0147-006X","PMID":"29709209","abstract":"In everyday life, the outcomes of our actions are rarely certain. Further, we often lack the information needed to precisely estimate the probability and value of potential outcomes as well as how much effort will be required by the courses of action under consideration. Under such conditions of uncertainty, individual differences in the estimation and weighting of these variables, and in reliance on model-free versus model-based decision making, have the potential to strongly influence our behavior. Both anxiety and depression are associated with difficulties in decision making. Further, anxiety is linked to increased engagement in threat-avoidance behaviors and depression is linked to reduced engagement in reward-seeking behaviors. The precise deficits, or biases, in decision making associated with these common forms of psychopathology remain to be fully specified. In this article, we review evidence for which of the computations supporting decision making are altered in anxiety and depression and consider the potential consequences for action selection. In addition, we provide a schematic framework that integrates the findings reviewed and will hopefully be of value to future studies.","author":[{"dropping-particle":"","family":"Bishop","given":"Sonia J.","non-dropping-particle":"","parse-names":false,"suffix":""},{"dropping-particle":"","family":"Gagne","given":"Christopher","non-dropping-particle":"","parse-names":false,"suffix":""}],"container-title":"Annual Review of Neuroscience","id":"ITEM-1","issued":{"date-parts":[["2018"]]},"title":"Anxiety, Depression, and Decision Making: A Computational Perspective","type":"article-journal"}}],"schema":"https://github.com/citation-style-language/schema/raw/master/csl-citation.json"} </w:instrText>
      </w:r>
      <w:r w:rsidR="005F1FB4" w:rsidRPr="00701004">
        <w:rPr>
          <w:color w:val="000000"/>
        </w:rPr>
        <w:fldChar w:fldCharType="separate"/>
      </w:r>
      <w:r w:rsidR="00546949" w:rsidRPr="00701004">
        <w:rPr>
          <w:vertAlign w:val="superscript"/>
        </w:rPr>
        <w:t>21</w:t>
      </w:r>
      <w:r w:rsidR="005F1FB4" w:rsidRPr="00701004">
        <w:rPr>
          <w:color w:val="000000"/>
        </w:rPr>
        <w:fldChar w:fldCharType="end"/>
      </w:r>
      <w:r w:rsidR="00B73E90" w:rsidRPr="00701004">
        <w:rPr>
          <w:color w:val="000000"/>
        </w:rPr>
        <w:t>;</w:t>
      </w:r>
      <w:r w:rsidR="005F1FB4" w:rsidRPr="00701004">
        <w:rPr>
          <w:color w:val="000000"/>
        </w:rPr>
        <w:t xml:space="preserve"> </w:t>
      </w:r>
      <w:r w:rsidR="00820F0E" w:rsidRPr="00701004">
        <w:rPr>
          <w:color w:val="000000"/>
        </w:rPr>
        <w:t>consequently</w:t>
      </w:r>
      <w:r w:rsidR="00B73E90" w:rsidRPr="00701004">
        <w:rPr>
          <w:color w:val="000000"/>
        </w:rPr>
        <w:t>,</w:t>
      </w:r>
      <w:r w:rsidR="009B1555" w:rsidRPr="00701004">
        <w:rPr>
          <w:color w:val="000000"/>
        </w:rPr>
        <w:t xml:space="preserve"> </w:t>
      </w:r>
      <w:r w:rsidR="005F1FB4" w:rsidRPr="00701004">
        <w:rPr>
          <w:color w:val="000000"/>
        </w:rPr>
        <w:t>the decision-maker should prioritise more recent information to guide their decisions</w:t>
      </w:r>
      <w:r w:rsidR="009B1555" w:rsidRPr="00701004">
        <w:rPr>
          <w:color w:val="000000"/>
        </w:rPr>
        <w:t xml:space="preserve"> because it</w:t>
      </w:r>
      <w:r w:rsidR="00007746" w:rsidRPr="00701004">
        <w:rPr>
          <w:color w:val="000000"/>
        </w:rPr>
        <w:t xml:space="preserve"> is</w:t>
      </w:r>
      <w:r w:rsidR="009B1555" w:rsidRPr="00701004">
        <w:rPr>
          <w:color w:val="000000"/>
        </w:rPr>
        <w:t xml:space="preserve"> </w:t>
      </w:r>
      <w:r w:rsidR="005F1FB4" w:rsidRPr="00701004">
        <w:rPr>
          <w:color w:val="000000"/>
        </w:rPr>
        <w:t>more likely reflects the current structure of the environment</w:t>
      </w:r>
      <w:r w:rsidR="005F1FB4" w:rsidRPr="00701004">
        <w:rPr>
          <w:color w:val="000000"/>
        </w:rPr>
        <w:fldChar w:fldCharType="begin" w:fldLock="1"/>
      </w:r>
      <w:r w:rsidR="00546949" w:rsidRPr="00701004">
        <w:rPr>
          <w:color w:val="000000"/>
        </w:rPr>
        <w:instrText xml:space="preserve"> ADDIN ZOTERO_ITEM CSL_CITATION {"citationID":"cGWe1MkT","properties":{"formattedCitation":"\\super 20\\nosupersub{}","plainCitation":"20","noteIndex":0},"citationItems":[{"id":"3dXyczz3/ergQ9TGn","uris":["http://www.mendeley.com/documents/?uuid=d83e0017-2900-4d13-9466-417bb7e2b601"],"uri":["http://www.mendeley.com/documents/?uuid=d83e0017-2900-4d13-9466-417bb7e2b601"],"itemData":{"ISSN":"1097-6256","author":[{"dropping-particle":"","family":"Behrens","given":"Timothy E J","non-dropping-particle":"","parse-names":false,"suffix":""},{"dropping-particle":"","family":"Woolrich","given":"Mark W","non-dropping-particle":"","parse-names":false,"suffix":""},{"dropping-particle":"","family":"Walton","given":"Mark E","non-dropping-particle":"","parse-names":false,"suffix":""},{"dropping-particle":"","family":"Rushworth","given":"Matthew F S","non-dropping-particle":"","parse-names":false,"suffix":""}],"container-title":"Nat Neurosci","id":"ITEM-1","issue":"9","issued":{"date-parts":[["2007","9"]]},"note":"10.1038/nn1954","page":"1214-1221","publisher":"Nature Publishing Group","title":"Learning the value of information in an uncertain world","type":"article-journal","volume":"10"}}],"schema":"https://github.com/citation-style-language/schema/raw/master/csl-citation.json"} </w:instrText>
      </w:r>
      <w:r w:rsidR="005F1FB4" w:rsidRPr="00701004">
        <w:rPr>
          <w:color w:val="000000"/>
        </w:rPr>
        <w:fldChar w:fldCharType="separate"/>
      </w:r>
      <w:r w:rsidR="00546949" w:rsidRPr="00701004">
        <w:rPr>
          <w:vertAlign w:val="superscript"/>
        </w:rPr>
        <w:t>20</w:t>
      </w:r>
      <w:r w:rsidR="005F1FB4" w:rsidRPr="00701004">
        <w:rPr>
          <w:color w:val="000000"/>
        </w:rPr>
        <w:fldChar w:fldCharType="end"/>
      </w:r>
      <w:r w:rsidR="005F1FB4" w:rsidRPr="00701004">
        <w:rPr>
          <w:color w:val="000000"/>
        </w:rPr>
        <w:t xml:space="preserve">. </w:t>
      </w:r>
      <w:r w:rsidR="00302291" w:rsidRPr="00701004">
        <w:rPr>
          <w:color w:val="000000"/>
        </w:rPr>
        <w:t xml:space="preserve">During </w:t>
      </w:r>
      <w:r w:rsidR="005F1FB4" w:rsidRPr="00701004">
        <w:rPr>
          <w:color w:val="000000"/>
        </w:rPr>
        <w:t xml:space="preserve">the COVID-19 pandemic, </w:t>
      </w:r>
      <w:r w:rsidR="00302291" w:rsidRPr="00701004">
        <w:rPr>
          <w:color w:val="000000"/>
        </w:rPr>
        <w:t xml:space="preserve">where </w:t>
      </w:r>
      <w:r w:rsidR="005F1FB4" w:rsidRPr="00701004">
        <w:rPr>
          <w:color w:val="000000"/>
        </w:rPr>
        <w:t>health-rel</w:t>
      </w:r>
      <w:r w:rsidR="000F2234" w:rsidRPr="00701004">
        <w:rPr>
          <w:color w:val="000000"/>
        </w:rPr>
        <w:t>evant</w:t>
      </w:r>
      <w:r w:rsidR="005F1FB4" w:rsidRPr="00701004">
        <w:rPr>
          <w:color w:val="000000"/>
        </w:rPr>
        <w:t xml:space="preserve"> information </w:t>
      </w:r>
      <w:r w:rsidR="008F3B3A" w:rsidRPr="00701004">
        <w:rPr>
          <w:color w:val="000000"/>
        </w:rPr>
        <w:t>evolves rapidly</w:t>
      </w:r>
      <w:r w:rsidR="008D28E1" w:rsidRPr="00701004">
        <w:rPr>
          <w:color w:val="000000"/>
          <w:vertAlign w:val="superscript"/>
        </w:rPr>
        <w:fldChar w:fldCharType="begin" w:fldLock="1"/>
      </w:r>
      <w:r w:rsidR="00546949" w:rsidRPr="00701004">
        <w:rPr>
          <w:color w:val="000000"/>
          <w:vertAlign w:val="superscript"/>
        </w:rPr>
        <w:instrText xml:space="preserve"> ADDIN ZOTERO_ITEM CSL_CITATION {"citationID":"K8QrOSCo","properties":{"formattedCitation":"\\super 5\\nosupersub{}","plainCitation":"5","noteIndex":0},"citationItems":[{"id":"3dXyczz3/7QEOcZzn","uris":["http://www.mendeley.com/documents/?uuid=07aff403-4b5f-4ff0-8216-7f6e5a89db39"],"uri":["http://www.mendeley.com/documents/?uuid=07aff403-4b5f-4ff0-8216-7f6e5a89db39"],"itemData":{"abstract":"The COVID-19 pandemic represents a massive global health crisis. Because the crisis requires large-scale behaviour change and places significant psychological burdens on individuals, insights from the social and behavioural sciences can be used to help align human behavior with the recommendations of epidemiologists and public health experts. Here we discuss evidence from a selection of research topics relevant to pandemics, including work on navigating threats, social and cultural influences on behaviour, science communication, moral decision-making, leadership, and stress and coping. In each section, we note the nature and quality of prior research, including uncertainty and unsettled issues. We identify several insights for effective response to the COVID-19 pandemic, and also highlight important gaps researchers should move quickly to fill in the coming weeks and months","author":[{"dropping-particle":"al","family":"VanBavel","given":"J.J.; et","non-dropping-particle":"","parse-names":false,"suffix":""}],"container-title":"PsyArXiv","id":"ITEM-1","issued":{"date-parts":[["2020"]]},"title":"Using social and behavioural science to support COVID-19 pandemic response CITATION","type":"article-journal"}}],"schema":"https://github.com/citation-style-language/schema/raw/master/csl-citation.json"} </w:instrText>
      </w:r>
      <w:r w:rsidR="008D28E1" w:rsidRPr="00701004">
        <w:rPr>
          <w:color w:val="000000"/>
          <w:vertAlign w:val="superscript"/>
        </w:rPr>
        <w:fldChar w:fldCharType="separate"/>
      </w:r>
      <w:r w:rsidR="00546949" w:rsidRPr="00701004">
        <w:rPr>
          <w:vertAlign w:val="superscript"/>
        </w:rPr>
        <w:t>5</w:t>
      </w:r>
      <w:r w:rsidR="008D28E1" w:rsidRPr="00701004">
        <w:rPr>
          <w:color w:val="000000"/>
          <w:vertAlign w:val="superscript"/>
        </w:rPr>
        <w:fldChar w:fldCharType="end"/>
      </w:r>
      <w:r w:rsidR="00436A9D" w:rsidRPr="00701004">
        <w:rPr>
          <w:color w:val="000000"/>
        </w:rPr>
        <w:t xml:space="preserve">, </w:t>
      </w:r>
      <w:r w:rsidR="005F1FB4" w:rsidRPr="00701004">
        <w:rPr>
          <w:color w:val="000000"/>
        </w:rPr>
        <w:t xml:space="preserve">optimal decision-making </w:t>
      </w:r>
      <w:r w:rsidR="000F2234" w:rsidRPr="00701004">
        <w:rPr>
          <w:color w:val="000000"/>
        </w:rPr>
        <w:t xml:space="preserve">necessitates </w:t>
      </w:r>
      <w:r w:rsidR="005F1FB4" w:rsidRPr="00701004">
        <w:rPr>
          <w:color w:val="000000"/>
        </w:rPr>
        <w:t>updating one’s beliefs quickly</w:t>
      </w:r>
      <w:r w:rsidR="007C72CB" w:rsidRPr="00701004">
        <w:rPr>
          <w:color w:val="000000"/>
        </w:rPr>
        <w:t xml:space="preserve">. </w:t>
      </w:r>
      <w:r w:rsidR="005F1FB4" w:rsidRPr="00701004">
        <w:rPr>
          <w:color w:val="000000"/>
        </w:rPr>
        <w:t>To examine this, we leveraged a patch foraging task</w:t>
      </w:r>
      <w:r w:rsidR="00436A9D" w:rsidRPr="00701004">
        <w:rPr>
          <w:color w:val="000000"/>
          <w:vertAlign w:val="superscript"/>
        </w:rPr>
        <w:t>12</w:t>
      </w:r>
      <w:r w:rsidR="005F1FB4" w:rsidRPr="00701004">
        <w:rPr>
          <w:color w:val="000000"/>
        </w:rPr>
        <w:t xml:space="preserve"> </w:t>
      </w:r>
      <w:r w:rsidR="000F2234" w:rsidRPr="00701004">
        <w:rPr>
          <w:color w:val="000000"/>
        </w:rPr>
        <w:t xml:space="preserve">to </w:t>
      </w:r>
      <w:r w:rsidR="00820F0E" w:rsidRPr="00701004">
        <w:rPr>
          <w:color w:val="000000"/>
        </w:rPr>
        <w:t xml:space="preserve">measure </w:t>
      </w:r>
      <w:r w:rsidR="00436A9D" w:rsidRPr="00701004">
        <w:rPr>
          <w:color w:val="000000"/>
        </w:rPr>
        <w:t>individual difference</w:t>
      </w:r>
      <w:r w:rsidR="00AA369E" w:rsidRPr="00701004">
        <w:rPr>
          <w:color w:val="000000"/>
        </w:rPr>
        <w:t>s</w:t>
      </w:r>
      <w:r w:rsidR="00436A9D" w:rsidRPr="00701004">
        <w:rPr>
          <w:color w:val="000000"/>
        </w:rPr>
        <w:t xml:space="preserve"> in the </w:t>
      </w:r>
      <w:r w:rsidR="00AA369E" w:rsidRPr="00701004">
        <w:rPr>
          <w:color w:val="000000"/>
        </w:rPr>
        <w:t>weight placed on</w:t>
      </w:r>
      <w:r w:rsidR="00820F0E" w:rsidRPr="00701004">
        <w:rPr>
          <w:color w:val="000000"/>
        </w:rPr>
        <w:t xml:space="preserve"> </w:t>
      </w:r>
      <w:r w:rsidR="00302291" w:rsidRPr="00701004">
        <w:rPr>
          <w:color w:val="000000"/>
        </w:rPr>
        <w:t xml:space="preserve">new </w:t>
      </w:r>
      <w:r w:rsidR="00820F0E" w:rsidRPr="00701004">
        <w:rPr>
          <w:color w:val="000000"/>
        </w:rPr>
        <w:t xml:space="preserve">information </w:t>
      </w:r>
      <w:r w:rsidR="00436A9D" w:rsidRPr="00701004">
        <w:rPr>
          <w:color w:val="000000"/>
        </w:rPr>
        <w:t>about the current structure of the environment (i.e. learning rate</w:t>
      </w:r>
      <w:r w:rsidR="00436A9D" w:rsidRPr="00701004">
        <w:rPr>
          <w:color w:val="000000"/>
        </w:rPr>
        <w:fldChar w:fldCharType="begin" w:fldLock="1"/>
      </w:r>
      <w:r w:rsidR="00546949" w:rsidRPr="00701004">
        <w:rPr>
          <w:color w:val="000000"/>
        </w:rPr>
        <w:instrText xml:space="preserve"> ADDIN ZOTERO_ITEM CSL_CITATION {"citationID":"uS3U18ZJ","properties":{"formattedCitation":"\\super 22\\nosupersub{}","plainCitation":"22","noteIndex":0},"citationItems":[{"id":"3dXyczz3/4KBS6Hr0","uris":["http://www.mendeley.com/documents/?uuid=ab3e8ebc-2068-4aba-b501-8a286751b8b2"],"uri":["http://www.mendeley.com/documents/?uuid=ab3e8ebc-2068-4aba-b501-8a286751b8b2"],"itemData":{"DOI":"10.1080/24699365.1977.11669658","ISBN":"9780262039246","abstract":"Second edition. \"Reinforcement learning, one of the most active research areas in artificial intelligence, is a computational approach to learning whereby an agent tries to maximize the total amount of reward it receives while interacting with a complex, uncertain environment. In Reinforcement Learning, Richard Sutton and Andrew Barto provide a clear and simple account of the field's key ideas and algorithms.\"-- Machine generated contents note: 1. Introduction -- 1.1. Reinforcement Learning -- 1.2. Examples -- 1.3. Elements of Reinforcement Learning -- 1.4. Limitations and Scope -- 1.5. An Extended Example: Tic-Tac-Toe -- 1.6. Summary -- 1.7. Early History of Reinforcement Learning -- 2. Multi-armed Bandits -- 2.1.A k-armed Bandit Problem -- 2.2. Action-value Methods -- 2.3. The 10-armed Testbed -- 2.4. Incremental Implementation -- 2.5. Tracking a Nonstationary Problem -- 2.6. Optimistic Initial Values -- 2.7. Upper-Confidence-Bound Action Selection -- 2.8. Gradient Bandit Algorithms -- 2.9. Associative Search (Contextual Bandits) -- 2.10. Summary -- 3. Finite Markov Decision Processes -- 3.1. The Agent-Environment Interface -- 3.2. Goals and Rewards -- 3.3. Returns and Episodes -- 3.4. Unified Notation for Episodic and Continuing Tasks -- 3.5. Policies and Value Functions -- 3.6. Optimal Policies and Optimal Value Functions -- 3.7. Optimality and Approximation -- 3.8. Summary -- 4. Dynamic Programming Note continued: 4.1. Policy Evaluation (Prediction) -- 4.2. Policy Improvement -- 4.3. Policy Iteration -- 4.4. Value Iteration -- 4.5. Asynchronous Dynamic Programming -- 4.6. Generalized Policy Iteration -- 4.7. Efficiency of Dynamic Programming -- 4.8. Summary -- 5. Monte Carlo Methods -- 5.1. Monte Carlo Prediction -- 5.2. Monte Carlo Estimation of Action Values -- 5.3. Monte Carlo Control -- 5.4. Monte Carlo Control without Exploring Starts -- 5.5. Off-policy Prediction via Importance Sampling -- 5.6. Incremental Implementation -- 5.7. Off-policy Monte Carlo Control -- 5.8.*Discounting-aware Importance Sampling -- 5.9.*Per-decision Importance Sampling -- 5.10. Summary -- 6. Temporal-Difference Learning -- 6.1. TD Prediction -- 6.2. Advantages of TD Prediction Methods -- 6.3. Optimality of TD(0) -- 6.4. Sarsa: On-policy TD Control -- 6.5.Q-learning: Off-policy TD Control -- 6.6. Expected Sarsa -- 6.7. Maximization Bias and Double Learning Note continued: 6.8. Games, Afterstates, and Other Special Cases -- 6.9. Summary -- 7.n-step Bootstrapping -- 7.1…","author":[{"dropping-particle":"","family":"Sutton","given":"Richard","non-dropping-particle":"","parse-names":false,"suffix":""},{"dropping-particle":"","family":"Andrew","given":"Barto","non-dropping-particle":"","parse-names":false,"suffix":""}],"container-title":"Proceedings of the Annual Conference of the Western College Reading Association","id":"ITEM-1","issued":{"date-parts":[["2018"]]},"title":"RL Book 2018","type":"book"}}],"schema":"https://github.com/citation-style-language/schema/raw/master/csl-citation.json"} </w:instrText>
      </w:r>
      <w:r w:rsidR="00436A9D" w:rsidRPr="00701004">
        <w:rPr>
          <w:color w:val="000000"/>
        </w:rPr>
        <w:fldChar w:fldCharType="separate"/>
      </w:r>
      <w:r w:rsidR="00546949" w:rsidRPr="00701004">
        <w:rPr>
          <w:vertAlign w:val="superscript"/>
        </w:rPr>
        <w:t>22</w:t>
      </w:r>
      <w:r w:rsidR="00436A9D" w:rsidRPr="00701004">
        <w:rPr>
          <w:color w:val="000000"/>
        </w:rPr>
        <w:fldChar w:fldCharType="end"/>
      </w:r>
      <w:r w:rsidR="00436A9D" w:rsidRPr="00701004">
        <w:rPr>
          <w:color w:val="000000"/>
        </w:rPr>
        <w:t>)</w:t>
      </w:r>
      <w:r w:rsidR="000F2234" w:rsidRPr="00701004">
        <w:rPr>
          <w:color w:val="000000"/>
        </w:rPr>
        <w:t xml:space="preserve">. Patch foraging involves </w:t>
      </w:r>
      <w:r w:rsidR="00315C6F" w:rsidRPr="00701004">
        <w:rPr>
          <w:color w:val="000000"/>
        </w:rPr>
        <w:t>a trade-off</w:t>
      </w:r>
      <w:r w:rsidR="000F2234" w:rsidRPr="00701004">
        <w:rPr>
          <w:color w:val="000000"/>
        </w:rPr>
        <w:t xml:space="preserve"> </w:t>
      </w:r>
      <w:r w:rsidR="005F1FB4" w:rsidRPr="00701004">
        <w:rPr>
          <w:color w:val="000000"/>
        </w:rPr>
        <w:t>between exploiting a known patch which gradually diminishes in resources versus exploring a novel patch with a fresh distribution of resources</w:t>
      </w:r>
      <w:r w:rsidR="005F1FB4" w:rsidRPr="00701004">
        <w:rPr>
          <w:color w:val="000000"/>
          <w:vertAlign w:val="superscript"/>
        </w:rPr>
        <w:t>12</w:t>
      </w:r>
      <w:r w:rsidR="005F1FB4" w:rsidRPr="00701004">
        <w:rPr>
          <w:color w:val="000000"/>
        </w:rPr>
        <w:t>. To maximise the intake of rewards, the decision-maker must learn the optimal point to leave the current patch to explore a novel one, which can be used to quantify the degree to which they weigh recent information to make decisions</w:t>
      </w:r>
      <w:r w:rsidR="005F1FB4" w:rsidRPr="00701004">
        <w:rPr>
          <w:color w:val="000000"/>
        </w:rPr>
        <w:fldChar w:fldCharType="begin" w:fldLock="1"/>
      </w:r>
      <w:r w:rsidR="00546949" w:rsidRPr="00701004">
        <w:rPr>
          <w:color w:val="000000"/>
        </w:rPr>
        <w:instrText xml:space="preserve"> ADDIN ZOTERO_ITEM CSL_CITATION {"citationID":"ftpDxaWk","properties":{"formattedCitation":"\\super 23\\nosupersub{}","plainCitation":"23","noteIndex":0},"citationItems":[{"id":"3dXyczz3/WZ5WQX1M","uris":["http://www.mendeley.com/documents/?uuid=2d3c59bb-4c2b-4127-a3f8-3d226f6bbdca"],"uri":["http://www.mendeley.com/documents/?uuid=2d3c59bb-4c2b-4127-a3f8-3d226f6bbdca"],"itemData":{"DOI":"10.1093/scan/nsaa037","ISSN":"1749-5016","abstract":"Research in social neuroscience has increasingly begun to use the tools of computational neuroscience to better understand behaviour. Such approaches have proven fruitful for probing underlying neural mechanisms. However, little attention has been paid to how the structure of experimental tasks relates to real-world decisions, and the problems that brains have evolved to solve. To go significantly beyond current understanding, we must begin to use paradigms and mathematical models from behavioural ecology, which offer insights into the decisions animals must make successfully in order to survive. One highly influential theory—marginal value theorem (MVT)—precisely characterises and provides an optimal solution to a vital foraging decision that most species must make: the patch-leaving problem. Animals must decide when to leave collecting rewards in a current patch (location) and travel somewhere else. We propose that many questions posed in social neuroscience can be approached as patch-leaving problems. A richer understanding of the neural mechanisms underlying social behaviour will be obtained by using MVT. In this ‘tools of the trade’ article, we outline the patch-leaving problem, the computations of MVT and discuss the application to social neuroscience. Furthermore, we consider the practical challenges and offer solutions for designing paradigms probing patch leaving, both behaviourally and when using neuroimaging techniques.","author":[{"dropping-particle":"","family":"Gabay","given":"Anthony S","non-dropping-particle":"","parse-names":false,"suffix":""},{"dropping-particle":"","family":"Apps","given":"Matthew A J","non-dropping-particle":"","parse-names":false,"suffix":""}],"container-title":"Social Cognitive and Affective Neuroscience","id":"ITEM-1","issued":{"date-parts":[["2020"]]},"title":"Foraging optimally in social neuroscience: computations and methodological considerations","type":"article-journal"}}],"schema":"https://github.com/citation-style-language/schema/raw/master/csl-citation.json"} </w:instrText>
      </w:r>
      <w:r w:rsidR="005F1FB4" w:rsidRPr="00701004">
        <w:rPr>
          <w:color w:val="000000"/>
        </w:rPr>
        <w:fldChar w:fldCharType="separate"/>
      </w:r>
      <w:r w:rsidR="00546949" w:rsidRPr="00701004">
        <w:rPr>
          <w:vertAlign w:val="superscript"/>
        </w:rPr>
        <w:t>23</w:t>
      </w:r>
      <w:r w:rsidR="005F1FB4" w:rsidRPr="00701004">
        <w:rPr>
          <w:color w:val="000000"/>
        </w:rPr>
        <w:fldChar w:fldCharType="end"/>
      </w:r>
      <w:r w:rsidR="005F1FB4" w:rsidRPr="00701004">
        <w:rPr>
          <w:color w:val="000000"/>
          <w:vertAlign w:val="superscript"/>
        </w:rPr>
        <w:t>,</w:t>
      </w:r>
      <w:r w:rsidR="005F1FB4" w:rsidRPr="00701004">
        <w:rPr>
          <w:color w:val="000000"/>
        </w:rPr>
        <w:fldChar w:fldCharType="begin" w:fldLock="1"/>
      </w:r>
      <w:r w:rsidR="00546949" w:rsidRPr="00701004">
        <w:rPr>
          <w:color w:val="000000"/>
        </w:rPr>
        <w:instrText xml:space="preserve"> ADDIN ZOTERO_ITEM CSL_CITATION {"citationID":"TvlLdGll","properties":{"formattedCitation":"\\super 24\\nosupersub{}","plainCitation":"24","noteIndex":0},"citationItems":[{"id":"3dXyczz3/bs2NEv23","uris":["http://www.mendeley.com/documents/?uuid=6867d308-c253-447b-b168-fbe70f28e889"],"uri":["http://www.mendeley.com/documents/?uuid=6867d308-c253-447b-b168-fbe70f28e889"],"itemData":{"DOI":"10.3758/s13415-015-0350-y","ISSN":"15307026","PMID":"25917000","abstract":"Although most decision research concerns choice between simultaneously presented options, in many situations options are encountered serially, and the decision is whether to exploit an option or search for a better one. Such problems have a rich history in animal foraging, but we know little about the psychological processes involved. In particular, it is unknown whether learning in these problems is supported by the well-studied neurocomputational mechanisms involved in more conventional tasks. We investigated how humans learn in a foraging task, which requires deciding whether to harvest a depleting resource or switch to a replenished one. The optimal choice (given by the marginal value theorem; MVT) requires comparing the immediate return from harvesting to the opportunity cost of time, which is given by the long-run average reward. In two experiments, we varied opportunity cost across blocks, and subjects adjusted their behavior to blockwise changes in environmental characteristics. We examined how subjects learned their choice strategies by comparing choice adjustments to a learning rule suggested by the MVT (in which the opportunity cost threshold is estimated as an average over previous rewards) and to the predominant incremental-learning theory in neuroscience, temporal-difference learning (TD). Trial-by-trial decisions were explained better by the MVT threshold-learning rule. These findings expand on the foraging literature, which has focused on steady-state behavior, by elucidating a computational mechanism for learning in switching tasks that is distinct from those used in traditional tasks, and suggest connections to research on average reward rates in other domains of neuroscience.","author":[{"dropping-particle":"","family":"Constantino","given":"Sara M.","non-dropping-particle":"","parse-names":false,"suffix":""},{"dropping-particle":"","family":"Daw","given":"Nathaniel D.","non-dropping-particle":"","parse-names":false,"suffix":""}],"container-title":"Cognitive, Affective and Behavioral Neuroscience","id":"ITEM-1","issued":{"date-parts":[["2015"]]},"title":"Learning the opportunity cost of time in a patch-foraging task","type":"article-journal"}}],"schema":"https://github.com/citation-style-language/schema/raw/master/csl-citation.json"} </w:instrText>
      </w:r>
      <w:r w:rsidR="005F1FB4" w:rsidRPr="00701004">
        <w:rPr>
          <w:color w:val="000000"/>
        </w:rPr>
        <w:fldChar w:fldCharType="separate"/>
      </w:r>
      <w:r w:rsidR="00546949" w:rsidRPr="00701004">
        <w:rPr>
          <w:vertAlign w:val="superscript"/>
        </w:rPr>
        <w:t>24</w:t>
      </w:r>
      <w:r w:rsidR="005F1FB4" w:rsidRPr="00701004">
        <w:rPr>
          <w:color w:val="000000"/>
        </w:rPr>
        <w:fldChar w:fldCharType="end"/>
      </w:r>
      <w:r w:rsidR="005F1FB4" w:rsidRPr="00701004">
        <w:rPr>
          <w:color w:val="000000"/>
        </w:rPr>
        <w:t>.</w:t>
      </w:r>
      <w:r w:rsidR="00246688" w:rsidRPr="00701004">
        <w:rPr>
          <w:color w:val="000000"/>
        </w:rPr>
        <w:t xml:space="preserve"> </w:t>
      </w:r>
    </w:p>
    <w:p w14:paraId="0118792C" w14:textId="4FC228F5" w:rsidR="00E77FEF" w:rsidRPr="00701004" w:rsidRDefault="00246688" w:rsidP="00436A9D">
      <w:pPr>
        <w:spacing w:before="120" w:line="480" w:lineRule="auto"/>
        <w:ind w:firstLine="720"/>
        <w:jc w:val="both"/>
        <w:rPr>
          <w:color w:val="000000"/>
        </w:rPr>
      </w:pPr>
      <w:r w:rsidRPr="00701004">
        <w:rPr>
          <w:color w:val="000000"/>
        </w:rPr>
        <w:t xml:space="preserve">However, the ability to </w:t>
      </w:r>
      <w:r w:rsidR="008F0C15" w:rsidRPr="00701004">
        <w:rPr>
          <w:color w:val="000000"/>
        </w:rPr>
        <w:t>adapt</w:t>
      </w:r>
      <w:r w:rsidR="00FD7383" w:rsidRPr="00701004">
        <w:rPr>
          <w:color w:val="000000"/>
        </w:rPr>
        <w:t xml:space="preserve"> behaviour according to the</w:t>
      </w:r>
      <w:r w:rsidRPr="00701004">
        <w:rPr>
          <w:color w:val="000000"/>
        </w:rPr>
        <w:t xml:space="preserve"> structure of one’s environment </w:t>
      </w:r>
      <w:r w:rsidR="00436A9D" w:rsidRPr="00701004">
        <w:rPr>
          <w:color w:val="000000"/>
        </w:rPr>
        <w:t xml:space="preserve">has been shown to be </w:t>
      </w:r>
      <w:r w:rsidRPr="00701004">
        <w:rPr>
          <w:color w:val="000000"/>
        </w:rPr>
        <w:t xml:space="preserve">disrupted by </w:t>
      </w:r>
      <w:r w:rsidR="007A34B7" w:rsidRPr="00701004">
        <w:rPr>
          <w:color w:val="000000"/>
        </w:rPr>
        <w:t>anxiety</w:t>
      </w:r>
      <w:r w:rsidR="007A34B7" w:rsidRPr="00701004">
        <w:rPr>
          <w:color w:val="000000"/>
          <w:vertAlign w:val="superscript"/>
        </w:rPr>
        <w:t>7</w:t>
      </w:r>
      <w:r w:rsidRPr="00701004">
        <w:rPr>
          <w:color w:val="000000"/>
          <w:vertAlign w:val="superscript"/>
        </w:rPr>
        <w:t>,26</w:t>
      </w:r>
      <w:r w:rsidR="00774C2E" w:rsidRPr="00701004">
        <w:rPr>
          <w:color w:val="000000"/>
        </w:rPr>
        <w:t>.</w:t>
      </w:r>
      <w:r w:rsidR="007A34B7" w:rsidRPr="00701004">
        <w:rPr>
          <w:color w:val="000000"/>
        </w:rPr>
        <w:t xml:space="preserve"> </w:t>
      </w:r>
      <w:r w:rsidR="00774C2E" w:rsidRPr="00701004">
        <w:rPr>
          <w:color w:val="000000"/>
        </w:rPr>
        <w:t>I</w:t>
      </w:r>
      <w:r w:rsidR="00E77FEF" w:rsidRPr="00701004">
        <w:rPr>
          <w:color w:val="000000"/>
        </w:rPr>
        <w:t>n the context of patch foraging</w:t>
      </w:r>
      <w:r w:rsidR="00774C2E" w:rsidRPr="00701004">
        <w:rPr>
          <w:color w:val="000000"/>
        </w:rPr>
        <w:t>, this</w:t>
      </w:r>
      <w:r w:rsidR="00E77FEF" w:rsidRPr="00701004">
        <w:rPr>
          <w:color w:val="000000"/>
        </w:rPr>
        <w:t xml:space="preserve"> would reflect a</w:t>
      </w:r>
      <w:r w:rsidR="00F72E6E" w:rsidRPr="00701004">
        <w:rPr>
          <w:color w:val="000000"/>
        </w:rPr>
        <w:t xml:space="preserve"> poor</w:t>
      </w:r>
      <w:r w:rsidR="00E77FEF" w:rsidRPr="00701004">
        <w:rPr>
          <w:color w:val="000000"/>
        </w:rPr>
        <w:t xml:space="preserve"> ability to adjust the point at which the forager leaves the current patch </w:t>
      </w:r>
      <w:r w:rsidR="00C217C1" w:rsidRPr="00701004">
        <w:rPr>
          <w:color w:val="000000"/>
        </w:rPr>
        <w:t>to</w:t>
      </w:r>
      <w:r w:rsidR="00774C2E" w:rsidRPr="00701004">
        <w:rPr>
          <w:color w:val="000000"/>
        </w:rPr>
        <w:t xml:space="preserve"> changes </w:t>
      </w:r>
      <w:r w:rsidR="00C217C1" w:rsidRPr="00701004">
        <w:rPr>
          <w:color w:val="000000"/>
        </w:rPr>
        <w:t>in</w:t>
      </w:r>
      <w:r w:rsidR="00E77FEF" w:rsidRPr="00701004">
        <w:rPr>
          <w:color w:val="000000"/>
        </w:rPr>
        <w:t xml:space="preserve"> the quality of resources in</w:t>
      </w:r>
      <w:r w:rsidR="000E4234" w:rsidRPr="00701004">
        <w:rPr>
          <w:color w:val="000000"/>
        </w:rPr>
        <w:t xml:space="preserve"> the surrounding</w:t>
      </w:r>
      <w:r w:rsidR="00E77FEF" w:rsidRPr="00701004">
        <w:rPr>
          <w:color w:val="000000"/>
        </w:rPr>
        <w:t xml:space="preserve"> environment. </w:t>
      </w:r>
      <w:r w:rsidR="00A82A02" w:rsidRPr="00701004">
        <w:rPr>
          <w:color w:val="000000"/>
        </w:rPr>
        <w:t>A reduced</w:t>
      </w:r>
      <w:r w:rsidR="00D75745" w:rsidRPr="00701004">
        <w:rPr>
          <w:color w:val="000000"/>
        </w:rPr>
        <w:t xml:space="preserve"> ability to implement behavioural change is</w:t>
      </w:r>
      <w:r w:rsidR="00814D4D" w:rsidRPr="00701004">
        <w:rPr>
          <w:color w:val="000000"/>
        </w:rPr>
        <w:t xml:space="preserve"> particularly problematic in </w:t>
      </w:r>
      <w:r w:rsidR="00514DB1" w:rsidRPr="00701004">
        <w:rPr>
          <w:color w:val="000000"/>
        </w:rPr>
        <w:t xml:space="preserve">the </w:t>
      </w:r>
      <w:r w:rsidR="00814D4D" w:rsidRPr="00701004">
        <w:rPr>
          <w:color w:val="000000"/>
        </w:rPr>
        <w:t xml:space="preserve">context of the COVID-19 crisis, which has required </w:t>
      </w:r>
      <w:r w:rsidR="00D75745" w:rsidRPr="00701004">
        <w:rPr>
          <w:color w:val="000000"/>
        </w:rPr>
        <w:t>the population to adopt a series of novel behaviours</w:t>
      </w:r>
      <w:r w:rsidR="000E4234" w:rsidRPr="00701004">
        <w:rPr>
          <w:color w:val="000000"/>
          <w:vertAlign w:val="superscript"/>
        </w:rPr>
        <w:t>44</w:t>
      </w:r>
      <w:r w:rsidR="000E4234" w:rsidRPr="00701004">
        <w:rPr>
          <w:color w:val="000000"/>
        </w:rPr>
        <w:t>.</w:t>
      </w:r>
    </w:p>
    <w:p w14:paraId="4997FEAF" w14:textId="5C086001" w:rsidR="0010566D" w:rsidRPr="00701004" w:rsidRDefault="00556608" w:rsidP="003A72B6">
      <w:pPr>
        <w:spacing w:before="120" w:line="480" w:lineRule="auto"/>
        <w:ind w:firstLine="720"/>
        <w:jc w:val="both"/>
        <w:rPr>
          <w:color w:val="000000"/>
          <w:shd w:val="clear" w:color="auto" w:fill="FFFFFF"/>
        </w:rPr>
      </w:pPr>
      <w:r w:rsidRPr="00701004">
        <w:rPr>
          <w:bCs/>
          <w:color w:val="000000"/>
        </w:rPr>
        <w:lastRenderedPageBreak/>
        <w:t xml:space="preserve">Based on the </w:t>
      </w:r>
      <w:r w:rsidR="00306DAD" w:rsidRPr="00701004">
        <w:rPr>
          <w:bCs/>
          <w:color w:val="000000"/>
        </w:rPr>
        <w:t xml:space="preserve">delay discounting and patch foraging </w:t>
      </w:r>
      <w:r w:rsidRPr="00701004">
        <w:rPr>
          <w:bCs/>
          <w:color w:val="000000"/>
        </w:rPr>
        <w:t>literature, we</w:t>
      </w:r>
      <w:r w:rsidR="00A27F9B" w:rsidRPr="00701004">
        <w:rPr>
          <w:bCs/>
          <w:color w:val="000000"/>
        </w:rPr>
        <w:t xml:space="preserve"> pre-registered</w:t>
      </w:r>
      <w:r w:rsidR="00306DAD" w:rsidRPr="00701004">
        <w:rPr>
          <w:bCs/>
          <w:color w:val="000000"/>
        </w:rPr>
        <w:t xml:space="preserve"> </w:t>
      </w:r>
      <w:r w:rsidRPr="00701004">
        <w:rPr>
          <w:bCs/>
          <w:color w:val="000000"/>
        </w:rPr>
        <w:t>hypothese</w:t>
      </w:r>
      <w:r w:rsidR="00A27F9B" w:rsidRPr="00701004">
        <w:rPr>
          <w:bCs/>
          <w:color w:val="000000"/>
        </w:rPr>
        <w:t>s</w:t>
      </w:r>
      <w:r w:rsidRPr="00701004">
        <w:rPr>
          <w:bCs/>
          <w:color w:val="000000"/>
        </w:rPr>
        <w:t xml:space="preserve"> that </w:t>
      </w:r>
      <w:r w:rsidR="005F1FB4" w:rsidRPr="00701004">
        <w:rPr>
          <w:bCs/>
          <w:color w:val="000000"/>
        </w:rPr>
        <w:t xml:space="preserve">delay discounting </w:t>
      </w:r>
      <w:r w:rsidRPr="00701004">
        <w:rPr>
          <w:bCs/>
          <w:color w:val="000000"/>
        </w:rPr>
        <w:t xml:space="preserve">would </w:t>
      </w:r>
      <w:r w:rsidR="00D75BCA" w:rsidRPr="00701004">
        <w:rPr>
          <w:bCs/>
          <w:color w:val="000000"/>
        </w:rPr>
        <w:t xml:space="preserve">predict </w:t>
      </w:r>
      <w:r w:rsidR="001530CC" w:rsidRPr="00701004">
        <w:rPr>
          <w:bCs/>
          <w:color w:val="000000"/>
        </w:rPr>
        <w:t>adherence to</w:t>
      </w:r>
      <w:r w:rsidR="00C315E3" w:rsidRPr="00701004">
        <w:rPr>
          <w:bCs/>
          <w:color w:val="000000"/>
        </w:rPr>
        <w:t xml:space="preserve"> </w:t>
      </w:r>
      <w:r w:rsidRPr="00701004">
        <w:rPr>
          <w:bCs/>
          <w:color w:val="000000"/>
        </w:rPr>
        <w:t>social distancing</w:t>
      </w:r>
      <w:r w:rsidR="000510D6" w:rsidRPr="00701004">
        <w:rPr>
          <w:bCs/>
          <w:color w:val="000000"/>
        </w:rPr>
        <w:t xml:space="preserve"> measures</w:t>
      </w:r>
      <w:r w:rsidRPr="00701004">
        <w:rPr>
          <w:bCs/>
          <w:color w:val="000000"/>
        </w:rPr>
        <w:t xml:space="preserve"> </w:t>
      </w:r>
      <w:r w:rsidR="00D75BCA" w:rsidRPr="00701004">
        <w:rPr>
          <w:bCs/>
          <w:color w:val="000000"/>
        </w:rPr>
        <w:t>during the COVID-19 pandemic</w:t>
      </w:r>
      <w:r w:rsidRPr="00701004">
        <w:rPr>
          <w:bCs/>
          <w:color w:val="000000"/>
        </w:rPr>
        <w:t xml:space="preserve"> </w:t>
      </w:r>
      <w:r w:rsidRPr="00701004">
        <w:rPr>
          <w:color w:val="000000"/>
          <w:shd w:val="clear" w:color="auto" w:fill="FFFFFF"/>
        </w:rPr>
        <w:t>(</w:t>
      </w:r>
      <w:r w:rsidRPr="00701004">
        <w:rPr>
          <w:i/>
          <w:color w:val="000000"/>
          <w:shd w:val="clear" w:color="auto" w:fill="FFFFFF"/>
        </w:rPr>
        <w:t>H1a</w:t>
      </w:r>
      <w:r w:rsidR="004F6E3B" w:rsidRPr="00701004">
        <w:rPr>
          <w:i/>
          <w:color w:val="000000"/>
          <w:shd w:val="clear" w:color="auto" w:fill="FFFFFF"/>
        </w:rPr>
        <w:t xml:space="preserve">, </w:t>
      </w:r>
      <w:r w:rsidR="004F6E3B" w:rsidRPr="00701004">
        <w:rPr>
          <w:color w:val="000000"/>
          <w:shd w:val="clear" w:color="auto" w:fill="FFFFFF"/>
        </w:rPr>
        <w:t>two-tailed</w:t>
      </w:r>
      <w:r w:rsidRPr="00701004">
        <w:rPr>
          <w:color w:val="000000"/>
          <w:shd w:val="clear" w:color="auto" w:fill="FFFFFF"/>
        </w:rPr>
        <w:t>)</w:t>
      </w:r>
      <w:r w:rsidR="005F1FB4" w:rsidRPr="00701004">
        <w:rPr>
          <w:bCs/>
          <w:color w:val="000000"/>
        </w:rPr>
        <w:t>.</w:t>
      </w:r>
      <w:r w:rsidR="00820F0E" w:rsidRPr="00701004">
        <w:rPr>
          <w:bCs/>
          <w:color w:val="000000"/>
        </w:rPr>
        <w:t xml:space="preserve"> </w:t>
      </w:r>
      <w:r w:rsidR="000510D6" w:rsidRPr="00701004">
        <w:rPr>
          <w:bCs/>
          <w:color w:val="000000"/>
        </w:rPr>
        <w:t>Insofar as</w:t>
      </w:r>
      <w:r w:rsidR="00D75BCA" w:rsidRPr="00701004">
        <w:rPr>
          <w:bCs/>
          <w:color w:val="000000"/>
        </w:rPr>
        <w:t xml:space="preserve"> </w:t>
      </w:r>
      <w:r w:rsidR="005F1FB4" w:rsidRPr="00701004">
        <w:rPr>
          <w:color w:val="000000"/>
          <w:shd w:val="clear" w:color="auto" w:fill="FFFFFF"/>
        </w:rPr>
        <w:t xml:space="preserve">delay discounting is </w:t>
      </w:r>
      <w:r w:rsidR="00474D3C" w:rsidRPr="00701004">
        <w:rPr>
          <w:color w:val="000000"/>
          <w:shd w:val="clear" w:color="auto" w:fill="FFFFFF"/>
        </w:rPr>
        <w:t>a stable characteristic</w:t>
      </w:r>
      <w:r w:rsidR="00474D3C" w:rsidRPr="00701004">
        <w:rPr>
          <w:color w:val="000000"/>
          <w:shd w:val="clear" w:color="auto" w:fill="FFFFFF"/>
        </w:rPr>
        <w:fldChar w:fldCharType="begin" w:fldLock="1"/>
      </w:r>
      <w:r w:rsidR="00546949" w:rsidRPr="00701004">
        <w:rPr>
          <w:color w:val="000000"/>
          <w:shd w:val="clear" w:color="auto" w:fill="FFFFFF"/>
        </w:rPr>
        <w:instrText xml:space="preserve"> ADDIN ZOTERO_ITEM CSL_CITATION {"citationID":"AGFkI9zd","properties":{"formattedCitation":"\\super 9,25\\nosupersub{}","plainCitation":"9,25","noteIndex":0},"citationItems":[{"id":"3dXyczz3/lgt1Skmp","uris":["http://www.mendeley.com/documents/?uuid=cdaa577c-e0cb-411b-a2dd-c6864fb14680"],"uri":["http://www.mendeley.com/documents/?uuid=cdaa577c-e0cb-411b-a2dd-c6864fb14680"],"itemData":{"DOI":"10.1037/12069-002","abstract":"Psychology is concerned with the factors that determine behavior. From the beginning of the field, two broad influences on behavior have been seen as important: factors resulting in within-person variability (state variables) and factors resulting in between-person variability (trait variables), also known as organismic and environmental influences, respectively. In this chapter, we first offer definitions of state and trait variables and give some indication of their historical and modern position. We then review state and trait influences on delay discounting. We conclude with implications for applied and clinical interventions.","author":[{"dropping-particle":"","family":"Odum","given":"Amy L.","non-dropping-particle":"","parse-names":false,"suffix":""},{"dropping-particle":"","family":"Baumann","given":"Ana A. L.","non-dropping-particle":"","parse-names":false,"suffix":""}],"container-title":"Impulsivity: The behavioral and neurological science of discounting.","id":"ITEM-1","issued":{"date-parts":[["2010"]]},"title":"Delay discounting: State and trait variable.","type":"chapter"}},{"id":"3dXyczz3/mVBqCgyc","uris":["http://www.mendeley.com/documents/?uuid=c3b4173a-2e52-32ba-bd22-e994d86aef5f"],"uri":["http://www.mendeley.com/documents/?uuid=c3b4173a-2e52-32ba-bd22-e994d86aef5f"],"itemData":{"DOI":"10.1016/j.beproc.2011.02.007","ISSN":"03766357","abstract":"Delay discounting refers to the tendency for outcomes that are remote in time to have less value than more immediate outcomes. Steep discounting of delayed outcomes is associated with a variety of social maladies. The degree of sensitivity to delayed outcomes may be a stable and pervasive individual characteristic. In analyses of archival data, the present study found positive correlations between the degree of delay discounting for one outcome (as measured by the Area Under the Curve), and the degree of discounting for other outcomes. Along with additional evidence reviewed, these data suggest that delay discounting may be considered a personality trait. Recent research in epigenetics, neuroscience, and behavior suggests delay discounting may prove to be a beneficial target for therapeutic attempts to produce global reductions in impulsivity related to delay discounting. © 2011 Elsevier B.V.","author":[{"dropping-particle":"","family":"Odum","given":"Amy L.","non-dropping-particle":"","parse-names":false,"suffix":""}],"container-title":"Behavioural Processes","id":"ITEM-2","issue":"1","issued":{"date-parts":[["2011","5"]]},"page":"1-9","publisher":"Behav Processes","title":"Delay discounting: Trait variable?","type":"article-journal","volume":"87"}}],"schema":"https://github.com/citation-style-language/schema/raw/master/csl-citation.json"} </w:instrText>
      </w:r>
      <w:r w:rsidR="00474D3C" w:rsidRPr="00701004">
        <w:rPr>
          <w:color w:val="000000"/>
          <w:shd w:val="clear" w:color="auto" w:fill="FFFFFF"/>
        </w:rPr>
        <w:fldChar w:fldCharType="separate"/>
      </w:r>
      <w:r w:rsidR="00546949" w:rsidRPr="00701004">
        <w:rPr>
          <w:vertAlign w:val="superscript"/>
        </w:rPr>
        <w:t>9,25</w:t>
      </w:r>
      <w:r w:rsidR="00474D3C" w:rsidRPr="00701004">
        <w:rPr>
          <w:color w:val="000000"/>
          <w:shd w:val="clear" w:color="auto" w:fill="FFFFFF"/>
        </w:rPr>
        <w:fldChar w:fldCharType="end"/>
      </w:r>
      <w:r w:rsidR="00D13073" w:rsidRPr="00701004">
        <w:rPr>
          <w:color w:val="000000"/>
          <w:shd w:val="clear" w:color="auto" w:fill="FFFFFF"/>
        </w:rPr>
        <w:t xml:space="preserve"> </w:t>
      </w:r>
      <w:r w:rsidRPr="00701004">
        <w:rPr>
          <w:color w:val="000000"/>
          <w:shd w:val="clear" w:color="auto" w:fill="FFFFFF"/>
        </w:rPr>
        <w:t xml:space="preserve">that </w:t>
      </w:r>
      <w:r w:rsidR="00D13073" w:rsidRPr="00701004">
        <w:rPr>
          <w:color w:val="000000"/>
          <w:shd w:val="clear" w:color="auto" w:fill="FFFFFF"/>
        </w:rPr>
        <w:t>captur</w:t>
      </w:r>
      <w:r w:rsidRPr="00701004">
        <w:rPr>
          <w:color w:val="000000"/>
          <w:shd w:val="clear" w:color="auto" w:fill="FFFFFF"/>
        </w:rPr>
        <w:t>es</w:t>
      </w:r>
      <w:r w:rsidR="003A72B6" w:rsidRPr="00701004">
        <w:rPr>
          <w:color w:val="000000"/>
          <w:shd w:val="clear" w:color="auto" w:fill="FFFFFF"/>
        </w:rPr>
        <w:t xml:space="preserve"> the degree to which individuals devalue delayed rewards</w:t>
      </w:r>
      <w:r w:rsidR="00D75BCA" w:rsidRPr="00701004">
        <w:rPr>
          <w:color w:val="000000"/>
          <w:shd w:val="clear" w:color="auto" w:fill="FFFFFF"/>
        </w:rPr>
        <w:t xml:space="preserve">, </w:t>
      </w:r>
      <w:r w:rsidR="000510D6" w:rsidRPr="00701004">
        <w:rPr>
          <w:color w:val="000000"/>
          <w:shd w:val="clear" w:color="auto" w:fill="FFFFFF"/>
        </w:rPr>
        <w:t>one might expect</w:t>
      </w:r>
      <w:r w:rsidRPr="00701004">
        <w:rPr>
          <w:color w:val="000000"/>
          <w:shd w:val="clear" w:color="auto" w:fill="FFFFFF"/>
        </w:rPr>
        <w:t xml:space="preserve"> </w:t>
      </w:r>
      <w:r w:rsidR="00D75BCA" w:rsidRPr="00701004">
        <w:rPr>
          <w:color w:val="000000"/>
          <w:shd w:val="clear" w:color="auto" w:fill="FFFFFF"/>
        </w:rPr>
        <w:t xml:space="preserve">higher levels of </w:t>
      </w:r>
      <w:r w:rsidR="00474D3C" w:rsidRPr="00701004">
        <w:rPr>
          <w:color w:val="000000"/>
          <w:shd w:val="clear" w:color="auto" w:fill="FFFFFF"/>
        </w:rPr>
        <w:t xml:space="preserve">delay discounting </w:t>
      </w:r>
      <w:r w:rsidR="000510D6" w:rsidRPr="00701004">
        <w:rPr>
          <w:color w:val="000000"/>
          <w:shd w:val="clear" w:color="auto" w:fill="FFFFFF"/>
        </w:rPr>
        <w:t xml:space="preserve">to </w:t>
      </w:r>
      <w:r w:rsidR="00474D3C" w:rsidRPr="00701004">
        <w:rPr>
          <w:color w:val="000000"/>
          <w:shd w:val="clear" w:color="auto" w:fill="FFFFFF"/>
        </w:rPr>
        <w:t xml:space="preserve">predict </w:t>
      </w:r>
      <w:r w:rsidR="00D75BCA" w:rsidRPr="00701004">
        <w:rPr>
          <w:color w:val="000000"/>
          <w:shd w:val="clear" w:color="auto" w:fill="FFFFFF"/>
        </w:rPr>
        <w:t xml:space="preserve">poorer </w:t>
      </w:r>
      <w:r w:rsidR="00474D3C" w:rsidRPr="00701004">
        <w:rPr>
          <w:color w:val="000000"/>
          <w:shd w:val="clear" w:color="auto" w:fill="FFFFFF"/>
        </w:rPr>
        <w:t xml:space="preserve">adherence to social distancing. </w:t>
      </w:r>
      <w:r w:rsidR="000510D6" w:rsidRPr="00701004">
        <w:rPr>
          <w:color w:val="000000"/>
          <w:shd w:val="clear" w:color="auto" w:fill="FFFFFF"/>
        </w:rPr>
        <w:t>However</w:t>
      </w:r>
      <w:r w:rsidRPr="00701004">
        <w:rPr>
          <w:color w:val="000000"/>
          <w:shd w:val="clear" w:color="auto" w:fill="FFFFFF"/>
        </w:rPr>
        <w:t xml:space="preserve">, </w:t>
      </w:r>
      <w:r w:rsidR="000510D6" w:rsidRPr="00701004">
        <w:rPr>
          <w:color w:val="000000"/>
          <w:shd w:val="clear" w:color="auto" w:fill="FFFFFF"/>
        </w:rPr>
        <w:t>given</w:t>
      </w:r>
      <w:r w:rsidR="00D75BCA" w:rsidRPr="00701004">
        <w:rPr>
          <w:color w:val="000000"/>
          <w:shd w:val="clear" w:color="auto" w:fill="FFFFFF"/>
        </w:rPr>
        <w:t xml:space="preserve"> evidence that </w:t>
      </w:r>
      <w:r w:rsidR="00474D3C" w:rsidRPr="00701004">
        <w:rPr>
          <w:color w:val="000000"/>
          <w:shd w:val="clear" w:color="auto" w:fill="FFFFFF"/>
        </w:rPr>
        <w:t xml:space="preserve">delay discounting </w:t>
      </w:r>
      <w:r w:rsidR="00D13073" w:rsidRPr="00701004">
        <w:rPr>
          <w:color w:val="000000"/>
          <w:shd w:val="clear" w:color="auto" w:fill="FFFFFF"/>
        </w:rPr>
        <w:t>increases in response to crises</w:t>
      </w:r>
      <w:r w:rsidRPr="00701004">
        <w:rPr>
          <w:color w:val="000000"/>
          <w:shd w:val="clear" w:color="auto" w:fill="FFFFFF"/>
        </w:rPr>
        <w:fldChar w:fldCharType="begin" w:fldLock="1"/>
      </w:r>
      <w:r w:rsidR="00546949" w:rsidRPr="00701004">
        <w:rPr>
          <w:color w:val="000000"/>
          <w:shd w:val="clear" w:color="auto" w:fill="FFFFFF"/>
        </w:rPr>
        <w:instrText xml:space="preserve"> ADDIN ZOTERO_ITEM CSL_CITATION {"citationID":"w8DrHZJN","properties":{"formattedCitation":"\\super 10\\nosupersub{}","plainCitation":"10","noteIndex":0},"citationItems":[{"id":"3dXyczz3/sU9pfrSB","uris":["http://www.mendeley.com/documents/?uuid=29f8a11d-b8b0-4a0b-a235-09798a09de86"],"uri":["http://www.mendeley.com/documents/?uuid=29f8a11d-b8b0-4a0b-a235-09798a09de86"],"itemData":{"DOI":"10.1016/j.paid.2019.02.035","ISSN":"01918869","abstract":"Previous research demonstrates that stress is a precipitant of greater delay discounting, which reflects greater behavioral impulsivity. However, the underlying factors that explain this relationship are unclear. The concept of emotion regulation states that individuals with poorly regulated emotions often engage in maladaptive behaviors to escape from or down-regulate their emotions. One such behavior may be greater delay discounting. Thus, the purpose of this study was to examine whether difficulties in emotion regulation would mediate the association between stress and delay discounting. The sample consisted of 418 adults. In addition to the traditional discounting measure with pairs of hypothetical choices between immediate and delayed monetary outcomes, the Perceived Stress Scale and Difficulties in Emotion Regulation Scale were used to collect data. Results showed that experience of stress was related to individuals' poorer capability of emotion regulation, which in turn, was related to higher delay discounting rate. Additionally, higher stress level was directly related to greater delay discounting. Furthermore, difficulties in emotion regulation have a significant mediator role in the relationship between stress and delay discounting. It is argued that individuals with high levels of stress become prone to impulsive behavior like greater delay discounting via emotional dysregulation.","author":[{"dropping-particle":"","family":"Malesza","given":"Marta","non-dropping-particle":"","parse-names":false,"suffix":""}],"container-title":"Personality and Individual Differences","id":"ITEM-1","issued":{"date-parts":[["2019"]]},"title":"Stress and delay discounting: The mediating role of difficulties in emotion regulation","type":"article-journal"}}],"schema":"https://github.com/citation-style-language/schema/raw/master/csl-citation.json"} </w:instrText>
      </w:r>
      <w:r w:rsidRPr="00701004">
        <w:rPr>
          <w:color w:val="000000"/>
          <w:shd w:val="clear" w:color="auto" w:fill="FFFFFF"/>
        </w:rPr>
        <w:fldChar w:fldCharType="separate"/>
      </w:r>
      <w:r w:rsidR="00546949" w:rsidRPr="00701004">
        <w:rPr>
          <w:vertAlign w:val="superscript"/>
        </w:rPr>
        <w:t>10</w:t>
      </w:r>
      <w:r w:rsidRPr="00701004">
        <w:rPr>
          <w:color w:val="000000"/>
          <w:shd w:val="clear" w:color="auto" w:fill="FFFFFF"/>
        </w:rPr>
        <w:fldChar w:fldCharType="end"/>
      </w:r>
      <w:r w:rsidR="00D13073" w:rsidRPr="00701004">
        <w:rPr>
          <w:color w:val="000000"/>
          <w:shd w:val="clear" w:color="auto" w:fill="FFFFFF"/>
        </w:rPr>
        <w:t xml:space="preserve">, </w:t>
      </w:r>
      <w:r w:rsidR="000510D6" w:rsidRPr="00701004">
        <w:rPr>
          <w:color w:val="000000"/>
          <w:shd w:val="clear" w:color="auto" w:fill="FFFFFF"/>
        </w:rPr>
        <w:t>it could be that steeper discounting</w:t>
      </w:r>
      <w:r w:rsidR="00D13073" w:rsidRPr="00701004">
        <w:rPr>
          <w:color w:val="000000"/>
          <w:shd w:val="clear" w:color="auto" w:fill="FFFFFF"/>
        </w:rPr>
        <w:t xml:space="preserve"> </w:t>
      </w:r>
      <w:r w:rsidR="000510D6" w:rsidRPr="00701004">
        <w:rPr>
          <w:color w:val="000000"/>
          <w:shd w:val="clear" w:color="auto" w:fill="FFFFFF"/>
        </w:rPr>
        <w:t xml:space="preserve">reflects </w:t>
      </w:r>
      <w:r w:rsidR="00D05DEE" w:rsidRPr="00701004">
        <w:rPr>
          <w:color w:val="000000"/>
          <w:shd w:val="clear" w:color="auto" w:fill="FFFFFF"/>
        </w:rPr>
        <w:t xml:space="preserve">an </w:t>
      </w:r>
      <w:r w:rsidR="00D13073" w:rsidRPr="00701004">
        <w:rPr>
          <w:color w:val="000000"/>
          <w:shd w:val="clear" w:color="auto" w:fill="FFFFFF"/>
        </w:rPr>
        <w:t>adaptive</w:t>
      </w:r>
      <w:r w:rsidR="00D05DEE" w:rsidRPr="00701004">
        <w:rPr>
          <w:color w:val="000000"/>
          <w:shd w:val="clear" w:color="auto" w:fill="FFFFFF"/>
        </w:rPr>
        <w:t xml:space="preserve"> response to </w:t>
      </w:r>
      <w:r w:rsidR="004F6E3B" w:rsidRPr="00701004">
        <w:rPr>
          <w:color w:val="000000"/>
          <w:shd w:val="clear" w:color="auto" w:fill="FFFFFF"/>
        </w:rPr>
        <w:t xml:space="preserve">the changeable </w:t>
      </w:r>
      <w:r w:rsidR="00D05DEE" w:rsidRPr="00701004">
        <w:rPr>
          <w:color w:val="000000"/>
          <w:shd w:val="clear" w:color="auto" w:fill="FFFFFF"/>
        </w:rPr>
        <w:t>environment</w:t>
      </w:r>
      <w:r w:rsidR="00D13073" w:rsidRPr="00701004">
        <w:rPr>
          <w:color w:val="000000"/>
          <w:shd w:val="clear" w:color="auto" w:fill="FFFFFF"/>
        </w:rPr>
        <w:t>.</w:t>
      </w:r>
      <w:r w:rsidRPr="00701004">
        <w:rPr>
          <w:color w:val="000000"/>
          <w:shd w:val="clear" w:color="auto" w:fill="FFFFFF"/>
        </w:rPr>
        <w:t xml:space="preserve"> As such, it is also possible that </w:t>
      </w:r>
      <w:r w:rsidR="00D75BCA" w:rsidRPr="00701004">
        <w:rPr>
          <w:color w:val="000000"/>
          <w:shd w:val="clear" w:color="auto" w:fill="FFFFFF"/>
        </w:rPr>
        <w:t xml:space="preserve">higher levels of discounting </w:t>
      </w:r>
      <w:r w:rsidR="005F1FB4" w:rsidRPr="00701004">
        <w:rPr>
          <w:color w:val="000000"/>
          <w:shd w:val="clear" w:color="auto" w:fill="FFFFFF"/>
        </w:rPr>
        <w:t xml:space="preserve">will </w:t>
      </w:r>
      <w:r w:rsidR="00D75BCA" w:rsidRPr="00701004">
        <w:rPr>
          <w:color w:val="000000"/>
          <w:shd w:val="clear" w:color="auto" w:fill="FFFFFF"/>
        </w:rPr>
        <w:t xml:space="preserve">predict </w:t>
      </w:r>
      <w:r w:rsidR="00D75BCA" w:rsidRPr="00701004">
        <w:rPr>
          <w:i/>
          <w:iCs/>
          <w:color w:val="000000"/>
          <w:shd w:val="clear" w:color="auto" w:fill="FFFFFF"/>
        </w:rPr>
        <w:t>greater</w:t>
      </w:r>
      <w:r w:rsidR="00D75BCA" w:rsidRPr="00701004">
        <w:rPr>
          <w:color w:val="000000"/>
          <w:shd w:val="clear" w:color="auto" w:fill="FFFFFF"/>
        </w:rPr>
        <w:t xml:space="preserve"> adherence</w:t>
      </w:r>
      <w:r w:rsidR="00474D3C" w:rsidRPr="00701004">
        <w:rPr>
          <w:color w:val="000000"/>
          <w:shd w:val="clear" w:color="auto" w:fill="FFFFFF"/>
        </w:rPr>
        <w:t xml:space="preserve"> </w:t>
      </w:r>
      <w:r w:rsidR="005F1FB4" w:rsidRPr="00701004">
        <w:rPr>
          <w:color w:val="000000"/>
          <w:shd w:val="clear" w:color="auto" w:fill="FFFFFF"/>
        </w:rPr>
        <w:t xml:space="preserve">to social distancing. </w:t>
      </w:r>
      <w:r w:rsidRPr="00701004">
        <w:t>W</w:t>
      </w:r>
      <w:r w:rsidR="005F1FB4" w:rsidRPr="00701004">
        <w:t xml:space="preserve">e additionally </w:t>
      </w:r>
      <w:r w:rsidRPr="00701004">
        <w:t xml:space="preserve">hypothesised </w:t>
      </w:r>
      <w:r w:rsidR="005F1FB4" w:rsidRPr="00701004">
        <w:t xml:space="preserve">that </w:t>
      </w:r>
      <w:r w:rsidR="005F1FB4" w:rsidRPr="00701004">
        <w:rPr>
          <w:color w:val="000000"/>
        </w:rPr>
        <w:t xml:space="preserve">higher learning rates </w:t>
      </w:r>
      <w:r w:rsidR="00535124" w:rsidRPr="00701004">
        <w:rPr>
          <w:color w:val="000000"/>
        </w:rPr>
        <w:t>would</w:t>
      </w:r>
      <w:r w:rsidR="005F1FB4" w:rsidRPr="00701004">
        <w:rPr>
          <w:color w:val="000000"/>
        </w:rPr>
        <w:t xml:space="preserve"> predict greater social distancing adherence (</w:t>
      </w:r>
      <w:r w:rsidR="005F1FB4" w:rsidRPr="00701004">
        <w:rPr>
          <w:i/>
          <w:color w:val="000000"/>
        </w:rPr>
        <w:t>H1</w:t>
      </w:r>
      <w:r w:rsidRPr="00701004">
        <w:rPr>
          <w:i/>
          <w:color w:val="000000"/>
        </w:rPr>
        <w:t>b</w:t>
      </w:r>
      <w:r w:rsidR="005F1FB4" w:rsidRPr="00701004">
        <w:rPr>
          <w:color w:val="000000"/>
        </w:rPr>
        <w:t>)</w:t>
      </w:r>
      <w:r w:rsidR="005F1FB4" w:rsidRPr="00701004">
        <w:t xml:space="preserve">. </w:t>
      </w:r>
      <w:r w:rsidRPr="00701004">
        <w:t xml:space="preserve">Finally, </w:t>
      </w:r>
      <w:r w:rsidRPr="00701004">
        <w:rPr>
          <w:color w:val="000000"/>
        </w:rPr>
        <w:t>w</w:t>
      </w:r>
      <w:r w:rsidR="005F1FB4" w:rsidRPr="00701004">
        <w:rPr>
          <w:color w:val="000000"/>
        </w:rPr>
        <w:t xml:space="preserve">e </w:t>
      </w:r>
      <w:r w:rsidRPr="00701004">
        <w:rPr>
          <w:color w:val="000000"/>
        </w:rPr>
        <w:t xml:space="preserve">hypothesised that </w:t>
      </w:r>
      <w:r w:rsidR="005F1FB4" w:rsidRPr="00701004">
        <w:rPr>
          <w:color w:val="000000"/>
        </w:rPr>
        <w:t xml:space="preserve">poorer mental health, including specific anxiety about the COVID-19 pandemic, </w:t>
      </w:r>
      <w:r w:rsidR="000510D6" w:rsidRPr="00701004">
        <w:rPr>
          <w:color w:val="000000"/>
        </w:rPr>
        <w:t>would</w:t>
      </w:r>
      <w:r w:rsidRPr="00701004">
        <w:rPr>
          <w:color w:val="000000"/>
        </w:rPr>
        <w:t xml:space="preserve"> be predicted by higher levels of </w:t>
      </w:r>
      <w:r w:rsidR="005F1FB4" w:rsidRPr="00701004">
        <w:rPr>
          <w:color w:val="000000"/>
        </w:rPr>
        <w:t>delay discounting (</w:t>
      </w:r>
      <w:r w:rsidR="005F1FB4" w:rsidRPr="00701004">
        <w:rPr>
          <w:i/>
          <w:color w:val="000000"/>
        </w:rPr>
        <w:t>H</w:t>
      </w:r>
      <w:r w:rsidR="00403583" w:rsidRPr="00701004">
        <w:rPr>
          <w:i/>
          <w:color w:val="000000"/>
        </w:rPr>
        <w:t>2</w:t>
      </w:r>
      <w:r w:rsidR="005F1FB4" w:rsidRPr="00701004">
        <w:rPr>
          <w:i/>
          <w:color w:val="000000"/>
        </w:rPr>
        <w:t>a</w:t>
      </w:r>
      <w:r w:rsidR="005F1FB4" w:rsidRPr="00701004">
        <w:rPr>
          <w:color w:val="000000"/>
        </w:rPr>
        <w:t>) and a reduced ability to adapt</w:t>
      </w:r>
      <w:r w:rsidR="006B327B" w:rsidRPr="00701004">
        <w:rPr>
          <w:color w:val="000000"/>
        </w:rPr>
        <w:t xml:space="preserve"> </w:t>
      </w:r>
      <w:r w:rsidR="0075619F" w:rsidRPr="00701004">
        <w:rPr>
          <w:color w:val="000000"/>
        </w:rPr>
        <w:t>the point at which they left patches</w:t>
      </w:r>
      <w:r w:rsidR="005F1FB4" w:rsidRPr="00701004">
        <w:rPr>
          <w:color w:val="000000"/>
        </w:rPr>
        <w:t xml:space="preserve"> between </w:t>
      </w:r>
      <w:r w:rsidR="0075619F" w:rsidRPr="00701004">
        <w:rPr>
          <w:color w:val="000000"/>
        </w:rPr>
        <w:t xml:space="preserve">foraging </w:t>
      </w:r>
      <w:r w:rsidR="005F1FB4" w:rsidRPr="00701004">
        <w:rPr>
          <w:color w:val="000000"/>
        </w:rPr>
        <w:t>environments (</w:t>
      </w:r>
      <w:r w:rsidR="005F1FB4" w:rsidRPr="00701004">
        <w:rPr>
          <w:i/>
          <w:color w:val="000000"/>
        </w:rPr>
        <w:t>H</w:t>
      </w:r>
      <w:r w:rsidR="00403583" w:rsidRPr="00701004">
        <w:rPr>
          <w:i/>
          <w:color w:val="000000"/>
        </w:rPr>
        <w:t>2</w:t>
      </w:r>
      <w:r w:rsidR="005F1FB4" w:rsidRPr="00701004">
        <w:rPr>
          <w:i/>
          <w:color w:val="000000"/>
        </w:rPr>
        <w:t>b)</w:t>
      </w:r>
      <w:r w:rsidR="005F1FB4" w:rsidRPr="00701004">
        <w:rPr>
          <w:color w:val="000000"/>
          <w:shd w:val="clear" w:color="auto" w:fill="FFFFFF"/>
        </w:rPr>
        <w:t>.</w:t>
      </w:r>
      <w:r w:rsidR="005F1FB4" w:rsidRPr="00701004">
        <w:rPr>
          <w:color w:val="000000"/>
        </w:rPr>
        <w:t xml:space="preserve"> </w:t>
      </w:r>
      <w:r w:rsidR="00647D45" w:rsidRPr="00701004">
        <w:rPr>
          <w:color w:val="000000"/>
        </w:rPr>
        <w:t xml:space="preserve">To test the above, we utilised a </w:t>
      </w:r>
      <w:r w:rsidR="002D762A" w:rsidRPr="00701004">
        <w:rPr>
          <w:color w:val="000000"/>
        </w:rPr>
        <w:t xml:space="preserve">scale measuring </w:t>
      </w:r>
      <w:r w:rsidR="00647D45" w:rsidRPr="00701004">
        <w:rPr>
          <w:color w:val="000000"/>
        </w:rPr>
        <w:t xml:space="preserve">social distancing </w:t>
      </w:r>
      <w:r w:rsidR="009D30B0" w:rsidRPr="00701004">
        <w:rPr>
          <w:bCs/>
          <w:color w:val="000000"/>
        </w:rPr>
        <w:t>(Gibson-Miller et al., in prep</w:t>
      </w:r>
      <w:r w:rsidR="00647D45" w:rsidRPr="00701004">
        <w:rPr>
          <w:bCs/>
          <w:color w:val="000000"/>
        </w:rPr>
        <w:t>; see Methods</w:t>
      </w:r>
      <w:r w:rsidR="009D30B0" w:rsidRPr="00701004">
        <w:rPr>
          <w:bCs/>
          <w:color w:val="000000"/>
        </w:rPr>
        <w:t>)</w:t>
      </w:r>
      <w:r w:rsidR="000554AC" w:rsidRPr="00701004">
        <w:rPr>
          <w:bCs/>
          <w:color w:val="000000"/>
        </w:rPr>
        <w:t xml:space="preserve"> </w:t>
      </w:r>
      <w:r w:rsidR="00647D45" w:rsidRPr="00701004">
        <w:rPr>
          <w:bCs/>
          <w:color w:val="000000"/>
        </w:rPr>
        <w:t xml:space="preserve">and </w:t>
      </w:r>
      <w:r w:rsidR="000554AC" w:rsidRPr="00701004">
        <w:rPr>
          <w:bCs/>
          <w:color w:val="000000"/>
        </w:rPr>
        <w:t xml:space="preserve">predicted </w:t>
      </w:r>
      <w:r w:rsidR="009D30B0" w:rsidRPr="00701004">
        <w:rPr>
          <w:bCs/>
          <w:color w:val="000000"/>
        </w:rPr>
        <w:t xml:space="preserve">that a dimensional representation of social distancing would be identifiable </w:t>
      </w:r>
      <w:r w:rsidR="00647D45" w:rsidRPr="00701004">
        <w:rPr>
          <w:bCs/>
          <w:color w:val="000000"/>
        </w:rPr>
        <w:t xml:space="preserve">that would allow us </w:t>
      </w:r>
      <w:r w:rsidR="009D30B0" w:rsidRPr="00701004">
        <w:rPr>
          <w:bCs/>
          <w:color w:val="000000"/>
        </w:rPr>
        <w:t xml:space="preserve">to determine the degree to which </w:t>
      </w:r>
      <w:r w:rsidR="00647D45" w:rsidRPr="00701004">
        <w:rPr>
          <w:bCs/>
          <w:color w:val="000000"/>
        </w:rPr>
        <w:t xml:space="preserve">participants </w:t>
      </w:r>
      <w:r w:rsidR="009D30B0" w:rsidRPr="00701004">
        <w:rPr>
          <w:bCs/>
          <w:color w:val="000000"/>
        </w:rPr>
        <w:t xml:space="preserve">were adhering to or violating </w:t>
      </w:r>
      <w:r w:rsidR="00647D45" w:rsidRPr="00701004">
        <w:rPr>
          <w:bCs/>
          <w:color w:val="000000"/>
        </w:rPr>
        <w:t xml:space="preserve">the </w:t>
      </w:r>
      <w:r w:rsidR="0068207C" w:rsidRPr="00701004">
        <w:rPr>
          <w:bCs/>
          <w:color w:val="000000"/>
        </w:rPr>
        <w:t xml:space="preserve">government rules around </w:t>
      </w:r>
      <w:r w:rsidR="009D30B0" w:rsidRPr="00701004">
        <w:rPr>
          <w:bCs/>
          <w:color w:val="000000"/>
        </w:rPr>
        <w:t xml:space="preserve">social distancing. </w:t>
      </w:r>
    </w:p>
    <w:p w14:paraId="4628176F" w14:textId="77777777" w:rsidR="00460077" w:rsidRPr="00701004" w:rsidRDefault="00460077" w:rsidP="00647D45">
      <w:pPr>
        <w:spacing w:before="120" w:line="480" w:lineRule="auto"/>
        <w:ind w:firstLine="720"/>
        <w:jc w:val="both"/>
        <w:rPr>
          <w:bCs/>
          <w:color w:val="000000"/>
        </w:rPr>
      </w:pPr>
    </w:p>
    <w:p w14:paraId="376B03A5" w14:textId="6149FBE2" w:rsidR="005F1FB4" w:rsidRPr="00701004" w:rsidRDefault="005F1FB4" w:rsidP="00874D8D">
      <w:pPr>
        <w:spacing w:after="160" w:line="259" w:lineRule="auto"/>
        <w:jc w:val="center"/>
        <w:rPr>
          <w:b/>
          <w:color w:val="000000"/>
        </w:rPr>
      </w:pPr>
      <w:r w:rsidRPr="00701004">
        <w:rPr>
          <w:b/>
          <w:color w:val="000000"/>
        </w:rPr>
        <w:t>Results</w:t>
      </w:r>
    </w:p>
    <w:p w14:paraId="4BCC0A3B" w14:textId="77777777" w:rsidR="005F1FB4" w:rsidRPr="00701004" w:rsidRDefault="005F1FB4" w:rsidP="005F1FB4">
      <w:pPr>
        <w:autoSpaceDE w:val="0"/>
        <w:autoSpaceDN w:val="0"/>
        <w:adjustRightInd w:val="0"/>
        <w:spacing w:before="120" w:line="480" w:lineRule="auto"/>
        <w:jc w:val="both"/>
        <w:rPr>
          <w:rFonts w:eastAsiaTheme="minorHAnsi"/>
          <w:b/>
          <w:caps/>
        </w:rPr>
      </w:pPr>
      <w:r w:rsidRPr="00701004">
        <w:rPr>
          <w:rFonts w:eastAsiaTheme="minorHAnsi"/>
          <w:b/>
        </w:rPr>
        <w:t>Cognitive characteristics predicted adherence to social distancing during lockdown</w:t>
      </w:r>
    </w:p>
    <w:p w14:paraId="78D6F143" w14:textId="60AEC51F" w:rsidR="009040FF" w:rsidRPr="00701004" w:rsidRDefault="00C86930" w:rsidP="00FE3B5C">
      <w:pPr>
        <w:autoSpaceDE w:val="0"/>
        <w:autoSpaceDN w:val="0"/>
        <w:adjustRightInd w:val="0"/>
        <w:spacing w:before="120" w:line="480" w:lineRule="auto"/>
        <w:ind w:firstLine="720"/>
        <w:jc w:val="both"/>
        <w:rPr>
          <w:rFonts w:eastAsiaTheme="minorHAnsi"/>
        </w:rPr>
      </w:pPr>
      <w:r w:rsidRPr="00701004">
        <w:rPr>
          <w:rFonts w:eastAsiaTheme="minorHAnsi"/>
        </w:rPr>
        <w:t xml:space="preserve">Results of </w:t>
      </w:r>
      <w:r w:rsidR="00832555" w:rsidRPr="00701004">
        <w:rPr>
          <w:rFonts w:eastAsiaTheme="minorHAnsi"/>
        </w:rPr>
        <w:t>a</w:t>
      </w:r>
      <w:r w:rsidRPr="00701004">
        <w:rPr>
          <w:rFonts w:eastAsiaTheme="minorHAnsi"/>
        </w:rPr>
        <w:t xml:space="preserve"> factor analysis confirmed that a two-factor solution</w:t>
      </w:r>
      <w:r w:rsidR="005259A0" w:rsidRPr="00701004">
        <w:rPr>
          <w:rFonts w:eastAsiaTheme="minorHAnsi"/>
        </w:rPr>
        <w:t xml:space="preserve"> best fit the data regarding participants’ self-reported behaviours</w:t>
      </w:r>
      <w:r w:rsidR="006A3C10" w:rsidRPr="00701004">
        <w:rPr>
          <w:rFonts w:eastAsiaTheme="minorHAnsi"/>
        </w:rPr>
        <w:t xml:space="preserve"> related to COVID-19 public health policies</w:t>
      </w:r>
      <w:r w:rsidR="00601DEB" w:rsidRPr="00701004">
        <w:rPr>
          <w:rFonts w:eastAsiaTheme="minorHAnsi"/>
        </w:rPr>
        <w:t xml:space="preserve"> at the established phase of the pandemic</w:t>
      </w:r>
      <w:r w:rsidR="005259A0" w:rsidRPr="00701004">
        <w:rPr>
          <w:rFonts w:eastAsiaTheme="minorHAnsi"/>
        </w:rPr>
        <w:t>.</w:t>
      </w:r>
      <w:r w:rsidR="00694139" w:rsidRPr="00701004">
        <w:rPr>
          <w:rFonts w:eastAsiaTheme="minorHAnsi"/>
        </w:rPr>
        <w:t xml:space="preserve"> </w:t>
      </w:r>
      <w:r w:rsidRPr="00701004">
        <w:rPr>
          <w:rFonts w:eastAsiaTheme="minorHAnsi"/>
        </w:rPr>
        <w:t xml:space="preserve">These factors captured two separate facets of behaviour: </w:t>
      </w:r>
      <w:r w:rsidR="00FE3B5C" w:rsidRPr="00701004">
        <w:rPr>
          <w:rFonts w:eastAsiaTheme="minorHAnsi"/>
        </w:rPr>
        <w:t xml:space="preserve">adherence to social distancing measures (e.g., stayed at least 2 metres away from others in public) and active violation of lockdown </w:t>
      </w:r>
      <w:r w:rsidR="006A3FD3" w:rsidRPr="00701004">
        <w:rPr>
          <w:rFonts w:eastAsiaTheme="minorHAnsi"/>
        </w:rPr>
        <w:t>guidance</w:t>
      </w:r>
      <w:r w:rsidR="00FE3B5C" w:rsidRPr="00701004">
        <w:rPr>
          <w:rFonts w:eastAsiaTheme="minorHAnsi"/>
        </w:rPr>
        <w:t xml:space="preserve"> (e.g., gathered in a group of people)</w:t>
      </w:r>
      <w:r w:rsidR="005A686D" w:rsidRPr="00701004">
        <w:rPr>
          <w:rFonts w:eastAsiaTheme="minorHAnsi"/>
        </w:rPr>
        <w:t>.</w:t>
      </w:r>
      <w:r w:rsidRPr="00701004">
        <w:rPr>
          <w:rFonts w:eastAsiaTheme="minorHAnsi"/>
        </w:rPr>
        <w:t xml:space="preserve"> </w:t>
      </w:r>
      <w:r w:rsidR="008878D3" w:rsidRPr="00701004">
        <w:rPr>
          <w:rFonts w:eastAsiaTheme="minorHAnsi"/>
        </w:rPr>
        <w:t xml:space="preserve">We </w:t>
      </w:r>
      <w:r w:rsidR="008878D3" w:rsidRPr="00701004">
        <w:rPr>
          <w:rFonts w:eastAsiaTheme="minorHAnsi"/>
        </w:rPr>
        <w:lastRenderedPageBreak/>
        <w:t xml:space="preserve">subsequently conducted two regression analyses </w:t>
      </w:r>
      <w:r w:rsidR="00FF3844" w:rsidRPr="00701004">
        <w:rPr>
          <w:rFonts w:eastAsiaTheme="minorHAnsi"/>
        </w:rPr>
        <w:t xml:space="preserve">(using ordinary least squares, OLS) </w:t>
      </w:r>
      <w:r w:rsidR="008878D3" w:rsidRPr="00701004">
        <w:rPr>
          <w:rFonts w:eastAsiaTheme="minorHAnsi"/>
        </w:rPr>
        <w:t xml:space="preserve">using social distancing adherence and </w:t>
      </w:r>
      <w:r w:rsidR="00FE3B5C" w:rsidRPr="00701004">
        <w:rPr>
          <w:rFonts w:eastAsiaTheme="minorHAnsi"/>
        </w:rPr>
        <w:t>active</w:t>
      </w:r>
      <w:r w:rsidR="008878D3" w:rsidRPr="00701004">
        <w:rPr>
          <w:rFonts w:eastAsiaTheme="minorHAnsi"/>
        </w:rPr>
        <w:t xml:space="preserve"> violation as the outcome variables. P</w:t>
      </w:r>
      <w:r w:rsidR="005F1FB4" w:rsidRPr="00701004">
        <w:rPr>
          <w:rFonts w:eastAsiaTheme="minorHAnsi"/>
        </w:rPr>
        <w:t>arameters from the delay discounting task (</w:t>
      </w:r>
      <w:r w:rsidR="00C13EF7" w:rsidRPr="00701004">
        <w:t xml:space="preserve">baseline discount rate, </w:t>
      </w:r>
      <w:r w:rsidR="00D747C4" w:rsidRPr="00701004">
        <w:t>c</w:t>
      </w:r>
      <w:r w:rsidR="00D747C4" w:rsidRPr="00701004">
        <w:rPr>
          <w:rFonts w:eastAsiaTheme="minorHAnsi"/>
        </w:rPr>
        <w:t>,</w:t>
      </w:r>
      <w:r w:rsidR="00C13EF7" w:rsidRPr="00701004">
        <w:rPr>
          <w:rFonts w:eastAsiaTheme="minorHAnsi"/>
        </w:rPr>
        <w:t xml:space="preserve"> and </w:t>
      </w:r>
      <w:r w:rsidR="00DE47C7" w:rsidRPr="00701004">
        <w:rPr>
          <w:rFonts w:eastAsiaTheme="minorHAnsi"/>
        </w:rPr>
        <w:t>sensitivity towards</w:t>
      </w:r>
      <w:r w:rsidR="005F1FB4" w:rsidRPr="00701004">
        <w:rPr>
          <w:rFonts w:eastAsiaTheme="minorHAnsi"/>
        </w:rPr>
        <w:t xml:space="preserve"> </w:t>
      </w:r>
      <w:r w:rsidR="00DE47C7" w:rsidRPr="00701004">
        <w:rPr>
          <w:rFonts w:eastAsiaTheme="minorHAnsi"/>
        </w:rPr>
        <w:t xml:space="preserve">reward </w:t>
      </w:r>
      <w:r w:rsidR="005F1FB4" w:rsidRPr="00701004">
        <w:rPr>
          <w:rFonts w:eastAsiaTheme="minorHAnsi"/>
        </w:rPr>
        <w:t>magnitude</w:t>
      </w:r>
      <w:r w:rsidR="00227DC8" w:rsidRPr="00701004">
        <w:rPr>
          <w:rFonts w:eastAsiaTheme="minorHAnsi"/>
        </w:rPr>
        <w:t>, m</w:t>
      </w:r>
      <w:r w:rsidR="005F1FB4" w:rsidRPr="00701004">
        <w:rPr>
          <w:rFonts w:eastAsiaTheme="minorHAnsi"/>
        </w:rPr>
        <w:t>)</w:t>
      </w:r>
      <w:r w:rsidR="00A822BC" w:rsidRPr="00701004">
        <w:rPr>
          <w:rFonts w:eastAsiaTheme="minorHAnsi"/>
        </w:rPr>
        <w:t>, parameters from the</w:t>
      </w:r>
      <w:r w:rsidR="005F1FB4" w:rsidRPr="00701004">
        <w:rPr>
          <w:rFonts w:eastAsiaTheme="minorHAnsi"/>
        </w:rPr>
        <w:t xml:space="preserve"> patch foraging task (learning rate and </w:t>
      </w:r>
      <w:r w:rsidR="005F1FB4" w:rsidRPr="00701004">
        <w:t>ability to adjust foraging behaviour between the two environments</w:t>
      </w:r>
      <w:r w:rsidR="005F1FB4" w:rsidRPr="00701004">
        <w:rPr>
          <w:rFonts w:eastAsiaTheme="minorHAnsi"/>
        </w:rPr>
        <w:t>)</w:t>
      </w:r>
      <w:r w:rsidR="00A822BC" w:rsidRPr="00701004">
        <w:rPr>
          <w:rFonts w:eastAsiaTheme="minorHAnsi"/>
        </w:rPr>
        <w:t>,</w:t>
      </w:r>
      <w:r w:rsidR="005F1FB4" w:rsidRPr="00701004">
        <w:rPr>
          <w:rFonts w:eastAsiaTheme="minorHAnsi"/>
        </w:rPr>
        <w:t xml:space="preserve"> age, gender and income</w:t>
      </w:r>
      <w:r w:rsidR="00A822BC" w:rsidRPr="00701004">
        <w:rPr>
          <w:rFonts w:eastAsiaTheme="minorHAnsi"/>
        </w:rPr>
        <w:t xml:space="preserve"> </w:t>
      </w:r>
      <w:r w:rsidR="00FE3B5C" w:rsidRPr="00701004">
        <w:rPr>
          <w:rFonts w:eastAsiaTheme="minorHAnsi"/>
        </w:rPr>
        <w:t xml:space="preserve">were </w:t>
      </w:r>
      <w:r w:rsidR="00A822BC" w:rsidRPr="00701004">
        <w:rPr>
          <w:rFonts w:eastAsiaTheme="minorHAnsi"/>
        </w:rPr>
        <w:t>entered as predictor variables</w:t>
      </w:r>
      <w:r w:rsidR="00D018C6" w:rsidRPr="00701004">
        <w:rPr>
          <w:rFonts w:eastAsiaTheme="minorHAnsi"/>
        </w:rPr>
        <w:t xml:space="preserve"> in both regressions</w:t>
      </w:r>
      <w:r w:rsidR="005F1FB4" w:rsidRPr="00701004">
        <w:rPr>
          <w:rFonts w:eastAsiaTheme="minorHAnsi"/>
        </w:rPr>
        <w:t xml:space="preserve">. </w:t>
      </w:r>
    </w:p>
    <w:p w14:paraId="33E3F924" w14:textId="1D9563F8" w:rsidR="00487956" w:rsidRPr="00701004" w:rsidRDefault="005C4121" w:rsidP="00A22935">
      <w:pPr>
        <w:autoSpaceDE w:val="0"/>
        <w:autoSpaceDN w:val="0"/>
        <w:adjustRightInd w:val="0"/>
        <w:spacing w:before="120" w:line="480" w:lineRule="auto"/>
        <w:ind w:firstLine="720"/>
        <w:jc w:val="both"/>
        <w:rPr>
          <w:rFonts w:eastAsiaTheme="minorHAnsi"/>
        </w:rPr>
      </w:pPr>
      <w:r w:rsidRPr="00701004">
        <w:t xml:space="preserve">The </w:t>
      </w:r>
      <w:r w:rsidR="00DA1A63" w:rsidRPr="00701004">
        <w:t xml:space="preserve">overall </w:t>
      </w:r>
      <w:r w:rsidRPr="00701004">
        <w:t xml:space="preserve">model </w:t>
      </w:r>
      <w:r w:rsidR="00272B7D" w:rsidRPr="00701004">
        <w:t>predicting</w:t>
      </w:r>
      <w:r w:rsidRPr="00701004">
        <w:t xml:space="preserve"> social distancing adherence was significant </w:t>
      </w:r>
      <w:proofErr w:type="gramStart"/>
      <w:r w:rsidRPr="00701004">
        <w:rPr>
          <w:i/>
        </w:rPr>
        <w:t>F</w:t>
      </w:r>
      <w:r w:rsidRPr="00701004">
        <w:rPr>
          <w:vertAlign w:val="subscript"/>
        </w:rPr>
        <w:t>(</w:t>
      </w:r>
      <w:proofErr w:type="gramEnd"/>
      <w:r w:rsidRPr="00701004">
        <w:rPr>
          <w:vertAlign w:val="subscript"/>
        </w:rPr>
        <w:t>7,385)</w:t>
      </w:r>
      <w:r w:rsidRPr="00701004">
        <w:t xml:space="preserve"> = 3.91, </w:t>
      </w:r>
      <w:r w:rsidRPr="00701004">
        <w:rPr>
          <w:i/>
        </w:rPr>
        <w:t>p</w:t>
      </w:r>
      <w:r w:rsidRPr="00701004">
        <w:t xml:space="preserve"> &lt; .001, R</w:t>
      </w:r>
      <w:r w:rsidRPr="00701004">
        <w:rPr>
          <w:vertAlign w:val="superscript"/>
        </w:rPr>
        <w:t>2</w:t>
      </w:r>
      <w:r w:rsidRPr="00701004">
        <w:t xml:space="preserve"> = 0.07. </w:t>
      </w:r>
      <w:r w:rsidR="005F1FB4" w:rsidRPr="00701004">
        <w:rPr>
          <w:rFonts w:eastAsiaTheme="minorHAnsi"/>
        </w:rPr>
        <w:t>L</w:t>
      </w:r>
      <w:r w:rsidR="005F1FB4" w:rsidRPr="00701004">
        <w:t xml:space="preserve">ower levels of social distancing </w:t>
      </w:r>
      <w:r w:rsidR="00A22935" w:rsidRPr="00701004">
        <w:t>adherence</w:t>
      </w:r>
      <w:r w:rsidR="005F1FB4" w:rsidRPr="00701004">
        <w:rPr>
          <w:rFonts w:eastAsiaTheme="minorHAnsi"/>
        </w:rPr>
        <w:t xml:space="preserve"> were predicted by </w:t>
      </w:r>
      <w:r w:rsidR="000314A5" w:rsidRPr="00701004">
        <w:rPr>
          <w:rFonts w:eastAsiaTheme="minorHAnsi"/>
        </w:rPr>
        <w:t>baseline</w:t>
      </w:r>
      <w:r w:rsidR="0012533D" w:rsidRPr="00701004">
        <w:rPr>
          <w:rFonts w:eastAsiaTheme="minorHAnsi"/>
        </w:rPr>
        <w:t xml:space="preserve"> discounting</w:t>
      </w:r>
      <w:r w:rsidR="000314A5" w:rsidRPr="00701004">
        <w:rPr>
          <w:rFonts w:eastAsiaTheme="minorHAnsi"/>
        </w:rPr>
        <w:t xml:space="preserve"> rate</w:t>
      </w:r>
      <w:r w:rsidR="00A22935" w:rsidRPr="00701004">
        <w:t xml:space="preserve"> (</w:t>
      </w:r>
      <w:r w:rsidR="00A22935" w:rsidRPr="00701004">
        <w:rPr>
          <w:rFonts w:eastAsiaTheme="minorHAnsi"/>
        </w:rPr>
        <w:sym w:font="Symbol" w:char="F062"/>
      </w:r>
      <w:r w:rsidR="00A22935" w:rsidRPr="00701004">
        <w:rPr>
          <w:rFonts w:eastAsiaTheme="minorHAnsi"/>
        </w:rPr>
        <w:t xml:space="preserve"> = -.13, t = -2.48, </w:t>
      </w:r>
      <w:r w:rsidR="00A22935" w:rsidRPr="00701004">
        <w:rPr>
          <w:rFonts w:eastAsiaTheme="minorHAnsi"/>
          <w:i/>
        </w:rPr>
        <w:t>p</w:t>
      </w:r>
      <w:r w:rsidR="00A22935" w:rsidRPr="00701004">
        <w:rPr>
          <w:rFonts w:eastAsiaTheme="minorHAnsi"/>
        </w:rPr>
        <w:t xml:space="preserve"> = .0</w:t>
      </w:r>
      <w:r w:rsidR="0099095C" w:rsidRPr="00701004">
        <w:rPr>
          <w:rFonts w:eastAsiaTheme="minorHAnsi"/>
        </w:rPr>
        <w:t>14</w:t>
      </w:r>
      <w:r w:rsidR="00A22935" w:rsidRPr="00701004">
        <w:t>) and</w:t>
      </w:r>
      <w:r w:rsidR="005F1FB4" w:rsidRPr="00701004">
        <w:rPr>
          <w:rFonts w:eastAsiaTheme="minorHAnsi"/>
        </w:rPr>
        <w:t xml:space="preserve"> </w:t>
      </w:r>
      <w:r w:rsidR="0012533D" w:rsidRPr="00701004">
        <w:rPr>
          <w:rFonts w:eastAsiaTheme="minorHAnsi"/>
        </w:rPr>
        <w:t>sensitivity to</w:t>
      </w:r>
      <w:r w:rsidR="005F1FB4" w:rsidRPr="00701004">
        <w:rPr>
          <w:rFonts w:eastAsiaTheme="minorHAnsi"/>
        </w:rPr>
        <w:t xml:space="preserve"> </w:t>
      </w:r>
      <w:r w:rsidR="0012533D" w:rsidRPr="00701004">
        <w:rPr>
          <w:rFonts w:eastAsiaTheme="minorHAnsi"/>
        </w:rPr>
        <w:t>reward</w:t>
      </w:r>
      <w:r w:rsidR="005F1FB4" w:rsidRPr="00701004">
        <w:rPr>
          <w:rFonts w:eastAsiaTheme="minorHAnsi"/>
        </w:rPr>
        <w:t xml:space="preserve"> </w:t>
      </w:r>
      <w:r w:rsidR="0012533D" w:rsidRPr="00701004">
        <w:rPr>
          <w:rFonts w:eastAsiaTheme="minorHAnsi"/>
        </w:rPr>
        <w:t>magnitude</w:t>
      </w:r>
      <w:r w:rsidR="005F1FB4" w:rsidRPr="00701004">
        <w:rPr>
          <w:rFonts w:eastAsiaTheme="minorHAnsi"/>
        </w:rPr>
        <w:t xml:space="preserve"> </w:t>
      </w:r>
      <w:r w:rsidR="005F1FB4" w:rsidRPr="00701004">
        <w:t>(</w:t>
      </w:r>
      <w:r w:rsidR="005F1FB4" w:rsidRPr="00701004">
        <w:rPr>
          <w:rFonts w:eastAsiaTheme="minorHAnsi"/>
        </w:rPr>
        <w:sym w:font="Symbol" w:char="F062"/>
      </w:r>
      <w:r w:rsidR="005F1FB4" w:rsidRPr="00701004">
        <w:rPr>
          <w:rFonts w:eastAsiaTheme="minorHAnsi"/>
        </w:rPr>
        <w:t xml:space="preserve"> = .1</w:t>
      </w:r>
      <w:r w:rsidR="0099095C" w:rsidRPr="00701004">
        <w:rPr>
          <w:rFonts w:eastAsiaTheme="minorHAnsi"/>
        </w:rPr>
        <w:t>6</w:t>
      </w:r>
      <w:r w:rsidR="005F1FB4" w:rsidRPr="00701004">
        <w:rPr>
          <w:rFonts w:eastAsiaTheme="minorHAnsi"/>
        </w:rPr>
        <w:t xml:space="preserve">, t = 3.38, </w:t>
      </w:r>
      <w:r w:rsidR="005F1FB4" w:rsidRPr="00701004">
        <w:rPr>
          <w:rFonts w:eastAsiaTheme="minorHAnsi"/>
          <w:i/>
        </w:rPr>
        <w:t>p</w:t>
      </w:r>
      <w:r w:rsidR="005F1FB4" w:rsidRPr="00701004">
        <w:rPr>
          <w:rFonts w:eastAsiaTheme="minorHAnsi"/>
        </w:rPr>
        <w:t xml:space="preserve"> = .00</w:t>
      </w:r>
      <w:r w:rsidR="0099095C" w:rsidRPr="00701004">
        <w:rPr>
          <w:rFonts w:eastAsiaTheme="minorHAnsi"/>
        </w:rPr>
        <w:t>2</w:t>
      </w:r>
      <w:r w:rsidR="005F1FB4" w:rsidRPr="00701004">
        <w:rPr>
          <w:rFonts w:eastAsiaTheme="minorHAnsi"/>
        </w:rPr>
        <w:t>)</w:t>
      </w:r>
      <w:r w:rsidR="004525A0" w:rsidRPr="00701004">
        <w:rPr>
          <w:rFonts w:eastAsiaTheme="minorHAnsi"/>
        </w:rPr>
        <w:t>,</w:t>
      </w:r>
      <w:r w:rsidR="00E8373C" w:rsidRPr="00701004">
        <w:rPr>
          <w:rFonts w:eastAsiaTheme="minorHAnsi"/>
        </w:rPr>
        <w:t xml:space="preserve"> </w:t>
      </w:r>
      <w:r w:rsidR="00945451" w:rsidRPr="00701004">
        <w:t xml:space="preserve">indicating that </w:t>
      </w:r>
      <w:r w:rsidR="004525A0" w:rsidRPr="00701004">
        <w:t>steeper</w:t>
      </w:r>
      <w:r w:rsidR="00945451" w:rsidRPr="00701004">
        <w:t xml:space="preserve"> discount</w:t>
      </w:r>
      <w:r w:rsidR="003F17D9" w:rsidRPr="00701004">
        <w:t>ing and</w:t>
      </w:r>
      <w:r w:rsidR="001E41F9" w:rsidRPr="00701004">
        <w:t xml:space="preserve"> greater</w:t>
      </w:r>
      <w:r w:rsidR="004525A0" w:rsidRPr="00701004">
        <w:t xml:space="preserve"> sensitiv</w:t>
      </w:r>
      <w:r w:rsidR="003F17D9" w:rsidRPr="00701004">
        <w:t>ity</w:t>
      </w:r>
      <w:r w:rsidR="004525A0" w:rsidRPr="00701004">
        <w:t xml:space="preserve"> to </w:t>
      </w:r>
      <w:r w:rsidR="00945451" w:rsidRPr="00701004">
        <w:t>variations in reward magnitude</w:t>
      </w:r>
      <w:r w:rsidR="004525A0" w:rsidRPr="00701004">
        <w:t xml:space="preserve"> </w:t>
      </w:r>
      <w:r w:rsidR="00275C42" w:rsidRPr="00701004">
        <w:t xml:space="preserve">predicted poorer </w:t>
      </w:r>
      <w:r w:rsidR="004525A0" w:rsidRPr="00701004">
        <w:t>adhere</w:t>
      </w:r>
      <w:r w:rsidR="00275C42" w:rsidRPr="00701004">
        <w:t>nce</w:t>
      </w:r>
      <w:r w:rsidR="004525A0" w:rsidRPr="00701004">
        <w:t xml:space="preserve"> to social distancing</w:t>
      </w:r>
      <w:r w:rsidR="00275C42" w:rsidRPr="00701004">
        <w:t xml:space="preserve"> guidance</w:t>
      </w:r>
      <w:r w:rsidR="008B14F5" w:rsidRPr="00701004">
        <w:t xml:space="preserve"> (see Figure 1</w:t>
      </w:r>
      <w:r w:rsidR="002A2F76" w:rsidRPr="00701004">
        <w:t>a</w:t>
      </w:r>
      <w:r w:rsidR="008B14F5" w:rsidRPr="00701004">
        <w:t>)</w:t>
      </w:r>
      <w:r w:rsidR="00945451" w:rsidRPr="00701004">
        <w:t>. H</w:t>
      </w:r>
      <w:r w:rsidR="00884BAA" w:rsidRPr="00701004">
        <w:t>owever,</w:t>
      </w:r>
      <w:r w:rsidR="00E8373C" w:rsidRPr="00701004">
        <w:t xml:space="preserve"> </w:t>
      </w:r>
      <w:r w:rsidR="00FF3844" w:rsidRPr="00701004">
        <w:t xml:space="preserve">the </w:t>
      </w:r>
      <w:r w:rsidR="00E8373C" w:rsidRPr="00701004">
        <w:t>learning rate (</w:t>
      </w:r>
      <w:r w:rsidR="00E8373C" w:rsidRPr="00701004">
        <w:rPr>
          <w:rFonts w:eastAsiaTheme="minorHAnsi"/>
        </w:rPr>
        <w:sym w:font="Symbol" w:char="F062"/>
      </w:r>
      <w:r w:rsidR="00E8373C" w:rsidRPr="00701004">
        <w:rPr>
          <w:rFonts w:eastAsiaTheme="minorHAnsi"/>
        </w:rPr>
        <w:t xml:space="preserve"> = -.02, t = 0.34,</w:t>
      </w:r>
      <w:r w:rsidR="00E8373C" w:rsidRPr="00701004">
        <w:t xml:space="preserve"> </w:t>
      </w:r>
      <w:r w:rsidR="00E8373C" w:rsidRPr="00701004">
        <w:rPr>
          <w:rFonts w:eastAsiaTheme="minorHAnsi"/>
          <w:i/>
        </w:rPr>
        <w:t>p</w:t>
      </w:r>
      <w:r w:rsidR="00E8373C" w:rsidRPr="00701004">
        <w:rPr>
          <w:rFonts w:eastAsiaTheme="minorHAnsi"/>
        </w:rPr>
        <w:t xml:space="preserve"> = .734</w:t>
      </w:r>
      <w:r w:rsidR="00E8373C" w:rsidRPr="00701004">
        <w:t>) and ability to adjust foraging behaviour between the two environments (</w:t>
      </w:r>
      <w:r w:rsidR="00E8373C" w:rsidRPr="00701004">
        <w:rPr>
          <w:rFonts w:eastAsiaTheme="minorHAnsi"/>
        </w:rPr>
        <w:sym w:font="Symbol" w:char="F062"/>
      </w:r>
      <w:r w:rsidR="00E8373C" w:rsidRPr="00701004">
        <w:rPr>
          <w:rFonts w:eastAsiaTheme="minorHAnsi"/>
        </w:rPr>
        <w:t xml:space="preserve"> = .04, t = 0.83, </w:t>
      </w:r>
      <w:r w:rsidR="00E8373C" w:rsidRPr="00701004">
        <w:rPr>
          <w:rFonts w:eastAsiaTheme="minorHAnsi"/>
          <w:i/>
        </w:rPr>
        <w:t>p</w:t>
      </w:r>
      <w:r w:rsidR="00E8373C" w:rsidRPr="00701004">
        <w:rPr>
          <w:rFonts w:eastAsiaTheme="minorHAnsi"/>
        </w:rPr>
        <w:t xml:space="preserve"> = .409</w:t>
      </w:r>
      <w:r w:rsidR="00E8373C" w:rsidRPr="00701004">
        <w:t xml:space="preserve">) were not </w:t>
      </w:r>
      <w:r w:rsidR="00884BAA" w:rsidRPr="00701004">
        <w:t xml:space="preserve">significant </w:t>
      </w:r>
      <w:r w:rsidR="00E8373C" w:rsidRPr="00701004">
        <w:t>predictors. In addition</w:t>
      </w:r>
      <w:r w:rsidR="00BC1800" w:rsidRPr="00701004">
        <w:t>,</w:t>
      </w:r>
      <w:r w:rsidR="005F1FB4" w:rsidRPr="00701004">
        <w:t xml:space="preserve"> </w:t>
      </w:r>
      <w:r w:rsidR="00E8373C" w:rsidRPr="00701004">
        <w:t xml:space="preserve">younger </w:t>
      </w:r>
      <w:r w:rsidR="005F1FB4" w:rsidRPr="00701004">
        <w:t>age (</w:t>
      </w:r>
      <w:r w:rsidR="005F1FB4" w:rsidRPr="00701004">
        <w:rPr>
          <w:rFonts w:eastAsiaTheme="minorHAnsi"/>
        </w:rPr>
        <w:sym w:font="Symbol" w:char="F062"/>
      </w:r>
      <w:r w:rsidR="005F1FB4" w:rsidRPr="00701004">
        <w:rPr>
          <w:rFonts w:eastAsiaTheme="minorHAnsi"/>
        </w:rPr>
        <w:t xml:space="preserve"> = .</w:t>
      </w:r>
      <w:r w:rsidR="0099095C" w:rsidRPr="00701004">
        <w:rPr>
          <w:rFonts w:eastAsiaTheme="minorHAnsi"/>
        </w:rPr>
        <w:t>13</w:t>
      </w:r>
      <w:r w:rsidR="005F1FB4" w:rsidRPr="00701004">
        <w:rPr>
          <w:rFonts w:eastAsiaTheme="minorHAnsi"/>
        </w:rPr>
        <w:t xml:space="preserve">, t = -2.63, </w:t>
      </w:r>
      <w:r w:rsidR="005F1FB4" w:rsidRPr="00701004">
        <w:rPr>
          <w:rFonts w:eastAsiaTheme="minorHAnsi"/>
          <w:i/>
        </w:rPr>
        <w:t>p</w:t>
      </w:r>
      <w:r w:rsidR="005F1FB4" w:rsidRPr="00701004">
        <w:rPr>
          <w:rFonts w:eastAsiaTheme="minorHAnsi"/>
        </w:rPr>
        <w:t xml:space="preserve"> = .0</w:t>
      </w:r>
      <w:r w:rsidR="0099095C" w:rsidRPr="00701004">
        <w:rPr>
          <w:rFonts w:eastAsiaTheme="minorHAnsi"/>
        </w:rPr>
        <w:t>09</w:t>
      </w:r>
      <w:r w:rsidR="005F1FB4" w:rsidRPr="00701004">
        <w:rPr>
          <w:rFonts w:eastAsiaTheme="minorHAnsi"/>
        </w:rPr>
        <w:t>)</w:t>
      </w:r>
      <w:r w:rsidR="00E8373C" w:rsidRPr="00701004">
        <w:t xml:space="preserve"> and</w:t>
      </w:r>
      <w:r w:rsidR="005F1FB4" w:rsidRPr="00701004">
        <w:t xml:space="preserve"> </w:t>
      </w:r>
      <w:r w:rsidR="00E8373C" w:rsidRPr="00701004">
        <w:t xml:space="preserve">lower </w:t>
      </w:r>
      <w:r w:rsidR="005F1FB4" w:rsidRPr="00701004">
        <w:t>income (</w:t>
      </w:r>
      <w:r w:rsidR="005F1FB4" w:rsidRPr="00701004">
        <w:rPr>
          <w:rFonts w:eastAsiaTheme="minorHAnsi"/>
        </w:rPr>
        <w:sym w:font="Symbol" w:char="F062"/>
      </w:r>
      <w:r w:rsidR="005F1FB4" w:rsidRPr="00701004">
        <w:rPr>
          <w:rFonts w:eastAsiaTheme="minorHAnsi"/>
        </w:rPr>
        <w:t xml:space="preserve"> = .</w:t>
      </w:r>
      <w:r w:rsidR="0099095C" w:rsidRPr="00701004">
        <w:rPr>
          <w:rFonts w:eastAsiaTheme="minorHAnsi"/>
        </w:rPr>
        <w:t>11</w:t>
      </w:r>
      <w:r w:rsidR="005F1FB4" w:rsidRPr="00701004">
        <w:rPr>
          <w:rFonts w:eastAsiaTheme="minorHAnsi"/>
        </w:rPr>
        <w:t xml:space="preserve">, t = 2.32, </w:t>
      </w:r>
      <w:r w:rsidR="005F1FB4" w:rsidRPr="00701004">
        <w:rPr>
          <w:rFonts w:eastAsiaTheme="minorHAnsi"/>
          <w:i/>
        </w:rPr>
        <w:t>p</w:t>
      </w:r>
      <w:r w:rsidR="005F1FB4" w:rsidRPr="00701004">
        <w:rPr>
          <w:rFonts w:eastAsiaTheme="minorHAnsi"/>
        </w:rPr>
        <w:t xml:space="preserve"> = .0</w:t>
      </w:r>
      <w:r w:rsidR="0099095C" w:rsidRPr="00701004">
        <w:rPr>
          <w:rFonts w:eastAsiaTheme="minorHAnsi"/>
        </w:rPr>
        <w:t>3</w:t>
      </w:r>
      <w:r w:rsidR="005F1FB4" w:rsidRPr="00701004">
        <w:rPr>
          <w:rFonts w:eastAsiaTheme="minorHAnsi"/>
        </w:rPr>
        <w:t>2)</w:t>
      </w:r>
      <w:r w:rsidR="00E8373C" w:rsidRPr="00701004">
        <w:rPr>
          <w:rFonts w:eastAsiaTheme="minorHAnsi"/>
        </w:rPr>
        <w:t xml:space="preserve"> predicted poorer social distancing adherence</w:t>
      </w:r>
      <w:r w:rsidR="00884BAA" w:rsidRPr="00701004">
        <w:rPr>
          <w:rFonts w:eastAsiaTheme="minorHAnsi"/>
        </w:rPr>
        <w:t>.</w:t>
      </w:r>
      <w:r w:rsidR="005F1FB4" w:rsidRPr="00701004">
        <w:t xml:space="preserve"> </w:t>
      </w:r>
    </w:p>
    <w:p w14:paraId="529C1E80" w14:textId="572BE8C1" w:rsidR="00476D9E" w:rsidRPr="00701004" w:rsidRDefault="00272B7D" w:rsidP="005C4121">
      <w:pPr>
        <w:autoSpaceDE w:val="0"/>
        <w:autoSpaceDN w:val="0"/>
        <w:adjustRightInd w:val="0"/>
        <w:spacing w:before="120" w:line="480" w:lineRule="auto"/>
        <w:ind w:firstLine="720"/>
        <w:jc w:val="both"/>
      </w:pPr>
      <w:r w:rsidRPr="00701004">
        <w:t>The</w:t>
      </w:r>
      <w:r w:rsidR="005C4121" w:rsidRPr="00701004">
        <w:t xml:space="preserve"> </w:t>
      </w:r>
      <w:r w:rsidRPr="00701004">
        <w:t>regression</w:t>
      </w:r>
      <w:r w:rsidR="005C4121" w:rsidRPr="00701004">
        <w:t xml:space="preserve"> model </w:t>
      </w:r>
      <w:r w:rsidRPr="00701004">
        <w:t>predicting</w:t>
      </w:r>
      <w:r w:rsidR="005C4121" w:rsidRPr="00701004">
        <w:t xml:space="preserve"> active violation of lockdown guidance was</w:t>
      </w:r>
      <w:r w:rsidRPr="00701004">
        <w:t xml:space="preserve"> also</w:t>
      </w:r>
      <w:r w:rsidR="005C4121" w:rsidRPr="00701004">
        <w:t xml:space="preserve"> significant </w:t>
      </w:r>
      <w:proofErr w:type="gramStart"/>
      <w:r w:rsidR="005C4121" w:rsidRPr="00701004">
        <w:rPr>
          <w:i/>
        </w:rPr>
        <w:t>F</w:t>
      </w:r>
      <w:r w:rsidR="005C4121" w:rsidRPr="00701004">
        <w:rPr>
          <w:vertAlign w:val="subscript"/>
        </w:rPr>
        <w:t>(</w:t>
      </w:r>
      <w:proofErr w:type="gramEnd"/>
      <w:r w:rsidR="005C4121" w:rsidRPr="00701004">
        <w:rPr>
          <w:vertAlign w:val="subscript"/>
        </w:rPr>
        <w:t xml:space="preserve">7,385) </w:t>
      </w:r>
      <w:r w:rsidR="005C4121" w:rsidRPr="00701004">
        <w:t xml:space="preserve">= 2.85, </w:t>
      </w:r>
      <w:r w:rsidR="005C4121" w:rsidRPr="00701004">
        <w:rPr>
          <w:i/>
        </w:rPr>
        <w:t>p</w:t>
      </w:r>
      <w:r w:rsidR="005C4121" w:rsidRPr="00701004">
        <w:t xml:space="preserve"> = .007, R</w:t>
      </w:r>
      <w:r w:rsidR="005C4121" w:rsidRPr="00701004">
        <w:rPr>
          <w:vertAlign w:val="superscript"/>
        </w:rPr>
        <w:t>2</w:t>
      </w:r>
      <w:r w:rsidR="005C4121" w:rsidRPr="00701004">
        <w:t xml:space="preserve"> = .05. </w:t>
      </w:r>
      <w:r w:rsidR="00945451" w:rsidRPr="00701004">
        <w:t>H</w:t>
      </w:r>
      <w:r w:rsidR="005F1FB4" w:rsidRPr="00701004">
        <w:t xml:space="preserve">igher levels of </w:t>
      </w:r>
      <w:r w:rsidR="000B64CE" w:rsidRPr="00701004">
        <w:t>active</w:t>
      </w:r>
      <w:r w:rsidR="005F1FB4" w:rsidRPr="00701004">
        <w:t xml:space="preserve"> </w:t>
      </w:r>
      <w:r w:rsidR="000B64CE" w:rsidRPr="00701004">
        <w:t>violation of lockdown</w:t>
      </w:r>
      <w:r w:rsidR="005F1FB4" w:rsidRPr="00701004">
        <w:t xml:space="preserve"> </w:t>
      </w:r>
      <w:r w:rsidR="003B73C3" w:rsidRPr="00701004">
        <w:t>guidance</w:t>
      </w:r>
      <w:r w:rsidR="00DA1A63" w:rsidRPr="00701004">
        <w:t xml:space="preserve"> </w:t>
      </w:r>
      <w:r w:rsidR="003B73C3" w:rsidRPr="00701004">
        <w:t>was</w:t>
      </w:r>
      <w:r w:rsidR="005F1FB4" w:rsidRPr="00701004">
        <w:t xml:space="preserve"> predicted by lower learning rate (</w:t>
      </w:r>
      <w:r w:rsidR="005F1FB4" w:rsidRPr="00701004">
        <w:rPr>
          <w:rFonts w:eastAsiaTheme="minorHAnsi"/>
        </w:rPr>
        <w:sym w:font="Symbol" w:char="F062"/>
      </w:r>
      <w:r w:rsidR="005F1FB4" w:rsidRPr="00701004">
        <w:rPr>
          <w:rFonts w:eastAsiaTheme="minorHAnsi"/>
        </w:rPr>
        <w:t xml:space="preserve"> = </w:t>
      </w:r>
      <w:r w:rsidR="007B69A5" w:rsidRPr="00701004">
        <w:rPr>
          <w:rFonts w:eastAsiaTheme="minorHAnsi"/>
        </w:rPr>
        <w:t>-</w:t>
      </w:r>
      <w:r w:rsidR="005F1FB4" w:rsidRPr="00701004">
        <w:rPr>
          <w:rFonts w:eastAsiaTheme="minorHAnsi"/>
        </w:rPr>
        <w:t>.</w:t>
      </w:r>
      <w:r w:rsidR="00856E77" w:rsidRPr="00701004">
        <w:rPr>
          <w:rFonts w:eastAsiaTheme="minorHAnsi"/>
        </w:rPr>
        <w:t>1</w:t>
      </w:r>
      <w:r w:rsidR="0099095C" w:rsidRPr="00701004">
        <w:rPr>
          <w:rFonts w:eastAsiaTheme="minorHAnsi"/>
        </w:rPr>
        <w:t>1</w:t>
      </w:r>
      <w:r w:rsidR="005F1FB4" w:rsidRPr="00701004">
        <w:rPr>
          <w:rFonts w:eastAsiaTheme="minorHAnsi"/>
        </w:rPr>
        <w:t>, t = 2.</w:t>
      </w:r>
      <w:r w:rsidR="00F31008" w:rsidRPr="00701004">
        <w:rPr>
          <w:rFonts w:eastAsiaTheme="minorHAnsi"/>
        </w:rPr>
        <w:t>31</w:t>
      </w:r>
      <w:r w:rsidR="005F1FB4" w:rsidRPr="00701004">
        <w:rPr>
          <w:rFonts w:eastAsiaTheme="minorHAnsi"/>
        </w:rPr>
        <w:t xml:space="preserve">, </w:t>
      </w:r>
      <w:r w:rsidR="005F1FB4" w:rsidRPr="00701004">
        <w:rPr>
          <w:rFonts w:eastAsiaTheme="minorHAnsi"/>
          <w:i/>
        </w:rPr>
        <w:t>p</w:t>
      </w:r>
      <w:r w:rsidR="005F1FB4" w:rsidRPr="00701004">
        <w:rPr>
          <w:rFonts w:eastAsiaTheme="minorHAnsi"/>
        </w:rPr>
        <w:t xml:space="preserve"> = .0</w:t>
      </w:r>
      <w:r w:rsidR="00F31008" w:rsidRPr="00701004">
        <w:rPr>
          <w:rFonts w:eastAsiaTheme="minorHAnsi"/>
        </w:rPr>
        <w:t>2</w:t>
      </w:r>
      <w:r w:rsidR="0099095C" w:rsidRPr="00701004">
        <w:rPr>
          <w:rFonts w:eastAsiaTheme="minorHAnsi"/>
        </w:rPr>
        <w:t>4</w:t>
      </w:r>
      <w:r w:rsidR="006E6DE7" w:rsidRPr="00701004">
        <w:rPr>
          <w:rFonts w:eastAsiaTheme="minorHAnsi"/>
        </w:rPr>
        <w:t>; see Figure 1b</w:t>
      </w:r>
      <w:r w:rsidR="005F1FB4" w:rsidRPr="00701004">
        <w:t>) and younger age (</w:t>
      </w:r>
      <w:r w:rsidR="005F1FB4" w:rsidRPr="00701004">
        <w:rPr>
          <w:rFonts w:eastAsiaTheme="minorHAnsi"/>
        </w:rPr>
        <w:sym w:font="Symbol" w:char="F062"/>
      </w:r>
      <w:r w:rsidR="005F1FB4" w:rsidRPr="00701004">
        <w:rPr>
          <w:rFonts w:eastAsiaTheme="minorHAnsi"/>
        </w:rPr>
        <w:t xml:space="preserve"> = .</w:t>
      </w:r>
      <w:r w:rsidR="0099095C" w:rsidRPr="00701004">
        <w:rPr>
          <w:rFonts w:eastAsiaTheme="minorHAnsi"/>
        </w:rPr>
        <w:t>14</w:t>
      </w:r>
      <w:r w:rsidR="005F1FB4" w:rsidRPr="00701004">
        <w:rPr>
          <w:rFonts w:eastAsiaTheme="minorHAnsi"/>
        </w:rPr>
        <w:t>, t = 4.</w:t>
      </w:r>
      <w:r w:rsidR="00F31008" w:rsidRPr="00701004">
        <w:rPr>
          <w:rFonts w:eastAsiaTheme="minorHAnsi"/>
        </w:rPr>
        <w:t>12</w:t>
      </w:r>
      <w:r w:rsidR="005F1FB4" w:rsidRPr="00701004">
        <w:rPr>
          <w:rFonts w:eastAsiaTheme="minorHAnsi"/>
        </w:rPr>
        <w:t xml:space="preserve">, </w:t>
      </w:r>
      <w:r w:rsidR="005F1FB4" w:rsidRPr="00701004">
        <w:rPr>
          <w:rFonts w:eastAsiaTheme="minorHAnsi"/>
          <w:i/>
        </w:rPr>
        <w:t>p</w:t>
      </w:r>
      <w:r w:rsidR="005F1FB4" w:rsidRPr="00701004">
        <w:rPr>
          <w:rFonts w:eastAsiaTheme="minorHAnsi"/>
        </w:rPr>
        <w:t xml:space="preserve"> </w:t>
      </w:r>
      <w:r w:rsidR="0099095C" w:rsidRPr="00701004">
        <w:rPr>
          <w:rFonts w:eastAsiaTheme="minorHAnsi"/>
        </w:rPr>
        <w:t>=</w:t>
      </w:r>
      <w:r w:rsidR="005F1FB4" w:rsidRPr="00701004">
        <w:rPr>
          <w:rFonts w:eastAsiaTheme="minorHAnsi"/>
        </w:rPr>
        <w:t xml:space="preserve"> .00</w:t>
      </w:r>
      <w:r w:rsidR="0099095C" w:rsidRPr="00701004">
        <w:rPr>
          <w:rFonts w:eastAsiaTheme="minorHAnsi"/>
        </w:rPr>
        <w:t>5</w:t>
      </w:r>
      <w:r w:rsidR="005F1FB4" w:rsidRPr="00701004">
        <w:rPr>
          <w:rFonts w:eastAsiaTheme="minorHAnsi"/>
        </w:rPr>
        <w:t>)</w:t>
      </w:r>
      <w:r w:rsidR="00BC1800" w:rsidRPr="00701004">
        <w:rPr>
          <w:rFonts w:eastAsiaTheme="minorHAnsi"/>
        </w:rPr>
        <w:t>,</w:t>
      </w:r>
      <w:r w:rsidR="005F1FB4" w:rsidRPr="00701004">
        <w:t xml:space="preserve"> but not by the ability to adjust foraging behaviour (</w:t>
      </w:r>
      <w:r w:rsidR="005F1FB4" w:rsidRPr="00701004">
        <w:rPr>
          <w:rFonts w:eastAsiaTheme="minorHAnsi"/>
        </w:rPr>
        <w:sym w:font="Symbol" w:char="F062"/>
      </w:r>
      <w:r w:rsidR="005F1FB4" w:rsidRPr="00701004">
        <w:rPr>
          <w:rFonts w:eastAsiaTheme="minorHAnsi"/>
        </w:rPr>
        <w:t xml:space="preserve"> = </w:t>
      </w:r>
      <w:r w:rsidR="00856E77" w:rsidRPr="00701004">
        <w:rPr>
          <w:rFonts w:eastAsiaTheme="minorHAnsi"/>
        </w:rPr>
        <w:t>-0.0</w:t>
      </w:r>
      <w:r w:rsidR="0099095C" w:rsidRPr="00701004">
        <w:rPr>
          <w:rFonts w:eastAsiaTheme="minorHAnsi"/>
        </w:rPr>
        <w:t>5</w:t>
      </w:r>
      <w:r w:rsidR="005F1FB4" w:rsidRPr="00701004">
        <w:rPr>
          <w:rFonts w:eastAsiaTheme="minorHAnsi"/>
        </w:rPr>
        <w:t xml:space="preserve">, t = </w:t>
      </w:r>
      <w:r w:rsidR="00F31008" w:rsidRPr="00701004">
        <w:rPr>
          <w:rFonts w:eastAsiaTheme="minorHAnsi"/>
        </w:rPr>
        <w:t>0</w:t>
      </w:r>
      <w:r w:rsidR="005F1FB4" w:rsidRPr="00701004">
        <w:rPr>
          <w:rFonts w:eastAsiaTheme="minorHAnsi"/>
        </w:rPr>
        <w:t>.</w:t>
      </w:r>
      <w:r w:rsidR="00F31008" w:rsidRPr="00701004">
        <w:rPr>
          <w:rFonts w:eastAsiaTheme="minorHAnsi"/>
        </w:rPr>
        <w:t>74</w:t>
      </w:r>
      <w:r w:rsidR="005F1FB4" w:rsidRPr="00701004">
        <w:rPr>
          <w:rFonts w:eastAsiaTheme="minorHAnsi"/>
        </w:rPr>
        <w:t xml:space="preserve">, </w:t>
      </w:r>
      <w:r w:rsidR="005F1FB4" w:rsidRPr="00701004">
        <w:rPr>
          <w:rFonts w:eastAsiaTheme="minorHAnsi"/>
          <w:i/>
        </w:rPr>
        <w:t>p</w:t>
      </w:r>
      <w:r w:rsidR="005F1FB4" w:rsidRPr="00701004">
        <w:rPr>
          <w:rFonts w:eastAsiaTheme="minorHAnsi"/>
        </w:rPr>
        <w:t xml:space="preserve"> = .</w:t>
      </w:r>
      <w:r w:rsidR="0099095C" w:rsidRPr="00701004">
        <w:rPr>
          <w:rFonts w:eastAsiaTheme="minorHAnsi"/>
        </w:rPr>
        <w:t>323</w:t>
      </w:r>
      <w:r w:rsidR="005F1FB4" w:rsidRPr="00701004">
        <w:t xml:space="preserve">), </w:t>
      </w:r>
      <w:r w:rsidR="00DE47C7" w:rsidRPr="00701004">
        <w:t>sensitivity to reward</w:t>
      </w:r>
      <w:r w:rsidR="005F1FB4" w:rsidRPr="00701004">
        <w:t xml:space="preserve"> magnitude (</w:t>
      </w:r>
      <w:r w:rsidR="005F1FB4" w:rsidRPr="00701004">
        <w:rPr>
          <w:rFonts w:eastAsiaTheme="minorHAnsi"/>
        </w:rPr>
        <w:sym w:font="Symbol" w:char="F062"/>
      </w:r>
      <w:r w:rsidR="005F1FB4" w:rsidRPr="00701004">
        <w:rPr>
          <w:rFonts w:eastAsiaTheme="minorHAnsi"/>
        </w:rPr>
        <w:t xml:space="preserve"> = </w:t>
      </w:r>
      <w:r w:rsidR="00856E77" w:rsidRPr="00701004">
        <w:rPr>
          <w:rFonts w:eastAsiaTheme="minorHAnsi"/>
        </w:rPr>
        <w:t>-</w:t>
      </w:r>
      <w:r w:rsidR="005F1FB4" w:rsidRPr="00701004">
        <w:rPr>
          <w:rFonts w:eastAsiaTheme="minorHAnsi"/>
        </w:rPr>
        <w:t>.0</w:t>
      </w:r>
      <w:r w:rsidR="0099095C" w:rsidRPr="00701004">
        <w:rPr>
          <w:rFonts w:eastAsiaTheme="minorHAnsi"/>
        </w:rPr>
        <w:t>8</w:t>
      </w:r>
      <w:r w:rsidR="005F1FB4" w:rsidRPr="00701004">
        <w:rPr>
          <w:rFonts w:eastAsiaTheme="minorHAnsi"/>
        </w:rPr>
        <w:t>, t = 1.</w:t>
      </w:r>
      <w:r w:rsidR="00F31008" w:rsidRPr="00701004">
        <w:rPr>
          <w:rFonts w:eastAsiaTheme="minorHAnsi"/>
        </w:rPr>
        <w:t>07</w:t>
      </w:r>
      <w:r w:rsidR="005F1FB4" w:rsidRPr="00701004">
        <w:rPr>
          <w:rFonts w:eastAsiaTheme="minorHAnsi"/>
        </w:rPr>
        <w:t xml:space="preserve">, </w:t>
      </w:r>
      <w:r w:rsidR="005F1FB4" w:rsidRPr="00701004">
        <w:rPr>
          <w:rFonts w:eastAsiaTheme="minorHAnsi"/>
          <w:i/>
        </w:rPr>
        <w:t>p</w:t>
      </w:r>
      <w:r w:rsidR="005F1FB4" w:rsidRPr="00701004">
        <w:rPr>
          <w:rFonts w:eastAsiaTheme="minorHAnsi"/>
        </w:rPr>
        <w:t xml:space="preserve"> = .</w:t>
      </w:r>
      <w:r w:rsidR="0099095C" w:rsidRPr="00701004">
        <w:rPr>
          <w:rFonts w:eastAsiaTheme="minorHAnsi"/>
        </w:rPr>
        <w:t>099</w:t>
      </w:r>
      <w:r w:rsidR="005F1FB4" w:rsidRPr="00701004">
        <w:t>) or baseline discounting rate (</w:t>
      </w:r>
      <w:r w:rsidR="005F1FB4" w:rsidRPr="00701004">
        <w:rPr>
          <w:rFonts w:eastAsiaTheme="minorHAnsi"/>
        </w:rPr>
        <w:sym w:font="Symbol" w:char="F062"/>
      </w:r>
      <w:r w:rsidR="005F1FB4" w:rsidRPr="00701004">
        <w:rPr>
          <w:rFonts w:eastAsiaTheme="minorHAnsi"/>
        </w:rPr>
        <w:t xml:space="preserve"> = .0</w:t>
      </w:r>
      <w:r w:rsidR="0099095C" w:rsidRPr="00701004">
        <w:rPr>
          <w:rFonts w:eastAsiaTheme="minorHAnsi"/>
        </w:rPr>
        <w:t>2</w:t>
      </w:r>
      <w:r w:rsidR="005F1FB4" w:rsidRPr="00701004">
        <w:rPr>
          <w:rFonts w:eastAsiaTheme="minorHAnsi"/>
        </w:rPr>
        <w:t>, t = 0.</w:t>
      </w:r>
      <w:r w:rsidR="00F31008" w:rsidRPr="00701004">
        <w:rPr>
          <w:rFonts w:eastAsiaTheme="minorHAnsi"/>
        </w:rPr>
        <w:t>9</w:t>
      </w:r>
      <w:r w:rsidR="00856E77" w:rsidRPr="00701004">
        <w:rPr>
          <w:rFonts w:eastAsiaTheme="minorHAnsi"/>
        </w:rPr>
        <w:t>8</w:t>
      </w:r>
      <w:r w:rsidR="005F1FB4" w:rsidRPr="00701004">
        <w:rPr>
          <w:rFonts w:eastAsiaTheme="minorHAnsi"/>
        </w:rPr>
        <w:t xml:space="preserve">, </w:t>
      </w:r>
      <w:r w:rsidR="005F1FB4" w:rsidRPr="00701004">
        <w:rPr>
          <w:rFonts w:eastAsiaTheme="minorHAnsi"/>
          <w:i/>
        </w:rPr>
        <w:t>p</w:t>
      </w:r>
      <w:r w:rsidR="005F1FB4" w:rsidRPr="00701004">
        <w:rPr>
          <w:rFonts w:eastAsiaTheme="minorHAnsi"/>
        </w:rPr>
        <w:t xml:space="preserve"> = .</w:t>
      </w:r>
      <w:r w:rsidR="0099095C" w:rsidRPr="00701004">
        <w:rPr>
          <w:rFonts w:eastAsiaTheme="minorHAnsi"/>
        </w:rPr>
        <w:t>570</w:t>
      </w:r>
      <w:r w:rsidR="005F1FB4" w:rsidRPr="00701004">
        <w:rPr>
          <w:rFonts w:eastAsiaTheme="minorHAnsi"/>
        </w:rPr>
        <w:t>)</w:t>
      </w:r>
      <w:r w:rsidR="005F1FB4" w:rsidRPr="00701004">
        <w:t xml:space="preserve">. </w:t>
      </w:r>
    </w:p>
    <w:p w14:paraId="0697E502" w14:textId="485368E5" w:rsidR="00B879CF" w:rsidRPr="00701004" w:rsidRDefault="00F7476C" w:rsidP="005F1FB4">
      <w:pPr>
        <w:autoSpaceDE w:val="0"/>
        <w:autoSpaceDN w:val="0"/>
        <w:adjustRightInd w:val="0"/>
        <w:spacing w:before="120" w:line="480" w:lineRule="auto"/>
        <w:jc w:val="both"/>
        <w:rPr>
          <w:rFonts w:eastAsiaTheme="minorHAnsi"/>
        </w:rPr>
      </w:pPr>
      <w:r w:rsidRPr="00701004">
        <w:rPr>
          <w:noProof/>
        </w:rPr>
        <w:lastRenderedPageBreak/>
        <w:drawing>
          <wp:inline distT="0" distB="0" distL="0" distR="0" wp14:anchorId="04CDF589" wp14:editId="079AB6A4">
            <wp:extent cx="6391275" cy="3037732"/>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501"/>
                    <a:stretch/>
                  </pic:blipFill>
                  <pic:spPr bwMode="auto">
                    <a:xfrm>
                      <a:off x="0" y="0"/>
                      <a:ext cx="6397929" cy="3040895"/>
                    </a:xfrm>
                    <a:prstGeom prst="rect">
                      <a:avLst/>
                    </a:prstGeom>
                    <a:noFill/>
                    <a:ln>
                      <a:noFill/>
                    </a:ln>
                    <a:extLst>
                      <a:ext uri="{53640926-AAD7-44D8-BBD7-CCE9431645EC}">
                        <a14:shadowObscured xmlns:a14="http://schemas.microsoft.com/office/drawing/2010/main"/>
                      </a:ext>
                    </a:extLst>
                  </pic:spPr>
                </pic:pic>
              </a:graphicData>
            </a:graphic>
          </wp:inline>
        </w:drawing>
      </w:r>
    </w:p>
    <w:p w14:paraId="43EE085D" w14:textId="36CE7C06" w:rsidR="005F1FB4" w:rsidRPr="00701004" w:rsidRDefault="005F1FB4" w:rsidP="005F1FB4">
      <w:pPr>
        <w:autoSpaceDE w:val="0"/>
        <w:autoSpaceDN w:val="0"/>
        <w:adjustRightInd w:val="0"/>
        <w:spacing w:before="120" w:line="480" w:lineRule="auto"/>
        <w:jc w:val="both"/>
        <w:rPr>
          <w:rFonts w:eastAsiaTheme="minorHAnsi"/>
        </w:rPr>
      </w:pPr>
      <w:bookmarkStart w:id="7" w:name="_Hlk70513172"/>
      <w:r w:rsidRPr="00701004">
        <w:rPr>
          <w:rFonts w:eastAsiaTheme="minorHAnsi"/>
          <w:b/>
        </w:rPr>
        <w:t xml:space="preserve">Figure </w:t>
      </w:r>
      <w:r w:rsidR="00A01B10" w:rsidRPr="00701004">
        <w:rPr>
          <w:rFonts w:eastAsiaTheme="minorHAnsi"/>
          <w:b/>
        </w:rPr>
        <w:t>1</w:t>
      </w:r>
      <w:r w:rsidRPr="00701004">
        <w:rPr>
          <w:rFonts w:eastAsiaTheme="minorHAnsi"/>
          <w:b/>
        </w:rPr>
        <w:t xml:space="preserve">. </w:t>
      </w:r>
      <w:r w:rsidR="00706B80" w:rsidRPr="00701004">
        <w:rPr>
          <w:rFonts w:eastAsiaTheme="minorHAnsi"/>
        </w:rPr>
        <w:t xml:space="preserve">Scatterplots indicating the </w:t>
      </w:r>
      <w:r w:rsidR="000F40A6" w:rsidRPr="00701004">
        <w:rPr>
          <w:rFonts w:eastAsiaTheme="minorHAnsi"/>
        </w:rPr>
        <w:t>associations</w:t>
      </w:r>
      <w:r w:rsidR="00706B80" w:rsidRPr="00701004">
        <w:rPr>
          <w:rFonts w:eastAsiaTheme="minorHAnsi"/>
        </w:rPr>
        <w:t xml:space="preserve"> between cognitive and</w:t>
      </w:r>
      <w:r w:rsidR="00C45938" w:rsidRPr="00701004">
        <w:rPr>
          <w:rFonts w:eastAsiaTheme="minorHAnsi"/>
        </w:rPr>
        <w:t xml:space="preserve"> </w:t>
      </w:r>
      <w:r w:rsidR="000F40A6" w:rsidRPr="00701004">
        <w:rPr>
          <w:rFonts w:eastAsiaTheme="minorHAnsi"/>
        </w:rPr>
        <w:t>social distancing</w:t>
      </w:r>
      <w:r w:rsidR="00C45938" w:rsidRPr="00701004">
        <w:rPr>
          <w:rFonts w:eastAsiaTheme="minorHAnsi"/>
        </w:rPr>
        <w:t xml:space="preserve"> measures.</w:t>
      </w:r>
      <w:r w:rsidRPr="00701004">
        <w:rPr>
          <w:rFonts w:eastAsiaTheme="minorHAnsi"/>
        </w:rPr>
        <w:t xml:space="preserve"> </w:t>
      </w:r>
      <w:bookmarkStart w:id="8" w:name="_Hlk70503073"/>
      <w:r w:rsidRPr="00701004">
        <w:rPr>
          <w:rFonts w:eastAsiaTheme="minorHAnsi"/>
          <w:b/>
        </w:rPr>
        <w:t>A)</w:t>
      </w:r>
      <w:r w:rsidRPr="00701004">
        <w:rPr>
          <w:rFonts w:eastAsiaTheme="minorHAnsi"/>
        </w:rPr>
        <w:t xml:space="preserve"> Participants who were more sensitive to reward magnitude (</w:t>
      </w:r>
      <w:r w:rsidR="009D2CDA" w:rsidRPr="00701004">
        <w:rPr>
          <w:rFonts w:eastAsiaTheme="minorHAnsi"/>
        </w:rPr>
        <w:t>i.e.,</w:t>
      </w:r>
      <w:r w:rsidR="00D67F70" w:rsidRPr="00701004">
        <w:rPr>
          <w:rFonts w:eastAsiaTheme="minorHAnsi"/>
        </w:rPr>
        <w:t xml:space="preserve"> had</w:t>
      </w:r>
      <w:r w:rsidR="009D2CDA" w:rsidRPr="00701004">
        <w:rPr>
          <w:rFonts w:eastAsiaTheme="minorHAnsi"/>
        </w:rPr>
        <w:t xml:space="preserve"> </w:t>
      </w:r>
      <w:r w:rsidR="00801C46" w:rsidRPr="00701004">
        <w:rPr>
          <w:rFonts w:eastAsiaTheme="minorHAnsi"/>
        </w:rPr>
        <w:t xml:space="preserve">lower values on the </w:t>
      </w:r>
      <w:r w:rsidR="000D2DCC" w:rsidRPr="00701004">
        <w:rPr>
          <w:rFonts w:eastAsiaTheme="minorHAnsi"/>
        </w:rPr>
        <w:t>x-axis</w:t>
      </w:r>
      <w:r w:rsidRPr="00701004">
        <w:rPr>
          <w:rFonts w:eastAsiaTheme="minorHAnsi"/>
        </w:rPr>
        <w:t>) reported lower levels of social distancing adherence</w:t>
      </w:r>
      <w:r w:rsidR="000D2DCC" w:rsidRPr="00701004">
        <w:rPr>
          <w:rFonts w:eastAsiaTheme="minorHAnsi"/>
        </w:rPr>
        <w:t xml:space="preserve"> (i.e.,</w:t>
      </w:r>
      <w:r w:rsidR="00D67F70" w:rsidRPr="00701004">
        <w:rPr>
          <w:rFonts w:eastAsiaTheme="minorHAnsi"/>
        </w:rPr>
        <w:t xml:space="preserve"> had</w:t>
      </w:r>
      <w:r w:rsidR="000D2DCC" w:rsidRPr="00701004">
        <w:rPr>
          <w:rFonts w:eastAsiaTheme="minorHAnsi"/>
        </w:rPr>
        <w:t xml:space="preserve"> </w:t>
      </w:r>
      <w:r w:rsidR="00513F64" w:rsidRPr="00701004">
        <w:rPr>
          <w:rFonts w:eastAsiaTheme="minorHAnsi"/>
        </w:rPr>
        <w:t>lower</w:t>
      </w:r>
      <w:r w:rsidR="000D2DCC" w:rsidRPr="00701004">
        <w:rPr>
          <w:rFonts w:eastAsiaTheme="minorHAnsi"/>
        </w:rPr>
        <w:t xml:space="preserve"> values on the y-axis)</w:t>
      </w:r>
      <w:r w:rsidRPr="00701004">
        <w:rPr>
          <w:rFonts w:eastAsiaTheme="minorHAnsi"/>
        </w:rPr>
        <w:t xml:space="preserve">. </w:t>
      </w:r>
      <w:bookmarkEnd w:id="8"/>
      <w:r w:rsidR="00B879CF" w:rsidRPr="00701004">
        <w:rPr>
          <w:b/>
        </w:rPr>
        <w:t>B</w:t>
      </w:r>
      <w:r w:rsidRPr="00701004">
        <w:rPr>
          <w:b/>
        </w:rPr>
        <w:t>)</w:t>
      </w:r>
      <w:r w:rsidRPr="00701004">
        <w:t xml:space="preserve"> </w:t>
      </w:r>
      <w:r w:rsidR="000D2DCC" w:rsidRPr="00701004">
        <w:t xml:space="preserve">Participants who had a </w:t>
      </w:r>
      <w:r w:rsidRPr="00701004">
        <w:rPr>
          <w:rFonts w:eastAsiaTheme="minorHAnsi"/>
        </w:rPr>
        <w:t>lower learning rate</w:t>
      </w:r>
      <w:r w:rsidR="000D2DCC" w:rsidRPr="00701004">
        <w:rPr>
          <w:rFonts w:eastAsiaTheme="minorHAnsi"/>
        </w:rPr>
        <w:t xml:space="preserve"> (i.e.,</w:t>
      </w:r>
      <w:r w:rsidR="00D67F70" w:rsidRPr="00701004">
        <w:rPr>
          <w:rFonts w:eastAsiaTheme="minorHAnsi"/>
        </w:rPr>
        <w:t xml:space="preserve"> had</w:t>
      </w:r>
      <w:r w:rsidR="000D2DCC" w:rsidRPr="00701004">
        <w:rPr>
          <w:rFonts w:eastAsiaTheme="minorHAnsi"/>
        </w:rPr>
        <w:t xml:space="preserve"> lower values on the x-axis)</w:t>
      </w:r>
      <w:r w:rsidRPr="00701004">
        <w:rPr>
          <w:rFonts w:eastAsiaTheme="minorHAnsi"/>
        </w:rPr>
        <w:t xml:space="preserve"> </w:t>
      </w:r>
      <w:r w:rsidR="000D2DCC" w:rsidRPr="00701004">
        <w:rPr>
          <w:rFonts w:eastAsiaTheme="minorHAnsi"/>
        </w:rPr>
        <w:t>reported</w:t>
      </w:r>
      <w:r w:rsidRPr="00701004">
        <w:rPr>
          <w:rFonts w:eastAsiaTheme="minorHAnsi"/>
        </w:rPr>
        <w:t xml:space="preserve"> higher levels of </w:t>
      </w:r>
      <w:r w:rsidR="00706B80" w:rsidRPr="00701004">
        <w:rPr>
          <w:rFonts w:eastAsiaTheme="minorHAnsi"/>
        </w:rPr>
        <w:t>active</w:t>
      </w:r>
      <w:r w:rsidRPr="00701004">
        <w:rPr>
          <w:rFonts w:eastAsiaTheme="minorHAnsi"/>
        </w:rPr>
        <w:t xml:space="preserve"> violat</w:t>
      </w:r>
      <w:r w:rsidR="00706B80" w:rsidRPr="00701004">
        <w:rPr>
          <w:rFonts w:eastAsiaTheme="minorHAnsi"/>
        </w:rPr>
        <w:t>ion of lockdown</w:t>
      </w:r>
      <w:r w:rsidRPr="00701004">
        <w:rPr>
          <w:rFonts w:eastAsiaTheme="minorHAnsi"/>
        </w:rPr>
        <w:t xml:space="preserve"> </w:t>
      </w:r>
      <w:r w:rsidR="00706B80" w:rsidRPr="00701004">
        <w:rPr>
          <w:rFonts w:eastAsiaTheme="minorHAnsi"/>
        </w:rPr>
        <w:t>policies (</w:t>
      </w:r>
      <w:r w:rsidR="000D2DCC" w:rsidRPr="00701004">
        <w:rPr>
          <w:rFonts w:eastAsiaTheme="minorHAnsi"/>
        </w:rPr>
        <w:t xml:space="preserve">i.e., </w:t>
      </w:r>
      <w:r w:rsidR="00D67F70" w:rsidRPr="00701004">
        <w:rPr>
          <w:rFonts w:eastAsiaTheme="minorHAnsi"/>
        </w:rPr>
        <w:t xml:space="preserve">had </w:t>
      </w:r>
      <w:r w:rsidR="00F7476C" w:rsidRPr="00701004">
        <w:rPr>
          <w:rFonts w:eastAsiaTheme="minorHAnsi"/>
        </w:rPr>
        <w:t>higher</w:t>
      </w:r>
      <w:r w:rsidR="000D2DCC" w:rsidRPr="00701004">
        <w:rPr>
          <w:rFonts w:eastAsiaTheme="minorHAnsi"/>
        </w:rPr>
        <w:t xml:space="preserve"> values on the y-axis</w:t>
      </w:r>
      <w:r w:rsidR="00706B80" w:rsidRPr="00701004">
        <w:rPr>
          <w:rFonts w:eastAsiaTheme="minorHAnsi"/>
        </w:rPr>
        <w:t>)</w:t>
      </w:r>
      <w:r w:rsidRPr="00701004">
        <w:rPr>
          <w:rFonts w:eastAsiaTheme="minorHAnsi"/>
        </w:rPr>
        <w:t>.</w:t>
      </w:r>
      <w:r w:rsidR="00720451" w:rsidRPr="00701004">
        <w:rPr>
          <w:rFonts w:eastAsiaTheme="minorHAnsi"/>
        </w:rPr>
        <w:t xml:space="preserve"> </w:t>
      </w:r>
      <w:r w:rsidR="00403ABE" w:rsidRPr="00701004">
        <w:rPr>
          <w:rFonts w:eastAsiaTheme="minorHAnsi"/>
        </w:rPr>
        <w:t>Regression lines are highlighted in blue.</w:t>
      </w:r>
      <w:r w:rsidR="00EE1A26" w:rsidRPr="00701004">
        <w:rPr>
          <w:rFonts w:eastAsiaTheme="minorHAnsi"/>
        </w:rPr>
        <w:t xml:space="preserve">  </w:t>
      </w:r>
    </w:p>
    <w:p w14:paraId="435209B0" w14:textId="5818CE34" w:rsidR="005D4FE0" w:rsidRPr="00701004" w:rsidRDefault="005D4FE0" w:rsidP="005F1FB4">
      <w:pPr>
        <w:autoSpaceDE w:val="0"/>
        <w:autoSpaceDN w:val="0"/>
        <w:adjustRightInd w:val="0"/>
        <w:spacing w:before="120" w:line="480" w:lineRule="auto"/>
        <w:jc w:val="both"/>
        <w:rPr>
          <w:rFonts w:eastAsiaTheme="minorHAnsi"/>
        </w:rPr>
      </w:pPr>
    </w:p>
    <w:bookmarkEnd w:id="7"/>
    <w:p w14:paraId="1DC39FDE" w14:textId="77777777" w:rsidR="005F1FB4" w:rsidRPr="00701004" w:rsidRDefault="005F1FB4" w:rsidP="005F1FB4">
      <w:pPr>
        <w:spacing w:before="120" w:line="480" w:lineRule="auto"/>
        <w:jc w:val="both"/>
        <w:rPr>
          <w:b/>
          <w:caps/>
          <w:color w:val="000000"/>
        </w:rPr>
      </w:pPr>
      <w:r w:rsidRPr="00701004">
        <w:rPr>
          <w:b/>
          <w:color w:val="000000"/>
        </w:rPr>
        <w:t xml:space="preserve">Delay discounting predicted mood and anxiety symptoms </w:t>
      </w:r>
    </w:p>
    <w:p w14:paraId="793FB6E5" w14:textId="4A8D22A2" w:rsidR="00487956" w:rsidRPr="00701004" w:rsidRDefault="003C65E2" w:rsidP="005F6510">
      <w:pPr>
        <w:autoSpaceDE w:val="0"/>
        <w:autoSpaceDN w:val="0"/>
        <w:adjustRightInd w:val="0"/>
        <w:spacing w:before="120" w:line="480" w:lineRule="auto"/>
        <w:ind w:firstLine="720"/>
        <w:jc w:val="both"/>
        <w:rPr>
          <w:rFonts w:eastAsiaTheme="minorHAnsi"/>
        </w:rPr>
      </w:pPr>
      <w:r w:rsidRPr="00701004">
        <w:rPr>
          <w:rFonts w:eastAsiaTheme="minorHAnsi"/>
        </w:rPr>
        <w:t xml:space="preserve">We conducted separate </w:t>
      </w:r>
      <w:r w:rsidR="00FF3844" w:rsidRPr="00701004">
        <w:rPr>
          <w:rFonts w:eastAsiaTheme="minorHAnsi"/>
        </w:rPr>
        <w:t xml:space="preserve">OLS </w:t>
      </w:r>
      <w:r w:rsidRPr="00701004">
        <w:rPr>
          <w:rFonts w:eastAsiaTheme="minorHAnsi"/>
        </w:rPr>
        <w:t>regressions for</w:t>
      </w:r>
      <w:r w:rsidR="001E41F9" w:rsidRPr="00701004">
        <w:rPr>
          <w:rFonts w:eastAsiaTheme="minorHAnsi"/>
        </w:rPr>
        <w:t xml:space="preserve"> COVID-19 specific anxiety,</w:t>
      </w:r>
      <w:r w:rsidRPr="00701004">
        <w:rPr>
          <w:rFonts w:eastAsiaTheme="minorHAnsi"/>
        </w:rPr>
        <w:t xml:space="preserve"> depression, </w:t>
      </w:r>
      <w:r w:rsidR="001E41F9" w:rsidRPr="00701004">
        <w:rPr>
          <w:rFonts w:eastAsiaTheme="minorHAnsi"/>
        </w:rPr>
        <w:t xml:space="preserve">and </w:t>
      </w:r>
      <w:r w:rsidRPr="00701004">
        <w:rPr>
          <w:rFonts w:eastAsiaTheme="minorHAnsi"/>
        </w:rPr>
        <w:t xml:space="preserve">generalised </w:t>
      </w:r>
      <w:r w:rsidR="003778BB" w:rsidRPr="00701004">
        <w:rPr>
          <w:rFonts w:eastAsiaTheme="minorHAnsi"/>
        </w:rPr>
        <w:t>anxiety</w:t>
      </w:r>
      <w:r w:rsidRPr="00701004">
        <w:rPr>
          <w:rFonts w:eastAsiaTheme="minorHAnsi"/>
        </w:rPr>
        <w:t xml:space="preserve">. </w:t>
      </w:r>
      <w:r w:rsidR="005F1FB4" w:rsidRPr="00701004">
        <w:rPr>
          <w:rFonts w:eastAsiaTheme="minorHAnsi"/>
        </w:rPr>
        <w:t>Delay discounting and patch foraging parameters were entered</w:t>
      </w:r>
      <w:r w:rsidRPr="00701004">
        <w:rPr>
          <w:rFonts w:eastAsiaTheme="minorHAnsi"/>
        </w:rPr>
        <w:t xml:space="preserve"> as predictors</w:t>
      </w:r>
      <w:r w:rsidR="005F1FB4" w:rsidRPr="00701004">
        <w:rPr>
          <w:rFonts w:eastAsiaTheme="minorHAnsi"/>
        </w:rPr>
        <w:t xml:space="preserve"> into </w:t>
      </w:r>
      <w:r w:rsidRPr="00701004">
        <w:rPr>
          <w:rFonts w:eastAsiaTheme="minorHAnsi"/>
        </w:rPr>
        <w:t>each</w:t>
      </w:r>
      <w:r w:rsidR="005F1FB4" w:rsidRPr="00701004">
        <w:rPr>
          <w:rFonts w:eastAsiaTheme="minorHAnsi"/>
        </w:rPr>
        <w:t xml:space="preserve"> regression alongside age, </w:t>
      </w:r>
      <w:r w:rsidR="003778BB" w:rsidRPr="00701004">
        <w:rPr>
          <w:rFonts w:eastAsiaTheme="minorHAnsi"/>
        </w:rPr>
        <w:t>gender,</w:t>
      </w:r>
      <w:r w:rsidR="005F1FB4" w:rsidRPr="00701004">
        <w:rPr>
          <w:rFonts w:eastAsiaTheme="minorHAnsi"/>
        </w:rPr>
        <w:t xml:space="preserve"> and income.</w:t>
      </w:r>
      <w:r w:rsidR="005F6510" w:rsidRPr="00701004">
        <w:rPr>
          <w:rFonts w:eastAsiaTheme="minorHAnsi"/>
        </w:rPr>
        <w:t xml:space="preserve"> The regression model </w:t>
      </w:r>
      <w:r w:rsidR="00272B7D" w:rsidRPr="00701004">
        <w:rPr>
          <w:rFonts w:eastAsiaTheme="minorHAnsi"/>
        </w:rPr>
        <w:t>predicting</w:t>
      </w:r>
      <w:r w:rsidR="005F6510" w:rsidRPr="00701004">
        <w:rPr>
          <w:rFonts w:eastAsiaTheme="minorHAnsi"/>
        </w:rPr>
        <w:t xml:space="preserve"> COVID-19 anxiety was significant </w:t>
      </w:r>
      <w:proofErr w:type="gramStart"/>
      <w:r w:rsidR="005F6510" w:rsidRPr="00701004">
        <w:rPr>
          <w:rFonts w:eastAsiaTheme="minorHAnsi"/>
          <w:i/>
        </w:rPr>
        <w:t>F</w:t>
      </w:r>
      <w:r w:rsidR="005F6510" w:rsidRPr="00701004">
        <w:rPr>
          <w:rFonts w:eastAsiaTheme="minorHAnsi"/>
          <w:vertAlign w:val="subscript"/>
        </w:rPr>
        <w:t>(</w:t>
      </w:r>
      <w:proofErr w:type="gramEnd"/>
      <w:r w:rsidR="005F6510" w:rsidRPr="00701004">
        <w:rPr>
          <w:rFonts w:eastAsiaTheme="minorHAnsi"/>
          <w:vertAlign w:val="subscript"/>
        </w:rPr>
        <w:t xml:space="preserve">7,385) </w:t>
      </w:r>
      <w:r w:rsidR="005F6510" w:rsidRPr="00701004">
        <w:rPr>
          <w:rFonts w:eastAsiaTheme="minorHAnsi"/>
        </w:rPr>
        <w:t xml:space="preserve">= 2.69, </w:t>
      </w:r>
      <w:r w:rsidR="005F6510" w:rsidRPr="00701004">
        <w:rPr>
          <w:rFonts w:eastAsiaTheme="minorHAnsi"/>
          <w:i/>
        </w:rPr>
        <w:t>p</w:t>
      </w:r>
      <w:r w:rsidR="005F6510" w:rsidRPr="00701004">
        <w:rPr>
          <w:rFonts w:eastAsiaTheme="minorHAnsi"/>
        </w:rPr>
        <w:t xml:space="preserve"> = 0.01, R² = 0.05.</w:t>
      </w:r>
      <w:r w:rsidR="005F1FB4" w:rsidRPr="00701004">
        <w:rPr>
          <w:rFonts w:eastAsiaTheme="minorHAnsi"/>
        </w:rPr>
        <w:t xml:space="preserve"> </w:t>
      </w:r>
      <w:r w:rsidR="00A940A4" w:rsidRPr="00701004">
        <w:rPr>
          <w:rFonts w:eastAsiaTheme="minorHAnsi"/>
        </w:rPr>
        <w:t>Greater sensitivity towards reward</w:t>
      </w:r>
      <w:r w:rsidR="005F1FB4" w:rsidRPr="00701004">
        <w:rPr>
          <w:rFonts w:eastAsiaTheme="minorHAnsi"/>
        </w:rPr>
        <w:t xml:space="preserve"> magnitude predicted higher levels of specific anxiety around COVID-19 (</w:t>
      </w:r>
      <w:r w:rsidR="005F1FB4" w:rsidRPr="00701004">
        <w:rPr>
          <w:rFonts w:eastAsiaTheme="minorHAnsi"/>
        </w:rPr>
        <w:sym w:font="Symbol" w:char="F062"/>
      </w:r>
      <w:r w:rsidR="005F1FB4" w:rsidRPr="00701004">
        <w:rPr>
          <w:rFonts w:eastAsiaTheme="minorHAnsi"/>
        </w:rPr>
        <w:t xml:space="preserve"> = -.17, t = 3.34, </w:t>
      </w:r>
      <w:r w:rsidR="005F1FB4" w:rsidRPr="00701004">
        <w:rPr>
          <w:rFonts w:eastAsiaTheme="minorHAnsi"/>
          <w:i/>
        </w:rPr>
        <w:t>p</w:t>
      </w:r>
      <w:r w:rsidR="005F1FB4" w:rsidRPr="00701004">
        <w:rPr>
          <w:rFonts w:eastAsiaTheme="minorHAnsi"/>
        </w:rPr>
        <w:t xml:space="preserve"> = .001</w:t>
      </w:r>
      <w:r w:rsidR="002A2F76" w:rsidRPr="00701004">
        <w:rPr>
          <w:rFonts w:eastAsiaTheme="minorHAnsi"/>
        </w:rPr>
        <w:t>; see Figure 2a</w:t>
      </w:r>
      <w:r w:rsidR="005F1FB4" w:rsidRPr="00701004">
        <w:rPr>
          <w:rFonts w:eastAsiaTheme="minorHAnsi"/>
        </w:rPr>
        <w:t>), as did being younger (</w:t>
      </w:r>
      <w:r w:rsidR="005F1FB4" w:rsidRPr="00701004">
        <w:rPr>
          <w:rFonts w:eastAsiaTheme="minorHAnsi"/>
        </w:rPr>
        <w:sym w:font="Symbol" w:char="F062"/>
      </w:r>
      <w:r w:rsidR="005F1FB4" w:rsidRPr="00701004">
        <w:rPr>
          <w:rFonts w:eastAsiaTheme="minorHAnsi"/>
        </w:rPr>
        <w:t xml:space="preserve"> = -.301, t = 7.26; </w:t>
      </w:r>
      <w:r w:rsidR="005F1FB4" w:rsidRPr="00701004">
        <w:rPr>
          <w:rFonts w:eastAsiaTheme="minorHAnsi"/>
          <w:i/>
          <w:iCs/>
        </w:rPr>
        <w:t>p</w:t>
      </w:r>
      <w:r w:rsidR="005F1FB4" w:rsidRPr="00701004">
        <w:rPr>
          <w:rFonts w:eastAsiaTheme="minorHAnsi"/>
        </w:rPr>
        <w:t xml:space="preserve"> &lt; .001) and female (</w:t>
      </w:r>
      <w:r w:rsidR="005F1FB4" w:rsidRPr="00701004">
        <w:rPr>
          <w:rFonts w:eastAsiaTheme="minorHAnsi"/>
        </w:rPr>
        <w:sym w:font="Symbol" w:char="F062"/>
      </w:r>
      <w:r w:rsidR="005F1FB4" w:rsidRPr="00701004">
        <w:rPr>
          <w:rFonts w:eastAsiaTheme="minorHAnsi"/>
        </w:rPr>
        <w:t xml:space="preserve"> = -.097</w:t>
      </w:r>
      <w:r w:rsidR="00A54818" w:rsidRPr="00701004">
        <w:rPr>
          <w:rFonts w:eastAsiaTheme="minorHAnsi"/>
        </w:rPr>
        <w:t>,</w:t>
      </w:r>
      <w:r w:rsidR="005F1FB4" w:rsidRPr="00701004">
        <w:rPr>
          <w:rFonts w:eastAsiaTheme="minorHAnsi"/>
        </w:rPr>
        <w:t xml:space="preserve"> t = 2.22, </w:t>
      </w:r>
      <w:r w:rsidR="005F1FB4" w:rsidRPr="00701004">
        <w:rPr>
          <w:rFonts w:eastAsiaTheme="minorHAnsi"/>
          <w:i/>
          <w:iCs/>
        </w:rPr>
        <w:t>p</w:t>
      </w:r>
      <w:r w:rsidR="005F1FB4" w:rsidRPr="00701004">
        <w:rPr>
          <w:rFonts w:eastAsiaTheme="minorHAnsi"/>
        </w:rPr>
        <w:t xml:space="preserve"> = .027) but not</w:t>
      </w:r>
      <w:r w:rsidR="00A54818" w:rsidRPr="00701004">
        <w:rPr>
          <w:rFonts w:eastAsiaTheme="minorHAnsi"/>
        </w:rPr>
        <w:t xml:space="preserve"> </w:t>
      </w:r>
      <w:r w:rsidR="00FF3844" w:rsidRPr="00701004">
        <w:rPr>
          <w:rFonts w:eastAsiaTheme="minorHAnsi"/>
        </w:rPr>
        <w:t xml:space="preserve">the </w:t>
      </w:r>
      <w:r w:rsidR="00A54818" w:rsidRPr="00701004">
        <w:rPr>
          <w:rFonts w:eastAsiaTheme="minorHAnsi"/>
        </w:rPr>
        <w:t>baseline discount rate (</w:t>
      </w:r>
      <w:r w:rsidR="00A54818" w:rsidRPr="00701004">
        <w:rPr>
          <w:rFonts w:eastAsiaTheme="minorHAnsi"/>
        </w:rPr>
        <w:sym w:font="Symbol" w:char="F062"/>
      </w:r>
      <w:r w:rsidR="00A54818" w:rsidRPr="00701004">
        <w:rPr>
          <w:rFonts w:eastAsiaTheme="minorHAnsi"/>
        </w:rPr>
        <w:t xml:space="preserve"> </w:t>
      </w:r>
      <w:r w:rsidR="00A54818" w:rsidRPr="00701004">
        <w:rPr>
          <w:rFonts w:eastAsiaTheme="minorHAnsi"/>
        </w:rPr>
        <w:lastRenderedPageBreak/>
        <w:t xml:space="preserve">= .08, t = 1.54, </w:t>
      </w:r>
      <w:r w:rsidR="00A54818" w:rsidRPr="00701004">
        <w:rPr>
          <w:rFonts w:eastAsiaTheme="minorHAnsi"/>
          <w:i/>
          <w:iCs/>
        </w:rPr>
        <w:t xml:space="preserve"> p</w:t>
      </w:r>
      <w:r w:rsidR="00A54818" w:rsidRPr="00701004">
        <w:rPr>
          <w:rFonts w:eastAsiaTheme="minorHAnsi"/>
        </w:rPr>
        <w:t xml:space="preserve"> = .124)</w:t>
      </w:r>
      <w:r w:rsidR="00592942" w:rsidRPr="00701004">
        <w:rPr>
          <w:rFonts w:eastAsiaTheme="minorHAnsi"/>
        </w:rPr>
        <w:t>, learning rate (</w:t>
      </w:r>
      <w:r w:rsidR="00592942" w:rsidRPr="00701004">
        <w:rPr>
          <w:rFonts w:eastAsiaTheme="minorHAnsi"/>
        </w:rPr>
        <w:sym w:font="Symbol" w:char="F062"/>
      </w:r>
      <w:r w:rsidR="00592942" w:rsidRPr="00701004">
        <w:rPr>
          <w:rFonts w:eastAsiaTheme="minorHAnsi"/>
        </w:rPr>
        <w:t xml:space="preserve"> = .03, t = 0.54,  </w:t>
      </w:r>
      <w:r w:rsidR="00592942" w:rsidRPr="00701004">
        <w:rPr>
          <w:rFonts w:eastAsiaTheme="minorHAnsi"/>
          <w:i/>
          <w:iCs/>
        </w:rPr>
        <w:t>p</w:t>
      </w:r>
      <w:r w:rsidR="00592942" w:rsidRPr="00701004">
        <w:rPr>
          <w:rFonts w:eastAsiaTheme="minorHAnsi"/>
        </w:rPr>
        <w:t xml:space="preserve"> = .588), </w:t>
      </w:r>
      <w:r w:rsidR="00592942" w:rsidRPr="00701004">
        <w:t>ability to adjust foraging behaviour between the two environments (</w:t>
      </w:r>
      <w:r w:rsidR="00592942" w:rsidRPr="00701004">
        <w:rPr>
          <w:rFonts w:eastAsiaTheme="minorHAnsi"/>
        </w:rPr>
        <w:sym w:font="Symbol" w:char="F062"/>
      </w:r>
      <w:r w:rsidR="00592942" w:rsidRPr="00701004">
        <w:rPr>
          <w:rFonts w:eastAsiaTheme="minorHAnsi"/>
        </w:rPr>
        <w:t xml:space="preserve"> = -.07, t = 1.31,  </w:t>
      </w:r>
      <w:r w:rsidR="00592942" w:rsidRPr="00701004">
        <w:rPr>
          <w:rFonts w:eastAsiaTheme="minorHAnsi"/>
          <w:i/>
          <w:iCs/>
        </w:rPr>
        <w:t>p</w:t>
      </w:r>
      <w:r w:rsidR="00592942" w:rsidRPr="00701004">
        <w:rPr>
          <w:rFonts w:eastAsiaTheme="minorHAnsi"/>
        </w:rPr>
        <w:t xml:space="preserve"> = .190),</w:t>
      </w:r>
      <w:r w:rsidR="00A54818" w:rsidRPr="00701004">
        <w:rPr>
          <w:rFonts w:eastAsiaTheme="minorHAnsi"/>
        </w:rPr>
        <w:t xml:space="preserve"> </w:t>
      </w:r>
      <w:r w:rsidR="00592942" w:rsidRPr="00701004">
        <w:rPr>
          <w:rFonts w:eastAsiaTheme="minorHAnsi"/>
        </w:rPr>
        <w:t>or</w:t>
      </w:r>
      <w:r w:rsidR="005F1FB4" w:rsidRPr="00701004">
        <w:rPr>
          <w:rFonts w:eastAsiaTheme="minorHAnsi"/>
        </w:rPr>
        <w:t xml:space="preserve"> income (</w:t>
      </w:r>
      <w:r w:rsidR="00A54818" w:rsidRPr="00701004">
        <w:rPr>
          <w:rFonts w:eastAsiaTheme="minorHAnsi"/>
        </w:rPr>
        <w:sym w:font="Symbol" w:char="F062"/>
      </w:r>
      <w:r w:rsidR="00A54818" w:rsidRPr="00701004">
        <w:rPr>
          <w:rFonts w:eastAsiaTheme="minorHAnsi"/>
        </w:rPr>
        <w:t xml:space="preserve"> = -.01, t = 0.21,  </w:t>
      </w:r>
      <w:r w:rsidR="005F1FB4" w:rsidRPr="00701004">
        <w:rPr>
          <w:rFonts w:eastAsiaTheme="minorHAnsi"/>
          <w:i/>
          <w:iCs/>
        </w:rPr>
        <w:t>p</w:t>
      </w:r>
      <w:r w:rsidR="005F1FB4" w:rsidRPr="00701004">
        <w:rPr>
          <w:rFonts w:eastAsiaTheme="minorHAnsi"/>
        </w:rPr>
        <w:t xml:space="preserve"> = .</w:t>
      </w:r>
      <w:r w:rsidR="00A54818" w:rsidRPr="00701004">
        <w:rPr>
          <w:rFonts w:eastAsiaTheme="minorHAnsi"/>
        </w:rPr>
        <w:t>83</w:t>
      </w:r>
      <w:r w:rsidR="005F1FB4" w:rsidRPr="00701004">
        <w:rPr>
          <w:rFonts w:eastAsiaTheme="minorHAnsi"/>
        </w:rPr>
        <w:t xml:space="preserve">). </w:t>
      </w:r>
    </w:p>
    <w:p w14:paraId="0E0C9616" w14:textId="7017C51D" w:rsidR="00C17DA7" w:rsidRPr="00701004" w:rsidRDefault="005F6510" w:rsidP="005F6510">
      <w:pPr>
        <w:autoSpaceDE w:val="0"/>
        <w:autoSpaceDN w:val="0"/>
        <w:adjustRightInd w:val="0"/>
        <w:spacing w:before="120" w:line="480" w:lineRule="auto"/>
        <w:ind w:firstLine="720"/>
        <w:jc w:val="both"/>
        <w:rPr>
          <w:rFonts w:eastAsiaTheme="minorHAnsi"/>
        </w:rPr>
      </w:pPr>
      <w:r w:rsidRPr="00701004">
        <w:rPr>
          <w:rFonts w:eastAsiaTheme="minorHAnsi"/>
        </w:rPr>
        <w:t xml:space="preserve">Further, the </w:t>
      </w:r>
      <w:r w:rsidR="00DA1A63" w:rsidRPr="00701004">
        <w:rPr>
          <w:rFonts w:eastAsiaTheme="minorHAnsi"/>
        </w:rPr>
        <w:t xml:space="preserve">overall </w:t>
      </w:r>
      <w:r w:rsidRPr="00701004">
        <w:rPr>
          <w:rFonts w:eastAsiaTheme="minorHAnsi"/>
        </w:rPr>
        <w:t xml:space="preserve">model </w:t>
      </w:r>
      <w:r w:rsidR="00272B7D" w:rsidRPr="00701004">
        <w:rPr>
          <w:rFonts w:eastAsiaTheme="minorHAnsi"/>
        </w:rPr>
        <w:t>predicting</w:t>
      </w:r>
      <w:r w:rsidRPr="00701004">
        <w:rPr>
          <w:rFonts w:eastAsiaTheme="minorHAnsi"/>
        </w:rPr>
        <w:t xml:space="preserve"> depression was significant </w:t>
      </w:r>
      <w:proofErr w:type="gramStart"/>
      <w:r w:rsidRPr="00701004">
        <w:rPr>
          <w:rFonts w:eastAsiaTheme="minorHAnsi"/>
          <w:i/>
        </w:rPr>
        <w:t>F</w:t>
      </w:r>
      <w:r w:rsidRPr="00701004">
        <w:rPr>
          <w:rFonts w:eastAsiaTheme="minorHAnsi"/>
          <w:vertAlign w:val="subscript"/>
        </w:rPr>
        <w:t>(</w:t>
      </w:r>
      <w:proofErr w:type="gramEnd"/>
      <w:r w:rsidRPr="00701004">
        <w:rPr>
          <w:rFonts w:eastAsiaTheme="minorHAnsi"/>
          <w:vertAlign w:val="subscript"/>
        </w:rPr>
        <w:t>7,385)</w:t>
      </w:r>
      <w:r w:rsidRPr="00701004">
        <w:rPr>
          <w:rFonts w:eastAsiaTheme="minorHAnsi"/>
        </w:rPr>
        <w:t xml:space="preserve"> = 8.87, </w:t>
      </w:r>
      <w:r w:rsidRPr="00701004">
        <w:rPr>
          <w:rFonts w:eastAsiaTheme="minorHAnsi"/>
          <w:i/>
        </w:rPr>
        <w:t>p</w:t>
      </w:r>
      <w:r w:rsidRPr="00701004">
        <w:rPr>
          <w:rFonts w:eastAsiaTheme="minorHAnsi"/>
        </w:rPr>
        <w:t xml:space="preserve"> &lt; .001, R² = 0.14. Specifically, depression was predicted by g</w:t>
      </w:r>
      <w:r w:rsidR="00C17DA7" w:rsidRPr="00701004">
        <w:rPr>
          <w:rFonts w:eastAsiaTheme="minorHAnsi"/>
        </w:rPr>
        <w:t>reater sensitivity towards reward magnitude (</w:t>
      </w:r>
      <w:r w:rsidR="00C17DA7" w:rsidRPr="00701004">
        <w:rPr>
          <w:rFonts w:eastAsiaTheme="minorHAnsi"/>
        </w:rPr>
        <w:sym w:font="Symbol" w:char="F062"/>
      </w:r>
      <w:r w:rsidR="00C17DA7" w:rsidRPr="00701004">
        <w:rPr>
          <w:rFonts w:eastAsiaTheme="minorHAnsi"/>
        </w:rPr>
        <w:t xml:space="preserve"> = -.12, t = 2.42, </w:t>
      </w:r>
      <w:r w:rsidR="00C17DA7" w:rsidRPr="00701004">
        <w:rPr>
          <w:rFonts w:eastAsiaTheme="minorHAnsi"/>
          <w:i/>
        </w:rPr>
        <w:t>p</w:t>
      </w:r>
      <w:r w:rsidR="00C17DA7" w:rsidRPr="00701004">
        <w:rPr>
          <w:rFonts w:eastAsiaTheme="minorHAnsi"/>
        </w:rPr>
        <w:t xml:space="preserve"> = .0</w:t>
      </w:r>
      <w:r w:rsidR="00831297" w:rsidRPr="00701004">
        <w:rPr>
          <w:rFonts w:eastAsiaTheme="minorHAnsi"/>
        </w:rPr>
        <w:t>16</w:t>
      </w:r>
      <w:r w:rsidR="00C17DA7" w:rsidRPr="00701004">
        <w:rPr>
          <w:rFonts w:eastAsiaTheme="minorHAnsi"/>
        </w:rPr>
        <w:t>)</w:t>
      </w:r>
      <w:r w:rsidR="001A0D91" w:rsidRPr="00701004">
        <w:rPr>
          <w:rFonts w:eastAsiaTheme="minorHAnsi"/>
        </w:rPr>
        <w:t>, which remained after correcting for multiple comparisons (</w:t>
      </w:r>
      <w:proofErr w:type="spellStart"/>
      <w:r w:rsidR="001A0D91" w:rsidRPr="00701004">
        <w:rPr>
          <w:rFonts w:eastAsiaTheme="minorHAnsi"/>
          <w:i/>
          <w:iCs/>
        </w:rPr>
        <w:t>p</w:t>
      </w:r>
      <w:r w:rsidR="001A0D91" w:rsidRPr="00701004">
        <w:rPr>
          <w:rFonts w:eastAsiaTheme="minorHAnsi"/>
          <w:i/>
          <w:iCs/>
          <w:vertAlign w:val="subscript"/>
        </w:rPr>
        <w:t>bonf</w:t>
      </w:r>
      <w:proofErr w:type="spellEnd"/>
      <w:r w:rsidR="001A0D91" w:rsidRPr="00701004">
        <w:rPr>
          <w:rFonts w:eastAsiaTheme="minorHAnsi"/>
          <w:i/>
          <w:iCs/>
        </w:rPr>
        <w:t xml:space="preserve"> </w:t>
      </w:r>
      <w:r w:rsidR="001A0D91" w:rsidRPr="00701004">
        <w:rPr>
          <w:rFonts w:eastAsiaTheme="minorHAnsi"/>
        </w:rPr>
        <w:t>= .032). Depression was also predicted by</w:t>
      </w:r>
      <w:r w:rsidR="00C17DA7" w:rsidRPr="00701004">
        <w:rPr>
          <w:rFonts w:eastAsiaTheme="minorHAnsi"/>
        </w:rPr>
        <w:t xml:space="preserve"> lower income (</w:t>
      </w:r>
      <w:r w:rsidR="00C17DA7" w:rsidRPr="00701004">
        <w:rPr>
          <w:rFonts w:eastAsiaTheme="minorHAnsi"/>
        </w:rPr>
        <w:sym w:font="Symbol" w:char="F062"/>
      </w:r>
      <w:r w:rsidR="00C17DA7" w:rsidRPr="00701004">
        <w:rPr>
          <w:rFonts w:eastAsiaTheme="minorHAnsi"/>
        </w:rPr>
        <w:t xml:space="preserve"> = -.18, t = 2.67,</w:t>
      </w:r>
      <w:r w:rsidR="00831297" w:rsidRPr="00701004">
        <w:rPr>
          <w:rFonts w:eastAsiaTheme="minorHAnsi"/>
        </w:rPr>
        <w:t xml:space="preserve"> </w:t>
      </w:r>
      <w:r w:rsidR="00831297" w:rsidRPr="00701004">
        <w:rPr>
          <w:rFonts w:eastAsiaTheme="minorHAnsi"/>
          <w:i/>
          <w:iCs/>
        </w:rPr>
        <w:t xml:space="preserve">p </w:t>
      </w:r>
      <w:r w:rsidR="00831297" w:rsidRPr="00701004">
        <w:rPr>
          <w:rFonts w:eastAsiaTheme="minorHAnsi"/>
        </w:rPr>
        <w:t>= 0.008,</w:t>
      </w:r>
      <w:r w:rsidR="00C17DA7" w:rsidRPr="00701004">
        <w:rPr>
          <w:rFonts w:eastAsiaTheme="minorHAnsi"/>
        </w:rPr>
        <w:t xml:space="preserve"> </w:t>
      </w:r>
      <w:proofErr w:type="spellStart"/>
      <w:r w:rsidR="00C17DA7" w:rsidRPr="00701004">
        <w:rPr>
          <w:rFonts w:eastAsiaTheme="minorHAnsi"/>
          <w:i/>
        </w:rPr>
        <w:t>p</w:t>
      </w:r>
      <w:r w:rsidR="00831297" w:rsidRPr="00701004">
        <w:rPr>
          <w:rFonts w:eastAsiaTheme="minorHAnsi"/>
          <w:i/>
          <w:vertAlign w:val="subscript"/>
        </w:rPr>
        <w:t>bonf</w:t>
      </w:r>
      <w:proofErr w:type="spellEnd"/>
      <w:r w:rsidR="00C17DA7" w:rsidRPr="00701004">
        <w:rPr>
          <w:rFonts w:eastAsiaTheme="minorHAnsi"/>
        </w:rPr>
        <w:t xml:space="preserve"> = .0</w:t>
      </w:r>
      <w:r w:rsidR="00D14B4C" w:rsidRPr="00701004">
        <w:rPr>
          <w:rFonts w:eastAsiaTheme="minorHAnsi"/>
        </w:rPr>
        <w:t>16</w:t>
      </w:r>
      <w:r w:rsidR="00C17DA7" w:rsidRPr="00701004">
        <w:rPr>
          <w:rFonts w:eastAsiaTheme="minorHAnsi"/>
        </w:rPr>
        <w:t>) and being younger (</w:t>
      </w:r>
      <w:r w:rsidR="00C17DA7" w:rsidRPr="00701004">
        <w:rPr>
          <w:rFonts w:eastAsiaTheme="minorHAnsi"/>
        </w:rPr>
        <w:sym w:font="Symbol" w:char="F062"/>
      </w:r>
      <w:r w:rsidR="00C17DA7" w:rsidRPr="00701004">
        <w:rPr>
          <w:rFonts w:eastAsiaTheme="minorHAnsi"/>
        </w:rPr>
        <w:t xml:space="preserve"> = -.27, t = 5.59,</w:t>
      </w:r>
      <w:r w:rsidR="00831297" w:rsidRPr="00701004">
        <w:rPr>
          <w:rFonts w:eastAsiaTheme="minorHAnsi"/>
        </w:rPr>
        <w:t xml:space="preserve"> </w:t>
      </w:r>
      <w:r w:rsidR="00831297" w:rsidRPr="00701004">
        <w:rPr>
          <w:rFonts w:eastAsiaTheme="minorHAnsi"/>
          <w:i/>
          <w:iCs/>
        </w:rPr>
        <w:t xml:space="preserve">p </w:t>
      </w:r>
      <w:r w:rsidR="00831297" w:rsidRPr="00701004">
        <w:rPr>
          <w:rFonts w:eastAsiaTheme="minorHAnsi"/>
        </w:rPr>
        <w:t>= .001,</w:t>
      </w:r>
      <w:r w:rsidR="00C17DA7" w:rsidRPr="00701004">
        <w:rPr>
          <w:rFonts w:eastAsiaTheme="minorHAnsi"/>
        </w:rPr>
        <w:t xml:space="preserve"> </w:t>
      </w:r>
      <w:proofErr w:type="spellStart"/>
      <w:r w:rsidR="00C17DA7" w:rsidRPr="00701004">
        <w:rPr>
          <w:rFonts w:eastAsiaTheme="minorHAnsi"/>
          <w:i/>
        </w:rPr>
        <w:t>p</w:t>
      </w:r>
      <w:r w:rsidR="00831297" w:rsidRPr="00701004">
        <w:rPr>
          <w:rFonts w:eastAsiaTheme="minorHAnsi"/>
          <w:i/>
          <w:vertAlign w:val="subscript"/>
        </w:rPr>
        <w:t>bonf</w:t>
      </w:r>
      <w:proofErr w:type="spellEnd"/>
      <w:r w:rsidR="00C17DA7" w:rsidRPr="00701004">
        <w:rPr>
          <w:rFonts w:eastAsiaTheme="minorHAnsi"/>
        </w:rPr>
        <w:t xml:space="preserve"> </w:t>
      </w:r>
      <w:r w:rsidR="00D14B4C" w:rsidRPr="00701004">
        <w:rPr>
          <w:rFonts w:eastAsiaTheme="minorHAnsi"/>
        </w:rPr>
        <w:t>=</w:t>
      </w:r>
      <w:r w:rsidR="00C17DA7" w:rsidRPr="00701004">
        <w:rPr>
          <w:rFonts w:eastAsiaTheme="minorHAnsi"/>
        </w:rPr>
        <w:t xml:space="preserve"> .00</w:t>
      </w:r>
      <w:r w:rsidR="00D14B4C" w:rsidRPr="00701004">
        <w:rPr>
          <w:rFonts w:eastAsiaTheme="minorHAnsi"/>
        </w:rPr>
        <w:t>2</w:t>
      </w:r>
      <w:r w:rsidR="00C17DA7" w:rsidRPr="00701004">
        <w:rPr>
          <w:rFonts w:eastAsiaTheme="minorHAnsi"/>
        </w:rPr>
        <w:t>), but not the baseline discounting rate (</w:t>
      </w:r>
      <w:r w:rsidR="00C17DA7" w:rsidRPr="00701004">
        <w:rPr>
          <w:rFonts w:eastAsiaTheme="minorHAnsi"/>
        </w:rPr>
        <w:sym w:font="Symbol" w:char="F062"/>
      </w:r>
      <w:r w:rsidR="00C17DA7" w:rsidRPr="00701004">
        <w:rPr>
          <w:rFonts w:eastAsiaTheme="minorHAnsi"/>
        </w:rPr>
        <w:t xml:space="preserve"> = .08, t = 1.60, </w:t>
      </w:r>
      <w:r w:rsidR="00C17DA7" w:rsidRPr="00701004">
        <w:rPr>
          <w:rFonts w:eastAsiaTheme="minorHAnsi"/>
          <w:i/>
        </w:rPr>
        <w:t>p</w:t>
      </w:r>
      <w:r w:rsidR="00C17DA7" w:rsidRPr="00701004">
        <w:rPr>
          <w:rFonts w:eastAsiaTheme="minorHAnsi"/>
        </w:rPr>
        <w:t xml:space="preserve"> = .</w:t>
      </w:r>
      <w:r w:rsidR="00831297" w:rsidRPr="00701004">
        <w:rPr>
          <w:rFonts w:eastAsiaTheme="minorHAnsi"/>
        </w:rPr>
        <w:t>112</w:t>
      </w:r>
      <w:r w:rsidR="00C17DA7" w:rsidRPr="00701004">
        <w:rPr>
          <w:rFonts w:eastAsiaTheme="minorHAnsi"/>
        </w:rPr>
        <w:t>), learning rate (</w:t>
      </w:r>
      <w:r w:rsidR="00C17DA7" w:rsidRPr="00701004">
        <w:rPr>
          <w:rFonts w:eastAsiaTheme="minorHAnsi"/>
        </w:rPr>
        <w:sym w:font="Symbol" w:char="F062"/>
      </w:r>
      <w:r w:rsidR="00C17DA7" w:rsidRPr="00701004">
        <w:rPr>
          <w:rFonts w:eastAsiaTheme="minorHAnsi"/>
        </w:rPr>
        <w:t xml:space="preserve"> = .09, t = 1.77 , </w:t>
      </w:r>
      <w:r w:rsidR="00C17DA7" w:rsidRPr="00701004">
        <w:rPr>
          <w:rFonts w:eastAsiaTheme="minorHAnsi"/>
          <w:i/>
        </w:rPr>
        <w:t>p</w:t>
      </w:r>
      <w:r w:rsidR="00C17DA7" w:rsidRPr="00701004">
        <w:rPr>
          <w:rFonts w:eastAsiaTheme="minorHAnsi"/>
        </w:rPr>
        <w:t xml:space="preserve"> = .</w:t>
      </w:r>
      <w:r w:rsidR="00831297" w:rsidRPr="00701004">
        <w:rPr>
          <w:rFonts w:eastAsiaTheme="minorHAnsi"/>
        </w:rPr>
        <w:t>078</w:t>
      </w:r>
      <w:r w:rsidR="00BA2638" w:rsidRPr="00701004">
        <w:rPr>
          <w:rFonts w:eastAsiaTheme="minorHAnsi"/>
        </w:rPr>
        <w:t>)</w:t>
      </w:r>
      <w:r w:rsidR="00C17DA7" w:rsidRPr="00701004">
        <w:rPr>
          <w:rFonts w:eastAsiaTheme="minorHAnsi"/>
        </w:rPr>
        <w:t>, ability to adjust foraging behaviour (</w:t>
      </w:r>
      <w:r w:rsidR="00C17DA7" w:rsidRPr="00701004">
        <w:rPr>
          <w:rFonts w:eastAsiaTheme="minorHAnsi"/>
        </w:rPr>
        <w:sym w:font="Symbol" w:char="F062"/>
      </w:r>
      <w:r w:rsidR="00C17DA7" w:rsidRPr="00701004">
        <w:rPr>
          <w:rFonts w:eastAsiaTheme="minorHAnsi"/>
        </w:rPr>
        <w:t xml:space="preserve"> = -.01, t = 0.23, </w:t>
      </w:r>
      <w:r w:rsidR="00C17DA7" w:rsidRPr="00701004">
        <w:rPr>
          <w:rFonts w:eastAsiaTheme="minorHAnsi"/>
          <w:i/>
        </w:rPr>
        <w:t>p</w:t>
      </w:r>
      <w:r w:rsidR="00C17DA7" w:rsidRPr="00701004">
        <w:rPr>
          <w:rFonts w:eastAsiaTheme="minorHAnsi"/>
        </w:rPr>
        <w:t xml:space="preserve"> = </w:t>
      </w:r>
      <w:r w:rsidR="00C93795" w:rsidRPr="00701004">
        <w:rPr>
          <w:rFonts w:eastAsiaTheme="minorHAnsi"/>
        </w:rPr>
        <w:t>.</w:t>
      </w:r>
      <w:r w:rsidR="00BA2638" w:rsidRPr="00701004">
        <w:rPr>
          <w:rFonts w:eastAsiaTheme="minorHAnsi"/>
        </w:rPr>
        <w:t>818</w:t>
      </w:r>
      <w:r w:rsidR="00C17DA7" w:rsidRPr="00701004">
        <w:rPr>
          <w:rFonts w:eastAsiaTheme="minorHAnsi"/>
        </w:rPr>
        <w:t>) or gender (</w:t>
      </w:r>
      <w:r w:rsidR="00C17DA7" w:rsidRPr="00701004">
        <w:rPr>
          <w:rFonts w:eastAsiaTheme="minorHAnsi"/>
        </w:rPr>
        <w:sym w:font="Symbol" w:char="F062"/>
      </w:r>
      <w:r w:rsidR="00C17DA7" w:rsidRPr="00701004">
        <w:rPr>
          <w:rFonts w:eastAsiaTheme="minorHAnsi"/>
        </w:rPr>
        <w:t xml:space="preserve"> = .04, t = 0.76, </w:t>
      </w:r>
      <w:r w:rsidR="00C17DA7" w:rsidRPr="00701004">
        <w:rPr>
          <w:rFonts w:eastAsiaTheme="minorHAnsi"/>
          <w:i/>
        </w:rPr>
        <w:t>p</w:t>
      </w:r>
      <w:r w:rsidR="00C17DA7" w:rsidRPr="00701004">
        <w:rPr>
          <w:rFonts w:eastAsiaTheme="minorHAnsi"/>
        </w:rPr>
        <w:t xml:space="preserve"> = 0.</w:t>
      </w:r>
      <w:r w:rsidR="00831297" w:rsidRPr="00701004">
        <w:rPr>
          <w:rFonts w:eastAsiaTheme="minorHAnsi"/>
        </w:rPr>
        <w:t>449</w:t>
      </w:r>
      <w:r w:rsidR="00C17DA7" w:rsidRPr="00701004">
        <w:rPr>
          <w:rFonts w:eastAsiaTheme="minorHAnsi"/>
        </w:rPr>
        <w:t xml:space="preserve">). </w:t>
      </w:r>
    </w:p>
    <w:p w14:paraId="38EDE709" w14:textId="4B838B1C" w:rsidR="00F26B12" w:rsidRPr="00701004" w:rsidRDefault="005F6510" w:rsidP="005F6510">
      <w:pPr>
        <w:autoSpaceDE w:val="0"/>
        <w:autoSpaceDN w:val="0"/>
        <w:adjustRightInd w:val="0"/>
        <w:spacing w:before="120" w:line="480" w:lineRule="auto"/>
        <w:ind w:firstLine="720"/>
        <w:jc w:val="both"/>
        <w:rPr>
          <w:rFonts w:eastAsiaTheme="minorHAnsi"/>
        </w:rPr>
      </w:pPr>
      <w:r w:rsidRPr="00701004">
        <w:rPr>
          <w:rFonts w:eastAsiaTheme="minorHAnsi"/>
        </w:rPr>
        <w:t xml:space="preserve">The regression model </w:t>
      </w:r>
      <w:r w:rsidR="00272B7D" w:rsidRPr="00701004">
        <w:rPr>
          <w:rFonts w:eastAsiaTheme="minorHAnsi"/>
        </w:rPr>
        <w:t>predicting</w:t>
      </w:r>
      <w:r w:rsidRPr="00701004">
        <w:rPr>
          <w:rFonts w:eastAsiaTheme="minorHAnsi"/>
        </w:rPr>
        <w:t xml:space="preserve"> generalised anxiety was also significant </w:t>
      </w:r>
      <w:proofErr w:type="gramStart"/>
      <w:r w:rsidRPr="00701004">
        <w:rPr>
          <w:rFonts w:eastAsiaTheme="minorHAnsi"/>
          <w:i/>
        </w:rPr>
        <w:t>F</w:t>
      </w:r>
      <w:r w:rsidRPr="00701004">
        <w:rPr>
          <w:rFonts w:eastAsiaTheme="minorHAnsi"/>
          <w:vertAlign w:val="subscript"/>
        </w:rPr>
        <w:t>(</w:t>
      </w:r>
      <w:proofErr w:type="gramEnd"/>
      <w:r w:rsidRPr="00701004">
        <w:rPr>
          <w:rFonts w:eastAsiaTheme="minorHAnsi"/>
          <w:vertAlign w:val="subscript"/>
        </w:rPr>
        <w:t>7,385)</w:t>
      </w:r>
      <w:r w:rsidRPr="00701004">
        <w:rPr>
          <w:rFonts w:eastAsiaTheme="minorHAnsi"/>
        </w:rPr>
        <w:t xml:space="preserve"> = 8.78, </w:t>
      </w:r>
      <w:r w:rsidRPr="00701004">
        <w:rPr>
          <w:rFonts w:eastAsiaTheme="minorHAnsi"/>
          <w:i/>
        </w:rPr>
        <w:t>p</w:t>
      </w:r>
      <w:r w:rsidRPr="00701004">
        <w:rPr>
          <w:rFonts w:eastAsiaTheme="minorHAnsi"/>
        </w:rPr>
        <w:t xml:space="preserve"> &lt; .001, R² = 0.14. Generalised anxiety was predicted by a</w:t>
      </w:r>
      <w:r w:rsidR="005F1FB4" w:rsidRPr="00701004">
        <w:rPr>
          <w:rFonts w:eastAsiaTheme="minorHAnsi"/>
        </w:rPr>
        <w:t xml:space="preserve"> </w:t>
      </w:r>
      <w:r w:rsidR="00A940A4" w:rsidRPr="00701004">
        <w:rPr>
          <w:rFonts w:eastAsiaTheme="minorHAnsi"/>
        </w:rPr>
        <w:t xml:space="preserve">greater sensitivity to reward </w:t>
      </w:r>
      <w:r w:rsidR="005F1FB4" w:rsidRPr="00701004">
        <w:rPr>
          <w:rFonts w:eastAsiaTheme="minorHAnsi"/>
        </w:rPr>
        <w:t>magnitude (</w:t>
      </w:r>
      <w:r w:rsidR="005F1FB4" w:rsidRPr="00701004">
        <w:rPr>
          <w:rFonts w:eastAsiaTheme="minorHAnsi"/>
        </w:rPr>
        <w:sym w:font="Symbol" w:char="F062"/>
      </w:r>
      <w:r w:rsidR="005F1FB4" w:rsidRPr="00701004">
        <w:rPr>
          <w:rFonts w:eastAsiaTheme="minorHAnsi"/>
        </w:rPr>
        <w:t xml:space="preserve"> = -.102, t = 2.11, </w:t>
      </w:r>
      <w:r w:rsidR="005F1FB4" w:rsidRPr="00701004">
        <w:rPr>
          <w:rFonts w:eastAsiaTheme="minorHAnsi"/>
          <w:i/>
        </w:rPr>
        <w:t>p</w:t>
      </w:r>
      <w:r w:rsidR="005F1FB4" w:rsidRPr="00701004">
        <w:rPr>
          <w:rFonts w:eastAsiaTheme="minorHAnsi"/>
        </w:rPr>
        <w:t xml:space="preserve"> = .</w:t>
      </w:r>
      <w:r w:rsidR="00E4026D" w:rsidRPr="00701004">
        <w:rPr>
          <w:rFonts w:eastAsiaTheme="minorHAnsi"/>
        </w:rPr>
        <w:t>035</w:t>
      </w:r>
      <w:r w:rsidR="005F1FB4" w:rsidRPr="00701004">
        <w:rPr>
          <w:rFonts w:eastAsiaTheme="minorHAnsi"/>
        </w:rPr>
        <w:t>)</w:t>
      </w:r>
      <w:r w:rsidR="00DD45F9" w:rsidRPr="00701004">
        <w:rPr>
          <w:rFonts w:eastAsiaTheme="minorHAnsi"/>
        </w:rPr>
        <w:t>,</w:t>
      </w:r>
      <w:r w:rsidR="001A0D91" w:rsidRPr="00701004">
        <w:rPr>
          <w:rFonts w:eastAsiaTheme="minorHAnsi"/>
        </w:rPr>
        <w:t xml:space="preserve"> however this was no longer significant after correcting for multiple comparisons (</w:t>
      </w:r>
      <w:proofErr w:type="spellStart"/>
      <w:r w:rsidR="001A0D91" w:rsidRPr="00701004">
        <w:rPr>
          <w:rFonts w:eastAsiaTheme="minorHAnsi"/>
          <w:i/>
          <w:iCs/>
        </w:rPr>
        <w:t>p</w:t>
      </w:r>
      <w:r w:rsidR="001A0D91" w:rsidRPr="00701004">
        <w:rPr>
          <w:rFonts w:eastAsiaTheme="minorHAnsi"/>
          <w:i/>
          <w:iCs/>
          <w:vertAlign w:val="subscript"/>
        </w:rPr>
        <w:t>bonf</w:t>
      </w:r>
      <w:proofErr w:type="spellEnd"/>
      <w:r w:rsidR="001A0D91" w:rsidRPr="00701004">
        <w:rPr>
          <w:rFonts w:eastAsiaTheme="minorHAnsi"/>
        </w:rPr>
        <w:t xml:space="preserve"> = .070). </w:t>
      </w:r>
      <w:r w:rsidR="00A2329D" w:rsidRPr="00701004">
        <w:rPr>
          <w:rFonts w:eastAsiaTheme="minorHAnsi"/>
        </w:rPr>
        <w:t>Moreover, generalised anxiety was</w:t>
      </w:r>
      <w:r w:rsidR="00E4026D" w:rsidRPr="00701004">
        <w:rPr>
          <w:rFonts w:eastAsiaTheme="minorHAnsi"/>
        </w:rPr>
        <w:t xml:space="preserve"> predicted by being younger (</w:t>
      </w:r>
      <w:r w:rsidR="00E4026D" w:rsidRPr="00701004">
        <w:rPr>
          <w:rFonts w:eastAsiaTheme="minorHAnsi"/>
        </w:rPr>
        <w:sym w:font="Symbol" w:char="F062"/>
      </w:r>
      <w:r w:rsidR="00E4026D" w:rsidRPr="00701004">
        <w:rPr>
          <w:rFonts w:eastAsiaTheme="minorHAnsi"/>
        </w:rPr>
        <w:t xml:space="preserve"> = -.333, t = 6.86, </w:t>
      </w:r>
      <w:r w:rsidR="00E4026D" w:rsidRPr="00701004">
        <w:rPr>
          <w:rFonts w:eastAsiaTheme="minorHAnsi"/>
          <w:i/>
          <w:iCs/>
        </w:rPr>
        <w:t xml:space="preserve">p </w:t>
      </w:r>
      <w:r w:rsidR="00E4026D" w:rsidRPr="00701004">
        <w:rPr>
          <w:rFonts w:eastAsiaTheme="minorHAnsi"/>
        </w:rPr>
        <w:t xml:space="preserve">= .001, </w:t>
      </w:r>
      <w:proofErr w:type="spellStart"/>
      <w:r w:rsidR="00E4026D" w:rsidRPr="00701004">
        <w:rPr>
          <w:rFonts w:eastAsiaTheme="minorHAnsi"/>
          <w:i/>
        </w:rPr>
        <w:t>p</w:t>
      </w:r>
      <w:r w:rsidR="00E4026D" w:rsidRPr="00701004">
        <w:rPr>
          <w:rFonts w:eastAsiaTheme="minorHAnsi"/>
          <w:i/>
          <w:vertAlign w:val="subscript"/>
        </w:rPr>
        <w:t>bonf</w:t>
      </w:r>
      <w:proofErr w:type="spellEnd"/>
      <w:r w:rsidR="00E4026D" w:rsidRPr="00701004">
        <w:rPr>
          <w:rFonts w:eastAsiaTheme="minorHAnsi"/>
        </w:rPr>
        <w:t xml:space="preserve"> = .002) and having lower income (</w:t>
      </w:r>
      <w:r w:rsidR="00E4026D" w:rsidRPr="00701004">
        <w:rPr>
          <w:rFonts w:eastAsiaTheme="minorHAnsi"/>
        </w:rPr>
        <w:sym w:font="Symbol" w:char="F062"/>
      </w:r>
      <w:r w:rsidR="00E4026D" w:rsidRPr="00701004">
        <w:rPr>
          <w:rFonts w:eastAsiaTheme="minorHAnsi"/>
        </w:rPr>
        <w:t xml:space="preserve"> = -.11, t = 2.29, </w:t>
      </w:r>
      <w:r w:rsidR="00E4026D" w:rsidRPr="00701004">
        <w:rPr>
          <w:rFonts w:eastAsiaTheme="minorHAnsi"/>
          <w:i/>
          <w:iCs/>
        </w:rPr>
        <w:t xml:space="preserve">p </w:t>
      </w:r>
      <w:r w:rsidR="00E4026D" w:rsidRPr="00701004">
        <w:rPr>
          <w:rFonts w:eastAsiaTheme="minorHAnsi"/>
        </w:rPr>
        <w:t xml:space="preserve">= .023, </w:t>
      </w:r>
      <w:proofErr w:type="spellStart"/>
      <w:r w:rsidR="00E4026D" w:rsidRPr="00701004">
        <w:rPr>
          <w:rFonts w:eastAsiaTheme="minorHAnsi"/>
          <w:i/>
        </w:rPr>
        <w:t>p</w:t>
      </w:r>
      <w:r w:rsidR="00E4026D" w:rsidRPr="00701004">
        <w:rPr>
          <w:rFonts w:eastAsiaTheme="minorHAnsi"/>
          <w:i/>
          <w:vertAlign w:val="subscript"/>
        </w:rPr>
        <w:t>bonf</w:t>
      </w:r>
      <w:proofErr w:type="spellEnd"/>
      <w:r w:rsidR="00E4026D" w:rsidRPr="00701004">
        <w:rPr>
          <w:rFonts w:eastAsiaTheme="minorHAnsi"/>
        </w:rPr>
        <w:t xml:space="preserve"> = .046). However, </w:t>
      </w:r>
      <w:r w:rsidR="00DD45F9" w:rsidRPr="00701004">
        <w:rPr>
          <w:rFonts w:eastAsiaTheme="minorHAnsi"/>
        </w:rPr>
        <w:t>baseline discounting rate (</w:t>
      </w:r>
      <w:r w:rsidR="00DD45F9" w:rsidRPr="00701004">
        <w:rPr>
          <w:rFonts w:eastAsiaTheme="minorHAnsi"/>
        </w:rPr>
        <w:sym w:font="Symbol" w:char="F062"/>
      </w:r>
      <w:r w:rsidR="00DD45F9" w:rsidRPr="00701004">
        <w:rPr>
          <w:rFonts w:eastAsiaTheme="minorHAnsi"/>
        </w:rPr>
        <w:t xml:space="preserve"> = .8, t = 1.62, </w:t>
      </w:r>
      <w:r w:rsidR="00DD45F9" w:rsidRPr="00701004">
        <w:rPr>
          <w:rFonts w:eastAsiaTheme="minorHAnsi"/>
          <w:i/>
        </w:rPr>
        <w:t>p</w:t>
      </w:r>
      <w:r w:rsidR="00DD45F9" w:rsidRPr="00701004">
        <w:rPr>
          <w:rFonts w:eastAsiaTheme="minorHAnsi"/>
        </w:rPr>
        <w:t xml:space="preserve"> = .</w:t>
      </w:r>
      <w:r w:rsidR="00E4026D" w:rsidRPr="00701004">
        <w:rPr>
          <w:rFonts w:eastAsiaTheme="minorHAnsi"/>
        </w:rPr>
        <w:t>106</w:t>
      </w:r>
      <w:r w:rsidR="00DD45F9" w:rsidRPr="00701004">
        <w:rPr>
          <w:rFonts w:eastAsiaTheme="minorHAnsi"/>
        </w:rPr>
        <w:t>), gender (</w:t>
      </w:r>
      <w:r w:rsidR="00DD45F9" w:rsidRPr="00701004">
        <w:rPr>
          <w:rFonts w:eastAsiaTheme="minorHAnsi"/>
        </w:rPr>
        <w:sym w:font="Symbol" w:char="F062"/>
      </w:r>
      <w:r w:rsidR="00DD45F9" w:rsidRPr="00701004">
        <w:rPr>
          <w:rFonts w:eastAsiaTheme="minorHAnsi"/>
        </w:rPr>
        <w:t xml:space="preserve"> = .09, t = 1.96, </w:t>
      </w:r>
      <w:r w:rsidR="00DD45F9" w:rsidRPr="00701004">
        <w:rPr>
          <w:rFonts w:eastAsiaTheme="minorHAnsi"/>
          <w:i/>
        </w:rPr>
        <w:t>p</w:t>
      </w:r>
      <w:r w:rsidR="00DD45F9" w:rsidRPr="00701004">
        <w:rPr>
          <w:rFonts w:eastAsiaTheme="minorHAnsi"/>
        </w:rPr>
        <w:t xml:space="preserve"> = .</w:t>
      </w:r>
      <w:r w:rsidR="00E4026D" w:rsidRPr="00701004">
        <w:rPr>
          <w:rFonts w:eastAsiaTheme="minorHAnsi"/>
        </w:rPr>
        <w:t>051</w:t>
      </w:r>
      <w:r w:rsidR="00DD45F9" w:rsidRPr="00701004">
        <w:rPr>
          <w:rFonts w:eastAsiaTheme="minorHAnsi"/>
        </w:rPr>
        <w:t>), learning rate (</w:t>
      </w:r>
      <w:r w:rsidR="00DD45F9" w:rsidRPr="00701004">
        <w:rPr>
          <w:rFonts w:eastAsiaTheme="minorHAnsi"/>
        </w:rPr>
        <w:sym w:font="Symbol" w:char="F062"/>
      </w:r>
      <w:r w:rsidR="00DD45F9" w:rsidRPr="00701004">
        <w:rPr>
          <w:rFonts w:eastAsiaTheme="minorHAnsi"/>
        </w:rPr>
        <w:t xml:space="preserve"> = .06, t = 1.29, </w:t>
      </w:r>
      <w:r w:rsidR="00DD45F9" w:rsidRPr="00701004">
        <w:rPr>
          <w:rFonts w:eastAsiaTheme="minorHAnsi"/>
          <w:i/>
        </w:rPr>
        <w:t>p</w:t>
      </w:r>
      <w:r w:rsidR="00DD45F9" w:rsidRPr="00701004">
        <w:rPr>
          <w:rFonts w:eastAsiaTheme="minorHAnsi"/>
        </w:rPr>
        <w:t xml:space="preserve"> = .</w:t>
      </w:r>
      <w:r w:rsidR="00E4026D" w:rsidRPr="00701004">
        <w:rPr>
          <w:rFonts w:eastAsiaTheme="minorHAnsi"/>
        </w:rPr>
        <w:t>199</w:t>
      </w:r>
      <w:r w:rsidR="00DD45F9" w:rsidRPr="00701004">
        <w:rPr>
          <w:rFonts w:eastAsiaTheme="minorHAnsi"/>
        </w:rPr>
        <w:t>)</w:t>
      </w:r>
      <w:r w:rsidR="00E4026D" w:rsidRPr="00701004">
        <w:rPr>
          <w:rFonts w:eastAsiaTheme="minorHAnsi"/>
        </w:rPr>
        <w:t xml:space="preserve"> and</w:t>
      </w:r>
      <w:r w:rsidR="00DD45F9" w:rsidRPr="00701004">
        <w:rPr>
          <w:rFonts w:eastAsiaTheme="minorHAnsi"/>
        </w:rPr>
        <w:t xml:space="preserve"> ability to adjust foraging behaviour (</w:t>
      </w:r>
      <w:r w:rsidR="00DD45F9" w:rsidRPr="00701004">
        <w:rPr>
          <w:rFonts w:eastAsiaTheme="minorHAnsi"/>
        </w:rPr>
        <w:sym w:font="Symbol" w:char="F062"/>
      </w:r>
      <w:r w:rsidR="00DD45F9" w:rsidRPr="00701004">
        <w:rPr>
          <w:rFonts w:eastAsiaTheme="minorHAnsi"/>
        </w:rPr>
        <w:t xml:space="preserve"> = .01, t = 0.16, </w:t>
      </w:r>
      <w:r w:rsidR="00DD45F9" w:rsidRPr="00701004">
        <w:rPr>
          <w:rFonts w:eastAsiaTheme="minorHAnsi"/>
          <w:i/>
        </w:rPr>
        <w:t>p</w:t>
      </w:r>
      <w:r w:rsidR="00DD45F9" w:rsidRPr="00701004">
        <w:rPr>
          <w:rFonts w:eastAsiaTheme="minorHAnsi"/>
        </w:rPr>
        <w:t xml:space="preserve"> = </w:t>
      </w:r>
      <w:r w:rsidR="00C93795" w:rsidRPr="00701004">
        <w:rPr>
          <w:rFonts w:eastAsiaTheme="minorHAnsi"/>
        </w:rPr>
        <w:t>.</w:t>
      </w:r>
      <w:r w:rsidR="00E4026D" w:rsidRPr="00701004">
        <w:rPr>
          <w:rFonts w:eastAsiaTheme="minorHAnsi"/>
        </w:rPr>
        <w:t>874</w:t>
      </w:r>
      <w:r w:rsidR="00DD45F9" w:rsidRPr="00701004">
        <w:rPr>
          <w:rFonts w:eastAsiaTheme="minorHAnsi"/>
        </w:rPr>
        <w:t>)</w:t>
      </w:r>
      <w:r w:rsidR="00E4026D" w:rsidRPr="00701004">
        <w:rPr>
          <w:rFonts w:eastAsiaTheme="minorHAnsi"/>
        </w:rPr>
        <w:t xml:space="preserve"> were not significant predictors</w:t>
      </w:r>
      <w:r w:rsidR="00DD45F9" w:rsidRPr="00701004">
        <w:rPr>
          <w:rFonts w:eastAsiaTheme="minorHAnsi"/>
        </w:rPr>
        <w:t>.</w:t>
      </w:r>
      <w:r w:rsidR="00C17DA7" w:rsidRPr="00701004">
        <w:rPr>
          <w:rFonts w:eastAsiaTheme="minorHAnsi"/>
        </w:rPr>
        <w:t xml:space="preserve"> </w:t>
      </w:r>
      <w:r w:rsidR="00DF7CC7" w:rsidRPr="00701004">
        <w:rPr>
          <w:rFonts w:eastAsiaTheme="minorHAnsi"/>
        </w:rPr>
        <w:t>See Table 1 for full model results.</w:t>
      </w:r>
    </w:p>
    <w:p w14:paraId="077F0280" w14:textId="4BE64A97" w:rsidR="004F1B03" w:rsidRPr="00701004" w:rsidRDefault="004F1B03" w:rsidP="008C6030">
      <w:pPr>
        <w:autoSpaceDE w:val="0"/>
        <w:autoSpaceDN w:val="0"/>
        <w:adjustRightInd w:val="0"/>
        <w:spacing w:before="120" w:line="480" w:lineRule="auto"/>
        <w:jc w:val="both"/>
        <w:rPr>
          <w:noProof/>
        </w:rPr>
      </w:pPr>
      <w:r w:rsidRPr="00701004">
        <w:rPr>
          <w:noProof/>
        </w:rPr>
        <w:lastRenderedPageBreak/>
        <w:drawing>
          <wp:anchor distT="0" distB="0" distL="114300" distR="114300" simplePos="0" relativeHeight="251658240" behindDoc="0" locked="0" layoutInCell="1" allowOverlap="1" wp14:anchorId="24BAEE2D" wp14:editId="183888D6">
            <wp:simplePos x="0" y="0"/>
            <wp:positionH relativeFrom="column">
              <wp:posOffset>-600075</wp:posOffset>
            </wp:positionH>
            <wp:positionV relativeFrom="paragraph">
              <wp:posOffset>0</wp:posOffset>
            </wp:positionV>
            <wp:extent cx="6715125" cy="2667000"/>
            <wp:effectExtent l="0" t="0" r="9525" b="0"/>
            <wp:wrapSquare wrapText="bothSides"/>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136" b="34114"/>
                    <a:stretch/>
                  </pic:blipFill>
                  <pic:spPr bwMode="auto">
                    <a:xfrm>
                      <a:off x="0" y="0"/>
                      <a:ext cx="6715125"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8A7A1B" w14:textId="72CDDDFD" w:rsidR="00184C72" w:rsidRPr="00701004" w:rsidRDefault="005F1FB4" w:rsidP="005F1FB4">
      <w:pPr>
        <w:autoSpaceDE w:val="0"/>
        <w:autoSpaceDN w:val="0"/>
        <w:adjustRightInd w:val="0"/>
        <w:spacing w:before="120" w:line="480" w:lineRule="auto"/>
        <w:jc w:val="both"/>
        <w:rPr>
          <w:rFonts w:eastAsiaTheme="minorHAnsi"/>
        </w:rPr>
        <w:sectPr w:rsidR="00184C72" w:rsidRPr="00701004" w:rsidSect="006339DE">
          <w:headerReference w:type="default" r:id="rId10"/>
          <w:headerReference w:type="first" r:id="rId11"/>
          <w:type w:val="continuous"/>
          <w:pgSz w:w="11906" w:h="16838"/>
          <w:pgMar w:top="1440" w:right="1440" w:bottom="1440" w:left="1440" w:header="708" w:footer="708" w:gutter="0"/>
          <w:cols w:space="708"/>
          <w:titlePg/>
          <w:docGrid w:linePitch="360"/>
        </w:sectPr>
      </w:pPr>
      <w:r w:rsidRPr="00701004">
        <w:rPr>
          <w:rFonts w:eastAsiaTheme="minorHAnsi"/>
          <w:b/>
        </w:rPr>
        <w:t xml:space="preserve">Figure </w:t>
      </w:r>
      <w:r w:rsidR="00B6339A" w:rsidRPr="00701004">
        <w:rPr>
          <w:rFonts w:eastAsiaTheme="minorHAnsi"/>
          <w:b/>
        </w:rPr>
        <w:t>2</w:t>
      </w:r>
      <w:r w:rsidRPr="00701004">
        <w:rPr>
          <w:rFonts w:eastAsiaTheme="minorHAnsi"/>
          <w:b/>
        </w:rPr>
        <w:t xml:space="preserve">. </w:t>
      </w:r>
      <w:r w:rsidR="00A55B2A" w:rsidRPr="00701004">
        <w:rPr>
          <w:rFonts w:eastAsiaTheme="minorHAnsi"/>
          <w:b/>
        </w:rPr>
        <w:t xml:space="preserve">(A) </w:t>
      </w:r>
      <w:r w:rsidR="00A55B2A" w:rsidRPr="00701004">
        <w:rPr>
          <w:rFonts w:eastAsiaTheme="minorHAnsi"/>
        </w:rPr>
        <w:t>Scatterplot indicating g</w:t>
      </w:r>
      <w:r w:rsidRPr="00701004">
        <w:rPr>
          <w:rFonts w:eastAsiaTheme="minorHAnsi"/>
        </w:rPr>
        <w:t>reater sensitivity to reward magnitude during delay discounting (</w:t>
      </w:r>
      <w:r w:rsidR="009D2CDA" w:rsidRPr="00701004">
        <w:rPr>
          <w:rFonts w:eastAsiaTheme="minorHAnsi"/>
        </w:rPr>
        <w:t xml:space="preserve">i.e., </w:t>
      </w:r>
      <w:r w:rsidR="00A940A4" w:rsidRPr="00701004">
        <w:rPr>
          <w:rFonts w:eastAsiaTheme="minorHAnsi"/>
        </w:rPr>
        <w:t>lower values on the</w:t>
      </w:r>
      <w:r w:rsidRPr="00701004">
        <w:rPr>
          <w:rFonts w:eastAsiaTheme="minorHAnsi"/>
        </w:rPr>
        <w:t xml:space="preserve"> </w:t>
      </w:r>
      <w:r w:rsidR="00F15905" w:rsidRPr="00701004">
        <w:rPr>
          <w:rFonts w:eastAsiaTheme="minorHAnsi"/>
        </w:rPr>
        <w:t>x-axis</w:t>
      </w:r>
      <w:r w:rsidRPr="00701004">
        <w:rPr>
          <w:rFonts w:eastAsiaTheme="minorHAnsi"/>
        </w:rPr>
        <w:t>) predicted higher levels o</w:t>
      </w:r>
      <w:r w:rsidR="00A55B2A" w:rsidRPr="00701004">
        <w:rPr>
          <w:rFonts w:eastAsiaTheme="minorHAnsi"/>
        </w:rPr>
        <w:t>f</w:t>
      </w:r>
      <w:r w:rsidRPr="00701004">
        <w:rPr>
          <w:rFonts w:eastAsiaTheme="minorHAnsi"/>
        </w:rPr>
        <w:t xml:space="preserve"> </w:t>
      </w:r>
      <w:r w:rsidR="00B21980" w:rsidRPr="00701004">
        <w:rPr>
          <w:rFonts w:eastAsiaTheme="minorHAnsi"/>
        </w:rPr>
        <w:t>specific COVID-19 anxiety</w:t>
      </w:r>
      <w:r w:rsidR="0031250E" w:rsidRPr="00701004">
        <w:rPr>
          <w:rFonts w:eastAsiaTheme="minorHAnsi"/>
        </w:rPr>
        <w:t>. The regression line is highlighted in blue.</w:t>
      </w:r>
      <w:r w:rsidRPr="00701004">
        <w:rPr>
          <w:rFonts w:eastAsiaTheme="minorHAnsi"/>
        </w:rPr>
        <w:t xml:space="preserve"> </w:t>
      </w:r>
      <w:r w:rsidR="00321787" w:rsidRPr="00701004">
        <w:rPr>
          <w:rFonts w:eastAsiaTheme="minorHAnsi"/>
          <w:b/>
        </w:rPr>
        <w:t>B</w:t>
      </w:r>
      <w:r w:rsidRPr="00701004">
        <w:rPr>
          <w:rFonts w:eastAsiaTheme="minorHAnsi"/>
        </w:rPr>
        <w:t xml:space="preserve">) Plot demonstrating the conditional effect of </w:t>
      </w:r>
      <w:r w:rsidR="009D2CDA" w:rsidRPr="00701004">
        <w:rPr>
          <w:rFonts w:eastAsiaTheme="minorHAnsi"/>
        </w:rPr>
        <w:t xml:space="preserve">sensitivity towards reward </w:t>
      </w:r>
      <w:r w:rsidRPr="00701004">
        <w:rPr>
          <w:rFonts w:eastAsiaTheme="minorHAnsi"/>
        </w:rPr>
        <w:t>magnitude during delay discounting on social distancing adherence by levels of specific COVID-19 anxiety</w:t>
      </w:r>
      <w:r w:rsidR="00403ABE" w:rsidRPr="00701004">
        <w:rPr>
          <w:rFonts w:eastAsiaTheme="minorHAnsi"/>
        </w:rPr>
        <w:t xml:space="preserve">.  </w:t>
      </w:r>
    </w:p>
    <w:tbl>
      <w:tblPr>
        <w:tblStyle w:val="TableGrid"/>
        <w:tblpPr w:leftFromText="180" w:rightFromText="180" w:vertAnchor="text" w:horzAnchor="margin" w:tblpY="256"/>
        <w:tblW w:w="14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1218"/>
        <w:gridCol w:w="1219"/>
        <w:gridCol w:w="1218"/>
        <w:gridCol w:w="1218"/>
        <w:gridCol w:w="1218"/>
        <w:gridCol w:w="1218"/>
        <w:gridCol w:w="1218"/>
        <w:gridCol w:w="1218"/>
        <w:gridCol w:w="1218"/>
        <w:gridCol w:w="1218"/>
        <w:gridCol w:w="1219"/>
      </w:tblGrid>
      <w:tr w:rsidR="008A46E3" w:rsidRPr="00701004" w14:paraId="092A8D62" w14:textId="77777777" w:rsidTr="008A46E3">
        <w:tc>
          <w:tcPr>
            <w:tcW w:w="1337" w:type="dxa"/>
            <w:tcBorders>
              <w:top w:val="single" w:sz="4" w:space="0" w:color="auto"/>
            </w:tcBorders>
          </w:tcPr>
          <w:p w14:paraId="76973793" w14:textId="77777777" w:rsidR="008A46E3" w:rsidRPr="00701004" w:rsidRDefault="008A46E3" w:rsidP="008A46E3">
            <w:pPr>
              <w:autoSpaceDE w:val="0"/>
              <w:autoSpaceDN w:val="0"/>
              <w:adjustRightInd w:val="0"/>
              <w:spacing w:before="120" w:line="480" w:lineRule="auto"/>
              <w:jc w:val="center"/>
              <w:rPr>
                <w:rFonts w:eastAsiaTheme="minorHAnsi"/>
                <w:sz w:val="20"/>
                <w:szCs w:val="20"/>
              </w:rPr>
            </w:pPr>
          </w:p>
        </w:tc>
        <w:tc>
          <w:tcPr>
            <w:tcW w:w="1218" w:type="dxa"/>
            <w:tcBorders>
              <w:top w:val="single" w:sz="4" w:space="0" w:color="auto"/>
            </w:tcBorders>
          </w:tcPr>
          <w:p w14:paraId="223C05E7" w14:textId="77777777" w:rsidR="008A46E3" w:rsidRPr="00701004" w:rsidRDefault="008A46E3" w:rsidP="008A46E3">
            <w:pPr>
              <w:autoSpaceDE w:val="0"/>
              <w:autoSpaceDN w:val="0"/>
              <w:adjustRightInd w:val="0"/>
              <w:spacing w:before="120" w:line="480" w:lineRule="auto"/>
              <w:jc w:val="center"/>
              <w:rPr>
                <w:rFonts w:eastAsiaTheme="minorHAnsi"/>
                <w:sz w:val="20"/>
                <w:szCs w:val="20"/>
              </w:rPr>
            </w:pPr>
          </w:p>
        </w:tc>
        <w:tc>
          <w:tcPr>
            <w:tcW w:w="2437" w:type="dxa"/>
            <w:gridSpan w:val="2"/>
            <w:tcBorders>
              <w:top w:val="single" w:sz="4" w:space="0" w:color="auto"/>
              <w:bottom w:val="single" w:sz="4" w:space="0" w:color="auto"/>
            </w:tcBorders>
          </w:tcPr>
          <w:p w14:paraId="73BB405D" w14:textId="77777777" w:rsidR="008A46E3" w:rsidRPr="00701004" w:rsidRDefault="008A46E3" w:rsidP="008A46E3">
            <w:pPr>
              <w:autoSpaceDE w:val="0"/>
              <w:autoSpaceDN w:val="0"/>
              <w:adjustRightInd w:val="0"/>
              <w:spacing w:before="120" w:line="480" w:lineRule="auto"/>
              <w:jc w:val="center"/>
              <w:rPr>
                <w:rFonts w:eastAsiaTheme="minorHAnsi"/>
                <w:sz w:val="20"/>
                <w:szCs w:val="20"/>
              </w:rPr>
            </w:pPr>
            <w:r w:rsidRPr="00701004">
              <w:rPr>
                <w:rFonts w:eastAsiaTheme="minorHAnsi"/>
                <w:sz w:val="20"/>
                <w:szCs w:val="20"/>
              </w:rPr>
              <w:t>Social distancing adherence</w:t>
            </w:r>
          </w:p>
        </w:tc>
        <w:tc>
          <w:tcPr>
            <w:tcW w:w="2436" w:type="dxa"/>
            <w:gridSpan w:val="2"/>
            <w:tcBorders>
              <w:top w:val="single" w:sz="4" w:space="0" w:color="auto"/>
              <w:bottom w:val="single" w:sz="4" w:space="0" w:color="auto"/>
            </w:tcBorders>
          </w:tcPr>
          <w:p w14:paraId="71A11AA1" w14:textId="77777777" w:rsidR="008A46E3" w:rsidRPr="00701004" w:rsidRDefault="008A46E3" w:rsidP="008A46E3">
            <w:pPr>
              <w:autoSpaceDE w:val="0"/>
              <w:autoSpaceDN w:val="0"/>
              <w:adjustRightInd w:val="0"/>
              <w:spacing w:before="120" w:line="480" w:lineRule="auto"/>
              <w:jc w:val="center"/>
              <w:rPr>
                <w:rFonts w:eastAsiaTheme="minorHAnsi"/>
                <w:sz w:val="20"/>
                <w:szCs w:val="20"/>
              </w:rPr>
            </w:pPr>
            <w:r w:rsidRPr="00701004">
              <w:rPr>
                <w:rFonts w:eastAsiaTheme="minorHAnsi"/>
                <w:sz w:val="20"/>
                <w:szCs w:val="20"/>
              </w:rPr>
              <w:t>Active violation of lockdown guidance</w:t>
            </w:r>
          </w:p>
        </w:tc>
        <w:tc>
          <w:tcPr>
            <w:tcW w:w="2436" w:type="dxa"/>
            <w:gridSpan w:val="2"/>
            <w:tcBorders>
              <w:top w:val="single" w:sz="4" w:space="0" w:color="auto"/>
              <w:bottom w:val="single" w:sz="4" w:space="0" w:color="auto"/>
            </w:tcBorders>
          </w:tcPr>
          <w:p w14:paraId="4C879397" w14:textId="77777777" w:rsidR="008A46E3" w:rsidRPr="00701004" w:rsidRDefault="008A46E3" w:rsidP="008A46E3">
            <w:pPr>
              <w:autoSpaceDE w:val="0"/>
              <w:autoSpaceDN w:val="0"/>
              <w:adjustRightInd w:val="0"/>
              <w:spacing w:before="120" w:line="480" w:lineRule="auto"/>
              <w:jc w:val="center"/>
              <w:rPr>
                <w:rFonts w:eastAsiaTheme="minorHAnsi"/>
                <w:sz w:val="20"/>
                <w:szCs w:val="20"/>
              </w:rPr>
            </w:pPr>
            <w:r w:rsidRPr="00701004">
              <w:rPr>
                <w:rFonts w:eastAsiaTheme="minorHAnsi"/>
                <w:sz w:val="20"/>
                <w:szCs w:val="20"/>
              </w:rPr>
              <w:t>COVID-19 anxiety</w:t>
            </w:r>
          </w:p>
        </w:tc>
        <w:tc>
          <w:tcPr>
            <w:tcW w:w="2436" w:type="dxa"/>
            <w:gridSpan w:val="2"/>
            <w:tcBorders>
              <w:top w:val="single" w:sz="4" w:space="0" w:color="auto"/>
              <w:bottom w:val="single" w:sz="4" w:space="0" w:color="auto"/>
            </w:tcBorders>
          </w:tcPr>
          <w:p w14:paraId="0835E080" w14:textId="66E54C63" w:rsidR="008A46E3" w:rsidRPr="00701004" w:rsidRDefault="008A46E3" w:rsidP="008A46E3">
            <w:pPr>
              <w:autoSpaceDE w:val="0"/>
              <w:autoSpaceDN w:val="0"/>
              <w:adjustRightInd w:val="0"/>
              <w:spacing w:before="120" w:line="480" w:lineRule="auto"/>
              <w:jc w:val="center"/>
              <w:rPr>
                <w:rFonts w:eastAsiaTheme="minorHAnsi"/>
                <w:sz w:val="20"/>
                <w:szCs w:val="20"/>
              </w:rPr>
            </w:pPr>
            <w:r w:rsidRPr="00701004">
              <w:rPr>
                <w:rFonts w:eastAsiaTheme="minorHAnsi"/>
                <w:sz w:val="20"/>
                <w:szCs w:val="20"/>
              </w:rPr>
              <w:t>Generalised anxiety</w:t>
            </w:r>
          </w:p>
        </w:tc>
        <w:tc>
          <w:tcPr>
            <w:tcW w:w="2437" w:type="dxa"/>
            <w:gridSpan w:val="2"/>
            <w:tcBorders>
              <w:top w:val="single" w:sz="4" w:space="0" w:color="auto"/>
              <w:bottom w:val="single" w:sz="4" w:space="0" w:color="auto"/>
            </w:tcBorders>
          </w:tcPr>
          <w:p w14:paraId="15F23D68" w14:textId="05B05985" w:rsidR="008A46E3" w:rsidRPr="00701004" w:rsidRDefault="008A46E3" w:rsidP="008A46E3">
            <w:pPr>
              <w:autoSpaceDE w:val="0"/>
              <w:autoSpaceDN w:val="0"/>
              <w:adjustRightInd w:val="0"/>
              <w:spacing w:before="120" w:line="480" w:lineRule="auto"/>
              <w:jc w:val="center"/>
              <w:rPr>
                <w:rFonts w:eastAsiaTheme="minorHAnsi"/>
                <w:sz w:val="20"/>
                <w:szCs w:val="20"/>
              </w:rPr>
            </w:pPr>
            <w:r w:rsidRPr="00701004">
              <w:rPr>
                <w:rFonts w:eastAsiaTheme="minorHAnsi"/>
                <w:sz w:val="20"/>
                <w:szCs w:val="20"/>
              </w:rPr>
              <w:t>Depression</w:t>
            </w:r>
          </w:p>
        </w:tc>
      </w:tr>
      <w:tr w:rsidR="008A46E3" w:rsidRPr="00701004" w14:paraId="448030F1" w14:textId="77777777" w:rsidTr="008A46E3">
        <w:tc>
          <w:tcPr>
            <w:tcW w:w="1337" w:type="dxa"/>
            <w:tcBorders>
              <w:bottom w:val="single" w:sz="4" w:space="0" w:color="auto"/>
            </w:tcBorders>
          </w:tcPr>
          <w:p w14:paraId="407EB0D5"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Variable</w:t>
            </w:r>
          </w:p>
        </w:tc>
        <w:tc>
          <w:tcPr>
            <w:tcW w:w="1218" w:type="dxa"/>
            <w:tcBorders>
              <w:bottom w:val="single" w:sz="4" w:space="0" w:color="auto"/>
            </w:tcBorders>
          </w:tcPr>
          <w:p w14:paraId="5752B91D"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p>
        </w:tc>
        <w:tc>
          <w:tcPr>
            <w:tcW w:w="1219" w:type="dxa"/>
            <w:tcBorders>
              <w:top w:val="single" w:sz="4" w:space="0" w:color="auto"/>
              <w:bottom w:val="single" w:sz="4" w:space="0" w:color="auto"/>
            </w:tcBorders>
          </w:tcPr>
          <w:p w14:paraId="1B94704B"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β</w:t>
            </w:r>
          </w:p>
        </w:tc>
        <w:tc>
          <w:tcPr>
            <w:tcW w:w="1218" w:type="dxa"/>
            <w:tcBorders>
              <w:top w:val="single" w:sz="4" w:space="0" w:color="auto"/>
              <w:bottom w:val="single" w:sz="4" w:space="0" w:color="auto"/>
            </w:tcBorders>
          </w:tcPr>
          <w:p w14:paraId="28A4B029" w14:textId="77777777" w:rsidR="008A46E3" w:rsidRPr="00701004" w:rsidRDefault="008A46E3" w:rsidP="008A46E3">
            <w:pPr>
              <w:autoSpaceDE w:val="0"/>
              <w:autoSpaceDN w:val="0"/>
              <w:adjustRightInd w:val="0"/>
              <w:spacing w:before="120" w:line="480" w:lineRule="auto"/>
              <w:jc w:val="both"/>
              <w:rPr>
                <w:rFonts w:eastAsiaTheme="minorHAnsi"/>
                <w:i/>
                <w:iCs/>
                <w:sz w:val="20"/>
                <w:szCs w:val="20"/>
              </w:rPr>
            </w:pPr>
            <w:r w:rsidRPr="00701004">
              <w:rPr>
                <w:rFonts w:eastAsiaTheme="minorHAnsi"/>
                <w:i/>
                <w:iCs/>
                <w:sz w:val="20"/>
                <w:szCs w:val="20"/>
              </w:rPr>
              <w:t>p</w:t>
            </w:r>
          </w:p>
        </w:tc>
        <w:tc>
          <w:tcPr>
            <w:tcW w:w="1218" w:type="dxa"/>
            <w:tcBorders>
              <w:top w:val="single" w:sz="4" w:space="0" w:color="auto"/>
              <w:bottom w:val="single" w:sz="4" w:space="0" w:color="auto"/>
            </w:tcBorders>
          </w:tcPr>
          <w:p w14:paraId="5106D03D"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β</w:t>
            </w:r>
          </w:p>
        </w:tc>
        <w:tc>
          <w:tcPr>
            <w:tcW w:w="1218" w:type="dxa"/>
            <w:tcBorders>
              <w:top w:val="single" w:sz="4" w:space="0" w:color="auto"/>
              <w:bottom w:val="single" w:sz="4" w:space="0" w:color="auto"/>
            </w:tcBorders>
          </w:tcPr>
          <w:p w14:paraId="0D6F889C" w14:textId="77777777" w:rsidR="008A46E3" w:rsidRPr="00701004" w:rsidRDefault="008A46E3" w:rsidP="008A46E3">
            <w:pPr>
              <w:autoSpaceDE w:val="0"/>
              <w:autoSpaceDN w:val="0"/>
              <w:adjustRightInd w:val="0"/>
              <w:spacing w:before="120" w:line="480" w:lineRule="auto"/>
              <w:jc w:val="both"/>
              <w:rPr>
                <w:rFonts w:eastAsiaTheme="minorHAnsi"/>
                <w:i/>
                <w:iCs/>
                <w:sz w:val="20"/>
                <w:szCs w:val="20"/>
              </w:rPr>
            </w:pPr>
            <w:r w:rsidRPr="00701004">
              <w:rPr>
                <w:rFonts w:eastAsiaTheme="minorHAnsi"/>
                <w:i/>
                <w:iCs/>
                <w:sz w:val="20"/>
                <w:szCs w:val="20"/>
              </w:rPr>
              <w:t>p</w:t>
            </w:r>
          </w:p>
        </w:tc>
        <w:tc>
          <w:tcPr>
            <w:tcW w:w="1218" w:type="dxa"/>
            <w:tcBorders>
              <w:top w:val="single" w:sz="4" w:space="0" w:color="auto"/>
              <w:bottom w:val="single" w:sz="4" w:space="0" w:color="auto"/>
            </w:tcBorders>
          </w:tcPr>
          <w:p w14:paraId="0AD870FD"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β</w:t>
            </w:r>
          </w:p>
        </w:tc>
        <w:tc>
          <w:tcPr>
            <w:tcW w:w="1218" w:type="dxa"/>
            <w:tcBorders>
              <w:top w:val="single" w:sz="4" w:space="0" w:color="auto"/>
              <w:bottom w:val="single" w:sz="4" w:space="0" w:color="auto"/>
            </w:tcBorders>
          </w:tcPr>
          <w:p w14:paraId="2C7342BF" w14:textId="77777777" w:rsidR="008A46E3" w:rsidRPr="00701004" w:rsidRDefault="008A46E3" w:rsidP="008A46E3">
            <w:pPr>
              <w:autoSpaceDE w:val="0"/>
              <w:autoSpaceDN w:val="0"/>
              <w:adjustRightInd w:val="0"/>
              <w:spacing w:before="120" w:line="480" w:lineRule="auto"/>
              <w:jc w:val="both"/>
              <w:rPr>
                <w:rFonts w:eastAsiaTheme="minorHAnsi"/>
                <w:i/>
                <w:iCs/>
                <w:sz w:val="20"/>
                <w:szCs w:val="20"/>
              </w:rPr>
            </w:pPr>
            <w:r w:rsidRPr="00701004">
              <w:rPr>
                <w:rFonts w:eastAsiaTheme="minorHAnsi"/>
                <w:i/>
                <w:iCs/>
                <w:sz w:val="20"/>
                <w:szCs w:val="20"/>
              </w:rPr>
              <w:t>p</w:t>
            </w:r>
          </w:p>
        </w:tc>
        <w:tc>
          <w:tcPr>
            <w:tcW w:w="1218" w:type="dxa"/>
            <w:tcBorders>
              <w:top w:val="single" w:sz="4" w:space="0" w:color="auto"/>
              <w:bottom w:val="single" w:sz="4" w:space="0" w:color="auto"/>
            </w:tcBorders>
          </w:tcPr>
          <w:p w14:paraId="5CD47300"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β</w:t>
            </w:r>
          </w:p>
        </w:tc>
        <w:tc>
          <w:tcPr>
            <w:tcW w:w="1218" w:type="dxa"/>
            <w:tcBorders>
              <w:top w:val="single" w:sz="4" w:space="0" w:color="auto"/>
              <w:bottom w:val="single" w:sz="4" w:space="0" w:color="auto"/>
            </w:tcBorders>
          </w:tcPr>
          <w:p w14:paraId="5D4CAA21" w14:textId="6533F5C6" w:rsidR="008A46E3" w:rsidRPr="00701004" w:rsidRDefault="0069064F" w:rsidP="008A46E3">
            <w:pPr>
              <w:autoSpaceDE w:val="0"/>
              <w:autoSpaceDN w:val="0"/>
              <w:adjustRightInd w:val="0"/>
              <w:spacing w:before="120" w:line="480" w:lineRule="auto"/>
              <w:jc w:val="both"/>
              <w:rPr>
                <w:rFonts w:eastAsiaTheme="minorHAnsi"/>
                <w:i/>
                <w:iCs/>
                <w:sz w:val="20"/>
                <w:szCs w:val="20"/>
                <w:vertAlign w:val="subscript"/>
              </w:rPr>
            </w:pPr>
            <w:r w:rsidRPr="00701004">
              <w:rPr>
                <w:rFonts w:eastAsiaTheme="minorHAnsi"/>
                <w:i/>
                <w:iCs/>
                <w:sz w:val="20"/>
                <w:szCs w:val="20"/>
              </w:rPr>
              <w:t>p</w:t>
            </w:r>
          </w:p>
        </w:tc>
        <w:tc>
          <w:tcPr>
            <w:tcW w:w="1218" w:type="dxa"/>
            <w:tcBorders>
              <w:top w:val="single" w:sz="4" w:space="0" w:color="auto"/>
              <w:bottom w:val="single" w:sz="4" w:space="0" w:color="auto"/>
            </w:tcBorders>
          </w:tcPr>
          <w:p w14:paraId="612799BD"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β</w:t>
            </w:r>
          </w:p>
        </w:tc>
        <w:tc>
          <w:tcPr>
            <w:tcW w:w="1219" w:type="dxa"/>
            <w:tcBorders>
              <w:top w:val="single" w:sz="4" w:space="0" w:color="auto"/>
              <w:bottom w:val="single" w:sz="4" w:space="0" w:color="auto"/>
            </w:tcBorders>
          </w:tcPr>
          <w:p w14:paraId="4741DB20" w14:textId="114122A1" w:rsidR="008A46E3" w:rsidRPr="00701004" w:rsidRDefault="0069064F" w:rsidP="008A46E3">
            <w:pPr>
              <w:autoSpaceDE w:val="0"/>
              <w:autoSpaceDN w:val="0"/>
              <w:adjustRightInd w:val="0"/>
              <w:spacing w:before="120" w:line="480" w:lineRule="auto"/>
              <w:jc w:val="both"/>
              <w:rPr>
                <w:rFonts w:eastAsiaTheme="minorHAnsi"/>
                <w:i/>
                <w:iCs/>
                <w:sz w:val="20"/>
                <w:szCs w:val="20"/>
                <w:vertAlign w:val="subscript"/>
              </w:rPr>
            </w:pPr>
            <w:r w:rsidRPr="00701004">
              <w:rPr>
                <w:rFonts w:eastAsiaTheme="minorHAnsi"/>
                <w:i/>
                <w:iCs/>
                <w:sz w:val="20"/>
                <w:szCs w:val="20"/>
              </w:rPr>
              <w:t>p</w:t>
            </w:r>
          </w:p>
        </w:tc>
      </w:tr>
      <w:tr w:rsidR="008A46E3" w:rsidRPr="00701004" w14:paraId="1744A489" w14:textId="77777777" w:rsidTr="008A46E3">
        <w:tc>
          <w:tcPr>
            <w:tcW w:w="1337" w:type="dxa"/>
            <w:tcBorders>
              <w:top w:val="single" w:sz="4" w:space="0" w:color="auto"/>
            </w:tcBorders>
          </w:tcPr>
          <w:p w14:paraId="04E270FC"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Age</w:t>
            </w:r>
          </w:p>
        </w:tc>
        <w:tc>
          <w:tcPr>
            <w:tcW w:w="1218" w:type="dxa"/>
            <w:tcBorders>
              <w:top w:val="single" w:sz="4" w:space="0" w:color="auto"/>
            </w:tcBorders>
          </w:tcPr>
          <w:p w14:paraId="7E152871"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p>
        </w:tc>
        <w:tc>
          <w:tcPr>
            <w:tcW w:w="1219" w:type="dxa"/>
            <w:tcBorders>
              <w:top w:val="single" w:sz="4" w:space="0" w:color="auto"/>
            </w:tcBorders>
          </w:tcPr>
          <w:p w14:paraId="0CBD8066" w14:textId="77777777"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0.13</w:t>
            </w:r>
          </w:p>
        </w:tc>
        <w:tc>
          <w:tcPr>
            <w:tcW w:w="1218" w:type="dxa"/>
            <w:tcBorders>
              <w:top w:val="single" w:sz="4" w:space="0" w:color="auto"/>
            </w:tcBorders>
          </w:tcPr>
          <w:p w14:paraId="5CF37A95"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.009</w:t>
            </w:r>
          </w:p>
        </w:tc>
        <w:tc>
          <w:tcPr>
            <w:tcW w:w="1218" w:type="dxa"/>
            <w:tcBorders>
              <w:top w:val="single" w:sz="4" w:space="0" w:color="auto"/>
            </w:tcBorders>
          </w:tcPr>
          <w:p w14:paraId="03B28272" w14:textId="757A49EC" w:rsidR="008A46E3" w:rsidRPr="00701004" w:rsidRDefault="006B0075"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w:t>
            </w:r>
            <w:r w:rsidR="008A46E3" w:rsidRPr="00701004">
              <w:rPr>
                <w:rFonts w:eastAsiaTheme="minorHAnsi"/>
                <w:b/>
                <w:bCs/>
                <w:sz w:val="20"/>
                <w:szCs w:val="20"/>
              </w:rPr>
              <w:t>0.</w:t>
            </w:r>
            <w:r w:rsidR="00015EA8" w:rsidRPr="00701004">
              <w:rPr>
                <w:rFonts w:eastAsiaTheme="minorHAnsi"/>
                <w:b/>
                <w:bCs/>
                <w:sz w:val="20"/>
                <w:szCs w:val="20"/>
              </w:rPr>
              <w:t>14</w:t>
            </w:r>
          </w:p>
        </w:tc>
        <w:tc>
          <w:tcPr>
            <w:tcW w:w="1218" w:type="dxa"/>
            <w:tcBorders>
              <w:top w:val="single" w:sz="4" w:space="0" w:color="auto"/>
            </w:tcBorders>
          </w:tcPr>
          <w:p w14:paraId="7242FA7F" w14:textId="6430F657" w:rsidR="008A46E3" w:rsidRPr="00701004" w:rsidRDefault="00015EA8"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8A46E3" w:rsidRPr="00701004">
              <w:rPr>
                <w:rFonts w:eastAsiaTheme="minorHAnsi"/>
                <w:sz w:val="20"/>
                <w:szCs w:val="20"/>
              </w:rPr>
              <w:t>00</w:t>
            </w:r>
            <w:r w:rsidRPr="00701004">
              <w:rPr>
                <w:rFonts w:eastAsiaTheme="minorHAnsi"/>
                <w:sz w:val="20"/>
                <w:szCs w:val="20"/>
              </w:rPr>
              <w:t>5</w:t>
            </w:r>
          </w:p>
        </w:tc>
        <w:tc>
          <w:tcPr>
            <w:tcW w:w="1218" w:type="dxa"/>
            <w:tcBorders>
              <w:top w:val="single" w:sz="4" w:space="0" w:color="auto"/>
            </w:tcBorders>
          </w:tcPr>
          <w:p w14:paraId="0E90C4FD" w14:textId="19859AC2"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0.</w:t>
            </w:r>
            <w:r w:rsidR="001002AE" w:rsidRPr="00701004">
              <w:rPr>
                <w:rFonts w:eastAsiaTheme="minorHAnsi"/>
                <w:b/>
                <w:bCs/>
                <w:sz w:val="20"/>
                <w:szCs w:val="20"/>
              </w:rPr>
              <w:t>30</w:t>
            </w:r>
          </w:p>
        </w:tc>
        <w:tc>
          <w:tcPr>
            <w:tcW w:w="1218" w:type="dxa"/>
            <w:tcBorders>
              <w:top w:val="single" w:sz="4" w:space="0" w:color="auto"/>
            </w:tcBorders>
          </w:tcPr>
          <w:p w14:paraId="62E1D249" w14:textId="72C01C59" w:rsidR="008A46E3" w:rsidRPr="00701004" w:rsidRDefault="001002AE"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&lt;.001</w:t>
            </w:r>
          </w:p>
        </w:tc>
        <w:tc>
          <w:tcPr>
            <w:tcW w:w="1218" w:type="dxa"/>
            <w:tcBorders>
              <w:top w:val="single" w:sz="4" w:space="0" w:color="auto"/>
            </w:tcBorders>
          </w:tcPr>
          <w:p w14:paraId="0C4D1317" w14:textId="7AEAFDA5" w:rsidR="008A46E3" w:rsidRPr="00701004" w:rsidRDefault="00C560FD"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w:t>
            </w:r>
            <w:r w:rsidR="008A46E3" w:rsidRPr="00701004">
              <w:rPr>
                <w:rFonts w:eastAsiaTheme="minorHAnsi"/>
                <w:b/>
                <w:bCs/>
                <w:sz w:val="20"/>
                <w:szCs w:val="20"/>
              </w:rPr>
              <w:t>0.33</w:t>
            </w:r>
          </w:p>
        </w:tc>
        <w:tc>
          <w:tcPr>
            <w:tcW w:w="1218" w:type="dxa"/>
            <w:tcBorders>
              <w:top w:val="single" w:sz="4" w:space="0" w:color="auto"/>
            </w:tcBorders>
          </w:tcPr>
          <w:p w14:paraId="03E2014C" w14:textId="7E0A483B"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8F0EE8" w:rsidRPr="00701004">
              <w:rPr>
                <w:rFonts w:eastAsiaTheme="minorHAnsi"/>
                <w:sz w:val="20"/>
                <w:szCs w:val="20"/>
              </w:rPr>
              <w:t>1</w:t>
            </w:r>
          </w:p>
        </w:tc>
        <w:tc>
          <w:tcPr>
            <w:tcW w:w="1218" w:type="dxa"/>
            <w:tcBorders>
              <w:top w:val="single" w:sz="4" w:space="0" w:color="auto"/>
            </w:tcBorders>
          </w:tcPr>
          <w:p w14:paraId="10586CF8" w14:textId="6FA72A72"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-0.</w:t>
            </w:r>
            <w:r w:rsidR="00C560FD" w:rsidRPr="00701004">
              <w:rPr>
                <w:rFonts w:eastAsiaTheme="minorHAnsi"/>
                <w:b/>
                <w:bCs/>
                <w:sz w:val="20"/>
                <w:szCs w:val="20"/>
              </w:rPr>
              <w:t>27</w:t>
            </w:r>
          </w:p>
        </w:tc>
        <w:tc>
          <w:tcPr>
            <w:tcW w:w="1219" w:type="dxa"/>
            <w:tcBorders>
              <w:top w:val="single" w:sz="4" w:space="0" w:color="auto"/>
            </w:tcBorders>
          </w:tcPr>
          <w:p w14:paraId="2B592DF4" w14:textId="5409C01B"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8F0EE8" w:rsidRPr="00701004">
              <w:rPr>
                <w:rFonts w:eastAsiaTheme="minorHAnsi"/>
                <w:sz w:val="20"/>
                <w:szCs w:val="20"/>
              </w:rPr>
              <w:t>1</w:t>
            </w:r>
          </w:p>
        </w:tc>
      </w:tr>
      <w:tr w:rsidR="008A46E3" w:rsidRPr="00701004" w14:paraId="5A38FD3C" w14:textId="77777777" w:rsidTr="008A46E3">
        <w:tc>
          <w:tcPr>
            <w:tcW w:w="1337" w:type="dxa"/>
          </w:tcPr>
          <w:p w14:paraId="3F68ECC4"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Gender</w:t>
            </w:r>
          </w:p>
        </w:tc>
        <w:tc>
          <w:tcPr>
            <w:tcW w:w="1218" w:type="dxa"/>
          </w:tcPr>
          <w:p w14:paraId="3750029B"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p>
        </w:tc>
        <w:tc>
          <w:tcPr>
            <w:tcW w:w="1219" w:type="dxa"/>
          </w:tcPr>
          <w:p w14:paraId="1380C143"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0.06</w:t>
            </w:r>
          </w:p>
        </w:tc>
        <w:tc>
          <w:tcPr>
            <w:tcW w:w="1218" w:type="dxa"/>
          </w:tcPr>
          <w:p w14:paraId="4D82EFB8"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.224</w:t>
            </w:r>
          </w:p>
        </w:tc>
        <w:tc>
          <w:tcPr>
            <w:tcW w:w="1218" w:type="dxa"/>
          </w:tcPr>
          <w:p w14:paraId="33335184" w14:textId="6F72CD5B" w:rsidR="008A46E3" w:rsidRPr="00701004" w:rsidRDefault="006B0075"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8A46E3" w:rsidRPr="00701004">
              <w:rPr>
                <w:rFonts w:eastAsiaTheme="minorHAnsi"/>
                <w:sz w:val="20"/>
                <w:szCs w:val="20"/>
              </w:rPr>
              <w:t>0.</w:t>
            </w:r>
            <w:r w:rsidR="00015EA8" w:rsidRPr="00701004">
              <w:rPr>
                <w:rFonts w:eastAsiaTheme="minorHAnsi"/>
                <w:sz w:val="20"/>
                <w:szCs w:val="20"/>
              </w:rPr>
              <w:t>10</w:t>
            </w:r>
          </w:p>
        </w:tc>
        <w:tc>
          <w:tcPr>
            <w:tcW w:w="1218" w:type="dxa"/>
          </w:tcPr>
          <w:p w14:paraId="52CB0F77" w14:textId="257761E4"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w:t>
            </w:r>
            <w:r w:rsidR="00015EA8" w:rsidRPr="00701004">
              <w:rPr>
                <w:rFonts w:eastAsiaTheme="minorHAnsi"/>
                <w:sz w:val="20"/>
                <w:szCs w:val="20"/>
              </w:rPr>
              <w:t>5</w:t>
            </w:r>
            <w:r w:rsidRPr="00701004">
              <w:rPr>
                <w:rFonts w:eastAsiaTheme="minorHAnsi"/>
                <w:sz w:val="20"/>
                <w:szCs w:val="20"/>
              </w:rPr>
              <w:t>1</w:t>
            </w:r>
          </w:p>
        </w:tc>
        <w:tc>
          <w:tcPr>
            <w:tcW w:w="1218" w:type="dxa"/>
          </w:tcPr>
          <w:p w14:paraId="531D3241" w14:textId="683C097C" w:rsidR="008A46E3" w:rsidRPr="00701004" w:rsidRDefault="001002AE"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w:t>
            </w:r>
            <w:r w:rsidR="008A46E3" w:rsidRPr="00701004">
              <w:rPr>
                <w:rFonts w:eastAsiaTheme="minorHAnsi"/>
                <w:b/>
                <w:bCs/>
                <w:sz w:val="20"/>
                <w:szCs w:val="20"/>
              </w:rPr>
              <w:t>0.1</w:t>
            </w:r>
            <w:r w:rsidRPr="00701004">
              <w:rPr>
                <w:rFonts w:eastAsiaTheme="minorHAnsi"/>
                <w:b/>
                <w:bCs/>
                <w:sz w:val="20"/>
                <w:szCs w:val="20"/>
              </w:rPr>
              <w:t>0</w:t>
            </w:r>
          </w:p>
        </w:tc>
        <w:tc>
          <w:tcPr>
            <w:tcW w:w="1218" w:type="dxa"/>
          </w:tcPr>
          <w:p w14:paraId="221DC247" w14:textId="010EF922"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w:t>
            </w:r>
            <w:r w:rsidR="001002AE" w:rsidRPr="00701004">
              <w:rPr>
                <w:rFonts w:eastAsiaTheme="minorHAnsi"/>
                <w:sz w:val="20"/>
                <w:szCs w:val="20"/>
              </w:rPr>
              <w:t>2</w:t>
            </w:r>
            <w:r w:rsidRPr="00701004">
              <w:rPr>
                <w:rFonts w:eastAsiaTheme="minorHAnsi"/>
                <w:sz w:val="20"/>
                <w:szCs w:val="20"/>
              </w:rPr>
              <w:t>7</w:t>
            </w:r>
          </w:p>
        </w:tc>
        <w:tc>
          <w:tcPr>
            <w:tcW w:w="1218" w:type="dxa"/>
          </w:tcPr>
          <w:p w14:paraId="6AB2EF63" w14:textId="18C6C23A"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C560FD" w:rsidRPr="00701004">
              <w:rPr>
                <w:rFonts w:eastAsiaTheme="minorHAnsi"/>
                <w:sz w:val="20"/>
                <w:szCs w:val="20"/>
              </w:rPr>
              <w:t>9</w:t>
            </w:r>
          </w:p>
        </w:tc>
        <w:tc>
          <w:tcPr>
            <w:tcW w:w="1218" w:type="dxa"/>
          </w:tcPr>
          <w:p w14:paraId="6D96A1BF" w14:textId="3179F0E8"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8F0EE8" w:rsidRPr="00701004">
              <w:rPr>
                <w:rFonts w:eastAsiaTheme="minorHAnsi"/>
                <w:sz w:val="20"/>
                <w:szCs w:val="20"/>
              </w:rPr>
              <w:t>051</w:t>
            </w:r>
          </w:p>
        </w:tc>
        <w:tc>
          <w:tcPr>
            <w:tcW w:w="1218" w:type="dxa"/>
          </w:tcPr>
          <w:p w14:paraId="46C81519" w14:textId="637D1DE0"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C560FD" w:rsidRPr="00701004">
              <w:rPr>
                <w:rFonts w:eastAsiaTheme="minorHAnsi"/>
                <w:sz w:val="20"/>
                <w:szCs w:val="20"/>
              </w:rPr>
              <w:t>4</w:t>
            </w:r>
          </w:p>
        </w:tc>
        <w:tc>
          <w:tcPr>
            <w:tcW w:w="1219" w:type="dxa"/>
          </w:tcPr>
          <w:p w14:paraId="04DE2B8A" w14:textId="24D3C920"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8F0EE8" w:rsidRPr="00701004">
              <w:rPr>
                <w:rFonts w:eastAsiaTheme="minorHAnsi"/>
                <w:sz w:val="20"/>
                <w:szCs w:val="20"/>
              </w:rPr>
              <w:t>449</w:t>
            </w:r>
          </w:p>
        </w:tc>
      </w:tr>
      <w:tr w:rsidR="008A46E3" w:rsidRPr="00701004" w14:paraId="1F958D7C" w14:textId="77777777" w:rsidTr="008A46E3">
        <w:tc>
          <w:tcPr>
            <w:tcW w:w="1337" w:type="dxa"/>
          </w:tcPr>
          <w:p w14:paraId="5757D82A"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Income</w:t>
            </w:r>
          </w:p>
        </w:tc>
        <w:tc>
          <w:tcPr>
            <w:tcW w:w="1218" w:type="dxa"/>
          </w:tcPr>
          <w:p w14:paraId="600C9647"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p>
        </w:tc>
        <w:tc>
          <w:tcPr>
            <w:tcW w:w="1219" w:type="dxa"/>
          </w:tcPr>
          <w:p w14:paraId="5DEE0585" w14:textId="77777777"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0.11</w:t>
            </w:r>
          </w:p>
        </w:tc>
        <w:tc>
          <w:tcPr>
            <w:tcW w:w="1218" w:type="dxa"/>
          </w:tcPr>
          <w:p w14:paraId="0F56B675"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.023</w:t>
            </w:r>
          </w:p>
        </w:tc>
        <w:tc>
          <w:tcPr>
            <w:tcW w:w="1218" w:type="dxa"/>
          </w:tcPr>
          <w:p w14:paraId="0CA252A4" w14:textId="223D082F" w:rsidR="008A46E3" w:rsidRPr="00701004" w:rsidRDefault="006B0075"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8A46E3" w:rsidRPr="00701004">
              <w:rPr>
                <w:rFonts w:eastAsiaTheme="minorHAnsi"/>
                <w:sz w:val="20"/>
                <w:szCs w:val="20"/>
              </w:rPr>
              <w:t>0.02</w:t>
            </w:r>
          </w:p>
        </w:tc>
        <w:tc>
          <w:tcPr>
            <w:tcW w:w="1218" w:type="dxa"/>
          </w:tcPr>
          <w:p w14:paraId="4A491087" w14:textId="62F185A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015EA8" w:rsidRPr="00701004">
              <w:rPr>
                <w:rFonts w:eastAsiaTheme="minorHAnsi"/>
                <w:sz w:val="20"/>
                <w:szCs w:val="20"/>
              </w:rPr>
              <w:t>661</w:t>
            </w:r>
          </w:p>
        </w:tc>
        <w:tc>
          <w:tcPr>
            <w:tcW w:w="1218" w:type="dxa"/>
          </w:tcPr>
          <w:p w14:paraId="700BF8A9" w14:textId="3E013439" w:rsidR="008A46E3" w:rsidRPr="00701004" w:rsidRDefault="001002AE"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8A46E3" w:rsidRPr="00701004">
              <w:rPr>
                <w:rFonts w:eastAsiaTheme="minorHAnsi"/>
                <w:sz w:val="20"/>
                <w:szCs w:val="20"/>
              </w:rPr>
              <w:t>0.0</w:t>
            </w:r>
            <w:r w:rsidRPr="00701004">
              <w:rPr>
                <w:rFonts w:eastAsiaTheme="minorHAnsi"/>
                <w:sz w:val="20"/>
                <w:szCs w:val="20"/>
              </w:rPr>
              <w:t>1</w:t>
            </w:r>
          </w:p>
        </w:tc>
        <w:tc>
          <w:tcPr>
            <w:tcW w:w="1218" w:type="dxa"/>
          </w:tcPr>
          <w:p w14:paraId="164F61A2" w14:textId="0BD5AA1F"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1002AE" w:rsidRPr="00701004">
              <w:rPr>
                <w:rFonts w:eastAsiaTheme="minorHAnsi"/>
                <w:sz w:val="20"/>
                <w:szCs w:val="20"/>
              </w:rPr>
              <w:t>830</w:t>
            </w:r>
          </w:p>
        </w:tc>
        <w:tc>
          <w:tcPr>
            <w:tcW w:w="1218" w:type="dxa"/>
          </w:tcPr>
          <w:p w14:paraId="7E614F9A" w14:textId="77777777"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-0.11</w:t>
            </w:r>
          </w:p>
        </w:tc>
        <w:tc>
          <w:tcPr>
            <w:tcW w:w="1218" w:type="dxa"/>
          </w:tcPr>
          <w:p w14:paraId="7637B948" w14:textId="030926B0"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w:t>
            </w:r>
            <w:r w:rsidR="008F0EE8" w:rsidRPr="00701004">
              <w:rPr>
                <w:rFonts w:eastAsiaTheme="minorHAnsi"/>
                <w:sz w:val="20"/>
                <w:szCs w:val="20"/>
              </w:rPr>
              <w:t>23</w:t>
            </w:r>
          </w:p>
        </w:tc>
        <w:tc>
          <w:tcPr>
            <w:tcW w:w="1218" w:type="dxa"/>
          </w:tcPr>
          <w:p w14:paraId="52CC068D" w14:textId="77777777"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-0.18</w:t>
            </w:r>
          </w:p>
        </w:tc>
        <w:tc>
          <w:tcPr>
            <w:tcW w:w="1219" w:type="dxa"/>
          </w:tcPr>
          <w:p w14:paraId="782431C0" w14:textId="0EC75154"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w:t>
            </w:r>
            <w:r w:rsidR="008F0EE8" w:rsidRPr="00701004">
              <w:rPr>
                <w:rFonts w:eastAsiaTheme="minorHAnsi"/>
                <w:sz w:val="20"/>
                <w:szCs w:val="20"/>
              </w:rPr>
              <w:t>08</w:t>
            </w:r>
          </w:p>
        </w:tc>
      </w:tr>
      <w:tr w:rsidR="008A46E3" w:rsidRPr="00701004" w14:paraId="4DBE0CB9" w14:textId="77777777" w:rsidTr="008A46E3">
        <w:tc>
          <w:tcPr>
            <w:tcW w:w="1337" w:type="dxa"/>
          </w:tcPr>
          <w:p w14:paraId="476195E7"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 xml:space="preserve">Baseline discounting </w:t>
            </w:r>
          </w:p>
        </w:tc>
        <w:tc>
          <w:tcPr>
            <w:tcW w:w="1218" w:type="dxa"/>
          </w:tcPr>
          <w:p w14:paraId="05C0A02E"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p>
        </w:tc>
        <w:tc>
          <w:tcPr>
            <w:tcW w:w="1219" w:type="dxa"/>
          </w:tcPr>
          <w:p w14:paraId="49CDAF58" w14:textId="77777777"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-0.13</w:t>
            </w:r>
          </w:p>
        </w:tc>
        <w:tc>
          <w:tcPr>
            <w:tcW w:w="1218" w:type="dxa"/>
          </w:tcPr>
          <w:p w14:paraId="72CCAA5E"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.014</w:t>
            </w:r>
          </w:p>
        </w:tc>
        <w:tc>
          <w:tcPr>
            <w:tcW w:w="1218" w:type="dxa"/>
          </w:tcPr>
          <w:p w14:paraId="30B0CB77" w14:textId="1A6FAAC0" w:rsidR="008A46E3" w:rsidRPr="00701004" w:rsidRDefault="006B0075"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8A46E3" w:rsidRPr="00701004">
              <w:rPr>
                <w:rFonts w:eastAsiaTheme="minorHAnsi"/>
                <w:sz w:val="20"/>
                <w:szCs w:val="20"/>
              </w:rPr>
              <w:t>0.0</w:t>
            </w:r>
            <w:r w:rsidR="00015EA8" w:rsidRPr="00701004">
              <w:rPr>
                <w:rFonts w:eastAsiaTheme="minorHAnsi"/>
                <w:sz w:val="20"/>
                <w:szCs w:val="20"/>
              </w:rPr>
              <w:t>2</w:t>
            </w:r>
          </w:p>
        </w:tc>
        <w:tc>
          <w:tcPr>
            <w:tcW w:w="1218" w:type="dxa"/>
          </w:tcPr>
          <w:p w14:paraId="097A5CB1" w14:textId="2035F225"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.5</w:t>
            </w:r>
            <w:r w:rsidR="00015EA8" w:rsidRPr="00701004">
              <w:rPr>
                <w:rFonts w:eastAsiaTheme="minorHAnsi"/>
                <w:sz w:val="20"/>
                <w:szCs w:val="20"/>
              </w:rPr>
              <w:t>70</w:t>
            </w:r>
          </w:p>
        </w:tc>
        <w:tc>
          <w:tcPr>
            <w:tcW w:w="1218" w:type="dxa"/>
          </w:tcPr>
          <w:p w14:paraId="36429837" w14:textId="3C64CD52"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1002AE" w:rsidRPr="00701004">
              <w:rPr>
                <w:rFonts w:eastAsiaTheme="minorHAnsi"/>
                <w:sz w:val="20"/>
                <w:szCs w:val="20"/>
              </w:rPr>
              <w:t>8</w:t>
            </w:r>
          </w:p>
        </w:tc>
        <w:tc>
          <w:tcPr>
            <w:tcW w:w="1218" w:type="dxa"/>
          </w:tcPr>
          <w:p w14:paraId="33D64C60" w14:textId="7FA6AE85"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1002AE" w:rsidRPr="00701004">
              <w:rPr>
                <w:rFonts w:eastAsiaTheme="minorHAnsi"/>
                <w:sz w:val="20"/>
                <w:szCs w:val="20"/>
              </w:rPr>
              <w:t>124</w:t>
            </w:r>
          </w:p>
        </w:tc>
        <w:tc>
          <w:tcPr>
            <w:tcW w:w="1218" w:type="dxa"/>
          </w:tcPr>
          <w:p w14:paraId="3F3CC2E9" w14:textId="086CD980"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C560FD" w:rsidRPr="00701004">
              <w:rPr>
                <w:rFonts w:eastAsiaTheme="minorHAnsi"/>
                <w:sz w:val="20"/>
                <w:szCs w:val="20"/>
              </w:rPr>
              <w:t>8</w:t>
            </w:r>
          </w:p>
        </w:tc>
        <w:tc>
          <w:tcPr>
            <w:tcW w:w="1218" w:type="dxa"/>
          </w:tcPr>
          <w:p w14:paraId="190E3BCA" w14:textId="5D4A557D"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8F0EE8" w:rsidRPr="00701004">
              <w:rPr>
                <w:rFonts w:eastAsiaTheme="minorHAnsi"/>
                <w:sz w:val="20"/>
                <w:szCs w:val="20"/>
              </w:rPr>
              <w:t>106</w:t>
            </w:r>
          </w:p>
        </w:tc>
        <w:tc>
          <w:tcPr>
            <w:tcW w:w="1218" w:type="dxa"/>
          </w:tcPr>
          <w:p w14:paraId="52187160" w14:textId="523F0A83"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C560FD" w:rsidRPr="00701004">
              <w:rPr>
                <w:rFonts w:eastAsiaTheme="minorHAnsi"/>
                <w:sz w:val="20"/>
                <w:szCs w:val="20"/>
              </w:rPr>
              <w:t>8</w:t>
            </w:r>
          </w:p>
        </w:tc>
        <w:tc>
          <w:tcPr>
            <w:tcW w:w="1219" w:type="dxa"/>
          </w:tcPr>
          <w:p w14:paraId="0EC2442C" w14:textId="1B058338"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8F0EE8" w:rsidRPr="00701004">
              <w:rPr>
                <w:rFonts w:eastAsiaTheme="minorHAnsi"/>
                <w:sz w:val="20"/>
                <w:szCs w:val="20"/>
              </w:rPr>
              <w:t>112</w:t>
            </w:r>
          </w:p>
        </w:tc>
      </w:tr>
      <w:tr w:rsidR="008A46E3" w:rsidRPr="00701004" w14:paraId="5817377B" w14:textId="77777777" w:rsidTr="008A46E3">
        <w:tc>
          <w:tcPr>
            <w:tcW w:w="1337" w:type="dxa"/>
          </w:tcPr>
          <w:p w14:paraId="0EFAECA7"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Magnitude sensitivity</w:t>
            </w:r>
          </w:p>
        </w:tc>
        <w:tc>
          <w:tcPr>
            <w:tcW w:w="1218" w:type="dxa"/>
          </w:tcPr>
          <w:p w14:paraId="4B55752B"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p>
        </w:tc>
        <w:tc>
          <w:tcPr>
            <w:tcW w:w="1219" w:type="dxa"/>
          </w:tcPr>
          <w:p w14:paraId="287CDCCC" w14:textId="77777777"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0.16</w:t>
            </w:r>
          </w:p>
        </w:tc>
        <w:tc>
          <w:tcPr>
            <w:tcW w:w="1218" w:type="dxa"/>
          </w:tcPr>
          <w:p w14:paraId="592F4058"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.002</w:t>
            </w:r>
          </w:p>
        </w:tc>
        <w:tc>
          <w:tcPr>
            <w:tcW w:w="1218" w:type="dxa"/>
          </w:tcPr>
          <w:p w14:paraId="04C45FB1" w14:textId="48F639A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0.08</w:t>
            </w:r>
          </w:p>
        </w:tc>
        <w:tc>
          <w:tcPr>
            <w:tcW w:w="1218" w:type="dxa"/>
          </w:tcPr>
          <w:p w14:paraId="7C97B61B" w14:textId="11D7CC56"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015EA8" w:rsidRPr="00701004">
              <w:rPr>
                <w:rFonts w:eastAsiaTheme="minorHAnsi"/>
                <w:sz w:val="20"/>
                <w:szCs w:val="20"/>
              </w:rPr>
              <w:t>099</w:t>
            </w:r>
          </w:p>
        </w:tc>
        <w:tc>
          <w:tcPr>
            <w:tcW w:w="1218" w:type="dxa"/>
          </w:tcPr>
          <w:p w14:paraId="63321B79" w14:textId="3742CAC9"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-0.1</w:t>
            </w:r>
            <w:r w:rsidR="001002AE" w:rsidRPr="00701004">
              <w:rPr>
                <w:rFonts w:eastAsiaTheme="minorHAnsi"/>
                <w:b/>
                <w:bCs/>
                <w:sz w:val="20"/>
                <w:szCs w:val="20"/>
              </w:rPr>
              <w:t>7</w:t>
            </w:r>
          </w:p>
        </w:tc>
        <w:tc>
          <w:tcPr>
            <w:tcW w:w="1218" w:type="dxa"/>
          </w:tcPr>
          <w:p w14:paraId="1454DFEE" w14:textId="6D7390CA"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.001</w:t>
            </w:r>
          </w:p>
        </w:tc>
        <w:tc>
          <w:tcPr>
            <w:tcW w:w="1218" w:type="dxa"/>
          </w:tcPr>
          <w:p w14:paraId="171F6150" w14:textId="77777777"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-0.10</w:t>
            </w:r>
          </w:p>
        </w:tc>
        <w:tc>
          <w:tcPr>
            <w:tcW w:w="1218" w:type="dxa"/>
          </w:tcPr>
          <w:p w14:paraId="29E50837" w14:textId="22A27F9C"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w:t>
            </w:r>
            <w:r w:rsidR="008F0EE8" w:rsidRPr="00701004">
              <w:rPr>
                <w:rFonts w:eastAsiaTheme="minorHAnsi"/>
                <w:sz w:val="20"/>
                <w:szCs w:val="20"/>
              </w:rPr>
              <w:t>35</w:t>
            </w:r>
          </w:p>
        </w:tc>
        <w:tc>
          <w:tcPr>
            <w:tcW w:w="1218" w:type="dxa"/>
          </w:tcPr>
          <w:p w14:paraId="5278EAC4" w14:textId="2FA02C8C"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-0.</w:t>
            </w:r>
            <w:r w:rsidR="00C560FD" w:rsidRPr="00701004">
              <w:rPr>
                <w:rFonts w:eastAsiaTheme="minorHAnsi"/>
                <w:b/>
                <w:bCs/>
                <w:sz w:val="20"/>
                <w:szCs w:val="20"/>
              </w:rPr>
              <w:t>12</w:t>
            </w:r>
          </w:p>
        </w:tc>
        <w:tc>
          <w:tcPr>
            <w:tcW w:w="1219" w:type="dxa"/>
          </w:tcPr>
          <w:p w14:paraId="03D3314E" w14:textId="68097B74"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C560FD" w:rsidRPr="00701004">
              <w:rPr>
                <w:rFonts w:eastAsiaTheme="minorHAnsi"/>
                <w:sz w:val="20"/>
                <w:szCs w:val="20"/>
              </w:rPr>
              <w:t>0</w:t>
            </w:r>
            <w:r w:rsidR="008F0EE8" w:rsidRPr="00701004">
              <w:rPr>
                <w:rFonts w:eastAsiaTheme="minorHAnsi"/>
                <w:sz w:val="20"/>
                <w:szCs w:val="20"/>
              </w:rPr>
              <w:t>16</w:t>
            </w:r>
          </w:p>
        </w:tc>
      </w:tr>
      <w:tr w:rsidR="008A46E3" w:rsidRPr="00701004" w14:paraId="5C138BEE" w14:textId="77777777" w:rsidTr="008A46E3">
        <w:tc>
          <w:tcPr>
            <w:tcW w:w="1337" w:type="dxa"/>
          </w:tcPr>
          <w:p w14:paraId="0DB841BA"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Learning rate</w:t>
            </w:r>
          </w:p>
        </w:tc>
        <w:tc>
          <w:tcPr>
            <w:tcW w:w="1218" w:type="dxa"/>
          </w:tcPr>
          <w:p w14:paraId="70BE4074"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p>
        </w:tc>
        <w:tc>
          <w:tcPr>
            <w:tcW w:w="1219" w:type="dxa"/>
          </w:tcPr>
          <w:p w14:paraId="4DBB91B5"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-0.02</w:t>
            </w:r>
          </w:p>
        </w:tc>
        <w:tc>
          <w:tcPr>
            <w:tcW w:w="1218" w:type="dxa"/>
          </w:tcPr>
          <w:p w14:paraId="2FD1B86D"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.734</w:t>
            </w:r>
          </w:p>
        </w:tc>
        <w:tc>
          <w:tcPr>
            <w:tcW w:w="1218" w:type="dxa"/>
          </w:tcPr>
          <w:p w14:paraId="1B9D081D" w14:textId="290E9476" w:rsidR="008A46E3" w:rsidRPr="00701004" w:rsidRDefault="006B0075"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w:t>
            </w:r>
            <w:r w:rsidR="008A46E3" w:rsidRPr="00701004">
              <w:rPr>
                <w:rFonts w:eastAsiaTheme="minorHAnsi"/>
                <w:b/>
                <w:bCs/>
                <w:sz w:val="20"/>
                <w:szCs w:val="20"/>
              </w:rPr>
              <w:t>0.11</w:t>
            </w:r>
          </w:p>
        </w:tc>
        <w:tc>
          <w:tcPr>
            <w:tcW w:w="1218" w:type="dxa"/>
          </w:tcPr>
          <w:p w14:paraId="724D0431" w14:textId="48CB829E"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.02</w:t>
            </w:r>
            <w:r w:rsidR="00015EA8" w:rsidRPr="00701004">
              <w:rPr>
                <w:rFonts w:eastAsiaTheme="minorHAnsi"/>
                <w:sz w:val="20"/>
                <w:szCs w:val="20"/>
              </w:rPr>
              <w:t>4</w:t>
            </w:r>
          </w:p>
        </w:tc>
        <w:tc>
          <w:tcPr>
            <w:tcW w:w="1218" w:type="dxa"/>
          </w:tcPr>
          <w:p w14:paraId="0FA6CCD5" w14:textId="71FC8871"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1002AE" w:rsidRPr="00701004">
              <w:rPr>
                <w:rFonts w:eastAsiaTheme="minorHAnsi"/>
                <w:sz w:val="20"/>
                <w:szCs w:val="20"/>
              </w:rPr>
              <w:t>3</w:t>
            </w:r>
          </w:p>
        </w:tc>
        <w:tc>
          <w:tcPr>
            <w:tcW w:w="1218" w:type="dxa"/>
          </w:tcPr>
          <w:p w14:paraId="0D0CB2C4" w14:textId="163FA18A"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1002AE" w:rsidRPr="00701004">
              <w:rPr>
                <w:rFonts w:eastAsiaTheme="minorHAnsi"/>
                <w:sz w:val="20"/>
                <w:szCs w:val="20"/>
              </w:rPr>
              <w:t>588</w:t>
            </w:r>
          </w:p>
        </w:tc>
        <w:tc>
          <w:tcPr>
            <w:tcW w:w="1218" w:type="dxa"/>
          </w:tcPr>
          <w:p w14:paraId="3B32C333" w14:textId="40EB3B95"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C560FD" w:rsidRPr="00701004">
              <w:rPr>
                <w:rFonts w:eastAsiaTheme="minorHAnsi"/>
                <w:sz w:val="20"/>
                <w:szCs w:val="20"/>
              </w:rPr>
              <w:t>6</w:t>
            </w:r>
          </w:p>
        </w:tc>
        <w:tc>
          <w:tcPr>
            <w:tcW w:w="1218" w:type="dxa"/>
          </w:tcPr>
          <w:p w14:paraId="257745A2" w14:textId="1DF7F0A6"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8F0EE8" w:rsidRPr="00701004">
              <w:rPr>
                <w:rFonts w:eastAsiaTheme="minorHAnsi"/>
                <w:sz w:val="20"/>
                <w:szCs w:val="20"/>
              </w:rPr>
              <w:t>199</w:t>
            </w:r>
          </w:p>
        </w:tc>
        <w:tc>
          <w:tcPr>
            <w:tcW w:w="1218" w:type="dxa"/>
          </w:tcPr>
          <w:p w14:paraId="6BB723FA" w14:textId="03ACC5D2"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C560FD" w:rsidRPr="00701004">
              <w:rPr>
                <w:rFonts w:eastAsiaTheme="minorHAnsi"/>
                <w:sz w:val="20"/>
                <w:szCs w:val="20"/>
              </w:rPr>
              <w:t>9</w:t>
            </w:r>
          </w:p>
        </w:tc>
        <w:tc>
          <w:tcPr>
            <w:tcW w:w="1219" w:type="dxa"/>
          </w:tcPr>
          <w:p w14:paraId="6BEC1CA3" w14:textId="5B0C24C1"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8F0EE8" w:rsidRPr="00701004">
              <w:rPr>
                <w:rFonts w:eastAsiaTheme="minorHAnsi"/>
                <w:sz w:val="20"/>
                <w:szCs w:val="20"/>
              </w:rPr>
              <w:t>078</w:t>
            </w:r>
          </w:p>
        </w:tc>
      </w:tr>
      <w:tr w:rsidR="008A46E3" w:rsidRPr="00701004" w14:paraId="630CEDC4" w14:textId="77777777" w:rsidTr="008A46E3">
        <w:tc>
          <w:tcPr>
            <w:tcW w:w="1337" w:type="dxa"/>
          </w:tcPr>
          <w:p w14:paraId="74EC06E5"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Foraging adjustment</w:t>
            </w:r>
          </w:p>
        </w:tc>
        <w:tc>
          <w:tcPr>
            <w:tcW w:w="1218" w:type="dxa"/>
          </w:tcPr>
          <w:p w14:paraId="1DD16C70"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p>
        </w:tc>
        <w:tc>
          <w:tcPr>
            <w:tcW w:w="1219" w:type="dxa"/>
          </w:tcPr>
          <w:p w14:paraId="0639D83D"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0.04</w:t>
            </w:r>
          </w:p>
        </w:tc>
        <w:tc>
          <w:tcPr>
            <w:tcW w:w="1218" w:type="dxa"/>
          </w:tcPr>
          <w:p w14:paraId="74293D93"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.409</w:t>
            </w:r>
          </w:p>
        </w:tc>
        <w:tc>
          <w:tcPr>
            <w:tcW w:w="1218" w:type="dxa"/>
          </w:tcPr>
          <w:p w14:paraId="6D2C310D" w14:textId="2F622FB6"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015EA8" w:rsidRPr="00701004">
              <w:rPr>
                <w:rFonts w:eastAsiaTheme="minorHAnsi"/>
                <w:sz w:val="20"/>
                <w:szCs w:val="20"/>
              </w:rPr>
              <w:t>5</w:t>
            </w:r>
          </w:p>
        </w:tc>
        <w:tc>
          <w:tcPr>
            <w:tcW w:w="1218" w:type="dxa"/>
          </w:tcPr>
          <w:p w14:paraId="5362BB47" w14:textId="7F05C37F"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015EA8" w:rsidRPr="00701004">
              <w:rPr>
                <w:rFonts w:eastAsiaTheme="minorHAnsi"/>
                <w:sz w:val="20"/>
                <w:szCs w:val="20"/>
              </w:rPr>
              <w:t>323</w:t>
            </w:r>
          </w:p>
        </w:tc>
        <w:tc>
          <w:tcPr>
            <w:tcW w:w="1218" w:type="dxa"/>
          </w:tcPr>
          <w:p w14:paraId="0DB780DE" w14:textId="7D402F8A"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1002AE" w:rsidRPr="00701004">
              <w:rPr>
                <w:rFonts w:eastAsiaTheme="minorHAnsi"/>
                <w:sz w:val="20"/>
                <w:szCs w:val="20"/>
              </w:rPr>
              <w:t>7</w:t>
            </w:r>
          </w:p>
        </w:tc>
        <w:tc>
          <w:tcPr>
            <w:tcW w:w="1218" w:type="dxa"/>
          </w:tcPr>
          <w:p w14:paraId="53D7719B" w14:textId="2A874486"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001002AE" w:rsidRPr="00701004">
              <w:rPr>
                <w:rFonts w:eastAsiaTheme="minorHAnsi"/>
                <w:sz w:val="20"/>
                <w:szCs w:val="20"/>
              </w:rPr>
              <w:t>190</w:t>
            </w:r>
          </w:p>
        </w:tc>
        <w:tc>
          <w:tcPr>
            <w:tcW w:w="1218" w:type="dxa"/>
          </w:tcPr>
          <w:p w14:paraId="0B2E208D" w14:textId="2BF9420C"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C560FD" w:rsidRPr="00701004">
              <w:rPr>
                <w:rFonts w:eastAsiaTheme="minorHAnsi"/>
                <w:sz w:val="20"/>
                <w:szCs w:val="20"/>
              </w:rPr>
              <w:t>1</w:t>
            </w:r>
          </w:p>
        </w:tc>
        <w:tc>
          <w:tcPr>
            <w:tcW w:w="1218" w:type="dxa"/>
          </w:tcPr>
          <w:p w14:paraId="03A38184" w14:textId="19F99240" w:rsidR="008A46E3" w:rsidRPr="00701004" w:rsidRDefault="008F0EE8"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.499</w:t>
            </w:r>
          </w:p>
        </w:tc>
        <w:tc>
          <w:tcPr>
            <w:tcW w:w="1218" w:type="dxa"/>
          </w:tcPr>
          <w:p w14:paraId="32AC5296" w14:textId="4D59AEB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-0.0</w:t>
            </w:r>
            <w:r w:rsidR="00C560FD" w:rsidRPr="00701004">
              <w:rPr>
                <w:rFonts w:eastAsiaTheme="minorHAnsi"/>
                <w:sz w:val="20"/>
                <w:szCs w:val="20"/>
              </w:rPr>
              <w:t>1</w:t>
            </w:r>
          </w:p>
        </w:tc>
        <w:tc>
          <w:tcPr>
            <w:tcW w:w="1219" w:type="dxa"/>
          </w:tcPr>
          <w:p w14:paraId="17E90FB9" w14:textId="2E7188D4" w:rsidR="008A46E3" w:rsidRPr="00701004" w:rsidRDefault="008F0EE8"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.499</w:t>
            </w:r>
          </w:p>
        </w:tc>
      </w:tr>
      <w:tr w:rsidR="008A46E3" w:rsidRPr="00701004" w14:paraId="61D121C1" w14:textId="77777777" w:rsidTr="008A46E3">
        <w:tc>
          <w:tcPr>
            <w:tcW w:w="1337" w:type="dxa"/>
          </w:tcPr>
          <w:p w14:paraId="020A75F0" w14:textId="77777777" w:rsidR="008A46E3" w:rsidRPr="00701004" w:rsidRDefault="008A46E3" w:rsidP="008A46E3">
            <w:pPr>
              <w:autoSpaceDE w:val="0"/>
              <w:autoSpaceDN w:val="0"/>
              <w:adjustRightInd w:val="0"/>
              <w:spacing w:before="120" w:line="480" w:lineRule="auto"/>
              <w:jc w:val="both"/>
              <w:rPr>
                <w:rFonts w:eastAsiaTheme="minorHAnsi"/>
                <w:i/>
                <w:iCs/>
                <w:sz w:val="20"/>
                <w:szCs w:val="20"/>
              </w:rPr>
            </w:pPr>
            <w:r w:rsidRPr="00701004">
              <w:rPr>
                <w:rFonts w:eastAsiaTheme="minorHAnsi"/>
                <w:i/>
                <w:iCs/>
                <w:sz w:val="20"/>
                <w:szCs w:val="20"/>
              </w:rPr>
              <w:t>F</w:t>
            </w:r>
          </w:p>
        </w:tc>
        <w:tc>
          <w:tcPr>
            <w:tcW w:w="1218" w:type="dxa"/>
          </w:tcPr>
          <w:p w14:paraId="665B23B8"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p>
        </w:tc>
        <w:tc>
          <w:tcPr>
            <w:tcW w:w="2437" w:type="dxa"/>
            <w:gridSpan w:val="2"/>
          </w:tcPr>
          <w:p w14:paraId="51763824"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b/>
                <w:bCs/>
                <w:sz w:val="20"/>
                <w:szCs w:val="20"/>
              </w:rPr>
              <w:t>3.91 (</w:t>
            </w:r>
            <w:r w:rsidRPr="00701004">
              <w:rPr>
                <w:rFonts w:eastAsiaTheme="minorHAnsi"/>
                <w:b/>
                <w:bCs/>
                <w:i/>
                <w:iCs/>
                <w:sz w:val="20"/>
                <w:szCs w:val="20"/>
              </w:rPr>
              <w:t>p</w:t>
            </w:r>
            <w:r w:rsidRPr="00701004">
              <w:rPr>
                <w:rFonts w:eastAsiaTheme="minorHAnsi"/>
                <w:b/>
                <w:bCs/>
                <w:sz w:val="20"/>
                <w:szCs w:val="20"/>
              </w:rPr>
              <w:t xml:space="preserve"> &lt; .001)</w:t>
            </w:r>
          </w:p>
        </w:tc>
        <w:tc>
          <w:tcPr>
            <w:tcW w:w="2436" w:type="dxa"/>
            <w:gridSpan w:val="2"/>
          </w:tcPr>
          <w:p w14:paraId="3F5495F2" w14:textId="1BAA358E" w:rsidR="008A46E3" w:rsidRPr="00701004" w:rsidRDefault="009F0341"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2</w:t>
            </w:r>
            <w:r w:rsidR="008A46E3" w:rsidRPr="00701004">
              <w:rPr>
                <w:rFonts w:eastAsiaTheme="minorHAnsi"/>
                <w:b/>
                <w:bCs/>
                <w:sz w:val="20"/>
                <w:szCs w:val="20"/>
              </w:rPr>
              <w:t>.</w:t>
            </w:r>
            <w:r w:rsidRPr="00701004">
              <w:rPr>
                <w:rFonts w:eastAsiaTheme="minorHAnsi"/>
                <w:b/>
                <w:bCs/>
                <w:sz w:val="20"/>
                <w:szCs w:val="20"/>
              </w:rPr>
              <w:t>85</w:t>
            </w:r>
            <w:r w:rsidR="008A46E3" w:rsidRPr="00701004">
              <w:rPr>
                <w:rFonts w:eastAsiaTheme="minorHAnsi"/>
                <w:b/>
                <w:bCs/>
                <w:sz w:val="20"/>
                <w:szCs w:val="20"/>
              </w:rPr>
              <w:t xml:space="preserve"> (</w:t>
            </w:r>
            <w:r w:rsidR="008A46E3" w:rsidRPr="00701004">
              <w:rPr>
                <w:rFonts w:eastAsiaTheme="minorHAnsi"/>
                <w:b/>
                <w:bCs/>
                <w:i/>
                <w:iCs/>
                <w:sz w:val="20"/>
                <w:szCs w:val="20"/>
              </w:rPr>
              <w:t>p</w:t>
            </w:r>
            <w:r w:rsidR="008A46E3" w:rsidRPr="00701004">
              <w:rPr>
                <w:rFonts w:eastAsiaTheme="minorHAnsi"/>
                <w:b/>
                <w:bCs/>
                <w:sz w:val="20"/>
                <w:szCs w:val="20"/>
              </w:rPr>
              <w:t xml:space="preserve"> </w:t>
            </w:r>
            <w:r w:rsidR="00015EA8" w:rsidRPr="00701004">
              <w:rPr>
                <w:rFonts w:eastAsiaTheme="minorHAnsi"/>
                <w:b/>
                <w:bCs/>
                <w:sz w:val="20"/>
                <w:szCs w:val="20"/>
              </w:rPr>
              <w:t>=</w:t>
            </w:r>
            <w:r w:rsidR="008A46E3" w:rsidRPr="00701004">
              <w:rPr>
                <w:rFonts w:eastAsiaTheme="minorHAnsi"/>
                <w:b/>
                <w:bCs/>
                <w:sz w:val="20"/>
                <w:szCs w:val="20"/>
              </w:rPr>
              <w:t>.00</w:t>
            </w:r>
            <w:r w:rsidR="00015EA8" w:rsidRPr="00701004">
              <w:rPr>
                <w:rFonts w:eastAsiaTheme="minorHAnsi"/>
                <w:b/>
                <w:bCs/>
                <w:sz w:val="20"/>
                <w:szCs w:val="20"/>
              </w:rPr>
              <w:t>7</w:t>
            </w:r>
            <w:r w:rsidR="008A46E3" w:rsidRPr="00701004">
              <w:rPr>
                <w:rFonts w:eastAsiaTheme="minorHAnsi"/>
                <w:b/>
                <w:bCs/>
                <w:sz w:val="20"/>
                <w:szCs w:val="20"/>
              </w:rPr>
              <w:t>)</w:t>
            </w:r>
          </w:p>
        </w:tc>
        <w:tc>
          <w:tcPr>
            <w:tcW w:w="2436" w:type="dxa"/>
            <w:gridSpan w:val="2"/>
          </w:tcPr>
          <w:p w14:paraId="2B0928BA" w14:textId="2A48DF2F" w:rsidR="008A46E3" w:rsidRPr="00701004" w:rsidRDefault="001002AE"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2</w:t>
            </w:r>
            <w:r w:rsidR="008A46E3" w:rsidRPr="00701004">
              <w:rPr>
                <w:rFonts w:eastAsiaTheme="minorHAnsi"/>
                <w:b/>
                <w:bCs/>
                <w:sz w:val="20"/>
                <w:szCs w:val="20"/>
              </w:rPr>
              <w:t>.</w:t>
            </w:r>
            <w:r w:rsidRPr="00701004">
              <w:rPr>
                <w:rFonts w:eastAsiaTheme="minorHAnsi"/>
                <w:b/>
                <w:bCs/>
                <w:sz w:val="20"/>
                <w:szCs w:val="20"/>
              </w:rPr>
              <w:t>69</w:t>
            </w:r>
            <w:r w:rsidR="008A46E3" w:rsidRPr="00701004">
              <w:rPr>
                <w:rFonts w:eastAsiaTheme="minorHAnsi"/>
                <w:b/>
                <w:bCs/>
                <w:sz w:val="20"/>
                <w:szCs w:val="20"/>
              </w:rPr>
              <w:t xml:space="preserve"> (</w:t>
            </w:r>
            <w:r w:rsidR="008A46E3" w:rsidRPr="00701004">
              <w:rPr>
                <w:rFonts w:eastAsiaTheme="minorHAnsi"/>
                <w:b/>
                <w:bCs/>
                <w:i/>
                <w:iCs/>
                <w:sz w:val="20"/>
                <w:szCs w:val="20"/>
              </w:rPr>
              <w:t>p</w:t>
            </w:r>
            <w:r w:rsidR="008A46E3" w:rsidRPr="00701004">
              <w:rPr>
                <w:rFonts w:eastAsiaTheme="minorHAnsi"/>
                <w:b/>
                <w:bCs/>
                <w:sz w:val="20"/>
                <w:szCs w:val="20"/>
              </w:rPr>
              <w:t xml:space="preserve"> = .0</w:t>
            </w:r>
            <w:r w:rsidRPr="00701004">
              <w:rPr>
                <w:rFonts w:eastAsiaTheme="minorHAnsi"/>
                <w:b/>
                <w:bCs/>
                <w:sz w:val="20"/>
                <w:szCs w:val="20"/>
              </w:rPr>
              <w:t>1</w:t>
            </w:r>
            <w:r w:rsidR="008A46E3" w:rsidRPr="00701004">
              <w:rPr>
                <w:rFonts w:eastAsiaTheme="minorHAnsi"/>
                <w:b/>
                <w:bCs/>
                <w:sz w:val="20"/>
                <w:szCs w:val="20"/>
              </w:rPr>
              <w:t>)</w:t>
            </w:r>
          </w:p>
        </w:tc>
        <w:tc>
          <w:tcPr>
            <w:tcW w:w="2436" w:type="dxa"/>
            <w:gridSpan w:val="2"/>
          </w:tcPr>
          <w:p w14:paraId="196C29CF" w14:textId="75087526"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8.</w:t>
            </w:r>
            <w:r w:rsidR="00C560FD" w:rsidRPr="00701004">
              <w:rPr>
                <w:rFonts w:eastAsiaTheme="minorHAnsi"/>
                <w:b/>
                <w:bCs/>
                <w:sz w:val="20"/>
                <w:szCs w:val="20"/>
              </w:rPr>
              <w:t>7</w:t>
            </w:r>
            <w:r w:rsidRPr="00701004">
              <w:rPr>
                <w:rFonts w:eastAsiaTheme="minorHAnsi"/>
                <w:b/>
                <w:bCs/>
                <w:sz w:val="20"/>
                <w:szCs w:val="20"/>
              </w:rPr>
              <w:t>8 (</w:t>
            </w:r>
            <w:r w:rsidRPr="00701004">
              <w:rPr>
                <w:rFonts w:eastAsiaTheme="minorHAnsi"/>
                <w:b/>
                <w:bCs/>
                <w:i/>
                <w:iCs/>
                <w:sz w:val="20"/>
                <w:szCs w:val="20"/>
              </w:rPr>
              <w:t>p</w:t>
            </w:r>
            <w:r w:rsidRPr="00701004">
              <w:rPr>
                <w:rFonts w:eastAsiaTheme="minorHAnsi"/>
                <w:b/>
                <w:bCs/>
                <w:sz w:val="20"/>
                <w:szCs w:val="20"/>
              </w:rPr>
              <w:t xml:space="preserve"> &lt; .001)</w:t>
            </w:r>
          </w:p>
        </w:tc>
        <w:tc>
          <w:tcPr>
            <w:tcW w:w="2437" w:type="dxa"/>
            <w:gridSpan w:val="2"/>
          </w:tcPr>
          <w:p w14:paraId="658CB38D" w14:textId="378BF011"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8.</w:t>
            </w:r>
            <w:r w:rsidR="00C560FD" w:rsidRPr="00701004">
              <w:rPr>
                <w:rFonts w:eastAsiaTheme="minorHAnsi"/>
                <w:b/>
                <w:bCs/>
                <w:sz w:val="20"/>
                <w:szCs w:val="20"/>
              </w:rPr>
              <w:t>87</w:t>
            </w:r>
            <w:r w:rsidRPr="00701004">
              <w:rPr>
                <w:rFonts w:eastAsiaTheme="minorHAnsi"/>
                <w:b/>
                <w:bCs/>
                <w:sz w:val="20"/>
                <w:szCs w:val="20"/>
              </w:rPr>
              <w:t xml:space="preserve"> (</w:t>
            </w:r>
            <w:r w:rsidRPr="00701004">
              <w:rPr>
                <w:rFonts w:eastAsiaTheme="minorHAnsi"/>
                <w:b/>
                <w:bCs/>
                <w:i/>
                <w:iCs/>
                <w:sz w:val="20"/>
                <w:szCs w:val="20"/>
              </w:rPr>
              <w:t>p</w:t>
            </w:r>
            <w:r w:rsidRPr="00701004">
              <w:rPr>
                <w:rFonts w:eastAsiaTheme="minorHAnsi"/>
                <w:b/>
                <w:bCs/>
                <w:sz w:val="20"/>
                <w:szCs w:val="20"/>
              </w:rPr>
              <w:t xml:space="preserve"> &lt; .001)</w:t>
            </w:r>
          </w:p>
        </w:tc>
      </w:tr>
      <w:tr w:rsidR="008A46E3" w:rsidRPr="00701004" w14:paraId="2D1ACEE3" w14:textId="77777777" w:rsidTr="008A46E3">
        <w:tc>
          <w:tcPr>
            <w:tcW w:w="1337" w:type="dxa"/>
            <w:tcBorders>
              <w:bottom w:val="single" w:sz="4" w:space="0" w:color="auto"/>
            </w:tcBorders>
          </w:tcPr>
          <w:p w14:paraId="2F08DAC8" w14:textId="77777777" w:rsidR="008A46E3" w:rsidRPr="00701004" w:rsidRDefault="008A46E3" w:rsidP="008A46E3">
            <w:pPr>
              <w:autoSpaceDE w:val="0"/>
              <w:autoSpaceDN w:val="0"/>
              <w:adjustRightInd w:val="0"/>
              <w:spacing w:before="120" w:line="480" w:lineRule="auto"/>
              <w:jc w:val="both"/>
              <w:rPr>
                <w:rFonts w:eastAsiaTheme="minorHAnsi"/>
                <w:sz w:val="20"/>
                <w:szCs w:val="20"/>
                <w:vertAlign w:val="superscript"/>
              </w:rPr>
            </w:pPr>
            <w:r w:rsidRPr="00701004">
              <w:rPr>
                <w:rFonts w:eastAsiaTheme="minorHAnsi"/>
                <w:sz w:val="20"/>
                <w:szCs w:val="20"/>
              </w:rPr>
              <w:t>R</w:t>
            </w:r>
            <w:r w:rsidRPr="00701004">
              <w:rPr>
                <w:rFonts w:eastAsiaTheme="minorHAnsi"/>
                <w:sz w:val="20"/>
                <w:szCs w:val="20"/>
                <w:vertAlign w:val="superscript"/>
              </w:rPr>
              <w:t>2</w:t>
            </w:r>
          </w:p>
        </w:tc>
        <w:tc>
          <w:tcPr>
            <w:tcW w:w="1218" w:type="dxa"/>
            <w:tcBorders>
              <w:bottom w:val="single" w:sz="4" w:space="0" w:color="auto"/>
            </w:tcBorders>
          </w:tcPr>
          <w:p w14:paraId="01BDF331"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p>
        </w:tc>
        <w:tc>
          <w:tcPr>
            <w:tcW w:w="2437" w:type="dxa"/>
            <w:gridSpan w:val="2"/>
            <w:tcBorders>
              <w:bottom w:val="single" w:sz="4" w:space="0" w:color="auto"/>
            </w:tcBorders>
          </w:tcPr>
          <w:p w14:paraId="6F274BAE" w14:textId="77777777" w:rsidR="008A46E3" w:rsidRPr="00701004" w:rsidRDefault="008A46E3" w:rsidP="008A46E3">
            <w:pPr>
              <w:autoSpaceDE w:val="0"/>
              <w:autoSpaceDN w:val="0"/>
              <w:adjustRightInd w:val="0"/>
              <w:spacing w:before="120" w:line="480" w:lineRule="auto"/>
              <w:jc w:val="both"/>
              <w:rPr>
                <w:rFonts w:eastAsiaTheme="minorHAnsi"/>
                <w:sz w:val="20"/>
                <w:szCs w:val="20"/>
              </w:rPr>
            </w:pPr>
            <w:r w:rsidRPr="00701004">
              <w:rPr>
                <w:rFonts w:eastAsiaTheme="minorHAnsi"/>
                <w:sz w:val="20"/>
                <w:szCs w:val="20"/>
              </w:rPr>
              <w:t>.</w:t>
            </w:r>
            <w:r w:rsidRPr="00701004">
              <w:rPr>
                <w:rFonts w:eastAsiaTheme="minorHAnsi"/>
                <w:b/>
                <w:bCs/>
                <w:sz w:val="20"/>
                <w:szCs w:val="20"/>
              </w:rPr>
              <w:t>07</w:t>
            </w:r>
          </w:p>
        </w:tc>
        <w:tc>
          <w:tcPr>
            <w:tcW w:w="2436" w:type="dxa"/>
            <w:gridSpan w:val="2"/>
            <w:tcBorders>
              <w:bottom w:val="single" w:sz="4" w:space="0" w:color="auto"/>
            </w:tcBorders>
          </w:tcPr>
          <w:p w14:paraId="518F4AD9" w14:textId="6F6DD7F9"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.0</w:t>
            </w:r>
            <w:r w:rsidR="009F0341" w:rsidRPr="00701004">
              <w:rPr>
                <w:rFonts w:eastAsiaTheme="minorHAnsi"/>
                <w:b/>
                <w:bCs/>
                <w:sz w:val="20"/>
                <w:szCs w:val="20"/>
              </w:rPr>
              <w:t>5</w:t>
            </w:r>
          </w:p>
        </w:tc>
        <w:tc>
          <w:tcPr>
            <w:tcW w:w="2436" w:type="dxa"/>
            <w:gridSpan w:val="2"/>
            <w:tcBorders>
              <w:bottom w:val="single" w:sz="4" w:space="0" w:color="auto"/>
            </w:tcBorders>
          </w:tcPr>
          <w:p w14:paraId="01374253" w14:textId="77777777"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.05</w:t>
            </w:r>
          </w:p>
        </w:tc>
        <w:tc>
          <w:tcPr>
            <w:tcW w:w="2436" w:type="dxa"/>
            <w:gridSpan w:val="2"/>
            <w:tcBorders>
              <w:bottom w:val="single" w:sz="4" w:space="0" w:color="auto"/>
            </w:tcBorders>
          </w:tcPr>
          <w:p w14:paraId="3FF81550" w14:textId="21014B3D"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.1</w:t>
            </w:r>
            <w:r w:rsidR="00C560FD" w:rsidRPr="00701004">
              <w:rPr>
                <w:rFonts w:eastAsiaTheme="minorHAnsi"/>
                <w:b/>
                <w:bCs/>
                <w:sz w:val="20"/>
                <w:szCs w:val="20"/>
              </w:rPr>
              <w:t>4</w:t>
            </w:r>
          </w:p>
        </w:tc>
        <w:tc>
          <w:tcPr>
            <w:tcW w:w="2437" w:type="dxa"/>
            <w:gridSpan w:val="2"/>
            <w:tcBorders>
              <w:bottom w:val="single" w:sz="4" w:space="0" w:color="auto"/>
            </w:tcBorders>
          </w:tcPr>
          <w:p w14:paraId="2B566985" w14:textId="34159D6E" w:rsidR="008A46E3" w:rsidRPr="00701004" w:rsidRDefault="008A46E3" w:rsidP="008A46E3">
            <w:pPr>
              <w:autoSpaceDE w:val="0"/>
              <w:autoSpaceDN w:val="0"/>
              <w:adjustRightInd w:val="0"/>
              <w:spacing w:before="120" w:line="480" w:lineRule="auto"/>
              <w:jc w:val="both"/>
              <w:rPr>
                <w:rFonts w:eastAsiaTheme="minorHAnsi"/>
                <w:b/>
                <w:bCs/>
                <w:sz w:val="20"/>
                <w:szCs w:val="20"/>
              </w:rPr>
            </w:pPr>
            <w:r w:rsidRPr="00701004">
              <w:rPr>
                <w:rFonts w:eastAsiaTheme="minorHAnsi"/>
                <w:b/>
                <w:bCs/>
                <w:sz w:val="20"/>
                <w:szCs w:val="20"/>
              </w:rPr>
              <w:t>.1</w:t>
            </w:r>
            <w:r w:rsidR="00C560FD" w:rsidRPr="00701004">
              <w:rPr>
                <w:rFonts w:eastAsiaTheme="minorHAnsi"/>
                <w:b/>
                <w:bCs/>
                <w:sz w:val="20"/>
                <w:szCs w:val="20"/>
              </w:rPr>
              <w:t>4</w:t>
            </w:r>
          </w:p>
        </w:tc>
      </w:tr>
    </w:tbl>
    <w:p w14:paraId="6F29B5C4" w14:textId="787F9D73" w:rsidR="008A46E3" w:rsidRPr="00701004" w:rsidRDefault="008A46E3" w:rsidP="008A46E3">
      <w:pPr>
        <w:pStyle w:val="Caption"/>
        <w:keepNext/>
      </w:pPr>
      <w:r w:rsidRPr="00701004">
        <w:t xml:space="preserve"> Table </w:t>
      </w:r>
      <w:r w:rsidR="004F48AF" w:rsidRPr="00701004">
        <w:rPr>
          <w:noProof/>
        </w:rPr>
        <w:fldChar w:fldCharType="begin"/>
      </w:r>
      <w:r w:rsidR="004F48AF" w:rsidRPr="00701004">
        <w:rPr>
          <w:noProof/>
        </w:rPr>
        <w:instrText xml:space="preserve"> SEQ Table \* ARABIC </w:instrText>
      </w:r>
      <w:r w:rsidR="004F48AF" w:rsidRPr="00701004">
        <w:rPr>
          <w:noProof/>
        </w:rPr>
        <w:fldChar w:fldCharType="separate"/>
      </w:r>
      <w:r w:rsidRPr="00701004">
        <w:rPr>
          <w:noProof/>
        </w:rPr>
        <w:t>1</w:t>
      </w:r>
      <w:r w:rsidR="004F48AF" w:rsidRPr="00701004">
        <w:rPr>
          <w:noProof/>
        </w:rPr>
        <w:fldChar w:fldCharType="end"/>
      </w:r>
      <w:r w:rsidRPr="00701004">
        <w:t>: Regression model statistics for each of the outcome variables.</w:t>
      </w:r>
    </w:p>
    <w:p w14:paraId="5FECA09E" w14:textId="7A3CB880" w:rsidR="008A46E3" w:rsidRPr="00701004" w:rsidRDefault="008A46E3" w:rsidP="005F1FB4">
      <w:pPr>
        <w:autoSpaceDE w:val="0"/>
        <w:autoSpaceDN w:val="0"/>
        <w:adjustRightInd w:val="0"/>
        <w:spacing w:before="120" w:line="480" w:lineRule="auto"/>
        <w:jc w:val="both"/>
        <w:rPr>
          <w:rFonts w:eastAsiaTheme="minorHAnsi"/>
          <w:bCs/>
          <w:sz w:val="20"/>
          <w:szCs w:val="20"/>
        </w:rPr>
        <w:sectPr w:rsidR="008A46E3" w:rsidRPr="00701004" w:rsidSect="00184C72">
          <w:pgSz w:w="16838" w:h="11906" w:orient="landscape"/>
          <w:pgMar w:top="1440" w:right="1440" w:bottom="1440" w:left="1440" w:header="708" w:footer="708" w:gutter="0"/>
          <w:cols w:space="708"/>
          <w:titlePg/>
          <w:docGrid w:linePitch="360"/>
        </w:sectPr>
      </w:pPr>
      <w:r w:rsidRPr="00701004">
        <w:rPr>
          <w:rFonts w:eastAsiaTheme="minorHAnsi"/>
          <w:bCs/>
          <w:sz w:val="20"/>
          <w:szCs w:val="20"/>
        </w:rPr>
        <w:t xml:space="preserve">Note: bold indicates p &lt; .050. Gender was coded as male = 1 and female = </w:t>
      </w:r>
      <w:r w:rsidR="00807587" w:rsidRPr="00701004">
        <w:rPr>
          <w:rFonts w:eastAsiaTheme="minorHAnsi"/>
          <w:bCs/>
          <w:sz w:val="20"/>
          <w:szCs w:val="20"/>
        </w:rPr>
        <w:t>0</w:t>
      </w:r>
      <w:r w:rsidRPr="00701004">
        <w:rPr>
          <w:rFonts w:eastAsiaTheme="minorHAnsi"/>
          <w:bCs/>
          <w:sz w:val="20"/>
          <w:szCs w:val="20"/>
        </w:rPr>
        <w:t>.</w:t>
      </w:r>
      <w:r w:rsidR="007E7A1F" w:rsidRPr="00701004">
        <w:rPr>
          <w:rFonts w:eastAsiaTheme="minorHAnsi"/>
          <w:bCs/>
          <w:sz w:val="20"/>
          <w:szCs w:val="20"/>
        </w:rPr>
        <w:t xml:space="preserve"> Analyses that were not pre-registered were </w:t>
      </w:r>
      <w:r w:rsidR="00A40AAD" w:rsidRPr="00701004">
        <w:rPr>
          <w:rFonts w:eastAsiaTheme="minorHAnsi"/>
          <w:bCs/>
          <w:sz w:val="20"/>
          <w:szCs w:val="20"/>
        </w:rPr>
        <w:t>adjusted to correct</w:t>
      </w:r>
      <w:r w:rsidR="007E7A1F" w:rsidRPr="00701004">
        <w:rPr>
          <w:rFonts w:eastAsiaTheme="minorHAnsi"/>
          <w:bCs/>
          <w:sz w:val="20"/>
          <w:szCs w:val="20"/>
        </w:rPr>
        <w:t xml:space="preserve"> for multiple comparisons.</w:t>
      </w:r>
    </w:p>
    <w:p w14:paraId="79AE744F" w14:textId="5C2FA7CB" w:rsidR="005935F1" w:rsidRPr="00701004" w:rsidRDefault="00CB758A" w:rsidP="00CB758A">
      <w:pPr>
        <w:autoSpaceDE w:val="0"/>
        <w:autoSpaceDN w:val="0"/>
        <w:adjustRightInd w:val="0"/>
        <w:spacing w:before="120" w:line="480" w:lineRule="auto"/>
        <w:jc w:val="both"/>
        <w:rPr>
          <w:rFonts w:eastAsiaTheme="minorHAnsi"/>
        </w:rPr>
      </w:pPr>
      <w:r w:rsidRPr="00701004">
        <w:rPr>
          <w:rFonts w:eastAsiaTheme="minorHAnsi"/>
        </w:rPr>
        <w:lastRenderedPageBreak/>
        <w:tab/>
        <w:t>In an exploratory step, we ran regressions that included an interaction term between the cognitive predictors and COVID-19 anxiety to examine whether mental health symptoms impacted the relationship between task parameters and our measures of lockdown behaviour.</w:t>
      </w:r>
      <w:r w:rsidRPr="00701004">
        <w:rPr>
          <w:rFonts w:eastAsiaTheme="minorHAnsi"/>
          <w:b/>
        </w:rPr>
        <w:t xml:space="preserve"> </w:t>
      </w:r>
      <w:r w:rsidR="00072C5F" w:rsidRPr="00701004">
        <w:rPr>
          <w:rFonts w:eastAsiaTheme="minorHAnsi"/>
          <w:bCs/>
        </w:rPr>
        <w:t>This model was significant (</w:t>
      </w:r>
      <w:proofErr w:type="gramStart"/>
      <w:r w:rsidR="00072C5F" w:rsidRPr="00701004">
        <w:rPr>
          <w:rFonts w:eastAsiaTheme="minorHAnsi"/>
          <w:i/>
        </w:rPr>
        <w:t>F</w:t>
      </w:r>
      <w:r w:rsidR="00072C5F" w:rsidRPr="00701004">
        <w:rPr>
          <w:rFonts w:eastAsiaTheme="minorHAnsi"/>
          <w:vertAlign w:val="subscript"/>
        </w:rPr>
        <w:t>(</w:t>
      </w:r>
      <w:proofErr w:type="gramEnd"/>
      <w:r w:rsidR="00072C5F" w:rsidRPr="00701004">
        <w:rPr>
          <w:rFonts w:eastAsiaTheme="minorHAnsi"/>
          <w:vertAlign w:val="subscript"/>
        </w:rPr>
        <w:t>6,515)</w:t>
      </w:r>
      <w:r w:rsidR="00072C5F" w:rsidRPr="00701004">
        <w:rPr>
          <w:rFonts w:eastAsiaTheme="minorHAnsi"/>
        </w:rPr>
        <w:t xml:space="preserve"> = 6.67, </w:t>
      </w:r>
      <w:r w:rsidR="00072C5F" w:rsidRPr="00701004">
        <w:rPr>
          <w:rFonts w:eastAsiaTheme="minorHAnsi"/>
          <w:i/>
        </w:rPr>
        <w:t>p</w:t>
      </w:r>
      <w:r w:rsidR="00072C5F" w:rsidRPr="00701004">
        <w:rPr>
          <w:rFonts w:eastAsiaTheme="minorHAnsi"/>
        </w:rPr>
        <w:t xml:space="preserve"> &lt; .001, R² = 0.07) and we found that</w:t>
      </w:r>
      <w:r w:rsidR="00072C5F" w:rsidRPr="00701004">
        <w:rPr>
          <w:rFonts w:eastAsiaTheme="minorHAnsi"/>
          <w:bCs/>
        </w:rPr>
        <w:t xml:space="preserve"> </w:t>
      </w:r>
      <w:r w:rsidR="005F1FB4" w:rsidRPr="00701004">
        <w:rPr>
          <w:rFonts w:eastAsiaTheme="minorHAnsi"/>
        </w:rPr>
        <w:t xml:space="preserve">COVID-19 specific anxiety significantly moderated the relationship </w:t>
      </w:r>
      <w:bookmarkStart w:id="9" w:name="_Hlk70669265"/>
      <w:r w:rsidR="005F1FB4" w:rsidRPr="00701004">
        <w:rPr>
          <w:rFonts w:eastAsiaTheme="minorHAnsi"/>
        </w:rPr>
        <w:t>between</w:t>
      </w:r>
      <w:r w:rsidR="00F15905" w:rsidRPr="00701004">
        <w:rPr>
          <w:rFonts w:eastAsiaTheme="minorHAnsi"/>
        </w:rPr>
        <w:t xml:space="preserve"> </w:t>
      </w:r>
      <w:r w:rsidR="004A3DC3" w:rsidRPr="00701004">
        <w:rPr>
          <w:rFonts w:eastAsiaTheme="minorHAnsi"/>
        </w:rPr>
        <w:t xml:space="preserve">participants’ </w:t>
      </w:r>
      <w:r w:rsidR="00F15905" w:rsidRPr="00701004">
        <w:rPr>
          <w:rFonts w:eastAsiaTheme="minorHAnsi"/>
        </w:rPr>
        <w:t>sensitivity to reward</w:t>
      </w:r>
      <w:r w:rsidR="005F1FB4" w:rsidRPr="00701004">
        <w:rPr>
          <w:rFonts w:eastAsiaTheme="minorHAnsi"/>
        </w:rPr>
        <w:t xml:space="preserve"> magnitude and adherence to social distancing</w:t>
      </w:r>
      <w:bookmarkEnd w:id="9"/>
      <w:r w:rsidR="005F1FB4" w:rsidRPr="00701004">
        <w:rPr>
          <w:rFonts w:eastAsiaTheme="minorHAnsi"/>
        </w:rPr>
        <w:t xml:space="preserve"> (</w:t>
      </w:r>
      <w:r w:rsidR="005F1FB4" w:rsidRPr="00701004">
        <w:rPr>
          <w:rFonts w:eastAsiaTheme="minorHAnsi"/>
        </w:rPr>
        <w:sym w:font="Symbol" w:char="F062"/>
      </w:r>
      <w:r w:rsidR="005F1FB4" w:rsidRPr="00701004">
        <w:rPr>
          <w:rFonts w:eastAsiaTheme="minorHAnsi"/>
        </w:rPr>
        <w:t xml:space="preserve"> = 0.08, t = 3.38,</w:t>
      </w:r>
      <w:r w:rsidR="005F1FB4" w:rsidRPr="00701004">
        <w:rPr>
          <w:rFonts w:eastAsiaTheme="minorHAnsi"/>
          <w:i/>
          <w:iCs/>
        </w:rPr>
        <w:t xml:space="preserve"> p</w:t>
      </w:r>
      <w:r w:rsidR="005F1FB4" w:rsidRPr="00701004">
        <w:rPr>
          <w:rFonts w:eastAsiaTheme="minorHAnsi"/>
        </w:rPr>
        <w:t xml:space="preserve"> &lt; .001; Figure </w:t>
      </w:r>
      <w:r w:rsidR="00B7112E" w:rsidRPr="00701004">
        <w:rPr>
          <w:rFonts w:eastAsiaTheme="minorHAnsi"/>
        </w:rPr>
        <w:t>2b</w:t>
      </w:r>
      <w:r w:rsidR="005F1FB4" w:rsidRPr="00701004">
        <w:rPr>
          <w:rFonts w:eastAsiaTheme="minorHAnsi"/>
        </w:rPr>
        <w:t xml:space="preserve">). This suggests that </w:t>
      </w:r>
      <w:r w:rsidR="00F8287A" w:rsidRPr="00701004">
        <w:rPr>
          <w:rFonts w:eastAsiaTheme="minorHAnsi"/>
        </w:rPr>
        <w:t>as COVID-19 anxiety increased, so did the estimate of magnitude sensitivity on social distancing adherence</w:t>
      </w:r>
      <w:r w:rsidR="005F1FB4" w:rsidRPr="00701004">
        <w:rPr>
          <w:rFonts w:eastAsiaTheme="minorHAnsi"/>
        </w:rPr>
        <w:t xml:space="preserve"> (</w:t>
      </w:r>
      <w:r w:rsidR="00B26F01" w:rsidRPr="00701004">
        <w:rPr>
          <w:rFonts w:eastAsiaTheme="minorHAnsi"/>
        </w:rPr>
        <w:t>i.e.,</w:t>
      </w:r>
      <w:r w:rsidR="005F1FB4" w:rsidRPr="00701004">
        <w:rPr>
          <w:rFonts w:eastAsiaTheme="minorHAnsi"/>
        </w:rPr>
        <w:t xml:space="preserve"> </w:t>
      </w:r>
      <w:r w:rsidR="009D2CDA" w:rsidRPr="00701004">
        <w:rPr>
          <w:rFonts w:eastAsiaTheme="minorHAnsi"/>
        </w:rPr>
        <w:t xml:space="preserve">sensitivity towards </w:t>
      </w:r>
      <w:r w:rsidR="003B73C3" w:rsidRPr="00701004">
        <w:rPr>
          <w:rFonts w:eastAsiaTheme="minorHAnsi"/>
        </w:rPr>
        <w:t>reward magnitude was a positive predictor of social distancing adherence for individuals with</w:t>
      </w:r>
      <w:r w:rsidR="0031250E" w:rsidRPr="00701004">
        <w:rPr>
          <w:rFonts w:eastAsiaTheme="minorHAnsi"/>
        </w:rPr>
        <w:t xml:space="preserve"> scores</w:t>
      </w:r>
      <w:r w:rsidR="00A770A0" w:rsidRPr="00701004">
        <w:rPr>
          <w:rFonts w:eastAsiaTheme="minorHAnsi"/>
        </w:rPr>
        <w:t xml:space="preserve"> of</w:t>
      </w:r>
      <w:r w:rsidR="0031250E" w:rsidRPr="00701004">
        <w:rPr>
          <w:rFonts w:eastAsiaTheme="minorHAnsi"/>
        </w:rPr>
        <w:t xml:space="preserve"> </w:t>
      </w:r>
      <w:r w:rsidR="00A770A0" w:rsidRPr="00701004">
        <w:rPr>
          <w:rFonts w:eastAsiaTheme="minorHAnsi"/>
        </w:rPr>
        <w:t>&gt;</w:t>
      </w:r>
      <w:r w:rsidR="0031250E" w:rsidRPr="00701004">
        <w:rPr>
          <w:rFonts w:eastAsiaTheme="minorHAnsi"/>
        </w:rPr>
        <w:t>50 on the</w:t>
      </w:r>
      <w:r w:rsidR="003B73C3" w:rsidRPr="00701004">
        <w:rPr>
          <w:rFonts w:eastAsiaTheme="minorHAnsi"/>
        </w:rPr>
        <w:t xml:space="preserve"> COVID-19 anxiety</w:t>
      </w:r>
      <w:r w:rsidR="0031250E" w:rsidRPr="00701004">
        <w:rPr>
          <w:rFonts w:eastAsiaTheme="minorHAnsi"/>
        </w:rPr>
        <w:t xml:space="preserve"> scale</w:t>
      </w:r>
      <w:r w:rsidR="003B73C3" w:rsidRPr="00701004">
        <w:rPr>
          <w:rFonts w:eastAsiaTheme="minorHAnsi"/>
        </w:rPr>
        <w:t xml:space="preserve"> and was a negative predictor of social distancing adherence for individuals with </w:t>
      </w:r>
      <w:r w:rsidR="0031250E" w:rsidRPr="00701004">
        <w:rPr>
          <w:rFonts w:eastAsiaTheme="minorHAnsi"/>
        </w:rPr>
        <w:t xml:space="preserve">scores of </w:t>
      </w:r>
      <w:r w:rsidR="00A770A0" w:rsidRPr="00701004">
        <w:rPr>
          <w:rFonts w:eastAsiaTheme="minorHAnsi"/>
        </w:rPr>
        <w:t>&lt;</w:t>
      </w:r>
      <w:r w:rsidR="0031250E" w:rsidRPr="00701004">
        <w:rPr>
          <w:rFonts w:eastAsiaTheme="minorHAnsi"/>
        </w:rPr>
        <w:t xml:space="preserve"> 50 on the</w:t>
      </w:r>
      <w:r w:rsidR="003B73C3" w:rsidRPr="00701004">
        <w:rPr>
          <w:rFonts w:eastAsiaTheme="minorHAnsi"/>
        </w:rPr>
        <w:t xml:space="preserve"> COVID-19 anxiety</w:t>
      </w:r>
      <w:r w:rsidR="0031250E" w:rsidRPr="00701004">
        <w:rPr>
          <w:rFonts w:eastAsiaTheme="minorHAnsi"/>
        </w:rPr>
        <w:t xml:space="preserve"> scale</w:t>
      </w:r>
      <w:r w:rsidR="00F8287A" w:rsidRPr="00701004">
        <w:rPr>
          <w:rFonts w:eastAsiaTheme="minorHAnsi"/>
        </w:rPr>
        <w:t xml:space="preserve">; see Supplementary Figure </w:t>
      </w:r>
      <w:r w:rsidR="002A2F76" w:rsidRPr="00701004">
        <w:rPr>
          <w:rFonts w:eastAsiaTheme="minorHAnsi"/>
        </w:rPr>
        <w:t>4</w:t>
      </w:r>
      <w:r w:rsidR="00F8287A" w:rsidRPr="00701004">
        <w:rPr>
          <w:rFonts w:eastAsiaTheme="minorHAnsi"/>
        </w:rPr>
        <w:t xml:space="preserve"> for predicted values and fitted lines</w:t>
      </w:r>
      <w:r w:rsidR="005F1FB4" w:rsidRPr="00701004">
        <w:rPr>
          <w:rFonts w:eastAsiaTheme="minorHAnsi"/>
        </w:rPr>
        <w:t>).</w:t>
      </w:r>
      <w:r w:rsidR="006377CD" w:rsidRPr="00701004">
        <w:rPr>
          <w:rFonts w:eastAsiaTheme="minorHAnsi"/>
        </w:rPr>
        <w:t xml:space="preserve"> </w:t>
      </w:r>
    </w:p>
    <w:p w14:paraId="1309611D" w14:textId="2883AAEA" w:rsidR="00A55B2A" w:rsidRPr="00701004" w:rsidRDefault="00072C5F" w:rsidP="00072C5F">
      <w:pPr>
        <w:autoSpaceDE w:val="0"/>
        <w:autoSpaceDN w:val="0"/>
        <w:adjustRightInd w:val="0"/>
        <w:spacing w:before="120" w:line="480" w:lineRule="auto"/>
        <w:ind w:firstLine="720"/>
        <w:jc w:val="both"/>
        <w:rPr>
          <w:rFonts w:eastAsiaTheme="minorHAnsi"/>
        </w:rPr>
      </w:pPr>
      <w:r w:rsidRPr="00701004">
        <w:rPr>
          <w:rFonts w:eastAsiaTheme="minorHAnsi"/>
        </w:rPr>
        <w:t>While the model testing whether COVID-19 anxiety moderated the relationship between baseline discounting and social distancing adherence was significant (</w:t>
      </w:r>
      <w:proofErr w:type="gramStart"/>
      <w:r w:rsidRPr="00701004">
        <w:rPr>
          <w:rFonts w:eastAsiaTheme="minorHAnsi"/>
        </w:rPr>
        <w:t>F</w:t>
      </w:r>
      <w:r w:rsidRPr="00701004">
        <w:rPr>
          <w:rFonts w:eastAsiaTheme="minorHAnsi"/>
          <w:vertAlign w:val="subscript"/>
        </w:rPr>
        <w:t>(</w:t>
      </w:r>
      <w:proofErr w:type="gramEnd"/>
      <w:r w:rsidRPr="00701004">
        <w:rPr>
          <w:rFonts w:eastAsiaTheme="minorHAnsi"/>
          <w:vertAlign w:val="subscript"/>
        </w:rPr>
        <w:t>6, 515)</w:t>
      </w:r>
      <w:r w:rsidRPr="00701004">
        <w:rPr>
          <w:rFonts w:eastAsiaTheme="minorHAnsi"/>
        </w:rPr>
        <w:t xml:space="preserve"> = 3.72, </w:t>
      </w:r>
      <w:r w:rsidRPr="00701004">
        <w:rPr>
          <w:rFonts w:eastAsiaTheme="minorHAnsi"/>
          <w:i/>
        </w:rPr>
        <w:t>p</w:t>
      </w:r>
      <w:r w:rsidRPr="00701004">
        <w:rPr>
          <w:rFonts w:eastAsiaTheme="minorHAnsi"/>
        </w:rPr>
        <w:t xml:space="preserve"> &lt; 001, R</w:t>
      </w:r>
      <w:r w:rsidRPr="00701004">
        <w:rPr>
          <w:rFonts w:eastAsiaTheme="minorHAnsi"/>
          <w:vertAlign w:val="superscript"/>
        </w:rPr>
        <w:t xml:space="preserve">2 </w:t>
      </w:r>
      <w:r w:rsidRPr="00701004">
        <w:rPr>
          <w:rFonts w:eastAsiaTheme="minorHAnsi"/>
        </w:rPr>
        <w:t>= .04),</w:t>
      </w:r>
      <w:r w:rsidR="005F1FB4" w:rsidRPr="00701004">
        <w:rPr>
          <w:rFonts w:eastAsiaTheme="minorHAnsi"/>
        </w:rPr>
        <w:t xml:space="preserve"> we did not find evidence that</w:t>
      </w:r>
      <w:r w:rsidR="00825B94" w:rsidRPr="00701004">
        <w:rPr>
          <w:rFonts w:eastAsiaTheme="minorHAnsi"/>
        </w:rPr>
        <w:t xml:space="preserve"> COVID-19</w:t>
      </w:r>
      <w:r w:rsidR="005F1FB4" w:rsidRPr="00701004">
        <w:rPr>
          <w:rFonts w:eastAsiaTheme="minorHAnsi"/>
        </w:rPr>
        <w:t xml:space="preserve"> anxiety moderated the relationship between </w:t>
      </w:r>
      <w:r w:rsidR="00825B94" w:rsidRPr="00701004">
        <w:rPr>
          <w:rFonts w:eastAsiaTheme="minorHAnsi"/>
        </w:rPr>
        <w:t xml:space="preserve">baseline discounting and </w:t>
      </w:r>
      <w:r w:rsidR="00C509EF" w:rsidRPr="00701004">
        <w:rPr>
          <w:rFonts w:eastAsiaTheme="minorHAnsi"/>
        </w:rPr>
        <w:t>social distancing</w:t>
      </w:r>
      <w:r w:rsidR="00825B94" w:rsidRPr="00701004">
        <w:rPr>
          <w:rFonts w:eastAsiaTheme="minorHAnsi"/>
        </w:rPr>
        <w:t xml:space="preserve"> adherence (</w:t>
      </w:r>
      <w:r w:rsidR="00825B94" w:rsidRPr="00701004">
        <w:rPr>
          <w:rFonts w:eastAsiaTheme="minorHAnsi"/>
        </w:rPr>
        <w:sym w:font="Symbol" w:char="F062"/>
      </w:r>
      <w:r w:rsidR="00825B94" w:rsidRPr="00701004">
        <w:rPr>
          <w:rFonts w:eastAsiaTheme="minorHAnsi"/>
        </w:rPr>
        <w:t xml:space="preserve"> = 0.01, t = 0.24, </w:t>
      </w:r>
      <w:r w:rsidR="00825B94" w:rsidRPr="00701004">
        <w:rPr>
          <w:rFonts w:eastAsiaTheme="minorHAnsi"/>
          <w:i/>
        </w:rPr>
        <w:t>p</w:t>
      </w:r>
      <w:r w:rsidR="00825B94" w:rsidRPr="00701004">
        <w:rPr>
          <w:rFonts w:eastAsiaTheme="minorHAnsi"/>
        </w:rPr>
        <w:t xml:space="preserve"> = .81).</w:t>
      </w:r>
      <w:r w:rsidRPr="00701004">
        <w:rPr>
          <w:rFonts w:eastAsiaTheme="minorHAnsi"/>
        </w:rPr>
        <w:t xml:space="preserve"> The model testing whether COVID-19 anxiety moderated the relationship between foraging learning rate and active violation behaviour was also significant (</w:t>
      </w:r>
      <w:proofErr w:type="gramStart"/>
      <w:r w:rsidRPr="00701004">
        <w:rPr>
          <w:rFonts w:eastAsiaTheme="minorHAnsi"/>
          <w:i/>
        </w:rPr>
        <w:t>F</w:t>
      </w:r>
      <w:r w:rsidRPr="00701004">
        <w:rPr>
          <w:rFonts w:eastAsiaTheme="minorHAnsi"/>
          <w:vertAlign w:val="subscript"/>
        </w:rPr>
        <w:t>(</w:t>
      </w:r>
      <w:proofErr w:type="gramEnd"/>
      <w:r w:rsidRPr="00701004">
        <w:rPr>
          <w:rFonts w:eastAsiaTheme="minorHAnsi"/>
          <w:vertAlign w:val="subscript"/>
        </w:rPr>
        <w:t>6,434)</w:t>
      </w:r>
      <w:r w:rsidRPr="00701004">
        <w:rPr>
          <w:rFonts w:eastAsiaTheme="minorHAnsi"/>
        </w:rPr>
        <w:t xml:space="preserve"> = 8.67, </w:t>
      </w:r>
      <w:r w:rsidRPr="00701004">
        <w:rPr>
          <w:rFonts w:eastAsiaTheme="minorHAnsi"/>
          <w:i/>
        </w:rPr>
        <w:t>p</w:t>
      </w:r>
      <w:r w:rsidRPr="00701004">
        <w:rPr>
          <w:rFonts w:eastAsiaTheme="minorHAnsi"/>
        </w:rPr>
        <w:t xml:space="preserve"> &lt; .001, R² = 0.11). However,</w:t>
      </w:r>
      <w:r w:rsidR="00825B94" w:rsidRPr="00701004">
        <w:rPr>
          <w:rFonts w:eastAsiaTheme="minorHAnsi"/>
        </w:rPr>
        <w:t xml:space="preserve"> we </w:t>
      </w:r>
      <w:r w:rsidRPr="00701004">
        <w:rPr>
          <w:rFonts w:eastAsiaTheme="minorHAnsi"/>
        </w:rPr>
        <w:t xml:space="preserve">did not </w:t>
      </w:r>
      <w:r w:rsidR="00825B94" w:rsidRPr="00701004">
        <w:rPr>
          <w:rFonts w:eastAsiaTheme="minorHAnsi"/>
        </w:rPr>
        <w:t xml:space="preserve">find evidence that COVID-19 anxiety moderated the relationship between </w:t>
      </w:r>
      <w:r w:rsidR="005F1FB4" w:rsidRPr="00701004">
        <w:rPr>
          <w:rFonts w:eastAsiaTheme="minorHAnsi"/>
        </w:rPr>
        <w:t>foraging learning rate and</w:t>
      </w:r>
      <w:r w:rsidR="00C509EF" w:rsidRPr="00701004">
        <w:rPr>
          <w:rFonts w:eastAsiaTheme="minorHAnsi"/>
        </w:rPr>
        <w:t xml:space="preserve"> active</w:t>
      </w:r>
      <w:r w:rsidR="005F1FB4" w:rsidRPr="00701004">
        <w:rPr>
          <w:rFonts w:eastAsiaTheme="minorHAnsi"/>
        </w:rPr>
        <w:t xml:space="preserve"> violation behaviour (</w:t>
      </w:r>
      <w:r w:rsidR="005F1FB4" w:rsidRPr="00701004">
        <w:rPr>
          <w:rFonts w:eastAsiaTheme="minorHAnsi"/>
        </w:rPr>
        <w:sym w:font="Symbol" w:char="F062"/>
      </w:r>
      <w:r w:rsidR="005F1FB4" w:rsidRPr="00701004">
        <w:rPr>
          <w:rFonts w:eastAsiaTheme="minorHAnsi"/>
        </w:rPr>
        <w:t xml:space="preserve"> = -0.01, t = 1.50, </w:t>
      </w:r>
      <w:r w:rsidR="005F1FB4" w:rsidRPr="00701004">
        <w:rPr>
          <w:rFonts w:eastAsiaTheme="minorHAnsi"/>
          <w:i/>
        </w:rPr>
        <w:t>p</w:t>
      </w:r>
      <w:r w:rsidR="005F1FB4" w:rsidRPr="00701004">
        <w:rPr>
          <w:rFonts w:eastAsiaTheme="minorHAnsi"/>
        </w:rPr>
        <w:t xml:space="preserve"> = .14).</w:t>
      </w:r>
    </w:p>
    <w:p w14:paraId="493FF547" w14:textId="413A01E0" w:rsidR="002D6C70" w:rsidRPr="00701004" w:rsidRDefault="002D6C70" w:rsidP="002D6C70">
      <w:pPr>
        <w:autoSpaceDE w:val="0"/>
        <w:autoSpaceDN w:val="0"/>
        <w:adjustRightInd w:val="0"/>
        <w:spacing w:before="120" w:line="480" w:lineRule="auto"/>
        <w:rPr>
          <w:rFonts w:eastAsiaTheme="minorHAnsi"/>
          <w:b/>
        </w:rPr>
      </w:pPr>
      <w:r w:rsidRPr="00701004">
        <w:rPr>
          <w:rFonts w:eastAsiaTheme="minorHAnsi"/>
          <w:b/>
        </w:rPr>
        <w:t xml:space="preserve">Exploratory </w:t>
      </w:r>
      <w:r w:rsidR="00AE2886" w:rsidRPr="00701004">
        <w:rPr>
          <w:rFonts w:eastAsiaTheme="minorHAnsi"/>
          <w:b/>
        </w:rPr>
        <w:t>a</w:t>
      </w:r>
      <w:r w:rsidRPr="00701004">
        <w:rPr>
          <w:rFonts w:eastAsiaTheme="minorHAnsi"/>
          <w:b/>
        </w:rPr>
        <w:t xml:space="preserve">nalysis: </w:t>
      </w:r>
      <w:r w:rsidR="00CB758A" w:rsidRPr="00701004">
        <w:rPr>
          <w:rFonts w:eastAsiaTheme="minorHAnsi"/>
          <w:b/>
        </w:rPr>
        <w:t xml:space="preserve">Cognitive characteristics predict the capability, </w:t>
      </w:r>
      <w:proofErr w:type="gramStart"/>
      <w:r w:rsidR="00CB758A" w:rsidRPr="00701004">
        <w:rPr>
          <w:rFonts w:eastAsiaTheme="minorHAnsi"/>
          <w:b/>
        </w:rPr>
        <w:t>opportunity</w:t>
      </w:r>
      <w:proofErr w:type="gramEnd"/>
      <w:r w:rsidR="00CB758A" w:rsidRPr="00701004">
        <w:rPr>
          <w:rFonts w:eastAsiaTheme="minorHAnsi"/>
          <w:b/>
        </w:rPr>
        <w:t xml:space="preserve"> and motivation to engage in social distancing</w:t>
      </w:r>
      <w:r w:rsidRPr="00701004">
        <w:rPr>
          <w:rFonts w:eastAsiaTheme="minorHAnsi"/>
          <w:b/>
        </w:rPr>
        <w:t xml:space="preserve"> </w:t>
      </w:r>
    </w:p>
    <w:p w14:paraId="2A825B5B" w14:textId="6C2805B5" w:rsidR="00C012D9" w:rsidRPr="00701004" w:rsidRDefault="00C012D9" w:rsidP="00C012D9">
      <w:pPr>
        <w:autoSpaceDE w:val="0"/>
        <w:autoSpaceDN w:val="0"/>
        <w:adjustRightInd w:val="0"/>
        <w:spacing w:before="120" w:line="480" w:lineRule="auto"/>
        <w:ind w:firstLine="720"/>
        <w:jc w:val="both"/>
        <w:rPr>
          <w:rFonts w:eastAsiaTheme="minorHAnsi"/>
        </w:rPr>
      </w:pPr>
      <w:r w:rsidRPr="00701004">
        <w:rPr>
          <w:rFonts w:eastAsiaTheme="minorHAnsi"/>
        </w:rPr>
        <w:t>Following a prominent psychological model measuring the capability, opportunity and motivation to enact health behaviours (the COM-B model</w:t>
      </w:r>
      <w:r w:rsidRPr="00701004">
        <w:rPr>
          <w:rFonts w:eastAsiaTheme="minorHAnsi"/>
        </w:rPr>
        <w:fldChar w:fldCharType="begin" w:fldLock="1"/>
      </w:r>
      <w:r w:rsidR="00546949" w:rsidRPr="00701004">
        <w:rPr>
          <w:rFonts w:eastAsiaTheme="minorHAnsi"/>
        </w:rPr>
        <w:instrText xml:space="preserve"> ADDIN ZOTERO_ITEM CSL_CITATION {"citationID":"EFfDIYjg","properties":{"formattedCitation":"\\super 26\\nosupersub{}","plainCitation":"26","noteIndex":0},"citationItems":[{"id":"3dXyczz3/JYqDKCTm","uris":["http://www.mendeley.com/documents/?uuid=c9acf2e6-a2cd-3402-913b-14133b1ab4c9"],"uri":["http://www.mendeley.com/documents/?uuid=c9acf2e6-a2cd-3402-913b-14133b1ab4c9"],"itemData":{"DOI":"10.1186/1748-5908-6-42","ISSN":"17485908","PMID":"21513547","abstract":"Background: Improving the design and implementation of evidence-based practice depends on successful behaviour change interventions. This requires an appropriate method for characterising interventions and linking them to an analysis of the targeted behaviour. There exists a plethora of frameworks of behaviour change interventions, but it is not clear how well they serve this purpose. This paper evaluates these frameworks, and develops and evaluates a new framework aimed at overcoming their limitations.Methods: A systematic search of electronic databases and consultation with behaviour change experts were used to identify frameworks of behaviour change interventions. These were evaluated according to three criteria: comprehensiveness, coherence, and a clear link to an overarching model of behaviour. A new framework was developed to meet these criteria. The reliability with which it could be applied was examined in two domains of behaviour change: tobacco control and obesity.Results: Nineteen frameworks were identified covering nine intervention functions and seven policy categories that could enable those interventions. None of the frameworks reviewed covered the full range of intervention functions or policies, and only a minority met the criteria of coherence or linkage to a model of behaviour. At the centre of a proposed new framework is a 'behaviour system' involving three essential conditions: capability, opportunity, and motivation (what we term the 'COM-B system'). This forms the hub of a 'behaviour change wheel' (BCW) around which are positioned the nine intervention functions aimed at addressing deficits in one or more of these conditions; around this are placed seven categories of policy that could enable those interventions to occur. The BCW was used reliably to characterise interventions within the English Department of Health's 2010 tobacco control strategy and the National Institute of Health and Clinical Excellence's guidance on reducing obesity.Conclusions: Interventions and policies to change behaviour can be usefully characterised by means of a BCW comprising: a 'behaviour system' at the hub, encircled by intervention functions and then by policy categories. Research is needed to establish how far the BCW can lead to more efficient design of effective interventions. © 2011 Michie et al; licensee BioMed Central Ltd.","author":[{"dropping-particle":"","family":"Michie","given":"Susan","non-dropping-particle":"","parse-names":false,"suffix":""},{"dropping-particle":"","family":"Stralen","given":"Maartje M.","non-dropping-particle":"van","parse-names":false,"suffix":""},{"dropping-particle":"","family":"West","given":"Robert","non-dropping-particle":"","parse-names":false,"suffix":""}],"container-title":"Implementation Science","id":"ITEM-1","issue":"1","issued":{"date-parts":[["2011","4","23"]]},"page":"42","publisher":"BioMed Central","title":"The behaviour change wheel: A new method for characterising and designing behaviour change interventions","type":"article-journal","volume":"6"}}],"schema":"https://github.com/citation-style-language/schema/raw/master/csl-citation.json"} </w:instrText>
      </w:r>
      <w:r w:rsidRPr="00701004">
        <w:rPr>
          <w:rFonts w:eastAsiaTheme="minorHAnsi"/>
        </w:rPr>
        <w:fldChar w:fldCharType="separate"/>
      </w:r>
      <w:r w:rsidR="00546949" w:rsidRPr="00701004">
        <w:rPr>
          <w:vertAlign w:val="superscript"/>
        </w:rPr>
        <w:t>26</w:t>
      </w:r>
      <w:r w:rsidRPr="00701004">
        <w:rPr>
          <w:rFonts w:eastAsiaTheme="minorHAnsi"/>
        </w:rPr>
        <w:fldChar w:fldCharType="end"/>
      </w:r>
      <w:r w:rsidRPr="00701004">
        <w:rPr>
          <w:rFonts w:eastAsiaTheme="minorHAnsi"/>
        </w:rPr>
        <w:t xml:space="preserve">), we sought to examine whether </w:t>
      </w:r>
      <w:r w:rsidRPr="00701004">
        <w:rPr>
          <w:rFonts w:eastAsiaTheme="minorHAnsi"/>
        </w:rPr>
        <w:lastRenderedPageBreak/>
        <w:t xml:space="preserve">task parameters predicted individuals’ ability to sustain social distancing across the early acute (T1; see Methods) and established (T2) stages of the pandemic. We first tested whether these parameters predicted appraisals of social distancing at T2, and then examined change in appraisals (T2 – T1; see Supplementary </w:t>
      </w:r>
      <w:r w:rsidR="00945598" w:rsidRPr="00701004">
        <w:rPr>
          <w:rFonts w:eastAsiaTheme="minorHAnsi"/>
        </w:rPr>
        <w:t>T</w:t>
      </w:r>
      <w:r w:rsidRPr="00701004">
        <w:rPr>
          <w:rFonts w:eastAsiaTheme="minorHAnsi"/>
        </w:rPr>
        <w:t xml:space="preserve">able </w:t>
      </w:r>
      <w:r w:rsidR="007037BE" w:rsidRPr="00701004">
        <w:rPr>
          <w:rFonts w:eastAsiaTheme="minorHAnsi"/>
        </w:rPr>
        <w:t>8</w:t>
      </w:r>
      <w:r w:rsidR="00DC1759" w:rsidRPr="00701004">
        <w:rPr>
          <w:rFonts w:eastAsiaTheme="minorHAnsi"/>
        </w:rPr>
        <w:t>)</w:t>
      </w:r>
      <w:r w:rsidRPr="00701004">
        <w:rPr>
          <w:rFonts w:eastAsiaTheme="minorHAnsi"/>
        </w:rPr>
        <w:t xml:space="preserve">. Task parameters along with age, gender and income were entered as predictors of self-reported </w:t>
      </w:r>
      <w:r w:rsidRPr="00701004">
        <w:rPr>
          <w:rFonts w:eastAsiaTheme="minorHAnsi"/>
          <w:i/>
        </w:rPr>
        <w:t xml:space="preserve">capability, </w:t>
      </w:r>
      <w:proofErr w:type="gramStart"/>
      <w:r w:rsidRPr="00701004">
        <w:rPr>
          <w:rFonts w:eastAsiaTheme="minorHAnsi"/>
          <w:i/>
        </w:rPr>
        <w:t>opportunity</w:t>
      </w:r>
      <w:proofErr w:type="gramEnd"/>
      <w:r w:rsidRPr="00701004">
        <w:rPr>
          <w:rFonts w:eastAsiaTheme="minorHAnsi"/>
        </w:rPr>
        <w:t xml:space="preserve"> and </w:t>
      </w:r>
      <w:r w:rsidRPr="00701004">
        <w:rPr>
          <w:rFonts w:eastAsiaTheme="minorHAnsi"/>
          <w:i/>
        </w:rPr>
        <w:t>motivation</w:t>
      </w:r>
      <w:r w:rsidRPr="00701004">
        <w:rPr>
          <w:rFonts w:eastAsiaTheme="minorHAnsi"/>
        </w:rPr>
        <w:t xml:space="preserve"> to engage in social distancing. </w:t>
      </w:r>
    </w:p>
    <w:p w14:paraId="5C6278DB" w14:textId="11015080" w:rsidR="00D421CC" w:rsidRPr="00701004" w:rsidRDefault="00D421CC" w:rsidP="00C27CEC">
      <w:pPr>
        <w:autoSpaceDE w:val="0"/>
        <w:autoSpaceDN w:val="0"/>
        <w:adjustRightInd w:val="0"/>
        <w:spacing w:before="120" w:line="480" w:lineRule="auto"/>
        <w:ind w:firstLine="720"/>
        <w:jc w:val="both"/>
        <w:rPr>
          <w:rFonts w:eastAsiaTheme="minorHAnsi"/>
        </w:rPr>
      </w:pPr>
      <w:r w:rsidRPr="00701004">
        <w:rPr>
          <w:rFonts w:eastAsiaTheme="minorHAnsi"/>
        </w:rPr>
        <w:t>At the established phase of the pandemic (T2), steeper delay discounting, but not magnitude effect (</w:t>
      </w:r>
      <w:proofErr w:type="spellStart"/>
      <w:r w:rsidRPr="00701004">
        <w:rPr>
          <w:rFonts w:eastAsiaTheme="minorHAnsi"/>
          <w:i/>
          <w:iCs/>
        </w:rPr>
        <w:t>p</w:t>
      </w:r>
      <w:r w:rsidR="003E1120" w:rsidRPr="00701004">
        <w:rPr>
          <w:rFonts w:eastAsiaTheme="minorHAnsi"/>
          <w:i/>
          <w:iCs/>
        </w:rPr>
        <w:t>s</w:t>
      </w:r>
      <w:proofErr w:type="spellEnd"/>
      <w:r w:rsidRPr="00701004">
        <w:rPr>
          <w:rFonts w:eastAsiaTheme="minorHAnsi"/>
        </w:rPr>
        <w:t xml:space="preserve"> ≥ .666), predicted higher perceived capability (</w:t>
      </w:r>
      <w:r w:rsidRPr="00701004">
        <w:rPr>
          <w:rFonts w:eastAsiaTheme="minorHAnsi"/>
        </w:rPr>
        <w:sym w:font="Symbol" w:char="F062"/>
      </w:r>
      <w:r w:rsidRPr="00701004">
        <w:rPr>
          <w:rFonts w:eastAsiaTheme="minorHAnsi"/>
        </w:rPr>
        <w:t xml:space="preserve"> = -.124, t = -2.49,</w:t>
      </w:r>
      <w:r w:rsidR="00440A32" w:rsidRPr="00701004">
        <w:rPr>
          <w:rFonts w:eastAsiaTheme="minorHAnsi"/>
        </w:rPr>
        <w:t xml:space="preserve"> </w:t>
      </w:r>
      <w:r w:rsidR="00440A32" w:rsidRPr="00701004">
        <w:rPr>
          <w:rFonts w:eastAsiaTheme="minorHAnsi"/>
          <w:i/>
          <w:iCs/>
        </w:rPr>
        <w:t xml:space="preserve">p </w:t>
      </w:r>
      <w:r w:rsidR="00440A32" w:rsidRPr="00701004">
        <w:rPr>
          <w:rFonts w:eastAsiaTheme="minorHAnsi"/>
        </w:rPr>
        <w:t>= .</w:t>
      </w:r>
      <w:r w:rsidR="0012533D" w:rsidRPr="00701004">
        <w:rPr>
          <w:rFonts w:eastAsiaTheme="minorHAnsi"/>
        </w:rPr>
        <w:t>013,</w:t>
      </w:r>
      <w:r w:rsidRPr="00701004">
        <w:rPr>
          <w:rFonts w:eastAsiaTheme="minorHAnsi"/>
        </w:rPr>
        <w:t xml:space="preserve"> </w:t>
      </w:r>
      <w:proofErr w:type="spellStart"/>
      <w:r w:rsidRPr="00701004">
        <w:rPr>
          <w:rFonts w:eastAsiaTheme="minorHAnsi"/>
          <w:i/>
        </w:rPr>
        <w:t>p</w:t>
      </w:r>
      <w:r w:rsidR="00440A32" w:rsidRPr="00701004">
        <w:rPr>
          <w:rFonts w:eastAsiaTheme="minorHAnsi"/>
          <w:i/>
          <w:vertAlign w:val="subscript"/>
        </w:rPr>
        <w:t>bonf</w:t>
      </w:r>
      <w:proofErr w:type="spellEnd"/>
      <w:r w:rsidRPr="00701004">
        <w:rPr>
          <w:rFonts w:eastAsiaTheme="minorHAnsi"/>
        </w:rPr>
        <w:t xml:space="preserve"> = .0</w:t>
      </w:r>
      <w:r w:rsidR="003E1120" w:rsidRPr="00701004">
        <w:rPr>
          <w:rFonts w:eastAsiaTheme="minorHAnsi"/>
        </w:rPr>
        <w:t>39</w:t>
      </w:r>
      <w:r w:rsidRPr="00701004">
        <w:rPr>
          <w:rFonts w:eastAsiaTheme="minorHAnsi"/>
        </w:rPr>
        <w:t>)</w:t>
      </w:r>
      <w:r w:rsidR="003E1120" w:rsidRPr="00701004">
        <w:rPr>
          <w:rFonts w:eastAsiaTheme="minorHAnsi"/>
        </w:rPr>
        <w:t xml:space="preserve"> </w:t>
      </w:r>
      <w:r w:rsidR="0012533D" w:rsidRPr="00701004">
        <w:rPr>
          <w:rFonts w:eastAsiaTheme="minorHAnsi"/>
        </w:rPr>
        <w:t xml:space="preserve">and </w:t>
      </w:r>
      <w:r w:rsidRPr="00701004">
        <w:rPr>
          <w:rFonts w:eastAsiaTheme="minorHAnsi"/>
        </w:rPr>
        <w:t>motivation (</w:t>
      </w:r>
      <w:r w:rsidRPr="00701004">
        <w:rPr>
          <w:rFonts w:eastAsiaTheme="minorHAnsi"/>
        </w:rPr>
        <w:sym w:font="Symbol" w:char="F062"/>
      </w:r>
      <w:r w:rsidRPr="00701004">
        <w:rPr>
          <w:rFonts w:eastAsiaTheme="minorHAnsi"/>
        </w:rPr>
        <w:t xml:space="preserve"> = -.074, t = -2.35, </w:t>
      </w:r>
      <w:r w:rsidRPr="00701004">
        <w:rPr>
          <w:rFonts w:eastAsiaTheme="minorHAnsi"/>
          <w:i/>
        </w:rPr>
        <w:t>p</w:t>
      </w:r>
      <w:r w:rsidRPr="00701004">
        <w:rPr>
          <w:rFonts w:eastAsiaTheme="minorHAnsi"/>
        </w:rPr>
        <w:t xml:space="preserve"> = .0</w:t>
      </w:r>
      <w:r w:rsidR="0012533D" w:rsidRPr="00701004">
        <w:rPr>
          <w:rFonts w:eastAsiaTheme="minorHAnsi"/>
        </w:rPr>
        <w:t>19</w:t>
      </w:r>
      <w:r w:rsidRPr="00701004">
        <w:rPr>
          <w:rFonts w:eastAsiaTheme="minorHAnsi"/>
        </w:rPr>
        <w:t>)</w:t>
      </w:r>
      <w:r w:rsidR="00C27CEC" w:rsidRPr="00701004">
        <w:rPr>
          <w:rFonts w:eastAsiaTheme="minorHAnsi"/>
        </w:rPr>
        <w:t xml:space="preserve"> to enact social distancing</w:t>
      </w:r>
      <w:r w:rsidR="0012533D" w:rsidRPr="00701004">
        <w:rPr>
          <w:rFonts w:eastAsiaTheme="minorHAnsi"/>
        </w:rPr>
        <w:t xml:space="preserve">, though </w:t>
      </w:r>
      <w:r w:rsidR="00C27CEC" w:rsidRPr="00701004">
        <w:rPr>
          <w:rFonts w:eastAsiaTheme="minorHAnsi"/>
        </w:rPr>
        <w:t xml:space="preserve">the motivation subscale was no longer significant after </w:t>
      </w:r>
      <w:r w:rsidR="0012533D" w:rsidRPr="00701004">
        <w:rPr>
          <w:rFonts w:eastAsiaTheme="minorHAnsi"/>
        </w:rPr>
        <w:t>correcti</w:t>
      </w:r>
      <w:r w:rsidR="00C27CEC" w:rsidRPr="00701004">
        <w:rPr>
          <w:rFonts w:eastAsiaTheme="minorHAnsi"/>
        </w:rPr>
        <w:t>ng</w:t>
      </w:r>
      <w:r w:rsidR="0012533D" w:rsidRPr="00701004">
        <w:rPr>
          <w:rFonts w:eastAsiaTheme="minorHAnsi"/>
        </w:rPr>
        <w:t xml:space="preserve"> for multiple comparisons (</w:t>
      </w:r>
      <w:proofErr w:type="spellStart"/>
      <w:r w:rsidR="0012533D" w:rsidRPr="00701004">
        <w:rPr>
          <w:rFonts w:eastAsiaTheme="minorHAnsi"/>
          <w:i/>
          <w:iCs/>
        </w:rPr>
        <w:t>p</w:t>
      </w:r>
      <w:r w:rsidR="0012533D" w:rsidRPr="00701004">
        <w:rPr>
          <w:rFonts w:eastAsiaTheme="minorHAnsi"/>
          <w:i/>
          <w:iCs/>
          <w:vertAlign w:val="subscript"/>
        </w:rPr>
        <w:t>bonf</w:t>
      </w:r>
      <w:proofErr w:type="spellEnd"/>
      <w:r w:rsidR="0012533D" w:rsidRPr="00701004">
        <w:rPr>
          <w:rFonts w:eastAsiaTheme="minorHAnsi"/>
          <w:i/>
          <w:iCs/>
        </w:rPr>
        <w:t xml:space="preserve"> </w:t>
      </w:r>
      <w:r w:rsidR="0012533D" w:rsidRPr="00701004">
        <w:rPr>
          <w:rFonts w:eastAsiaTheme="minorHAnsi"/>
        </w:rPr>
        <w:t xml:space="preserve">= .057). </w:t>
      </w:r>
      <w:r w:rsidR="00C27CEC" w:rsidRPr="00701004">
        <w:rPr>
          <w:rFonts w:eastAsiaTheme="minorHAnsi"/>
        </w:rPr>
        <w:t xml:space="preserve">Baseline discounting did not predict </w:t>
      </w:r>
      <w:r w:rsidRPr="00701004">
        <w:rPr>
          <w:rFonts w:eastAsiaTheme="minorHAnsi"/>
        </w:rPr>
        <w:t>opportunity (</w:t>
      </w:r>
      <w:r w:rsidRPr="00701004">
        <w:rPr>
          <w:rFonts w:eastAsiaTheme="minorHAnsi"/>
        </w:rPr>
        <w:sym w:font="Symbol" w:char="F062"/>
      </w:r>
      <w:r w:rsidRPr="00701004">
        <w:rPr>
          <w:rFonts w:eastAsiaTheme="minorHAnsi"/>
        </w:rPr>
        <w:t xml:space="preserve"> = -.113, t = -2.17, </w:t>
      </w:r>
      <w:r w:rsidRPr="00701004">
        <w:rPr>
          <w:rFonts w:eastAsiaTheme="minorHAnsi"/>
          <w:i/>
        </w:rPr>
        <w:t>p</w:t>
      </w:r>
      <w:r w:rsidRPr="00701004">
        <w:rPr>
          <w:rFonts w:eastAsiaTheme="minorHAnsi"/>
        </w:rPr>
        <w:t xml:space="preserve"> = .0</w:t>
      </w:r>
      <w:r w:rsidR="003E1120" w:rsidRPr="00701004">
        <w:rPr>
          <w:rFonts w:eastAsiaTheme="minorHAnsi"/>
        </w:rPr>
        <w:t>93</w:t>
      </w:r>
      <w:r w:rsidRPr="00701004">
        <w:rPr>
          <w:rFonts w:eastAsiaTheme="minorHAnsi"/>
        </w:rPr>
        <w:t>) to enact social distancing. Faster learning rate also predicted higher perceived capability (</w:t>
      </w:r>
      <w:r w:rsidRPr="00701004">
        <w:rPr>
          <w:rFonts w:eastAsiaTheme="minorHAnsi"/>
        </w:rPr>
        <w:sym w:font="Symbol" w:char="F062"/>
      </w:r>
      <w:r w:rsidRPr="00701004">
        <w:rPr>
          <w:rFonts w:eastAsiaTheme="minorHAnsi"/>
        </w:rPr>
        <w:t xml:space="preserve"> = .19, t = 3.87,</w:t>
      </w:r>
      <w:r w:rsidR="00C27CEC" w:rsidRPr="00701004">
        <w:rPr>
          <w:rFonts w:eastAsiaTheme="minorHAnsi"/>
        </w:rPr>
        <w:t xml:space="preserve"> </w:t>
      </w:r>
      <w:r w:rsidR="00C27CEC" w:rsidRPr="00701004">
        <w:rPr>
          <w:rFonts w:eastAsiaTheme="minorHAnsi"/>
          <w:i/>
          <w:iCs/>
        </w:rPr>
        <w:t xml:space="preserve">p </w:t>
      </w:r>
      <w:r w:rsidR="00C27CEC" w:rsidRPr="00701004">
        <w:rPr>
          <w:rFonts w:eastAsiaTheme="minorHAnsi"/>
        </w:rPr>
        <w:t>= .001,</w:t>
      </w:r>
      <w:r w:rsidRPr="00701004">
        <w:rPr>
          <w:rFonts w:eastAsiaTheme="minorHAnsi"/>
        </w:rPr>
        <w:t xml:space="preserve"> </w:t>
      </w:r>
      <w:proofErr w:type="spellStart"/>
      <w:r w:rsidRPr="00701004">
        <w:rPr>
          <w:rFonts w:eastAsiaTheme="minorHAnsi"/>
          <w:i/>
        </w:rPr>
        <w:t>p</w:t>
      </w:r>
      <w:r w:rsidR="00C27CEC" w:rsidRPr="00701004">
        <w:rPr>
          <w:rFonts w:eastAsiaTheme="minorHAnsi"/>
          <w:i/>
          <w:vertAlign w:val="subscript"/>
        </w:rPr>
        <w:t>bonf</w:t>
      </w:r>
      <w:proofErr w:type="spellEnd"/>
      <w:r w:rsidRPr="00701004">
        <w:rPr>
          <w:rFonts w:eastAsiaTheme="minorHAnsi"/>
        </w:rPr>
        <w:t xml:space="preserve"> </w:t>
      </w:r>
      <w:r w:rsidR="009849EE" w:rsidRPr="00701004">
        <w:rPr>
          <w:rFonts w:eastAsiaTheme="minorHAnsi"/>
        </w:rPr>
        <w:t xml:space="preserve">= </w:t>
      </w:r>
      <w:r w:rsidRPr="00701004">
        <w:rPr>
          <w:rFonts w:eastAsiaTheme="minorHAnsi"/>
        </w:rPr>
        <w:t>.00</w:t>
      </w:r>
      <w:r w:rsidR="009849EE" w:rsidRPr="00701004">
        <w:rPr>
          <w:rFonts w:eastAsiaTheme="minorHAnsi"/>
        </w:rPr>
        <w:t>3</w:t>
      </w:r>
      <w:r w:rsidRPr="00701004">
        <w:rPr>
          <w:rFonts w:eastAsiaTheme="minorHAnsi"/>
        </w:rPr>
        <w:t>) and motivation (</w:t>
      </w:r>
      <w:r w:rsidRPr="00701004">
        <w:rPr>
          <w:rFonts w:eastAsiaTheme="minorHAnsi"/>
        </w:rPr>
        <w:sym w:font="Symbol" w:char="F062"/>
      </w:r>
      <w:r w:rsidRPr="00701004">
        <w:rPr>
          <w:rFonts w:eastAsiaTheme="minorHAnsi"/>
        </w:rPr>
        <w:t xml:space="preserve"> = .14, t = 2.81,</w:t>
      </w:r>
      <w:r w:rsidR="00C27CEC" w:rsidRPr="00701004">
        <w:rPr>
          <w:rFonts w:eastAsiaTheme="minorHAnsi"/>
        </w:rPr>
        <w:t xml:space="preserve"> </w:t>
      </w:r>
      <w:r w:rsidR="00C27CEC" w:rsidRPr="00701004">
        <w:rPr>
          <w:rFonts w:eastAsiaTheme="minorHAnsi"/>
          <w:i/>
          <w:iCs/>
        </w:rPr>
        <w:t xml:space="preserve">p </w:t>
      </w:r>
      <w:r w:rsidR="00C27CEC" w:rsidRPr="00701004">
        <w:rPr>
          <w:rFonts w:eastAsiaTheme="minorHAnsi"/>
        </w:rPr>
        <w:t>= .005,</w:t>
      </w:r>
      <w:r w:rsidRPr="00701004">
        <w:rPr>
          <w:rFonts w:eastAsiaTheme="minorHAnsi"/>
        </w:rPr>
        <w:t xml:space="preserve"> </w:t>
      </w:r>
      <w:proofErr w:type="spellStart"/>
      <w:r w:rsidRPr="00701004">
        <w:rPr>
          <w:rFonts w:eastAsiaTheme="minorHAnsi"/>
          <w:i/>
        </w:rPr>
        <w:t>p</w:t>
      </w:r>
      <w:r w:rsidR="00C27CEC" w:rsidRPr="00701004">
        <w:rPr>
          <w:rFonts w:eastAsiaTheme="minorHAnsi"/>
          <w:i/>
          <w:vertAlign w:val="subscript"/>
        </w:rPr>
        <w:t>bonf</w:t>
      </w:r>
      <w:proofErr w:type="spellEnd"/>
      <w:r w:rsidRPr="00701004">
        <w:rPr>
          <w:rFonts w:eastAsiaTheme="minorHAnsi"/>
        </w:rPr>
        <w:t xml:space="preserve"> = .0</w:t>
      </w:r>
      <w:r w:rsidR="009849EE" w:rsidRPr="00701004">
        <w:rPr>
          <w:rFonts w:eastAsiaTheme="minorHAnsi"/>
        </w:rPr>
        <w:t>1</w:t>
      </w:r>
      <w:r w:rsidRPr="00701004">
        <w:rPr>
          <w:rFonts w:eastAsiaTheme="minorHAnsi"/>
        </w:rPr>
        <w:t xml:space="preserve">5) to </w:t>
      </w:r>
      <w:r w:rsidR="00BC726B" w:rsidRPr="00701004">
        <w:rPr>
          <w:rFonts w:eastAsiaTheme="minorHAnsi"/>
        </w:rPr>
        <w:t>enact</w:t>
      </w:r>
      <w:r w:rsidRPr="00701004">
        <w:rPr>
          <w:rFonts w:eastAsiaTheme="minorHAnsi"/>
        </w:rPr>
        <w:t xml:space="preserve"> social distancing independently of delay discounting (see Figure </w:t>
      </w:r>
      <w:r w:rsidR="00EC4E5C" w:rsidRPr="00701004">
        <w:rPr>
          <w:rFonts w:eastAsiaTheme="minorHAnsi"/>
        </w:rPr>
        <w:t>3)</w:t>
      </w:r>
      <w:r w:rsidR="00DC7A38" w:rsidRPr="00701004">
        <w:rPr>
          <w:rFonts w:eastAsiaTheme="minorHAnsi"/>
        </w:rPr>
        <w:t xml:space="preserve"> but</w:t>
      </w:r>
      <w:r w:rsidRPr="00701004">
        <w:rPr>
          <w:rFonts w:eastAsiaTheme="minorHAnsi"/>
        </w:rPr>
        <w:t xml:space="preserve"> </w:t>
      </w:r>
      <w:r w:rsidR="009849EE" w:rsidRPr="00701004">
        <w:t>learning rate did not predict opportunity to engage in social distancing (</w:t>
      </w:r>
      <w:r w:rsidR="009849EE" w:rsidRPr="00701004">
        <w:rPr>
          <w:rFonts w:eastAsiaTheme="minorHAnsi"/>
        </w:rPr>
        <w:sym w:font="Symbol" w:char="F062"/>
      </w:r>
      <w:r w:rsidR="009849EE" w:rsidRPr="00701004">
        <w:rPr>
          <w:rFonts w:eastAsiaTheme="minorHAnsi"/>
        </w:rPr>
        <w:t xml:space="preserve"> = .08, t = 1.65, </w:t>
      </w:r>
      <w:r w:rsidR="009849EE" w:rsidRPr="00701004">
        <w:rPr>
          <w:rFonts w:eastAsiaTheme="minorHAnsi"/>
          <w:i/>
        </w:rPr>
        <w:t>p</w:t>
      </w:r>
      <w:r w:rsidR="009849EE" w:rsidRPr="00701004">
        <w:rPr>
          <w:rFonts w:eastAsiaTheme="minorHAnsi"/>
        </w:rPr>
        <w:t xml:space="preserve"> = .297). </w:t>
      </w:r>
    </w:p>
    <w:p w14:paraId="48C34B1D" w14:textId="0766E964" w:rsidR="00D421CC" w:rsidRPr="00701004" w:rsidRDefault="00CE5F5A" w:rsidP="00D421CC">
      <w:pPr>
        <w:autoSpaceDE w:val="0"/>
        <w:autoSpaceDN w:val="0"/>
        <w:adjustRightInd w:val="0"/>
        <w:spacing w:before="120" w:line="480" w:lineRule="auto"/>
        <w:rPr>
          <w:rFonts w:eastAsiaTheme="minorHAnsi"/>
        </w:rPr>
      </w:pPr>
      <w:r w:rsidRPr="00701004">
        <w:rPr>
          <w:noProof/>
        </w:rPr>
        <w:lastRenderedPageBreak/>
        <w:drawing>
          <wp:inline distT="0" distB="0" distL="0" distR="0" wp14:anchorId="76FC08AD" wp14:editId="4FD3E3EF">
            <wp:extent cx="5864798" cy="5076825"/>
            <wp:effectExtent l="0" t="0" r="3175"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5021"/>
                    <a:stretch/>
                  </pic:blipFill>
                  <pic:spPr bwMode="auto">
                    <a:xfrm>
                      <a:off x="0" y="0"/>
                      <a:ext cx="5867431" cy="5079104"/>
                    </a:xfrm>
                    <a:prstGeom prst="rect">
                      <a:avLst/>
                    </a:prstGeom>
                    <a:noFill/>
                    <a:ln>
                      <a:noFill/>
                    </a:ln>
                    <a:extLst>
                      <a:ext uri="{53640926-AAD7-44D8-BBD7-CCE9431645EC}">
                        <a14:shadowObscured xmlns:a14="http://schemas.microsoft.com/office/drawing/2010/main"/>
                      </a:ext>
                    </a:extLst>
                  </pic:spPr>
                </pic:pic>
              </a:graphicData>
            </a:graphic>
          </wp:inline>
        </w:drawing>
      </w:r>
    </w:p>
    <w:p w14:paraId="07258469" w14:textId="6CB8CDEC" w:rsidR="00D421CC" w:rsidRPr="00701004" w:rsidRDefault="00D421CC" w:rsidP="00CE5F5A">
      <w:pPr>
        <w:autoSpaceDE w:val="0"/>
        <w:autoSpaceDN w:val="0"/>
        <w:adjustRightInd w:val="0"/>
        <w:spacing w:before="120" w:line="480" w:lineRule="auto"/>
        <w:jc w:val="both"/>
      </w:pPr>
      <w:r w:rsidRPr="00701004">
        <w:t xml:space="preserve">Figure </w:t>
      </w:r>
      <w:r w:rsidR="0023068A" w:rsidRPr="00701004">
        <w:t>3</w:t>
      </w:r>
      <w:r w:rsidRPr="00701004">
        <w:t>.</w:t>
      </w:r>
      <w:r w:rsidRPr="00701004">
        <w:rPr>
          <w:b/>
        </w:rPr>
        <w:t xml:space="preserve"> A)</w:t>
      </w:r>
      <w:r w:rsidRPr="00701004">
        <w:t xml:space="preserve"> </w:t>
      </w:r>
      <w:r w:rsidRPr="00701004">
        <w:rPr>
          <w:rFonts w:eastAsiaTheme="minorHAnsi"/>
        </w:rPr>
        <w:t>Steeper delay discounting predict</w:t>
      </w:r>
      <w:r w:rsidR="00E20155" w:rsidRPr="00701004">
        <w:rPr>
          <w:rFonts w:eastAsiaTheme="minorHAnsi"/>
        </w:rPr>
        <w:t>ed</w:t>
      </w:r>
      <w:r w:rsidRPr="00701004">
        <w:rPr>
          <w:rFonts w:eastAsiaTheme="minorHAnsi"/>
        </w:rPr>
        <w:t xml:space="preserve"> higher levels of self-reported </w:t>
      </w:r>
      <w:r w:rsidR="00CE5F5A" w:rsidRPr="00701004">
        <w:rPr>
          <w:rFonts w:eastAsiaTheme="minorHAnsi"/>
        </w:rPr>
        <w:t>capability</w:t>
      </w:r>
      <w:r w:rsidRPr="00701004">
        <w:rPr>
          <w:rFonts w:eastAsiaTheme="minorHAnsi"/>
        </w:rPr>
        <w:t xml:space="preserve"> </w:t>
      </w:r>
      <w:r w:rsidR="00DC1759" w:rsidRPr="00701004">
        <w:rPr>
          <w:rFonts w:eastAsiaTheme="minorHAnsi"/>
        </w:rPr>
        <w:t>to enact</w:t>
      </w:r>
      <w:r w:rsidRPr="00701004">
        <w:rPr>
          <w:rFonts w:eastAsiaTheme="minorHAnsi"/>
        </w:rPr>
        <w:t xml:space="preserve"> social distancing during the established phase of the pandemic (T2). </w:t>
      </w:r>
      <w:r w:rsidRPr="00701004">
        <w:rPr>
          <w:rFonts w:eastAsiaTheme="minorHAnsi"/>
          <w:b/>
        </w:rPr>
        <w:t>B)</w:t>
      </w:r>
      <w:r w:rsidRPr="00701004">
        <w:rPr>
          <w:rFonts w:eastAsiaTheme="minorHAnsi"/>
        </w:rPr>
        <w:t xml:space="preserve"> </w:t>
      </w:r>
      <w:r w:rsidR="00E20155" w:rsidRPr="00701004">
        <w:t>Lower</w:t>
      </w:r>
      <w:r w:rsidRPr="00701004">
        <w:t xml:space="preserve"> learning rate predict</w:t>
      </w:r>
      <w:r w:rsidR="00E20155" w:rsidRPr="00701004">
        <w:t>ed</w:t>
      </w:r>
      <w:r w:rsidRPr="00701004">
        <w:t xml:space="preserve"> </w:t>
      </w:r>
      <w:r w:rsidR="00E20155" w:rsidRPr="00701004">
        <w:t>lower</w:t>
      </w:r>
      <w:r w:rsidRPr="00701004">
        <w:t xml:space="preserve"> levels of self-reported </w:t>
      </w:r>
      <w:r w:rsidR="00CE5F5A" w:rsidRPr="00701004">
        <w:t>capability</w:t>
      </w:r>
      <w:r w:rsidRPr="00701004">
        <w:t xml:space="preserve"> for social distancing during the established phase of the pandemic (T2).</w:t>
      </w:r>
      <w:r w:rsidR="00CE5F5A" w:rsidRPr="00701004">
        <w:t xml:space="preserve"> </w:t>
      </w:r>
      <w:r w:rsidR="00CE5F5A" w:rsidRPr="00701004">
        <w:rPr>
          <w:b/>
          <w:bCs/>
        </w:rPr>
        <w:t xml:space="preserve">C) </w:t>
      </w:r>
      <w:r w:rsidR="00CE5F5A" w:rsidRPr="00701004">
        <w:t>Higher learning rate</w:t>
      </w:r>
      <w:r w:rsidR="007F4672" w:rsidRPr="00701004">
        <w:t xml:space="preserve"> also</w:t>
      </w:r>
      <w:r w:rsidR="00CE5F5A" w:rsidRPr="00701004">
        <w:t xml:space="preserve"> predict</w:t>
      </w:r>
      <w:r w:rsidR="007F4672" w:rsidRPr="00701004">
        <w:t>ed</w:t>
      </w:r>
      <w:r w:rsidR="00CE5F5A" w:rsidRPr="00701004">
        <w:t xml:space="preserve"> higher levels of self-reported motivation for social distancing.</w:t>
      </w:r>
      <w:r w:rsidR="00403ABE" w:rsidRPr="00701004">
        <w:t xml:space="preserve"> </w:t>
      </w:r>
      <w:r w:rsidR="00403ABE" w:rsidRPr="00701004">
        <w:rPr>
          <w:rFonts w:eastAsiaTheme="minorHAnsi"/>
        </w:rPr>
        <w:t xml:space="preserve">Regression lines are highlighted in blue.  </w:t>
      </w:r>
    </w:p>
    <w:p w14:paraId="455560B3" w14:textId="7AA872EA" w:rsidR="00D421CC" w:rsidRPr="00701004" w:rsidRDefault="00D421CC" w:rsidP="00D421CC">
      <w:pPr>
        <w:autoSpaceDE w:val="0"/>
        <w:autoSpaceDN w:val="0"/>
        <w:adjustRightInd w:val="0"/>
        <w:spacing w:before="120" w:line="480" w:lineRule="auto"/>
        <w:ind w:firstLine="720"/>
        <w:jc w:val="both"/>
        <w:rPr>
          <w:rFonts w:eastAsiaTheme="minorHAnsi"/>
        </w:rPr>
      </w:pPr>
      <w:r w:rsidRPr="00701004">
        <w:rPr>
          <w:rFonts w:eastAsiaTheme="minorHAnsi"/>
        </w:rPr>
        <w:t>To examine predictors of changes to appraisals of social distancing between the early and established phase of the pandemic, we calculated change scores in the COM-B subscales (T2 – T1). To account for baseline differences, scores at T1 were entered at a subsequent step.</w:t>
      </w:r>
      <w:r w:rsidR="007643B7" w:rsidRPr="00701004">
        <w:rPr>
          <w:rFonts w:eastAsiaTheme="minorHAnsi"/>
        </w:rPr>
        <w:t xml:space="preserve"> </w:t>
      </w:r>
      <w:r w:rsidRPr="00701004">
        <w:rPr>
          <w:rFonts w:eastAsiaTheme="minorHAnsi"/>
        </w:rPr>
        <w:t>Higher sensitivity to reward magnitude, but not delay discounting slope (</w:t>
      </w:r>
      <w:proofErr w:type="spellStart"/>
      <w:r w:rsidRPr="00701004">
        <w:rPr>
          <w:rFonts w:eastAsiaTheme="minorHAnsi"/>
          <w:i/>
        </w:rPr>
        <w:t>p</w:t>
      </w:r>
      <w:r w:rsidR="00764D7C" w:rsidRPr="00701004">
        <w:rPr>
          <w:rFonts w:eastAsiaTheme="minorHAnsi"/>
          <w:i/>
        </w:rPr>
        <w:t>s</w:t>
      </w:r>
      <w:proofErr w:type="spellEnd"/>
      <w:r w:rsidRPr="00701004">
        <w:rPr>
          <w:rFonts w:eastAsiaTheme="minorHAnsi"/>
        </w:rPr>
        <w:t xml:space="preserve"> ≥ .316) predicted a greater reduction in perceived opportunity (</w:t>
      </w:r>
      <w:r w:rsidRPr="00701004">
        <w:rPr>
          <w:rFonts w:eastAsiaTheme="minorHAnsi"/>
        </w:rPr>
        <w:sym w:font="Symbol" w:char="F062"/>
      </w:r>
      <w:r w:rsidRPr="00701004">
        <w:rPr>
          <w:rFonts w:eastAsiaTheme="minorHAnsi"/>
        </w:rPr>
        <w:t xml:space="preserve"> = .165, t = 2.93,</w:t>
      </w:r>
      <w:r w:rsidR="00184D4B" w:rsidRPr="00701004">
        <w:rPr>
          <w:rFonts w:eastAsiaTheme="minorHAnsi"/>
        </w:rPr>
        <w:t xml:space="preserve"> </w:t>
      </w:r>
      <w:r w:rsidR="00184D4B" w:rsidRPr="00701004">
        <w:rPr>
          <w:rFonts w:eastAsiaTheme="minorHAnsi"/>
          <w:i/>
          <w:iCs/>
        </w:rPr>
        <w:t xml:space="preserve">p </w:t>
      </w:r>
      <w:r w:rsidR="00184D4B" w:rsidRPr="00701004">
        <w:rPr>
          <w:rFonts w:eastAsiaTheme="minorHAnsi"/>
        </w:rPr>
        <w:t>= .004,</w:t>
      </w:r>
      <w:r w:rsidRPr="00701004">
        <w:rPr>
          <w:rFonts w:eastAsiaTheme="minorHAnsi"/>
        </w:rPr>
        <w:t xml:space="preserve"> </w:t>
      </w:r>
      <w:proofErr w:type="spellStart"/>
      <w:r w:rsidRPr="00701004">
        <w:rPr>
          <w:rFonts w:eastAsiaTheme="minorHAnsi"/>
          <w:i/>
        </w:rPr>
        <w:t>p</w:t>
      </w:r>
      <w:r w:rsidR="00184D4B" w:rsidRPr="00701004">
        <w:rPr>
          <w:rFonts w:eastAsiaTheme="minorHAnsi"/>
          <w:i/>
          <w:vertAlign w:val="subscript"/>
        </w:rPr>
        <w:t>bonf</w:t>
      </w:r>
      <w:proofErr w:type="spellEnd"/>
      <w:r w:rsidRPr="00701004">
        <w:rPr>
          <w:rFonts w:eastAsiaTheme="minorHAnsi"/>
        </w:rPr>
        <w:t xml:space="preserve"> = .0</w:t>
      </w:r>
      <w:r w:rsidR="007643B7" w:rsidRPr="00701004">
        <w:rPr>
          <w:rFonts w:eastAsiaTheme="minorHAnsi"/>
        </w:rPr>
        <w:t>12</w:t>
      </w:r>
      <w:r w:rsidRPr="00701004">
        <w:rPr>
          <w:rFonts w:eastAsiaTheme="minorHAnsi"/>
        </w:rPr>
        <w:t xml:space="preserve">; Figure </w:t>
      </w:r>
      <w:r w:rsidRPr="00701004">
        <w:rPr>
          <w:rFonts w:eastAsiaTheme="minorHAnsi"/>
        </w:rPr>
        <w:lastRenderedPageBreak/>
        <w:t xml:space="preserve">4a, </w:t>
      </w:r>
      <w:r w:rsidR="007643B7" w:rsidRPr="00701004">
        <w:rPr>
          <w:rFonts w:eastAsiaTheme="minorHAnsi"/>
        </w:rPr>
        <w:t xml:space="preserve">but this </w:t>
      </w:r>
      <w:r w:rsidR="001E7ACE" w:rsidRPr="00701004">
        <w:rPr>
          <w:rFonts w:eastAsiaTheme="minorHAnsi"/>
        </w:rPr>
        <w:t xml:space="preserve">effect </w:t>
      </w:r>
      <w:r w:rsidR="007643B7" w:rsidRPr="00701004">
        <w:rPr>
          <w:rFonts w:eastAsiaTheme="minorHAnsi"/>
        </w:rPr>
        <w:t>did not</w:t>
      </w:r>
      <w:r w:rsidRPr="00701004">
        <w:rPr>
          <w:rFonts w:eastAsiaTheme="minorHAnsi"/>
        </w:rPr>
        <w:t xml:space="preserve"> remain when additionally accounting for T1 opportunity</w:t>
      </w:r>
      <w:r w:rsidR="00D45C39" w:rsidRPr="00701004">
        <w:rPr>
          <w:rFonts w:eastAsiaTheme="minorHAnsi"/>
        </w:rPr>
        <w:t xml:space="preserve"> and correcting for multiple comparisons</w:t>
      </w:r>
      <w:r w:rsidRPr="00701004">
        <w:rPr>
          <w:rFonts w:eastAsiaTheme="minorHAnsi"/>
        </w:rPr>
        <w:t xml:space="preserve">; </w:t>
      </w:r>
      <w:r w:rsidR="00184D4B" w:rsidRPr="00701004">
        <w:rPr>
          <w:rFonts w:eastAsiaTheme="minorHAnsi"/>
          <w:i/>
          <w:iCs/>
        </w:rPr>
        <w:t xml:space="preserve">p </w:t>
      </w:r>
      <w:r w:rsidR="00184D4B" w:rsidRPr="00701004">
        <w:rPr>
          <w:rFonts w:eastAsiaTheme="minorHAnsi"/>
        </w:rPr>
        <w:t>= .035,</w:t>
      </w:r>
      <w:r w:rsidRPr="00701004">
        <w:rPr>
          <w:rFonts w:eastAsiaTheme="minorHAnsi"/>
        </w:rPr>
        <w:t xml:space="preserve"> </w:t>
      </w:r>
      <w:proofErr w:type="spellStart"/>
      <w:r w:rsidRPr="00701004">
        <w:rPr>
          <w:rFonts w:eastAsiaTheme="minorHAnsi"/>
          <w:i/>
          <w:iCs/>
        </w:rPr>
        <w:t>p</w:t>
      </w:r>
      <w:r w:rsidR="00184D4B" w:rsidRPr="00701004">
        <w:rPr>
          <w:rFonts w:eastAsiaTheme="minorHAnsi"/>
          <w:i/>
          <w:iCs/>
          <w:vertAlign w:val="subscript"/>
        </w:rPr>
        <w:t>bonf</w:t>
      </w:r>
      <w:proofErr w:type="spellEnd"/>
      <w:r w:rsidRPr="00701004">
        <w:rPr>
          <w:rFonts w:eastAsiaTheme="minorHAnsi"/>
        </w:rPr>
        <w:t xml:space="preserve"> = .</w:t>
      </w:r>
      <w:r w:rsidR="007643B7" w:rsidRPr="00701004">
        <w:rPr>
          <w:rFonts w:eastAsiaTheme="minorHAnsi"/>
        </w:rPr>
        <w:t>105</w:t>
      </w:r>
      <w:r w:rsidRPr="00701004">
        <w:rPr>
          <w:rFonts w:eastAsiaTheme="minorHAnsi"/>
        </w:rPr>
        <w:t>). Higher sensitivity to reward magnitude also predicted perceived capability of social distancing (</w:t>
      </w:r>
      <w:r w:rsidRPr="00701004">
        <w:rPr>
          <w:rFonts w:eastAsiaTheme="minorHAnsi"/>
        </w:rPr>
        <w:sym w:font="Symbol" w:char="F062"/>
      </w:r>
      <w:r w:rsidRPr="00701004">
        <w:rPr>
          <w:rFonts w:eastAsiaTheme="minorHAnsi"/>
        </w:rPr>
        <w:t xml:space="preserve"> = .105, t = 1.94, </w:t>
      </w:r>
      <w:r w:rsidRPr="00701004">
        <w:rPr>
          <w:rFonts w:eastAsiaTheme="minorHAnsi"/>
          <w:i/>
        </w:rPr>
        <w:t>p</w:t>
      </w:r>
      <w:r w:rsidRPr="00701004">
        <w:rPr>
          <w:rFonts w:eastAsiaTheme="minorHAnsi"/>
        </w:rPr>
        <w:t xml:space="preserve"> = .05, but not when additionally accounting for T1 capability; new </w:t>
      </w:r>
      <w:r w:rsidRPr="00701004">
        <w:rPr>
          <w:rFonts w:eastAsiaTheme="minorHAnsi"/>
          <w:i/>
        </w:rPr>
        <w:t>p</w:t>
      </w:r>
      <w:r w:rsidRPr="00701004">
        <w:rPr>
          <w:rFonts w:eastAsiaTheme="minorHAnsi"/>
        </w:rPr>
        <w:t xml:space="preserve"> = .27). In addition, faster learning rate predicted a greater </w:t>
      </w:r>
      <w:r w:rsidR="0057133C" w:rsidRPr="00701004">
        <w:rPr>
          <w:rFonts w:eastAsiaTheme="minorHAnsi"/>
        </w:rPr>
        <w:t>increase</w:t>
      </w:r>
      <w:r w:rsidRPr="00701004">
        <w:rPr>
          <w:rFonts w:eastAsiaTheme="minorHAnsi"/>
        </w:rPr>
        <w:t xml:space="preserve"> in motivation (</w:t>
      </w:r>
      <w:r w:rsidRPr="00701004">
        <w:rPr>
          <w:rFonts w:eastAsiaTheme="minorHAnsi"/>
        </w:rPr>
        <w:sym w:font="Symbol" w:char="F062"/>
      </w:r>
      <w:r w:rsidRPr="00701004">
        <w:rPr>
          <w:rFonts w:eastAsiaTheme="minorHAnsi"/>
        </w:rPr>
        <w:t xml:space="preserve"> = .1</w:t>
      </w:r>
      <w:r w:rsidR="00CC06EE" w:rsidRPr="00701004">
        <w:rPr>
          <w:rFonts w:eastAsiaTheme="minorHAnsi"/>
        </w:rPr>
        <w:t>6</w:t>
      </w:r>
      <w:r w:rsidRPr="00701004">
        <w:rPr>
          <w:rFonts w:eastAsiaTheme="minorHAnsi"/>
        </w:rPr>
        <w:t>, t = 3.21,</w:t>
      </w:r>
      <w:r w:rsidR="00184D4B" w:rsidRPr="00701004">
        <w:rPr>
          <w:rFonts w:eastAsiaTheme="minorHAnsi"/>
        </w:rPr>
        <w:t xml:space="preserve"> </w:t>
      </w:r>
      <w:r w:rsidR="00184D4B" w:rsidRPr="00701004">
        <w:rPr>
          <w:rFonts w:eastAsiaTheme="minorHAnsi"/>
          <w:i/>
          <w:iCs/>
        </w:rPr>
        <w:t xml:space="preserve">p </w:t>
      </w:r>
      <w:r w:rsidR="00184D4B" w:rsidRPr="00701004">
        <w:rPr>
          <w:rFonts w:eastAsiaTheme="minorHAnsi"/>
        </w:rPr>
        <w:t>= .001,</w:t>
      </w:r>
      <w:r w:rsidRPr="00701004">
        <w:rPr>
          <w:rFonts w:eastAsiaTheme="minorHAnsi"/>
        </w:rPr>
        <w:t xml:space="preserve"> </w:t>
      </w:r>
      <w:proofErr w:type="spellStart"/>
      <w:r w:rsidRPr="00701004">
        <w:rPr>
          <w:rFonts w:eastAsiaTheme="minorHAnsi"/>
          <w:i/>
        </w:rPr>
        <w:t>p</w:t>
      </w:r>
      <w:r w:rsidR="00184D4B" w:rsidRPr="00701004">
        <w:rPr>
          <w:rFonts w:eastAsiaTheme="minorHAnsi"/>
          <w:i/>
          <w:vertAlign w:val="subscript"/>
        </w:rPr>
        <w:t>bonf</w:t>
      </w:r>
      <w:proofErr w:type="spellEnd"/>
      <w:r w:rsidRPr="00701004">
        <w:rPr>
          <w:rFonts w:eastAsiaTheme="minorHAnsi"/>
        </w:rPr>
        <w:t xml:space="preserve"> = .00</w:t>
      </w:r>
      <w:r w:rsidR="005B349E" w:rsidRPr="00701004">
        <w:rPr>
          <w:rFonts w:eastAsiaTheme="minorHAnsi"/>
        </w:rPr>
        <w:t>3</w:t>
      </w:r>
      <w:r w:rsidRPr="00701004">
        <w:rPr>
          <w:rFonts w:eastAsiaTheme="minorHAnsi"/>
        </w:rPr>
        <w:t xml:space="preserve">; Figure 4b, and remained when additionally accounting for T1 motivation; </w:t>
      </w:r>
      <w:r w:rsidR="00184D4B" w:rsidRPr="00701004">
        <w:rPr>
          <w:rFonts w:eastAsiaTheme="minorHAnsi"/>
          <w:i/>
          <w:iCs/>
        </w:rPr>
        <w:t xml:space="preserve">p </w:t>
      </w:r>
      <w:r w:rsidR="00184D4B" w:rsidRPr="00701004">
        <w:rPr>
          <w:rFonts w:eastAsiaTheme="minorHAnsi"/>
        </w:rPr>
        <w:t>= .004,</w:t>
      </w:r>
      <w:r w:rsidRPr="00701004">
        <w:rPr>
          <w:rFonts w:eastAsiaTheme="minorHAnsi"/>
        </w:rPr>
        <w:t xml:space="preserve"> </w:t>
      </w:r>
      <w:proofErr w:type="spellStart"/>
      <w:r w:rsidRPr="00701004">
        <w:rPr>
          <w:rFonts w:eastAsiaTheme="minorHAnsi"/>
          <w:i/>
        </w:rPr>
        <w:t>p</w:t>
      </w:r>
      <w:r w:rsidR="00184D4B" w:rsidRPr="00701004">
        <w:rPr>
          <w:rFonts w:eastAsiaTheme="minorHAnsi"/>
          <w:i/>
          <w:vertAlign w:val="subscript"/>
        </w:rPr>
        <w:t>bonf</w:t>
      </w:r>
      <w:proofErr w:type="spellEnd"/>
      <w:r w:rsidRPr="00701004">
        <w:rPr>
          <w:rFonts w:eastAsiaTheme="minorHAnsi"/>
          <w:i/>
        </w:rPr>
        <w:t xml:space="preserve"> </w:t>
      </w:r>
      <w:r w:rsidRPr="00701004">
        <w:rPr>
          <w:rFonts w:eastAsiaTheme="minorHAnsi"/>
        </w:rPr>
        <w:t>= .0</w:t>
      </w:r>
      <w:r w:rsidR="00B37FF7" w:rsidRPr="00701004">
        <w:rPr>
          <w:rFonts w:eastAsiaTheme="minorHAnsi"/>
        </w:rPr>
        <w:t>12</w:t>
      </w:r>
      <w:r w:rsidRPr="00701004">
        <w:rPr>
          <w:rFonts w:eastAsiaTheme="minorHAnsi"/>
        </w:rPr>
        <w:t xml:space="preserve">) but did not significantly predict greater </w:t>
      </w:r>
      <w:r w:rsidR="0057133C" w:rsidRPr="00701004">
        <w:rPr>
          <w:rFonts w:eastAsiaTheme="minorHAnsi"/>
        </w:rPr>
        <w:t>changes</w:t>
      </w:r>
      <w:r w:rsidRPr="00701004">
        <w:rPr>
          <w:rFonts w:eastAsiaTheme="minorHAnsi"/>
        </w:rPr>
        <w:t xml:space="preserve"> in opportunity (</w:t>
      </w:r>
      <w:r w:rsidR="00F5237C" w:rsidRPr="00701004">
        <w:rPr>
          <w:rFonts w:eastAsiaTheme="minorHAnsi"/>
        </w:rPr>
        <w:sym w:font="Symbol" w:char="F062"/>
      </w:r>
      <w:r w:rsidR="00F5237C" w:rsidRPr="00701004">
        <w:rPr>
          <w:rFonts w:eastAsiaTheme="minorHAnsi"/>
        </w:rPr>
        <w:t xml:space="preserve"> = .09, t =1.</w:t>
      </w:r>
      <w:proofErr w:type="gramStart"/>
      <w:r w:rsidR="00F5237C" w:rsidRPr="00701004">
        <w:rPr>
          <w:rFonts w:eastAsiaTheme="minorHAnsi"/>
        </w:rPr>
        <w:t>85 ,</w:t>
      </w:r>
      <w:proofErr w:type="gramEnd"/>
      <w:r w:rsidR="00F5237C" w:rsidRPr="00701004">
        <w:rPr>
          <w:rFonts w:eastAsiaTheme="minorHAnsi"/>
        </w:rPr>
        <w:t xml:space="preserve"> </w:t>
      </w:r>
      <w:r w:rsidRPr="00701004">
        <w:rPr>
          <w:rFonts w:eastAsiaTheme="minorHAnsi"/>
          <w:i/>
        </w:rPr>
        <w:t xml:space="preserve">p </w:t>
      </w:r>
      <w:r w:rsidRPr="00701004">
        <w:rPr>
          <w:rFonts w:eastAsiaTheme="minorHAnsi"/>
        </w:rPr>
        <w:t>= .</w:t>
      </w:r>
      <w:r w:rsidR="005B349E" w:rsidRPr="00701004">
        <w:rPr>
          <w:rFonts w:eastAsiaTheme="minorHAnsi"/>
        </w:rPr>
        <w:t>531</w:t>
      </w:r>
      <w:r w:rsidRPr="00701004">
        <w:rPr>
          <w:rFonts w:eastAsiaTheme="minorHAnsi"/>
        </w:rPr>
        <w:t>) or capability (</w:t>
      </w:r>
      <w:r w:rsidR="00F5237C" w:rsidRPr="00701004">
        <w:rPr>
          <w:rFonts w:eastAsiaTheme="minorHAnsi"/>
        </w:rPr>
        <w:sym w:font="Symbol" w:char="F062"/>
      </w:r>
      <w:r w:rsidR="00F5237C" w:rsidRPr="00701004">
        <w:rPr>
          <w:rFonts w:eastAsiaTheme="minorHAnsi"/>
        </w:rPr>
        <w:t xml:space="preserve"> = .10, t = 1.89,  </w:t>
      </w:r>
      <w:r w:rsidRPr="00701004">
        <w:rPr>
          <w:rFonts w:eastAsiaTheme="minorHAnsi"/>
          <w:i/>
        </w:rPr>
        <w:t>p</w:t>
      </w:r>
      <w:r w:rsidRPr="00701004">
        <w:rPr>
          <w:rFonts w:eastAsiaTheme="minorHAnsi"/>
        </w:rPr>
        <w:t xml:space="preserve"> = .</w:t>
      </w:r>
      <w:r w:rsidR="005B349E" w:rsidRPr="00701004">
        <w:rPr>
          <w:rFonts w:eastAsiaTheme="minorHAnsi"/>
        </w:rPr>
        <w:t>612</w:t>
      </w:r>
      <w:r w:rsidRPr="00701004">
        <w:rPr>
          <w:rFonts w:eastAsiaTheme="minorHAnsi"/>
        </w:rPr>
        <w:t xml:space="preserve">). </w:t>
      </w:r>
    </w:p>
    <w:p w14:paraId="776B8179" w14:textId="3D6C4300" w:rsidR="00D421CC" w:rsidRPr="00701004" w:rsidRDefault="00387779" w:rsidP="00D421CC">
      <w:pPr>
        <w:autoSpaceDE w:val="0"/>
        <w:autoSpaceDN w:val="0"/>
        <w:adjustRightInd w:val="0"/>
        <w:spacing w:before="120" w:line="480" w:lineRule="auto"/>
        <w:rPr>
          <w:rFonts w:eastAsiaTheme="minorHAnsi"/>
        </w:rPr>
      </w:pPr>
      <w:r w:rsidRPr="00701004">
        <w:rPr>
          <w:noProof/>
        </w:rPr>
        <w:drawing>
          <wp:inline distT="0" distB="0" distL="0" distR="0" wp14:anchorId="4BEB357A" wp14:editId="484DAB44">
            <wp:extent cx="5731510" cy="2571750"/>
            <wp:effectExtent l="0" t="0" r="254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0228"/>
                    <a:stretch/>
                  </pic:blipFill>
                  <pic:spPr bwMode="auto">
                    <a:xfrm>
                      <a:off x="0" y="0"/>
                      <a:ext cx="5731510" cy="2571750"/>
                    </a:xfrm>
                    <a:prstGeom prst="rect">
                      <a:avLst/>
                    </a:prstGeom>
                    <a:noFill/>
                    <a:ln>
                      <a:noFill/>
                    </a:ln>
                    <a:extLst>
                      <a:ext uri="{53640926-AAD7-44D8-BBD7-CCE9431645EC}">
                        <a14:shadowObscured xmlns:a14="http://schemas.microsoft.com/office/drawing/2010/main"/>
                      </a:ext>
                    </a:extLst>
                  </pic:spPr>
                </pic:pic>
              </a:graphicData>
            </a:graphic>
          </wp:inline>
        </w:drawing>
      </w:r>
    </w:p>
    <w:p w14:paraId="4E7053A7" w14:textId="16098255" w:rsidR="003E1120" w:rsidRPr="00701004" w:rsidRDefault="00D421CC" w:rsidP="00D421CC">
      <w:pPr>
        <w:autoSpaceDE w:val="0"/>
        <w:autoSpaceDN w:val="0"/>
        <w:adjustRightInd w:val="0"/>
        <w:spacing w:before="120" w:line="480" w:lineRule="auto"/>
        <w:jc w:val="both"/>
        <w:rPr>
          <w:rFonts w:eastAsiaTheme="minorHAnsi"/>
        </w:rPr>
      </w:pPr>
      <w:r w:rsidRPr="00701004">
        <w:rPr>
          <w:rFonts w:eastAsiaTheme="minorHAnsi"/>
        </w:rPr>
        <w:t xml:space="preserve">Figure </w:t>
      </w:r>
      <w:r w:rsidR="0023068A" w:rsidRPr="00701004">
        <w:rPr>
          <w:rFonts w:eastAsiaTheme="minorHAnsi"/>
        </w:rPr>
        <w:t>4</w:t>
      </w:r>
      <w:r w:rsidRPr="00701004">
        <w:rPr>
          <w:rFonts w:eastAsiaTheme="minorHAnsi"/>
        </w:rPr>
        <w:t xml:space="preserve">. </w:t>
      </w:r>
      <w:r w:rsidRPr="00701004">
        <w:rPr>
          <w:rFonts w:eastAsiaTheme="minorHAnsi"/>
          <w:b/>
        </w:rPr>
        <w:t>A)</w:t>
      </w:r>
      <w:r w:rsidRPr="00701004">
        <w:rPr>
          <w:rFonts w:eastAsiaTheme="minorHAnsi"/>
        </w:rPr>
        <w:t xml:space="preserve"> </w:t>
      </w:r>
      <w:r w:rsidR="00F443B0" w:rsidRPr="00701004">
        <w:rPr>
          <w:rFonts w:eastAsiaTheme="minorHAnsi"/>
        </w:rPr>
        <w:t>Steeper</w:t>
      </w:r>
      <w:r w:rsidRPr="00701004">
        <w:rPr>
          <w:rFonts w:eastAsiaTheme="minorHAnsi"/>
        </w:rPr>
        <w:t xml:space="preserve"> delay discounting magnitude effect (lower values on the x-axis) predict</w:t>
      </w:r>
      <w:r w:rsidR="00620691" w:rsidRPr="00701004">
        <w:rPr>
          <w:rFonts w:eastAsiaTheme="minorHAnsi"/>
        </w:rPr>
        <w:t>ed</w:t>
      </w:r>
      <w:r w:rsidRPr="00701004">
        <w:rPr>
          <w:rFonts w:eastAsiaTheme="minorHAnsi"/>
        </w:rPr>
        <w:t xml:space="preserve"> a greater reduction (T2 – T1) in perceived opportunity to adhere to social distancing. </w:t>
      </w:r>
      <w:r w:rsidRPr="00701004">
        <w:rPr>
          <w:rFonts w:eastAsiaTheme="minorHAnsi"/>
          <w:b/>
        </w:rPr>
        <w:t xml:space="preserve">B) </w:t>
      </w:r>
      <w:r w:rsidR="00620691" w:rsidRPr="00701004">
        <w:rPr>
          <w:rFonts w:eastAsiaTheme="minorHAnsi"/>
        </w:rPr>
        <w:t>Lower</w:t>
      </w:r>
      <w:r w:rsidRPr="00701004">
        <w:rPr>
          <w:rFonts w:eastAsiaTheme="minorHAnsi"/>
        </w:rPr>
        <w:t xml:space="preserve"> learning rate predict</w:t>
      </w:r>
      <w:r w:rsidR="00620691" w:rsidRPr="00701004">
        <w:rPr>
          <w:rFonts w:eastAsiaTheme="minorHAnsi"/>
        </w:rPr>
        <w:t>ed</w:t>
      </w:r>
      <w:r w:rsidRPr="00701004">
        <w:rPr>
          <w:rFonts w:eastAsiaTheme="minorHAnsi"/>
        </w:rPr>
        <w:t xml:space="preserve"> </w:t>
      </w:r>
      <w:r w:rsidR="00620691" w:rsidRPr="00701004">
        <w:rPr>
          <w:rFonts w:eastAsiaTheme="minorHAnsi"/>
        </w:rPr>
        <w:t>decreased</w:t>
      </w:r>
      <w:r w:rsidRPr="00701004">
        <w:rPr>
          <w:rFonts w:eastAsiaTheme="minorHAnsi"/>
        </w:rPr>
        <w:t xml:space="preserve"> motivation to engage in social distancing.</w:t>
      </w:r>
      <w:r w:rsidR="00403ABE" w:rsidRPr="00701004">
        <w:rPr>
          <w:rFonts w:eastAsiaTheme="minorHAnsi"/>
        </w:rPr>
        <w:t xml:space="preserve"> Regression lines are highlighted in blue.  </w:t>
      </w:r>
    </w:p>
    <w:p w14:paraId="71C60F66" w14:textId="77777777" w:rsidR="005F1FB4" w:rsidRPr="00701004" w:rsidRDefault="005F1FB4" w:rsidP="003E1120">
      <w:pPr>
        <w:autoSpaceDE w:val="0"/>
        <w:autoSpaceDN w:val="0"/>
        <w:adjustRightInd w:val="0"/>
        <w:spacing w:before="120" w:line="480" w:lineRule="auto"/>
        <w:jc w:val="center"/>
        <w:rPr>
          <w:rFonts w:eastAsiaTheme="minorHAnsi"/>
          <w:b/>
        </w:rPr>
      </w:pPr>
      <w:r w:rsidRPr="00701004">
        <w:rPr>
          <w:rFonts w:eastAsiaTheme="minorHAnsi"/>
          <w:b/>
        </w:rPr>
        <w:t>Discussion</w:t>
      </w:r>
    </w:p>
    <w:p w14:paraId="5649A1F5" w14:textId="4E164384" w:rsidR="005F1FB4" w:rsidRPr="00701004" w:rsidRDefault="00DF67EC" w:rsidP="009A5AC9">
      <w:pPr>
        <w:autoSpaceDE w:val="0"/>
        <w:autoSpaceDN w:val="0"/>
        <w:adjustRightInd w:val="0"/>
        <w:spacing w:before="120" w:line="480" w:lineRule="auto"/>
        <w:ind w:firstLine="720"/>
        <w:jc w:val="both"/>
        <w:rPr>
          <w:rFonts w:eastAsiaTheme="minorHAnsi"/>
        </w:rPr>
      </w:pPr>
      <w:r w:rsidRPr="00701004">
        <w:rPr>
          <w:rFonts w:eastAsiaTheme="minorHAnsi"/>
        </w:rPr>
        <w:t>In</w:t>
      </w:r>
      <w:r w:rsidR="00832555" w:rsidRPr="00701004">
        <w:rPr>
          <w:rFonts w:eastAsiaTheme="minorHAnsi"/>
        </w:rPr>
        <w:t xml:space="preserve"> the UK and internationally, s</w:t>
      </w:r>
      <w:r w:rsidR="005F1FB4" w:rsidRPr="00701004">
        <w:rPr>
          <w:rFonts w:eastAsiaTheme="minorHAnsi"/>
        </w:rPr>
        <w:t>ocial distancing</w:t>
      </w:r>
      <w:r w:rsidR="009E6574" w:rsidRPr="00701004">
        <w:rPr>
          <w:rFonts w:eastAsiaTheme="minorHAnsi"/>
        </w:rPr>
        <w:t xml:space="preserve"> and national lockdowns</w:t>
      </w:r>
      <w:r w:rsidR="005F1FB4" w:rsidRPr="00701004">
        <w:rPr>
          <w:rFonts w:eastAsiaTheme="minorHAnsi"/>
        </w:rPr>
        <w:t xml:space="preserve"> </w:t>
      </w:r>
      <w:r w:rsidR="00BF67F6" w:rsidRPr="00701004">
        <w:rPr>
          <w:rFonts w:eastAsiaTheme="minorHAnsi"/>
        </w:rPr>
        <w:t>ha</w:t>
      </w:r>
      <w:r w:rsidR="009E6574" w:rsidRPr="00701004">
        <w:rPr>
          <w:rFonts w:eastAsiaTheme="minorHAnsi"/>
        </w:rPr>
        <w:t>ve</w:t>
      </w:r>
      <w:r w:rsidR="00BF67F6" w:rsidRPr="00701004">
        <w:rPr>
          <w:rFonts w:eastAsiaTheme="minorHAnsi"/>
        </w:rPr>
        <w:t xml:space="preserve"> been</w:t>
      </w:r>
      <w:r w:rsidR="005F1FB4" w:rsidRPr="00701004">
        <w:rPr>
          <w:rFonts w:eastAsiaTheme="minorHAnsi"/>
        </w:rPr>
        <w:t xml:space="preserve"> key public health policy mandated in response to the COVID-19 pandemic. </w:t>
      </w:r>
      <w:r w:rsidR="00AF2547" w:rsidRPr="00701004">
        <w:rPr>
          <w:rFonts w:eastAsiaTheme="minorHAnsi"/>
          <w:iCs/>
        </w:rPr>
        <w:t xml:space="preserve">The present study examined the cognitive predictors of compliance with public health regulations restricting </w:t>
      </w:r>
      <w:r w:rsidR="00AF2547" w:rsidRPr="00701004">
        <w:rPr>
          <w:rFonts w:eastAsiaTheme="minorHAnsi"/>
          <w:iCs/>
        </w:rPr>
        <w:lastRenderedPageBreak/>
        <w:t>social contact</w:t>
      </w:r>
      <w:r w:rsidR="00AE2886" w:rsidRPr="00701004">
        <w:rPr>
          <w:rFonts w:eastAsiaTheme="minorHAnsi"/>
        </w:rPr>
        <w:t xml:space="preserve">, </w:t>
      </w:r>
      <w:r w:rsidR="005F1FB4" w:rsidRPr="00701004">
        <w:rPr>
          <w:rFonts w:eastAsiaTheme="minorHAnsi"/>
        </w:rPr>
        <w:t xml:space="preserve">to direct interventions </w:t>
      </w:r>
      <w:r w:rsidR="009A677B" w:rsidRPr="00701004">
        <w:rPr>
          <w:rFonts w:eastAsiaTheme="minorHAnsi"/>
        </w:rPr>
        <w:t xml:space="preserve">to </w:t>
      </w:r>
      <w:r w:rsidR="005F1FB4" w:rsidRPr="00701004">
        <w:rPr>
          <w:rFonts w:eastAsiaTheme="minorHAnsi"/>
        </w:rPr>
        <w:t xml:space="preserve">maximise uptake of social distancing measures in the population in this and future crises. </w:t>
      </w:r>
      <w:r w:rsidR="00DE240F" w:rsidRPr="00701004">
        <w:rPr>
          <w:rFonts w:eastAsiaTheme="minorHAnsi"/>
        </w:rPr>
        <w:t>Our</w:t>
      </w:r>
      <w:r w:rsidR="00346EB5" w:rsidRPr="00701004">
        <w:rPr>
          <w:rFonts w:eastAsiaTheme="minorHAnsi"/>
        </w:rPr>
        <w:t xml:space="preserve"> </w:t>
      </w:r>
      <w:r w:rsidR="005F1FB4" w:rsidRPr="00701004">
        <w:rPr>
          <w:rFonts w:eastAsiaTheme="minorHAnsi"/>
        </w:rPr>
        <w:t xml:space="preserve">findings demonstrate that </w:t>
      </w:r>
      <w:r w:rsidR="00346EB5" w:rsidRPr="00701004">
        <w:rPr>
          <w:rFonts w:eastAsiaTheme="minorHAnsi"/>
        </w:rPr>
        <w:t xml:space="preserve">both </w:t>
      </w:r>
      <w:r w:rsidR="009171DE" w:rsidRPr="00701004">
        <w:rPr>
          <w:rFonts w:eastAsiaTheme="minorHAnsi"/>
        </w:rPr>
        <w:t>higher levels of baseline delay discounting</w:t>
      </w:r>
      <w:r w:rsidR="00346EB5" w:rsidRPr="00701004">
        <w:rPr>
          <w:rFonts w:eastAsiaTheme="minorHAnsi"/>
        </w:rPr>
        <w:t xml:space="preserve"> and greater sensitivity to reward magnitude </w:t>
      </w:r>
      <w:r w:rsidR="005F1FB4" w:rsidRPr="00701004">
        <w:rPr>
          <w:rFonts w:eastAsiaTheme="minorHAnsi"/>
        </w:rPr>
        <w:t xml:space="preserve">predicted lower levels of </w:t>
      </w:r>
      <w:r w:rsidR="005115EB" w:rsidRPr="00701004">
        <w:rPr>
          <w:rFonts w:eastAsiaTheme="minorHAnsi"/>
        </w:rPr>
        <w:t xml:space="preserve">social distance adherence </w:t>
      </w:r>
      <w:r w:rsidR="005F1FB4" w:rsidRPr="00701004">
        <w:rPr>
          <w:rFonts w:eastAsiaTheme="minorHAnsi"/>
        </w:rPr>
        <w:t>behaviours</w:t>
      </w:r>
      <w:r w:rsidR="005115EB" w:rsidRPr="00701004">
        <w:rPr>
          <w:rFonts w:eastAsiaTheme="minorHAnsi"/>
        </w:rPr>
        <w:t>.</w:t>
      </w:r>
      <w:r w:rsidR="005F1FB4" w:rsidRPr="00701004">
        <w:rPr>
          <w:rFonts w:eastAsiaTheme="minorHAnsi"/>
        </w:rPr>
        <w:t xml:space="preserve"> In addition, our findings demonstrate that under-valuing recent information in a patch foraging paradigm predicted </w:t>
      </w:r>
      <w:r w:rsidR="00C477F0" w:rsidRPr="00701004">
        <w:rPr>
          <w:rFonts w:eastAsiaTheme="minorHAnsi"/>
        </w:rPr>
        <w:t>lockdown violating behaviours</w:t>
      </w:r>
      <w:r w:rsidR="005F1FB4" w:rsidRPr="00701004">
        <w:rPr>
          <w:rFonts w:eastAsiaTheme="minorHAnsi"/>
        </w:rPr>
        <w:t xml:space="preserve">. Examining how these cognitive tasks predicted mental health outcomes, we find that people whose delay discounting is </w:t>
      </w:r>
      <w:r w:rsidR="008347CE" w:rsidRPr="00701004">
        <w:rPr>
          <w:rFonts w:eastAsiaTheme="minorHAnsi"/>
        </w:rPr>
        <w:t>more sensitive to</w:t>
      </w:r>
      <w:r w:rsidR="005F1FB4" w:rsidRPr="00701004">
        <w:rPr>
          <w:rFonts w:eastAsiaTheme="minorHAnsi"/>
        </w:rPr>
        <w:t xml:space="preserve"> the magnitude of reward on offer also showed higher levels of anxiety </w:t>
      </w:r>
      <w:r w:rsidR="00AA22EB" w:rsidRPr="00701004">
        <w:rPr>
          <w:rFonts w:eastAsiaTheme="minorHAnsi"/>
        </w:rPr>
        <w:t>towards</w:t>
      </w:r>
      <w:r w:rsidR="005F1FB4" w:rsidRPr="00701004">
        <w:rPr>
          <w:rFonts w:eastAsiaTheme="minorHAnsi"/>
        </w:rPr>
        <w:t xml:space="preserve"> the pandemic. Notably, specific COVID-19 anxiety moderated the effect of delay discounting on social distancing adherence, such </w:t>
      </w:r>
      <w:bookmarkStart w:id="10" w:name="_Hlk70499744"/>
      <w:r w:rsidR="005F1FB4" w:rsidRPr="00701004">
        <w:rPr>
          <w:rFonts w:eastAsiaTheme="minorHAnsi"/>
        </w:rPr>
        <w:t xml:space="preserve">that higher levels of anxiety </w:t>
      </w:r>
      <w:r w:rsidR="003A03F9" w:rsidRPr="00701004">
        <w:rPr>
          <w:rFonts w:eastAsiaTheme="minorHAnsi"/>
        </w:rPr>
        <w:t>were</w:t>
      </w:r>
      <w:r w:rsidR="009A5AC9" w:rsidRPr="00701004">
        <w:rPr>
          <w:rFonts w:eastAsiaTheme="minorHAnsi"/>
        </w:rPr>
        <w:t xml:space="preserve"> associated with an </w:t>
      </w:r>
      <w:r w:rsidR="005F1FB4" w:rsidRPr="00701004">
        <w:rPr>
          <w:rFonts w:eastAsiaTheme="minorHAnsi"/>
        </w:rPr>
        <w:t>increase</w:t>
      </w:r>
      <w:r w:rsidR="009A5AC9" w:rsidRPr="00701004">
        <w:rPr>
          <w:rFonts w:eastAsiaTheme="minorHAnsi"/>
        </w:rPr>
        <w:t xml:space="preserve"> in</w:t>
      </w:r>
      <w:r w:rsidR="005F1FB4" w:rsidRPr="00701004">
        <w:rPr>
          <w:rFonts w:eastAsiaTheme="minorHAnsi"/>
        </w:rPr>
        <w:t xml:space="preserve"> the </w:t>
      </w:r>
      <w:r w:rsidR="003404C9" w:rsidRPr="00701004">
        <w:rPr>
          <w:rFonts w:eastAsiaTheme="minorHAnsi"/>
        </w:rPr>
        <w:t>estimate</w:t>
      </w:r>
      <w:r w:rsidR="002D0018" w:rsidRPr="00701004">
        <w:rPr>
          <w:rFonts w:eastAsiaTheme="minorHAnsi"/>
        </w:rPr>
        <w:t>d</w:t>
      </w:r>
      <w:r w:rsidR="003404C9" w:rsidRPr="00701004">
        <w:rPr>
          <w:rFonts w:eastAsiaTheme="minorHAnsi"/>
        </w:rPr>
        <w:t xml:space="preserve"> effect of reward magnitude sensitivity on social distancing adherence</w:t>
      </w:r>
      <w:bookmarkEnd w:id="10"/>
      <w:r w:rsidR="005F1FB4" w:rsidRPr="00701004">
        <w:rPr>
          <w:rFonts w:eastAsiaTheme="minorHAnsi"/>
        </w:rPr>
        <w:t xml:space="preserve">. Together, these findings suggest that specific features of decision-making make distinct contributions to facilitating adaptive behaviour in response to the COVID-19 restrictions, along with highlighting individuals who may struggle to adjust to these rapid changes. </w:t>
      </w:r>
    </w:p>
    <w:p w14:paraId="599ECC53" w14:textId="525D2740" w:rsidR="00963FC3" w:rsidRPr="00701004" w:rsidRDefault="00963FC3" w:rsidP="005F1FB4">
      <w:pPr>
        <w:autoSpaceDE w:val="0"/>
        <w:autoSpaceDN w:val="0"/>
        <w:adjustRightInd w:val="0"/>
        <w:spacing w:before="120" w:line="480" w:lineRule="auto"/>
        <w:ind w:firstLine="720"/>
        <w:jc w:val="both"/>
        <w:rPr>
          <w:rFonts w:eastAsiaTheme="minorHAnsi"/>
        </w:rPr>
      </w:pPr>
      <w:r w:rsidRPr="00701004">
        <w:rPr>
          <w:rFonts w:eastAsiaTheme="minorHAnsi"/>
        </w:rPr>
        <w:t xml:space="preserve">Adhering to </w:t>
      </w:r>
      <w:r w:rsidR="009E6574" w:rsidRPr="00701004">
        <w:rPr>
          <w:rFonts w:eastAsiaTheme="minorHAnsi"/>
        </w:rPr>
        <w:t>lockdown</w:t>
      </w:r>
      <w:r w:rsidRPr="00701004">
        <w:rPr>
          <w:rFonts w:eastAsiaTheme="minorHAnsi"/>
        </w:rPr>
        <w:t xml:space="preserve"> guidance involves </w:t>
      </w:r>
      <w:r w:rsidR="00BC726B" w:rsidRPr="00701004">
        <w:rPr>
          <w:rFonts w:eastAsiaTheme="minorHAnsi"/>
        </w:rPr>
        <w:t>foregoing immediately rewarding activities</w:t>
      </w:r>
      <w:r w:rsidRPr="00701004">
        <w:rPr>
          <w:rFonts w:eastAsiaTheme="minorHAnsi"/>
        </w:rPr>
        <w:t xml:space="preserve">, such as seeing friends and going to places of leisure, in favour of longer-term goals such as </w:t>
      </w:r>
      <w:r w:rsidRPr="00701004">
        <w:rPr>
          <w:color w:val="000000"/>
        </w:rPr>
        <w:t xml:space="preserve">relaxation of restrictions on freedom of movement. </w:t>
      </w:r>
      <w:r w:rsidR="00647072" w:rsidRPr="00701004">
        <w:rPr>
          <w:color w:val="000000"/>
        </w:rPr>
        <w:t>Supporting our hypotheses, we</w:t>
      </w:r>
      <w:r w:rsidRPr="00701004">
        <w:rPr>
          <w:color w:val="000000"/>
        </w:rPr>
        <w:t xml:space="preserve"> </w:t>
      </w:r>
      <w:r w:rsidR="00647072" w:rsidRPr="00701004">
        <w:rPr>
          <w:color w:val="000000"/>
        </w:rPr>
        <w:t>found</w:t>
      </w:r>
      <w:r w:rsidRPr="00701004">
        <w:rPr>
          <w:color w:val="000000"/>
        </w:rPr>
        <w:t xml:space="preserve"> that the degree to which individuals reported adhering to lockdown guidance was predicted by the extent to which they discount </w:t>
      </w:r>
      <w:r w:rsidR="0059482C" w:rsidRPr="00701004">
        <w:rPr>
          <w:color w:val="000000"/>
        </w:rPr>
        <w:t>delayed</w:t>
      </w:r>
      <w:r w:rsidRPr="00701004">
        <w:rPr>
          <w:color w:val="000000"/>
        </w:rPr>
        <w:t xml:space="preserve"> rewards. This is consistent with findings that steeper discounters report more problematic health behaviours, such as smoking and alcohol use</w:t>
      </w:r>
      <w:r w:rsidR="00893549" w:rsidRPr="00701004">
        <w:rPr>
          <w:color w:val="000000"/>
          <w:vertAlign w:val="superscript"/>
        </w:rPr>
        <w:t>8</w:t>
      </w:r>
      <w:r w:rsidRPr="00701004">
        <w:rPr>
          <w:color w:val="000000"/>
        </w:rPr>
        <w:t>. The present study extends this to the COVID-19 pandemic, demonstrating the cognitive characteristics associated with compliance to novel public health measure</w:t>
      </w:r>
      <w:r w:rsidR="00BF56AB" w:rsidRPr="00701004">
        <w:rPr>
          <w:color w:val="000000"/>
        </w:rPr>
        <w:t>s</w:t>
      </w:r>
      <w:r w:rsidRPr="00701004">
        <w:rPr>
          <w:color w:val="000000"/>
        </w:rPr>
        <w:t xml:space="preserve">. </w:t>
      </w:r>
    </w:p>
    <w:p w14:paraId="1268E713" w14:textId="4C141FDF" w:rsidR="005F1FB4" w:rsidRPr="00701004" w:rsidRDefault="004322B0" w:rsidP="005E3D04">
      <w:pPr>
        <w:autoSpaceDE w:val="0"/>
        <w:autoSpaceDN w:val="0"/>
        <w:adjustRightInd w:val="0"/>
        <w:spacing w:before="120" w:line="480" w:lineRule="auto"/>
        <w:ind w:firstLine="720"/>
        <w:jc w:val="both"/>
        <w:rPr>
          <w:rFonts w:eastAsiaTheme="minorHAnsi"/>
        </w:rPr>
      </w:pPr>
      <w:r w:rsidRPr="00701004">
        <w:rPr>
          <w:rFonts w:eastAsiaTheme="minorHAnsi"/>
        </w:rPr>
        <w:t>The</w:t>
      </w:r>
      <w:r w:rsidR="005F1FB4" w:rsidRPr="00701004">
        <w:rPr>
          <w:rFonts w:eastAsiaTheme="minorHAnsi"/>
        </w:rPr>
        <w:t xml:space="preserve"> patch foraging data indicated that participants who are quicker to update their beliefs about environments were less likely to violate lockdown measures. Rapidly updating one’s beliefs in response to new information is an adaptive decision-making strategy in </w:t>
      </w:r>
      <w:r w:rsidR="005F1FB4" w:rsidRPr="00701004">
        <w:rPr>
          <w:rFonts w:eastAsiaTheme="minorHAnsi"/>
        </w:rPr>
        <w:lastRenderedPageBreak/>
        <w:t>conditions of volatility, where the associations between actions and outcomes are rapidly changing</w:t>
      </w:r>
      <w:r w:rsidR="005F1FB4" w:rsidRPr="00701004">
        <w:rPr>
          <w:rFonts w:eastAsiaTheme="minorHAnsi"/>
          <w:vertAlign w:val="superscript"/>
        </w:rPr>
        <w:t>7</w:t>
      </w:r>
      <w:r w:rsidR="005F1FB4" w:rsidRPr="00701004">
        <w:rPr>
          <w:rFonts w:eastAsiaTheme="minorHAnsi"/>
        </w:rPr>
        <w:t xml:space="preserve">. The COVID-19 pandemic has been met with rapid policy changes in public health guidelines to slow the spread of the virus, which has required </w:t>
      </w:r>
      <w:r w:rsidR="00075E05" w:rsidRPr="00701004">
        <w:rPr>
          <w:rFonts w:eastAsiaTheme="minorHAnsi"/>
        </w:rPr>
        <w:t xml:space="preserve">frequent </w:t>
      </w:r>
      <w:r w:rsidR="005F1FB4" w:rsidRPr="00701004">
        <w:rPr>
          <w:rFonts w:eastAsiaTheme="minorHAnsi"/>
        </w:rPr>
        <w:t>behavioural change</w:t>
      </w:r>
      <w:r w:rsidR="00075E05" w:rsidRPr="00701004">
        <w:rPr>
          <w:rFonts w:eastAsiaTheme="minorHAnsi"/>
        </w:rPr>
        <w:t>s</w:t>
      </w:r>
      <w:r w:rsidR="005F1FB4" w:rsidRPr="00701004">
        <w:rPr>
          <w:rFonts w:eastAsiaTheme="minorHAnsi"/>
        </w:rPr>
        <w:t xml:space="preserve"> across the population. Individuals who prioritise recent information may therefore demonstrate better adaption to novel action-outcome contingencies, allowing them to uptake behaviours with greater ease. In contrast, individuals who update their beliefs more slowly may have acted on outdated pre-pandemic information, thereby engaging in behaviours that were in violation of lockdown measures.</w:t>
      </w:r>
      <w:r w:rsidR="005E3D04" w:rsidRPr="00701004">
        <w:rPr>
          <w:rFonts w:eastAsiaTheme="minorHAnsi"/>
        </w:rPr>
        <w:t xml:space="preserve"> </w:t>
      </w:r>
      <w:r w:rsidR="005F1FB4" w:rsidRPr="00701004">
        <w:rPr>
          <w:rFonts w:eastAsiaTheme="minorHAnsi"/>
        </w:rPr>
        <w:t xml:space="preserve">This interpretation was supported by </w:t>
      </w:r>
      <w:r w:rsidR="00AA22EB" w:rsidRPr="00701004">
        <w:rPr>
          <w:rFonts w:eastAsiaTheme="minorHAnsi"/>
        </w:rPr>
        <w:t xml:space="preserve">our </w:t>
      </w:r>
      <w:r w:rsidR="005F1FB4" w:rsidRPr="00701004">
        <w:rPr>
          <w:rFonts w:eastAsiaTheme="minorHAnsi"/>
        </w:rPr>
        <w:t xml:space="preserve">analyses of </w:t>
      </w:r>
      <w:r w:rsidR="005C371D" w:rsidRPr="00701004">
        <w:rPr>
          <w:rFonts w:eastAsiaTheme="minorHAnsi"/>
        </w:rPr>
        <w:t xml:space="preserve">participants’ </w:t>
      </w:r>
      <w:r w:rsidR="00554A9C" w:rsidRPr="00701004">
        <w:rPr>
          <w:rFonts w:eastAsiaTheme="minorHAnsi"/>
        </w:rPr>
        <w:t>self-</w:t>
      </w:r>
      <w:r w:rsidR="005C371D" w:rsidRPr="00701004">
        <w:rPr>
          <w:rFonts w:eastAsiaTheme="minorHAnsi"/>
        </w:rPr>
        <w:t>reported capability, opportunity, and motivation to engage in social distancing</w:t>
      </w:r>
      <w:r w:rsidR="005F1FB4" w:rsidRPr="00701004">
        <w:rPr>
          <w:rFonts w:eastAsiaTheme="minorHAnsi"/>
        </w:rPr>
        <w:t>, as faster updating of beliefs predicted capability and motivation to engage in social distancing measures at the established phase of the pandemic</w:t>
      </w:r>
      <w:r w:rsidR="00721A13" w:rsidRPr="00701004">
        <w:rPr>
          <w:rFonts w:eastAsiaTheme="minorHAnsi"/>
        </w:rPr>
        <w:t>.</w:t>
      </w:r>
    </w:p>
    <w:p w14:paraId="5D7581B7" w14:textId="77B18E55" w:rsidR="005F1FB4" w:rsidRPr="00701004" w:rsidRDefault="007C4397" w:rsidP="00A85C93">
      <w:pPr>
        <w:autoSpaceDE w:val="0"/>
        <w:autoSpaceDN w:val="0"/>
        <w:adjustRightInd w:val="0"/>
        <w:spacing w:before="120" w:line="480" w:lineRule="auto"/>
        <w:ind w:firstLine="720"/>
        <w:jc w:val="both"/>
        <w:rPr>
          <w:rFonts w:eastAsiaTheme="minorHAnsi"/>
        </w:rPr>
      </w:pPr>
      <w:bookmarkStart w:id="11" w:name="_Hlk70500232"/>
      <w:r w:rsidRPr="00701004">
        <w:rPr>
          <w:rFonts w:eastAsiaTheme="minorHAnsi"/>
        </w:rPr>
        <w:t>Results of the factor analysis indicated that adherence to social distancing and active violation of lockdown measures may be distinct behaviours</w:t>
      </w:r>
      <w:bookmarkEnd w:id="11"/>
      <w:r w:rsidRPr="00701004">
        <w:rPr>
          <w:rFonts w:eastAsiaTheme="minorHAnsi"/>
        </w:rPr>
        <w:t>.</w:t>
      </w:r>
      <w:r w:rsidR="00A85C93" w:rsidRPr="00701004">
        <w:rPr>
          <w:rFonts w:eastAsiaTheme="minorHAnsi"/>
        </w:rPr>
        <w:t xml:space="preserve"> </w:t>
      </w:r>
      <w:r w:rsidR="005F1FB4" w:rsidRPr="00701004">
        <w:rPr>
          <w:rFonts w:eastAsiaTheme="minorHAnsi"/>
        </w:rPr>
        <w:t xml:space="preserve">The </w:t>
      </w:r>
      <w:r w:rsidR="003A520D" w:rsidRPr="00701004">
        <w:rPr>
          <w:rFonts w:eastAsiaTheme="minorHAnsi"/>
        </w:rPr>
        <w:t>active</w:t>
      </w:r>
      <w:r w:rsidR="005F1FB4" w:rsidRPr="00701004">
        <w:rPr>
          <w:rFonts w:eastAsiaTheme="minorHAnsi"/>
        </w:rPr>
        <w:t xml:space="preserve"> violation factor utilised in the present study included items that refer to behaviours that were permissible prior to the implementation of the lockdown measures (</w:t>
      </w:r>
      <w:r w:rsidR="003A520D" w:rsidRPr="00701004">
        <w:rPr>
          <w:rFonts w:eastAsiaTheme="minorHAnsi"/>
        </w:rPr>
        <w:t>e.g.,</w:t>
      </w:r>
      <w:r w:rsidR="005F1FB4" w:rsidRPr="00701004">
        <w:rPr>
          <w:rFonts w:eastAsiaTheme="minorHAnsi"/>
        </w:rPr>
        <w:t xml:space="preserve"> gathering in groups). In contrast, lockdown adhering items refer to behavioural modifications that were required in response to the virus (</w:t>
      </w:r>
      <w:r w:rsidR="00B0727F" w:rsidRPr="00701004">
        <w:rPr>
          <w:rFonts w:eastAsiaTheme="minorHAnsi"/>
        </w:rPr>
        <w:t>e.g.,</w:t>
      </w:r>
      <w:r w:rsidR="005F1FB4" w:rsidRPr="00701004">
        <w:rPr>
          <w:rFonts w:eastAsiaTheme="minorHAnsi"/>
        </w:rPr>
        <w:t xml:space="preserve"> remaining at least 2m away from others). This provides some insight into why the cognitive tasks predicted each scale separately; individuals engaging in lockdown violating behaviours were those who under-weigh recent information and may therefore be basing their behaviour on pre-lockdown information. Importantly, this suggests that individuals who</w:t>
      </w:r>
      <w:r w:rsidR="003A520D" w:rsidRPr="00701004">
        <w:rPr>
          <w:rFonts w:eastAsiaTheme="minorHAnsi"/>
        </w:rPr>
        <w:t xml:space="preserve"> actively</w:t>
      </w:r>
      <w:r w:rsidR="005F1FB4" w:rsidRPr="00701004">
        <w:rPr>
          <w:rFonts w:eastAsiaTheme="minorHAnsi"/>
        </w:rPr>
        <w:t xml:space="preserve"> violated lockdown measures </w:t>
      </w:r>
      <w:r w:rsidR="002D0018" w:rsidRPr="00701004">
        <w:rPr>
          <w:rFonts w:eastAsiaTheme="minorHAnsi"/>
        </w:rPr>
        <w:t xml:space="preserve">may </w:t>
      </w:r>
      <w:r w:rsidR="005F1FB4" w:rsidRPr="00701004">
        <w:rPr>
          <w:rFonts w:eastAsiaTheme="minorHAnsi"/>
        </w:rPr>
        <w:t xml:space="preserve">not </w:t>
      </w:r>
      <w:r w:rsidR="003A520D" w:rsidRPr="00701004">
        <w:rPr>
          <w:rFonts w:eastAsiaTheme="minorHAnsi"/>
        </w:rPr>
        <w:t>purposefully</w:t>
      </w:r>
      <w:r w:rsidR="005F1FB4" w:rsidRPr="00701004">
        <w:rPr>
          <w:rFonts w:eastAsiaTheme="minorHAnsi"/>
        </w:rPr>
        <w:t xml:space="preserve"> </w:t>
      </w:r>
      <w:r w:rsidR="002D0018" w:rsidRPr="00701004">
        <w:rPr>
          <w:rFonts w:eastAsiaTheme="minorHAnsi"/>
        </w:rPr>
        <w:t xml:space="preserve">engage </w:t>
      </w:r>
      <w:r w:rsidR="005F1FB4" w:rsidRPr="00701004">
        <w:rPr>
          <w:rFonts w:eastAsiaTheme="minorHAnsi"/>
        </w:rPr>
        <w:t xml:space="preserve">in rule infractions, but rather </w:t>
      </w:r>
      <w:r w:rsidR="002D0018" w:rsidRPr="00701004">
        <w:rPr>
          <w:rFonts w:eastAsiaTheme="minorHAnsi"/>
        </w:rPr>
        <w:t>may not have been</w:t>
      </w:r>
      <w:r w:rsidR="005F1FB4" w:rsidRPr="00701004">
        <w:rPr>
          <w:rFonts w:eastAsiaTheme="minorHAnsi"/>
        </w:rPr>
        <w:t xml:space="preserve"> acting on recent information that had been disseminated regarding the lockdown measures. </w:t>
      </w:r>
    </w:p>
    <w:p w14:paraId="2A9138DE" w14:textId="3C4F0251" w:rsidR="0017086D" w:rsidRPr="00701004" w:rsidRDefault="007F1D43" w:rsidP="00F563C2">
      <w:pPr>
        <w:autoSpaceDE w:val="0"/>
        <w:autoSpaceDN w:val="0"/>
        <w:adjustRightInd w:val="0"/>
        <w:spacing w:before="120" w:line="480" w:lineRule="auto"/>
        <w:ind w:firstLine="720"/>
        <w:jc w:val="both"/>
        <w:rPr>
          <w:rFonts w:eastAsiaTheme="minorHAnsi"/>
          <w:iCs/>
        </w:rPr>
      </w:pPr>
      <w:r w:rsidRPr="00701004">
        <w:rPr>
          <w:rFonts w:eastAsiaTheme="minorHAnsi"/>
        </w:rPr>
        <w:t xml:space="preserve">With regards to mental health, our findings demonstrate that the extent to which people’s intertemporal decisions are </w:t>
      </w:r>
      <w:r w:rsidR="005C50DD" w:rsidRPr="00701004">
        <w:rPr>
          <w:rFonts w:eastAsiaTheme="minorHAnsi"/>
        </w:rPr>
        <w:t>sensitive towards</w:t>
      </w:r>
      <w:r w:rsidRPr="00701004">
        <w:rPr>
          <w:rFonts w:eastAsiaTheme="minorHAnsi"/>
        </w:rPr>
        <w:t xml:space="preserve"> the magnitude of reward on offer, but </w:t>
      </w:r>
      <w:r w:rsidRPr="00701004">
        <w:rPr>
          <w:rFonts w:eastAsiaTheme="minorHAnsi"/>
        </w:rPr>
        <w:lastRenderedPageBreak/>
        <w:t xml:space="preserve">not their baseline discounting rate, predicted high levels of specific COVID-19 anxiety. We predicted that people who more steeply discount these delayed future rewards are likely to be those who experience greater levels of distress from “involuntary” lockdown; </w:t>
      </w:r>
      <w:proofErr w:type="gramStart"/>
      <w:r w:rsidR="00217943" w:rsidRPr="00701004">
        <w:rPr>
          <w:rFonts w:eastAsiaTheme="minorHAnsi"/>
        </w:rPr>
        <w:t>yet,</w:t>
      </w:r>
      <w:proofErr w:type="gramEnd"/>
      <w:r w:rsidR="00217943" w:rsidRPr="00701004">
        <w:rPr>
          <w:rFonts w:eastAsiaTheme="minorHAnsi"/>
        </w:rPr>
        <w:t xml:space="preserve"> we found instead that distress was predicted by the extent to which they </w:t>
      </w:r>
      <w:r w:rsidR="00F563C2" w:rsidRPr="00701004">
        <w:rPr>
          <w:rFonts w:eastAsiaTheme="minorHAnsi"/>
        </w:rPr>
        <w:t>were sensitive to</w:t>
      </w:r>
      <w:r w:rsidR="00217943" w:rsidRPr="00701004">
        <w:rPr>
          <w:rFonts w:eastAsiaTheme="minorHAnsi"/>
        </w:rPr>
        <w:t xml:space="preserve"> the magnitude of reward on offer</w:t>
      </w:r>
      <w:r w:rsidR="00DA4E9E" w:rsidRPr="00701004">
        <w:rPr>
          <w:rFonts w:eastAsiaTheme="minorHAnsi"/>
        </w:rPr>
        <w:t>.</w:t>
      </w:r>
      <w:r w:rsidR="00217943" w:rsidRPr="00701004">
        <w:rPr>
          <w:rFonts w:eastAsiaTheme="minorHAnsi"/>
        </w:rPr>
        <w:t xml:space="preserve"> </w:t>
      </w:r>
      <w:bookmarkStart w:id="12" w:name="_Hlk71709326"/>
      <w:bookmarkStart w:id="13" w:name="_Hlk70517557"/>
      <w:bookmarkStart w:id="14" w:name="_Hlk70583542"/>
      <w:r w:rsidR="0017086D" w:rsidRPr="00701004">
        <w:rPr>
          <w:rFonts w:eastAsiaTheme="minorHAnsi"/>
          <w:iCs/>
        </w:rPr>
        <w:t>There is evidence that sensitivity to reward magnitude is influenced by self-control, specifically the recruitment of cognitive resources during decision-making</w:t>
      </w:r>
      <w:r w:rsidR="0017086D" w:rsidRPr="00701004">
        <w:rPr>
          <w:rFonts w:eastAsiaTheme="minorHAnsi"/>
          <w:iCs/>
        </w:rPr>
        <w:fldChar w:fldCharType="begin" w:fldLock="1"/>
      </w:r>
      <w:r w:rsidR="00546949" w:rsidRPr="00701004">
        <w:rPr>
          <w:rFonts w:eastAsiaTheme="minorHAnsi"/>
          <w:iCs/>
        </w:rPr>
        <w:instrText xml:space="preserve"> ADDIN ZOTERO_ITEM CSL_CITATION {"citationID":"71y5uUEG","properties":{"formattedCitation":"\\super 18\\nosupersub{}","plainCitation":"18","noteIndex":0},"citationItems":[{"id":"3dXyczz3/j0wHSwhg","uris":["http://www.mendeley.com/documents/?uuid=2e507946-13ca-4c64-bc3c-86ff3cd50771"],"uri":["http://www.mendeley.com/documents/?uuid=2e507946-13ca-4c64-bc3c-86ff3cd50771"],"itemData":{"DOI":"10.1177/0956797617711455","ISSN":"14679280","abstract":"Impulsivity is a variable behavioral trait that depends on numerous factors. For example, increasing the absolute magnitude of available choice options promotes farsighted decisions. We argue that this magnitude effect arises in part from differential exertion of self-control as the perceived importance of the choice increases. First, we demonstrated that frontal executive-control areas were more engaged for more difficult decisions and that this effect was enhanced for high-magnitude rewards. Second, we showed that increased hunger, which is associated with lower self-control, reduced the magnitude effect. Third, we tested an intervention designed to increase self-control and showed that it reduced the magnitude effect. Taken together, our findings challenge existing theories about the magnitude effect and suggest that visceral and cognitive factors affecting choice may do so by influencing self-control.","author":[{"dropping-particle":"","family":"Ballard","given":"Ian C.","non-dropping-particle":"","parse-names":false,"suffix":""},{"dropping-particle":"","family":"Kim","given":"Bokyung","non-dropping-particle":"","parse-names":false,"suffix":""},{"dropping-particle":"","family":"Liatsis","given":"Anthony","non-dropping-particle":"","parse-names":false,"suffix":""},{"dropping-particle":"","family":"Aydogan","given":"Gökhan","non-dropping-particle":"","parse-names":false,"suffix":""},{"dropping-particle":"","family":"Cohen","given":"Jonathan D.","non-dropping-particle":"","parse-names":false,"suffix":""},{"dropping-particle":"","family":"McClure","given":"Samuel M.","non-dropping-particle":"","parse-names":false,"suffix":""}],"container-title":"Psychological Science","id":"ITEM-1","issued":{"date-parts":[["2017"]]},"title":"More Is Meaningful: The Magnitude Effect in Intertemporal Choice Depends on Self-Control","type":"article-journal"}}],"schema":"https://github.com/citation-style-language/schema/raw/master/csl-citation.json"} </w:instrText>
      </w:r>
      <w:r w:rsidR="0017086D" w:rsidRPr="00701004">
        <w:rPr>
          <w:rFonts w:eastAsiaTheme="minorHAnsi"/>
          <w:iCs/>
        </w:rPr>
        <w:fldChar w:fldCharType="separate"/>
      </w:r>
      <w:r w:rsidR="00546949" w:rsidRPr="00701004">
        <w:rPr>
          <w:vertAlign w:val="superscript"/>
        </w:rPr>
        <w:t>18</w:t>
      </w:r>
      <w:r w:rsidR="0017086D" w:rsidRPr="00701004">
        <w:rPr>
          <w:rFonts w:eastAsiaTheme="minorHAnsi"/>
        </w:rPr>
        <w:fldChar w:fldCharType="end"/>
      </w:r>
      <w:r w:rsidR="0017086D" w:rsidRPr="00701004">
        <w:rPr>
          <w:rFonts w:eastAsiaTheme="minorHAnsi"/>
          <w:iCs/>
        </w:rPr>
        <w:t xml:space="preserve">. One possibility is that those who are more sensitive to reward magnitude may struggle to enact social distancing because of a reduced capability to direct cognitive resources towards implementing this behaviour. Whilst speculative, this would be consistent with our finding that these participants reported </w:t>
      </w:r>
      <w:r w:rsidR="00F563C2" w:rsidRPr="00701004">
        <w:rPr>
          <w:rFonts w:eastAsiaTheme="minorHAnsi"/>
          <w:iCs/>
        </w:rPr>
        <w:t xml:space="preserve">a greater reduction in perceived opportunity </w:t>
      </w:r>
      <w:r w:rsidR="0017086D" w:rsidRPr="00701004">
        <w:rPr>
          <w:rFonts w:eastAsiaTheme="minorHAnsi"/>
          <w:iCs/>
        </w:rPr>
        <w:t>to enact social distancing, as measured by the COM-B scale.</w:t>
      </w:r>
      <w:bookmarkEnd w:id="12"/>
    </w:p>
    <w:p w14:paraId="18AAD8F0" w14:textId="241DF049" w:rsidR="003E1636" w:rsidRPr="00701004" w:rsidRDefault="007F1D43" w:rsidP="007F78B4">
      <w:pPr>
        <w:autoSpaceDE w:val="0"/>
        <w:autoSpaceDN w:val="0"/>
        <w:adjustRightInd w:val="0"/>
        <w:spacing w:before="120" w:line="480" w:lineRule="auto"/>
        <w:ind w:firstLine="720"/>
        <w:jc w:val="both"/>
        <w:rPr>
          <w:rFonts w:eastAsiaTheme="minorHAnsi"/>
        </w:rPr>
      </w:pPr>
      <w:bookmarkStart w:id="15" w:name="_Hlk74644155"/>
      <w:bookmarkEnd w:id="13"/>
      <w:bookmarkEnd w:id="14"/>
      <w:r w:rsidRPr="00701004">
        <w:rPr>
          <w:rFonts w:eastAsiaTheme="minorHAnsi"/>
        </w:rPr>
        <w:t>We also found that anxiety moderated the relationship between</w:t>
      </w:r>
      <w:r w:rsidR="001E6B56" w:rsidRPr="00701004">
        <w:rPr>
          <w:rFonts w:eastAsiaTheme="minorHAnsi"/>
        </w:rPr>
        <w:t xml:space="preserve"> participants’ sensitivity to</w:t>
      </w:r>
      <w:r w:rsidRPr="00701004">
        <w:rPr>
          <w:rFonts w:eastAsiaTheme="minorHAnsi"/>
        </w:rPr>
        <w:t xml:space="preserve"> </w:t>
      </w:r>
      <w:r w:rsidR="00B6339A" w:rsidRPr="00701004">
        <w:rPr>
          <w:rFonts w:eastAsiaTheme="minorHAnsi"/>
        </w:rPr>
        <w:t xml:space="preserve">reward magnitude </w:t>
      </w:r>
      <w:r w:rsidRPr="00701004">
        <w:rPr>
          <w:rFonts w:eastAsiaTheme="minorHAnsi"/>
        </w:rPr>
        <w:t xml:space="preserve">and </w:t>
      </w:r>
      <w:r w:rsidR="001E6B56" w:rsidRPr="00701004">
        <w:rPr>
          <w:rFonts w:eastAsiaTheme="minorHAnsi"/>
        </w:rPr>
        <w:t xml:space="preserve">their </w:t>
      </w:r>
      <w:r w:rsidRPr="00701004">
        <w:rPr>
          <w:rFonts w:eastAsiaTheme="minorHAnsi"/>
        </w:rPr>
        <w:t>social distancing adherence</w:t>
      </w:r>
      <w:r w:rsidR="001E6B56" w:rsidRPr="00701004">
        <w:rPr>
          <w:rFonts w:eastAsiaTheme="minorHAnsi"/>
        </w:rPr>
        <w:t xml:space="preserve">. For individuals who scored above the midpoint of our scale for COVID-19 anxiety, less sensitivity towards the magnitude of rewards was associated with greater adherence to social distancing. In contrast, for individuals scoring below the midpoint of our COVID-19 anxiety scale we found the reverse pattern, namely that </w:t>
      </w:r>
      <w:r w:rsidR="001E6B56" w:rsidRPr="00701004">
        <w:rPr>
          <w:rFonts w:eastAsiaTheme="minorHAnsi"/>
          <w:i/>
          <w:iCs/>
        </w:rPr>
        <w:t>greater</w:t>
      </w:r>
      <w:r w:rsidR="001E6B56" w:rsidRPr="00701004">
        <w:rPr>
          <w:rFonts w:eastAsiaTheme="minorHAnsi"/>
        </w:rPr>
        <w:t xml:space="preserve"> sensitivity to reward magnitude was associated with greater adherence to social distancing. As such, </w:t>
      </w:r>
      <w:r w:rsidR="007F78B4" w:rsidRPr="00701004">
        <w:rPr>
          <w:rFonts w:eastAsiaTheme="minorHAnsi"/>
        </w:rPr>
        <w:t xml:space="preserve">whether sensitivity to reward magnitude was a positive or negative predictor of social distancing adherence differed </w:t>
      </w:r>
      <w:r w:rsidR="00195489" w:rsidRPr="00701004">
        <w:rPr>
          <w:rFonts w:eastAsiaTheme="minorHAnsi"/>
        </w:rPr>
        <w:t>according to</w:t>
      </w:r>
      <w:r w:rsidR="007F78B4" w:rsidRPr="00701004">
        <w:rPr>
          <w:rFonts w:eastAsiaTheme="minorHAnsi"/>
        </w:rPr>
        <w:t xml:space="preserve"> the levels of anxiety participants reported towards the COVID-19 pandemic. </w:t>
      </w:r>
      <w:bookmarkStart w:id="16" w:name="_Hlk70669575"/>
      <w:bookmarkStart w:id="17" w:name="_Hlk74643915"/>
      <w:bookmarkStart w:id="18" w:name="_Hlk74643165"/>
      <w:bookmarkStart w:id="19" w:name="_Hlk71709848"/>
      <w:bookmarkStart w:id="20" w:name="_Hlk56329350"/>
      <w:r w:rsidR="003E1636" w:rsidRPr="00701004">
        <w:rPr>
          <w:rFonts w:eastAsiaTheme="minorHAnsi"/>
        </w:rPr>
        <w:t>One tentative interpretation of this finding is that</w:t>
      </w:r>
      <w:r w:rsidR="00A447A6" w:rsidRPr="00701004">
        <w:rPr>
          <w:rFonts w:eastAsiaTheme="minorHAnsi"/>
        </w:rPr>
        <w:t>, for individuals with lower COVID-19 anxiety,</w:t>
      </w:r>
      <w:r w:rsidR="003E1636" w:rsidRPr="00701004">
        <w:rPr>
          <w:rFonts w:eastAsiaTheme="minorHAnsi"/>
        </w:rPr>
        <w:t xml:space="preserve"> a factor involved in these participants’ compliance with social distancing is their sensitivity towards larger delayed rewards that would be attained through adhering to social distancing</w:t>
      </w:r>
      <w:bookmarkEnd w:id="16"/>
      <w:r w:rsidR="003E1636" w:rsidRPr="00701004">
        <w:rPr>
          <w:rFonts w:eastAsiaTheme="minorHAnsi"/>
        </w:rPr>
        <w:t xml:space="preserve"> (for example, arising from expediting the resolution of the pandemic). Future work could examine the perceived costs and benefits motivating social distancing compliance to test this p</w:t>
      </w:r>
      <w:bookmarkEnd w:id="17"/>
      <w:r w:rsidR="003E1636" w:rsidRPr="00701004">
        <w:rPr>
          <w:rFonts w:eastAsiaTheme="minorHAnsi"/>
        </w:rPr>
        <w:t>ossibility</w:t>
      </w:r>
      <w:bookmarkEnd w:id="18"/>
      <w:r w:rsidR="003E1636" w:rsidRPr="00701004">
        <w:rPr>
          <w:rFonts w:eastAsiaTheme="minorHAnsi"/>
        </w:rPr>
        <w:t>.</w:t>
      </w:r>
    </w:p>
    <w:p w14:paraId="3185CADF" w14:textId="4CEA0880" w:rsidR="0097418E" w:rsidRPr="00701004" w:rsidRDefault="00D0068F" w:rsidP="006060AC">
      <w:pPr>
        <w:autoSpaceDE w:val="0"/>
        <w:autoSpaceDN w:val="0"/>
        <w:adjustRightInd w:val="0"/>
        <w:spacing w:before="120" w:line="480" w:lineRule="auto"/>
        <w:ind w:firstLine="720"/>
        <w:jc w:val="both"/>
        <w:rPr>
          <w:rFonts w:eastAsiaTheme="minorHAnsi"/>
        </w:rPr>
      </w:pPr>
      <w:bookmarkStart w:id="21" w:name="_Hlk70670248"/>
      <w:bookmarkEnd w:id="15"/>
      <w:bookmarkEnd w:id="19"/>
      <w:bookmarkEnd w:id="20"/>
      <w:r w:rsidRPr="00701004">
        <w:rPr>
          <w:rFonts w:eastAsiaTheme="minorHAnsi"/>
        </w:rPr>
        <w:lastRenderedPageBreak/>
        <w:t>The findings of the present study may have implications for public health bodies seeking to increase compliance with social distancing, as t</w:t>
      </w:r>
      <w:r w:rsidR="00444FA1" w:rsidRPr="00701004">
        <w:rPr>
          <w:rFonts w:eastAsiaTheme="minorHAnsi"/>
        </w:rPr>
        <w:t>here is evidence that delay discounting is amenable to intervention</w:t>
      </w:r>
      <w:r w:rsidR="00801E80" w:rsidRPr="00701004">
        <w:rPr>
          <w:rFonts w:eastAsiaTheme="minorHAnsi"/>
        </w:rPr>
        <w:fldChar w:fldCharType="begin" w:fldLock="1"/>
      </w:r>
      <w:r w:rsidR="00546949" w:rsidRPr="00701004">
        <w:rPr>
          <w:rFonts w:eastAsiaTheme="minorHAnsi"/>
        </w:rPr>
        <w:instrText xml:space="preserve"> ADDIN ZOTERO_ITEM CSL_CITATION {"citationID":"GweL4wRa","properties":{"formattedCitation":"\\super 27,28\\nosupersub{}","plainCitation":"27,28","noteIndex":0},"citationItems":[{"id":"3dXyczz3/izxlHhSD","uris":["http://www.mendeley.com/documents/?uuid=afe2b91c-45ea-4d41-bc85-1f2b30194d4d"],"uri":["http://www.mendeley.com/documents/?uuid=afe2b91c-45ea-4d41-bc85-1f2b30194d4d"],"itemData":{"DOI":"10.1016/j.biopsych.2010.08.017","ISSN":"00063223","abstract":"Background: Excessive discounting of future rewards has been observed in a variety of disorders and has been linked both to valuation of the past and to memory of past events. Methods: To explore the functionality of discounting and memory, we examined whether training of working memory would result in less discounting of future rewards. In this study, 27 adults in treatment for stimulant use were randomly assigned to receive either working memory training or control training according to a yoked experimental design. Measures of delay discounting and several other cognitive behaviors were assessed pre- and posttraining. Results: Rates of discounting of delayed rewards were significantly reduced among those who received memory training but were unchanged among those who received control training; other cognitive assessments were not affected by memory training. Discount rates were positively correlated with memory training performance measures. Conclusions: To our knowledge, this is the first study demonstrating that neurocognitive training on working memory decreases delay discounting. These results offer further evidence of a functional relationship between delay discounting and working memory. © 2011 Society of Biological Psychiatry.","author":[{"dropping-particle":"","family":"Bickel","given":"Warren K.","non-dropping-particle":"","parse-names":false,"suffix":""},{"dropping-particle":"","family":"Yi","given":"Richard","non-dropping-particle":"","parse-names":false,"suffix":""},{"dropping-particle":"","family":"Landes","given":"Reid D.","non-dropping-particle":"","parse-names":false,"suffix":""},{"dropping-particle":"","family":"Hill","given":"Paul F.","non-dropping-particle":"","parse-names":false,"suffix":""},{"dropping-particle":"","family":"Baxter","given":"Carole","non-dropping-particle":"","parse-names":false,"suffix":""}],"container-title":"Biological Psychiatry","id":"ITEM-1","issued":{"date-parts":[["2011"]]},"title":"Remember the future: Working memory training decreases delay discounting among stimulant addicts","type":"article-journal"}},{"id":"3dXyczz3/UXJKebcC","uris":["http://www.mendeley.com/documents/?uuid=eeecbf17-3eed-4224-b743-4a278670295c"],"uri":["http://www.mendeley.com/documents/?uuid=eeecbf17-3eed-4224-b743-4a278670295c"],"itemData":{"DOI":"10.1007/s11065-018-9376-6","ISSN":"15736660","PMID":"29730846","abstract":"Impulsivity is a multi-dimensional construct that is regarded as a symptom of many psychiatric disorders. Harm resulting from impulsive behaviour can be substantial for the individuals concerned, for their social network, and for wider society. Therefore, the importance of developing therapeutic interventions to target impulsivity is paramount. We conducted a systematic review and meta-analysis of the literature from AMED, Embase, Medline, and PsycINFO databases on the use of repetitive transcranial magnetic stimulation (rTMS) in healthy adults to modulate different subdomains (motor, temporal and reflection) of impulsivity. The results indicated that rTMS has distinct effects on different impulsivity subdomains. It has a significant, albeit small, effect on modulating motor impulsivity (g = 0.30, 95% CI, 0.17 to 0.43, p &lt;.001) and a moderate effect on temporal impulsivity (g = 0.59, 95% CI, 0.32 to 0.86, p &lt;.001). Subgroup analyses (e.g., excitatory vs. inhibitory rTMS, conventional rTMS vs. theta burst stimulation, analyses by stimulation sites, and type of outcome measure used) identified key parameters associated with the effects of rTMS on motor and temporal impulsivity. Age, sex, stimulation intensity and the number of pulses were not significant moderators for effects of rTMS on motor impulsivity. Due to lack of sufficient data to inform a meta-analysis, it has not been possible to assess the effects of rTMS on reflection impulsivity. The present findings provide preliminary evidence that rTMS can be used to modulate motor and temporal impulsivity in healthy individuals. Further studies are required to extend the use of rTMS to modulate impulsivity in those at most risk of engaging in harmful behaviour as a result of impulsivity, such as patients with offending histories and those with a history of self-harming behaviour.","author":[{"dropping-particle":"","family":"Yang","given":"Cheng Chang","non-dropping-particle":"","parse-names":false,"suffix":""},{"dropping-particle":"","family":"Völlm","given":"Birgit","non-dropping-particle":"","parse-names":false,"suffix":""},{"dropping-particle":"","family":"Khalifa","given":"Najat","non-dropping-particle":"","parse-names":false,"suffix":""}],"container-title":"Neuropsychology Review","id":"ITEM-2","issued":{"date-parts":[["2018"]]},"title":"The Effects of rTMS on Impulsivity in Normal Adults: a Systematic Review and Meta-Analysis","type":"article"}}],"schema":"https://github.com/citation-style-language/schema/raw/master/csl-citation.json"} </w:instrText>
      </w:r>
      <w:r w:rsidR="00801E80" w:rsidRPr="00701004">
        <w:rPr>
          <w:rFonts w:eastAsiaTheme="minorHAnsi"/>
        </w:rPr>
        <w:fldChar w:fldCharType="separate"/>
      </w:r>
      <w:r w:rsidR="00546949" w:rsidRPr="00701004">
        <w:rPr>
          <w:vertAlign w:val="superscript"/>
        </w:rPr>
        <w:t>27,28</w:t>
      </w:r>
      <w:r w:rsidR="00801E80" w:rsidRPr="00701004">
        <w:rPr>
          <w:rFonts w:eastAsiaTheme="minorHAnsi"/>
        </w:rPr>
        <w:fldChar w:fldCharType="end"/>
      </w:r>
      <w:r w:rsidR="009D690E" w:rsidRPr="00701004">
        <w:rPr>
          <w:rFonts w:eastAsiaTheme="minorHAnsi"/>
        </w:rPr>
        <w:t xml:space="preserve">. For example, episodic future thinking can reduce delay </w:t>
      </w:r>
      <w:r w:rsidR="007B0919" w:rsidRPr="00701004">
        <w:rPr>
          <w:rFonts w:eastAsiaTheme="minorHAnsi"/>
        </w:rPr>
        <w:t>discounting,</w:t>
      </w:r>
      <w:r w:rsidR="009D690E" w:rsidRPr="00701004">
        <w:rPr>
          <w:rFonts w:eastAsiaTheme="minorHAnsi"/>
        </w:rPr>
        <w:t xml:space="preserve"> and </w:t>
      </w:r>
      <w:r w:rsidR="00C71A1C" w:rsidRPr="00701004">
        <w:rPr>
          <w:rFonts w:eastAsiaTheme="minorHAnsi"/>
        </w:rPr>
        <w:t>this decline in discounting</w:t>
      </w:r>
      <w:r w:rsidR="009D690E" w:rsidRPr="00701004">
        <w:rPr>
          <w:rFonts w:eastAsiaTheme="minorHAnsi"/>
        </w:rPr>
        <w:t xml:space="preserve"> </w:t>
      </w:r>
      <w:r w:rsidR="00C71A1C" w:rsidRPr="00701004">
        <w:rPr>
          <w:rFonts w:eastAsiaTheme="minorHAnsi"/>
        </w:rPr>
        <w:t>has</w:t>
      </w:r>
      <w:r w:rsidR="009D690E" w:rsidRPr="00701004">
        <w:rPr>
          <w:rFonts w:eastAsiaTheme="minorHAnsi"/>
        </w:rPr>
        <w:t xml:space="preserve"> been associated with a </w:t>
      </w:r>
      <w:r w:rsidR="00C71A1C" w:rsidRPr="00701004">
        <w:rPr>
          <w:rFonts w:eastAsiaTheme="minorHAnsi"/>
        </w:rPr>
        <w:t>reduction</w:t>
      </w:r>
      <w:r w:rsidR="009D690E" w:rsidRPr="00701004">
        <w:rPr>
          <w:rFonts w:eastAsiaTheme="minorHAnsi"/>
        </w:rPr>
        <w:t xml:space="preserve"> in harmful health behaviours, such as cigarette smoking and </w:t>
      </w:r>
      <w:r w:rsidR="00582AD1" w:rsidRPr="00701004">
        <w:rPr>
          <w:rFonts w:eastAsiaTheme="minorHAnsi"/>
        </w:rPr>
        <w:t>fast-food</w:t>
      </w:r>
      <w:r w:rsidR="009D690E" w:rsidRPr="00701004">
        <w:rPr>
          <w:rFonts w:eastAsiaTheme="minorHAnsi"/>
        </w:rPr>
        <w:t xml:space="preserve"> </w:t>
      </w:r>
      <w:r w:rsidR="001978FA" w:rsidRPr="00701004">
        <w:rPr>
          <w:rFonts w:eastAsiaTheme="minorHAnsi"/>
        </w:rPr>
        <w:t>consumption</w:t>
      </w:r>
      <w:r w:rsidR="00801E80" w:rsidRPr="00701004">
        <w:rPr>
          <w:rFonts w:eastAsiaTheme="minorHAnsi"/>
        </w:rPr>
        <w:fldChar w:fldCharType="begin" w:fldLock="1"/>
      </w:r>
      <w:r w:rsidR="00546949" w:rsidRPr="00701004">
        <w:rPr>
          <w:rFonts w:eastAsiaTheme="minorHAnsi"/>
        </w:rPr>
        <w:instrText xml:space="preserve"> ADDIN ZOTERO_ITEM CSL_CITATION {"citationID":"CM30kvlR","properties":{"formattedCitation":"\\super 29,30\\nosupersub{}","plainCitation":"29,30","noteIndex":0},"citationItems":[{"id":"3dXyczz3/6br4oWyi","uris":["http://www.mendeley.com/documents/?uuid=64fa5999-2357-401e-a550-694822a4e10c"],"uri":["http://www.mendeley.com/documents/?uuid=64fa5999-2357-401e-a550-694822a4e10c"],"itemData":{"DOI":"10.1007/s00213-016-4410-y","ISSN":"14322072","PMID":"27553824","abstract":"Rationale: Delay discounting, or the devaluation of delayed outcomes, appears to play an etiological role in tobacco and other substance-use disorders. Objectives: No human studies to our knowledge have been designed to examine whether experimental reductions in delay discounting produce concomitant reduction in drug use. Methods: Using methods from prior studies on delay discounting and obesity, we examined the effects of episodic future thinking (EFT; a form of mental prospection) on delay discounting and cigarette self-administration in smokers. Results: Consistent with prior data, EFT significantly reduced both delay discounting (Cohen’s d effect size = 0.65) and the number of cigarette puffs earned in a cigarette self-administration task (d = 0.58). Conclusions: The effects of EFT on delay discounting generalize to smokers; EFT also reduces laboratory-based cigarette self-administration. Potential mechanisms of EFT’s effects are discussed as well as implications of EFT for clinical treatment of substance-use disorders.","author":[{"dropping-particle":"","family":"Stein","given":"Jeffrey S.","non-dropping-particle":"","parse-names":false,"suffix":""},{"dropping-particle":"","family":"Wilson","given":"A. George","non-dropping-particle":"","parse-names":false,"suffix":""},{"dropping-particle":"","family":"Koffarnus","given":"Mikhail N.","non-dropping-particle":"","parse-names":false,"suffix":""},{"dropping-particle":"","family":"Daniel","given":"Tinuke Oluyomi","non-dropping-particle":"","parse-names":false,"suffix":""},{"dropping-particle":"","family":"Epstein","given":"Leonard H.","non-dropping-particle":"","parse-names":false,"suffix":""},{"dropping-particle":"","family":"Bickel","given":"Warren K.","non-dropping-particle":"","parse-names":false,"suffix":""}],"container-title":"Psychopharmacology","id":"ITEM-1","issued":{"date-parts":[["2016"]]},"title":"Unstuck in time: episodic future thinking reduces delay discounting and cigarette smoking","type":"article-journal"}},{"id":"3dXyczz3/MzVY3oyE","uris":["http://www.mendeley.com/documents/?uuid=d4665a4c-4de2-47c6-91ff-c65daefdf510"],"uri":["http://www.mendeley.com/documents/?uuid=d4665a4c-4de2-47c6-91ff-c65daefdf510"],"itemData":{"DOI":"10.1177/2167702617696511","ISSN":"21677034","abstract":"Obesity is associated with steep discounting of the future and increased food reinforcement. Episodic future thinking (EFT), a type of prospective thinking, has been observed to reduce delay discounting (DD) and improve dietary decision making. In contrast, negative income shock (i.e., abrupt transitions to poverty) has been shown to increase discounting and may worsen dietary decision making. Scalability of EFT training and protective effects of EFT against simulated negative income shock on DD and demand for food were assessed. In two experiments, we showed online-administered EFT reliably reduced DD. Furthermore, EFT reduced DD and demand for fast foods even when challenged by negative income shock. Our findings suggest EFT is a scalable intervention that has implications for improving public health by reducing discounting of the future and demand for high energy dense food.","author":[{"dropping-particle":"","family":"Sze","given":"Yan Yan","non-dropping-particle":"","parse-names":false,"suffix":""},{"dropping-particle":"","family":"Stein","given":"Jeffrey S.","non-dropping-particle":"","parse-names":false,"suffix":""},{"dropping-particle":"","family":"Bickel","given":"Warren K.","non-dropping-particle":"","parse-names":false,"suffix":""},{"dropping-particle":"","family":"Paluch","given":"Rocco A.","non-dropping-particle":"","parse-names":false,"suffix":""},{"dropping-particle":"","family":"Epstein","given":"Leonard H.","non-dropping-particle":"","parse-names":false,"suffix":""}],"container-title":"Clinical Psychological Science","id":"ITEM-2","issued":{"date-parts":[["2017"]]},"title":"Bleak Present, Bright Future: Online Episodic Future Thinking, Scarcity, Delay Discounting, and Food Demand","type":"article-journal"}}],"schema":"https://github.com/citation-style-language/schema/raw/master/csl-citation.json"} </w:instrText>
      </w:r>
      <w:r w:rsidR="00801E80" w:rsidRPr="00701004">
        <w:rPr>
          <w:rFonts w:eastAsiaTheme="minorHAnsi"/>
        </w:rPr>
        <w:fldChar w:fldCharType="separate"/>
      </w:r>
      <w:r w:rsidR="00546949" w:rsidRPr="00701004">
        <w:rPr>
          <w:vertAlign w:val="superscript"/>
        </w:rPr>
        <w:t>29,30</w:t>
      </w:r>
      <w:r w:rsidR="00801E80" w:rsidRPr="00701004">
        <w:rPr>
          <w:rFonts w:eastAsiaTheme="minorHAnsi"/>
        </w:rPr>
        <w:fldChar w:fldCharType="end"/>
      </w:r>
      <w:r w:rsidR="009D690E" w:rsidRPr="00701004">
        <w:rPr>
          <w:rFonts w:eastAsiaTheme="minorHAnsi"/>
        </w:rPr>
        <w:t xml:space="preserve">. </w:t>
      </w:r>
      <w:r w:rsidR="00444FA1" w:rsidRPr="00701004">
        <w:rPr>
          <w:rFonts w:eastAsiaTheme="minorHAnsi"/>
        </w:rPr>
        <w:t xml:space="preserve">Whether </w:t>
      </w:r>
      <w:r w:rsidR="00164BAE" w:rsidRPr="00701004">
        <w:rPr>
          <w:rFonts w:eastAsiaTheme="minorHAnsi"/>
        </w:rPr>
        <w:t>such</w:t>
      </w:r>
      <w:r w:rsidR="00444FA1" w:rsidRPr="00701004">
        <w:rPr>
          <w:rFonts w:eastAsiaTheme="minorHAnsi"/>
        </w:rPr>
        <w:t xml:space="preserve"> interventions can be translated to</w:t>
      </w:r>
      <w:r w:rsidR="009D690E" w:rsidRPr="00701004">
        <w:rPr>
          <w:rFonts w:eastAsiaTheme="minorHAnsi"/>
        </w:rPr>
        <w:t xml:space="preserve"> the COVID-19 </w:t>
      </w:r>
      <w:r w:rsidR="00DF6642" w:rsidRPr="00701004">
        <w:rPr>
          <w:rFonts w:eastAsiaTheme="minorHAnsi"/>
        </w:rPr>
        <w:t>pandemic</w:t>
      </w:r>
      <w:r w:rsidR="009D690E" w:rsidRPr="00701004">
        <w:rPr>
          <w:rFonts w:eastAsiaTheme="minorHAnsi"/>
        </w:rPr>
        <w:t xml:space="preserve"> to increase compliance with social distancing measures </w:t>
      </w:r>
      <w:r w:rsidR="00444FA1" w:rsidRPr="00701004">
        <w:rPr>
          <w:rFonts w:eastAsiaTheme="minorHAnsi"/>
        </w:rPr>
        <w:t xml:space="preserve">will be an important avenue for future research. </w:t>
      </w:r>
      <w:bookmarkStart w:id="22" w:name="_Hlk71041300"/>
      <w:r w:rsidR="003E1636" w:rsidRPr="00701004">
        <w:rPr>
          <w:rFonts w:eastAsiaTheme="minorHAnsi"/>
        </w:rPr>
        <w:t>However, it is important to note that the effect sizes for both tasks were relatively small, meaning</w:t>
      </w:r>
      <w:r w:rsidR="006B2823" w:rsidRPr="00701004">
        <w:rPr>
          <w:rFonts w:eastAsiaTheme="minorHAnsi"/>
        </w:rPr>
        <w:t xml:space="preserve"> the processes measured by</w:t>
      </w:r>
      <w:r w:rsidR="003E1636" w:rsidRPr="00701004">
        <w:rPr>
          <w:rFonts w:eastAsiaTheme="minorHAnsi"/>
        </w:rPr>
        <w:t xml:space="preserve"> these tasks may only make a small contribution to individuals’ compliance with social distancing, whereas other variables (particularly age) appear to play a larger role. </w:t>
      </w:r>
    </w:p>
    <w:p w14:paraId="2E3DB563" w14:textId="596895F4" w:rsidR="005C50DD" w:rsidRPr="00701004" w:rsidRDefault="003E1636" w:rsidP="00A76BBE">
      <w:pPr>
        <w:autoSpaceDE w:val="0"/>
        <w:autoSpaceDN w:val="0"/>
        <w:adjustRightInd w:val="0"/>
        <w:spacing w:before="120" w:line="480" w:lineRule="auto"/>
        <w:ind w:firstLine="720"/>
        <w:jc w:val="both"/>
        <w:rPr>
          <w:rFonts w:eastAsiaTheme="minorHAnsi"/>
        </w:rPr>
      </w:pPr>
      <w:r w:rsidRPr="00701004">
        <w:rPr>
          <w:rFonts w:eastAsiaTheme="minorHAnsi"/>
        </w:rPr>
        <w:t xml:space="preserve">It is also possible that additionally </w:t>
      </w:r>
      <w:r w:rsidR="003C7DF5" w:rsidRPr="00701004">
        <w:rPr>
          <w:rFonts w:eastAsiaTheme="minorHAnsi"/>
        </w:rPr>
        <w:t>measuring</w:t>
      </w:r>
      <w:r w:rsidR="0097418E" w:rsidRPr="00701004">
        <w:rPr>
          <w:rFonts w:eastAsiaTheme="minorHAnsi"/>
        </w:rPr>
        <w:t xml:space="preserve"> other</w:t>
      </w:r>
      <w:r w:rsidR="00066457" w:rsidRPr="00701004">
        <w:rPr>
          <w:rFonts w:eastAsiaTheme="minorHAnsi"/>
        </w:rPr>
        <w:t xml:space="preserve"> relevant</w:t>
      </w:r>
      <w:r w:rsidR="0097418E" w:rsidRPr="00701004">
        <w:rPr>
          <w:rFonts w:eastAsiaTheme="minorHAnsi"/>
        </w:rPr>
        <w:t xml:space="preserve"> cognitive processes, such as</w:t>
      </w:r>
      <w:r w:rsidRPr="00701004">
        <w:rPr>
          <w:rFonts w:eastAsiaTheme="minorHAnsi"/>
        </w:rPr>
        <w:t xml:space="preserve"> discounting in the loss domain (not quantified in the current study) could yield stronger predictive value for social distancing compliance</w:t>
      </w:r>
      <w:r w:rsidR="00801E80" w:rsidRPr="00701004">
        <w:rPr>
          <w:rFonts w:eastAsiaTheme="minorHAnsi"/>
        </w:rPr>
        <w:fldChar w:fldCharType="begin" w:fldLock="1"/>
      </w:r>
      <w:r w:rsidR="00546949" w:rsidRPr="00701004">
        <w:rPr>
          <w:rFonts w:eastAsiaTheme="minorHAnsi"/>
        </w:rPr>
        <w:instrText xml:space="preserve"> ADDIN ZOTERO_ITEM CSL_CITATION {"citationID":"HxLV2p3w","properties":{"formattedCitation":"\\super 31\\nosupersub{}","plainCitation":"31","noteIndex":0},"citationItems":[{"id":"3dXyczz3/Z5GmW01t","uris":["http://www.mendeley.com/documents/?uuid=4cab863e-7afa-445d-981f-4c0cb95e2ad4"],"uri":["http://www.mendeley.com/documents/?uuid=4cab863e-7afa-445d-981f-4c0cb95e2ad4"],"itemData":{"DOI":"10.1002/jeab.2","ISSN":"19383711","PMID":"23344987","abstract":"Excessively devaluing delayed reinforcers co-occurs with a wide variety of clinical conditions such as drug dependence, obesity, and excessive gambling. If excessive delay discounting is a trans-disease process that underlies the choice behavior leading to these and other negative health conditions, efforts to change an individual's discount rate are arguably important. Although discount rate is often regarded as a relatively stable trait, descriptions of interventions and environmental manipulations that successfully alter discount rate have begun to appear in the literature. In this review, we compare published examples of procedures that change discount rate and classify them into categories of procedures, including therapeutic interventions, direct manipulation of the executive decision-making system, framing effects, physiological state effects, and acute drug effects. These changes in discount rate are interpreted from the perspective of the competing neurobehavioral decision systems theory, which describes a combination of neurological and behavioral processes that account for delay discounting. We also suggest future directions that researchers could take to identify the mechanistic processes that allow for changes in discount rate and to test whether the competing neurobehavioral decision systems view of delay discounting is correct.","author":[{"dropping-particle":"","family":"Koffarnus","given":"Mikhail N.","non-dropping-particle":"","parse-names":false,"suffix":""},{"dropping-particle":"","family":"Jarmolowicz","given":"David P.","non-dropping-particle":"","parse-names":false,"suffix":""},{"dropping-particle":"","family":"Mueller","given":"E. Terry","non-dropping-particle":"","parse-names":false,"suffix":""},{"dropping-particle":"","family":"Bickel","given":"Warren K.","non-dropping-particle":"","parse-names":false,"suffix":""}],"container-title":"Journal of the Experimental Analysis of Behavior","id":"ITEM-1","issued":{"date-parts":[["2013"]]},"title":"Changing delay discounting in the light of the competing neurobehavioral decision systems theory: A review","type":"article"}}],"schema":"https://github.com/citation-style-language/schema/raw/master/csl-citation.json"} </w:instrText>
      </w:r>
      <w:r w:rsidR="00801E80" w:rsidRPr="00701004">
        <w:rPr>
          <w:rFonts w:eastAsiaTheme="minorHAnsi"/>
        </w:rPr>
        <w:fldChar w:fldCharType="separate"/>
      </w:r>
      <w:r w:rsidR="00546949" w:rsidRPr="00701004">
        <w:rPr>
          <w:vertAlign w:val="superscript"/>
        </w:rPr>
        <w:t>31</w:t>
      </w:r>
      <w:r w:rsidR="00801E80" w:rsidRPr="00701004">
        <w:rPr>
          <w:rFonts w:eastAsiaTheme="minorHAnsi"/>
        </w:rPr>
        <w:fldChar w:fldCharType="end"/>
      </w:r>
      <w:r w:rsidRPr="00701004">
        <w:rPr>
          <w:rFonts w:eastAsiaTheme="minorHAnsi"/>
        </w:rPr>
        <w:t>. A related possibility is that discounting of social rewards</w:t>
      </w:r>
      <w:r w:rsidR="00801E80" w:rsidRPr="00701004">
        <w:rPr>
          <w:rFonts w:eastAsiaTheme="minorHAnsi"/>
        </w:rPr>
        <w:fldChar w:fldCharType="begin" w:fldLock="1"/>
      </w:r>
      <w:r w:rsidR="00546949" w:rsidRPr="00701004">
        <w:rPr>
          <w:rFonts w:eastAsiaTheme="minorHAnsi"/>
        </w:rPr>
        <w:instrText xml:space="preserve"> ADDIN ZOTERO_ITEM CSL_CITATION {"citationID":"2u8CpSCh","properties":{"formattedCitation":"\\super 32\\nosupersub{}","plainCitation":"32","noteIndex":0},"citationItems":[{"id":"3dXyczz3/Yj7HKNLA","uris":["http://www.mendeley.com/documents/?uuid=703672ab-35f6-4185-8826-78108cd42388"],"uri":["http://www.mendeley.com/documents/?uuid=703672ab-35f6-4185-8826-78108cd42388"],"itemData":{"DOI":"10.1111/j.1467-9280.2006.01699.x","ISSN":"09567976","PMID":"16623683","abstract":"The amount of money a person was willing to forgo in order to give $75 to another person decreased as a hyperbolic function of the perceived social distance between them. Similar hyperbolic functions have previously been shown to describe both time and probability discounting. Copyright © 2006 Association for Psychological Science.","author":[{"dropping-particle":"","family":"Jones","given":"Bryan","non-dropping-particle":"","parse-names":false,"suffix":""},{"dropping-particle":"","family":"Rachlin","given":"Howard","non-dropping-particle":"","parse-names":false,"suffix":""}],"container-title":"Psychological Science","id":"ITEM-1","issued":{"date-parts":[["2006"]]},"title":"Social discounting","type":"article-journal"}}],"schema":"https://github.com/citation-style-language/schema/raw/master/csl-citation.json"} </w:instrText>
      </w:r>
      <w:r w:rsidR="00801E80" w:rsidRPr="00701004">
        <w:rPr>
          <w:rFonts w:eastAsiaTheme="minorHAnsi"/>
        </w:rPr>
        <w:fldChar w:fldCharType="separate"/>
      </w:r>
      <w:r w:rsidR="00546949" w:rsidRPr="00701004">
        <w:rPr>
          <w:vertAlign w:val="superscript"/>
        </w:rPr>
        <w:t>32</w:t>
      </w:r>
      <w:r w:rsidR="00801E80" w:rsidRPr="00701004">
        <w:rPr>
          <w:rFonts w:eastAsiaTheme="minorHAnsi"/>
        </w:rPr>
        <w:fldChar w:fldCharType="end"/>
      </w:r>
      <w:r w:rsidRPr="00701004">
        <w:rPr>
          <w:rFonts w:eastAsiaTheme="minorHAnsi"/>
        </w:rPr>
        <w:t xml:space="preserve"> </w:t>
      </w:r>
      <w:r w:rsidR="006060AC" w:rsidRPr="00701004">
        <w:rPr>
          <w:rFonts w:eastAsiaTheme="minorHAnsi"/>
        </w:rPr>
        <w:t xml:space="preserve">is </w:t>
      </w:r>
      <w:r w:rsidR="00A76BBE" w:rsidRPr="00701004">
        <w:rPr>
          <w:rFonts w:eastAsiaTheme="minorHAnsi"/>
        </w:rPr>
        <w:t>another</w:t>
      </w:r>
      <w:r w:rsidR="006060AC" w:rsidRPr="00701004">
        <w:rPr>
          <w:rFonts w:eastAsiaTheme="minorHAnsi"/>
        </w:rPr>
        <w:t xml:space="preserve"> mechanism involved in social distancing that is dissociable from monetary discounting</w:t>
      </w:r>
      <w:r w:rsidR="00801E80" w:rsidRPr="00701004">
        <w:rPr>
          <w:rFonts w:eastAsiaTheme="minorHAnsi"/>
        </w:rPr>
        <w:fldChar w:fldCharType="begin" w:fldLock="1"/>
      </w:r>
      <w:r w:rsidR="00546949" w:rsidRPr="00701004">
        <w:rPr>
          <w:rFonts w:eastAsiaTheme="minorHAnsi"/>
        </w:rPr>
        <w:instrText xml:space="preserve"> ADDIN ZOTERO_ITEM CSL_CITATION {"citationID":"Oead2zgq","properties":{"formattedCitation":"\\super 33,34\\nosupersub{}","plainCitation":"33,34","noteIndex":0},"citationItems":[{"id":"3dXyczz3/pxu6wkb4","uris":["http://www.mendeley.com/documents/?uuid=8b562e47-796d-452c-9be3-3463280a4e40"],"uri":["http://www.mendeley.com/documents/?uuid=8b562e47-796d-452c-9be3-3463280a4e40"],"itemData":{"DOI":"10.1007/s40732-019-00340-x","ISSN":"21633452","abstract":"Discounting refers to decreases in the subjective value of an outcome with increases in some attribute of that outcome. The attributes most commonly studied are delay and probability, with far less research on effort and social discounting. Although these attributes all represent costs that reduce subjective value, it is as yet unclear how the extent to which they do so is related at the individual level. Accordingly, the present study examined the degree to which individual participants discounted hypothetical monetary rewards on each of four discounting tasks in which the delay, probability, effort, and number of people with whom the money was to be shared were manipulated. At the group level, larger amounts were discounted less steeply than smaller amounts when delay and effort were varied, whereas larger amounts were discounted more steeply when probability and number of people were varied. At the individual level, the correlational pattern was examined using exploratory factor analysis. A six-factor structure (with separate factors for delay and effort, and two factors each for social and probability discounting) described the relations among indifference points. At a more molar level, a two-factor structure, which corresponded to the direction of the observed magnitude effects, described the relations among area-under-the-curve measures of discounting in the eight conditions resulting from crossing two monetary amounts with the four cost factors. We conclude that despite sharing some similarities, individual and group differences in discounting involving the different types of costs reflect mostly separate processes and traits.","author":[{"dropping-particle":"","family":"Białaszek","given":"Wojciech","non-dropping-particle":"","parse-names":false,"suffix":""},{"dropping-particle":"","family":"Ostaszewski","given":"Paweł","non-dropping-particle":"","parse-names":false,"suffix":""},{"dropping-particle":"","family":"Green","given":"Leonard","non-dropping-particle":"","parse-names":false,"suffix":""},{"dropping-particle":"","family":"Myerson","given":"Joel","non-dropping-particle":"","parse-names":false,"suffix":""}],"container-title":"Psychological Record","id":"ITEM-1","issued":{"date-parts":[["2019"]]},"title":"On Four Types of Devaluation of Outcomes Due to Their Costs: Delay, Probability, Effort, and Social Discounting","type":"article-journal"}},{"id":"3dXyczz3/wnsDkmrQ","uris":["http://www.mendeley.com/documents/?uuid=6229e87f-1dbb-4a19-b99d-286e8f234684"],"uri":["http://www.mendeley.com/documents/?uuid=6229e87f-1dbb-4a19-b99d-286e8f234684"],"itemData":{"DOI":"10.1080/00221309.2010.484449","ISSN":"00221309","PMID":"20718227","abstract":"When outcomes are delayed, their value is decreased. Delay discounting is a much-studied topic because it is correlated with certain disorders (e.g., pathological gambling). The present study attempts to determine how people would delay discount a number of different commodities, ranging from money to dating partners to federal education legislation. Participants completed delay discounting tasks pertaining to 5 different commodities, with a different set of 5 commodities for 2 groups. Results showed that different commodities were often discounted differently. Both data sets were also subjected to factor analysis. A 2-factor solution was found for both, suggesting that there are multiple \"domains\" of commodities. This finding is of interest because it suggests that measuring delay discounting for one commodity within a particular domain of commodities will be predictive of how people discount other commodities within that domain but will not be predictive of how they discount commodities within another domain. © 2010 Taylor &amp; Francis Group, LLC.","author":[{"dropping-particle":"","family":"Weatherly","given":"Jeffrey N.","non-dropping-particle":"","parse-names":false,"suffix":""},{"dropping-particle":"","family":"Terrell","given":"Heather K.","non-dropping-particle":"","parse-names":false,"suffix":""},{"dropping-particle":"","family":"Derenne","given":"Adam","non-dropping-particle":"","parse-names":false,"suffix":""}],"container-title":"Journal of General Psychology","id":"ITEM-2","issued":{"date-parts":[["2010"]]},"title":"Delay discounting of different commodities","type":"article-journal"}}],"schema":"https://github.com/citation-style-language/schema/raw/master/csl-citation.json"} </w:instrText>
      </w:r>
      <w:r w:rsidR="00801E80" w:rsidRPr="00701004">
        <w:rPr>
          <w:rFonts w:eastAsiaTheme="minorHAnsi"/>
        </w:rPr>
        <w:fldChar w:fldCharType="separate"/>
      </w:r>
      <w:r w:rsidR="00546949" w:rsidRPr="00701004">
        <w:rPr>
          <w:vertAlign w:val="superscript"/>
        </w:rPr>
        <w:t>33,34</w:t>
      </w:r>
      <w:r w:rsidR="00801E80" w:rsidRPr="00701004">
        <w:rPr>
          <w:rFonts w:eastAsiaTheme="minorHAnsi"/>
        </w:rPr>
        <w:fldChar w:fldCharType="end"/>
      </w:r>
      <w:r w:rsidR="00801E80" w:rsidRPr="00701004">
        <w:rPr>
          <w:rFonts w:eastAsiaTheme="minorHAnsi"/>
        </w:rPr>
        <w:t>, although see</w:t>
      </w:r>
      <w:r w:rsidR="00801E80" w:rsidRPr="00701004">
        <w:rPr>
          <w:rFonts w:eastAsiaTheme="minorHAnsi"/>
        </w:rPr>
        <w:fldChar w:fldCharType="begin" w:fldLock="1"/>
      </w:r>
      <w:r w:rsidR="00546949" w:rsidRPr="00701004">
        <w:rPr>
          <w:rFonts w:eastAsiaTheme="minorHAnsi"/>
        </w:rPr>
        <w:instrText xml:space="preserve"> ADDIN ZOTERO_ITEM CSL_CITATION {"citationID":"O3XU4q2o","properties":{"formattedCitation":"\\super 35,36\\nosupersub{}","plainCitation":"35,36","noteIndex":0},"citationItems":[{"id":"3dXyczz3/tY0WVhm2","uris":["http://www.mendeley.com/documents/?uuid=b264b136-5312-41a4-88a5-a04e2b02a1e9"],"uri":["http://www.mendeley.com/documents/?uuid=b264b136-5312-41a4-88a5-a04e2b02a1e9"],"itemData":{"DOI":"10.1016/j.neuroimage.2017.08.071","ISSN":"10959572","PMID":"28877515","abstract":"Behavioral studies using delay and social discounting as indices of self-control and altruism, respectively, have revealed functional similarities between farsighted and social decisions. However, neural evidence for this functional link is lacking. Twenty-five young adults completed a delay and social discounting task during fMRI scanning. A spatiotemporal partial least squares analysis revealed that both forms of discounting were well characterized by a pattern of brain activity in areas comprising frontoparietal control, default, and mesolimbic reward networks. Both forms of discounting appear to draw on common neurocognitive mechanisms, regardless of whether choices involve intertemporal or interpersonal outcomes. We also observed neural profiles differentiating between high and low discounters. High discounters were well characterized by increased medial temporal lobe and limbic activity. In contrast, low discount rates were associated with activity in the medial prefrontal cortex and right temporoparietal junction. This pattern may reflect biological mechanisms underlying behavioral heterogeneity in discount rates.","author":[{"dropping-particle":"","family":"Hill","given":"Paul F.","non-dropping-particle":"","parse-names":false,"suffix":""},{"dropping-particle":"","family":"Yi","given":"Richard","non-dropping-particle":"","parse-names":false,"suffix":""},{"dropping-particle":"","family":"Spreng","given":"R. Nathan","non-dropping-particle":"","parse-names":false,"suffix":""},{"dropping-particle":"","family":"Diana","given":"Rachel A.","non-dropping-particle":"","parse-names":false,"suffix":""}],"container-title":"NeuroImage","id":"ITEM-1","issued":{"date-parts":[["2017"]]},"title":"Neural congruence between intertemporal and interpersonal self-control: Evidence from delay and social discounting","type":"article-journal"}},{"id":"3dXyczz3/FiXcfbqL","uris":["http://www.mendeley.com/documents/?uuid=6c218707-4b43-4b0a-afd5-f0531353eb17"],"uri":["http://www.mendeley.com/documents/?uuid=6c218707-4b43-4b0a-afd5-f0531353eb17"],"itemData":{"DOI":"10.1002/bdm.567","ISSN":"10990771","abstract":"Social discounting was measured as the amount of money a participant was willing to forgo to give a fixed amount (usually $75) to another person. In the first experiment, amount forgone was a hyperbolic function of the social distance between the giver and receiver. In the second experiment, degree of social discounting was an increasing function of reward magnitude whereas degree of delay discounting was a decreasing function of reward magnitude. In the third experiment, the shape of the function relating delayed rewards to equally valued immediate rewards for another person was predicted from individual delay and social discount functions. All in all, the studies show that the social discount function, like delay and probability discount functions, is hyperbolic in form. Copyright © 2007 John Wiley &amp; Sons, Ltd.","author":[{"dropping-particle":"","family":"Rachlin","given":"Howard","non-dropping-particle":"","parse-names":false,"suffix":""},{"dropping-particle":"","family":"Jones","given":"Bryan A.","non-dropping-particle":"","parse-names":false,"suffix":""}],"container-title":"Journal of Behavioral Decision Making","id":"ITEM-2","issued":{"date-parts":[["2008"]]},"title":"Social discounting and delay discounting","type":"article-journal"}}],"schema":"https://github.com/citation-style-language/schema/raw/master/csl-citation.json"} </w:instrText>
      </w:r>
      <w:r w:rsidR="00801E80" w:rsidRPr="00701004">
        <w:rPr>
          <w:rFonts w:eastAsiaTheme="minorHAnsi"/>
        </w:rPr>
        <w:fldChar w:fldCharType="separate"/>
      </w:r>
      <w:r w:rsidR="00546949" w:rsidRPr="00701004">
        <w:rPr>
          <w:vertAlign w:val="superscript"/>
        </w:rPr>
        <w:t>35,36</w:t>
      </w:r>
      <w:r w:rsidR="00801E80" w:rsidRPr="00701004">
        <w:rPr>
          <w:rFonts w:eastAsiaTheme="minorHAnsi"/>
        </w:rPr>
        <w:fldChar w:fldCharType="end"/>
      </w:r>
      <w:r w:rsidR="006060AC" w:rsidRPr="00701004">
        <w:rPr>
          <w:rFonts w:eastAsiaTheme="minorHAnsi"/>
        </w:rPr>
        <w:t xml:space="preserve">. </w:t>
      </w:r>
      <w:r w:rsidR="002045D6" w:rsidRPr="00701004">
        <w:rPr>
          <w:rFonts w:eastAsiaTheme="minorHAnsi"/>
        </w:rPr>
        <w:t>With regards to the learning rate, separating this parameter for better-than-expected and poorer-than-expected outcomes</w:t>
      </w:r>
      <w:r w:rsidR="00801E80" w:rsidRPr="00701004">
        <w:rPr>
          <w:rFonts w:eastAsiaTheme="minorHAnsi"/>
        </w:rPr>
        <w:fldChar w:fldCharType="begin" w:fldLock="1"/>
      </w:r>
      <w:r w:rsidR="00546949" w:rsidRPr="00701004">
        <w:rPr>
          <w:rFonts w:eastAsiaTheme="minorHAnsi"/>
        </w:rPr>
        <w:instrText xml:space="preserve"> ADDIN ZOTERO_ITEM CSL_CITATION {"citationID":"UhaxGfWZ","properties":{"formattedCitation":"\\super 37\\nosupersub{}","plainCitation":"37","noteIndex":0},"citationItems":[{"id":"3dXyczz3/lJ0bmrxw","uris":["http://www.mendeley.com/documents/?uuid=06ce9662-b27b-42b9-b8c8-75b98d85b1ec"],"uri":["http://www.mendeley.com/documents/?uuid=06ce9662-b27b-42b9-b8c8-75b98d85b1ec"],"itemData":{"DOI":"10.1016/j.tics.2008.03.006","ISSN":"13646613","PMID":"18567531","abstract":"The recognition that computational ideas from reinforcement learning are relevant to the study of neural circuits has taken the cognitive neuroscience community by storm. A central tenet of these models is that discrepancies between actual and expected outcomes can be used for learning. Neural correlates of such prediction-error signals have been observed now in midbrain dopaminergic neurons, striatum, amygdala and even prefrontal cortex, and models incorporating prediction errors have been invoked to explain complex phenomena such as the transition from goal-directed to habitual behavior. Yet, like any revolution, the fast-paced progress has left an uneven understanding in its wake. Here, we provide answers to ten simple questions about prediction errors, with the aim of exposing both the strengths and the limitations of this active area of neuroscience research. © 2008 Elsevier Ltd. All rights reserved.","author":[{"dropping-particle":"","family":"Niv","given":"Yael","non-dropping-particle":"","parse-names":false,"suffix":""},{"dropping-particle":"","family":"Schoenbaum","given":"Geoffrey","non-dropping-particle":"","parse-names":false,"suffix":""}],"container-title":"Trends in Cognitive Sciences","id":"ITEM-1","issued":{"date-parts":[["2008"]]},"title":"Dialogues on prediction errors","type":"article"}}],"schema":"https://github.com/citation-style-language/schema/raw/master/csl-citation.json"} </w:instrText>
      </w:r>
      <w:r w:rsidR="00801E80" w:rsidRPr="00701004">
        <w:rPr>
          <w:rFonts w:eastAsiaTheme="minorHAnsi"/>
        </w:rPr>
        <w:fldChar w:fldCharType="separate"/>
      </w:r>
      <w:r w:rsidR="00546949" w:rsidRPr="00701004">
        <w:rPr>
          <w:vertAlign w:val="superscript"/>
        </w:rPr>
        <w:t>37</w:t>
      </w:r>
      <w:r w:rsidR="00801E80" w:rsidRPr="00701004">
        <w:rPr>
          <w:rFonts w:eastAsiaTheme="minorHAnsi"/>
        </w:rPr>
        <w:fldChar w:fldCharType="end"/>
      </w:r>
      <w:r w:rsidR="002045D6" w:rsidRPr="00701004">
        <w:rPr>
          <w:rFonts w:eastAsiaTheme="minorHAnsi"/>
        </w:rPr>
        <w:t xml:space="preserve"> may also increase the </w:t>
      </w:r>
      <w:r w:rsidR="00281D30" w:rsidRPr="00701004">
        <w:rPr>
          <w:rFonts w:eastAsiaTheme="minorHAnsi"/>
        </w:rPr>
        <w:t>predictive value</w:t>
      </w:r>
      <w:r w:rsidR="002045D6" w:rsidRPr="00701004">
        <w:rPr>
          <w:rFonts w:eastAsiaTheme="minorHAnsi"/>
        </w:rPr>
        <w:t xml:space="preserve"> of this task, as the COVID-19 pandemic has been associated with adjusting to negative changes in the environment</w:t>
      </w:r>
      <w:r w:rsidR="00801E80" w:rsidRPr="00701004">
        <w:rPr>
          <w:rFonts w:eastAsiaTheme="minorHAnsi"/>
        </w:rPr>
        <w:fldChar w:fldCharType="begin" w:fldLock="1"/>
      </w:r>
      <w:r w:rsidR="00546949" w:rsidRPr="00701004">
        <w:rPr>
          <w:rFonts w:eastAsiaTheme="minorHAnsi"/>
        </w:rPr>
        <w:instrText xml:space="preserve"> ADDIN ZOTERO_ITEM CSL_CITATION {"citationID":"2yjxqOWQ","properties":{"formattedCitation":"\\super 38\\nosupersub{}","plainCitation":"38","noteIndex":0},"citationItems":[{"id":"3dXyczz3/q1celve4","uris":["http://www.mendeley.com/documents/?uuid=ca31d1ff-c9d5-40d6-ba5e-b999b6535174"],"uri":["http://www.mendeley.com/documents/?uuid=ca31d1ff-c9d5-40d6-ba5e-b999b6535174"],"itemData":{"DOI":"10.1080/14616696.2020.1833066","ISSN":"14698307","abstract":"This paper provides a timely evaluation of whether the main COVID-19 lockdown policies–remote work, short-time work and closure of schools and childcare–have an immediate effect on the German population in terms of changes in satisfaction with work and family life. Relying on individual level panel data collected before and during the lockdown, we examine (1) how family satisfaction and work satisfaction of individuals have changed over the lockdown period, and (2) how lockdown-driven changes in the labour market situation (i.e. working remotely and being sent on short-time work) have affected satisfactions. We apply first-difference regressions for mothers, fathers, and persons without children. Our results show a general decrease in family satisfaction. We also find an overall decline in work satisfaction which is most pronounced for mothers and those without children who have to switch to short-time work. In contrast, fathers' well-being is less affected negatively and their family satisfaction even increased after changing to short-time work. We conclude that while the lockdown circumstances generally have a negative effect on the satisfaction with work and family of individuals in Germany, effects differ between childless persons, mothers, and fathers with the latter being least negatively affected.","author":[{"dropping-particle":"","family":"Möhring","given":"Katja","non-dropping-particle":"","parse-names":false,"suffix":""},{"dropping-particle":"","family":"Naumann","given":"Elias","non-dropping-particle":"","parse-names":false,"suffix":""},{"dropping-particle":"","family":"Reifenscheid","given":"Maximiliane","non-dropping-particle":"","parse-names":false,"suffix":""},{"dropping-particle":"","family":"Wenz","given":"Alexander","non-dropping-particle":"","parse-names":false,"suffix":""},{"dropping-particle":"","family":"Rettig","given":"Tobias","non-dropping-particle":"","parse-names":false,"suffix":""},{"dropping-particle":"","family":"Krieger","given":"Ulrich","non-dropping-particle":"","parse-names":false,"suffix":""},{"dropping-particle":"","family":"Friedel","given":"Sabine","non-dropping-particle":"","parse-names":false,"suffix":""},{"dropping-particle":"","family":"Finkel","given":"Marina","non-dropping-particle":"","parse-names":false,"suffix":""},{"dropping-particle":"","family":"Cornesse","given":"Carina","non-dropping-particle":"","parse-names":false,"suffix":""},{"dropping-particle":"","family":"Blom","given":"Annelies G.","non-dropping-particle":"","parse-names":false,"suffix":""}],"container-title":"European Societies","id":"ITEM-1","issued":{"date-parts":[["2021"]]},"title":"The COVID-19 pandemic and subjective well-being: longitudinal evidence on satisfaction with work and family","type":"article-journal"}}],"schema":"https://github.com/citation-style-language/schema/raw/master/csl-citation.json"} </w:instrText>
      </w:r>
      <w:r w:rsidR="00801E80" w:rsidRPr="00701004">
        <w:rPr>
          <w:rFonts w:eastAsiaTheme="minorHAnsi"/>
        </w:rPr>
        <w:fldChar w:fldCharType="separate"/>
      </w:r>
      <w:r w:rsidR="00546949" w:rsidRPr="00701004">
        <w:rPr>
          <w:vertAlign w:val="superscript"/>
        </w:rPr>
        <w:t>38</w:t>
      </w:r>
      <w:r w:rsidR="00801E80" w:rsidRPr="00701004">
        <w:rPr>
          <w:rFonts w:eastAsiaTheme="minorHAnsi"/>
        </w:rPr>
        <w:fldChar w:fldCharType="end"/>
      </w:r>
      <w:r w:rsidR="002045D6" w:rsidRPr="00701004">
        <w:rPr>
          <w:rFonts w:eastAsiaTheme="minorHAnsi"/>
        </w:rPr>
        <w:t xml:space="preserve">. As such, </w:t>
      </w:r>
      <w:r w:rsidR="00C43C9E" w:rsidRPr="00701004">
        <w:rPr>
          <w:rFonts w:eastAsiaTheme="minorHAnsi"/>
        </w:rPr>
        <w:t>individuals who have a higher learning rate</w:t>
      </w:r>
      <w:r w:rsidR="00FD2E5B" w:rsidRPr="00701004">
        <w:rPr>
          <w:rFonts w:eastAsiaTheme="minorHAnsi"/>
        </w:rPr>
        <w:t xml:space="preserve"> for </w:t>
      </w:r>
      <w:r w:rsidR="001B2872" w:rsidRPr="00701004">
        <w:rPr>
          <w:rFonts w:eastAsiaTheme="minorHAnsi"/>
        </w:rPr>
        <w:t>negative</w:t>
      </w:r>
      <w:r w:rsidR="00FD2E5B" w:rsidRPr="00701004">
        <w:rPr>
          <w:rFonts w:eastAsiaTheme="minorHAnsi"/>
        </w:rPr>
        <w:t xml:space="preserve"> outcomes</w:t>
      </w:r>
      <w:r w:rsidR="00C43C9E" w:rsidRPr="00701004">
        <w:rPr>
          <w:rFonts w:eastAsiaTheme="minorHAnsi"/>
        </w:rPr>
        <w:t xml:space="preserve"> may be better equipped to follow social distancing guidelines.</w:t>
      </w:r>
      <w:bookmarkEnd w:id="21"/>
    </w:p>
    <w:bookmarkEnd w:id="22"/>
    <w:p w14:paraId="4A241996" w14:textId="6D188F2C" w:rsidR="000F40A6" w:rsidRPr="00701004" w:rsidRDefault="005F1FB4" w:rsidP="0075608F">
      <w:pPr>
        <w:autoSpaceDE w:val="0"/>
        <w:autoSpaceDN w:val="0"/>
        <w:adjustRightInd w:val="0"/>
        <w:spacing w:before="120" w:line="480" w:lineRule="auto"/>
        <w:ind w:firstLine="720"/>
        <w:jc w:val="both"/>
        <w:rPr>
          <w:rFonts w:eastAsiaTheme="minorHAnsi"/>
          <w:iCs/>
        </w:rPr>
      </w:pPr>
      <w:r w:rsidRPr="00701004">
        <w:rPr>
          <w:rFonts w:eastAsiaTheme="minorHAnsi"/>
        </w:rPr>
        <w:t>There are some important limitations to consider with the present study.</w:t>
      </w:r>
      <w:r w:rsidR="00C40CD0" w:rsidRPr="00701004">
        <w:rPr>
          <w:rFonts w:eastAsiaTheme="minorHAnsi"/>
        </w:rPr>
        <w:t xml:space="preserve"> The two-factor solution may be counterintuitive as</w:t>
      </w:r>
      <w:r w:rsidR="00B949F3" w:rsidRPr="00701004">
        <w:rPr>
          <w:rFonts w:eastAsiaTheme="minorHAnsi"/>
        </w:rPr>
        <w:t xml:space="preserve"> adhering to social distancing and actively violating lockdown measures </w:t>
      </w:r>
      <w:r w:rsidR="00C40CD0" w:rsidRPr="00701004">
        <w:rPr>
          <w:rFonts w:eastAsiaTheme="minorHAnsi"/>
        </w:rPr>
        <w:t>could be considered the inverse of one another. However, we note that this same two-factor solution has also been found in another, larger sample of UK adults (Gibson-Miller et al., in prep). Further, c</w:t>
      </w:r>
      <w:r w:rsidRPr="00701004">
        <w:rPr>
          <w:rFonts w:eastAsiaTheme="minorHAnsi"/>
        </w:rPr>
        <w:t xml:space="preserve">ognitive task-based measures were only collected at one </w:t>
      </w:r>
      <w:r w:rsidRPr="00701004">
        <w:rPr>
          <w:rFonts w:eastAsiaTheme="minorHAnsi"/>
        </w:rPr>
        <w:lastRenderedPageBreak/>
        <w:t>timepoint, meaning we were unable to examine whether these variables changed over the course of the pandemic. Some variables, such as anxiety, were initially high after the nationwide lockdown was imposed and slowly stabilised in the following months</w:t>
      </w:r>
      <w:r w:rsidR="008D28E1" w:rsidRPr="00701004">
        <w:rPr>
          <w:rFonts w:eastAsiaTheme="minorHAnsi"/>
        </w:rPr>
        <w:fldChar w:fldCharType="begin" w:fldLock="1"/>
      </w:r>
      <w:r w:rsidR="00546949" w:rsidRPr="00701004">
        <w:rPr>
          <w:rFonts w:eastAsiaTheme="minorHAnsi"/>
        </w:rPr>
        <w:instrText xml:space="preserve"> ADDIN ZOTERO_ITEM CSL_CITATION {"citationID":"92UuZ6On","properties":{"formattedCitation":"\\super 39\\nosupersub{}","plainCitation":"39","noteIndex":0},"citationItems":[{"id":"3dXyczz3/kzXxyBDY","uris":["http://www.mendeley.com/documents/?uuid=7f565b38-8ae9-3704-848e-e92c3cc5ad0c"],"uri":["http://www.mendeley.com/documents/?uuid=7f565b38-8ae9-3704-848e-e92c3cc5ad0c"],"itemData":{"DOI":"10.31234/OSF.IO/UQ4RN","author":[{"dropping-particle":"","family":"Levita","given":"Liat","non-dropping-particle":"","parse-names":false,"suffix":""},{"dropping-particle":"","family":"Miller","given":"Jilly Gibson","non-dropping-particle":"","parse-names":false,"suffix":""},{"dropping-particle":"","family":"Hartman","given":"Todd K.","non-dropping-particle":"","parse-names":false,"suffix":""},{"dropping-particle":"","family":"Murphy","given":"Jamie","non-dropping-particle":"","parse-names":false,"suffix":""},{"dropping-particle":"","family":"Shevlin","given":"Mark","non-dropping-particle":"","parse-names":false,"suffix":""},{"dropping-particle":"","family":"McBride","given":"Orla","non-dropping-particle":"","parse-names":false,"suffix":""},{"dropping-particle":"","family":"McKay","given":"Ryan","non-dropping-particle":"","parse-names":false,"suffix":""},{"dropping-particle":"","family":"Mason","given":"Liam","non-dropping-particle":"","parse-names":false,"suffix":""},{"dropping-particle":"","family":"Martinez","given":"Anton Philipp","non-dropping-particle":"","parse-names":false,"suffix":""},{"dropping-particle":"","family":"Stocks","given":"Thomas V A","non-dropping-particle":"","parse-names":false,"suffix":""},{"dropping-particle":"","family":"Bennett","given":"Kate M","non-dropping-particle":"","parse-names":false,"suffix":""},{"dropping-particle":"","family":"Bental","given":"Richard","non-dropping-particle":"","parse-names":false,"suffix":""}],"id":"ITEM-1","issued":{"date-parts":[["0"]]},"publisher":"PsyArXiv","title":"Report1:  Impact of Covid-19 on young people aged 13-24 in the UK- preliminary findings","type":"article-journal"}}],"schema":"https://github.com/citation-style-language/schema/raw/master/csl-citation.json"} </w:instrText>
      </w:r>
      <w:r w:rsidR="008D28E1" w:rsidRPr="00701004">
        <w:rPr>
          <w:rFonts w:eastAsiaTheme="minorHAnsi"/>
        </w:rPr>
        <w:fldChar w:fldCharType="separate"/>
      </w:r>
      <w:r w:rsidR="00546949" w:rsidRPr="00701004">
        <w:rPr>
          <w:vertAlign w:val="superscript"/>
        </w:rPr>
        <w:t>39</w:t>
      </w:r>
      <w:r w:rsidR="008D28E1" w:rsidRPr="00701004">
        <w:rPr>
          <w:rFonts w:eastAsiaTheme="minorHAnsi"/>
        </w:rPr>
        <w:fldChar w:fldCharType="end"/>
      </w:r>
      <w:r w:rsidRPr="00701004">
        <w:rPr>
          <w:rFonts w:eastAsiaTheme="minorHAnsi"/>
        </w:rPr>
        <w:t xml:space="preserve">. </w:t>
      </w:r>
      <w:r w:rsidR="000F40A6" w:rsidRPr="00701004">
        <w:rPr>
          <w:rFonts w:eastAsiaTheme="minorHAnsi"/>
          <w:iCs/>
        </w:rPr>
        <w:t xml:space="preserve">Given </w:t>
      </w:r>
      <w:r w:rsidR="00521E87" w:rsidRPr="00701004">
        <w:rPr>
          <w:rFonts w:eastAsiaTheme="minorHAnsi"/>
          <w:iCs/>
        </w:rPr>
        <w:t xml:space="preserve">the </w:t>
      </w:r>
      <w:r w:rsidR="000F40A6" w:rsidRPr="00701004">
        <w:rPr>
          <w:rFonts w:eastAsiaTheme="minorHAnsi"/>
          <w:iCs/>
        </w:rPr>
        <w:t>debate about whether delay discounting is influenced by state as well as</w:t>
      </w:r>
      <w:r w:rsidR="00521E87" w:rsidRPr="00701004">
        <w:rPr>
          <w:rFonts w:eastAsiaTheme="minorHAnsi"/>
          <w:iCs/>
        </w:rPr>
        <w:t xml:space="preserve"> being a stable</w:t>
      </w:r>
      <w:r w:rsidR="000F40A6" w:rsidRPr="00701004">
        <w:rPr>
          <w:rFonts w:eastAsiaTheme="minorHAnsi"/>
          <w:iCs/>
        </w:rPr>
        <w:t xml:space="preserve"> trait</w:t>
      </w:r>
      <w:r w:rsidR="00A80049" w:rsidRPr="00701004">
        <w:rPr>
          <w:rFonts w:eastAsiaTheme="minorHAnsi"/>
          <w:iCs/>
        </w:rPr>
        <w:fldChar w:fldCharType="begin" w:fldLock="1"/>
      </w:r>
      <w:r w:rsidR="00546949" w:rsidRPr="00701004">
        <w:rPr>
          <w:rFonts w:eastAsiaTheme="minorHAnsi"/>
          <w:iCs/>
        </w:rPr>
        <w:instrText xml:space="preserve"> ADDIN ZOTERO_ITEM CSL_CITATION {"citationID":"DFp1jBsk","properties":{"formattedCitation":"\\super 9\\nosupersub{}","plainCitation":"9","noteIndex":0},"citationItems":[{"id":"3dXyczz3/lgt1Skmp","uris":["http://www.mendeley.com/documents/?uuid=cdaa577c-e0cb-411b-a2dd-c6864fb14680"],"uri":["http://www.mendeley.com/documents/?uuid=cdaa577c-e0cb-411b-a2dd-c6864fb14680"],"itemData":{"DOI":"10.1037/12069-002","abstract":"Psychology is concerned with the factors that determine behavior. From the beginning of the field, two broad influences on behavior have been seen as important: factors resulting in within-person variability (state variables) and factors resulting in between-person variability (trait variables), also known as organismic and environmental influences, respectively. In this chapter, we first offer definitions of state and trait variables and give some indication of their historical and modern position. We then review state and trait influences on delay discounting. We conclude with implications for applied and clinical interventions.","author":[{"dropping-particle":"","family":"Odum","given":"Amy L.","non-dropping-particle":"","parse-names":false,"suffix":""},{"dropping-particle":"","family":"Baumann","given":"Ana A. L.","non-dropping-particle":"","parse-names":false,"suffix":""}],"container-title":"Impulsivity: The behavioral and neurological science of discounting.","id":"ITEM-1","issued":{"date-parts":[["2010"]]},"title":"Delay discounting: State and trait variable.","type":"chapter"}}],"schema":"https://github.com/citation-style-language/schema/raw/master/csl-citation.json"} </w:instrText>
      </w:r>
      <w:r w:rsidR="00A80049" w:rsidRPr="00701004">
        <w:rPr>
          <w:rFonts w:eastAsiaTheme="minorHAnsi"/>
          <w:iCs/>
        </w:rPr>
        <w:fldChar w:fldCharType="separate"/>
      </w:r>
      <w:r w:rsidR="00546949" w:rsidRPr="00701004">
        <w:rPr>
          <w:vertAlign w:val="superscript"/>
        </w:rPr>
        <w:t>9</w:t>
      </w:r>
      <w:r w:rsidR="00A80049" w:rsidRPr="00701004">
        <w:rPr>
          <w:rFonts w:eastAsiaTheme="minorHAnsi"/>
          <w:iCs/>
        </w:rPr>
        <w:fldChar w:fldCharType="end"/>
      </w:r>
      <w:r w:rsidR="000F40A6" w:rsidRPr="00701004">
        <w:rPr>
          <w:rFonts w:eastAsiaTheme="minorHAnsi"/>
          <w:iCs/>
        </w:rPr>
        <w:t xml:space="preserve">, we cannot rule out that behaviour on our cognitive measures may have differed if we had been able to additionally measure them at the first wave time point. This limits the interpretations we can draw about the relationships between these measures and the wave one </w:t>
      </w:r>
      <w:r w:rsidR="00170B80" w:rsidRPr="00701004">
        <w:rPr>
          <w:rFonts w:eastAsiaTheme="minorHAnsi"/>
          <w:iCs/>
        </w:rPr>
        <w:t>COM-B</w:t>
      </w:r>
      <w:r w:rsidR="000F40A6" w:rsidRPr="00701004">
        <w:rPr>
          <w:rFonts w:eastAsiaTheme="minorHAnsi"/>
          <w:iCs/>
        </w:rPr>
        <w:t xml:space="preserve"> data.</w:t>
      </w:r>
      <w:r w:rsidR="003951EF" w:rsidRPr="00701004">
        <w:rPr>
          <w:rFonts w:eastAsiaTheme="minorHAnsi"/>
          <w:iCs/>
        </w:rPr>
        <w:t xml:space="preserve"> Finally, while the Kirby discounting task</w:t>
      </w:r>
      <w:r w:rsidR="004F228D" w:rsidRPr="00701004">
        <w:rPr>
          <w:rFonts w:eastAsiaTheme="minorHAnsi"/>
          <w:iCs/>
        </w:rPr>
        <w:t xml:space="preserve"> we utilised in the present study</w:t>
      </w:r>
      <w:r w:rsidR="003951EF" w:rsidRPr="00701004">
        <w:rPr>
          <w:rFonts w:eastAsiaTheme="minorHAnsi"/>
          <w:iCs/>
        </w:rPr>
        <w:t xml:space="preserve"> has sensitivity to a broad range of discount rates, it</w:t>
      </w:r>
      <w:r w:rsidR="003226D6" w:rsidRPr="00701004">
        <w:rPr>
          <w:rFonts w:eastAsiaTheme="minorHAnsi"/>
          <w:iCs/>
        </w:rPr>
        <w:t>’s</w:t>
      </w:r>
      <w:r w:rsidR="003951EF" w:rsidRPr="00701004">
        <w:rPr>
          <w:rFonts w:eastAsiaTheme="minorHAnsi"/>
          <w:iCs/>
        </w:rPr>
        <w:t xml:space="preserve"> </w:t>
      </w:r>
      <w:r w:rsidR="003226D6" w:rsidRPr="00701004">
        <w:rPr>
          <w:rFonts w:eastAsiaTheme="minorHAnsi"/>
          <w:iCs/>
        </w:rPr>
        <w:t>restricted</w:t>
      </w:r>
      <w:r w:rsidR="003951EF" w:rsidRPr="00701004">
        <w:rPr>
          <w:rFonts w:eastAsiaTheme="minorHAnsi"/>
          <w:iCs/>
        </w:rPr>
        <w:t xml:space="preserve"> range of reward magnitudes limits its precision in estimating </w:t>
      </w:r>
      <w:r w:rsidR="003226D6" w:rsidRPr="00701004">
        <w:rPr>
          <w:rFonts w:eastAsiaTheme="minorHAnsi"/>
          <w:iCs/>
        </w:rPr>
        <w:t xml:space="preserve">participants’ sensitivity towards the </w:t>
      </w:r>
      <w:r w:rsidR="003951EF" w:rsidRPr="00701004">
        <w:rPr>
          <w:rFonts w:eastAsiaTheme="minorHAnsi"/>
          <w:iCs/>
        </w:rPr>
        <w:t xml:space="preserve">magnitude effect. Future research could utilise a measure with a wider range of reward magnitudes to increase the </w:t>
      </w:r>
      <w:r w:rsidR="003226D6" w:rsidRPr="00701004">
        <w:rPr>
          <w:rFonts w:eastAsiaTheme="minorHAnsi"/>
          <w:iCs/>
        </w:rPr>
        <w:t>precision</w:t>
      </w:r>
      <w:r w:rsidR="003951EF" w:rsidRPr="00701004">
        <w:rPr>
          <w:rFonts w:eastAsiaTheme="minorHAnsi"/>
          <w:iCs/>
        </w:rPr>
        <w:t xml:space="preserve"> of this measure. </w:t>
      </w:r>
    </w:p>
    <w:p w14:paraId="611B30C9" w14:textId="1C7B882E" w:rsidR="005F1FB4" w:rsidRPr="00701004" w:rsidRDefault="005F1FB4" w:rsidP="0075608F">
      <w:pPr>
        <w:autoSpaceDE w:val="0"/>
        <w:autoSpaceDN w:val="0"/>
        <w:adjustRightInd w:val="0"/>
        <w:spacing w:before="120" w:line="480" w:lineRule="auto"/>
        <w:ind w:firstLine="720"/>
        <w:jc w:val="both"/>
      </w:pPr>
      <w:r w:rsidRPr="00701004">
        <w:t>In conclusion, the present study aimed to examine the cognitive predictors of social distancing and poorer mental health outcomes in a representative UK sample. Our findings demonstrated that steeper delay discounting was associated with less adherence</w:t>
      </w:r>
      <w:r w:rsidR="00FF0AF9" w:rsidRPr="00701004">
        <w:t xml:space="preserve"> to social distancing</w:t>
      </w:r>
      <w:r w:rsidRPr="00701004">
        <w:t xml:space="preserve">, whereas undervaluing recent information was associated with higher rates of lockdown violations. Notably, our findings provide empirical evidence that </w:t>
      </w:r>
      <w:r w:rsidR="00CD6FB2" w:rsidRPr="00701004">
        <w:t xml:space="preserve">social distancing </w:t>
      </w:r>
      <w:r w:rsidRPr="00701004">
        <w:t xml:space="preserve">adherence and </w:t>
      </w:r>
      <w:r w:rsidR="00CD6FB2" w:rsidRPr="00701004">
        <w:t xml:space="preserve">active </w:t>
      </w:r>
      <w:r w:rsidRPr="00701004">
        <w:t>violation</w:t>
      </w:r>
      <w:r w:rsidR="00CD6FB2" w:rsidRPr="00701004">
        <w:t xml:space="preserve"> of lockdown measures</w:t>
      </w:r>
      <w:r w:rsidRPr="00701004">
        <w:t xml:space="preserve"> are two distinct </w:t>
      </w:r>
      <w:r w:rsidR="002D0018" w:rsidRPr="00701004">
        <w:t>dimensions</w:t>
      </w:r>
      <w:r w:rsidRPr="00701004">
        <w:t>, which are predicted by separate cognitive processes. These findings can</w:t>
      </w:r>
      <w:r w:rsidR="00E93097" w:rsidRPr="00701004">
        <w:t xml:space="preserve"> guide future research that</w:t>
      </w:r>
      <w:r w:rsidRPr="00701004">
        <w:t xml:space="preserve"> </w:t>
      </w:r>
      <w:r w:rsidR="00E93097" w:rsidRPr="00701004">
        <w:t>may</w:t>
      </w:r>
      <w:r w:rsidRPr="00701004">
        <w:t xml:space="preserve"> seek to</w:t>
      </w:r>
      <w:r w:rsidR="00E93097" w:rsidRPr="00701004">
        <w:t xml:space="preserve"> leverage cognitive interventions to</w:t>
      </w:r>
      <w:r w:rsidRPr="00701004">
        <w:t xml:space="preserve"> maximise public adherence to social distancing and minimise violations of these measures. Further, our findings indicate that </w:t>
      </w:r>
      <w:r w:rsidR="0075608F" w:rsidRPr="00701004">
        <w:t xml:space="preserve">individuals who are more sensitive to reward magnitude in delay discounting </w:t>
      </w:r>
      <w:r w:rsidRPr="00701004">
        <w:t xml:space="preserve">experienced poor mental health symptoms </w:t>
      </w:r>
      <w:proofErr w:type="gramStart"/>
      <w:r w:rsidRPr="00701004">
        <w:t>as a result of</w:t>
      </w:r>
      <w:proofErr w:type="gramEnd"/>
      <w:r w:rsidRPr="00701004">
        <w:t xml:space="preserve"> lockdown measures. This highlights the need to provide opportunities for these individuals to attain immediate </w:t>
      </w:r>
      <w:r w:rsidR="0075608F" w:rsidRPr="00701004">
        <w:t>sources of reward</w:t>
      </w:r>
      <w:r w:rsidRPr="00701004">
        <w:t xml:space="preserve"> and mitigate anxiety that results from these novel policies. Overall, these findings provide insight into the cognitive factors that predict adaption to the public health measures introduced to reduce the spread of the COVID-</w:t>
      </w:r>
      <w:r w:rsidRPr="00701004">
        <w:lastRenderedPageBreak/>
        <w:t>19 and highlight the potential of cognitive science to inform our understanding of behaviour during th</w:t>
      </w:r>
      <w:r w:rsidR="00975086" w:rsidRPr="00701004">
        <w:t>e</w:t>
      </w:r>
      <w:r w:rsidRPr="00701004">
        <w:t xml:space="preserve"> pandemic. </w:t>
      </w:r>
    </w:p>
    <w:p w14:paraId="340E8B5A" w14:textId="77777777" w:rsidR="00C60158" w:rsidRPr="00701004" w:rsidRDefault="00C60158" w:rsidP="00F51891">
      <w:pPr>
        <w:spacing w:after="160" w:line="480" w:lineRule="auto"/>
        <w:jc w:val="center"/>
        <w:rPr>
          <w:b/>
          <w:bCs/>
          <w:color w:val="000000"/>
        </w:rPr>
      </w:pPr>
    </w:p>
    <w:p w14:paraId="6B2B664F" w14:textId="38266572" w:rsidR="005F1FB4" w:rsidRPr="00701004" w:rsidRDefault="005F1FB4" w:rsidP="00F51891">
      <w:pPr>
        <w:spacing w:after="160" w:line="480" w:lineRule="auto"/>
        <w:jc w:val="center"/>
        <w:rPr>
          <w:rFonts w:eastAsiaTheme="minorHAnsi"/>
          <w:b/>
          <w:caps/>
        </w:rPr>
      </w:pPr>
      <w:r w:rsidRPr="00701004">
        <w:rPr>
          <w:b/>
          <w:bCs/>
          <w:color w:val="000000"/>
        </w:rPr>
        <w:t>Methods</w:t>
      </w:r>
    </w:p>
    <w:p w14:paraId="7B00D5FD" w14:textId="2AA1757E" w:rsidR="005F1FB4" w:rsidRPr="00701004" w:rsidRDefault="005F1FB4" w:rsidP="00F51891">
      <w:pPr>
        <w:spacing w:before="120" w:line="480" w:lineRule="auto"/>
        <w:jc w:val="both"/>
        <w:rPr>
          <w:b/>
          <w:bCs/>
          <w:color w:val="000000"/>
        </w:rPr>
      </w:pPr>
      <w:r w:rsidRPr="00701004">
        <w:rPr>
          <w:b/>
          <w:bCs/>
          <w:color w:val="000000"/>
        </w:rPr>
        <w:t>Participants</w:t>
      </w:r>
    </w:p>
    <w:p w14:paraId="0F252457" w14:textId="2011FA14" w:rsidR="00832555" w:rsidRPr="00701004" w:rsidRDefault="00832555" w:rsidP="00F51891">
      <w:pPr>
        <w:spacing w:before="120" w:line="480" w:lineRule="auto"/>
        <w:jc w:val="both"/>
        <w:rPr>
          <w:bCs/>
        </w:rPr>
      </w:pPr>
      <w:r w:rsidRPr="00701004">
        <w:rPr>
          <w:bCs/>
        </w:rPr>
        <w:tab/>
        <w:t xml:space="preserve">A total of 442 participants completed both tasks. There was a wide age range (18 to 83 years; </w:t>
      </w:r>
      <w:r w:rsidRPr="00701004">
        <w:rPr>
          <w:bCs/>
          <w:i/>
        </w:rPr>
        <w:t>M</w:t>
      </w:r>
      <w:r w:rsidRPr="00701004">
        <w:rPr>
          <w:bCs/>
        </w:rPr>
        <w:t xml:space="preserve"> = 52.7, </w:t>
      </w:r>
      <w:r w:rsidRPr="00701004">
        <w:rPr>
          <w:bCs/>
          <w:i/>
        </w:rPr>
        <w:t>SD</w:t>
      </w:r>
      <w:r w:rsidRPr="00701004">
        <w:rPr>
          <w:bCs/>
        </w:rPr>
        <w:t xml:space="preserve"> = 14.9) with 6</w:t>
      </w:r>
      <w:r w:rsidR="000F498E" w:rsidRPr="00701004">
        <w:rPr>
          <w:bCs/>
        </w:rPr>
        <w:t>3</w:t>
      </w:r>
      <w:r w:rsidRPr="00701004">
        <w:rPr>
          <w:bCs/>
        </w:rPr>
        <w:t>.</w:t>
      </w:r>
      <w:r w:rsidR="000F498E" w:rsidRPr="00701004">
        <w:rPr>
          <w:bCs/>
        </w:rPr>
        <w:t>1</w:t>
      </w:r>
      <w:r w:rsidRPr="00701004">
        <w:rPr>
          <w:bCs/>
        </w:rPr>
        <w:t>% (279 participants) of the sample being male</w:t>
      </w:r>
      <w:r w:rsidR="000F498E" w:rsidRPr="00701004">
        <w:rPr>
          <w:bCs/>
        </w:rPr>
        <w:t>, 36.9% were female (163 participants) and 1.3% (</w:t>
      </w:r>
      <w:r w:rsidR="006B1666" w:rsidRPr="00701004">
        <w:rPr>
          <w:bCs/>
        </w:rPr>
        <w:t>six</w:t>
      </w:r>
      <w:r w:rsidR="000F498E" w:rsidRPr="00701004">
        <w:rPr>
          <w:bCs/>
        </w:rPr>
        <w:t xml:space="preserve"> participants) did not reporting their gender</w:t>
      </w:r>
      <w:r w:rsidRPr="00701004">
        <w:rPr>
          <w:bCs/>
        </w:rPr>
        <w:t xml:space="preserve">. Annual household income levels were varied, with 17% earning under £15,491, 16.7% earning between £15,491 - £25,340, 17.6% earning between £25,341-£38,740, 22.8% earning between £38,741 - £57,930 and 24.6% earning above £57,930. </w:t>
      </w:r>
    </w:p>
    <w:p w14:paraId="6A1E3D53" w14:textId="2D15552E" w:rsidR="005F1FB4" w:rsidRPr="00701004" w:rsidRDefault="00604054" w:rsidP="005F1FB4">
      <w:pPr>
        <w:spacing w:before="120" w:line="480" w:lineRule="auto"/>
        <w:ind w:firstLine="720"/>
        <w:jc w:val="both"/>
        <w:rPr>
          <w:color w:val="000000"/>
        </w:rPr>
      </w:pPr>
      <w:r w:rsidRPr="00701004">
        <w:rPr>
          <w:color w:val="000000"/>
        </w:rPr>
        <w:t>We</w:t>
      </w:r>
      <w:r w:rsidR="005F1FB4" w:rsidRPr="00701004">
        <w:rPr>
          <w:color w:val="000000"/>
        </w:rPr>
        <w:t xml:space="preserve"> recruited participants from a longitudinal study examining the psychological impact of the COVID-19 pandemic in the UK (the COVID-19 Psychological Research Consortium (C19PRC)</w:t>
      </w:r>
      <w:r w:rsidR="005F1FB4" w:rsidRPr="00701004">
        <w:rPr>
          <w:b/>
          <w:bCs/>
          <w:color w:val="000000"/>
        </w:rPr>
        <w:t xml:space="preserve"> </w:t>
      </w:r>
      <w:r w:rsidR="005F1FB4" w:rsidRPr="00701004">
        <w:rPr>
          <w:color w:val="000000"/>
        </w:rPr>
        <w:t>Study; see</w:t>
      </w:r>
      <w:r w:rsidR="005F1FB4" w:rsidRPr="00701004">
        <w:rPr>
          <w:color w:val="000000"/>
        </w:rPr>
        <w:fldChar w:fldCharType="begin" w:fldLock="1"/>
      </w:r>
      <w:r w:rsidR="00546949" w:rsidRPr="00701004">
        <w:rPr>
          <w:color w:val="000000"/>
        </w:rPr>
        <w:instrText xml:space="preserve"> ADDIN ZOTERO_ITEM CSL_CITATION {"citationID":"CUWyYqM9","properties":{"formattedCitation":"\\super 40\\nosupersub{}","plainCitation":"40","noteIndex":0},"citationItems":[{"id":"3dXyczz3/1Ab5iIIl","uris":["http://www.mendeley.com/documents/?uuid=ab6f9efa-97ee-3cb7-93f1-6bbdf02e7d96"],"uri":["http://www.mendeley.com/documents/?uuid=ab6f9efa-97ee-3cb7-93f1-6bbdf02e7d96"],"itemData":{"DOI":"10.31234/OSF.IO/WXE2N","author":[{"dropping-particle":"","family":"McBride","given":"Orla","non-dropping-particle":"","parse-names":false,"suffix":""},{"dropping-particle":"","family":"Murphy","given":"Jamie","non-dropping-particle":"","parse-names":false,"suffix":""},{"dropping-particle":"","family":"Shevlin","given":"Mark","non-dropping-particle":"","parse-names":false,"suffix":""},{"dropping-particle":"","family":"Miller","given":"Jilly Gibson","non-dropping-particle":"","parse-names":false,"suffix":""},{"dropping-particle":"","family":"Hartman","given":"Todd K.","non-dropping-particle":"","parse-names":false,"suffix":""},{"dropping-particle":"","family":"Hyland","given":"Philip","non-dropping-particle":"","parse-names":false,"suffix":""},{"dropping-particle":"","family":"Levita","given":"Liat","non-dropping-particle":"","parse-names":false,"suffix":""},{"dropping-particle":"","family":"Mason","given":"Liam","non-dropping-particle":"","parse-names":false,"suffix":""},{"dropping-particle":"","family":"Martinez","given":"Anton Philipp","non-dropping-particle":"","parse-names":false,"suffix":""},{"dropping-particle":"","family":"McKay","given":"Ryan","non-dropping-particle":"","parse-names":false,"suffix":""},{"dropping-particle":"","family":"Stocks","given":"Thomas V A","non-dropping-particle":"","parse-names":false,"suffix":""},{"dropping-particle":"","family":"Bentall","given":"Richard P.","non-dropping-particle":"","parse-names":false,"suffix":""}],"id":"ITEM-1","issued":{"date-parts":[["0"]]},"publisher":"PsyArXiv","title":"Monitoring the psychological impact of the COVID-19 pandemic in the general population: an overview of the context, design and conduct of the COVID-19 Psychological Research Consortium (C19PRC) Study","type":"article-journal"}}],"schema":"https://github.com/citation-style-language/schema/raw/master/csl-citation.json"} </w:instrText>
      </w:r>
      <w:r w:rsidR="005F1FB4" w:rsidRPr="00701004">
        <w:rPr>
          <w:color w:val="000000"/>
        </w:rPr>
        <w:fldChar w:fldCharType="separate"/>
      </w:r>
      <w:r w:rsidR="00546949" w:rsidRPr="00701004">
        <w:rPr>
          <w:vertAlign w:val="superscript"/>
        </w:rPr>
        <w:t>40</w:t>
      </w:r>
      <w:r w:rsidR="005F1FB4" w:rsidRPr="00701004">
        <w:rPr>
          <w:color w:val="000000"/>
        </w:rPr>
        <w:fldChar w:fldCharType="end"/>
      </w:r>
      <w:r w:rsidR="00E01EA1" w:rsidRPr="00701004">
        <w:rPr>
          <w:color w:val="000000"/>
          <w:vertAlign w:val="superscript"/>
        </w:rPr>
        <w:t>,</w:t>
      </w:r>
      <w:r w:rsidR="00E01EA1" w:rsidRPr="00701004">
        <w:rPr>
          <w:bCs/>
          <w:vertAlign w:val="superscript"/>
        </w:rPr>
        <w:t xml:space="preserve"> 37</w:t>
      </w:r>
      <w:r w:rsidR="005F1FB4" w:rsidRPr="00701004">
        <w:rPr>
          <w:color w:val="000000"/>
        </w:rPr>
        <w:t>, for a complete description of the methodology). This cohort is a large, representative sample of UK adults collected through Qualtrics (</w:t>
      </w:r>
      <w:r w:rsidR="005F1FB4" w:rsidRPr="00701004">
        <w:rPr>
          <w:i/>
          <w:iCs/>
          <w:color w:val="000000"/>
        </w:rPr>
        <w:t>N</w:t>
      </w:r>
      <w:r w:rsidR="005F1FB4" w:rsidRPr="00701004">
        <w:rPr>
          <w:color w:val="000000"/>
        </w:rPr>
        <w:t>=</w:t>
      </w:r>
      <w:r w:rsidR="00337A96" w:rsidRPr="00701004">
        <w:t>2878</w:t>
      </w:r>
      <w:r w:rsidR="005F1FB4" w:rsidRPr="00701004">
        <w:rPr>
          <w:color w:val="000000"/>
        </w:rPr>
        <w:t xml:space="preserve">; quota sampling methods ensured that the sample was representative in terms of age, </w:t>
      </w:r>
      <w:r w:rsidR="003778BB" w:rsidRPr="00701004">
        <w:rPr>
          <w:color w:val="000000"/>
        </w:rPr>
        <w:t>sex,</w:t>
      </w:r>
      <w:r w:rsidR="005F1FB4" w:rsidRPr="00701004">
        <w:rPr>
          <w:color w:val="000000"/>
        </w:rPr>
        <w:t xml:space="preserve"> and gross household income). A total of 1406 participants from this cohort had completed both </w:t>
      </w:r>
      <w:r w:rsidR="000C4F44" w:rsidRPr="00701004">
        <w:rPr>
          <w:color w:val="000000"/>
        </w:rPr>
        <w:t>the</w:t>
      </w:r>
      <w:r w:rsidR="005F1FB4" w:rsidRPr="00701004">
        <w:rPr>
          <w:color w:val="000000"/>
        </w:rPr>
        <w:t xml:space="preserve"> first (early acute phase of pandemic) and second (established phase) waves</w:t>
      </w:r>
      <w:r w:rsidR="000C4F44" w:rsidRPr="00701004">
        <w:rPr>
          <w:color w:val="000000"/>
        </w:rPr>
        <w:t xml:space="preserve"> of the C19PRC study</w:t>
      </w:r>
      <w:r w:rsidR="007B725D" w:rsidRPr="00701004">
        <w:rPr>
          <w:color w:val="000000"/>
        </w:rPr>
        <w:t>.</w:t>
      </w:r>
      <w:r w:rsidR="00474D3C" w:rsidRPr="00701004">
        <w:rPr>
          <w:color w:val="000000"/>
        </w:rPr>
        <w:t xml:space="preserve"> </w:t>
      </w:r>
      <w:r w:rsidR="007B725D" w:rsidRPr="00701004">
        <w:rPr>
          <w:color w:val="000000"/>
        </w:rPr>
        <w:t>A</w:t>
      </w:r>
      <w:r w:rsidR="00846A6E" w:rsidRPr="00701004">
        <w:rPr>
          <w:color w:val="000000"/>
        </w:rPr>
        <w:t xml:space="preserve"> subsample of 442 </w:t>
      </w:r>
      <w:r w:rsidR="002F36E0" w:rsidRPr="00701004">
        <w:rPr>
          <w:color w:val="000000"/>
        </w:rPr>
        <w:t xml:space="preserve">of these individuals </w:t>
      </w:r>
      <w:r w:rsidR="00C44E6D" w:rsidRPr="00701004">
        <w:rPr>
          <w:color w:val="000000"/>
        </w:rPr>
        <w:t xml:space="preserve">subsequently </w:t>
      </w:r>
      <w:r w:rsidR="007B719F" w:rsidRPr="00701004">
        <w:rPr>
          <w:color w:val="000000"/>
        </w:rPr>
        <w:t xml:space="preserve">completed </w:t>
      </w:r>
      <w:r w:rsidR="005F1FB4" w:rsidRPr="00701004">
        <w:rPr>
          <w:color w:val="000000"/>
        </w:rPr>
        <w:t xml:space="preserve">the cognitive-based tasks </w:t>
      </w:r>
      <w:r w:rsidR="007B719F" w:rsidRPr="00701004">
        <w:rPr>
          <w:color w:val="000000"/>
        </w:rPr>
        <w:t>reported here</w:t>
      </w:r>
      <w:r w:rsidR="005F1FB4" w:rsidRPr="00701004">
        <w:rPr>
          <w:color w:val="000000"/>
        </w:rPr>
        <w:t>.</w:t>
      </w:r>
      <w:r w:rsidR="00C734EA" w:rsidRPr="00701004">
        <w:rPr>
          <w:color w:val="000000"/>
        </w:rPr>
        <w:t xml:space="preserve"> Ethical approval for the cognitive tasks was received from University College London</w:t>
      </w:r>
      <w:r w:rsidR="00544916" w:rsidRPr="00701004">
        <w:rPr>
          <w:color w:val="000000"/>
        </w:rPr>
        <w:t xml:space="preserve"> ethics </w:t>
      </w:r>
      <w:r w:rsidR="00713294" w:rsidRPr="00701004">
        <w:rPr>
          <w:color w:val="000000"/>
        </w:rPr>
        <w:t>committee</w:t>
      </w:r>
      <w:r w:rsidR="00C734EA" w:rsidRPr="00701004">
        <w:rPr>
          <w:color w:val="000000"/>
        </w:rPr>
        <w:t xml:space="preserve"> and all methods were carried out in accordance with relevant guidelines and regulations.</w:t>
      </w:r>
    </w:p>
    <w:p w14:paraId="25238114" w14:textId="26BDAA4E" w:rsidR="005F1FB4" w:rsidRPr="00701004" w:rsidRDefault="005F1FB4" w:rsidP="005F1FB4">
      <w:pPr>
        <w:spacing w:before="120" w:line="480" w:lineRule="auto"/>
        <w:ind w:firstLine="720"/>
        <w:jc w:val="both"/>
      </w:pPr>
      <w:r w:rsidRPr="00701004">
        <w:rPr>
          <w:color w:val="000000"/>
        </w:rPr>
        <w:t xml:space="preserve">Data collection took place </w:t>
      </w:r>
      <w:r w:rsidR="00E454F0" w:rsidRPr="00701004">
        <w:rPr>
          <w:color w:val="000000"/>
        </w:rPr>
        <w:t>immediately after</w:t>
      </w:r>
      <w:r w:rsidRPr="00701004">
        <w:rPr>
          <w:color w:val="000000"/>
        </w:rPr>
        <w:t xml:space="preserve"> the second wave of this survey (</w:t>
      </w:r>
      <w:r w:rsidR="00604054" w:rsidRPr="00701004">
        <w:rPr>
          <w:color w:val="000000"/>
        </w:rPr>
        <w:t>28</w:t>
      </w:r>
      <w:r w:rsidR="00604054" w:rsidRPr="00701004">
        <w:rPr>
          <w:color w:val="000000"/>
          <w:vertAlign w:val="superscript"/>
        </w:rPr>
        <w:t>th</w:t>
      </w:r>
      <w:r w:rsidR="00604054" w:rsidRPr="00701004">
        <w:rPr>
          <w:color w:val="000000"/>
        </w:rPr>
        <w:t xml:space="preserve"> April 2020</w:t>
      </w:r>
      <w:r w:rsidRPr="00701004">
        <w:rPr>
          <w:color w:val="000000"/>
        </w:rPr>
        <w:t xml:space="preserve"> to </w:t>
      </w:r>
      <w:r w:rsidR="00604054" w:rsidRPr="00701004">
        <w:rPr>
          <w:color w:val="000000"/>
        </w:rPr>
        <w:t>10</w:t>
      </w:r>
      <w:r w:rsidR="00604054" w:rsidRPr="00701004">
        <w:rPr>
          <w:color w:val="000000"/>
          <w:vertAlign w:val="superscript"/>
        </w:rPr>
        <w:t>th</w:t>
      </w:r>
      <w:r w:rsidR="00604054" w:rsidRPr="00701004">
        <w:rPr>
          <w:color w:val="000000"/>
        </w:rPr>
        <w:t xml:space="preserve"> May 2020</w:t>
      </w:r>
      <w:r w:rsidRPr="00701004">
        <w:rPr>
          <w:color w:val="000000"/>
        </w:rPr>
        <w:t xml:space="preserve">), to facilitate utilising responses as part of that battery. </w:t>
      </w:r>
      <w:r w:rsidR="00C734EA" w:rsidRPr="00701004">
        <w:rPr>
          <w:color w:val="000000"/>
        </w:rPr>
        <w:t xml:space="preserve">After providing </w:t>
      </w:r>
      <w:r w:rsidR="00C734EA" w:rsidRPr="00701004">
        <w:rPr>
          <w:color w:val="000000"/>
        </w:rPr>
        <w:lastRenderedPageBreak/>
        <w:t>informed consent, p</w:t>
      </w:r>
      <w:r w:rsidRPr="00701004">
        <w:rPr>
          <w:color w:val="000000"/>
        </w:rPr>
        <w:t xml:space="preserve">articipants completed the tasks on www.gorilla.sc, an online platform for remotely conducting cognitive science studies. </w:t>
      </w:r>
      <w:r w:rsidRPr="00701004">
        <w:rPr>
          <w:bCs/>
          <w:color w:val="000000"/>
        </w:rPr>
        <w:t xml:space="preserve">Our hypotheses were pre-registered before data collection was completed (delay discounting: </w:t>
      </w:r>
      <w:hyperlink r:id="rId14" w:history="1">
        <w:r w:rsidRPr="00701004">
          <w:rPr>
            <w:rStyle w:val="Hyperlink"/>
          </w:rPr>
          <w:t>https://osf.io/r89pf</w:t>
        </w:r>
      </w:hyperlink>
      <w:r w:rsidRPr="00701004">
        <w:t>, patch foraging:</w:t>
      </w:r>
      <w:r w:rsidR="0047207B" w:rsidRPr="00701004">
        <w:t xml:space="preserve"> </w:t>
      </w:r>
      <w:hyperlink r:id="rId15" w:history="1">
        <w:r w:rsidR="0047207B" w:rsidRPr="00701004">
          <w:rPr>
            <w:rStyle w:val="Hyperlink"/>
          </w:rPr>
          <w:t>https://osf.io/maqxd</w:t>
        </w:r>
      </w:hyperlink>
      <w:r w:rsidRPr="00701004">
        <w:t>).</w:t>
      </w:r>
      <w:r w:rsidR="00605B9D" w:rsidRPr="00701004">
        <w:t xml:space="preserve"> Note, the hypotheses we</w:t>
      </w:r>
      <w:r w:rsidR="0068313F" w:rsidRPr="00701004">
        <w:t>re</w:t>
      </w:r>
      <w:r w:rsidR="00605B9D" w:rsidRPr="00701004">
        <w:t xml:space="preserve"> reordered in the manuscript to improve readability. The </w:t>
      </w:r>
      <w:r w:rsidR="0030362C" w:rsidRPr="00701004">
        <w:t>correspondence</w:t>
      </w:r>
      <w:r w:rsidR="00605B9D" w:rsidRPr="00701004">
        <w:t xml:space="preserve"> between the </w:t>
      </w:r>
      <w:r w:rsidR="0030362C" w:rsidRPr="00701004">
        <w:t>pre-registered hypotheses</w:t>
      </w:r>
      <w:r w:rsidR="00605B9D" w:rsidRPr="00701004">
        <w:t xml:space="preserve"> and </w:t>
      </w:r>
      <w:r w:rsidR="0030362C" w:rsidRPr="00701004">
        <w:t>those reported in the manuscript</w:t>
      </w:r>
      <w:r w:rsidR="00605B9D" w:rsidRPr="00701004">
        <w:t xml:space="preserve"> are detailed in the Supplementary </w:t>
      </w:r>
      <w:r w:rsidR="0023068A" w:rsidRPr="00701004">
        <w:t>M</w:t>
      </w:r>
      <w:r w:rsidR="00605B9D" w:rsidRPr="00701004">
        <w:t>aterial.</w:t>
      </w:r>
      <w:r w:rsidRPr="00701004">
        <w:t xml:space="preserve"> Two of the three hypotheses </w:t>
      </w:r>
      <w:r w:rsidR="00837214" w:rsidRPr="00701004">
        <w:t xml:space="preserve">in each pre-registration </w:t>
      </w:r>
      <w:r w:rsidRPr="00701004">
        <w:t xml:space="preserve">are tested here; </w:t>
      </w:r>
      <w:r w:rsidRPr="00701004">
        <w:rPr>
          <w:bCs/>
          <w:color w:val="000000"/>
        </w:rPr>
        <w:t xml:space="preserve">a third hypothesis </w:t>
      </w:r>
      <w:r w:rsidR="00837214" w:rsidRPr="00701004">
        <w:rPr>
          <w:bCs/>
          <w:color w:val="000000"/>
        </w:rPr>
        <w:t xml:space="preserve">in each </w:t>
      </w:r>
      <w:r w:rsidRPr="00701004">
        <w:rPr>
          <w:bCs/>
          <w:color w:val="000000"/>
        </w:rPr>
        <w:t xml:space="preserve">concerning the prediction of </w:t>
      </w:r>
      <w:r w:rsidRPr="00701004">
        <w:rPr>
          <w:color w:val="000000"/>
          <w:shd w:val="clear" w:color="auto" w:fill="FFFFFF"/>
        </w:rPr>
        <w:t>over-purchasing behaviour will be examined in a separate paper.</w:t>
      </w:r>
    </w:p>
    <w:p w14:paraId="5E1BB3A1" w14:textId="77777777" w:rsidR="005F1FB4" w:rsidRPr="00701004" w:rsidRDefault="005F1FB4" w:rsidP="005F1FB4">
      <w:pPr>
        <w:spacing w:before="120" w:line="480" w:lineRule="auto"/>
        <w:jc w:val="both"/>
        <w:rPr>
          <w:b/>
          <w:color w:val="000000"/>
        </w:rPr>
      </w:pPr>
      <w:r w:rsidRPr="00701004">
        <w:rPr>
          <w:b/>
          <w:color w:val="000000"/>
        </w:rPr>
        <w:t>Measures</w:t>
      </w:r>
    </w:p>
    <w:p w14:paraId="54240389" w14:textId="4699F42A" w:rsidR="00D876F1" w:rsidRPr="00701004" w:rsidRDefault="00D876F1" w:rsidP="00647072">
      <w:pPr>
        <w:spacing w:before="120" w:line="480" w:lineRule="auto"/>
        <w:jc w:val="both"/>
        <w:rPr>
          <w:color w:val="000000"/>
        </w:rPr>
      </w:pPr>
      <w:r w:rsidRPr="00701004">
        <w:rPr>
          <w:i/>
          <w:iCs/>
        </w:rPr>
        <w:t xml:space="preserve">Delay Discounting: </w:t>
      </w:r>
      <w:r w:rsidR="005F1FB4" w:rsidRPr="00701004">
        <w:t>Delay discounting was quantified using a widely used 27-item measure</w:t>
      </w:r>
      <w:r w:rsidR="005F1FB4" w:rsidRPr="00701004">
        <w:fldChar w:fldCharType="begin" w:fldLock="1"/>
      </w:r>
      <w:r w:rsidR="00546949" w:rsidRPr="00701004">
        <w:instrText xml:space="preserve"> ADDIN ZOTERO_ITEM CSL_CITATION {"citationID":"lMwwynvm","properties":{"formattedCitation":"\\super 6\\nosupersub{}","plainCitation":"6","noteIndex":0},"citationItems":[{"id":"3dXyczz3/uy4GH7FI","uris":["http://www.mendeley.com/documents/?uuid=4d916e7d-38db-4f78-9344-5f2b1dbe20ee"],"uri":["http://www.mendeley.com/documents/?uuid=4d916e7d-38db-4f78-9344-5f2b1dbe20ee"],"itemData":{"DOI":"10.1037/0096-3445.128.1.78","ISSN":"00963445","PMID":"10100392","abstract":"Fifty-six heroin addicts and 60 age-matched controls were offered choices between monetary rewards ($11-$80) available immediately and larger rewards ($25-$85) available after delays ranging from 1 week to 6 months. Participants had a 1-in-6 chance of winning a reward that they chose on one randomly selected trial. Delay-discounting rates were estimated from the pattern of participants' choices. The discounting model of impulsiveness (Ainslie, 1975) implies that delay-discounting rates are positively correlated with impulsiveness. On average, heroin addicts' discount rates were twice those of controls (p = .004), and discount rates were positively correlated with impulsivity as measured by self-report questionnaires (p &lt; .05). The results lend external validity to the delay-discounting rate as a measure of impulsiveness, a characteristic associated with substance abuse.","author":[{"dropping-particle":"","family":"Kirby","given":"Kris N.","non-dropping-particle":"","parse-names":false,"suffix":""},{"dropping-particle":"","family":"Petry","given":"Nancy M.","non-dropping-particle":"","parse-names":false,"suffix":""},{"dropping-particle":"","family":"Bickel","given":"Warren K.","non-dropping-particle":"","parse-names":false,"suffix":""}],"container-title":"Journal of Experimental Psychology: General","id":"ITEM-1","issued":{"date-parts":[["1999"]]},"title":"Heroin addicts have higher discount rates for delayed rewards than non-drug-using controls","type":"article-journal"}}],"schema":"https://github.com/citation-style-language/schema/raw/master/csl-citation.json"} </w:instrText>
      </w:r>
      <w:r w:rsidR="005F1FB4" w:rsidRPr="00701004">
        <w:fldChar w:fldCharType="separate"/>
      </w:r>
      <w:r w:rsidR="00546949" w:rsidRPr="00701004">
        <w:rPr>
          <w:vertAlign w:val="superscript"/>
        </w:rPr>
        <w:t>6</w:t>
      </w:r>
      <w:r w:rsidR="005F1FB4" w:rsidRPr="00701004">
        <w:fldChar w:fldCharType="end"/>
      </w:r>
      <w:r w:rsidR="005F1FB4" w:rsidRPr="00701004">
        <w:t xml:space="preserve">. On each trial, participants are presented with a hypothetical choice between a sum of money available immediately and a larger sum for which they must wait (varying between 7 and 186 days). </w:t>
      </w:r>
      <w:r w:rsidR="008B7D4C" w:rsidRPr="00701004">
        <w:t>For example, participants were asked if they would prefer £26 now or £30 in 15 days.</w:t>
      </w:r>
      <w:r w:rsidR="00B474CE" w:rsidRPr="00701004">
        <w:t xml:space="preserve"> </w:t>
      </w:r>
      <w:r w:rsidR="00B474CE" w:rsidRPr="00701004">
        <w:rPr>
          <w:color w:val="000000"/>
        </w:rPr>
        <w:t>The model (hyperbolic discounting with magnitude effect)</w:t>
      </w:r>
      <w:r w:rsidR="00B474CE" w:rsidRPr="00701004">
        <w:rPr>
          <w:color w:val="000000"/>
        </w:rPr>
        <w:fldChar w:fldCharType="begin" w:fldLock="1"/>
      </w:r>
      <w:r w:rsidR="00546949" w:rsidRPr="00701004">
        <w:rPr>
          <w:color w:val="000000"/>
        </w:rPr>
        <w:instrText xml:space="preserve"> ADDIN ZOTERO_ITEM CSL_CITATION {"citationID":"CpPIvCLm","properties":{"formattedCitation":"\\super 41\\nosupersub{}","plainCitation":"41","noteIndex":0},"citationItems":[{"id":"3dXyczz3/4JFmKeVb","uris":["http://www.mendeley.com/documents/?uuid=011c7528-cfa3-49e4-bb80-6fcd74e0565b"],"uri":["http://www.mendeley.com/documents/?uuid=011c7528-cfa3-49e4-bb80-6fcd74e0565b"],"itemData":{"DOI":"10.3758/s13428-015-0672-2","ISSN":"15543528","abstract":"A state-of-the-art data analysis procedure is presented to conduct hierarchical Bayesian inference and hypothesis testing on delay discounting data. The delay discounting task is a key experimental paradigm used across a wide range of disciplines from economics, cognitive science, and neuroscience, all of which seek to understand how humans or animals trade off the immediacy verses the magnitude of a reward. Bayesian estimation allows rich inferences to be drawn, along with measures of confidence, based upon limited and noisy behavioural data. Hierarchical modelling allows more precise inferences to be made, thus using sometimes expensive or difficult to obtain data in the most efficient way. The proposed probabilistic generative model describes how participants compare the present subjective value of reward choices on a trial-to-trial basis, estimates participant- and group-level parameters. We infer discount rate as a function of reward size, allowing the magnitude effect to be measured. Demonstrations are provided to show how this analysis approach can aid hypothesis testing. The analysis is demonstrated on data from the popular 27-item monetary choice questionnaire (Kirby, Psychonomic Bulletin &amp; Review, 16(3), 457–462 2009), but will accept data from a range of protocols, including adaptive procedures. The software is made freely available to researchers.","author":[{"dropping-particle":"","family":"Vincent","given":"Benjamin T.","non-dropping-particle":"","parse-names":false,"suffix":""}],"container-title":"Behavior Research Methods","id":"ITEM-1","issued":{"date-parts":[["2016"]]},"title":"Hierarchical Bayesian estimation and hypothesis testing for delay discounting tasks","type":"article-journal"}}],"schema":"https://github.com/citation-style-language/schema/raw/master/csl-citation.json"} </w:instrText>
      </w:r>
      <w:r w:rsidR="00B474CE" w:rsidRPr="00701004">
        <w:rPr>
          <w:color w:val="000000"/>
        </w:rPr>
        <w:fldChar w:fldCharType="separate"/>
      </w:r>
      <w:r w:rsidR="00546949" w:rsidRPr="00701004">
        <w:rPr>
          <w:vertAlign w:val="superscript"/>
        </w:rPr>
        <w:t>41</w:t>
      </w:r>
      <w:r w:rsidR="00B474CE" w:rsidRPr="00701004">
        <w:rPr>
          <w:color w:val="000000"/>
        </w:rPr>
        <w:fldChar w:fldCharType="end"/>
      </w:r>
      <w:r w:rsidR="00B474CE" w:rsidRPr="00701004">
        <w:rPr>
          <w:i/>
          <w:color w:val="000000"/>
        </w:rPr>
        <w:t xml:space="preserve"> </w:t>
      </w:r>
      <w:r w:rsidR="00B474CE" w:rsidRPr="00701004">
        <w:rPr>
          <w:color w:val="000000"/>
        </w:rPr>
        <w:t>fits were good, predicting a median of 96.3% (SD = .06) of choices. The model was able to capture variability in delay discounting across participants, and the discount rate varied as a function of reward magnitude</w:t>
      </w:r>
      <w:r w:rsidR="00647072" w:rsidRPr="00701004">
        <w:rPr>
          <w:color w:val="000000"/>
        </w:rPr>
        <w:t xml:space="preserve">. </w:t>
      </w:r>
      <w:r w:rsidR="00D7695C" w:rsidRPr="00701004">
        <w:rPr>
          <w:color w:val="000000"/>
        </w:rPr>
        <w:t>The</w:t>
      </w:r>
      <w:r w:rsidR="00647072" w:rsidRPr="00701004">
        <w:rPr>
          <w:color w:val="000000"/>
        </w:rPr>
        <w:t xml:space="preserve"> group level parameter estimates and parameters for individual participants</w:t>
      </w:r>
      <w:r w:rsidR="00D7695C" w:rsidRPr="00701004">
        <w:rPr>
          <w:color w:val="000000"/>
        </w:rPr>
        <w:t xml:space="preserve"> are reported in the Supplementary Materials (see Supplementary Figures 1 and 2)</w:t>
      </w:r>
      <w:r w:rsidR="00647072" w:rsidRPr="00701004">
        <w:rPr>
          <w:color w:val="000000"/>
        </w:rPr>
        <w:t>.</w:t>
      </w:r>
      <w:r w:rsidR="00B474CE" w:rsidRPr="00701004">
        <w:rPr>
          <w:color w:val="000000"/>
        </w:rPr>
        <w:t xml:space="preserve">  </w:t>
      </w:r>
    </w:p>
    <w:p w14:paraId="6AADB0BF" w14:textId="4C4947A9" w:rsidR="00A868A4" w:rsidRPr="00701004" w:rsidRDefault="00D876F1" w:rsidP="00762A33">
      <w:pPr>
        <w:spacing w:before="120" w:line="480" w:lineRule="auto"/>
        <w:jc w:val="both"/>
        <w:rPr>
          <w:color w:val="000000"/>
        </w:rPr>
      </w:pPr>
      <w:r w:rsidRPr="00701004">
        <w:rPr>
          <w:i/>
          <w:iCs/>
        </w:rPr>
        <w:t xml:space="preserve">Patch Foraging: </w:t>
      </w:r>
      <w:r w:rsidR="005F1FB4" w:rsidRPr="00701004">
        <w:rPr>
          <w:color w:val="000000"/>
        </w:rPr>
        <w:t xml:space="preserve">Patch foraging was quantified in a decision-making task requiring participants to evaluate the trade-off between exploiting </w:t>
      </w:r>
      <w:r w:rsidR="000E2736" w:rsidRPr="00701004">
        <w:rPr>
          <w:color w:val="000000"/>
        </w:rPr>
        <w:t>a</w:t>
      </w:r>
      <w:r w:rsidR="005F1FB4" w:rsidRPr="00701004">
        <w:rPr>
          <w:color w:val="000000"/>
        </w:rPr>
        <w:t xml:space="preserve"> current resource for a gradually diminishing number of rewards versus exploring a novel resource with a fresh distribution of rewards. </w:t>
      </w:r>
      <w:r w:rsidR="000E2736" w:rsidRPr="00701004">
        <w:rPr>
          <w:color w:val="000000"/>
        </w:rPr>
        <w:t>We</w:t>
      </w:r>
      <w:r w:rsidR="005F1FB4" w:rsidRPr="00701004">
        <w:rPr>
          <w:color w:val="000000"/>
        </w:rPr>
        <w:t xml:space="preserve"> used an apple picking paradigm, </w:t>
      </w:r>
      <w:r w:rsidR="000E2736" w:rsidRPr="00701004">
        <w:rPr>
          <w:color w:val="000000"/>
        </w:rPr>
        <w:t xml:space="preserve">with </w:t>
      </w:r>
      <w:r w:rsidR="005F1FB4" w:rsidRPr="00701004">
        <w:rPr>
          <w:color w:val="000000"/>
        </w:rPr>
        <w:t xml:space="preserve">participants </w:t>
      </w:r>
      <w:r w:rsidR="000E2736" w:rsidRPr="00701004">
        <w:rPr>
          <w:color w:val="000000"/>
        </w:rPr>
        <w:t>instructed</w:t>
      </w:r>
      <w:r w:rsidR="005F1FB4" w:rsidRPr="00701004">
        <w:rPr>
          <w:color w:val="000000"/>
        </w:rPr>
        <w:t xml:space="preserve"> to collect as many apples as possible within the time limit</w:t>
      </w:r>
      <w:r w:rsidR="005F1FB4" w:rsidRPr="00701004">
        <w:rPr>
          <w:color w:val="000000"/>
        </w:rPr>
        <w:fldChar w:fldCharType="begin" w:fldLock="1"/>
      </w:r>
      <w:r w:rsidR="00546949" w:rsidRPr="00701004">
        <w:rPr>
          <w:color w:val="000000"/>
        </w:rPr>
        <w:instrText xml:space="preserve"> ADDIN ZOTERO_ITEM CSL_CITATION {"citationID":"MYLNJ9i6","properties":{"formattedCitation":"\\super 24\\nosupersub{}","plainCitation":"24","noteIndex":0},"citationItems":[{"id":"3dXyczz3/bs2NEv23","uris":["http://www.mendeley.com/documents/?uuid=6867d308-c253-447b-b168-fbe70f28e889"],"uri":["http://www.mendeley.com/documents/?uuid=6867d308-c253-447b-b168-fbe70f28e889"],"itemData":{"DOI":"10.3758/s13415-015-0350-y","ISSN":"15307026","PMID":"25917000","abstract":"Although most decision research concerns choice between simultaneously presented options, in many situations options are encountered serially, and the decision is whether to exploit an option or search for a better one. Such problems have a rich history in animal foraging, but we know little about the psychological processes involved. In particular, it is unknown whether learning in these problems is supported by the well-studied neurocomputational mechanisms involved in more conventional tasks. We investigated how humans learn in a foraging task, which requires deciding whether to harvest a depleting resource or switch to a replenished one. The optimal choice (given by the marginal value theorem; MVT) requires comparing the immediate return from harvesting to the opportunity cost of time, which is given by the long-run average reward. In two experiments, we varied opportunity cost across blocks, and subjects adjusted their behavior to blockwise changes in environmental characteristics. We examined how subjects learned their choice strategies by comparing choice adjustments to a learning rule suggested by the MVT (in which the opportunity cost threshold is estimated as an average over previous rewards) and to the predominant incremental-learning theory in neuroscience, temporal-difference learning (TD). Trial-by-trial decisions were explained better by the MVT threshold-learning rule. These findings expand on the foraging literature, which has focused on steady-state behavior, by elucidating a computational mechanism for learning in switching tasks that is distinct from those used in traditional tasks, and suggest connections to research on average reward rates in other domains of neuroscience.","author":[{"dropping-particle":"","family":"Constantino","given":"Sara M.","non-dropping-particle":"","parse-names":false,"suffix":""},{"dropping-particle":"","family":"Daw","given":"Nathaniel D.","non-dropping-particle":"","parse-names":false,"suffix":""}],"container-title":"Cognitive, Affective and Behavioral Neuroscience","id":"ITEM-1","issued":{"date-parts":[["2015"]]},"title":"Learning the opportunity cost of time in a patch-foraging task","type":"article-journal"}}],"schema":"https://github.com/citation-style-language/schema/raw/master/csl-citation.json"} </w:instrText>
      </w:r>
      <w:r w:rsidR="005F1FB4" w:rsidRPr="00701004">
        <w:rPr>
          <w:color w:val="000000"/>
        </w:rPr>
        <w:fldChar w:fldCharType="separate"/>
      </w:r>
      <w:r w:rsidR="00546949" w:rsidRPr="00701004">
        <w:rPr>
          <w:vertAlign w:val="superscript"/>
        </w:rPr>
        <w:t>24</w:t>
      </w:r>
      <w:r w:rsidR="005F1FB4" w:rsidRPr="00701004">
        <w:rPr>
          <w:color w:val="000000"/>
        </w:rPr>
        <w:fldChar w:fldCharType="end"/>
      </w:r>
      <w:r w:rsidR="005F1FB4" w:rsidRPr="00701004">
        <w:rPr>
          <w:color w:val="000000"/>
        </w:rPr>
        <w:t>. Trees represented individual patches that participants could forage by choosing to ‘stay’ to collect rewards (apples</w:t>
      </w:r>
      <w:r w:rsidR="00A95997" w:rsidRPr="00701004">
        <w:rPr>
          <w:color w:val="000000"/>
        </w:rPr>
        <w:t xml:space="preserve">; see Figure </w:t>
      </w:r>
      <w:r w:rsidR="00EC4E5C" w:rsidRPr="00701004">
        <w:rPr>
          <w:color w:val="000000"/>
        </w:rPr>
        <w:t>5</w:t>
      </w:r>
      <w:r w:rsidR="005F1FB4" w:rsidRPr="00701004">
        <w:rPr>
          <w:color w:val="000000"/>
        </w:rPr>
        <w:t xml:space="preserve">). The longer participants chose to remain with a single patch, the fewer rewards would be harvested on each stay decision </w:t>
      </w:r>
      <w:r w:rsidR="005F1FB4" w:rsidRPr="00701004">
        <w:rPr>
          <w:color w:val="000000"/>
        </w:rPr>
        <w:lastRenderedPageBreak/>
        <w:t xml:space="preserve">until harvesting the patch yielded zero rewards. Participants completed two unique environments or ‘orchards’, which differed in the </w:t>
      </w:r>
      <w:r w:rsidR="008D7CB0" w:rsidRPr="00701004">
        <w:rPr>
          <w:color w:val="000000"/>
        </w:rPr>
        <w:t xml:space="preserve">number </w:t>
      </w:r>
      <w:r w:rsidR="005F1FB4" w:rsidRPr="00701004">
        <w:rPr>
          <w:color w:val="000000"/>
        </w:rPr>
        <w:t>of rewards available.</w:t>
      </w:r>
      <w:r w:rsidR="004A53A3" w:rsidRPr="00701004">
        <w:rPr>
          <w:color w:val="000000"/>
        </w:rPr>
        <w:t xml:space="preserve"> </w:t>
      </w:r>
      <w:r w:rsidR="009D2A9A" w:rsidRPr="00701004">
        <w:rPr>
          <w:color w:val="000000"/>
        </w:rPr>
        <w:t xml:space="preserve">The availability of rewards was </w:t>
      </w:r>
      <w:r w:rsidR="00833E61" w:rsidRPr="00701004">
        <w:rPr>
          <w:color w:val="000000"/>
        </w:rPr>
        <w:t xml:space="preserve">manipulated through changing the rate at which </w:t>
      </w:r>
      <w:r w:rsidR="009D2A9A" w:rsidRPr="00701004">
        <w:rPr>
          <w:color w:val="000000"/>
        </w:rPr>
        <w:t>apples</w:t>
      </w:r>
      <w:r w:rsidR="00833E61" w:rsidRPr="00701004">
        <w:rPr>
          <w:color w:val="000000"/>
        </w:rPr>
        <w:t xml:space="preserve"> depleted from patches, </w:t>
      </w:r>
      <w:r w:rsidR="000D4C0A" w:rsidRPr="00701004">
        <w:rPr>
          <w:color w:val="000000"/>
        </w:rPr>
        <w:t>which was based on</w:t>
      </w:r>
      <w:r w:rsidR="00833E61" w:rsidRPr="00701004">
        <w:rPr>
          <w:color w:val="000000"/>
        </w:rPr>
        <w:t xml:space="preserve"> previous research</w:t>
      </w:r>
      <w:r w:rsidR="00A80049" w:rsidRPr="00701004">
        <w:rPr>
          <w:color w:val="000000"/>
        </w:rPr>
        <w:fldChar w:fldCharType="begin" w:fldLock="1"/>
      </w:r>
      <w:r w:rsidR="00546949" w:rsidRPr="00701004">
        <w:rPr>
          <w:color w:val="000000"/>
        </w:rPr>
        <w:instrText xml:space="preserve"> ADDIN ZOTERO_ITEM CSL_CITATION {"citationID":"uXpKfKTn","properties":{"formattedCitation":"\\super 42\\nosupersub{}","plainCitation":"42","noteIndex":0},"citationItems":[{"id":"3dXyczz3/cyr9QgJ0","uris":["http://www.mendeley.com/documents/?uuid=e8736365-4402-404d-be26-58a21b47f2e3"],"uri":["http://www.mendeley.com/documents/?uuid=e8736365-4402-404d-be26-58a21b47f2e3"],"itemData":{"DOI":"10.1111/desc.13075","ISSN":"14677687","abstract":"Adolescence is a period of heightened exploration relative to adulthood and childhood. This predisposition has been linked with negative behaviours related to risk-taking, including dangerous driving, substance misuse and risky sexual practices. However, recent models have argued that adolescents’ heightened exploration serves a functional purpose within the lifespan, allowing adolescents to develop experiential knowledge of their surroundings. Yet, there is limited evidence that heightened exploration in adolescence is associated with positive outcomes. To address this, the present pre-registered study utilised a foraging paradigm with a sample of adolescents aged 16–17 (N = 68) and of adults aged 21 and above (N = 69). Participants completed a patch foraging task, which required them to choose between exploiting a known resource which gradually yields fewer rewards, and exploring a novel, unknown resource with a fresh distribution of rewards. Findings demonstrated that adolescents explored more than adults, which – in the context of the current task—represented more optimal patch foraging behaviour. These findings indicate that adolescents’ heightened exploration can be beneficial, as they were able to effectively navigate unknown environments and accrue rewards more successfully than adults. This provides evidence that heightened exploration in adolescence, relative to adulthood, can lead to positive outcomes and contributes to our understanding of the role increased novelty-seeking plays at this point in the lifespan.","author":[{"dropping-particle":"","family":"Lloyd","given":"Alex","non-dropping-particle":"","parse-names":false,"suffix":""},{"dropping-particle":"","family":"McKay","given":"Ryan","non-dropping-particle":"","parse-names":false,"suffix":""},{"dropping-particle":"","family":"Sebastian","given":"Catherine L.","non-dropping-particle":"","parse-names":false,"suffix":""},{"dropping-particle":"","family":"Balsters","given":"Joshua H.","non-dropping-particle":"","parse-names":false,"suffix":""}],"container-title":"Developmental Science","id":"ITEM-1","issued":{"date-parts":[["2020"]]},"title":"Are adolescents more optimal decision-makers in novel environments? Examining the benefits of heightened exploration in a patch foraging paradigm","type":"article-journal"}}],"schema":"https://github.com/citation-style-language/schema/raw/master/csl-citation.json"} </w:instrText>
      </w:r>
      <w:r w:rsidR="00A80049" w:rsidRPr="00701004">
        <w:rPr>
          <w:color w:val="000000"/>
        </w:rPr>
        <w:fldChar w:fldCharType="separate"/>
      </w:r>
      <w:r w:rsidR="00546949" w:rsidRPr="00701004">
        <w:rPr>
          <w:vertAlign w:val="superscript"/>
        </w:rPr>
        <w:t>42</w:t>
      </w:r>
      <w:r w:rsidR="00A80049" w:rsidRPr="00701004">
        <w:rPr>
          <w:color w:val="000000"/>
        </w:rPr>
        <w:fldChar w:fldCharType="end"/>
      </w:r>
      <w:r w:rsidR="00833E61" w:rsidRPr="00701004">
        <w:rPr>
          <w:color w:val="000000"/>
        </w:rPr>
        <w:t xml:space="preserve">. </w:t>
      </w:r>
      <w:r w:rsidR="005F1FB4" w:rsidRPr="00701004">
        <w:rPr>
          <w:color w:val="000000"/>
        </w:rPr>
        <w:t xml:space="preserve">Each environment </w:t>
      </w:r>
      <w:r w:rsidR="008D7CB0" w:rsidRPr="00701004">
        <w:rPr>
          <w:color w:val="000000"/>
        </w:rPr>
        <w:t xml:space="preserve">was presented </w:t>
      </w:r>
      <w:r w:rsidR="005F1FB4" w:rsidRPr="00701004">
        <w:rPr>
          <w:color w:val="000000"/>
        </w:rPr>
        <w:t xml:space="preserve">for five minutes </w:t>
      </w:r>
      <w:r w:rsidR="008D7CB0" w:rsidRPr="00701004">
        <w:rPr>
          <w:color w:val="000000"/>
        </w:rPr>
        <w:t>with the</w:t>
      </w:r>
      <w:r w:rsidR="005F1FB4" w:rsidRPr="00701004">
        <w:rPr>
          <w:color w:val="000000"/>
        </w:rPr>
        <w:t xml:space="preserve"> order</w:t>
      </w:r>
      <w:r w:rsidR="008D7CB0" w:rsidRPr="00701004">
        <w:rPr>
          <w:color w:val="000000"/>
        </w:rPr>
        <w:t xml:space="preserve"> of presentation</w:t>
      </w:r>
      <w:r w:rsidR="005F1FB4" w:rsidRPr="00701004">
        <w:rPr>
          <w:color w:val="000000"/>
        </w:rPr>
        <w:t xml:space="preserve"> counterbalanced across participants.</w:t>
      </w:r>
    </w:p>
    <w:p w14:paraId="30307515" w14:textId="5D1853F6" w:rsidR="00762A33" w:rsidRPr="00701004" w:rsidRDefault="00762A33" w:rsidP="00A868A4">
      <w:pPr>
        <w:spacing w:before="120" w:line="480" w:lineRule="auto"/>
        <w:ind w:firstLine="720"/>
        <w:jc w:val="both"/>
        <w:rPr>
          <w:color w:val="000000"/>
        </w:rPr>
      </w:pPr>
      <w:r w:rsidRPr="00701004">
        <w:rPr>
          <w:iCs/>
          <w:color w:val="000000"/>
        </w:rPr>
        <w:t xml:space="preserve">Consistent with previous research, </w:t>
      </w:r>
      <w:r w:rsidRPr="00701004">
        <w:rPr>
          <w:color w:val="000000"/>
        </w:rPr>
        <w:t>participants adjusted the point that they left patches according to the richness of the environment</w:t>
      </w:r>
      <w:r w:rsidRPr="00701004">
        <w:rPr>
          <w:color w:val="000000"/>
          <w:vertAlign w:val="superscript"/>
        </w:rPr>
        <w:t>32</w:t>
      </w:r>
      <w:r w:rsidR="00BB231C" w:rsidRPr="00701004">
        <w:rPr>
          <w:color w:val="000000"/>
          <w:vertAlign w:val="superscript"/>
        </w:rPr>
        <w:t>,42</w:t>
      </w:r>
      <w:r w:rsidRPr="00701004">
        <w:rPr>
          <w:color w:val="000000"/>
        </w:rPr>
        <w:t xml:space="preserve">. Specifically, participants explored more in the richer environment and explored less in the poorer environment. This was confirmed with a paired t-test </w:t>
      </w:r>
      <w:proofErr w:type="gramStart"/>
      <w:r w:rsidRPr="00701004">
        <w:rPr>
          <w:i/>
          <w:color w:val="000000"/>
        </w:rPr>
        <w:t>t</w:t>
      </w:r>
      <w:r w:rsidRPr="00701004">
        <w:rPr>
          <w:color w:val="000000"/>
        </w:rPr>
        <w:t>(</w:t>
      </w:r>
      <w:proofErr w:type="gramEnd"/>
      <w:r w:rsidRPr="00701004">
        <w:rPr>
          <w:color w:val="000000"/>
        </w:rPr>
        <w:t xml:space="preserve">447) = 5.08, </w:t>
      </w:r>
      <w:r w:rsidRPr="00701004">
        <w:rPr>
          <w:i/>
          <w:color w:val="000000"/>
        </w:rPr>
        <w:t xml:space="preserve">p </w:t>
      </w:r>
      <w:r w:rsidRPr="00701004">
        <w:rPr>
          <w:color w:val="000000"/>
        </w:rPr>
        <w:t>&lt; .001, with participants having a higher leaving threshold in the rich environment (</w:t>
      </w:r>
      <w:r w:rsidRPr="00701004">
        <w:rPr>
          <w:i/>
          <w:color w:val="000000"/>
        </w:rPr>
        <w:t>M</w:t>
      </w:r>
      <w:r w:rsidRPr="00701004">
        <w:rPr>
          <w:color w:val="000000"/>
        </w:rPr>
        <w:t xml:space="preserve"> = 5.15, </w:t>
      </w:r>
      <w:r w:rsidRPr="00701004">
        <w:rPr>
          <w:i/>
          <w:color w:val="000000"/>
        </w:rPr>
        <w:t>SD</w:t>
      </w:r>
      <w:r w:rsidRPr="00701004">
        <w:rPr>
          <w:color w:val="000000"/>
        </w:rPr>
        <w:t xml:space="preserve"> = 2.35) compared to the poor quality environment (</w:t>
      </w:r>
      <w:r w:rsidRPr="00701004">
        <w:rPr>
          <w:i/>
          <w:color w:val="000000"/>
        </w:rPr>
        <w:t>M</w:t>
      </w:r>
      <w:r w:rsidRPr="00701004">
        <w:rPr>
          <w:color w:val="000000"/>
        </w:rPr>
        <w:t xml:space="preserve"> = 4.72, </w:t>
      </w:r>
      <w:r w:rsidRPr="00701004">
        <w:rPr>
          <w:i/>
          <w:color w:val="000000"/>
        </w:rPr>
        <w:t>SD</w:t>
      </w:r>
      <w:r w:rsidRPr="00701004">
        <w:rPr>
          <w:color w:val="000000"/>
        </w:rPr>
        <w:t xml:space="preserve"> = 2.26). </w:t>
      </w:r>
    </w:p>
    <w:p w14:paraId="3EE3473B" w14:textId="77777777" w:rsidR="00762A33" w:rsidRPr="00701004" w:rsidRDefault="00762A33" w:rsidP="00D876F1">
      <w:pPr>
        <w:spacing w:before="120" w:line="480" w:lineRule="auto"/>
        <w:jc w:val="both"/>
        <w:rPr>
          <w:color w:val="000000"/>
        </w:rPr>
      </w:pPr>
    </w:p>
    <w:p w14:paraId="0AB32F19" w14:textId="77777777" w:rsidR="00A95997" w:rsidRPr="00701004" w:rsidRDefault="00A95997" w:rsidP="00A95997">
      <w:pPr>
        <w:keepNext/>
        <w:spacing w:before="120" w:line="480" w:lineRule="auto"/>
        <w:jc w:val="both"/>
      </w:pPr>
      <w:r w:rsidRPr="00701004">
        <w:rPr>
          <w:noProof/>
          <w:lang w:eastAsia="en-GB"/>
        </w:rPr>
        <w:drawing>
          <wp:inline distT="0" distB="0" distL="0" distR="0" wp14:anchorId="11047858" wp14:editId="738983C2">
            <wp:extent cx="5727700" cy="355917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ke Club_AL.png"/>
                    <pic:cNvPicPr/>
                  </pic:nvPicPr>
                  <pic:blipFill rotWithShape="1">
                    <a:blip r:embed="rId16">
                      <a:extLst>
                        <a:ext uri="{28A0092B-C50C-407E-A947-70E740481C1C}">
                          <a14:useLocalDpi xmlns:a14="http://schemas.microsoft.com/office/drawing/2010/main" val="0"/>
                        </a:ext>
                      </a:extLst>
                    </a:blip>
                    <a:srcRect t="17135"/>
                    <a:stretch/>
                  </pic:blipFill>
                  <pic:spPr bwMode="auto">
                    <a:xfrm>
                      <a:off x="0" y="0"/>
                      <a:ext cx="5727700" cy="3559175"/>
                    </a:xfrm>
                    <a:prstGeom prst="rect">
                      <a:avLst/>
                    </a:prstGeom>
                    <a:ln>
                      <a:noFill/>
                    </a:ln>
                    <a:extLst>
                      <a:ext uri="{53640926-AAD7-44D8-BBD7-CCE9431645EC}">
                        <a14:shadowObscured xmlns:a14="http://schemas.microsoft.com/office/drawing/2010/main"/>
                      </a:ext>
                    </a:extLst>
                  </pic:spPr>
                </pic:pic>
              </a:graphicData>
            </a:graphic>
          </wp:inline>
        </w:drawing>
      </w:r>
    </w:p>
    <w:p w14:paraId="5ECE7E59" w14:textId="5D2D0A33" w:rsidR="00A95997" w:rsidRPr="00701004" w:rsidRDefault="00A95997" w:rsidP="005F1FB4">
      <w:pPr>
        <w:spacing w:before="120" w:line="480" w:lineRule="auto"/>
        <w:jc w:val="both"/>
        <w:rPr>
          <w:iCs/>
        </w:rPr>
      </w:pPr>
      <w:r w:rsidRPr="00701004">
        <w:rPr>
          <w:iCs/>
        </w:rPr>
        <w:t xml:space="preserve">Figure </w:t>
      </w:r>
      <w:r w:rsidR="0023068A" w:rsidRPr="00701004">
        <w:rPr>
          <w:iCs/>
        </w:rPr>
        <w:t>5</w:t>
      </w:r>
      <w:r w:rsidRPr="00701004">
        <w:rPr>
          <w:iCs/>
        </w:rPr>
        <w:t>: Outline of the patch foraging task.</w:t>
      </w:r>
      <w:r w:rsidR="001B4674" w:rsidRPr="00701004">
        <w:rPr>
          <w:iCs/>
        </w:rPr>
        <w:t xml:space="preserve"> Participants who chose to stay (top panel) are presented with the number of apples they collected on that trial before being returned to the </w:t>
      </w:r>
      <w:r w:rsidR="001B4674" w:rsidRPr="00701004">
        <w:rPr>
          <w:iCs/>
        </w:rPr>
        <w:lastRenderedPageBreak/>
        <w:t xml:space="preserve">tree. Participants who chose to leave (bottom panel) are presented with a screen for </w:t>
      </w:r>
      <w:r w:rsidR="00E01C0B" w:rsidRPr="00701004">
        <w:rPr>
          <w:iCs/>
        </w:rPr>
        <w:t>six</w:t>
      </w:r>
      <w:r w:rsidR="001B4674" w:rsidRPr="00701004">
        <w:rPr>
          <w:iCs/>
        </w:rPr>
        <w:t xml:space="preserve"> seconds before arriving at a new patch.</w:t>
      </w:r>
    </w:p>
    <w:p w14:paraId="6CCD711F" w14:textId="304A1CC2" w:rsidR="005B39A9" w:rsidRPr="00701004" w:rsidRDefault="005F1FB4" w:rsidP="005B39A9">
      <w:pPr>
        <w:spacing w:before="120" w:line="480" w:lineRule="auto"/>
        <w:jc w:val="both"/>
        <w:rPr>
          <w:color w:val="000000"/>
        </w:rPr>
      </w:pPr>
      <w:r w:rsidRPr="00701004">
        <w:rPr>
          <w:i/>
        </w:rPr>
        <w:t>Mood and anxiety symptoms</w:t>
      </w:r>
      <w:r w:rsidRPr="00701004">
        <w:t xml:space="preserve">: Analyses included an item probing specific anxiety around COVID-19 used in previous research </w:t>
      </w:r>
      <w:r w:rsidRPr="00701004">
        <w:fldChar w:fldCharType="begin" w:fldLock="1"/>
      </w:r>
      <w:r w:rsidR="00546949" w:rsidRPr="00701004">
        <w:instrText xml:space="preserve"> ADDIN ZOTERO_ITEM CSL_CITATION {"citationID":"JoUG9Mm4","properties":{"formattedCitation":"\\super 2,43\\nosupersub{}","plainCitation":"2,43","noteIndex":0},"citationItems":[{"id":"3dXyczz3/FJEDucs7","uris":["http://www.mendeley.com/documents/?uuid=2ca85635-c09f-379a-abab-6fbb7b77a031"],"uri":["http://www.mendeley.com/documents/?uuid=2ca85635-c09f-379a-abab-6fbb7b77a031"],"itemData":{"DOI":"10.31234/OSF.IO/WXE2N","author":[{"dropping-particle":"","family":"McBride","given":"Orla","non-dropping-particle":"","parse-names":false,"suffix":""},{"dropping-particle":"","family":"Murphy","given":"Jamie","non-dropping-particle":"","parse-names":false,"suffix":""},{"dropping-particle":"","family":"Shevlin","given":"Mark","non-dropping-particle":"","parse-names":false,"suffix":""},{"dropping-particle":"","family":"Miller","given":"Jilly Gibson","non-dropping-particle":"","parse-names":false,"suffix":""},{"dropping-particle":"","family":"Hartman","given":"Todd K.","non-dropping-particle":"","parse-names":false,"suffix":""},{"dropping-particle":"","family":"Hyland","given":"Philip","non-dropping-particle":"","parse-names":false,"suffix":""},{"dropping-particle":"","family":"Levita","given":"Liat","non-dropping-particle":"","parse-names":false,"suffix":""},{"dropping-particle":"","family":"Mason","given":"Liam","non-dropping-particle":"","parse-names":false,"suffix":""},{"dropping-particle":"","family":"Martinez","given":"Anton Philipp","non-dropping-particle":"","parse-names":false,"suffix":""},{"dropping-particle":"","family":"McKay","given":"Ryan","non-dropping-particle":"","parse-names":false,"suffix":""},{"dropping-particle":"","family":"Stocks","given":"Thomas V A","non-dropping-particle":"","parse-names":false,"suffix":""},{"dropping-particle":"","family":"Bentall","given":"Richard P.","non-dropping-particle":"","parse-names":false,"suffix":""}],"id":"ITEM-1","issued":{"date-parts":[["0"]]},"publisher":"PsyArXiv","title":"Monitoring the psychological impact of the COVID-19 pandemic in the general population: an overview of the context, design and conduct of the COVID-19 Psychological Research Consortium (C19PRC) Study","type":"article-journal"}},{"id":"3dXyczz3/QHOz0sqM","uris":["http://www.mendeley.com/documents/?uuid=77e3f69b-f455-32c6-ad63-19036dd437e1"],"uri":["http://www.mendeley.com/documents/?uuid=77e3f69b-f455-32c6-ad63-19036dd437e1"],"itemData":{"DOI":"10.31234/OSF.IO/HB6NQ","author":[{"dropping-particle":"","family":"Shevlin","given":"Mark","non-dropping-particle":"","parse-names":false,"suffix":""},{"dropping-particle":"","family":"McBride","given":"Orla","non-dropping-particle":"","parse-names":false,"suffix":""},{"dropping-particle":"","family":"Murphy","given":"Jamie","non-dropping-particle":"","parse-names":false,"suffix":""},{"dropping-particle":"","family":"Miller","given":"Jilly Gibson","non-dropping-particle":"","parse-names":false,"suffix":""},{"dropping-particle":"","family":"Hartman","given":"Todd K","non-dropping-particle":"","parse-names":false,"suffix":""},{"dropping-particle":"","family":"Levita","given":"Liat","non-dropping-particle":"","parse-names":false,"suffix":""},{"dropping-particle":"","family":"Mason","given":"Liam","non-dropping-particle":"","parse-names":false,"suffix":""},{"dropping-particle":"","family":"Martinez","given":"Anton Philipp","non-dropping-particle":"","parse-names":false,"suffix":""},{"dropping-particle":"","family":"McKay","given":"Ryan","non-dropping-particle":"","parse-names":false,"suffix":""},{"dropping-particle":"","family":"Stocks","given":"Thomas V A","non-dropping-particle":"","parse-names":false,"suffix":""},{"dropping-particle":"","family":"bennett","given":"kate m","non-dropping-particle":"","parse-names":false,"suffix":""},{"dropping-particle":"","family":"Hyland","given":"Philip","non-dropping-particle":"","parse-names":false,"suffix":""},{"dropping-particle":"","family":"Karatzias","given":"Thanos","non-dropping-particle":"","parse-names":false,"suffix":""},{"dropping-particle":"","family":"Bentall","given":"Richard P.","non-dropping-particle":"","parse-names":false,"suffix":""}],"id":"ITEM-2","issued":{"date-parts":[["0"]]},"publisher":"PsyArXiv","title":"Anxiety, Depression, Traumatic Stress, and COVID-19 Related Anxiety in the UK General Population During the COVID-19 Pandemic.","type":"article-journal"}}],"schema":"https://github.com/citation-style-language/schema/raw/master/csl-citation.json"} </w:instrText>
      </w:r>
      <w:r w:rsidRPr="00701004">
        <w:fldChar w:fldCharType="separate"/>
      </w:r>
      <w:r w:rsidR="00546949" w:rsidRPr="00701004">
        <w:rPr>
          <w:vertAlign w:val="superscript"/>
        </w:rPr>
        <w:t>2,43</w:t>
      </w:r>
      <w:r w:rsidRPr="00701004">
        <w:fldChar w:fldCharType="end"/>
      </w:r>
      <w:r w:rsidRPr="00701004">
        <w:t xml:space="preserve">. The wording of the item was: “How anxious are you about the coronavirus COVID-19 pandemic?” and participants gave slider ratings </w:t>
      </w:r>
      <w:r w:rsidR="00613772" w:rsidRPr="00701004">
        <w:t xml:space="preserve">on a </w:t>
      </w:r>
      <w:r w:rsidRPr="00701004">
        <w:t>0-100</w:t>
      </w:r>
      <w:r w:rsidR="00613772" w:rsidRPr="00701004">
        <w:t xml:space="preserve"> scale</w:t>
      </w:r>
      <w:r w:rsidRPr="00701004">
        <w:t>.</w:t>
      </w:r>
      <w:r w:rsidR="005B39A9" w:rsidRPr="00701004">
        <w:t xml:space="preserve"> In addition, we measured general anxiety symptoms </w:t>
      </w:r>
      <w:r w:rsidR="005B39A9" w:rsidRPr="00701004">
        <w:rPr>
          <w:color w:val="000000"/>
        </w:rPr>
        <w:t>using the G</w:t>
      </w:r>
      <w:r w:rsidR="005B39A9" w:rsidRPr="00701004">
        <w:t>eneralized Anxiety Disorder</w:t>
      </w:r>
      <w:r w:rsidR="005B39A9" w:rsidRPr="00701004">
        <w:rPr>
          <w:rStyle w:val="Subtitle1"/>
        </w:rPr>
        <w:t xml:space="preserve"> questionnaire (</w:t>
      </w:r>
      <w:r w:rsidR="005B39A9" w:rsidRPr="00701004">
        <w:t xml:space="preserve">GAD-7; </w:t>
      </w:r>
      <w:r w:rsidR="005B39A9" w:rsidRPr="00701004">
        <w:fldChar w:fldCharType="begin" w:fldLock="1"/>
      </w:r>
      <w:r w:rsidR="00546949" w:rsidRPr="00701004">
        <w:instrText xml:space="preserve"> ADDIN ZOTERO_ITEM CSL_CITATION {"citationID":"vYHQffKh","properties":{"formattedCitation":"\\super 44\\nosupersub{}","plainCitation":"44","noteIndex":0},"citationItems":[{"id":"3dXyczz3/9jh7gNFb","uris":["http://www.mendeley.com/documents/?uuid=f67ee466-a082-3766-9cc0-6b583cc3078c"],"uri":["http://www.mendeley.com/documents/?uuid=f67ee466-a082-3766-9cc0-6b583cc3078c"],"itemData":{"DOI":"10.1001/archinte.166.10.1092","ISSN":"00039926","PMID":"16717171","abstract":"Background: Generalized anxiety disorder (GAD) is one of the most common mental disorders; however, there is no brief clinical measure for assessing GAD. The objective of this study was to develop a brief self-report scale to identify probable cases of GAD and evaluate its reliability and validity. Methods: A criterion-standard study was performed in 15 primary care clinics in the United States from November 2004 through June 2005. Of a total of 2740 adult patients completing a study questionnaire, 965 patients had a telephone interview with a mental health professional within 1 week. For criterion and construct validity, GAD self-report scale diagnoses were compared with independent diagnoses made by mental health professionals; functional status measures; disability days; and health care use. Results: A 7-item anxiety scale (GAD-7) had good reliability, as well as criterion, construct, factorial, and procedural validity. A cut point was identified that optimized sensitivity (89%) and specificity (82%). Increasing scores on the scale were strongly associated with multiple domains of functional impairment (all 6 Medical Outcomes Study Short-Form General Health Survey scales and disability days). Although GAD and depression symptoms frequently co-occurred, factor analysis confirmed them as distinct dimensions. Moreover, GAD and depression symptoms had differing but independent effects on functional impairment and disability. There was good agreement between self-report and interviewer-administered versions of the scale. Conclusion: The GAD-7 is a valid and efficient tool for screening for GAD and assessing its severity in clinical practice and research. ©2006 American Medical Association. All rights reserved.","author":[{"dropping-particle":"","family":"Spitzer","given":"Robert L.","non-dropping-particle":"","parse-names":false,"suffix":""},{"dropping-particle":"","family":"Kroenke","given":"Kurt","non-dropping-particle":"","parse-names":false,"suffix":""},{"dropping-particle":"","family":"Williams","given":"Janet B.W.","non-dropping-particle":"","parse-names":false,"suffix":""},{"dropping-particle":"","family":"Löwe","given":"Bernd","non-dropping-particle":"","parse-names":false,"suffix":""}],"container-title":"Archives of Internal Medicine","id":"ITEM-1","issue":"10","issued":{"date-parts":[["2006","5","22"]]},"page":"1092-1097","publisher":"American Medical Association","title":"A brief measure for assessing generalized anxiety disorder: The GAD-7","type":"article-journal","volume":"166"}}],"schema":"https://github.com/citation-style-language/schema/raw/master/csl-citation.json"} </w:instrText>
      </w:r>
      <w:r w:rsidR="005B39A9" w:rsidRPr="00701004">
        <w:fldChar w:fldCharType="separate"/>
      </w:r>
      <w:r w:rsidR="00546949" w:rsidRPr="00701004">
        <w:rPr>
          <w:vertAlign w:val="superscript"/>
        </w:rPr>
        <w:t>44</w:t>
      </w:r>
      <w:r w:rsidR="005B39A9" w:rsidRPr="00701004">
        <w:fldChar w:fldCharType="end"/>
      </w:r>
      <w:r w:rsidR="005B39A9" w:rsidRPr="00701004">
        <w:t xml:space="preserve">), with total scores ranging from 0-21. Scores higher than 15 </w:t>
      </w:r>
      <w:r w:rsidR="00210710" w:rsidRPr="00701004">
        <w:t>indicate</w:t>
      </w:r>
      <w:r w:rsidR="005B39A9" w:rsidRPr="00701004">
        <w:t xml:space="preserve"> severe anxiety. Finally, depression was measured using the Patient Health Questionnaire depression scale (PHQ-9; </w:t>
      </w:r>
      <w:r w:rsidR="005B39A9" w:rsidRPr="00701004">
        <w:fldChar w:fldCharType="begin" w:fldLock="1"/>
      </w:r>
      <w:r w:rsidR="00546949" w:rsidRPr="00701004">
        <w:instrText xml:space="preserve"> ADDIN ZOTERO_ITEM CSL_CITATION {"citationID":"ndKsp9Kh","properties":{"formattedCitation":"\\super 45\\nosupersub{}","plainCitation":"45","noteIndex":0},"citationItems":[{"id":"3dXyczz3/bFsq9tJy","uris":["http://www.mendeley.com/documents/?uuid=7184ba04-9e0c-39d8-b823-62a2a7582e53"],"uri":["http://www.mendeley.com/documents/?uuid=7184ba04-9e0c-39d8-b823-62a2a7582e53"],"itemData":{"DOI":"10.1046/j.1525-1497.2001.016009606.x","ISSN":"08848734","PMID":"11556941","abstract":"OBJECTIVE: While considerable attention has focused on improving the detection of depression, assessment of severity is also important in guiding treatment decisions. Therefore, we examined the validity of a brief, new measure of depression severity. MEASUREMENTS: The Patient Health Questionnaire PHQ) is a self-administered version of the PRIME-MD diagnostic instrument for common mental disorders. The PHQ-9 is the depression module, which scores each of the 9 DSM-IV criteria as \"O\" not at all) to \"3\" nearly every day). The PHQ-9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 RESULTS: As PHQ-9 depression severity increased, there was a substantial decrease in functional status on all 6 SF-20 subscales. Also, symptom-related difficulty, sick days, and health care utilization increased. Using the MHP reinterview as the criterion standard, a PHQ-9 score ≥10 had a sensitivity of 88% and a specificity of 88% for major depression. PHQ-9 scores of 5, 10, 15, and 20 represented mild, moderate, moderately severe, and severe depression, respectively. Results were similar in the primary care and obstetrics-gynecology samples. CONCLUSION: In addition to making criteria-based diagnoses of depressive disorders, the PHQ-9 is also a reliable and valid measure of depression severity. These characteristics plus its brevity make the PHQ-9 a useful clinical and research tool.","author":[{"dropping-particle":"","family":"Kroenke","given":"Kurt","non-dropping-particle":"","parse-names":false,"suffix":""},{"dropping-particle":"","family":"Spitzer","given":"Robert L.","non-dropping-particle":"","parse-names":false,"suffix":""},{"dropping-particle":"","family":"Williams","given":"Janet B.W.","non-dropping-particle":"","parse-names":false,"suffix":""}],"container-title":"Journal of General Internal Medicine","id":"ITEM-1","issue":"9","issued":{"date-parts":[["2001"]]},"page":"606-613","publisher":"J Gen Intern Med","title":"The PHQ-9: Validity of a brief depression severity measure","type":"article-journal","volume":"16"}}],"schema":"https://github.com/citation-style-language/schema/raw/master/csl-citation.json"} </w:instrText>
      </w:r>
      <w:r w:rsidR="005B39A9" w:rsidRPr="00701004">
        <w:fldChar w:fldCharType="separate"/>
      </w:r>
      <w:r w:rsidR="00546949" w:rsidRPr="00701004">
        <w:rPr>
          <w:vertAlign w:val="superscript"/>
        </w:rPr>
        <w:t>45</w:t>
      </w:r>
      <w:r w:rsidR="005B39A9" w:rsidRPr="00701004">
        <w:fldChar w:fldCharType="end"/>
      </w:r>
      <w:r w:rsidR="005B39A9" w:rsidRPr="00701004">
        <w:t xml:space="preserve">), with total scores ranging from 0-27. Scores equal to or greater than 20 indicate severe depression. </w:t>
      </w:r>
    </w:p>
    <w:p w14:paraId="42678B70" w14:textId="394AF695" w:rsidR="005F1FB4" w:rsidRPr="00701004" w:rsidRDefault="004D2535" w:rsidP="005F1FB4">
      <w:pPr>
        <w:spacing w:before="120" w:line="480" w:lineRule="auto"/>
        <w:jc w:val="both"/>
      </w:pPr>
      <w:r w:rsidRPr="00701004">
        <w:rPr>
          <w:i/>
        </w:rPr>
        <w:t xml:space="preserve">COVID-19 </w:t>
      </w:r>
      <w:r w:rsidR="0023068A" w:rsidRPr="00701004">
        <w:rPr>
          <w:i/>
        </w:rPr>
        <w:t>risk</w:t>
      </w:r>
      <w:r w:rsidRPr="00701004">
        <w:rPr>
          <w:i/>
        </w:rPr>
        <w:t xml:space="preserve"> behaviours</w:t>
      </w:r>
      <w:r w:rsidR="005F1FB4" w:rsidRPr="00701004">
        <w:rPr>
          <w:i/>
        </w:rPr>
        <w:t>:</w:t>
      </w:r>
      <w:r w:rsidR="005F1FB4" w:rsidRPr="00701004">
        <w:t xml:space="preserve"> Participants completed 12 items that probed </w:t>
      </w:r>
      <w:r w:rsidR="009C4029" w:rsidRPr="00701004">
        <w:t xml:space="preserve">behaviours </w:t>
      </w:r>
      <w:r w:rsidRPr="00701004">
        <w:t xml:space="preserve">related to guidance given by the UK Government to reduce the </w:t>
      </w:r>
      <w:r w:rsidR="00FD2E5B" w:rsidRPr="00701004">
        <w:t>risk</w:t>
      </w:r>
      <w:r w:rsidRPr="00701004">
        <w:t xml:space="preserve"> of infection by </w:t>
      </w:r>
      <w:r w:rsidR="00FD2E5B" w:rsidRPr="00701004">
        <w:t>coronavirus</w:t>
      </w:r>
      <w:r w:rsidR="005F1FB4" w:rsidRPr="00701004">
        <w:t xml:space="preserve">. </w:t>
      </w:r>
      <w:r w:rsidR="00B83C35" w:rsidRPr="00701004">
        <w:t>Participants were</w:t>
      </w:r>
      <w:r w:rsidR="005F1FB4" w:rsidRPr="00701004">
        <w:t xml:space="preserve"> asked</w:t>
      </w:r>
      <w:r w:rsidRPr="00701004">
        <w:t>:</w:t>
      </w:r>
      <w:r w:rsidR="005F1FB4" w:rsidRPr="00701004">
        <w:t xml:space="preserve"> “In the past week, to reduce your risk of being infected by or passing on the coronavirus to others, on how many days of the week have you” and included items such as:</w:t>
      </w:r>
      <w:r w:rsidR="000768AF" w:rsidRPr="00701004">
        <w:t xml:space="preserve"> “Stayed at least 2 metres (6ft) away from others when in public”. Some items were reverse scored, such as: </w:t>
      </w:r>
      <w:r w:rsidR="005F1FB4" w:rsidRPr="00701004">
        <w:t xml:space="preserve">“Gathered in a group of more than two people in a park or other public space”, and “Engaged in close contact greetings”. Likert scale responses were collected ranging from: “Not at all” (0), “1-2 days a week” (1), “3-4 days a week” (2), “Most days” (3), and “Every day” (4). </w:t>
      </w:r>
    </w:p>
    <w:p w14:paraId="0E326117" w14:textId="22E1EB98" w:rsidR="00D60A07" w:rsidRPr="00701004" w:rsidRDefault="007E7904" w:rsidP="00081984">
      <w:pPr>
        <w:spacing w:before="120" w:line="480" w:lineRule="auto"/>
        <w:ind w:firstLine="720"/>
        <w:jc w:val="both"/>
      </w:pPr>
      <w:r w:rsidRPr="00701004">
        <w:t xml:space="preserve">Participants additionally completed 18 items assessing psychological inclination to </w:t>
      </w:r>
      <w:r w:rsidR="003E735F" w:rsidRPr="00701004">
        <w:t>comply with</w:t>
      </w:r>
      <w:r w:rsidRPr="00701004">
        <w:t xml:space="preserve"> social distancing</w:t>
      </w:r>
      <w:r w:rsidR="004B27F0" w:rsidRPr="00701004">
        <w:t>,</w:t>
      </w:r>
      <w:r w:rsidRPr="00701004">
        <w:t xml:space="preserve"> in line with a theoretical model of health behaviour that measures 'capability', 'opportunity' and 'motivation' (COM-B model</w:t>
      </w:r>
      <w:r w:rsidRPr="00701004">
        <w:fldChar w:fldCharType="begin" w:fldLock="1"/>
      </w:r>
      <w:r w:rsidR="00546949" w:rsidRPr="00701004">
        <w:instrText xml:space="preserve"> ADDIN ZOTERO_ITEM CSL_CITATION {"citationID":"GHItU0Cw","properties":{"formattedCitation":"\\super 26\\nosupersub{}","plainCitation":"26","noteIndex":0},"citationItems":[{"id":"3dXyczz3/JYqDKCTm","uris":["http://www.mendeley.com/documents/?uuid=c9acf2e6-a2cd-3402-913b-14133b1ab4c9"],"uri":["http://www.mendeley.com/documents/?uuid=c9acf2e6-a2cd-3402-913b-14133b1ab4c9"],"itemData":{"DOI":"10.1186/1748-5908-6-42","ISSN":"17485908","PMID":"21513547","abstract":"Background: Improving the design and implementation of evidence-based practice depends on successful behaviour change interventions. This requires an appropriate method for characterising interventions and linking them to an analysis of the targeted behaviour. There exists a plethora of frameworks of behaviour change interventions, but it is not clear how well they serve this purpose. This paper evaluates these frameworks, and develops and evaluates a new framework aimed at overcoming their limitations.Methods: A systematic search of electronic databases and consultation with behaviour change experts were used to identify frameworks of behaviour change interventions. These were evaluated according to three criteria: comprehensiveness, coherence, and a clear link to an overarching model of behaviour. A new framework was developed to meet these criteria. The reliability with which it could be applied was examined in two domains of behaviour change: tobacco control and obesity.Results: Nineteen frameworks were identified covering nine intervention functions and seven policy categories that could enable those interventions. None of the frameworks reviewed covered the full range of intervention functions or policies, and only a minority met the criteria of coherence or linkage to a model of behaviour. At the centre of a proposed new framework is a 'behaviour system' involving three essential conditions: capability, opportunity, and motivation (what we term the 'COM-B system'). This forms the hub of a 'behaviour change wheel' (BCW) around which are positioned the nine intervention functions aimed at addressing deficits in one or more of these conditions; around this are placed seven categories of policy that could enable those interventions to occur. The BCW was used reliably to characterise interventions within the English Department of Health's 2010 tobacco control strategy and the National Institute of Health and Clinical Excellence's guidance on reducing obesity.Conclusions: Interventions and policies to change behaviour can be usefully characterised by means of a BCW comprising: a 'behaviour system' at the hub, encircled by intervention functions and then by policy categories. Research is needed to establish how far the BCW can lead to more efficient design of effective interventions. © 2011 Michie et al; licensee BioMed Central Ltd.","author":[{"dropping-particle":"","family":"Michie","given":"Susan","non-dropping-particle":"","parse-names":false,"suffix":""},{"dropping-particle":"","family":"Stralen","given":"Maartje M.","non-dropping-particle":"van","parse-names":false,"suffix":""},{"dropping-particle":"","family":"West","given":"Robert","non-dropping-particle":"","parse-names":false,"suffix":""}],"container-title":"Implementation Science","id":"ITEM-1","issue":"1","issued":{"date-parts":[["2011","4","23"]]},"page":"42","publisher":"BioMed Central","title":"The behaviour change wheel: A new method for characterising and designing behaviour change interventions","type":"article-journal","volume":"6"}}],"schema":"https://github.com/citation-style-language/schema/raw/master/csl-citation.json"} </w:instrText>
      </w:r>
      <w:r w:rsidRPr="00701004">
        <w:fldChar w:fldCharType="separate"/>
      </w:r>
      <w:r w:rsidR="00546949" w:rsidRPr="00701004">
        <w:rPr>
          <w:vertAlign w:val="superscript"/>
        </w:rPr>
        <w:t>26</w:t>
      </w:r>
      <w:r w:rsidRPr="00701004">
        <w:fldChar w:fldCharType="end"/>
      </w:r>
      <w:r w:rsidRPr="00701004">
        <w:t>). These are reported in greater detail elsewhere</w:t>
      </w:r>
      <w:r w:rsidRPr="00701004">
        <w:fldChar w:fldCharType="begin" w:fldLock="1"/>
      </w:r>
      <w:r w:rsidR="00546949" w:rsidRPr="00701004">
        <w:instrText xml:space="preserve"> ADDIN ZOTERO_ITEM CSL_CITATION {"citationID":"8yIGcKZz","properties":{"formattedCitation":"\\super 46\\nosupersub{}","plainCitation":"46","noteIndex":0},"citationItems":[{"id":"3dXyczz3/rcKSkdjF","uris":["http://www.mendeley.com/documents/?uuid=22de060f-6790-3ed5-b141-d7433a0cd620"],"uri":["http://www.mendeley.com/documents/?uuid=22de060f-6790-3ed5-b141-d7433a0cd620"],"itemData":{"DOI":"10.1111/bjhp.12426","ISSN":"1359-107X","author":[{"dropping-particle":"","family":"Gibson Miller","given":"Jilly","non-dropping-particle":"","parse-names":false,"suffix":""},{"dropping-particle":"","family":"Hartman","given":"Todd K.","non-dropping-particle":"","parse-names":false,"suffix":""},{"dropping-particle":"","family":"Levita","given":"Liat","non-dropping-particle":"","parse-names":false,"suffix":""},{"dropping-particle":"","family":"Martinez","given":"Anton P.","non-dropping-particle":"","parse-names":false,"suffix":""},{"dropping-particle":"","family":"Mason","given":"Liam","non-dropping-particle":"","parse-names":false,"suffix":""},{"dropping-particle":"","family":"McBride","given":"Orla","non-dropping-particle":"","parse-names":false,"suffix":""},{"dropping-particle":"","family":"McKay","given":"Ryan","non-dropping-particle":"","parse-names":false,"suffix":""},{"dropping-particle":"","family":"Murphy","given":"Jamie","non-dropping-particle":"","parse-names":false,"suffix":""},{"dropping-particle":"","family":"Shevlin","given":"Mark","non-dropping-particle":"","parse-names":false,"suffix":""},{"dropping-particle":"","family":"Stocks","given":"Thomas V. A.","non-dropping-particle":"","parse-names":false,"suffix":""},{"dropping-particle":"","family":"Bennett","given":"Kate M.","non-dropping-particle":"","parse-names":false,"suffix":""},{"dropping-particle":"","family":"Bentall","given":"Richard P.","non-dropping-particle":"","parse-names":false,"suffix":""}],"container-title":"British Journal of Health Psychology","id":"ITEM-1","issued":{"date-parts":[["2020","5","16"]]},"page":"bjhp.12426","publisher":"John Wiley &amp; Sons, Ltd","title":"Capability, opportunity, and motivation to enact hygienic practices in the early stages of the COVID‐19 outbreak in the United Kingdom","type":"article-journal"}}],"schema":"https://github.com/citation-style-language/schema/raw/master/csl-citation.json"} </w:instrText>
      </w:r>
      <w:r w:rsidRPr="00701004">
        <w:fldChar w:fldCharType="separate"/>
      </w:r>
      <w:r w:rsidR="00546949" w:rsidRPr="00701004">
        <w:rPr>
          <w:vertAlign w:val="superscript"/>
        </w:rPr>
        <w:t>46</w:t>
      </w:r>
      <w:r w:rsidRPr="00701004">
        <w:fldChar w:fldCharType="end"/>
      </w:r>
      <w:r w:rsidRPr="00701004">
        <w:t xml:space="preserve"> but included </w:t>
      </w:r>
      <w:r w:rsidR="004B27F0" w:rsidRPr="00701004">
        <w:t xml:space="preserve">items </w:t>
      </w:r>
      <w:r w:rsidR="00AD3EBE" w:rsidRPr="00701004">
        <w:t>measuring</w:t>
      </w:r>
      <w:r w:rsidRPr="00701004">
        <w:t xml:space="preserve"> beliefs about social distancing rules (e.g. “staying in your home most of the time, exercising outside once a day, not meeting up with friends and relatives, maintaining a 2-metre distance from people, working from home”) </w:t>
      </w:r>
      <w:r w:rsidRPr="00701004">
        <w:lastRenderedPageBreak/>
        <w:t>during the COVID-19 pandemic.</w:t>
      </w:r>
      <w:r w:rsidR="00081984" w:rsidRPr="00701004">
        <w:t xml:space="preserve"> These measures were collected during both the first and second waves of the C19PRC study</w:t>
      </w:r>
      <w:r w:rsidRPr="00701004">
        <w:fldChar w:fldCharType="begin" w:fldLock="1"/>
      </w:r>
      <w:r w:rsidR="00546949" w:rsidRPr="00701004">
        <w:instrText xml:space="preserve"> ADDIN ZOTERO_ITEM CSL_CITATION {"citationID":"D2DsIBVe","properties":{"formattedCitation":"\\super 43,46\\nosupersub{}","plainCitation":"43,46","noteIndex":0},"citationItems":[{"id":"3dXyczz3/FJEDucs7","uris":["http://www.mendeley.com/documents/?uuid=2ca85635-c09f-379a-abab-6fbb7b77a031"],"uri":["http://www.mendeley.com/documents/?uuid=2ca85635-c09f-379a-abab-6fbb7b77a031"],"itemData":{"DOI":"10.31234/OSF.IO/WXE2N","author":[{"dropping-particle":"","family":"McBride","given":"Orla","non-dropping-particle":"","parse-names":false,"suffix":""},{"dropping-particle":"","family":"Murphy","given":"Jamie","non-dropping-particle":"","parse-names":false,"suffix":""},{"dropping-particle":"","family":"Shevlin","given":"Mark","non-dropping-particle":"","parse-names":false,"suffix":""},{"dropping-particle":"","family":"Miller","given":"Jilly Gibson","non-dropping-particle":"","parse-names":false,"suffix":""},{"dropping-particle":"","family":"Hartman","given":"Todd K.","non-dropping-particle":"","parse-names":false,"suffix":""},{"dropping-particle":"","family":"Hyland","given":"Philip","non-dropping-particle":"","parse-names":false,"suffix":""},{"dropping-particle":"","family":"Levita","given":"Liat","non-dropping-particle":"","parse-names":false,"suffix":""},{"dropping-particle":"","family":"Mason","given":"Liam","non-dropping-particle":"","parse-names":false,"suffix":""},{"dropping-particle":"","family":"Martinez","given":"Anton Philipp","non-dropping-particle":"","parse-names":false,"suffix":""},{"dropping-particle":"","family":"McKay","given":"Ryan","non-dropping-particle":"","parse-names":false,"suffix":""},{"dropping-particle":"","family":"Stocks","given":"Thomas V A","non-dropping-particle":"","parse-names":false,"suffix":""},{"dropping-particle":"","family":"Bentall","given":"Richard P.","non-dropping-particle":"","parse-names":false,"suffix":""}],"id":"ITEM-1","issued":{"date-parts":[["0"]]},"publisher":"PsyArXiv","title":"Monitoring the psychological impact of the COVID-19 pandemic in the general population: an overview of the context, design and conduct of the COVID-19 Psychological Research Consortium (C19PRC) Study","type":"article-journal"}},{"id":"3dXyczz3/rcKSkdjF","uris":["http://www.mendeley.com/documents/?uuid=22de060f-6790-3ed5-b141-d7433a0cd620"],"uri":["http://www.mendeley.com/documents/?uuid=22de060f-6790-3ed5-b141-d7433a0cd620"],"itemData":{"DOI":"10.1111/bjhp.12426","ISSN":"1359-107X","author":[{"dropping-particle":"","family":"Gibson Miller","given":"Jilly","non-dropping-particle":"","parse-names":false,"suffix":""},{"dropping-particle":"","family":"Hartman","given":"Todd K.","non-dropping-particle":"","parse-names":false,"suffix":""},{"dropping-particle":"","family":"Levita","given":"Liat","non-dropping-particle":"","parse-names":false,"suffix":""},{"dropping-particle":"","family":"Martinez","given":"Anton P.","non-dropping-particle":"","parse-names":false,"suffix":""},{"dropping-particle":"","family":"Mason","given":"Liam","non-dropping-particle":"","parse-names":false,"suffix":""},{"dropping-particle":"","family":"McBride","given":"Orla","non-dropping-particle":"","parse-names":false,"suffix":""},{"dropping-particle":"","family":"McKay","given":"Ryan","non-dropping-particle":"","parse-names":false,"suffix":""},{"dropping-particle":"","family":"Murphy","given":"Jamie","non-dropping-particle":"","parse-names":false,"suffix":""},{"dropping-particle":"","family":"Shevlin","given":"Mark","non-dropping-particle":"","parse-names":false,"suffix":""},{"dropping-particle":"","family":"Stocks","given":"Thomas V. A.","non-dropping-particle":"","parse-names":false,"suffix":""},{"dropping-particle":"","family":"Bennett","given":"Kate M.","non-dropping-particle":"","parse-names":false,"suffix":""},{"dropping-particle":"","family":"Bentall","given":"Richard P.","non-dropping-particle":"","parse-names":false,"suffix":""}],"container-title":"British Journal of Health Psychology","id":"ITEM-2","issued":{"date-parts":[["2020","5","16"]]},"page":"bjhp.12426","publisher":"John Wiley &amp; Sons, Ltd","title":"Capability, opportunity, and motivation to enact hygienic practices in the early stages of the COVID‐19 outbreak in the United Kingdom","type":"article-journal"}}],"schema":"https://github.com/citation-style-language/schema/raw/master/csl-citation.json"} </w:instrText>
      </w:r>
      <w:r w:rsidRPr="00701004">
        <w:fldChar w:fldCharType="separate"/>
      </w:r>
      <w:r w:rsidR="00546949" w:rsidRPr="00701004">
        <w:rPr>
          <w:vertAlign w:val="superscript"/>
        </w:rPr>
        <w:t>43,46</w:t>
      </w:r>
      <w:r w:rsidRPr="00701004">
        <w:fldChar w:fldCharType="end"/>
      </w:r>
      <w:r w:rsidRPr="00701004">
        <w:t xml:space="preserve">. Comparable measures of </w:t>
      </w:r>
      <w:r w:rsidR="0023068A" w:rsidRPr="00701004">
        <w:t>COVID-19 risk behaviours</w:t>
      </w:r>
      <w:r w:rsidRPr="00701004">
        <w:t xml:space="preserve"> were not </w:t>
      </w:r>
      <w:r w:rsidR="00081984" w:rsidRPr="00701004">
        <w:t>collected during the first wave of the C19PRC study</w:t>
      </w:r>
      <w:r w:rsidR="00E432DD" w:rsidRPr="00701004">
        <w:t>.</w:t>
      </w:r>
    </w:p>
    <w:p w14:paraId="091EEEAF" w14:textId="77777777" w:rsidR="007E7904" w:rsidRPr="00701004" w:rsidRDefault="007E7904" w:rsidP="00B269A4">
      <w:pPr>
        <w:spacing w:before="120" w:line="480" w:lineRule="auto"/>
        <w:jc w:val="both"/>
        <w:rPr>
          <w:color w:val="000000"/>
        </w:rPr>
      </w:pPr>
      <w:r w:rsidRPr="00701004">
        <w:rPr>
          <w:b/>
          <w:color w:val="000000"/>
        </w:rPr>
        <w:t>Planned analyses</w:t>
      </w:r>
    </w:p>
    <w:p w14:paraId="02B777F6" w14:textId="249715F2" w:rsidR="007E7904" w:rsidRPr="00701004" w:rsidRDefault="007E7904" w:rsidP="00546949">
      <w:pPr>
        <w:spacing w:before="120" w:line="480" w:lineRule="auto"/>
        <w:ind w:firstLine="720"/>
        <w:jc w:val="both"/>
      </w:pPr>
      <w:r w:rsidRPr="00701004">
        <w:t>Delay discounting was quantified using a hierarchical Bayesian model implemented in a widely available analysis toolbox</w:t>
      </w:r>
      <w:r w:rsidRPr="00701004">
        <w:fldChar w:fldCharType="begin" w:fldLock="1"/>
      </w:r>
      <w:r w:rsidR="00546949" w:rsidRPr="00701004">
        <w:instrText xml:space="preserve"> ADDIN ZOTERO_ITEM CSL_CITATION {"citationID":"zwpOONfO","properties":{"formattedCitation":"\\super 41\\nosupersub{}","plainCitation":"41","noteIndex":0},"citationItems":[{"id":"3dXyczz3/4JFmKeVb","uris":["http://www.mendeley.com/documents/?uuid=011c7528-cfa3-49e4-bb80-6fcd74e0565b"],"uri":["http://www.mendeley.com/documents/?uuid=011c7528-cfa3-49e4-bb80-6fcd74e0565b"],"itemData":{"DOI":"10.3758/s13428-015-0672-2","ISSN":"15543528","abstract":"A state-of-the-art data analysis procedure is presented to conduct hierarchical Bayesian inference and hypothesis testing on delay discounting data. The delay discounting task is a key experimental paradigm used across a wide range of disciplines from economics, cognitive science, and neuroscience, all of which seek to understand how humans or animals trade off the immediacy verses the magnitude of a reward. Bayesian estimation allows rich inferences to be drawn, along with measures of confidence, based upon limited and noisy behavioural data. Hierarchical modelling allows more precise inferences to be made, thus using sometimes expensive or difficult to obtain data in the most efficient way. The proposed probabilistic generative model describes how participants compare the present subjective value of reward choices on a trial-to-trial basis, estimates participant- and group-level parameters. We infer discount rate as a function of reward size, allowing the magnitude effect to be measured. Demonstrations are provided to show how this analysis approach can aid hypothesis testing. The analysis is demonstrated on data from the popular 27-item monetary choice questionnaire (Kirby, Psychonomic Bulletin &amp; Review, 16(3), 457–462 2009), but will accept data from a range of protocols, including adaptive procedures. The software is made freely available to researchers.","author":[{"dropping-particle":"","family":"Vincent","given":"Benjamin T.","non-dropping-particle":"","parse-names":false,"suffix":""}],"container-title":"Behavior Research Methods","id":"ITEM-1","issued":{"date-parts":[["2016"]]},"title":"Hierarchical Bayesian estimation and hypothesis testing for delay discounting tasks","type":"article-journal"}}],"schema":"https://github.com/citation-style-language/schema/raw/master/csl-citation.json"} </w:instrText>
      </w:r>
      <w:r w:rsidRPr="00701004">
        <w:fldChar w:fldCharType="separate"/>
      </w:r>
      <w:r w:rsidR="00546949" w:rsidRPr="00701004">
        <w:rPr>
          <w:vertAlign w:val="superscript"/>
        </w:rPr>
        <w:t>41</w:t>
      </w:r>
      <w:r w:rsidRPr="00701004">
        <w:fldChar w:fldCharType="end"/>
      </w:r>
      <w:r w:rsidRPr="00701004">
        <w:t xml:space="preserve">. Because the discount rate is known to decrease as the magnitudes of rewards </w:t>
      </w:r>
      <w:r w:rsidR="004E1A5D" w:rsidRPr="00701004">
        <w:t>increases</w:t>
      </w:r>
      <w:r w:rsidRPr="00701004">
        <w:t xml:space="preserve"> (the magnitude effect), we modelled log discount rates as a linear function of log reward magnitude.</w:t>
      </w:r>
      <w:r w:rsidR="00546949" w:rsidRPr="00701004">
        <w:t xml:space="preserve"> </w:t>
      </w:r>
      <w:bookmarkStart w:id="23" w:name="_Hlk80171135"/>
      <w:r w:rsidR="00546949" w:rsidRPr="00701004">
        <w:t>Empirically, studies examining the magnitude effect show that log discount rate decreases as a linear function of log reward magnitude</w:t>
      </w:r>
      <w:r w:rsidR="00546949" w:rsidRPr="00701004">
        <w:fldChar w:fldCharType="begin"/>
      </w:r>
      <w:r w:rsidR="00546949" w:rsidRPr="00701004">
        <w:instrText xml:space="preserve"> ADDIN ZOTERO_ITEM CSL_CITATION {"citationID":"wJg8s0bU","properties":{"formattedCitation":"\\super 47\\nosupersub{}","plainCitation":"47","noteIndex":0},"citationItems":[{"id":984,"uris":["http://zotero.org/users/local/rv2r9ZnJ/items/RDZRA2TT"],"uri":["http://zotero.org/users/local/rv2r9ZnJ/items/RDZRA2TT"],"itemData":{"id":984,"type":"article-journal","abstract":"A within-subject design, using human participants, compared delay discounting functions for real and hypothetical money rewards. Both real and hypothetical rewards were studied across a range that included $10 to $250. For 5 of the 6 participants, no systematic difference in discount rate was observed in response to real and hypothetical choices, suggesting that hypothetical rewards may often serve as a valid proxy for real rewards in delay discounting research. By measuring discounting at an unprecedented range of real rewards, this study has also systematically replicated the robust finding in human delay discounting research that discount rates decrease with increasing magnitude of reward. A hyperbolic decay model described the data better than an exponential model.","container-title":"Journal of the Experimental Analysis of Behavior","DOI":"10.1901/jeab.2002.77-129","ISSN":"1938-3711","issue":"2","language":"en","note":"_eprint: https://onlinelibrary.wiley.com/doi/pdf/10.1901/jeab.2002.77-129","page":"129-146","source":"Wiley Online Library","title":"Within-Subject Comparison of Real and Hypothetical Money Rewards in Delay Discounting","volume":"77","author":[{"family":"Johnson","given":"Matthew W."},{"family":"Bickel","given":"Warren K."}],"issued":{"date-parts":[["2002"]]}}}],"schema":"https://github.com/citation-style-language/schema/raw/master/csl-citation.json"} </w:instrText>
      </w:r>
      <w:r w:rsidR="00546949" w:rsidRPr="00701004">
        <w:fldChar w:fldCharType="separate"/>
      </w:r>
      <w:r w:rsidR="00546949" w:rsidRPr="00701004">
        <w:rPr>
          <w:vertAlign w:val="superscript"/>
        </w:rPr>
        <w:t>47</w:t>
      </w:r>
      <w:r w:rsidR="00546949" w:rsidRPr="00701004">
        <w:fldChar w:fldCharType="end"/>
      </w:r>
      <w:r w:rsidR="00546949" w:rsidRPr="00701004">
        <w:t>. Data from multiple studies are well fit by a linear function in log reward, log discount space</w:t>
      </w:r>
      <w:r w:rsidR="00546949" w:rsidRPr="00701004">
        <w:rPr>
          <w:vertAlign w:val="superscript"/>
        </w:rPr>
        <w:t>41</w:t>
      </w:r>
      <w:r w:rsidR="00546949" w:rsidRPr="00701004">
        <w:t>.</w:t>
      </w:r>
      <w:bookmarkEnd w:id="23"/>
      <w:r w:rsidRPr="00701004">
        <w:t xml:space="preserve"> We therefore obtained estimates of this slope (</w:t>
      </w:r>
      <w:r w:rsidRPr="00701004">
        <w:rPr>
          <w:i/>
          <w:iCs/>
        </w:rPr>
        <w:t>m</w:t>
      </w:r>
      <w:r w:rsidRPr="00701004">
        <w:t>) and intercept (</w:t>
      </w:r>
      <w:r w:rsidRPr="00701004">
        <w:rPr>
          <w:i/>
          <w:iCs/>
        </w:rPr>
        <w:t>c</w:t>
      </w:r>
      <w:r w:rsidRPr="00701004">
        <w:t xml:space="preserve">) – lower values of </w:t>
      </w:r>
      <w:r w:rsidRPr="00701004">
        <w:rPr>
          <w:i/>
          <w:iCs/>
        </w:rPr>
        <w:t>m</w:t>
      </w:r>
      <w:r w:rsidRPr="00701004">
        <w:t xml:space="preserve"> correspond to </w:t>
      </w:r>
      <w:r w:rsidR="004E1A5D" w:rsidRPr="00701004">
        <w:t>greater sensitivity towards</w:t>
      </w:r>
      <w:r w:rsidRPr="00701004">
        <w:t xml:space="preserve"> magnitude effect</w:t>
      </w:r>
      <w:r w:rsidR="00734613" w:rsidRPr="00701004">
        <w:t>s</w:t>
      </w:r>
      <w:r w:rsidRPr="00701004">
        <w:t xml:space="preserve"> and lower values of </w:t>
      </w:r>
      <w:r w:rsidRPr="00701004">
        <w:rPr>
          <w:i/>
          <w:iCs/>
        </w:rPr>
        <w:t>c</w:t>
      </w:r>
      <w:r w:rsidRPr="00701004">
        <w:t xml:space="preserve"> correspond to lower baseline discount rates for a given reward magnitude. </w:t>
      </w:r>
      <w:r w:rsidRPr="00701004">
        <w:rPr>
          <w:color w:val="000000"/>
        </w:rPr>
        <w:t xml:space="preserve">To capture both the slope and intercept of </w:t>
      </w:r>
      <w:r w:rsidR="00734613" w:rsidRPr="00701004">
        <w:rPr>
          <w:color w:val="000000"/>
        </w:rPr>
        <w:t xml:space="preserve">the </w:t>
      </w:r>
      <w:r w:rsidRPr="00701004">
        <w:rPr>
          <w:color w:val="000000"/>
        </w:rPr>
        <w:t>delay discounting function, both parameters (m and c) were entered as predictors in regression analyses, along with patch foraging parameters (below). Separate analyses tested our hypotheses that these parameters would predict mood symptoms (generalised anxiety, depression, and specific COVID-19 anxiety) and social distancing behaviour.</w:t>
      </w:r>
    </w:p>
    <w:p w14:paraId="3CE3FE97" w14:textId="46C8C0D7" w:rsidR="002C4280" w:rsidRPr="00701004" w:rsidRDefault="007E7904" w:rsidP="00277062">
      <w:pPr>
        <w:spacing w:before="120" w:line="480" w:lineRule="auto"/>
        <w:ind w:firstLine="720"/>
        <w:jc w:val="both"/>
        <w:rPr>
          <w:color w:val="000000"/>
        </w:rPr>
      </w:pPr>
      <w:r w:rsidRPr="00701004">
        <w:rPr>
          <w:color w:val="000000"/>
        </w:rPr>
        <w:t xml:space="preserve">We utilised two variables from the patch foraging task. The first, learning rate, was </w:t>
      </w:r>
      <w:r w:rsidR="00C214DD" w:rsidRPr="00701004">
        <w:rPr>
          <w:color w:val="000000"/>
        </w:rPr>
        <w:t>estimated from an established computational model of learning in the present foraging paradigm</w:t>
      </w:r>
      <w:r w:rsidR="00C214DD" w:rsidRPr="00701004">
        <w:rPr>
          <w:color w:val="000000"/>
          <w:vertAlign w:val="superscript"/>
        </w:rPr>
        <w:t>2</w:t>
      </w:r>
      <w:r w:rsidR="005C2232" w:rsidRPr="00701004">
        <w:rPr>
          <w:color w:val="000000"/>
          <w:vertAlign w:val="superscript"/>
        </w:rPr>
        <w:t>1</w:t>
      </w:r>
      <w:r w:rsidR="00C214DD" w:rsidRPr="00701004">
        <w:rPr>
          <w:color w:val="000000"/>
        </w:rPr>
        <w:t xml:space="preserve">. </w:t>
      </w:r>
      <w:r w:rsidR="00D801DB" w:rsidRPr="00701004">
        <w:rPr>
          <w:color w:val="000000"/>
        </w:rPr>
        <w:t>The model is derived from Marginal Value Theorem, which describes o</w:t>
      </w:r>
      <w:r w:rsidR="00C214DD" w:rsidRPr="00701004">
        <w:rPr>
          <w:color w:val="000000"/>
        </w:rPr>
        <w:t>ptimal foraging behaviour</w:t>
      </w:r>
      <w:r w:rsidR="00C214DD" w:rsidRPr="00701004">
        <w:rPr>
          <w:color w:val="000000"/>
        </w:rPr>
        <w:fldChar w:fldCharType="begin" w:fldLock="1"/>
      </w:r>
      <w:r w:rsidR="00546949" w:rsidRPr="00701004">
        <w:rPr>
          <w:color w:val="000000"/>
        </w:rPr>
        <w:instrText xml:space="preserve"> ADDIN ZOTERO_ITEM CSL_CITATION {"citationID":"ou7xd93m","properties":{"formattedCitation":"\\super 48\\nosupersub{}","plainCitation":"48","noteIndex":0},"citationItems":[{"id":"3dXyczz3/LgP883PX","uris":["http://www.mendeley.com/documents/?uuid=43ad412e-17ee-4aac-ae4f-643f29a4a1d1"],"uri":["http://www.mendeley.com/documents/?uuid=43ad412e-17ee-4aac-ae4f-643f29a4a1d1"],"itemData":{"DOI":"10.1016/0040-5809(76)90040-X","ISSN":"10960325","PMID":"1273796","author":[{"dropping-particle":"","family":"Charnov","given":"Eric L.","non-dropping-particle":"","parse-names":false,"suffix":""}],"container-title":"Theoretical Population Biology","id":"ITEM-1","issued":{"date-parts":[["1976"]]},"title":"Optimal foraging, the marginal value theorem","type":"article-journal"}}],"schema":"https://github.com/citation-style-language/schema/raw/master/csl-citation.json"} </w:instrText>
      </w:r>
      <w:r w:rsidR="00C214DD" w:rsidRPr="00701004">
        <w:rPr>
          <w:color w:val="000000"/>
        </w:rPr>
        <w:fldChar w:fldCharType="separate"/>
      </w:r>
      <w:r w:rsidR="00546949" w:rsidRPr="00701004">
        <w:rPr>
          <w:vertAlign w:val="superscript"/>
        </w:rPr>
        <w:t>48</w:t>
      </w:r>
      <w:r w:rsidR="00C214DD" w:rsidRPr="00701004">
        <w:rPr>
          <w:color w:val="000000"/>
        </w:rPr>
        <w:fldChar w:fldCharType="end"/>
      </w:r>
      <w:r w:rsidR="00C214DD" w:rsidRPr="00701004">
        <w:rPr>
          <w:color w:val="000000"/>
        </w:rPr>
        <w:t xml:space="preserve">. The equation states that the decision-maker should leave their current patch when the rewards expected from harvesting the patch fall below the average reward intake for that environment. </w:t>
      </w:r>
      <w:r w:rsidR="00897E96" w:rsidRPr="00701004">
        <w:rPr>
          <w:color w:val="000000"/>
        </w:rPr>
        <w:t>As</w:t>
      </w:r>
      <w:r w:rsidR="00C214DD" w:rsidRPr="00701004">
        <w:rPr>
          <w:color w:val="000000"/>
        </w:rPr>
        <w:t xml:space="preserve"> participants do not know the average reward rate a priori, they infer this over time, which can be expressed by the equation</w:t>
      </w:r>
      <w:r w:rsidR="00C214DD" w:rsidRPr="00701004">
        <w:rPr>
          <w:color w:val="000000"/>
        </w:rPr>
        <w:fldChar w:fldCharType="begin" w:fldLock="1"/>
      </w:r>
      <w:r w:rsidR="00546949" w:rsidRPr="00701004">
        <w:rPr>
          <w:color w:val="000000"/>
        </w:rPr>
        <w:instrText xml:space="preserve"> ADDIN ZOTERO_ITEM CSL_CITATION {"citationID":"7Yd6HTTR","properties":{"formattedCitation":"\\super 24\\nosupersub{}","plainCitation":"24","noteIndex":0},"citationItems":[{"id":"3dXyczz3/bs2NEv23","uris":["http://www.mendeley.com/documents/?uuid=6867d308-c253-447b-b168-fbe70f28e889"],"uri":["http://www.mendeley.com/documents/?uuid=6867d308-c253-447b-b168-fbe70f28e889"],"itemData":{"DOI":"10.3758/s13415-015-0350-y","ISSN":"15307026","PMID":"25917000","abstract":"Although most decision research concerns choice between simultaneously presented options, in many situations options are encountered serially, and the decision is whether to exploit an option or search for a better one. Such problems have a rich history in animal foraging, but we know little about the psychological processes involved. In particular, it is unknown whether learning in these problems is supported by the well-studied neurocomputational mechanisms involved in more conventional tasks. We investigated how humans learn in a foraging task, which requires deciding whether to harvest a depleting resource or switch to a replenished one. The optimal choice (given by the marginal value theorem; MVT) requires comparing the immediate return from harvesting to the opportunity cost of time, which is given by the long-run average reward. In two experiments, we varied opportunity cost across blocks, and subjects adjusted their behavior to blockwise changes in environmental characteristics. We examined how subjects learned their choice strategies by comparing choice adjustments to a learning rule suggested by the MVT (in which the opportunity cost threshold is estimated as an average over previous rewards) and to the predominant incremental-learning theory in neuroscience, temporal-difference learning (TD). Trial-by-trial decisions were explained better by the MVT threshold-learning rule. These findings expand on the foraging literature, which has focused on steady-state behavior, by elucidating a computational mechanism for learning in switching tasks that is distinct from those used in traditional tasks, and suggest connections to research on average reward rates in other domains of neuroscience.","author":[{"dropping-particle":"","family":"Constantino","given":"Sara M.","non-dropping-particle":"","parse-names":false,"suffix":""},{"dropping-particle":"","family":"Daw","given":"Nathaniel D.","non-dropping-particle":"","parse-names":false,"suffix":""}],"container-title":"Cognitive, Affective and Behavioral Neuroscience","id":"ITEM-1","issued":{"date-parts":[["2015"]]},"title":"Learning the opportunity cost of time in a patch-foraging task","type":"article-journal"}}],"schema":"https://github.com/citation-style-language/schema/raw/master/csl-citation.json"} </w:instrText>
      </w:r>
      <w:r w:rsidR="00C214DD" w:rsidRPr="00701004">
        <w:rPr>
          <w:color w:val="000000"/>
        </w:rPr>
        <w:fldChar w:fldCharType="separate"/>
      </w:r>
      <w:r w:rsidR="00546949" w:rsidRPr="00701004">
        <w:rPr>
          <w:vertAlign w:val="superscript"/>
        </w:rPr>
        <w:t>24</w:t>
      </w:r>
      <w:r w:rsidR="00C214DD" w:rsidRPr="00701004">
        <w:rPr>
          <w:color w:val="000000"/>
        </w:rPr>
        <w:fldChar w:fldCharType="end"/>
      </w:r>
      <w:r w:rsidR="00C214DD" w:rsidRPr="00701004">
        <w:rPr>
          <w:color w:val="000000"/>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i</m:t>
            </m:r>
          </m:sub>
        </m:sSub>
        <m:r>
          <w:rPr>
            <w:rFonts w:ascii="Cambria Math" w:hAnsi="Cambria Math"/>
          </w:rPr>
          <m:t>=</m:t>
        </m:r>
        <m:sSup>
          <m:sSupPr>
            <m:ctrlPr>
              <w:rPr>
                <w:rFonts w:ascii="Cambria Math" w:hAnsi="Cambria Math"/>
                <w:i/>
                <w:iCs/>
              </w:rPr>
            </m:ctrlPr>
          </m:sSupPr>
          <m:e>
            <m:d>
              <m:dPr>
                <m:ctrlPr>
                  <w:rPr>
                    <w:rFonts w:ascii="Cambria Math" w:hAnsi="Cambria Math"/>
                    <w:i/>
                  </w:rPr>
                </m:ctrlPr>
              </m:dPr>
              <m:e>
                <m:r>
                  <w:rPr>
                    <w:rFonts w:ascii="Cambria Math" w:hAnsi="Cambria Math"/>
                  </w:rPr>
                  <m:t>1-α</m:t>
                </m:r>
              </m:e>
            </m:d>
          </m:e>
          <m:sup>
            <m:r>
              <w:rPr>
                <w:rFonts w:ascii="Cambria Math" w:hAnsi="Cambria Math"/>
              </w:rPr>
              <m:t>Ti</m:t>
            </m:r>
          </m:sup>
        </m:sSup>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i</m:t>
                </m:r>
              </m:sub>
            </m:sSub>
          </m:num>
          <m:den>
            <m:sSub>
              <m:sSubPr>
                <m:ctrlPr>
                  <w:rPr>
                    <w:rFonts w:ascii="Cambria Math" w:hAnsi="Cambria Math"/>
                    <w:i/>
                    <w:iCs/>
                  </w:rPr>
                </m:ctrlPr>
              </m:sSubPr>
              <m:e>
                <m:r>
                  <w:rPr>
                    <w:rFonts w:ascii="Cambria Math" w:hAnsi="Cambria Math"/>
                  </w:rPr>
                  <m:t>T</m:t>
                </m:r>
              </m:e>
              <m:sub>
                <m:r>
                  <w:rPr>
                    <w:rFonts w:ascii="Cambria Math" w:hAnsi="Cambria Math"/>
                  </w:rPr>
                  <m:t>i</m:t>
                </m:r>
              </m:sub>
            </m:sSub>
          </m:den>
        </m:f>
        <m:r>
          <w:rPr>
            <w:rFonts w:ascii="Cambria Math" w:hAnsi="Cambria Math"/>
          </w:rPr>
          <m:t>+</m:t>
        </m:r>
        <m:d>
          <m:dPr>
            <m:ctrlPr>
              <w:rPr>
                <w:rFonts w:ascii="Cambria Math" w:hAnsi="Cambria Math"/>
                <w:i/>
                <w:iCs/>
              </w:rPr>
            </m:ctrlPr>
          </m:dPr>
          <m:e>
            <m:r>
              <w:rPr>
                <w:rFonts w:ascii="Cambria Math" w:hAnsi="Cambria Math"/>
              </w:rPr>
              <m:t>1-</m:t>
            </m:r>
            <m:sSup>
              <m:sSupPr>
                <m:ctrlPr>
                  <w:rPr>
                    <w:rFonts w:ascii="Cambria Math" w:hAnsi="Cambria Math"/>
                    <w:i/>
                    <w:iCs/>
                  </w:rPr>
                </m:ctrlPr>
              </m:sSupPr>
              <m:e>
                <m:d>
                  <m:dPr>
                    <m:ctrlPr>
                      <w:rPr>
                        <w:rFonts w:ascii="Cambria Math" w:hAnsi="Cambria Math"/>
                        <w:i/>
                        <w:iCs/>
                      </w:rPr>
                    </m:ctrlPr>
                  </m:dPr>
                  <m:e>
                    <m:r>
                      <w:rPr>
                        <w:rFonts w:ascii="Cambria Math" w:hAnsi="Cambria Math"/>
                      </w:rPr>
                      <m:t>1-α</m:t>
                    </m:r>
                  </m:e>
                </m:d>
              </m:e>
              <m:sup>
                <m:r>
                  <w:rPr>
                    <w:rFonts w:ascii="Cambria Math" w:hAnsi="Cambria Math"/>
                  </w:rPr>
                  <m:t>Ti</m:t>
                </m:r>
              </m:sup>
            </m:sSup>
          </m:e>
        </m:d>
        <m:sSub>
          <m:sSubPr>
            <m:ctrlPr>
              <w:rPr>
                <w:rFonts w:ascii="Cambria Math" w:hAnsi="Cambria Math"/>
                <w:i/>
                <w:iCs/>
              </w:rPr>
            </m:ctrlPr>
          </m:sSubPr>
          <m:e>
            <m:r>
              <w:rPr>
                <w:rFonts w:ascii="Cambria Math" w:hAnsi="Cambria Math"/>
              </w:rPr>
              <m:t>p</m:t>
            </m:r>
          </m:e>
          <m:sub>
            <m:r>
              <w:rPr>
                <w:rFonts w:ascii="Cambria Math" w:hAnsi="Cambria Math"/>
              </w:rPr>
              <m:t>i-1</m:t>
            </m:r>
          </m:sub>
        </m:sSub>
      </m:oMath>
      <w:r w:rsidR="00C214DD" w:rsidRPr="00701004">
        <w:rPr>
          <w:iCs/>
        </w:rPr>
        <w:t xml:space="preserve"> </w:t>
      </w:r>
      <w:r w:rsidR="00C214DD" w:rsidRPr="00701004">
        <w:rPr>
          <w:color w:val="000000"/>
        </w:rPr>
        <w:t xml:space="preserve">(see Supplementary Table 1 for a list of notations). Learning rate is quantified by the free parameter </w:t>
      </w:r>
      <m:oMath>
        <m:r>
          <m:rPr>
            <m:sty m:val="p"/>
          </m:rPr>
          <w:rPr>
            <w:rFonts w:ascii="Cambria Math" w:hAnsi="Cambria Math"/>
          </w:rPr>
          <m:t>α</m:t>
        </m:r>
      </m:oMath>
      <w:r w:rsidR="00C214DD" w:rsidRPr="00701004">
        <w:rPr>
          <w:color w:val="000000"/>
        </w:rPr>
        <w:t xml:space="preserve">. As this is formulated as the </w:t>
      </w:r>
      <w:r w:rsidR="002B76BD" w:rsidRPr="00701004">
        <w:rPr>
          <w:color w:val="000000"/>
        </w:rPr>
        <w:t>complement</w:t>
      </w:r>
      <w:r w:rsidR="00C214DD" w:rsidRPr="00701004">
        <w:rPr>
          <w:color w:val="000000"/>
        </w:rPr>
        <w:t xml:space="preserve"> of traditional learning rates, we then subtracted participants’ learning rate from 1 </w:t>
      </w:r>
      <w:r w:rsidR="00831CCC" w:rsidRPr="00701004">
        <w:rPr>
          <w:color w:val="000000"/>
        </w:rPr>
        <w:t>to</w:t>
      </w:r>
      <w:r w:rsidR="00C214DD" w:rsidRPr="00701004">
        <w:rPr>
          <w:color w:val="000000"/>
        </w:rPr>
        <w:t xml:space="preserve"> transform this value into the conventional parameterisation of this variable. Therefore, higher values on this parameter indicate </w:t>
      </w:r>
      <w:r w:rsidR="006510D5" w:rsidRPr="00701004">
        <w:rPr>
          <w:color w:val="000000"/>
        </w:rPr>
        <w:t xml:space="preserve">that </w:t>
      </w:r>
      <w:r w:rsidR="00C214DD" w:rsidRPr="00701004">
        <w:rPr>
          <w:color w:val="000000"/>
        </w:rPr>
        <w:t>participants weighted recent information higher.</w:t>
      </w:r>
      <w:r w:rsidR="00C214DD" w:rsidRPr="00701004">
        <w:rPr>
          <w:iCs/>
        </w:rPr>
        <w:t xml:space="preserve"> </w:t>
      </w:r>
      <w:r w:rsidR="00C214DD" w:rsidRPr="00701004">
        <w:rPr>
          <w:color w:val="000000"/>
        </w:rPr>
        <w:t xml:space="preserve">The alpha parameter was </w:t>
      </w:r>
      <w:r w:rsidRPr="00701004">
        <w:rPr>
          <w:color w:val="000000"/>
        </w:rPr>
        <w:t>averaged across the two foraging environments, as this did not significantly change between the two conditions</w:t>
      </w:r>
      <w:r w:rsidR="00897E96" w:rsidRPr="00701004">
        <w:rPr>
          <w:color w:val="000000"/>
        </w:rPr>
        <w:t xml:space="preserve"> </w:t>
      </w:r>
      <w:proofErr w:type="gramStart"/>
      <w:r w:rsidR="00897E96" w:rsidRPr="00701004">
        <w:rPr>
          <w:i/>
          <w:iCs/>
          <w:color w:val="000000"/>
        </w:rPr>
        <w:t>t</w:t>
      </w:r>
      <w:r w:rsidR="00897E96" w:rsidRPr="00701004">
        <w:rPr>
          <w:color w:val="000000"/>
        </w:rPr>
        <w:t>(</w:t>
      </w:r>
      <w:proofErr w:type="gramEnd"/>
      <w:r w:rsidR="00897E96" w:rsidRPr="00701004">
        <w:rPr>
          <w:color w:val="000000"/>
        </w:rPr>
        <w:t xml:space="preserve">398) = 1.56, </w:t>
      </w:r>
      <w:r w:rsidR="00897E96" w:rsidRPr="00701004">
        <w:rPr>
          <w:i/>
          <w:color w:val="000000"/>
        </w:rPr>
        <w:t>p</w:t>
      </w:r>
      <w:r w:rsidR="00897E96" w:rsidRPr="00701004">
        <w:rPr>
          <w:color w:val="000000"/>
        </w:rPr>
        <w:t xml:space="preserve"> = .116</w:t>
      </w:r>
      <w:r w:rsidRPr="00701004">
        <w:rPr>
          <w:color w:val="000000"/>
        </w:rPr>
        <w:t xml:space="preserve">. </w:t>
      </w:r>
    </w:p>
    <w:p w14:paraId="2FD14EF6" w14:textId="5DE291CB" w:rsidR="002C4280" w:rsidRPr="00701004" w:rsidRDefault="002C4280" w:rsidP="00277062">
      <w:pPr>
        <w:spacing w:before="120" w:line="480" w:lineRule="auto"/>
        <w:ind w:firstLine="720"/>
        <w:jc w:val="both"/>
        <w:rPr>
          <w:color w:val="000000"/>
        </w:rPr>
      </w:pPr>
      <w:r w:rsidRPr="00701004">
        <w:rPr>
          <w:color w:val="000000"/>
        </w:rPr>
        <w:t>To demonstrate that the model yielded similar parameter estimates from data where the parameters were known, we simulated data with alpha levels between 0-1 in increments of .001 and ran the model using this simulated data. Results of a Pearson’s correlation analysis suggested a strong positive correlation between simulated parameters and those estimated by the model (</w:t>
      </w:r>
      <w:r w:rsidRPr="00701004">
        <w:rPr>
          <w:i/>
          <w:color w:val="000000"/>
        </w:rPr>
        <w:t xml:space="preserve">r </w:t>
      </w:r>
      <w:r w:rsidRPr="00701004">
        <w:rPr>
          <w:iCs/>
          <w:color w:val="000000"/>
        </w:rPr>
        <w:t>(999)</w:t>
      </w:r>
      <w:r w:rsidRPr="00701004">
        <w:rPr>
          <w:i/>
          <w:color w:val="000000"/>
        </w:rPr>
        <w:t xml:space="preserve"> </w:t>
      </w:r>
      <w:r w:rsidRPr="00701004">
        <w:rPr>
          <w:color w:val="000000"/>
        </w:rPr>
        <w:t xml:space="preserve">= .94, </w:t>
      </w:r>
      <w:r w:rsidRPr="00701004">
        <w:rPr>
          <w:i/>
          <w:color w:val="000000"/>
        </w:rPr>
        <w:t>p</w:t>
      </w:r>
      <w:r w:rsidRPr="00701004">
        <w:rPr>
          <w:color w:val="000000"/>
        </w:rPr>
        <w:t xml:space="preserve"> &lt; .001, 95% CI [0.93, 0.94]), which demonstrated that </w:t>
      </w:r>
      <w:r w:rsidR="004B1EF0" w:rsidRPr="00701004">
        <w:rPr>
          <w:color w:val="000000"/>
        </w:rPr>
        <w:t>the</w:t>
      </w:r>
      <w:r w:rsidRPr="00701004">
        <w:rPr>
          <w:color w:val="000000"/>
        </w:rPr>
        <w:t xml:space="preserve"> parameter </w:t>
      </w:r>
      <w:r w:rsidR="004B1EF0" w:rsidRPr="00701004">
        <w:rPr>
          <w:color w:val="000000"/>
        </w:rPr>
        <w:t>was</w:t>
      </w:r>
      <w:r w:rsidRPr="00701004">
        <w:rPr>
          <w:color w:val="000000"/>
        </w:rPr>
        <w:t xml:space="preserve"> recoverable. </w:t>
      </w:r>
    </w:p>
    <w:p w14:paraId="70C0744F" w14:textId="179E2087" w:rsidR="000C78DB" w:rsidRPr="00701004" w:rsidRDefault="007E7904" w:rsidP="00277062">
      <w:pPr>
        <w:spacing w:before="120" w:line="480" w:lineRule="auto"/>
        <w:ind w:firstLine="720"/>
        <w:jc w:val="both"/>
        <w:rPr>
          <w:color w:val="000000"/>
        </w:rPr>
      </w:pPr>
      <w:r w:rsidRPr="00701004">
        <w:rPr>
          <w:color w:val="000000"/>
        </w:rPr>
        <w:t>The second variable</w:t>
      </w:r>
      <w:r w:rsidR="007125E4" w:rsidRPr="00701004">
        <w:rPr>
          <w:color w:val="000000"/>
        </w:rPr>
        <w:t xml:space="preserve"> </w:t>
      </w:r>
      <w:r w:rsidR="0070145E" w:rsidRPr="00701004">
        <w:rPr>
          <w:color w:val="000000"/>
        </w:rPr>
        <w:t>was</w:t>
      </w:r>
      <w:r w:rsidR="007125E4" w:rsidRPr="00701004">
        <w:rPr>
          <w:color w:val="000000"/>
        </w:rPr>
        <w:t xml:space="preserve"> how well participants</w:t>
      </w:r>
      <w:r w:rsidR="006F56F5" w:rsidRPr="00701004">
        <w:rPr>
          <w:color w:val="000000"/>
        </w:rPr>
        <w:t xml:space="preserve"> were able to</w:t>
      </w:r>
      <w:r w:rsidR="007125E4" w:rsidRPr="00701004">
        <w:rPr>
          <w:color w:val="000000"/>
        </w:rPr>
        <w:t xml:space="preserve"> adjust their behaviour according to the statistics of the two foraging environments.</w:t>
      </w:r>
      <w:r w:rsidRPr="00701004">
        <w:rPr>
          <w:color w:val="000000"/>
        </w:rPr>
        <w:t xml:space="preserve"> To derive this variable, </w:t>
      </w:r>
      <w:r w:rsidR="007125E4" w:rsidRPr="00701004">
        <w:rPr>
          <w:color w:val="000000"/>
        </w:rPr>
        <w:t xml:space="preserve">we first calculated how much participants </w:t>
      </w:r>
      <w:r w:rsidRPr="00701004">
        <w:rPr>
          <w:color w:val="000000"/>
        </w:rPr>
        <w:t>devia</w:t>
      </w:r>
      <w:r w:rsidR="007125E4" w:rsidRPr="00701004">
        <w:rPr>
          <w:color w:val="000000"/>
        </w:rPr>
        <w:t>ted</w:t>
      </w:r>
      <w:r w:rsidRPr="00701004">
        <w:rPr>
          <w:color w:val="000000"/>
        </w:rPr>
        <w:t xml:space="preserve"> from the optimal leaving threshold</w:t>
      </w:r>
      <w:r w:rsidR="007125E4" w:rsidRPr="00701004">
        <w:rPr>
          <w:color w:val="000000"/>
        </w:rPr>
        <w:t xml:space="preserve"> </w:t>
      </w:r>
      <w:r w:rsidR="00D801DB" w:rsidRPr="00701004">
        <w:rPr>
          <w:color w:val="000000"/>
        </w:rPr>
        <w:t>(</w:t>
      </w:r>
      <w:r w:rsidR="007125E4" w:rsidRPr="00701004">
        <w:rPr>
          <w:color w:val="000000"/>
        </w:rPr>
        <w:t>according to Marginal Value Theorem</w:t>
      </w:r>
      <w:r w:rsidR="00D801DB" w:rsidRPr="00701004">
        <w:rPr>
          <w:color w:val="000000"/>
        </w:rPr>
        <w:t>)</w:t>
      </w:r>
      <w:r w:rsidR="007125E4" w:rsidRPr="00701004">
        <w:rPr>
          <w:color w:val="000000"/>
        </w:rPr>
        <w:t xml:space="preserve"> in each environment</w:t>
      </w:r>
      <w:r w:rsidR="006331CE" w:rsidRPr="00701004">
        <w:rPr>
          <w:color w:val="000000"/>
        </w:rPr>
        <w:t xml:space="preserve"> (see </w:t>
      </w:r>
      <w:r w:rsidR="00A80049" w:rsidRPr="00701004">
        <w:rPr>
          <w:color w:val="000000"/>
        </w:rPr>
        <w:fldChar w:fldCharType="begin" w:fldLock="1"/>
      </w:r>
      <w:r w:rsidR="00546949" w:rsidRPr="00701004">
        <w:rPr>
          <w:color w:val="000000"/>
        </w:rPr>
        <w:instrText xml:space="preserve"> ADDIN ZOTERO_ITEM CSL_CITATION {"citationID":"MUfpyv7m","properties":{"formattedCitation":"\\super 42\\nosupersub{}","plainCitation":"42","noteIndex":0},"citationItems":[{"id":"3dXyczz3/cyr9QgJ0","uris":["http://www.mendeley.com/documents/?uuid=e8736365-4402-404d-be26-58a21b47f2e3"],"uri":["http://www.mendeley.com/documents/?uuid=e8736365-4402-404d-be26-58a21b47f2e3"],"itemData":{"DOI":"10.1111/desc.13075","ISSN":"14677687","abstract":"Adolescence is a period of heightened exploration relative to adulthood and childhood. This predisposition has been linked with negative behaviours related to risk-taking, including dangerous driving, substance misuse and risky sexual practices. However, recent models have argued that adolescents’ heightened exploration serves a functional purpose within the lifespan, allowing adolescents to develop experiential knowledge of their surroundings. Yet, there is limited evidence that heightened exploration in adolescence is associated with positive outcomes. To address this, the present pre-registered study utilised a foraging paradigm with a sample of adolescents aged 16–17 (N = 68) and of adults aged 21 and above (N = 69). Participants completed a patch foraging task, which required them to choose between exploiting a known resource which gradually yields fewer rewards, and exploring a novel, unknown resource with a fresh distribution of rewards. Findings demonstrated that adolescents explored more than adults, which – in the context of the current task—represented more optimal patch foraging behaviour. These findings indicate that adolescents’ heightened exploration can be beneficial, as they were able to effectively navigate unknown environments and accrue rewards more successfully than adults. This provides evidence that heightened exploration in adolescence, relative to adulthood, can lead to positive outcomes and contributes to our understanding of the role increased novelty-seeking plays at this point in the lifespan.","author":[{"dropping-particle":"","family":"Lloyd","given":"Alex","non-dropping-particle":"","parse-names":false,"suffix":""},{"dropping-particle":"","family":"McKay","given":"Ryan","non-dropping-particle":"","parse-names":false,"suffix":""},{"dropping-particle":"","family":"Sebastian","given":"Catherine L.","non-dropping-particle":"","parse-names":false,"suffix":""},{"dropping-particle":"","family":"Balsters","given":"Joshua H.","non-dropping-particle":"","parse-names":false,"suffix":""}],"container-title":"Developmental Science","id":"ITEM-1","issued":{"date-parts":[["2020"]]},"title":"Are adolescents more optimal decision-makers in novel environments? Examining the benefits of heightened exploration in a patch foraging paradigm","type":"article-journal"}}],"schema":"https://github.com/citation-style-language/schema/raw/master/csl-citation.json"} </w:instrText>
      </w:r>
      <w:r w:rsidR="00A80049" w:rsidRPr="00701004">
        <w:rPr>
          <w:color w:val="000000"/>
        </w:rPr>
        <w:fldChar w:fldCharType="separate"/>
      </w:r>
      <w:r w:rsidR="00546949" w:rsidRPr="00701004">
        <w:rPr>
          <w:vertAlign w:val="superscript"/>
        </w:rPr>
        <w:t>42</w:t>
      </w:r>
      <w:r w:rsidR="00A80049" w:rsidRPr="00701004">
        <w:rPr>
          <w:color w:val="000000"/>
        </w:rPr>
        <w:fldChar w:fldCharType="end"/>
      </w:r>
      <w:r w:rsidR="006331CE" w:rsidRPr="00701004">
        <w:rPr>
          <w:color w:val="000000"/>
        </w:rPr>
        <w:t>)</w:t>
      </w:r>
      <w:r w:rsidR="007125E4" w:rsidRPr="00701004">
        <w:rPr>
          <w:color w:val="000000"/>
        </w:rPr>
        <w:t>, which</w:t>
      </w:r>
      <w:r w:rsidRPr="00701004">
        <w:rPr>
          <w:color w:val="000000"/>
        </w:rPr>
        <w:t xml:space="preserve"> provide</w:t>
      </w:r>
      <w:r w:rsidR="007125E4" w:rsidRPr="00701004">
        <w:rPr>
          <w:color w:val="000000"/>
        </w:rPr>
        <w:t>d</w:t>
      </w:r>
      <w:r w:rsidRPr="00701004">
        <w:rPr>
          <w:color w:val="000000"/>
        </w:rPr>
        <w:t xml:space="preserve"> a standardised metric of optimal foraging. The difference between these deviations was subsequently calculated, with higher values indicating participants were less successful at adjusting their behaviour to the structure of different environments. </w:t>
      </w:r>
    </w:p>
    <w:p w14:paraId="6F7693AD" w14:textId="36D4D752" w:rsidR="00A525F6" w:rsidRPr="00701004" w:rsidRDefault="00A525F6" w:rsidP="00A525F6">
      <w:pPr>
        <w:spacing w:before="120" w:line="480" w:lineRule="auto"/>
        <w:ind w:firstLine="720"/>
        <w:jc w:val="both"/>
      </w:pPr>
      <w:r w:rsidRPr="00701004">
        <w:t xml:space="preserve">As the </w:t>
      </w:r>
      <w:r w:rsidR="008C0116" w:rsidRPr="00701004">
        <w:t xml:space="preserve">social distancing </w:t>
      </w:r>
      <w:r w:rsidRPr="00701004">
        <w:t xml:space="preserve">scale was developed for the purposes of this study and </w:t>
      </w:r>
      <w:r w:rsidR="008C0116" w:rsidRPr="00701004">
        <w:t xml:space="preserve">is being </w:t>
      </w:r>
      <w:r w:rsidRPr="00701004">
        <w:t>validated</w:t>
      </w:r>
      <w:r w:rsidR="008C0116" w:rsidRPr="00701004">
        <w:t xml:space="preserve"> in parallel </w:t>
      </w:r>
      <w:r w:rsidR="008C0116" w:rsidRPr="00701004">
        <w:rPr>
          <w:bCs/>
          <w:color w:val="000000"/>
        </w:rPr>
        <w:t>(Gibson-Miller et al., in prep)</w:t>
      </w:r>
      <w:r w:rsidRPr="00701004">
        <w:t>, we conducted a factor analysis to examine whether participants’ self-reported behaviours were explained by a single latent variable.</w:t>
      </w:r>
      <w:r w:rsidR="00FE4E6D" w:rsidRPr="00701004">
        <w:t xml:space="preserve"> First, we determined the number of factors using parallel analysis, which suggested a two-factor solution. We then conducted an exploratory factor analysis using </w:t>
      </w:r>
      <w:r w:rsidR="00BE671D" w:rsidRPr="00701004">
        <w:t>an</w:t>
      </w:r>
      <w:r w:rsidR="00FE4E6D" w:rsidRPr="00701004">
        <w:t xml:space="preserve"> o</w:t>
      </w:r>
      <w:r w:rsidR="003E734C" w:rsidRPr="00701004">
        <w:t>blique</w:t>
      </w:r>
      <w:r w:rsidR="00FE4E6D" w:rsidRPr="00701004">
        <w:t xml:space="preserve"> rotation</w:t>
      </w:r>
      <w:r w:rsidR="00FB10E4" w:rsidRPr="00701004">
        <w:t xml:space="preserve">, which </w:t>
      </w:r>
      <w:r w:rsidR="00B1752A" w:rsidRPr="00701004">
        <w:lastRenderedPageBreak/>
        <w:t>suggested</w:t>
      </w:r>
      <w:r w:rsidR="00FB10E4" w:rsidRPr="00701004">
        <w:t xml:space="preserve"> the two-factor solution</w:t>
      </w:r>
      <w:r w:rsidR="00B1752A" w:rsidRPr="00701004">
        <w:t xml:space="preserve"> was sufficient</w:t>
      </w:r>
      <w:r w:rsidR="00FB10E4" w:rsidRPr="00701004">
        <w:t>. Finally, these items</w:t>
      </w:r>
      <w:r w:rsidRPr="00701004">
        <w:t xml:space="preserve"> were entered into a</w:t>
      </w:r>
      <w:r w:rsidR="00FB10E4" w:rsidRPr="00701004">
        <w:t xml:space="preserve"> confirmatory</w:t>
      </w:r>
      <w:r w:rsidRPr="00701004">
        <w:t xml:space="preserve"> factor analysis using the </w:t>
      </w:r>
      <w:proofErr w:type="spellStart"/>
      <w:r w:rsidRPr="00701004">
        <w:t>lavaan</w:t>
      </w:r>
      <w:proofErr w:type="spellEnd"/>
      <w:r w:rsidRPr="00701004">
        <w:t xml:space="preserve"> package for R</w:t>
      </w:r>
      <w:r w:rsidRPr="00701004">
        <w:rPr>
          <w:vertAlign w:val="superscript"/>
        </w:rPr>
        <w:fldChar w:fldCharType="begin" w:fldLock="1"/>
      </w:r>
      <w:r w:rsidR="00546949" w:rsidRPr="00701004">
        <w:rPr>
          <w:vertAlign w:val="superscript"/>
        </w:rPr>
        <w:instrText xml:space="preserve"> ADDIN ZOTERO_ITEM CSL_CITATION {"citationID":"yCYC9Je6","properties":{"formattedCitation":"\\super 49\\nosupersub{}","plainCitation":"49","noteIndex":0},"citationItems":[{"id":"3dXyczz3/k3nnHrh0","uris":["http://www.mendeley.com/documents/?uuid=196543c6-3e68-4ebf-85db-d3cb13060752"],"uri":["http://www.mendeley.com/documents/?uuid=196543c6-3e68-4ebf-85db-d3cb13060752"],"itemData":{"DOI":"10.18637/jss.v048.i02","ISSN":"15487660","abstract":"Structural equation modeling (SEM) is a vast field and widely used by many applied researchers in the social and behavioral sciences. Over the years, many software packages for structural equation modeling have been developed, both free and commercial. However, perhaps the best state-of-the-art software packages in this field are still closed- source and/or commercial. The R package lavaan has been developed to provide applied researchers, teachers, and statisticians, a free, fully open-source, but commercial-quality package for latent variable modeling. This paper explains the aims behind the development of the package, gives an overview of its most important features, and provides some examples to illustrate how lavaan works in practice.","author":[{"dropping-particle":"","family":"Rosseel","given":"Yves","non-dropping-particle":"","parse-names":false,"suffix":""}],"container-title":"Journal of Statistical Software","id":"ITEM-1","issued":{"date-parts":[["2012"]]},"title":"Lavaan: An R package for structural equation modeling","type":"article-journal"}}],"schema":"https://github.com/citation-style-language/schema/raw/master/csl-citation.json"} </w:instrText>
      </w:r>
      <w:r w:rsidRPr="00701004">
        <w:rPr>
          <w:vertAlign w:val="superscript"/>
        </w:rPr>
        <w:fldChar w:fldCharType="separate"/>
      </w:r>
      <w:r w:rsidR="00546949" w:rsidRPr="00701004">
        <w:rPr>
          <w:vertAlign w:val="superscript"/>
        </w:rPr>
        <w:t>49</w:t>
      </w:r>
      <w:r w:rsidRPr="00701004">
        <w:rPr>
          <w:vertAlign w:val="superscript"/>
        </w:rPr>
        <w:fldChar w:fldCharType="end"/>
      </w:r>
      <w:r w:rsidR="00FB10E4" w:rsidRPr="00701004">
        <w:t>.</w:t>
      </w:r>
      <w:r w:rsidRPr="00701004">
        <w:t xml:space="preserve"> </w:t>
      </w:r>
      <w:r w:rsidR="00FB10E4" w:rsidRPr="00701004">
        <w:t>G</w:t>
      </w:r>
      <w:r w:rsidRPr="00701004">
        <w:t xml:space="preserve">oodness of fit indices suggested that a two-factor solution was a </w:t>
      </w:r>
      <w:r w:rsidR="00FB10E4" w:rsidRPr="00701004">
        <w:t>good</w:t>
      </w:r>
      <w:r w:rsidRPr="00701004">
        <w:t xml:space="preserve"> fit to the data (</w:t>
      </w:r>
      <w:r w:rsidRPr="00701004">
        <w:rPr>
          <w:color w:val="000000"/>
        </w:rPr>
        <w:sym w:font="Symbol" w:char="F063"/>
      </w:r>
      <w:r w:rsidRPr="00701004">
        <w:rPr>
          <w:color w:val="000000"/>
          <w:vertAlign w:val="superscript"/>
        </w:rPr>
        <w:t>2</w:t>
      </w:r>
      <w:r w:rsidRPr="00701004">
        <w:rPr>
          <w:color w:val="000000"/>
        </w:rPr>
        <w:t xml:space="preserve"> = 13.36, </w:t>
      </w:r>
      <w:r w:rsidRPr="00701004">
        <w:rPr>
          <w:i/>
          <w:color w:val="000000"/>
        </w:rPr>
        <w:t>p</w:t>
      </w:r>
      <w:r w:rsidRPr="00701004">
        <w:rPr>
          <w:color w:val="000000"/>
        </w:rPr>
        <w:t xml:space="preserve"> = .646, RMSEA &lt; .001).</w:t>
      </w:r>
      <w:r w:rsidRPr="00701004">
        <w:t xml:space="preserve"> </w:t>
      </w:r>
      <w:r w:rsidR="00FB10E4" w:rsidRPr="00701004">
        <w:t>Full results of the factor analys</w:t>
      </w:r>
      <w:r w:rsidR="001F1D46" w:rsidRPr="00701004">
        <w:t>i</w:t>
      </w:r>
      <w:r w:rsidR="00FB10E4" w:rsidRPr="00701004">
        <w:t xml:space="preserve">s are </w:t>
      </w:r>
      <w:r w:rsidR="00131FE1" w:rsidRPr="00701004">
        <w:t>detailed</w:t>
      </w:r>
      <w:r w:rsidR="00FB10E4" w:rsidRPr="00701004">
        <w:t xml:space="preserve"> in the Supplementary Material.</w:t>
      </w:r>
      <w:r w:rsidRPr="00701004">
        <w:t xml:space="preserve"> </w:t>
      </w:r>
    </w:p>
    <w:p w14:paraId="330C34BB" w14:textId="5051F90A" w:rsidR="00A525F6" w:rsidRPr="00701004" w:rsidRDefault="00A525F6" w:rsidP="00A525F6">
      <w:pPr>
        <w:spacing w:before="120" w:line="480" w:lineRule="auto"/>
        <w:ind w:firstLine="720"/>
        <w:jc w:val="both"/>
      </w:pPr>
      <w:r w:rsidRPr="00701004">
        <w:t>In this model, one factor represented adhering behaviours (</w:t>
      </w:r>
      <w:r w:rsidR="00831CCC" w:rsidRPr="00701004">
        <w:t>e.g.,</w:t>
      </w:r>
      <w:r w:rsidRPr="00701004">
        <w:t xml:space="preserve"> “</w:t>
      </w:r>
      <w:r w:rsidRPr="00701004">
        <w:rPr>
          <w:color w:val="000000"/>
        </w:rPr>
        <w:t>Stayed at least 2 metres away from others in public”), which higher scores denoting more behaviours that were consistent with adhering to social distancing guidelines. The second factor represented behaviours that actively violated lockdown measures (</w:t>
      </w:r>
      <w:r w:rsidR="00831CCC" w:rsidRPr="00701004">
        <w:rPr>
          <w:color w:val="000000"/>
        </w:rPr>
        <w:t>e.g.,</w:t>
      </w:r>
      <w:r w:rsidRPr="00701004">
        <w:rPr>
          <w:color w:val="000000"/>
        </w:rPr>
        <w:t xml:space="preserve"> “Gathered in a group of people”). The active violation subscale was not normally </w:t>
      </w:r>
      <w:r w:rsidR="003E319D" w:rsidRPr="00701004">
        <w:rPr>
          <w:color w:val="000000"/>
        </w:rPr>
        <w:t>distributed,</w:t>
      </w:r>
      <w:r w:rsidRPr="00701004">
        <w:rPr>
          <w:color w:val="000000"/>
        </w:rPr>
        <w:t xml:space="preserve"> and we therefore</w:t>
      </w:r>
      <w:r w:rsidR="00047979" w:rsidRPr="00701004">
        <w:rPr>
          <w:color w:val="000000"/>
        </w:rPr>
        <w:t xml:space="preserve"> conducted a Box-Cox transformation using the MASS package</w:t>
      </w:r>
      <w:r w:rsidR="007B1929" w:rsidRPr="00701004">
        <w:rPr>
          <w:color w:val="000000"/>
        </w:rPr>
        <w:fldChar w:fldCharType="begin" w:fldLock="1"/>
      </w:r>
      <w:r w:rsidR="00546949" w:rsidRPr="00701004">
        <w:rPr>
          <w:color w:val="000000"/>
        </w:rPr>
        <w:instrText xml:space="preserve"> ADDIN ZOTERO_ITEM CSL_CITATION {"citationID":"u1W9Grb7","properties":{"formattedCitation":"\\super 50,51\\nosupersub{}","plainCitation":"50,51","noteIndex":0},"citationItems":[{"id":"3dXyczz3/xrJHbgyW","uris":["http://www.mendeley.com/documents/?uuid=b3cfaa82-dc0b-4520-b84e-47322726d6d5"],"uri":["http://www.mendeley.com/documents/?uuid=b3cfaa82-dc0b-4520-b84e-47322726d6d5"],"itemData":{"DOI":"10.1111/j.2517-6161.1964.tb00553.x","abstract":"In the analysis of data it is often assumed that observations y,, y,,...,y, are independently normally distributed with constant variance and with expectations specified by a model linear in a set of parameters 0. In this paper we make the less restrictive assumption that such a normal, homoscedastic, linear model is appropriate after some suitable transformation has been applied to the y's. Inferences about the transformation and about the parameters of the linear model are made by computing the likelihood function and the relevant posterior distribution. The contributions of normality, homoscedasticity and additivity to the transformation are separated. The relation of the present methods to earlier procedures for finding transformations is discussed. The methods are illustrated with examples. 1.","author":[{"dropping-particle":"","family":"Box","given":"G. E. P.","non-dropping-particle":"","parse-names":false,"suffix":""},{"dropping-particle":"","family":"Cox","given":"D. R.","non-dropping-particle":"","parse-names":false,"suffix":""}],"container-title":"Journal of the Royal Statistical Society: Series B (Methodological)","id":"ITEM-1","issued":{"date-parts":[["1964"]]},"title":"An Analysis of Transformations","type":"article-journal"}},{"id":"3dXyczz3/s5ytQFq8","uris":["http://www.mendeley.com/documents/?uuid=00644232-2505-48dc-a87d-a5cac1124180"],"uri":["http://www.mendeley.com/documents/?uuid=00644232-2505-48dc-a87d-a5cac1124180"],"itemData":{"abstract":"Functions and datasets to support Venables and Ripley, ``Modern Applied Statistics with S'' (4th edition, 2002).","author":[{"dropping-particle":"","family":"Ripley","given":"Brian","non-dropping-particle":"","parse-names":false,"suffix":""},{"dropping-particle":"","family":"Venables","given":"Bill","non-dropping-particle":"","parse-names":false,"suffix":""},{"dropping-particle":"","family":"Bates","given":"Douglas M","non-dropping-particle":"","parse-names":false,"suffix":""},{"dropping-particle":"","family":"Hornik","given":"Kurt","non-dropping-particle":"","parse-names":false,"suffix":""},{"dropping-particle":"","family":"Gebhardt","given":"Albrecht","non-dropping-particle":"","parse-names":false,"suffix":""},{"dropping-particle":"","family":"Firth","given":"David","non-dropping-particle":"","parse-names":false,"suffix":""}],"container-title":"Cran-R Project","id":"ITEM-2","issued":{"date-parts":[["2019"]]},"title":"Package ‘MASS’ (Version 7.3-51.4)","type":"article-journal"}}],"schema":"https://github.com/citation-style-language/schema/raw/master/csl-citation.json"} </w:instrText>
      </w:r>
      <w:r w:rsidR="007B1929" w:rsidRPr="00701004">
        <w:rPr>
          <w:color w:val="000000"/>
        </w:rPr>
        <w:fldChar w:fldCharType="separate"/>
      </w:r>
      <w:r w:rsidR="00546949" w:rsidRPr="00701004">
        <w:rPr>
          <w:vertAlign w:val="superscript"/>
        </w:rPr>
        <w:t>50,51</w:t>
      </w:r>
      <w:r w:rsidR="007B1929" w:rsidRPr="00701004">
        <w:rPr>
          <w:color w:val="000000"/>
        </w:rPr>
        <w:fldChar w:fldCharType="end"/>
      </w:r>
      <w:r w:rsidR="00047979" w:rsidRPr="00701004">
        <w:rPr>
          <w:color w:val="000000"/>
        </w:rPr>
        <w:t>.</w:t>
      </w:r>
      <w:r w:rsidRPr="00701004">
        <w:rPr>
          <w:color w:val="000000"/>
        </w:rPr>
        <w:t xml:space="preserve"> </w:t>
      </w:r>
      <w:r w:rsidR="006B0075" w:rsidRPr="00701004">
        <w:rPr>
          <w:color w:val="000000"/>
        </w:rPr>
        <w:t xml:space="preserve">Higher values on this scale indicate the participant reported engaging </w:t>
      </w:r>
      <w:r w:rsidR="00416CE9" w:rsidRPr="00701004">
        <w:rPr>
          <w:color w:val="000000"/>
        </w:rPr>
        <w:t>these behaviours more frequently</w:t>
      </w:r>
      <w:r w:rsidR="006B0075" w:rsidRPr="00701004">
        <w:rPr>
          <w:color w:val="000000"/>
        </w:rPr>
        <w:t xml:space="preserve">. </w:t>
      </w:r>
      <w:r w:rsidRPr="00701004">
        <w:rPr>
          <w:color w:val="000000"/>
        </w:rPr>
        <w:t xml:space="preserve">For details on factor loadings, see the Supplementary Material. The social distancing adherence and active violation scales generated from the confirmatory factor analysis were subsequently utilised as outcome measures.  </w:t>
      </w:r>
    </w:p>
    <w:p w14:paraId="57F56256" w14:textId="4D884DE4" w:rsidR="00EA1C9E" w:rsidRPr="00701004" w:rsidRDefault="00EA1C9E" w:rsidP="007A794E">
      <w:pPr>
        <w:spacing w:before="120" w:line="480" w:lineRule="auto"/>
        <w:jc w:val="both"/>
        <w:rPr>
          <w:iCs/>
        </w:rPr>
      </w:pPr>
    </w:p>
    <w:p w14:paraId="01210564" w14:textId="6AD86D78" w:rsidR="0077387D" w:rsidRPr="00701004" w:rsidRDefault="0077387D" w:rsidP="007A794E">
      <w:pPr>
        <w:spacing w:before="120" w:line="480" w:lineRule="auto"/>
        <w:jc w:val="both"/>
        <w:rPr>
          <w:iCs/>
        </w:rPr>
      </w:pPr>
    </w:p>
    <w:p w14:paraId="0BEC91E1" w14:textId="0DA5185E" w:rsidR="0077387D" w:rsidRPr="00701004" w:rsidRDefault="0077387D" w:rsidP="007A794E">
      <w:pPr>
        <w:spacing w:before="120" w:line="480" w:lineRule="auto"/>
        <w:jc w:val="both"/>
        <w:rPr>
          <w:iCs/>
        </w:rPr>
      </w:pPr>
    </w:p>
    <w:p w14:paraId="11A48766" w14:textId="6FEAFED6" w:rsidR="0077387D" w:rsidRPr="00701004" w:rsidRDefault="0077387D" w:rsidP="007A794E">
      <w:pPr>
        <w:spacing w:before="120" w:line="480" w:lineRule="auto"/>
        <w:jc w:val="both"/>
        <w:rPr>
          <w:iCs/>
        </w:rPr>
      </w:pPr>
    </w:p>
    <w:p w14:paraId="253F4D15" w14:textId="087CE37E" w:rsidR="0077387D" w:rsidRPr="00701004" w:rsidRDefault="0077387D" w:rsidP="007A794E">
      <w:pPr>
        <w:spacing w:before="120" w:line="480" w:lineRule="auto"/>
        <w:jc w:val="both"/>
        <w:rPr>
          <w:iCs/>
        </w:rPr>
      </w:pPr>
    </w:p>
    <w:p w14:paraId="3A30097A" w14:textId="5FE869B5" w:rsidR="0077387D" w:rsidRPr="00701004" w:rsidRDefault="0077387D" w:rsidP="007A794E">
      <w:pPr>
        <w:spacing w:before="120" w:line="480" w:lineRule="auto"/>
        <w:jc w:val="both"/>
        <w:rPr>
          <w:iCs/>
        </w:rPr>
      </w:pPr>
    </w:p>
    <w:p w14:paraId="722C1D2B" w14:textId="2167E15A" w:rsidR="0077387D" w:rsidRPr="00701004" w:rsidRDefault="0077387D" w:rsidP="007A794E">
      <w:pPr>
        <w:spacing w:before="120" w:line="480" w:lineRule="auto"/>
        <w:jc w:val="both"/>
        <w:rPr>
          <w:iCs/>
        </w:rPr>
      </w:pPr>
    </w:p>
    <w:p w14:paraId="293CEE5F" w14:textId="21918097" w:rsidR="0077387D" w:rsidRPr="00701004" w:rsidRDefault="0077387D" w:rsidP="007A794E">
      <w:pPr>
        <w:spacing w:before="120" w:line="480" w:lineRule="auto"/>
        <w:jc w:val="both"/>
        <w:rPr>
          <w:iCs/>
        </w:rPr>
      </w:pPr>
    </w:p>
    <w:p w14:paraId="2CA4D3E3" w14:textId="77777777" w:rsidR="0077387D" w:rsidRPr="00701004" w:rsidRDefault="0077387D" w:rsidP="007A794E">
      <w:pPr>
        <w:spacing w:before="120" w:line="480" w:lineRule="auto"/>
        <w:jc w:val="both"/>
        <w:rPr>
          <w:iCs/>
        </w:rPr>
      </w:pPr>
    </w:p>
    <w:p w14:paraId="6AC55930" w14:textId="2B827BC8" w:rsidR="00192EB6" w:rsidRPr="00701004" w:rsidRDefault="00192EB6" w:rsidP="00B269A4">
      <w:pPr>
        <w:autoSpaceDE w:val="0"/>
        <w:autoSpaceDN w:val="0"/>
        <w:adjustRightInd w:val="0"/>
        <w:spacing w:before="120" w:line="480" w:lineRule="auto"/>
        <w:jc w:val="both"/>
        <w:rPr>
          <w:rFonts w:eastAsiaTheme="minorHAnsi"/>
          <w:b/>
          <w:caps/>
        </w:rPr>
      </w:pPr>
      <w:r w:rsidRPr="00701004">
        <w:rPr>
          <w:rFonts w:eastAsiaTheme="minorHAnsi"/>
          <w:b/>
          <w:caps/>
        </w:rPr>
        <w:lastRenderedPageBreak/>
        <w:t>references</w:t>
      </w:r>
    </w:p>
    <w:p w14:paraId="17FFDC96" w14:textId="77777777" w:rsidR="00546949" w:rsidRPr="00701004" w:rsidRDefault="00192EB6" w:rsidP="00546949">
      <w:pPr>
        <w:pStyle w:val="Bibliography"/>
      </w:pPr>
      <w:r w:rsidRPr="00701004">
        <w:rPr>
          <w:rFonts w:eastAsiaTheme="minorHAnsi"/>
        </w:rPr>
        <w:fldChar w:fldCharType="begin" w:fldLock="1"/>
      </w:r>
      <w:r w:rsidRPr="00701004">
        <w:rPr>
          <w:rFonts w:eastAsiaTheme="minorHAnsi"/>
        </w:rPr>
        <w:instrText xml:space="preserve">ADDIN Mendeley Bibliography CSL_BIBLIOGRAPHY </w:instrText>
      </w:r>
      <w:r w:rsidRPr="00701004">
        <w:rPr>
          <w:rFonts w:eastAsiaTheme="minorHAnsi"/>
        </w:rPr>
        <w:fldChar w:fldCharType="separate"/>
      </w:r>
      <w:r w:rsidR="00546949" w:rsidRPr="00701004">
        <w:t>1.</w:t>
      </w:r>
      <w:r w:rsidR="00546949" w:rsidRPr="00701004">
        <w:tab/>
        <w:t xml:space="preserve">Bargain, O. &amp; Aminjonov, U. Trust and Compliance to Public Health Policies in Times of COVID-19. </w:t>
      </w:r>
      <w:r w:rsidR="00546949" w:rsidRPr="00701004">
        <w:rPr>
          <w:i/>
          <w:iCs/>
        </w:rPr>
        <w:t>Bordeaux Economics Working Papers</w:t>
      </w:r>
      <w:r w:rsidR="00546949" w:rsidRPr="00701004">
        <w:t xml:space="preserve"> (2020).</w:t>
      </w:r>
    </w:p>
    <w:p w14:paraId="4DBE2B20" w14:textId="77777777" w:rsidR="00546949" w:rsidRPr="00701004" w:rsidRDefault="00546949" w:rsidP="00546949">
      <w:pPr>
        <w:pStyle w:val="Bibliography"/>
      </w:pPr>
      <w:r w:rsidRPr="00701004">
        <w:t>2.</w:t>
      </w:r>
      <w:r w:rsidRPr="00701004">
        <w:tab/>
        <w:t xml:space="preserve">Shevlin, M. </w:t>
      </w:r>
      <w:r w:rsidRPr="00701004">
        <w:rPr>
          <w:i/>
          <w:iCs/>
        </w:rPr>
        <w:t>et al.</w:t>
      </w:r>
      <w:r w:rsidRPr="00701004">
        <w:t xml:space="preserve"> Anxiety, Depression, Traumatic Stress, and COVID-19 Related Anxiety in the UK General Population During the COVID-19 Pandemic. doi:10.31234/OSF.IO/HB6NQ.</w:t>
      </w:r>
    </w:p>
    <w:p w14:paraId="13895327" w14:textId="77777777" w:rsidR="00546949" w:rsidRPr="00701004" w:rsidRDefault="00546949" w:rsidP="00546949">
      <w:pPr>
        <w:pStyle w:val="Bibliography"/>
      </w:pPr>
      <w:r w:rsidRPr="00701004">
        <w:t>3.</w:t>
      </w:r>
      <w:r w:rsidRPr="00701004">
        <w:tab/>
        <w:t xml:space="preserve">Williams, S. N., Armitage, C. J., Tampe, T. &amp; Dienes, K. Public perceptions and experiences of social distancing and social isolation during the COVID-19 pandemic: A UK-based focus group study. </w:t>
      </w:r>
      <w:r w:rsidRPr="00701004">
        <w:rPr>
          <w:i/>
          <w:iCs/>
        </w:rPr>
        <w:t>BMJ Open</w:t>
      </w:r>
      <w:r w:rsidRPr="00701004">
        <w:t xml:space="preserve"> (2020) doi:10.1136/bmjopen-2020-039334.</w:t>
      </w:r>
    </w:p>
    <w:p w14:paraId="1647C18F" w14:textId="77777777" w:rsidR="00546949" w:rsidRPr="00701004" w:rsidRDefault="00546949" w:rsidP="00546949">
      <w:pPr>
        <w:pStyle w:val="Bibliography"/>
      </w:pPr>
      <w:r w:rsidRPr="00701004">
        <w:t>4.</w:t>
      </w:r>
      <w:r w:rsidRPr="00701004">
        <w:tab/>
        <w:t xml:space="preserve">Betsch, C. How behavioural science data helps mitigate the COVID-19 crisis. </w:t>
      </w:r>
      <w:r w:rsidRPr="00701004">
        <w:rPr>
          <w:i/>
          <w:iCs/>
        </w:rPr>
        <w:t>Nature Human Behaviour</w:t>
      </w:r>
      <w:r w:rsidRPr="00701004">
        <w:t xml:space="preserve"> (2020) doi:10.1038/s41562-020-0866-1.</w:t>
      </w:r>
    </w:p>
    <w:p w14:paraId="59D93BE0" w14:textId="77777777" w:rsidR="00546949" w:rsidRPr="00701004" w:rsidRDefault="00546949" w:rsidP="00546949">
      <w:pPr>
        <w:pStyle w:val="Bibliography"/>
      </w:pPr>
      <w:r w:rsidRPr="00701004">
        <w:t>5.</w:t>
      </w:r>
      <w:r w:rsidRPr="00701004">
        <w:tab/>
        <w:t xml:space="preserve">VanBavel, J. J. ; et al. Using social and behavioural science to support COVID-19 pandemic response CITATION. </w:t>
      </w:r>
      <w:r w:rsidRPr="00701004">
        <w:rPr>
          <w:i/>
          <w:iCs/>
        </w:rPr>
        <w:t>PsyArXiv</w:t>
      </w:r>
      <w:r w:rsidRPr="00701004">
        <w:t xml:space="preserve"> (2020).</w:t>
      </w:r>
    </w:p>
    <w:p w14:paraId="7DDAF1AA" w14:textId="77777777" w:rsidR="00546949" w:rsidRPr="00701004" w:rsidRDefault="00546949" w:rsidP="00546949">
      <w:pPr>
        <w:pStyle w:val="Bibliography"/>
      </w:pPr>
      <w:r w:rsidRPr="00701004">
        <w:t>6.</w:t>
      </w:r>
      <w:r w:rsidRPr="00701004">
        <w:tab/>
        <w:t xml:space="preserve">Kirby, K. N., Petry, N. M. &amp; Bickel, W. K. Heroin addicts have higher discount rates for delayed rewards than non-drug-using controls. </w:t>
      </w:r>
      <w:r w:rsidRPr="00701004">
        <w:rPr>
          <w:i/>
          <w:iCs/>
        </w:rPr>
        <w:t>Journal of Experimental Psychology: General</w:t>
      </w:r>
      <w:r w:rsidRPr="00701004">
        <w:t xml:space="preserve"> (1999) doi:10.1037/0096-3445.128.1.78.</w:t>
      </w:r>
    </w:p>
    <w:p w14:paraId="5375F92C" w14:textId="77777777" w:rsidR="00546949" w:rsidRPr="00701004" w:rsidRDefault="00546949" w:rsidP="00546949">
      <w:pPr>
        <w:pStyle w:val="Bibliography"/>
      </w:pPr>
      <w:r w:rsidRPr="00701004">
        <w:t>7.</w:t>
      </w:r>
      <w:r w:rsidRPr="00701004">
        <w:tab/>
        <w:t xml:space="preserve">Haushofer, J. &amp; Fehr, E. Haushofer &amp; Fehr. 2014. On the psychology of poverty. Science. </w:t>
      </w:r>
      <w:r w:rsidRPr="00701004">
        <w:rPr>
          <w:i/>
          <w:iCs/>
        </w:rPr>
        <w:t>Science</w:t>
      </w:r>
      <w:r w:rsidRPr="00701004">
        <w:t xml:space="preserve"> (2014).</w:t>
      </w:r>
    </w:p>
    <w:p w14:paraId="6FE4F4E8" w14:textId="77777777" w:rsidR="00546949" w:rsidRPr="00701004" w:rsidRDefault="00546949" w:rsidP="00546949">
      <w:pPr>
        <w:pStyle w:val="Bibliography"/>
      </w:pPr>
      <w:r w:rsidRPr="00701004">
        <w:t>8.</w:t>
      </w:r>
      <w:r w:rsidRPr="00701004">
        <w:tab/>
        <w:t xml:space="preserve">Story, G. W., Vlaev, I., Seymour, B., Darzi, A. &amp; Dolan, R. J. Does temporal discounting explain unhealthy behavior? A systematic review and reinforcement learning perspective. </w:t>
      </w:r>
      <w:r w:rsidRPr="00701004">
        <w:rPr>
          <w:i/>
          <w:iCs/>
        </w:rPr>
        <w:t>Frontiers in Behavioral Neuroscience</w:t>
      </w:r>
      <w:r w:rsidRPr="00701004">
        <w:t xml:space="preserve"> (2014) doi:10.3389/fnbeh.2014.00076.</w:t>
      </w:r>
    </w:p>
    <w:p w14:paraId="3D946603" w14:textId="77777777" w:rsidR="00546949" w:rsidRPr="00701004" w:rsidRDefault="00546949" w:rsidP="00546949">
      <w:pPr>
        <w:pStyle w:val="Bibliography"/>
      </w:pPr>
      <w:r w:rsidRPr="00701004">
        <w:t>9.</w:t>
      </w:r>
      <w:r w:rsidRPr="00701004">
        <w:tab/>
        <w:t xml:space="preserve">Odum, A. L. &amp; Baumann, A. A. L. Delay discounting: State and trait variable. in </w:t>
      </w:r>
      <w:r w:rsidRPr="00701004">
        <w:rPr>
          <w:i/>
          <w:iCs/>
        </w:rPr>
        <w:t>Impulsivity: The behavioral and neurological science of discounting.</w:t>
      </w:r>
      <w:r w:rsidRPr="00701004">
        <w:t xml:space="preserve"> (2010). doi:10.1037/12069-002.</w:t>
      </w:r>
    </w:p>
    <w:p w14:paraId="011A5324" w14:textId="77777777" w:rsidR="00546949" w:rsidRPr="00701004" w:rsidRDefault="00546949" w:rsidP="00546949">
      <w:pPr>
        <w:pStyle w:val="Bibliography"/>
      </w:pPr>
      <w:r w:rsidRPr="00701004">
        <w:lastRenderedPageBreak/>
        <w:t>10.</w:t>
      </w:r>
      <w:r w:rsidRPr="00701004">
        <w:tab/>
        <w:t xml:space="preserve">Malesza, M. Stress and delay discounting: The mediating role of difficulties in emotion regulation. </w:t>
      </w:r>
      <w:r w:rsidRPr="00701004">
        <w:rPr>
          <w:i/>
          <w:iCs/>
        </w:rPr>
        <w:t>Personality and Individual Differences</w:t>
      </w:r>
      <w:r w:rsidRPr="00701004">
        <w:t xml:space="preserve"> (2019) doi:10.1016/j.paid.2019.02.035.</w:t>
      </w:r>
    </w:p>
    <w:p w14:paraId="69F43B95" w14:textId="77777777" w:rsidR="00546949" w:rsidRPr="00701004" w:rsidRDefault="00546949" w:rsidP="00546949">
      <w:pPr>
        <w:pStyle w:val="Bibliography"/>
      </w:pPr>
      <w:r w:rsidRPr="00701004">
        <w:t>11.</w:t>
      </w:r>
      <w:r w:rsidRPr="00701004">
        <w:tab/>
        <w:t xml:space="preserve">Amlung, M. </w:t>
      </w:r>
      <w:r w:rsidRPr="00701004">
        <w:rPr>
          <w:i/>
          <w:iCs/>
        </w:rPr>
        <w:t>et al.</w:t>
      </w:r>
      <w:r w:rsidRPr="00701004">
        <w:t xml:space="preserve"> Delay Discounting as a Transdiagnostic Process in Psychiatric Disorders: A Meta-analysis. </w:t>
      </w:r>
      <w:r w:rsidRPr="00701004">
        <w:rPr>
          <w:i/>
          <w:iCs/>
        </w:rPr>
        <w:t>JAMA Psychiatry</w:t>
      </w:r>
      <w:r w:rsidRPr="00701004">
        <w:t xml:space="preserve"> (2019) doi:10.1001/jamapsychiatry.2019.2102.</w:t>
      </w:r>
    </w:p>
    <w:p w14:paraId="599EA31D" w14:textId="77777777" w:rsidR="00546949" w:rsidRPr="00701004" w:rsidRDefault="00546949" w:rsidP="00546949">
      <w:pPr>
        <w:pStyle w:val="Bibliography"/>
      </w:pPr>
      <w:r w:rsidRPr="00701004">
        <w:t>12.</w:t>
      </w:r>
      <w:r w:rsidRPr="00701004">
        <w:tab/>
        <w:t xml:space="preserve">Harman, M. J. The Effects of Time Framing on Compliance to Hypothetical Social-Distancing Policies Related to COVID-19. </w:t>
      </w:r>
      <w:r w:rsidRPr="00701004">
        <w:rPr>
          <w:i/>
          <w:iCs/>
        </w:rPr>
        <w:t>Behavior and Social Issues</w:t>
      </w:r>
      <w:r w:rsidRPr="00701004">
        <w:t xml:space="preserve"> (2021) doi:10.1007/s42822-020-00041-z.</w:t>
      </w:r>
    </w:p>
    <w:p w14:paraId="35E468A0" w14:textId="77777777" w:rsidR="00546949" w:rsidRPr="00701004" w:rsidRDefault="00546949" w:rsidP="00546949">
      <w:pPr>
        <w:pStyle w:val="Bibliography"/>
      </w:pPr>
      <w:r w:rsidRPr="00701004">
        <w:t>13.</w:t>
      </w:r>
      <w:r w:rsidRPr="00701004">
        <w:tab/>
        <w:t xml:space="preserve">Nese, M. </w:t>
      </w:r>
      <w:r w:rsidRPr="00701004">
        <w:rPr>
          <w:i/>
          <w:iCs/>
        </w:rPr>
        <w:t>et al.</w:t>
      </w:r>
      <w:r w:rsidRPr="00701004">
        <w:t xml:space="preserve"> Delay discounting of compliance with containment measures during the COVID-19 outbreak: a survey of the Italian population. </w:t>
      </w:r>
      <w:r w:rsidRPr="00701004">
        <w:rPr>
          <w:i/>
          <w:iCs/>
        </w:rPr>
        <w:t>Journal of Public Health (Germany)</w:t>
      </w:r>
      <w:r w:rsidRPr="00701004">
        <w:t xml:space="preserve"> (2020) doi:10.1007/s10389-020-01317-9.</w:t>
      </w:r>
    </w:p>
    <w:p w14:paraId="168E9AD8" w14:textId="77777777" w:rsidR="00546949" w:rsidRPr="00701004" w:rsidRDefault="00546949" w:rsidP="00546949">
      <w:pPr>
        <w:pStyle w:val="Bibliography"/>
      </w:pPr>
      <w:r w:rsidRPr="00701004">
        <w:t>14.</w:t>
      </w:r>
      <w:r w:rsidRPr="00701004">
        <w:tab/>
        <w:t xml:space="preserve">Chapman, G. B. &amp; Elstein, A. S. Valuing the Future: Temporal Discounting of Health and Money. </w:t>
      </w:r>
      <w:r w:rsidRPr="00701004">
        <w:rPr>
          <w:i/>
          <w:iCs/>
        </w:rPr>
        <w:t>Medical Decision Making</w:t>
      </w:r>
      <w:r w:rsidRPr="00701004">
        <w:t xml:space="preserve"> (1995) doi:10.1177/0272989X9501500408.</w:t>
      </w:r>
    </w:p>
    <w:p w14:paraId="77D70657" w14:textId="77777777" w:rsidR="00546949" w:rsidRPr="00701004" w:rsidRDefault="00546949" w:rsidP="00546949">
      <w:pPr>
        <w:pStyle w:val="Bibliography"/>
      </w:pPr>
      <w:r w:rsidRPr="00701004">
        <w:t>15.</w:t>
      </w:r>
      <w:r w:rsidRPr="00701004">
        <w:tab/>
        <w:t xml:space="preserve">Chapman, G. B. Temporal discounting and utility for health and money. </w:t>
      </w:r>
      <w:r w:rsidRPr="00701004">
        <w:rPr>
          <w:i/>
          <w:iCs/>
        </w:rPr>
        <w:t>Journal of Experimental Psychology: Learning Memory and Cognition</w:t>
      </w:r>
      <w:r w:rsidRPr="00701004">
        <w:t xml:space="preserve"> (1996) doi:10.1037/0278-7393.22.3.771.</w:t>
      </w:r>
    </w:p>
    <w:p w14:paraId="0F1B2873" w14:textId="77777777" w:rsidR="00546949" w:rsidRPr="00701004" w:rsidRDefault="00546949" w:rsidP="00546949">
      <w:pPr>
        <w:pStyle w:val="Bibliography"/>
      </w:pPr>
      <w:r w:rsidRPr="00701004">
        <w:t>16.</w:t>
      </w:r>
      <w:r w:rsidRPr="00701004">
        <w:tab/>
        <w:t xml:space="preserve">Dennis, L. E. </w:t>
      </w:r>
      <w:r w:rsidRPr="00701004">
        <w:rPr>
          <w:i/>
          <w:iCs/>
        </w:rPr>
        <w:t>et al.</w:t>
      </w:r>
      <w:r w:rsidRPr="00701004">
        <w:t xml:space="preserve"> Neural correlates of reward magnitude and delay during a probabilistic delay discounting task in alcohol use disorder. </w:t>
      </w:r>
      <w:r w:rsidRPr="00701004">
        <w:rPr>
          <w:i/>
          <w:iCs/>
        </w:rPr>
        <w:t>Psychopharmacology</w:t>
      </w:r>
      <w:r w:rsidRPr="00701004">
        <w:t xml:space="preserve"> (2020) doi:10.1007/s00213-019-05364-3.</w:t>
      </w:r>
    </w:p>
    <w:p w14:paraId="1FEB8C89" w14:textId="77777777" w:rsidR="00546949" w:rsidRPr="00701004" w:rsidRDefault="00546949" w:rsidP="00546949">
      <w:pPr>
        <w:pStyle w:val="Bibliography"/>
      </w:pPr>
      <w:r w:rsidRPr="00701004">
        <w:t>17.</w:t>
      </w:r>
      <w:r w:rsidRPr="00701004">
        <w:tab/>
        <w:t xml:space="preserve">Baker, F., Johnson, M. W. &amp; Bickel, W. K. Delay discounting in current and never-before cigarette smokers: Similarities and differences across commodity, sign, and magnitude. </w:t>
      </w:r>
      <w:r w:rsidRPr="00701004">
        <w:rPr>
          <w:i/>
          <w:iCs/>
        </w:rPr>
        <w:t>Journal of Abnormal Psychology</w:t>
      </w:r>
      <w:r w:rsidRPr="00701004">
        <w:t xml:space="preserve"> (2003) doi:10.1037/0021-843X.112.3.382.</w:t>
      </w:r>
    </w:p>
    <w:p w14:paraId="2A7B258F" w14:textId="77777777" w:rsidR="00546949" w:rsidRPr="00701004" w:rsidRDefault="00546949" w:rsidP="00546949">
      <w:pPr>
        <w:pStyle w:val="Bibliography"/>
      </w:pPr>
      <w:r w:rsidRPr="00701004">
        <w:t>18.</w:t>
      </w:r>
      <w:r w:rsidRPr="00701004">
        <w:tab/>
        <w:t xml:space="preserve">Ballard, I. C. </w:t>
      </w:r>
      <w:r w:rsidRPr="00701004">
        <w:rPr>
          <w:i/>
          <w:iCs/>
        </w:rPr>
        <w:t>et al.</w:t>
      </w:r>
      <w:r w:rsidRPr="00701004">
        <w:t xml:space="preserve"> More Is Meaningful: The Magnitude Effect in Intertemporal Choice Depends on Self-Control. </w:t>
      </w:r>
      <w:r w:rsidRPr="00701004">
        <w:rPr>
          <w:i/>
          <w:iCs/>
        </w:rPr>
        <w:t>Psychological Science</w:t>
      </w:r>
      <w:r w:rsidRPr="00701004">
        <w:t xml:space="preserve"> (2017) doi:10.1177/0956797617711455.</w:t>
      </w:r>
    </w:p>
    <w:p w14:paraId="515CA4DB" w14:textId="77777777" w:rsidR="00546949" w:rsidRPr="00701004" w:rsidRDefault="00546949" w:rsidP="00546949">
      <w:pPr>
        <w:pStyle w:val="Bibliography"/>
      </w:pPr>
      <w:r w:rsidRPr="00701004">
        <w:lastRenderedPageBreak/>
        <w:t>19.</w:t>
      </w:r>
      <w:r w:rsidRPr="00701004">
        <w:tab/>
        <w:t xml:space="preserve">Li, J. Z., Li, S. &amp; Liu, H. How has the Wenchuan earthquake influenced people’s intertemporal choices? </w:t>
      </w:r>
      <w:r w:rsidRPr="00701004">
        <w:rPr>
          <w:i/>
          <w:iCs/>
        </w:rPr>
        <w:t>Journal of Applied Social Psychology</w:t>
      </w:r>
      <w:r w:rsidRPr="00701004">
        <w:t xml:space="preserve"> (2011) doi:10.1111/j.1559-1816.2011.00847.x.</w:t>
      </w:r>
    </w:p>
    <w:p w14:paraId="6A2D5174" w14:textId="77777777" w:rsidR="00546949" w:rsidRPr="00701004" w:rsidRDefault="00546949" w:rsidP="00546949">
      <w:pPr>
        <w:pStyle w:val="Bibliography"/>
      </w:pPr>
      <w:r w:rsidRPr="00701004">
        <w:t>20.</w:t>
      </w:r>
      <w:r w:rsidRPr="00701004">
        <w:tab/>
        <w:t xml:space="preserve">Behrens, T. E. J., Woolrich, M. W., Walton, M. E. &amp; Rushworth, M. F. S. Learning the value of information in an uncertain world. </w:t>
      </w:r>
      <w:r w:rsidRPr="00701004">
        <w:rPr>
          <w:i/>
          <w:iCs/>
        </w:rPr>
        <w:t>Nat Neurosci</w:t>
      </w:r>
      <w:r w:rsidRPr="00701004">
        <w:t xml:space="preserve"> </w:t>
      </w:r>
      <w:r w:rsidRPr="00701004">
        <w:rPr>
          <w:b/>
          <w:bCs/>
        </w:rPr>
        <w:t>10</w:t>
      </w:r>
      <w:r w:rsidRPr="00701004">
        <w:t>, 1214–1221 (2007).</w:t>
      </w:r>
    </w:p>
    <w:p w14:paraId="679ABE8F" w14:textId="77777777" w:rsidR="00546949" w:rsidRPr="00701004" w:rsidRDefault="00546949" w:rsidP="00546949">
      <w:pPr>
        <w:pStyle w:val="Bibliography"/>
      </w:pPr>
      <w:r w:rsidRPr="00701004">
        <w:t>21.</w:t>
      </w:r>
      <w:r w:rsidRPr="00701004">
        <w:tab/>
        <w:t xml:space="preserve">Bishop, S. J. &amp; Gagne, C. Anxiety, Depression, and Decision Making: A Computational Perspective. </w:t>
      </w:r>
      <w:r w:rsidRPr="00701004">
        <w:rPr>
          <w:i/>
          <w:iCs/>
        </w:rPr>
        <w:t>Annual Review of Neuroscience</w:t>
      </w:r>
      <w:r w:rsidRPr="00701004">
        <w:t xml:space="preserve"> (2018) doi:10.1146/annurev-neuro-080317-062007.</w:t>
      </w:r>
    </w:p>
    <w:p w14:paraId="368D519C" w14:textId="77777777" w:rsidR="00546949" w:rsidRPr="00701004" w:rsidRDefault="00546949" w:rsidP="00546949">
      <w:pPr>
        <w:pStyle w:val="Bibliography"/>
      </w:pPr>
      <w:r w:rsidRPr="00701004">
        <w:t>22.</w:t>
      </w:r>
      <w:r w:rsidRPr="00701004">
        <w:tab/>
        <w:t xml:space="preserve">Sutton, R. &amp; Andrew, B. </w:t>
      </w:r>
      <w:r w:rsidRPr="00701004">
        <w:rPr>
          <w:i/>
          <w:iCs/>
        </w:rPr>
        <w:t>RL Book 2018</w:t>
      </w:r>
      <w:r w:rsidRPr="00701004">
        <w:t xml:space="preserve">. </w:t>
      </w:r>
      <w:r w:rsidRPr="00701004">
        <w:rPr>
          <w:i/>
          <w:iCs/>
        </w:rPr>
        <w:t>Proceedings of the Annual Conference of the Western College Reading Association</w:t>
      </w:r>
      <w:r w:rsidRPr="00701004">
        <w:t xml:space="preserve"> (2018). doi:10.1080/24699365.1977.11669658.</w:t>
      </w:r>
    </w:p>
    <w:p w14:paraId="6680A975" w14:textId="77777777" w:rsidR="00546949" w:rsidRPr="00701004" w:rsidRDefault="00546949" w:rsidP="00546949">
      <w:pPr>
        <w:pStyle w:val="Bibliography"/>
      </w:pPr>
      <w:r w:rsidRPr="00701004">
        <w:t>23.</w:t>
      </w:r>
      <w:r w:rsidRPr="00701004">
        <w:tab/>
        <w:t xml:space="preserve">Gabay, A. S. &amp; Apps, M. A. J. Foraging optimally in social neuroscience: computations and methodological considerations. </w:t>
      </w:r>
      <w:r w:rsidRPr="00701004">
        <w:rPr>
          <w:i/>
          <w:iCs/>
        </w:rPr>
        <w:t>Social Cognitive and Affective Neuroscience</w:t>
      </w:r>
      <w:r w:rsidRPr="00701004">
        <w:t xml:space="preserve"> (2020) doi:10.1093/scan/nsaa037.</w:t>
      </w:r>
    </w:p>
    <w:p w14:paraId="70F1DAE6" w14:textId="77777777" w:rsidR="00546949" w:rsidRPr="00701004" w:rsidRDefault="00546949" w:rsidP="00546949">
      <w:pPr>
        <w:pStyle w:val="Bibliography"/>
      </w:pPr>
      <w:r w:rsidRPr="00701004">
        <w:t>24.</w:t>
      </w:r>
      <w:r w:rsidRPr="00701004">
        <w:tab/>
        <w:t xml:space="preserve">Constantino, S. M. &amp; Daw, N. D. Learning the opportunity cost of time in a patch-foraging task. </w:t>
      </w:r>
      <w:r w:rsidRPr="00701004">
        <w:rPr>
          <w:i/>
          <w:iCs/>
        </w:rPr>
        <w:t>Cognitive, Affective and Behavioral Neuroscience</w:t>
      </w:r>
      <w:r w:rsidRPr="00701004">
        <w:t xml:space="preserve"> (2015) doi:10.3758/s13415-015-0350-y.</w:t>
      </w:r>
    </w:p>
    <w:p w14:paraId="09678AE4" w14:textId="77777777" w:rsidR="00546949" w:rsidRPr="00701004" w:rsidRDefault="00546949" w:rsidP="00546949">
      <w:pPr>
        <w:pStyle w:val="Bibliography"/>
      </w:pPr>
      <w:r w:rsidRPr="00701004">
        <w:t>25.</w:t>
      </w:r>
      <w:r w:rsidRPr="00701004">
        <w:tab/>
        <w:t xml:space="preserve">Odum, A. L. Delay discounting: Trait variable? </w:t>
      </w:r>
      <w:r w:rsidRPr="00701004">
        <w:rPr>
          <w:i/>
          <w:iCs/>
        </w:rPr>
        <w:t>Behavioural Processes</w:t>
      </w:r>
      <w:r w:rsidRPr="00701004">
        <w:t xml:space="preserve"> </w:t>
      </w:r>
      <w:r w:rsidRPr="00701004">
        <w:rPr>
          <w:b/>
          <w:bCs/>
        </w:rPr>
        <w:t>87</w:t>
      </w:r>
      <w:r w:rsidRPr="00701004">
        <w:t>, 1–9 (2011).</w:t>
      </w:r>
    </w:p>
    <w:p w14:paraId="6447FE81" w14:textId="77777777" w:rsidR="00546949" w:rsidRPr="00701004" w:rsidRDefault="00546949" w:rsidP="00546949">
      <w:pPr>
        <w:pStyle w:val="Bibliography"/>
      </w:pPr>
      <w:r w:rsidRPr="00701004">
        <w:t>26.</w:t>
      </w:r>
      <w:r w:rsidRPr="00701004">
        <w:tab/>
        <w:t xml:space="preserve">Michie, S., van Stralen, M. M. &amp; West, R. The behaviour change wheel: A new method for characterising and designing behaviour change interventions. </w:t>
      </w:r>
      <w:r w:rsidRPr="00701004">
        <w:rPr>
          <w:i/>
          <w:iCs/>
        </w:rPr>
        <w:t>Implementation Science</w:t>
      </w:r>
      <w:r w:rsidRPr="00701004">
        <w:t xml:space="preserve"> </w:t>
      </w:r>
      <w:r w:rsidRPr="00701004">
        <w:rPr>
          <w:b/>
          <w:bCs/>
        </w:rPr>
        <w:t>6</w:t>
      </w:r>
      <w:r w:rsidRPr="00701004">
        <w:t>, 42 (2011).</w:t>
      </w:r>
    </w:p>
    <w:p w14:paraId="38FB851D" w14:textId="77777777" w:rsidR="00546949" w:rsidRPr="00701004" w:rsidRDefault="00546949" w:rsidP="00546949">
      <w:pPr>
        <w:pStyle w:val="Bibliography"/>
      </w:pPr>
      <w:r w:rsidRPr="00701004">
        <w:t>27.</w:t>
      </w:r>
      <w:r w:rsidRPr="00701004">
        <w:tab/>
        <w:t xml:space="preserve">Bickel, W. K., Yi, R., Landes, R. D., Hill, P. F. &amp; Baxter, C. Remember the future: Working memory training decreases delay discounting among stimulant addicts. </w:t>
      </w:r>
      <w:r w:rsidRPr="00701004">
        <w:rPr>
          <w:i/>
          <w:iCs/>
        </w:rPr>
        <w:t>Biological Psychiatry</w:t>
      </w:r>
      <w:r w:rsidRPr="00701004">
        <w:t xml:space="preserve"> (2011) doi:10.1016/j.biopsych.2010.08.017.</w:t>
      </w:r>
    </w:p>
    <w:p w14:paraId="242E72BE" w14:textId="77777777" w:rsidR="00546949" w:rsidRPr="00701004" w:rsidRDefault="00546949" w:rsidP="00546949">
      <w:pPr>
        <w:pStyle w:val="Bibliography"/>
      </w:pPr>
      <w:r w:rsidRPr="00701004">
        <w:lastRenderedPageBreak/>
        <w:t>28.</w:t>
      </w:r>
      <w:r w:rsidRPr="00701004">
        <w:tab/>
        <w:t xml:space="preserve">Yang, C. C., Völlm, B. &amp; Khalifa, N. The Effects of rTMS on Impulsivity in Normal Adults: a Systematic Review and Meta-Analysis. </w:t>
      </w:r>
      <w:r w:rsidRPr="00701004">
        <w:rPr>
          <w:i/>
          <w:iCs/>
        </w:rPr>
        <w:t>Neuropsychology Review</w:t>
      </w:r>
      <w:r w:rsidRPr="00701004">
        <w:t xml:space="preserve"> (2018) doi:10.1007/s11065-018-9376-6.</w:t>
      </w:r>
    </w:p>
    <w:p w14:paraId="24F4A842" w14:textId="77777777" w:rsidR="00546949" w:rsidRPr="00701004" w:rsidRDefault="00546949" w:rsidP="00546949">
      <w:pPr>
        <w:pStyle w:val="Bibliography"/>
      </w:pPr>
      <w:r w:rsidRPr="00701004">
        <w:t>29.</w:t>
      </w:r>
      <w:r w:rsidRPr="00701004">
        <w:tab/>
        <w:t xml:space="preserve">Stein, J. S. </w:t>
      </w:r>
      <w:r w:rsidRPr="00701004">
        <w:rPr>
          <w:i/>
          <w:iCs/>
        </w:rPr>
        <w:t>et al.</w:t>
      </w:r>
      <w:r w:rsidRPr="00701004">
        <w:t xml:space="preserve"> Unstuck in time: episodic future thinking reduces delay discounting and cigarette smoking. </w:t>
      </w:r>
      <w:r w:rsidRPr="00701004">
        <w:rPr>
          <w:i/>
          <w:iCs/>
        </w:rPr>
        <w:t>Psychopharmacology</w:t>
      </w:r>
      <w:r w:rsidRPr="00701004">
        <w:t xml:space="preserve"> (2016) doi:10.1007/s00213-016-4410-y.</w:t>
      </w:r>
    </w:p>
    <w:p w14:paraId="58E7BF85" w14:textId="77777777" w:rsidR="00546949" w:rsidRPr="00701004" w:rsidRDefault="00546949" w:rsidP="00546949">
      <w:pPr>
        <w:pStyle w:val="Bibliography"/>
      </w:pPr>
      <w:r w:rsidRPr="00701004">
        <w:t>30.</w:t>
      </w:r>
      <w:r w:rsidRPr="00701004">
        <w:tab/>
        <w:t xml:space="preserve">Sze, Y. Y., Stein, J. S., Bickel, W. K., Paluch, R. A. &amp; Epstein, L. H. Bleak Present, Bright Future: Online Episodic Future Thinking, Scarcity, Delay Discounting, and Food Demand. </w:t>
      </w:r>
      <w:r w:rsidRPr="00701004">
        <w:rPr>
          <w:i/>
          <w:iCs/>
        </w:rPr>
        <w:t>Clinical Psychological Science</w:t>
      </w:r>
      <w:r w:rsidRPr="00701004">
        <w:t xml:space="preserve"> (2017) doi:10.1177/2167702617696511.</w:t>
      </w:r>
    </w:p>
    <w:p w14:paraId="4DAB3F76" w14:textId="77777777" w:rsidR="00546949" w:rsidRPr="00701004" w:rsidRDefault="00546949" w:rsidP="00546949">
      <w:pPr>
        <w:pStyle w:val="Bibliography"/>
      </w:pPr>
      <w:r w:rsidRPr="00701004">
        <w:t>31.</w:t>
      </w:r>
      <w:r w:rsidRPr="00701004">
        <w:tab/>
        <w:t xml:space="preserve">Koffarnus, M. N., Jarmolowicz, D. P., Mueller, E. T. &amp; Bickel, W. K. Changing delay discounting in the light of the competing neurobehavioral decision systems theory: A review. </w:t>
      </w:r>
      <w:r w:rsidRPr="00701004">
        <w:rPr>
          <w:i/>
          <w:iCs/>
        </w:rPr>
        <w:t>Journal of the Experimental Analysis of Behavior</w:t>
      </w:r>
      <w:r w:rsidRPr="00701004">
        <w:t xml:space="preserve"> (2013) doi:10.1002/jeab.2.</w:t>
      </w:r>
    </w:p>
    <w:p w14:paraId="3DAE6C28" w14:textId="77777777" w:rsidR="00546949" w:rsidRPr="00701004" w:rsidRDefault="00546949" w:rsidP="00546949">
      <w:pPr>
        <w:pStyle w:val="Bibliography"/>
      </w:pPr>
      <w:r w:rsidRPr="00701004">
        <w:t>32.</w:t>
      </w:r>
      <w:r w:rsidRPr="00701004">
        <w:tab/>
        <w:t xml:space="preserve">Jones, B. &amp; Rachlin, H. Social discounting. </w:t>
      </w:r>
      <w:r w:rsidRPr="00701004">
        <w:rPr>
          <w:i/>
          <w:iCs/>
        </w:rPr>
        <w:t>Psychological Science</w:t>
      </w:r>
      <w:r w:rsidRPr="00701004">
        <w:t xml:space="preserve"> (2006) doi:10.1111/j.1467-9280.2006.01699.x.</w:t>
      </w:r>
    </w:p>
    <w:p w14:paraId="67780FA6" w14:textId="77777777" w:rsidR="00546949" w:rsidRPr="00701004" w:rsidRDefault="00546949" w:rsidP="00546949">
      <w:pPr>
        <w:pStyle w:val="Bibliography"/>
      </w:pPr>
      <w:r w:rsidRPr="00701004">
        <w:t>33.</w:t>
      </w:r>
      <w:r w:rsidRPr="00701004">
        <w:tab/>
        <w:t xml:space="preserve">Białaszek, W., Ostaszewski, P., Green, L. &amp; Myerson, J. On Four Types of Devaluation of Outcomes Due to Their Costs: Delay, Probability, Effort, and Social Discounting. </w:t>
      </w:r>
      <w:r w:rsidRPr="00701004">
        <w:rPr>
          <w:i/>
          <w:iCs/>
        </w:rPr>
        <w:t>Psychological Record</w:t>
      </w:r>
      <w:r w:rsidRPr="00701004">
        <w:t xml:space="preserve"> (2019) doi:10.1007/s40732-019-00340-x.</w:t>
      </w:r>
    </w:p>
    <w:p w14:paraId="03FD3A56" w14:textId="77777777" w:rsidR="00546949" w:rsidRPr="00701004" w:rsidRDefault="00546949" w:rsidP="00546949">
      <w:pPr>
        <w:pStyle w:val="Bibliography"/>
      </w:pPr>
      <w:r w:rsidRPr="00701004">
        <w:t>34.</w:t>
      </w:r>
      <w:r w:rsidRPr="00701004">
        <w:tab/>
        <w:t xml:space="preserve">Weatherly, J. N., Terrell, H. K. &amp; Derenne, A. Delay discounting of different commodities. </w:t>
      </w:r>
      <w:r w:rsidRPr="00701004">
        <w:rPr>
          <w:i/>
          <w:iCs/>
        </w:rPr>
        <w:t>Journal of General Psychology</w:t>
      </w:r>
      <w:r w:rsidRPr="00701004">
        <w:t xml:space="preserve"> (2010) doi:10.1080/00221309.2010.484449.</w:t>
      </w:r>
    </w:p>
    <w:p w14:paraId="24B39F5B" w14:textId="77777777" w:rsidR="00546949" w:rsidRPr="00701004" w:rsidRDefault="00546949" w:rsidP="00546949">
      <w:pPr>
        <w:pStyle w:val="Bibliography"/>
      </w:pPr>
      <w:r w:rsidRPr="00701004">
        <w:t>35.</w:t>
      </w:r>
      <w:r w:rsidRPr="00701004">
        <w:tab/>
        <w:t xml:space="preserve">Hill, P. F., Yi, R., Spreng, R. N. &amp; Diana, R. A. Neural congruence between intertemporal and interpersonal self-control: Evidence from delay and social discounting. </w:t>
      </w:r>
      <w:r w:rsidRPr="00701004">
        <w:rPr>
          <w:i/>
          <w:iCs/>
        </w:rPr>
        <w:t>NeuroImage</w:t>
      </w:r>
      <w:r w:rsidRPr="00701004">
        <w:t xml:space="preserve"> (2017) doi:10.1016/j.neuroimage.2017.08.071.</w:t>
      </w:r>
    </w:p>
    <w:p w14:paraId="19F51CAF" w14:textId="77777777" w:rsidR="00546949" w:rsidRPr="00701004" w:rsidRDefault="00546949" w:rsidP="00546949">
      <w:pPr>
        <w:pStyle w:val="Bibliography"/>
      </w:pPr>
      <w:r w:rsidRPr="00701004">
        <w:t>36.</w:t>
      </w:r>
      <w:r w:rsidRPr="00701004">
        <w:tab/>
        <w:t xml:space="preserve">Rachlin, H. &amp; Jones, B. A. Social discounting and delay discounting. </w:t>
      </w:r>
      <w:r w:rsidRPr="00701004">
        <w:rPr>
          <w:i/>
          <w:iCs/>
        </w:rPr>
        <w:t>Journal of Behavioral Decision Making</w:t>
      </w:r>
      <w:r w:rsidRPr="00701004">
        <w:t xml:space="preserve"> (2008) doi:10.1002/bdm.567.</w:t>
      </w:r>
    </w:p>
    <w:p w14:paraId="6B5A2902" w14:textId="77777777" w:rsidR="00546949" w:rsidRPr="00701004" w:rsidRDefault="00546949" w:rsidP="00546949">
      <w:pPr>
        <w:pStyle w:val="Bibliography"/>
      </w:pPr>
      <w:r w:rsidRPr="00701004">
        <w:lastRenderedPageBreak/>
        <w:t>37.</w:t>
      </w:r>
      <w:r w:rsidRPr="00701004">
        <w:tab/>
        <w:t xml:space="preserve">Niv, Y. &amp; Schoenbaum, G. Dialogues on prediction errors. </w:t>
      </w:r>
      <w:r w:rsidRPr="00701004">
        <w:rPr>
          <w:i/>
          <w:iCs/>
        </w:rPr>
        <w:t>Trends in Cognitive Sciences</w:t>
      </w:r>
      <w:r w:rsidRPr="00701004">
        <w:t xml:space="preserve"> (2008) doi:10.1016/j.tics.2008.03.006.</w:t>
      </w:r>
    </w:p>
    <w:p w14:paraId="7CE41DD8" w14:textId="77777777" w:rsidR="00546949" w:rsidRPr="00701004" w:rsidRDefault="00546949" w:rsidP="00546949">
      <w:pPr>
        <w:pStyle w:val="Bibliography"/>
      </w:pPr>
      <w:r w:rsidRPr="00701004">
        <w:t>38.</w:t>
      </w:r>
      <w:r w:rsidRPr="00701004">
        <w:tab/>
        <w:t xml:space="preserve">Möhring, K. </w:t>
      </w:r>
      <w:r w:rsidRPr="00701004">
        <w:rPr>
          <w:i/>
          <w:iCs/>
        </w:rPr>
        <w:t>et al.</w:t>
      </w:r>
      <w:r w:rsidRPr="00701004">
        <w:t xml:space="preserve"> The COVID-19 pandemic and subjective well-being: longitudinal evidence on satisfaction with work and family. </w:t>
      </w:r>
      <w:r w:rsidRPr="00701004">
        <w:rPr>
          <w:i/>
          <w:iCs/>
        </w:rPr>
        <w:t>European Societies</w:t>
      </w:r>
      <w:r w:rsidRPr="00701004">
        <w:t xml:space="preserve"> (2021) doi:10.1080/14616696.2020.1833066.</w:t>
      </w:r>
    </w:p>
    <w:p w14:paraId="5659EBDE" w14:textId="77777777" w:rsidR="00546949" w:rsidRPr="00701004" w:rsidRDefault="00546949" w:rsidP="00546949">
      <w:pPr>
        <w:pStyle w:val="Bibliography"/>
      </w:pPr>
      <w:r w:rsidRPr="00701004">
        <w:t>39.</w:t>
      </w:r>
      <w:r w:rsidRPr="00701004">
        <w:tab/>
        <w:t xml:space="preserve">Levita, L. </w:t>
      </w:r>
      <w:r w:rsidRPr="00701004">
        <w:rPr>
          <w:i/>
          <w:iCs/>
        </w:rPr>
        <w:t>et al.</w:t>
      </w:r>
      <w:r w:rsidRPr="00701004">
        <w:t xml:space="preserve"> Report1:  Impact of Covid-19 on young people aged 13-24 in the UK- preliminary findings. doi:10.31234/OSF.IO/UQ4RN.</w:t>
      </w:r>
    </w:p>
    <w:p w14:paraId="52BA7BFD" w14:textId="77777777" w:rsidR="00546949" w:rsidRPr="00701004" w:rsidRDefault="00546949" w:rsidP="00546949">
      <w:pPr>
        <w:pStyle w:val="Bibliography"/>
      </w:pPr>
      <w:r w:rsidRPr="00701004">
        <w:t>40.</w:t>
      </w:r>
      <w:r w:rsidRPr="00701004">
        <w:tab/>
        <w:t xml:space="preserve">McBride, O. </w:t>
      </w:r>
      <w:r w:rsidRPr="00701004">
        <w:rPr>
          <w:i/>
          <w:iCs/>
        </w:rPr>
        <w:t>et al.</w:t>
      </w:r>
      <w:r w:rsidRPr="00701004">
        <w:t xml:space="preserve"> Monitoring the psychological impact of the COVID-19 pandemic in the general population: an overview of the context, design and conduct of the COVID-19 Psychological Research Consortium (C19PRC) Study. doi:10.31234/OSF.IO/WXE2N.</w:t>
      </w:r>
    </w:p>
    <w:p w14:paraId="573378AB" w14:textId="77777777" w:rsidR="00546949" w:rsidRPr="00701004" w:rsidRDefault="00546949" w:rsidP="00546949">
      <w:pPr>
        <w:pStyle w:val="Bibliography"/>
      </w:pPr>
      <w:r w:rsidRPr="00701004">
        <w:t>41.</w:t>
      </w:r>
      <w:r w:rsidRPr="00701004">
        <w:tab/>
        <w:t xml:space="preserve">Vincent, B. T. Hierarchical Bayesian estimation and hypothesis testing for delay discounting tasks. </w:t>
      </w:r>
      <w:r w:rsidRPr="00701004">
        <w:rPr>
          <w:i/>
          <w:iCs/>
        </w:rPr>
        <w:t>Behavior Research Methods</w:t>
      </w:r>
      <w:r w:rsidRPr="00701004">
        <w:t xml:space="preserve"> (2016) doi:10.3758/s13428-015-0672-2.</w:t>
      </w:r>
    </w:p>
    <w:p w14:paraId="6CA91734" w14:textId="77777777" w:rsidR="00546949" w:rsidRPr="00701004" w:rsidRDefault="00546949" w:rsidP="00546949">
      <w:pPr>
        <w:pStyle w:val="Bibliography"/>
      </w:pPr>
      <w:r w:rsidRPr="00701004">
        <w:t>42.</w:t>
      </w:r>
      <w:r w:rsidRPr="00701004">
        <w:tab/>
        <w:t xml:space="preserve">Lloyd, A., McKay, R., Sebastian, C. L. &amp; Balsters, J. H. Are adolescents more optimal decision-makers in novel environments? Examining the benefits of heightened exploration in a patch foraging paradigm. </w:t>
      </w:r>
      <w:r w:rsidRPr="00701004">
        <w:rPr>
          <w:i/>
          <w:iCs/>
        </w:rPr>
        <w:t>Developmental Science</w:t>
      </w:r>
      <w:r w:rsidRPr="00701004">
        <w:t xml:space="preserve"> (2020) doi:10.1111/desc.13075.</w:t>
      </w:r>
    </w:p>
    <w:p w14:paraId="2DEC12FD" w14:textId="77777777" w:rsidR="00546949" w:rsidRPr="00701004" w:rsidRDefault="00546949" w:rsidP="00546949">
      <w:pPr>
        <w:pStyle w:val="Bibliography"/>
      </w:pPr>
      <w:r w:rsidRPr="00701004">
        <w:t>43.</w:t>
      </w:r>
      <w:r w:rsidRPr="00701004">
        <w:tab/>
        <w:t xml:space="preserve">McBride, O. </w:t>
      </w:r>
      <w:r w:rsidRPr="00701004">
        <w:rPr>
          <w:i/>
          <w:iCs/>
        </w:rPr>
        <w:t>et al.</w:t>
      </w:r>
      <w:r w:rsidRPr="00701004">
        <w:t xml:space="preserve"> Monitoring the psychological impact of the COVID-19 pandemic in the general population: an overview of the context, design and conduct of the COVID-19 Psychological Research Consortium (C19PRC) Study. doi:10.31234/OSF.IO/WXE2N.</w:t>
      </w:r>
    </w:p>
    <w:p w14:paraId="54A1395E" w14:textId="77777777" w:rsidR="00546949" w:rsidRPr="00701004" w:rsidRDefault="00546949" w:rsidP="00546949">
      <w:pPr>
        <w:pStyle w:val="Bibliography"/>
      </w:pPr>
      <w:r w:rsidRPr="00701004">
        <w:t>44.</w:t>
      </w:r>
      <w:r w:rsidRPr="00701004">
        <w:tab/>
        <w:t xml:space="preserve">Spitzer, R. L., Kroenke, K., Williams, J. B. W. &amp; Löwe, B. A brief measure for assessing generalized anxiety disorder: The GAD-7. </w:t>
      </w:r>
      <w:r w:rsidRPr="00701004">
        <w:rPr>
          <w:i/>
          <w:iCs/>
        </w:rPr>
        <w:t>Archives of Internal Medicine</w:t>
      </w:r>
      <w:r w:rsidRPr="00701004">
        <w:t xml:space="preserve"> </w:t>
      </w:r>
      <w:r w:rsidRPr="00701004">
        <w:rPr>
          <w:b/>
          <w:bCs/>
        </w:rPr>
        <w:t>166</w:t>
      </w:r>
      <w:r w:rsidRPr="00701004">
        <w:t>, 1092–1097 (2006).</w:t>
      </w:r>
    </w:p>
    <w:p w14:paraId="4822B399" w14:textId="77777777" w:rsidR="00546949" w:rsidRPr="00701004" w:rsidRDefault="00546949" w:rsidP="00546949">
      <w:pPr>
        <w:pStyle w:val="Bibliography"/>
      </w:pPr>
      <w:r w:rsidRPr="00701004">
        <w:t>45.</w:t>
      </w:r>
      <w:r w:rsidRPr="00701004">
        <w:tab/>
        <w:t xml:space="preserve">Kroenke, K., Spitzer, R. L. &amp; Williams, J. B. W. The PHQ-9: Validity of a brief depression severity measure. </w:t>
      </w:r>
      <w:r w:rsidRPr="00701004">
        <w:rPr>
          <w:i/>
          <w:iCs/>
        </w:rPr>
        <w:t>Journal of General Internal Medicine</w:t>
      </w:r>
      <w:r w:rsidRPr="00701004">
        <w:t xml:space="preserve"> </w:t>
      </w:r>
      <w:r w:rsidRPr="00701004">
        <w:rPr>
          <w:b/>
          <w:bCs/>
        </w:rPr>
        <w:t>16</w:t>
      </w:r>
      <w:r w:rsidRPr="00701004">
        <w:t>, 606–613 (2001).</w:t>
      </w:r>
    </w:p>
    <w:p w14:paraId="7650D65C" w14:textId="77777777" w:rsidR="00546949" w:rsidRPr="00701004" w:rsidRDefault="00546949" w:rsidP="00546949">
      <w:pPr>
        <w:pStyle w:val="Bibliography"/>
      </w:pPr>
      <w:r w:rsidRPr="00701004">
        <w:lastRenderedPageBreak/>
        <w:t>46.</w:t>
      </w:r>
      <w:r w:rsidRPr="00701004">
        <w:tab/>
        <w:t xml:space="preserve">Gibson Miller, J. </w:t>
      </w:r>
      <w:r w:rsidRPr="00701004">
        <w:rPr>
          <w:i/>
          <w:iCs/>
        </w:rPr>
        <w:t>et al.</w:t>
      </w:r>
      <w:r w:rsidRPr="00701004">
        <w:t xml:space="preserve"> Capability, opportunity, and motivation to enact hygienic practices in the early stages of the COVID‐19 outbreak in the United Kingdom. </w:t>
      </w:r>
      <w:r w:rsidRPr="00701004">
        <w:rPr>
          <w:i/>
          <w:iCs/>
        </w:rPr>
        <w:t>British Journal of Health Psychology</w:t>
      </w:r>
      <w:r w:rsidRPr="00701004">
        <w:t xml:space="preserve"> bjhp.12426 (2020) doi:10.1111/bjhp.12426.</w:t>
      </w:r>
    </w:p>
    <w:p w14:paraId="163C8933" w14:textId="77777777" w:rsidR="00546949" w:rsidRPr="00701004" w:rsidRDefault="00546949" w:rsidP="00546949">
      <w:pPr>
        <w:pStyle w:val="Bibliography"/>
      </w:pPr>
      <w:r w:rsidRPr="00701004">
        <w:t>47.</w:t>
      </w:r>
      <w:r w:rsidRPr="00701004">
        <w:tab/>
        <w:t xml:space="preserve">Johnson, M. W. &amp; Bickel, W. K. Within-Subject Comparison of Real and Hypothetical Money Rewards in Delay Discounting. </w:t>
      </w:r>
      <w:r w:rsidRPr="00701004">
        <w:rPr>
          <w:i/>
          <w:iCs/>
        </w:rPr>
        <w:t>Journal of the Experimental Analysis of Behavior</w:t>
      </w:r>
      <w:r w:rsidRPr="00701004">
        <w:t xml:space="preserve"> </w:t>
      </w:r>
      <w:r w:rsidRPr="00701004">
        <w:rPr>
          <w:b/>
          <w:bCs/>
        </w:rPr>
        <w:t>77</w:t>
      </w:r>
      <w:r w:rsidRPr="00701004">
        <w:t>, 129–146 (2002).</w:t>
      </w:r>
    </w:p>
    <w:p w14:paraId="2B683415" w14:textId="77777777" w:rsidR="00546949" w:rsidRPr="00701004" w:rsidRDefault="00546949" w:rsidP="00546949">
      <w:pPr>
        <w:pStyle w:val="Bibliography"/>
      </w:pPr>
      <w:r w:rsidRPr="00701004">
        <w:t>48.</w:t>
      </w:r>
      <w:r w:rsidRPr="00701004">
        <w:tab/>
        <w:t xml:space="preserve">Charnov, E. L. Optimal foraging, the marginal value theorem. </w:t>
      </w:r>
      <w:r w:rsidRPr="00701004">
        <w:rPr>
          <w:i/>
          <w:iCs/>
        </w:rPr>
        <w:t>Theoretical Population Biology</w:t>
      </w:r>
      <w:r w:rsidRPr="00701004">
        <w:t xml:space="preserve"> (1976) doi:10.1016/0040-5809(76)90040-X.</w:t>
      </w:r>
    </w:p>
    <w:p w14:paraId="57A2D934" w14:textId="77777777" w:rsidR="00546949" w:rsidRPr="00701004" w:rsidRDefault="00546949" w:rsidP="00546949">
      <w:pPr>
        <w:pStyle w:val="Bibliography"/>
      </w:pPr>
      <w:r w:rsidRPr="00701004">
        <w:t>49.</w:t>
      </w:r>
      <w:r w:rsidRPr="00701004">
        <w:tab/>
        <w:t xml:space="preserve">Rosseel, Y. Lavaan: An R package for structural equation modeling. </w:t>
      </w:r>
      <w:r w:rsidRPr="00701004">
        <w:rPr>
          <w:i/>
          <w:iCs/>
        </w:rPr>
        <w:t>Journal of Statistical Software</w:t>
      </w:r>
      <w:r w:rsidRPr="00701004">
        <w:t xml:space="preserve"> (2012) doi:10.18637/jss.v048.i02.</w:t>
      </w:r>
    </w:p>
    <w:p w14:paraId="1D7375FC" w14:textId="77777777" w:rsidR="00546949" w:rsidRPr="00701004" w:rsidRDefault="00546949" w:rsidP="00546949">
      <w:pPr>
        <w:pStyle w:val="Bibliography"/>
      </w:pPr>
      <w:r w:rsidRPr="00701004">
        <w:t>50.</w:t>
      </w:r>
      <w:r w:rsidRPr="00701004">
        <w:tab/>
        <w:t xml:space="preserve">Box, G. E. P. &amp; Cox, D. R. An Analysis of Transformations. </w:t>
      </w:r>
      <w:r w:rsidRPr="00701004">
        <w:rPr>
          <w:i/>
          <w:iCs/>
        </w:rPr>
        <w:t>Journal of the Royal Statistical Society: Series B (Methodological)</w:t>
      </w:r>
      <w:r w:rsidRPr="00701004">
        <w:t xml:space="preserve"> (1964) doi:10.1111/j.2517-6161.1964.tb00553.x.</w:t>
      </w:r>
    </w:p>
    <w:p w14:paraId="71821312" w14:textId="77777777" w:rsidR="00546949" w:rsidRPr="00701004" w:rsidRDefault="00546949" w:rsidP="00546949">
      <w:pPr>
        <w:pStyle w:val="Bibliography"/>
      </w:pPr>
      <w:r w:rsidRPr="00701004">
        <w:t>51.</w:t>
      </w:r>
      <w:r w:rsidRPr="00701004">
        <w:tab/>
        <w:t xml:space="preserve">Ripley, B. </w:t>
      </w:r>
      <w:r w:rsidRPr="00701004">
        <w:rPr>
          <w:i/>
          <w:iCs/>
        </w:rPr>
        <w:t>et al.</w:t>
      </w:r>
      <w:r w:rsidRPr="00701004">
        <w:t xml:space="preserve"> Package ‘MASS’ (Version 7.3-51.4). </w:t>
      </w:r>
      <w:r w:rsidRPr="00701004">
        <w:rPr>
          <w:i/>
          <w:iCs/>
        </w:rPr>
        <w:t>Cran-R Project</w:t>
      </w:r>
      <w:r w:rsidRPr="00701004">
        <w:t xml:space="preserve"> (2019).</w:t>
      </w:r>
    </w:p>
    <w:p w14:paraId="3847C2C4" w14:textId="730DBCC9" w:rsidR="00AE760F" w:rsidRPr="00A762DB" w:rsidRDefault="00192EB6" w:rsidP="00B269A4">
      <w:pPr>
        <w:autoSpaceDE w:val="0"/>
        <w:autoSpaceDN w:val="0"/>
        <w:adjustRightInd w:val="0"/>
        <w:spacing w:before="120" w:line="480" w:lineRule="auto"/>
        <w:jc w:val="both"/>
        <w:rPr>
          <w:rFonts w:eastAsiaTheme="minorHAnsi"/>
        </w:rPr>
      </w:pPr>
      <w:r w:rsidRPr="00701004">
        <w:rPr>
          <w:rFonts w:eastAsiaTheme="minorHAnsi"/>
        </w:rPr>
        <w:fldChar w:fldCharType="end"/>
      </w:r>
    </w:p>
    <w:sectPr w:rsidR="00AE760F" w:rsidRPr="00A762DB" w:rsidSect="00184C7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2A549" w14:textId="77777777" w:rsidR="00030379" w:rsidRDefault="00030379" w:rsidP="009203C8">
      <w:r>
        <w:separator/>
      </w:r>
    </w:p>
  </w:endnote>
  <w:endnote w:type="continuationSeparator" w:id="0">
    <w:p w14:paraId="4D8E0ECE" w14:textId="77777777" w:rsidR="00030379" w:rsidRDefault="00030379" w:rsidP="00920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E9981" w14:textId="77777777" w:rsidR="00030379" w:rsidRDefault="00030379" w:rsidP="009203C8">
      <w:r>
        <w:separator/>
      </w:r>
    </w:p>
  </w:footnote>
  <w:footnote w:type="continuationSeparator" w:id="0">
    <w:p w14:paraId="20D894AC" w14:textId="77777777" w:rsidR="00030379" w:rsidRDefault="00030379" w:rsidP="00920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58DB" w14:textId="1145A4A1" w:rsidR="00882BAC" w:rsidRDefault="00882BAC">
    <w:pPr>
      <w:pStyle w:val="Header"/>
    </w:pPr>
    <w:r>
      <w:t>COVID-19 COGNITIVE TASKS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F1AA" w14:textId="01B2BEED" w:rsidR="00882BAC" w:rsidRDefault="00882BAC">
    <w:pPr>
      <w:pStyle w:val="Header"/>
    </w:pPr>
    <w:r>
      <w:t>ACCEPTED MANUSCRIPT: COVID-19 COGNITIVE TASKS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11E"/>
    <w:multiLevelType w:val="multilevel"/>
    <w:tmpl w:val="A6C41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06EE1"/>
    <w:multiLevelType w:val="hybridMultilevel"/>
    <w:tmpl w:val="1DF47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0242D"/>
    <w:multiLevelType w:val="hybridMultilevel"/>
    <w:tmpl w:val="C84A5BA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7C07099"/>
    <w:multiLevelType w:val="multilevel"/>
    <w:tmpl w:val="C8167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A140C"/>
    <w:multiLevelType w:val="hybridMultilevel"/>
    <w:tmpl w:val="4FEEF2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63CCA"/>
    <w:multiLevelType w:val="hybridMultilevel"/>
    <w:tmpl w:val="9EC42B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6F07E2"/>
    <w:multiLevelType w:val="hybridMultilevel"/>
    <w:tmpl w:val="8820B5F4"/>
    <w:lvl w:ilvl="0" w:tplc="F54CF604">
      <w:numFmt w:val="bullet"/>
      <w:lvlText w:val=""/>
      <w:lvlJc w:val="left"/>
      <w:pPr>
        <w:ind w:left="720" w:hanging="360"/>
      </w:pPr>
      <w:rPr>
        <w:rFonts w:ascii="Symbol" w:eastAsia="Times New Roman" w:hAnsi="Symbol" w:cs="Times New Roman"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86334"/>
    <w:multiLevelType w:val="hybridMultilevel"/>
    <w:tmpl w:val="F822D24C"/>
    <w:lvl w:ilvl="0" w:tplc="27B233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CF30B3"/>
    <w:multiLevelType w:val="hybridMultilevel"/>
    <w:tmpl w:val="DE2AA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74495"/>
    <w:multiLevelType w:val="hybridMultilevel"/>
    <w:tmpl w:val="8E10A268"/>
    <w:lvl w:ilvl="0" w:tplc="6ECE6DD8">
      <w:start w:val="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1361F6"/>
    <w:multiLevelType w:val="hybridMultilevel"/>
    <w:tmpl w:val="06FC6E4A"/>
    <w:lvl w:ilvl="0" w:tplc="C3FA0A36">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AF867F7"/>
    <w:multiLevelType w:val="hybridMultilevel"/>
    <w:tmpl w:val="940AE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380A47"/>
    <w:multiLevelType w:val="hybridMultilevel"/>
    <w:tmpl w:val="0FEC56BE"/>
    <w:lvl w:ilvl="0" w:tplc="A7E455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904DD5"/>
    <w:multiLevelType w:val="hybridMultilevel"/>
    <w:tmpl w:val="518CC0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1"/>
  </w:num>
  <w:num w:numId="4">
    <w:abstractNumId w:val="9"/>
  </w:num>
  <w:num w:numId="5">
    <w:abstractNumId w:val="13"/>
  </w:num>
  <w:num w:numId="6">
    <w:abstractNumId w:val="12"/>
  </w:num>
  <w:num w:numId="7">
    <w:abstractNumId w:val="4"/>
  </w:num>
  <w:num w:numId="8">
    <w:abstractNumId w:val="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0"/>
  </w:num>
  <w:num w:numId="12">
    <w:abstractNumId w:val="7"/>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376"/>
    <w:rsid w:val="00000FF0"/>
    <w:rsid w:val="000016EE"/>
    <w:rsid w:val="00001E74"/>
    <w:rsid w:val="000024FE"/>
    <w:rsid w:val="00003A18"/>
    <w:rsid w:val="000062EC"/>
    <w:rsid w:val="0000667D"/>
    <w:rsid w:val="00006EE9"/>
    <w:rsid w:val="00007746"/>
    <w:rsid w:val="00007DCC"/>
    <w:rsid w:val="0001062F"/>
    <w:rsid w:val="00010D9E"/>
    <w:rsid w:val="00010E51"/>
    <w:rsid w:val="000110F2"/>
    <w:rsid w:val="00011D33"/>
    <w:rsid w:val="000133D9"/>
    <w:rsid w:val="000136F1"/>
    <w:rsid w:val="00013A6C"/>
    <w:rsid w:val="00014397"/>
    <w:rsid w:val="0001536D"/>
    <w:rsid w:val="00015EA8"/>
    <w:rsid w:val="00015EBF"/>
    <w:rsid w:val="00016D83"/>
    <w:rsid w:val="000201D7"/>
    <w:rsid w:val="0002111A"/>
    <w:rsid w:val="00021260"/>
    <w:rsid w:val="00021D2C"/>
    <w:rsid w:val="000222F0"/>
    <w:rsid w:val="00023E6D"/>
    <w:rsid w:val="00024679"/>
    <w:rsid w:val="00024C5E"/>
    <w:rsid w:val="0002513A"/>
    <w:rsid w:val="00026D17"/>
    <w:rsid w:val="00026F53"/>
    <w:rsid w:val="00027478"/>
    <w:rsid w:val="0003009F"/>
    <w:rsid w:val="00030379"/>
    <w:rsid w:val="000314A5"/>
    <w:rsid w:val="00033654"/>
    <w:rsid w:val="0003483D"/>
    <w:rsid w:val="00035870"/>
    <w:rsid w:val="0003655F"/>
    <w:rsid w:val="00037866"/>
    <w:rsid w:val="000404FE"/>
    <w:rsid w:val="0004097F"/>
    <w:rsid w:val="00041187"/>
    <w:rsid w:val="0004150F"/>
    <w:rsid w:val="0004302A"/>
    <w:rsid w:val="00043F53"/>
    <w:rsid w:val="00044EE9"/>
    <w:rsid w:val="000452B2"/>
    <w:rsid w:val="00045810"/>
    <w:rsid w:val="00047979"/>
    <w:rsid w:val="00050A18"/>
    <w:rsid w:val="000510D6"/>
    <w:rsid w:val="00052D42"/>
    <w:rsid w:val="00052F04"/>
    <w:rsid w:val="000534B9"/>
    <w:rsid w:val="000543AE"/>
    <w:rsid w:val="000554AC"/>
    <w:rsid w:val="00055894"/>
    <w:rsid w:val="00055EC8"/>
    <w:rsid w:val="000562FE"/>
    <w:rsid w:val="000566D5"/>
    <w:rsid w:val="00056828"/>
    <w:rsid w:val="00056AED"/>
    <w:rsid w:val="00057346"/>
    <w:rsid w:val="00057EDE"/>
    <w:rsid w:val="00060934"/>
    <w:rsid w:val="00061774"/>
    <w:rsid w:val="00061C9F"/>
    <w:rsid w:val="0006205A"/>
    <w:rsid w:val="000621CD"/>
    <w:rsid w:val="000636D7"/>
    <w:rsid w:val="00064397"/>
    <w:rsid w:val="00065312"/>
    <w:rsid w:val="00066457"/>
    <w:rsid w:val="00067831"/>
    <w:rsid w:val="000678A2"/>
    <w:rsid w:val="0007068A"/>
    <w:rsid w:val="00071AD1"/>
    <w:rsid w:val="00072C5F"/>
    <w:rsid w:val="0007377B"/>
    <w:rsid w:val="000742D6"/>
    <w:rsid w:val="00074539"/>
    <w:rsid w:val="00074574"/>
    <w:rsid w:val="00074F74"/>
    <w:rsid w:val="00075043"/>
    <w:rsid w:val="00075E05"/>
    <w:rsid w:val="0007669F"/>
    <w:rsid w:val="000768AF"/>
    <w:rsid w:val="00077B45"/>
    <w:rsid w:val="00080E66"/>
    <w:rsid w:val="000812F1"/>
    <w:rsid w:val="00081375"/>
    <w:rsid w:val="0008156A"/>
    <w:rsid w:val="000815EA"/>
    <w:rsid w:val="00081984"/>
    <w:rsid w:val="00081EA2"/>
    <w:rsid w:val="000850D9"/>
    <w:rsid w:val="0008569C"/>
    <w:rsid w:val="00087861"/>
    <w:rsid w:val="0009045E"/>
    <w:rsid w:val="00091919"/>
    <w:rsid w:val="000921ED"/>
    <w:rsid w:val="00092A37"/>
    <w:rsid w:val="00093B75"/>
    <w:rsid w:val="00093D60"/>
    <w:rsid w:val="0009459B"/>
    <w:rsid w:val="00094DED"/>
    <w:rsid w:val="00095CE0"/>
    <w:rsid w:val="000961C0"/>
    <w:rsid w:val="00096EDE"/>
    <w:rsid w:val="00097D61"/>
    <w:rsid w:val="000A2282"/>
    <w:rsid w:val="000A3FC4"/>
    <w:rsid w:val="000A62F6"/>
    <w:rsid w:val="000A6B10"/>
    <w:rsid w:val="000B02BF"/>
    <w:rsid w:val="000B0985"/>
    <w:rsid w:val="000B10E6"/>
    <w:rsid w:val="000B1429"/>
    <w:rsid w:val="000B1649"/>
    <w:rsid w:val="000B5931"/>
    <w:rsid w:val="000B639C"/>
    <w:rsid w:val="000B64CE"/>
    <w:rsid w:val="000B71C1"/>
    <w:rsid w:val="000B76DD"/>
    <w:rsid w:val="000C04A0"/>
    <w:rsid w:val="000C0FCD"/>
    <w:rsid w:val="000C192B"/>
    <w:rsid w:val="000C2687"/>
    <w:rsid w:val="000C2756"/>
    <w:rsid w:val="000C2C3F"/>
    <w:rsid w:val="000C33E0"/>
    <w:rsid w:val="000C4F44"/>
    <w:rsid w:val="000C6691"/>
    <w:rsid w:val="000C6D7C"/>
    <w:rsid w:val="000C78DB"/>
    <w:rsid w:val="000D0F5A"/>
    <w:rsid w:val="000D14A9"/>
    <w:rsid w:val="000D1A15"/>
    <w:rsid w:val="000D27C3"/>
    <w:rsid w:val="000D2B73"/>
    <w:rsid w:val="000D2D12"/>
    <w:rsid w:val="000D2DCC"/>
    <w:rsid w:val="000D388E"/>
    <w:rsid w:val="000D3C56"/>
    <w:rsid w:val="000D48A4"/>
    <w:rsid w:val="000D4C0A"/>
    <w:rsid w:val="000D6131"/>
    <w:rsid w:val="000D6D14"/>
    <w:rsid w:val="000D7748"/>
    <w:rsid w:val="000D7A6E"/>
    <w:rsid w:val="000D7E1B"/>
    <w:rsid w:val="000E04AA"/>
    <w:rsid w:val="000E0817"/>
    <w:rsid w:val="000E0CF7"/>
    <w:rsid w:val="000E1E19"/>
    <w:rsid w:val="000E1F5D"/>
    <w:rsid w:val="000E2195"/>
    <w:rsid w:val="000E2736"/>
    <w:rsid w:val="000E4234"/>
    <w:rsid w:val="000E4EC3"/>
    <w:rsid w:val="000E5413"/>
    <w:rsid w:val="000E77EC"/>
    <w:rsid w:val="000E7B13"/>
    <w:rsid w:val="000F154D"/>
    <w:rsid w:val="000F20DB"/>
    <w:rsid w:val="000F2234"/>
    <w:rsid w:val="000F2262"/>
    <w:rsid w:val="000F26EB"/>
    <w:rsid w:val="000F2C62"/>
    <w:rsid w:val="000F3641"/>
    <w:rsid w:val="000F384C"/>
    <w:rsid w:val="000F40A6"/>
    <w:rsid w:val="000F432F"/>
    <w:rsid w:val="000F45FA"/>
    <w:rsid w:val="000F498E"/>
    <w:rsid w:val="000F62B7"/>
    <w:rsid w:val="000F69DF"/>
    <w:rsid w:val="000F6A21"/>
    <w:rsid w:val="000F6BA6"/>
    <w:rsid w:val="000F73C2"/>
    <w:rsid w:val="000F7447"/>
    <w:rsid w:val="000F7451"/>
    <w:rsid w:val="000F7C07"/>
    <w:rsid w:val="001002AE"/>
    <w:rsid w:val="00100C36"/>
    <w:rsid w:val="00101C27"/>
    <w:rsid w:val="0010345E"/>
    <w:rsid w:val="00104359"/>
    <w:rsid w:val="001046F7"/>
    <w:rsid w:val="00104986"/>
    <w:rsid w:val="00104CB5"/>
    <w:rsid w:val="0010566D"/>
    <w:rsid w:val="001056AD"/>
    <w:rsid w:val="00105937"/>
    <w:rsid w:val="00105B70"/>
    <w:rsid w:val="00105FFB"/>
    <w:rsid w:val="001070C3"/>
    <w:rsid w:val="001074EB"/>
    <w:rsid w:val="001079C3"/>
    <w:rsid w:val="001106E6"/>
    <w:rsid w:val="00110892"/>
    <w:rsid w:val="0011142E"/>
    <w:rsid w:val="0011172E"/>
    <w:rsid w:val="00113167"/>
    <w:rsid w:val="00113DAD"/>
    <w:rsid w:val="001141EE"/>
    <w:rsid w:val="0011537F"/>
    <w:rsid w:val="00115FEC"/>
    <w:rsid w:val="001161BD"/>
    <w:rsid w:val="001167C8"/>
    <w:rsid w:val="001169C6"/>
    <w:rsid w:val="001172A5"/>
    <w:rsid w:val="00120914"/>
    <w:rsid w:val="001214D8"/>
    <w:rsid w:val="00121A37"/>
    <w:rsid w:val="00121F8E"/>
    <w:rsid w:val="0012209A"/>
    <w:rsid w:val="00123658"/>
    <w:rsid w:val="001246D4"/>
    <w:rsid w:val="00124A25"/>
    <w:rsid w:val="0012533D"/>
    <w:rsid w:val="00126321"/>
    <w:rsid w:val="001274A2"/>
    <w:rsid w:val="00127BA0"/>
    <w:rsid w:val="00127CB8"/>
    <w:rsid w:val="001303AE"/>
    <w:rsid w:val="0013043A"/>
    <w:rsid w:val="00130A0A"/>
    <w:rsid w:val="0013181C"/>
    <w:rsid w:val="00131DF6"/>
    <w:rsid w:val="00131FE1"/>
    <w:rsid w:val="00132262"/>
    <w:rsid w:val="001341DD"/>
    <w:rsid w:val="00135F6F"/>
    <w:rsid w:val="001360EE"/>
    <w:rsid w:val="001368AD"/>
    <w:rsid w:val="00136C90"/>
    <w:rsid w:val="00136E61"/>
    <w:rsid w:val="00137B5A"/>
    <w:rsid w:val="00137F09"/>
    <w:rsid w:val="001402EE"/>
    <w:rsid w:val="00140638"/>
    <w:rsid w:val="0014092F"/>
    <w:rsid w:val="00140EE7"/>
    <w:rsid w:val="00141C66"/>
    <w:rsid w:val="00141CEB"/>
    <w:rsid w:val="00141D23"/>
    <w:rsid w:val="001423A9"/>
    <w:rsid w:val="001441B4"/>
    <w:rsid w:val="00144589"/>
    <w:rsid w:val="0014584A"/>
    <w:rsid w:val="00145A27"/>
    <w:rsid w:val="0015014C"/>
    <w:rsid w:val="00150348"/>
    <w:rsid w:val="00151A12"/>
    <w:rsid w:val="00151E77"/>
    <w:rsid w:val="0015202D"/>
    <w:rsid w:val="001520B9"/>
    <w:rsid w:val="00152FF8"/>
    <w:rsid w:val="001530CC"/>
    <w:rsid w:val="001534B3"/>
    <w:rsid w:val="00154A88"/>
    <w:rsid w:val="00154DE9"/>
    <w:rsid w:val="001553B8"/>
    <w:rsid w:val="0015576B"/>
    <w:rsid w:val="001559C6"/>
    <w:rsid w:val="0015638B"/>
    <w:rsid w:val="00160445"/>
    <w:rsid w:val="0016118A"/>
    <w:rsid w:val="0016136B"/>
    <w:rsid w:val="0016143D"/>
    <w:rsid w:val="00161DD9"/>
    <w:rsid w:val="00164225"/>
    <w:rsid w:val="00164783"/>
    <w:rsid w:val="001648DD"/>
    <w:rsid w:val="00164BAE"/>
    <w:rsid w:val="00165262"/>
    <w:rsid w:val="00165C48"/>
    <w:rsid w:val="00170457"/>
    <w:rsid w:val="0017086D"/>
    <w:rsid w:val="00170B80"/>
    <w:rsid w:val="00171D04"/>
    <w:rsid w:val="00172722"/>
    <w:rsid w:val="001738F0"/>
    <w:rsid w:val="0017529A"/>
    <w:rsid w:val="0017551B"/>
    <w:rsid w:val="0017598D"/>
    <w:rsid w:val="00176FD4"/>
    <w:rsid w:val="00177626"/>
    <w:rsid w:val="00177D7B"/>
    <w:rsid w:val="00177DF4"/>
    <w:rsid w:val="00181E4A"/>
    <w:rsid w:val="00182F4F"/>
    <w:rsid w:val="00182F56"/>
    <w:rsid w:val="00183148"/>
    <w:rsid w:val="00183984"/>
    <w:rsid w:val="00183EF1"/>
    <w:rsid w:val="00184025"/>
    <w:rsid w:val="00184C72"/>
    <w:rsid w:val="00184D4B"/>
    <w:rsid w:val="00185DC2"/>
    <w:rsid w:val="0018743B"/>
    <w:rsid w:val="00190399"/>
    <w:rsid w:val="0019042C"/>
    <w:rsid w:val="00190E2E"/>
    <w:rsid w:val="00192820"/>
    <w:rsid w:val="00192EB6"/>
    <w:rsid w:val="00193E79"/>
    <w:rsid w:val="00194598"/>
    <w:rsid w:val="00194F53"/>
    <w:rsid w:val="00195489"/>
    <w:rsid w:val="00195DD4"/>
    <w:rsid w:val="0019623F"/>
    <w:rsid w:val="00196711"/>
    <w:rsid w:val="001978FA"/>
    <w:rsid w:val="001979D7"/>
    <w:rsid w:val="001A008B"/>
    <w:rsid w:val="001A0B0D"/>
    <w:rsid w:val="001A0D91"/>
    <w:rsid w:val="001A0DA5"/>
    <w:rsid w:val="001A0F91"/>
    <w:rsid w:val="001A15E1"/>
    <w:rsid w:val="001A26AC"/>
    <w:rsid w:val="001A2EEB"/>
    <w:rsid w:val="001A4505"/>
    <w:rsid w:val="001A45B3"/>
    <w:rsid w:val="001A4E3A"/>
    <w:rsid w:val="001A4F75"/>
    <w:rsid w:val="001A5865"/>
    <w:rsid w:val="001A5A07"/>
    <w:rsid w:val="001A5B5A"/>
    <w:rsid w:val="001A6150"/>
    <w:rsid w:val="001B0E82"/>
    <w:rsid w:val="001B1149"/>
    <w:rsid w:val="001B18E3"/>
    <w:rsid w:val="001B234F"/>
    <w:rsid w:val="001B2872"/>
    <w:rsid w:val="001B32D7"/>
    <w:rsid w:val="001B3825"/>
    <w:rsid w:val="001B3AB8"/>
    <w:rsid w:val="001B4674"/>
    <w:rsid w:val="001B4EDA"/>
    <w:rsid w:val="001B6584"/>
    <w:rsid w:val="001B699A"/>
    <w:rsid w:val="001B6FD9"/>
    <w:rsid w:val="001B7A34"/>
    <w:rsid w:val="001B7D5C"/>
    <w:rsid w:val="001C142B"/>
    <w:rsid w:val="001C159C"/>
    <w:rsid w:val="001C1B85"/>
    <w:rsid w:val="001C24E1"/>
    <w:rsid w:val="001C2B3C"/>
    <w:rsid w:val="001C3018"/>
    <w:rsid w:val="001C595A"/>
    <w:rsid w:val="001C6C62"/>
    <w:rsid w:val="001C6DC0"/>
    <w:rsid w:val="001C70C0"/>
    <w:rsid w:val="001C7795"/>
    <w:rsid w:val="001C7D36"/>
    <w:rsid w:val="001D0D30"/>
    <w:rsid w:val="001D0F25"/>
    <w:rsid w:val="001D13DC"/>
    <w:rsid w:val="001D1E9A"/>
    <w:rsid w:val="001D1F6A"/>
    <w:rsid w:val="001D2B76"/>
    <w:rsid w:val="001D2EFE"/>
    <w:rsid w:val="001D34C9"/>
    <w:rsid w:val="001D3A7F"/>
    <w:rsid w:val="001D3EC0"/>
    <w:rsid w:val="001D400E"/>
    <w:rsid w:val="001D40F8"/>
    <w:rsid w:val="001D465F"/>
    <w:rsid w:val="001D4D73"/>
    <w:rsid w:val="001D4FF0"/>
    <w:rsid w:val="001D51B5"/>
    <w:rsid w:val="001D5293"/>
    <w:rsid w:val="001D595E"/>
    <w:rsid w:val="001D59D1"/>
    <w:rsid w:val="001D6228"/>
    <w:rsid w:val="001D6A87"/>
    <w:rsid w:val="001D6D48"/>
    <w:rsid w:val="001D7596"/>
    <w:rsid w:val="001E072E"/>
    <w:rsid w:val="001E09F2"/>
    <w:rsid w:val="001E21C4"/>
    <w:rsid w:val="001E2A0C"/>
    <w:rsid w:val="001E3FA3"/>
    <w:rsid w:val="001E401B"/>
    <w:rsid w:val="001E41F9"/>
    <w:rsid w:val="001E4BC1"/>
    <w:rsid w:val="001E4CD5"/>
    <w:rsid w:val="001E4E62"/>
    <w:rsid w:val="001E55A3"/>
    <w:rsid w:val="001E69DC"/>
    <w:rsid w:val="001E6B56"/>
    <w:rsid w:val="001E761B"/>
    <w:rsid w:val="001E7ACE"/>
    <w:rsid w:val="001F13DD"/>
    <w:rsid w:val="001F191D"/>
    <w:rsid w:val="001F1D46"/>
    <w:rsid w:val="001F1E06"/>
    <w:rsid w:val="001F3B34"/>
    <w:rsid w:val="001F3E75"/>
    <w:rsid w:val="001F4ED9"/>
    <w:rsid w:val="001F4F24"/>
    <w:rsid w:val="001F5DA8"/>
    <w:rsid w:val="001F6075"/>
    <w:rsid w:val="001F6AF1"/>
    <w:rsid w:val="001F6F2B"/>
    <w:rsid w:val="001F78C3"/>
    <w:rsid w:val="001F7BDA"/>
    <w:rsid w:val="002010A6"/>
    <w:rsid w:val="00201B85"/>
    <w:rsid w:val="00201EB2"/>
    <w:rsid w:val="00204498"/>
    <w:rsid w:val="002045D6"/>
    <w:rsid w:val="00205226"/>
    <w:rsid w:val="002052DC"/>
    <w:rsid w:val="0020580A"/>
    <w:rsid w:val="00205DBD"/>
    <w:rsid w:val="00205EC0"/>
    <w:rsid w:val="00206791"/>
    <w:rsid w:val="00210710"/>
    <w:rsid w:val="00211697"/>
    <w:rsid w:val="00211CE4"/>
    <w:rsid w:val="00212F10"/>
    <w:rsid w:val="00215DC2"/>
    <w:rsid w:val="00216031"/>
    <w:rsid w:val="002169EB"/>
    <w:rsid w:val="00217943"/>
    <w:rsid w:val="0022058E"/>
    <w:rsid w:val="00222536"/>
    <w:rsid w:val="00222A4D"/>
    <w:rsid w:val="00222D78"/>
    <w:rsid w:val="002233DE"/>
    <w:rsid w:val="002251C7"/>
    <w:rsid w:val="00225FC8"/>
    <w:rsid w:val="00225FDC"/>
    <w:rsid w:val="0022640F"/>
    <w:rsid w:val="00227DC8"/>
    <w:rsid w:val="00230054"/>
    <w:rsid w:val="0023068A"/>
    <w:rsid w:val="0023146D"/>
    <w:rsid w:val="00232406"/>
    <w:rsid w:val="00234D81"/>
    <w:rsid w:val="00235EB5"/>
    <w:rsid w:val="00236259"/>
    <w:rsid w:val="00236E2A"/>
    <w:rsid w:val="00237322"/>
    <w:rsid w:val="002405EE"/>
    <w:rsid w:val="00241128"/>
    <w:rsid w:val="002416A3"/>
    <w:rsid w:val="002428F2"/>
    <w:rsid w:val="00242E0C"/>
    <w:rsid w:val="00242EAA"/>
    <w:rsid w:val="00242FB6"/>
    <w:rsid w:val="00243559"/>
    <w:rsid w:val="002438D8"/>
    <w:rsid w:val="00243D20"/>
    <w:rsid w:val="0024520A"/>
    <w:rsid w:val="00246080"/>
    <w:rsid w:val="00246688"/>
    <w:rsid w:val="002467BF"/>
    <w:rsid w:val="00247887"/>
    <w:rsid w:val="00247BCD"/>
    <w:rsid w:val="00251378"/>
    <w:rsid w:val="0025145F"/>
    <w:rsid w:val="00251BED"/>
    <w:rsid w:val="00252049"/>
    <w:rsid w:val="002521A6"/>
    <w:rsid w:val="002521E3"/>
    <w:rsid w:val="002534E5"/>
    <w:rsid w:val="0025414F"/>
    <w:rsid w:val="00254277"/>
    <w:rsid w:val="0025462D"/>
    <w:rsid w:val="00254A66"/>
    <w:rsid w:val="002552BA"/>
    <w:rsid w:val="002554AA"/>
    <w:rsid w:val="00256912"/>
    <w:rsid w:val="0025757D"/>
    <w:rsid w:val="00257A31"/>
    <w:rsid w:val="002603DF"/>
    <w:rsid w:val="0026082E"/>
    <w:rsid w:val="00263E56"/>
    <w:rsid w:val="0026489F"/>
    <w:rsid w:val="002648DC"/>
    <w:rsid w:val="00264B59"/>
    <w:rsid w:val="00264D10"/>
    <w:rsid w:val="0026578A"/>
    <w:rsid w:val="00266E0E"/>
    <w:rsid w:val="00266F5D"/>
    <w:rsid w:val="0026703B"/>
    <w:rsid w:val="00267A36"/>
    <w:rsid w:val="00267E32"/>
    <w:rsid w:val="00270919"/>
    <w:rsid w:val="00270AA2"/>
    <w:rsid w:val="002711C4"/>
    <w:rsid w:val="00272B7D"/>
    <w:rsid w:val="00272CCF"/>
    <w:rsid w:val="00272E62"/>
    <w:rsid w:val="00273D3A"/>
    <w:rsid w:val="00273E42"/>
    <w:rsid w:val="00273FFA"/>
    <w:rsid w:val="00274429"/>
    <w:rsid w:val="00274AD1"/>
    <w:rsid w:val="00274D3E"/>
    <w:rsid w:val="00275A77"/>
    <w:rsid w:val="00275B2B"/>
    <w:rsid w:val="00275C42"/>
    <w:rsid w:val="0027624F"/>
    <w:rsid w:val="002768B5"/>
    <w:rsid w:val="00276A69"/>
    <w:rsid w:val="00276A8A"/>
    <w:rsid w:val="00277062"/>
    <w:rsid w:val="00277366"/>
    <w:rsid w:val="002773D4"/>
    <w:rsid w:val="0027761B"/>
    <w:rsid w:val="00277CD9"/>
    <w:rsid w:val="00280A22"/>
    <w:rsid w:val="00281D30"/>
    <w:rsid w:val="00283DC3"/>
    <w:rsid w:val="00283EB1"/>
    <w:rsid w:val="00284A7B"/>
    <w:rsid w:val="00284C46"/>
    <w:rsid w:val="00284D7D"/>
    <w:rsid w:val="00284DC3"/>
    <w:rsid w:val="00284E67"/>
    <w:rsid w:val="00286E1E"/>
    <w:rsid w:val="00287870"/>
    <w:rsid w:val="00290EA6"/>
    <w:rsid w:val="00292313"/>
    <w:rsid w:val="002926F6"/>
    <w:rsid w:val="00293225"/>
    <w:rsid w:val="00297B7F"/>
    <w:rsid w:val="002A0BF6"/>
    <w:rsid w:val="002A0DDC"/>
    <w:rsid w:val="002A0E7D"/>
    <w:rsid w:val="002A0E9A"/>
    <w:rsid w:val="002A109F"/>
    <w:rsid w:val="002A219E"/>
    <w:rsid w:val="002A2F76"/>
    <w:rsid w:val="002A38DA"/>
    <w:rsid w:val="002A3D30"/>
    <w:rsid w:val="002A460B"/>
    <w:rsid w:val="002A5C39"/>
    <w:rsid w:val="002A5CE4"/>
    <w:rsid w:val="002A67B2"/>
    <w:rsid w:val="002A755C"/>
    <w:rsid w:val="002A788B"/>
    <w:rsid w:val="002B011E"/>
    <w:rsid w:val="002B136D"/>
    <w:rsid w:val="002B1C67"/>
    <w:rsid w:val="002B343B"/>
    <w:rsid w:val="002B3540"/>
    <w:rsid w:val="002B3703"/>
    <w:rsid w:val="002B38C1"/>
    <w:rsid w:val="002B3F90"/>
    <w:rsid w:val="002B4AEF"/>
    <w:rsid w:val="002B4EC7"/>
    <w:rsid w:val="002B5D13"/>
    <w:rsid w:val="002B6730"/>
    <w:rsid w:val="002B6971"/>
    <w:rsid w:val="002B6C58"/>
    <w:rsid w:val="002B7362"/>
    <w:rsid w:val="002B76BD"/>
    <w:rsid w:val="002C1ED3"/>
    <w:rsid w:val="002C3BC3"/>
    <w:rsid w:val="002C412A"/>
    <w:rsid w:val="002C4280"/>
    <w:rsid w:val="002C5188"/>
    <w:rsid w:val="002C5726"/>
    <w:rsid w:val="002C6FAF"/>
    <w:rsid w:val="002C7127"/>
    <w:rsid w:val="002C7173"/>
    <w:rsid w:val="002C7238"/>
    <w:rsid w:val="002C7241"/>
    <w:rsid w:val="002D0018"/>
    <w:rsid w:val="002D0678"/>
    <w:rsid w:val="002D0C54"/>
    <w:rsid w:val="002D1540"/>
    <w:rsid w:val="002D2111"/>
    <w:rsid w:val="002D2ACF"/>
    <w:rsid w:val="002D2CDB"/>
    <w:rsid w:val="002D319C"/>
    <w:rsid w:val="002D3F22"/>
    <w:rsid w:val="002D5663"/>
    <w:rsid w:val="002D58C9"/>
    <w:rsid w:val="002D5DF9"/>
    <w:rsid w:val="002D697F"/>
    <w:rsid w:val="002D6C70"/>
    <w:rsid w:val="002D74A1"/>
    <w:rsid w:val="002D74D9"/>
    <w:rsid w:val="002D756F"/>
    <w:rsid w:val="002D762A"/>
    <w:rsid w:val="002E0833"/>
    <w:rsid w:val="002E1B74"/>
    <w:rsid w:val="002E28CE"/>
    <w:rsid w:val="002E2B35"/>
    <w:rsid w:val="002E2C7B"/>
    <w:rsid w:val="002E2F32"/>
    <w:rsid w:val="002E3476"/>
    <w:rsid w:val="002E3A56"/>
    <w:rsid w:val="002E3D3F"/>
    <w:rsid w:val="002E4225"/>
    <w:rsid w:val="002E4F34"/>
    <w:rsid w:val="002E5135"/>
    <w:rsid w:val="002E6872"/>
    <w:rsid w:val="002E6B3D"/>
    <w:rsid w:val="002F273A"/>
    <w:rsid w:val="002F280A"/>
    <w:rsid w:val="002F28C5"/>
    <w:rsid w:val="002F3692"/>
    <w:rsid w:val="002F36E0"/>
    <w:rsid w:val="002F3B6B"/>
    <w:rsid w:val="002F4118"/>
    <w:rsid w:val="002F4FC3"/>
    <w:rsid w:val="002F5484"/>
    <w:rsid w:val="002F5553"/>
    <w:rsid w:val="002F5A41"/>
    <w:rsid w:val="002F60D8"/>
    <w:rsid w:val="002F7FD1"/>
    <w:rsid w:val="0030188A"/>
    <w:rsid w:val="0030188F"/>
    <w:rsid w:val="00302291"/>
    <w:rsid w:val="0030362C"/>
    <w:rsid w:val="00304564"/>
    <w:rsid w:val="00305864"/>
    <w:rsid w:val="00306DAD"/>
    <w:rsid w:val="00306EAA"/>
    <w:rsid w:val="00307221"/>
    <w:rsid w:val="00307B55"/>
    <w:rsid w:val="0031250E"/>
    <w:rsid w:val="00313557"/>
    <w:rsid w:val="0031365F"/>
    <w:rsid w:val="003140FA"/>
    <w:rsid w:val="00314378"/>
    <w:rsid w:val="003146D7"/>
    <w:rsid w:val="00314AE6"/>
    <w:rsid w:val="00315C6F"/>
    <w:rsid w:val="00315D94"/>
    <w:rsid w:val="00316742"/>
    <w:rsid w:val="00316AD4"/>
    <w:rsid w:val="00321490"/>
    <w:rsid w:val="00321787"/>
    <w:rsid w:val="00321974"/>
    <w:rsid w:val="003226D6"/>
    <w:rsid w:val="00323054"/>
    <w:rsid w:val="00324847"/>
    <w:rsid w:val="00324A2E"/>
    <w:rsid w:val="00324BA8"/>
    <w:rsid w:val="003256A4"/>
    <w:rsid w:val="00325BB4"/>
    <w:rsid w:val="003263CE"/>
    <w:rsid w:val="00326FD3"/>
    <w:rsid w:val="00327303"/>
    <w:rsid w:val="00327722"/>
    <w:rsid w:val="00330426"/>
    <w:rsid w:val="00330494"/>
    <w:rsid w:val="00330A0F"/>
    <w:rsid w:val="00330E7A"/>
    <w:rsid w:val="00330F48"/>
    <w:rsid w:val="00331F69"/>
    <w:rsid w:val="003323B6"/>
    <w:rsid w:val="00332422"/>
    <w:rsid w:val="0033315D"/>
    <w:rsid w:val="00335A63"/>
    <w:rsid w:val="00335B36"/>
    <w:rsid w:val="00336046"/>
    <w:rsid w:val="00336246"/>
    <w:rsid w:val="00337A96"/>
    <w:rsid w:val="003404C9"/>
    <w:rsid w:val="00340AA1"/>
    <w:rsid w:val="003415CD"/>
    <w:rsid w:val="003419F0"/>
    <w:rsid w:val="00342407"/>
    <w:rsid w:val="00342DF9"/>
    <w:rsid w:val="00345041"/>
    <w:rsid w:val="00345F02"/>
    <w:rsid w:val="00346A76"/>
    <w:rsid w:val="00346EB5"/>
    <w:rsid w:val="003475C8"/>
    <w:rsid w:val="003475CD"/>
    <w:rsid w:val="00347628"/>
    <w:rsid w:val="00347E7C"/>
    <w:rsid w:val="00350375"/>
    <w:rsid w:val="00350874"/>
    <w:rsid w:val="00350B36"/>
    <w:rsid w:val="00351EAD"/>
    <w:rsid w:val="00351EC0"/>
    <w:rsid w:val="0035230C"/>
    <w:rsid w:val="00352707"/>
    <w:rsid w:val="003532A6"/>
    <w:rsid w:val="003532F5"/>
    <w:rsid w:val="00353633"/>
    <w:rsid w:val="0035515B"/>
    <w:rsid w:val="0035655C"/>
    <w:rsid w:val="00362285"/>
    <w:rsid w:val="003623BE"/>
    <w:rsid w:val="00363592"/>
    <w:rsid w:val="00363734"/>
    <w:rsid w:val="00364056"/>
    <w:rsid w:val="003668D3"/>
    <w:rsid w:val="003669CC"/>
    <w:rsid w:val="00366CD8"/>
    <w:rsid w:val="003674C7"/>
    <w:rsid w:val="00370546"/>
    <w:rsid w:val="00371AC2"/>
    <w:rsid w:val="00371ADB"/>
    <w:rsid w:val="00371F58"/>
    <w:rsid w:val="003738B9"/>
    <w:rsid w:val="003747BF"/>
    <w:rsid w:val="00374C44"/>
    <w:rsid w:val="00374D33"/>
    <w:rsid w:val="00374DD5"/>
    <w:rsid w:val="003756DB"/>
    <w:rsid w:val="003765DF"/>
    <w:rsid w:val="00376970"/>
    <w:rsid w:val="00377259"/>
    <w:rsid w:val="00377506"/>
    <w:rsid w:val="003778BB"/>
    <w:rsid w:val="0038021E"/>
    <w:rsid w:val="003802A3"/>
    <w:rsid w:val="00380CB9"/>
    <w:rsid w:val="0038116A"/>
    <w:rsid w:val="003815DE"/>
    <w:rsid w:val="00381AD3"/>
    <w:rsid w:val="00382233"/>
    <w:rsid w:val="003823B8"/>
    <w:rsid w:val="003833B9"/>
    <w:rsid w:val="003841AD"/>
    <w:rsid w:val="00384A0F"/>
    <w:rsid w:val="0038527A"/>
    <w:rsid w:val="00385385"/>
    <w:rsid w:val="00385C33"/>
    <w:rsid w:val="00386231"/>
    <w:rsid w:val="003876F5"/>
    <w:rsid w:val="00387779"/>
    <w:rsid w:val="003879AE"/>
    <w:rsid w:val="00387AE7"/>
    <w:rsid w:val="00390FC2"/>
    <w:rsid w:val="0039161D"/>
    <w:rsid w:val="003918B9"/>
    <w:rsid w:val="0039234C"/>
    <w:rsid w:val="0039268B"/>
    <w:rsid w:val="00394555"/>
    <w:rsid w:val="003951EF"/>
    <w:rsid w:val="00396088"/>
    <w:rsid w:val="0039738A"/>
    <w:rsid w:val="00397C00"/>
    <w:rsid w:val="003A03F9"/>
    <w:rsid w:val="003A1020"/>
    <w:rsid w:val="003A18C4"/>
    <w:rsid w:val="003A2156"/>
    <w:rsid w:val="003A29AC"/>
    <w:rsid w:val="003A4DFE"/>
    <w:rsid w:val="003A4EAB"/>
    <w:rsid w:val="003A520D"/>
    <w:rsid w:val="003A5DDB"/>
    <w:rsid w:val="003A5EB9"/>
    <w:rsid w:val="003A7179"/>
    <w:rsid w:val="003A72B6"/>
    <w:rsid w:val="003A757B"/>
    <w:rsid w:val="003A7E5C"/>
    <w:rsid w:val="003B07E2"/>
    <w:rsid w:val="003B12CE"/>
    <w:rsid w:val="003B1482"/>
    <w:rsid w:val="003B26DB"/>
    <w:rsid w:val="003B3B63"/>
    <w:rsid w:val="003B4162"/>
    <w:rsid w:val="003B449D"/>
    <w:rsid w:val="003B4A49"/>
    <w:rsid w:val="003B4D59"/>
    <w:rsid w:val="003B53EF"/>
    <w:rsid w:val="003B5618"/>
    <w:rsid w:val="003B5BA9"/>
    <w:rsid w:val="003B5E80"/>
    <w:rsid w:val="003B73C3"/>
    <w:rsid w:val="003B7C27"/>
    <w:rsid w:val="003C11C8"/>
    <w:rsid w:val="003C1A05"/>
    <w:rsid w:val="003C1CEB"/>
    <w:rsid w:val="003C2435"/>
    <w:rsid w:val="003C2C95"/>
    <w:rsid w:val="003C2D08"/>
    <w:rsid w:val="003C2DA7"/>
    <w:rsid w:val="003C2FEB"/>
    <w:rsid w:val="003C377F"/>
    <w:rsid w:val="003C3924"/>
    <w:rsid w:val="003C3FC1"/>
    <w:rsid w:val="003C4115"/>
    <w:rsid w:val="003C48B9"/>
    <w:rsid w:val="003C56FA"/>
    <w:rsid w:val="003C65E2"/>
    <w:rsid w:val="003C77ED"/>
    <w:rsid w:val="003C7A93"/>
    <w:rsid w:val="003C7DF5"/>
    <w:rsid w:val="003D03F8"/>
    <w:rsid w:val="003D05AF"/>
    <w:rsid w:val="003D0736"/>
    <w:rsid w:val="003D08BB"/>
    <w:rsid w:val="003D0945"/>
    <w:rsid w:val="003D09C9"/>
    <w:rsid w:val="003D0A3A"/>
    <w:rsid w:val="003D1C75"/>
    <w:rsid w:val="003D1D69"/>
    <w:rsid w:val="003D2947"/>
    <w:rsid w:val="003D4EED"/>
    <w:rsid w:val="003D73AC"/>
    <w:rsid w:val="003E1120"/>
    <w:rsid w:val="003E125E"/>
    <w:rsid w:val="003E14F7"/>
    <w:rsid w:val="003E1636"/>
    <w:rsid w:val="003E2885"/>
    <w:rsid w:val="003E2BDA"/>
    <w:rsid w:val="003E319D"/>
    <w:rsid w:val="003E3A99"/>
    <w:rsid w:val="003E5086"/>
    <w:rsid w:val="003E5127"/>
    <w:rsid w:val="003E512C"/>
    <w:rsid w:val="003E6295"/>
    <w:rsid w:val="003E734C"/>
    <w:rsid w:val="003E735F"/>
    <w:rsid w:val="003F17D9"/>
    <w:rsid w:val="003F21EB"/>
    <w:rsid w:val="003F3C2E"/>
    <w:rsid w:val="003F4FB2"/>
    <w:rsid w:val="003F5CCD"/>
    <w:rsid w:val="003F64FC"/>
    <w:rsid w:val="003F6691"/>
    <w:rsid w:val="00400224"/>
    <w:rsid w:val="00400849"/>
    <w:rsid w:val="0040111C"/>
    <w:rsid w:val="00401C2B"/>
    <w:rsid w:val="00403583"/>
    <w:rsid w:val="00403906"/>
    <w:rsid w:val="00403ABE"/>
    <w:rsid w:val="0040415C"/>
    <w:rsid w:val="0040502E"/>
    <w:rsid w:val="0040535C"/>
    <w:rsid w:val="00405B52"/>
    <w:rsid w:val="00405C7B"/>
    <w:rsid w:val="004069A6"/>
    <w:rsid w:val="00406A0C"/>
    <w:rsid w:val="004074AA"/>
    <w:rsid w:val="00407770"/>
    <w:rsid w:val="00407E12"/>
    <w:rsid w:val="00410D9F"/>
    <w:rsid w:val="004114DC"/>
    <w:rsid w:val="00411AAA"/>
    <w:rsid w:val="004123FE"/>
    <w:rsid w:val="004129A2"/>
    <w:rsid w:val="00413349"/>
    <w:rsid w:val="0041485B"/>
    <w:rsid w:val="00414F12"/>
    <w:rsid w:val="0041522D"/>
    <w:rsid w:val="004153A2"/>
    <w:rsid w:val="004164FB"/>
    <w:rsid w:val="0041661A"/>
    <w:rsid w:val="0041665E"/>
    <w:rsid w:val="00416752"/>
    <w:rsid w:val="00416CE9"/>
    <w:rsid w:val="004177EC"/>
    <w:rsid w:val="00417B4C"/>
    <w:rsid w:val="004203D3"/>
    <w:rsid w:val="00420A41"/>
    <w:rsid w:val="00420E2D"/>
    <w:rsid w:val="00421C59"/>
    <w:rsid w:val="00422DBA"/>
    <w:rsid w:val="004236A5"/>
    <w:rsid w:val="004240BF"/>
    <w:rsid w:val="00425F86"/>
    <w:rsid w:val="0042681B"/>
    <w:rsid w:val="00427664"/>
    <w:rsid w:val="00430231"/>
    <w:rsid w:val="004322B0"/>
    <w:rsid w:val="0043250A"/>
    <w:rsid w:val="00432AB2"/>
    <w:rsid w:val="004335EF"/>
    <w:rsid w:val="00433882"/>
    <w:rsid w:val="00433AB1"/>
    <w:rsid w:val="00434892"/>
    <w:rsid w:val="0043588F"/>
    <w:rsid w:val="00435D74"/>
    <w:rsid w:val="00436653"/>
    <w:rsid w:val="0043667E"/>
    <w:rsid w:val="00436A9D"/>
    <w:rsid w:val="00436BF7"/>
    <w:rsid w:val="00437624"/>
    <w:rsid w:val="00437B65"/>
    <w:rsid w:val="00440A32"/>
    <w:rsid w:val="004415E3"/>
    <w:rsid w:val="00442078"/>
    <w:rsid w:val="00443145"/>
    <w:rsid w:val="00443AC3"/>
    <w:rsid w:val="00443DA3"/>
    <w:rsid w:val="004447F1"/>
    <w:rsid w:val="00444833"/>
    <w:rsid w:val="00444FA1"/>
    <w:rsid w:val="00445840"/>
    <w:rsid w:val="0044596A"/>
    <w:rsid w:val="00446048"/>
    <w:rsid w:val="004474C2"/>
    <w:rsid w:val="00447774"/>
    <w:rsid w:val="00447BAC"/>
    <w:rsid w:val="00450FD0"/>
    <w:rsid w:val="004510AE"/>
    <w:rsid w:val="004525A0"/>
    <w:rsid w:val="00452FF8"/>
    <w:rsid w:val="004531B7"/>
    <w:rsid w:val="00453A27"/>
    <w:rsid w:val="00453DE1"/>
    <w:rsid w:val="00454563"/>
    <w:rsid w:val="0045698F"/>
    <w:rsid w:val="00460077"/>
    <w:rsid w:val="0046092F"/>
    <w:rsid w:val="004609CB"/>
    <w:rsid w:val="00460F29"/>
    <w:rsid w:val="00461ADC"/>
    <w:rsid w:val="004620BF"/>
    <w:rsid w:val="004632DC"/>
    <w:rsid w:val="004633FA"/>
    <w:rsid w:val="00463B40"/>
    <w:rsid w:val="00464D70"/>
    <w:rsid w:val="004655EA"/>
    <w:rsid w:val="004675C4"/>
    <w:rsid w:val="00467DC4"/>
    <w:rsid w:val="00470970"/>
    <w:rsid w:val="00470A5E"/>
    <w:rsid w:val="004713EF"/>
    <w:rsid w:val="0047203F"/>
    <w:rsid w:val="0047207B"/>
    <w:rsid w:val="004725D8"/>
    <w:rsid w:val="0047284D"/>
    <w:rsid w:val="00472DF7"/>
    <w:rsid w:val="00474D3C"/>
    <w:rsid w:val="004758B3"/>
    <w:rsid w:val="00476D9E"/>
    <w:rsid w:val="00476EFE"/>
    <w:rsid w:val="00477A00"/>
    <w:rsid w:val="00477EE4"/>
    <w:rsid w:val="0048058E"/>
    <w:rsid w:val="00481062"/>
    <w:rsid w:val="004811D6"/>
    <w:rsid w:val="00481E92"/>
    <w:rsid w:val="00482761"/>
    <w:rsid w:val="004854ED"/>
    <w:rsid w:val="00485CB7"/>
    <w:rsid w:val="004860DF"/>
    <w:rsid w:val="00486228"/>
    <w:rsid w:val="00486898"/>
    <w:rsid w:val="00486F6A"/>
    <w:rsid w:val="0048727C"/>
    <w:rsid w:val="00487956"/>
    <w:rsid w:val="0049014D"/>
    <w:rsid w:val="00490CEE"/>
    <w:rsid w:val="004933A9"/>
    <w:rsid w:val="004941EE"/>
    <w:rsid w:val="00494201"/>
    <w:rsid w:val="00494BB5"/>
    <w:rsid w:val="00495AC6"/>
    <w:rsid w:val="00497513"/>
    <w:rsid w:val="00497F9E"/>
    <w:rsid w:val="004A0597"/>
    <w:rsid w:val="004A12C9"/>
    <w:rsid w:val="004A1FF4"/>
    <w:rsid w:val="004A3474"/>
    <w:rsid w:val="004A38C6"/>
    <w:rsid w:val="004A3DC3"/>
    <w:rsid w:val="004A4460"/>
    <w:rsid w:val="004A48FC"/>
    <w:rsid w:val="004A4D02"/>
    <w:rsid w:val="004A53A3"/>
    <w:rsid w:val="004A5586"/>
    <w:rsid w:val="004A5A3A"/>
    <w:rsid w:val="004A6964"/>
    <w:rsid w:val="004A6B47"/>
    <w:rsid w:val="004A79CC"/>
    <w:rsid w:val="004A7FBB"/>
    <w:rsid w:val="004B0541"/>
    <w:rsid w:val="004B0871"/>
    <w:rsid w:val="004B09E1"/>
    <w:rsid w:val="004B0E62"/>
    <w:rsid w:val="004B15BA"/>
    <w:rsid w:val="004B1CF4"/>
    <w:rsid w:val="004B1EF0"/>
    <w:rsid w:val="004B27F0"/>
    <w:rsid w:val="004B2E01"/>
    <w:rsid w:val="004B423A"/>
    <w:rsid w:val="004B485C"/>
    <w:rsid w:val="004B4CDB"/>
    <w:rsid w:val="004B61AD"/>
    <w:rsid w:val="004B6450"/>
    <w:rsid w:val="004B6B18"/>
    <w:rsid w:val="004B711E"/>
    <w:rsid w:val="004B7307"/>
    <w:rsid w:val="004B7B18"/>
    <w:rsid w:val="004C0720"/>
    <w:rsid w:val="004C203C"/>
    <w:rsid w:val="004C2C5B"/>
    <w:rsid w:val="004C3954"/>
    <w:rsid w:val="004C3AED"/>
    <w:rsid w:val="004C4060"/>
    <w:rsid w:val="004C41AA"/>
    <w:rsid w:val="004C52BD"/>
    <w:rsid w:val="004C5ADE"/>
    <w:rsid w:val="004C6371"/>
    <w:rsid w:val="004C6570"/>
    <w:rsid w:val="004C65FF"/>
    <w:rsid w:val="004C699C"/>
    <w:rsid w:val="004C6DB0"/>
    <w:rsid w:val="004D0295"/>
    <w:rsid w:val="004D0A48"/>
    <w:rsid w:val="004D19B3"/>
    <w:rsid w:val="004D19E5"/>
    <w:rsid w:val="004D1EBE"/>
    <w:rsid w:val="004D2535"/>
    <w:rsid w:val="004D3D1A"/>
    <w:rsid w:val="004D3DF9"/>
    <w:rsid w:val="004D4D68"/>
    <w:rsid w:val="004D67D5"/>
    <w:rsid w:val="004D689C"/>
    <w:rsid w:val="004D7C9D"/>
    <w:rsid w:val="004D7FA7"/>
    <w:rsid w:val="004E0C92"/>
    <w:rsid w:val="004E0D3F"/>
    <w:rsid w:val="004E19A3"/>
    <w:rsid w:val="004E1A5D"/>
    <w:rsid w:val="004E231A"/>
    <w:rsid w:val="004E2FE8"/>
    <w:rsid w:val="004E3ED3"/>
    <w:rsid w:val="004E5DDF"/>
    <w:rsid w:val="004E7F15"/>
    <w:rsid w:val="004F0F74"/>
    <w:rsid w:val="004F14DF"/>
    <w:rsid w:val="004F1B03"/>
    <w:rsid w:val="004F228D"/>
    <w:rsid w:val="004F46F7"/>
    <w:rsid w:val="004F48AF"/>
    <w:rsid w:val="004F6E3B"/>
    <w:rsid w:val="00500754"/>
    <w:rsid w:val="00501503"/>
    <w:rsid w:val="00501BE7"/>
    <w:rsid w:val="00502BFE"/>
    <w:rsid w:val="00502E36"/>
    <w:rsid w:val="005038A6"/>
    <w:rsid w:val="00504259"/>
    <w:rsid w:val="00504C21"/>
    <w:rsid w:val="0050547B"/>
    <w:rsid w:val="00506577"/>
    <w:rsid w:val="00507616"/>
    <w:rsid w:val="00507BFD"/>
    <w:rsid w:val="00510DB8"/>
    <w:rsid w:val="00510F96"/>
    <w:rsid w:val="00510FB8"/>
    <w:rsid w:val="005115EB"/>
    <w:rsid w:val="0051190B"/>
    <w:rsid w:val="00511F33"/>
    <w:rsid w:val="00512727"/>
    <w:rsid w:val="00512B5E"/>
    <w:rsid w:val="00512CDC"/>
    <w:rsid w:val="00512EF2"/>
    <w:rsid w:val="00513F64"/>
    <w:rsid w:val="005143BB"/>
    <w:rsid w:val="00514DB1"/>
    <w:rsid w:val="00515F7C"/>
    <w:rsid w:val="00515FAD"/>
    <w:rsid w:val="00516AC2"/>
    <w:rsid w:val="00520DC3"/>
    <w:rsid w:val="00520F6C"/>
    <w:rsid w:val="00521026"/>
    <w:rsid w:val="00521E87"/>
    <w:rsid w:val="005236B5"/>
    <w:rsid w:val="00525497"/>
    <w:rsid w:val="005259A0"/>
    <w:rsid w:val="00525BAC"/>
    <w:rsid w:val="00526058"/>
    <w:rsid w:val="00527682"/>
    <w:rsid w:val="00527ADB"/>
    <w:rsid w:val="00532285"/>
    <w:rsid w:val="0053463D"/>
    <w:rsid w:val="00534FB9"/>
    <w:rsid w:val="00535124"/>
    <w:rsid w:val="00535B59"/>
    <w:rsid w:val="00537706"/>
    <w:rsid w:val="00537F29"/>
    <w:rsid w:val="00540903"/>
    <w:rsid w:val="005421A3"/>
    <w:rsid w:val="00542EC7"/>
    <w:rsid w:val="00542F43"/>
    <w:rsid w:val="0054332F"/>
    <w:rsid w:val="005438FD"/>
    <w:rsid w:val="00543F03"/>
    <w:rsid w:val="00544916"/>
    <w:rsid w:val="00544C18"/>
    <w:rsid w:val="00544C23"/>
    <w:rsid w:val="00544D29"/>
    <w:rsid w:val="00546346"/>
    <w:rsid w:val="00546349"/>
    <w:rsid w:val="00546949"/>
    <w:rsid w:val="005469A2"/>
    <w:rsid w:val="005472CB"/>
    <w:rsid w:val="00547EE7"/>
    <w:rsid w:val="00550724"/>
    <w:rsid w:val="00551672"/>
    <w:rsid w:val="00551C87"/>
    <w:rsid w:val="0055233A"/>
    <w:rsid w:val="00554A9C"/>
    <w:rsid w:val="00555FAA"/>
    <w:rsid w:val="00556145"/>
    <w:rsid w:val="00556608"/>
    <w:rsid w:val="0055670C"/>
    <w:rsid w:val="00560312"/>
    <w:rsid w:val="00561A35"/>
    <w:rsid w:val="00561E16"/>
    <w:rsid w:val="00561EA2"/>
    <w:rsid w:val="0056203D"/>
    <w:rsid w:val="00562057"/>
    <w:rsid w:val="0056243A"/>
    <w:rsid w:val="00563E8A"/>
    <w:rsid w:val="00564D9A"/>
    <w:rsid w:val="00566DDC"/>
    <w:rsid w:val="00570ECE"/>
    <w:rsid w:val="005711C0"/>
    <w:rsid w:val="0057133C"/>
    <w:rsid w:val="00572120"/>
    <w:rsid w:val="0057220B"/>
    <w:rsid w:val="00573BCB"/>
    <w:rsid w:val="005747A3"/>
    <w:rsid w:val="00575A4F"/>
    <w:rsid w:val="00576598"/>
    <w:rsid w:val="00576637"/>
    <w:rsid w:val="00577893"/>
    <w:rsid w:val="005808DC"/>
    <w:rsid w:val="00581504"/>
    <w:rsid w:val="0058199E"/>
    <w:rsid w:val="00582019"/>
    <w:rsid w:val="0058263D"/>
    <w:rsid w:val="00582AD1"/>
    <w:rsid w:val="00582FDC"/>
    <w:rsid w:val="00584102"/>
    <w:rsid w:val="00584845"/>
    <w:rsid w:val="00584A36"/>
    <w:rsid w:val="005864A3"/>
    <w:rsid w:val="0059169B"/>
    <w:rsid w:val="00592942"/>
    <w:rsid w:val="005935F1"/>
    <w:rsid w:val="0059482C"/>
    <w:rsid w:val="00594B58"/>
    <w:rsid w:val="0059512E"/>
    <w:rsid w:val="005951A2"/>
    <w:rsid w:val="00595822"/>
    <w:rsid w:val="00596600"/>
    <w:rsid w:val="0059718C"/>
    <w:rsid w:val="00597216"/>
    <w:rsid w:val="005A0AF6"/>
    <w:rsid w:val="005A0D87"/>
    <w:rsid w:val="005A0F2C"/>
    <w:rsid w:val="005A2170"/>
    <w:rsid w:val="005A2836"/>
    <w:rsid w:val="005A283D"/>
    <w:rsid w:val="005A2A35"/>
    <w:rsid w:val="005A2B5E"/>
    <w:rsid w:val="005A360A"/>
    <w:rsid w:val="005A4C59"/>
    <w:rsid w:val="005A5010"/>
    <w:rsid w:val="005A52A1"/>
    <w:rsid w:val="005A5870"/>
    <w:rsid w:val="005A59FC"/>
    <w:rsid w:val="005A5AE2"/>
    <w:rsid w:val="005A5DF1"/>
    <w:rsid w:val="005A66C8"/>
    <w:rsid w:val="005A686D"/>
    <w:rsid w:val="005A715D"/>
    <w:rsid w:val="005A73F6"/>
    <w:rsid w:val="005A7951"/>
    <w:rsid w:val="005B0F1B"/>
    <w:rsid w:val="005B2699"/>
    <w:rsid w:val="005B2B8D"/>
    <w:rsid w:val="005B349E"/>
    <w:rsid w:val="005B39A9"/>
    <w:rsid w:val="005B3D97"/>
    <w:rsid w:val="005B5B43"/>
    <w:rsid w:val="005B7912"/>
    <w:rsid w:val="005C026C"/>
    <w:rsid w:val="005C062E"/>
    <w:rsid w:val="005C1997"/>
    <w:rsid w:val="005C1AF8"/>
    <w:rsid w:val="005C2216"/>
    <w:rsid w:val="005C2232"/>
    <w:rsid w:val="005C26A4"/>
    <w:rsid w:val="005C2EF6"/>
    <w:rsid w:val="005C323B"/>
    <w:rsid w:val="005C371D"/>
    <w:rsid w:val="005C4121"/>
    <w:rsid w:val="005C4E9B"/>
    <w:rsid w:val="005C50DD"/>
    <w:rsid w:val="005C5CBB"/>
    <w:rsid w:val="005C67D3"/>
    <w:rsid w:val="005C7462"/>
    <w:rsid w:val="005C79BB"/>
    <w:rsid w:val="005D0B76"/>
    <w:rsid w:val="005D0BA3"/>
    <w:rsid w:val="005D0F18"/>
    <w:rsid w:val="005D1910"/>
    <w:rsid w:val="005D1FE8"/>
    <w:rsid w:val="005D2909"/>
    <w:rsid w:val="005D31FB"/>
    <w:rsid w:val="005D34EF"/>
    <w:rsid w:val="005D37CD"/>
    <w:rsid w:val="005D3C2F"/>
    <w:rsid w:val="005D3F48"/>
    <w:rsid w:val="005D42F5"/>
    <w:rsid w:val="005D4A6A"/>
    <w:rsid w:val="005D4FC0"/>
    <w:rsid w:val="005D4FE0"/>
    <w:rsid w:val="005D6ABA"/>
    <w:rsid w:val="005D7378"/>
    <w:rsid w:val="005E0015"/>
    <w:rsid w:val="005E12E2"/>
    <w:rsid w:val="005E1C2D"/>
    <w:rsid w:val="005E2335"/>
    <w:rsid w:val="005E2360"/>
    <w:rsid w:val="005E3D04"/>
    <w:rsid w:val="005E5002"/>
    <w:rsid w:val="005E5E3C"/>
    <w:rsid w:val="005E6322"/>
    <w:rsid w:val="005E65DF"/>
    <w:rsid w:val="005E6C61"/>
    <w:rsid w:val="005F017B"/>
    <w:rsid w:val="005F06D7"/>
    <w:rsid w:val="005F088D"/>
    <w:rsid w:val="005F1260"/>
    <w:rsid w:val="005F1FB4"/>
    <w:rsid w:val="005F211F"/>
    <w:rsid w:val="005F29A5"/>
    <w:rsid w:val="005F6510"/>
    <w:rsid w:val="005F6851"/>
    <w:rsid w:val="005F6C5F"/>
    <w:rsid w:val="005F703D"/>
    <w:rsid w:val="005F74A9"/>
    <w:rsid w:val="0060114C"/>
    <w:rsid w:val="00601430"/>
    <w:rsid w:val="006015BE"/>
    <w:rsid w:val="00601CDC"/>
    <w:rsid w:val="00601D00"/>
    <w:rsid w:val="00601DEB"/>
    <w:rsid w:val="00602CEE"/>
    <w:rsid w:val="00604054"/>
    <w:rsid w:val="00604406"/>
    <w:rsid w:val="00604614"/>
    <w:rsid w:val="00605109"/>
    <w:rsid w:val="006051D4"/>
    <w:rsid w:val="00605B9D"/>
    <w:rsid w:val="006060AC"/>
    <w:rsid w:val="0060771C"/>
    <w:rsid w:val="00610EF5"/>
    <w:rsid w:val="00611006"/>
    <w:rsid w:val="006123B2"/>
    <w:rsid w:val="00612F89"/>
    <w:rsid w:val="00613148"/>
    <w:rsid w:val="00613772"/>
    <w:rsid w:val="0061430C"/>
    <w:rsid w:val="00614C1A"/>
    <w:rsid w:val="00614E7F"/>
    <w:rsid w:val="00615ECC"/>
    <w:rsid w:val="00616BE5"/>
    <w:rsid w:val="00617685"/>
    <w:rsid w:val="00617DED"/>
    <w:rsid w:val="00620691"/>
    <w:rsid w:val="00620BFE"/>
    <w:rsid w:val="006216C9"/>
    <w:rsid w:val="0062280A"/>
    <w:rsid w:val="00623049"/>
    <w:rsid w:val="006230B7"/>
    <w:rsid w:val="006239FB"/>
    <w:rsid w:val="00624E43"/>
    <w:rsid w:val="00625042"/>
    <w:rsid w:val="00625318"/>
    <w:rsid w:val="00625C31"/>
    <w:rsid w:val="00625C8B"/>
    <w:rsid w:val="00625EEA"/>
    <w:rsid w:val="00626E19"/>
    <w:rsid w:val="0062717F"/>
    <w:rsid w:val="00627919"/>
    <w:rsid w:val="00627C25"/>
    <w:rsid w:val="00630D75"/>
    <w:rsid w:val="00631096"/>
    <w:rsid w:val="006317DF"/>
    <w:rsid w:val="00631B0B"/>
    <w:rsid w:val="00631D18"/>
    <w:rsid w:val="00632360"/>
    <w:rsid w:val="006325FA"/>
    <w:rsid w:val="006331CE"/>
    <w:rsid w:val="006339DE"/>
    <w:rsid w:val="00633AE2"/>
    <w:rsid w:val="0063478F"/>
    <w:rsid w:val="00636A04"/>
    <w:rsid w:val="00637484"/>
    <w:rsid w:val="006375C0"/>
    <w:rsid w:val="006377CD"/>
    <w:rsid w:val="00637B20"/>
    <w:rsid w:val="00642508"/>
    <w:rsid w:val="00642C8F"/>
    <w:rsid w:val="006432B0"/>
    <w:rsid w:val="00643825"/>
    <w:rsid w:val="0064386A"/>
    <w:rsid w:val="0064496F"/>
    <w:rsid w:val="00644F28"/>
    <w:rsid w:val="00647072"/>
    <w:rsid w:val="00647D45"/>
    <w:rsid w:val="006510D5"/>
    <w:rsid w:val="006519B4"/>
    <w:rsid w:val="006535ED"/>
    <w:rsid w:val="00654274"/>
    <w:rsid w:val="00654EF6"/>
    <w:rsid w:val="006551D3"/>
    <w:rsid w:val="00655C1F"/>
    <w:rsid w:val="00655DF0"/>
    <w:rsid w:val="00656071"/>
    <w:rsid w:val="0065642C"/>
    <w:rsid w:val="00656804"/>
    <w:rsid w:val="00657485"/>
    <w:rsid w:val="00657829"/>
    <w:rsid w:val="006578AF"/>
    <w:rsid w:val="00660B91"/>
    <w:rsid w:val="006610AA"/>
    <w:rsid w:val="0066120E"/>
    <w:rsid w:val="006614F1"/>
    <w:rsid w:val="006629D2"/>
    <w:rsid w:val="00663BC0"/>
    <w:rsid w:val="006646E6"/>
    <w:rsid w:val="00664827"/>
    <w:rsid w:val="006652D9"/>
    <w:rsid w:val="00665A53"/>
    <w:rsid w:val="006670F5"/>
    <w:rsid w:val="006724DC"/>
    <w:rsid w:val="0067412C"/>
    <w:rsid w:val="00674A25"/>
    <w:rsid w:val="00675A06"/>
    <w:rsid w:val="006808EB"/>
    <w:rsid w:val="0068207C"/>
    <w:rsid w:val="0068250B"/>
    <w:rsid w:val="00682B83"/>
    <w:rsid w:val="0068313F"/>
    <w:rsid w:val="00683FD2"/>
    <w:rsid w:val="00684439"/>
    <w:rsid w:val="00686876"/>
    <w:rsid w:val="00686F27"/>
    <w:rsid w:val="006875D0"/>
    <w:rsid w:val="0068781D"/>
    <w:rsid w:val="00690541"/>
    <w:rsid w:val="0069064F"/>
    <w:rsid w:val="00690970"/>
    <w:rsid w:val="00691298"/>
    <w:rsid w:val="00691E65"/>
    <w:rsid w:val="00692940"/>
    <w:rsid w:val="006931DE"/>
    <w:rsid w:val="00694084"/>
    <w:rsid w:val="00694139"/>
    <w:rsid w:val="00694D56"/>
    <w:rsid w:val="00694E8E"/>
    <w:rsid w:val="0069565A"/>
    <w:rsid w:val="00696572"/>
    <w:rsid w:val="00697789"/>
    <w:rsid w:val="00697EBE"/>
    <w:rsid w:val="00697F6A"/>
    <w:rsid w:val="006A06B4"/>
    <w:rsid w:val="006A2344"/>
    <w:rsid w:val="006A27BD"/>
    <w:rsid w:val="006A3169"/>
    <w:rsid w:val="006A34A4"/>
    <w:rsid w:val="006A35ED"/>
    <w:rsid w:val="006A3711"/>
    <w:rsid w:val="006A3762"/>
    <w:rsid w:val="006A37A4"/>
    <w:rsid w:val="006A3C10"/>
    <w:rsid w:val="006A3FD3"/>
    <w:rsid w:val="006A479E"/>
    <w:rsid w:val="006A51F0"/>
    <w:rsid w:val="006A5A02"/>
    <w:rsid w:val="006A6923"/>
    <w:rsid w:val="006A7956"/>
    <w:rsid w:val="006A7A7C"/>
    <w:rsid w:val="006B0075"/>
    <w:rsid w:val="006B00AD"/>
    <w:rsid w:val="006B04A5"/>
    <w:rsid w:val="006B06DA"/>
    <w:rsid w:val="006B0E24"/>
    <w:rsid w:val="006B0E97"/>
    <w:rsid w:val="006B0EE9"/>
    <w:rsid w:val="006B1666"/>
    <w:rsid w:val="006B2823"/>
    <w:rsid w:val="006B327B"/>
    <w:rsid w:val="006B35E7"/>
    <w:rsid w:val="006B3B49"/>
    <w:rsid w:val="006B4AAB"/>
    <w:rsid w:val="006B5906"/>
    <w:rsid w:val="006B6222"/>
    <w:rsid w:val="006B6FD6"/>
    <w:rsid w:val="006B7B34"/>
    <w:rsid w:val="006B7DF7"/>
    <w:rsid w:val="006B7F08"/>
    <w:rsid w:val="006C06E0"/>
    <w:rsid w:val="006C08CC"/>
    <w:rsid w:val="006C0F49"/>
    <w:rsid w:val="006C1501"/>
    <w:rsid w:val="006C157B"/>
    <w:rsid w:val="006C233D"/>
    <w:rsid w:val="006C2773"/>
    <w:rsid w:val="006C35D8"/>
    <w:rsid w:val="006C4828"/>
    <w:rsid w:val="006C601B"/>
    <w:rsid w:val="006C6BCD"/>
    <w:rsid w:val="006C6F97"/>
    <w:rsid w:val="006D0544"/>
    <w:rsid w:val="006D0AD1"/>
    <w:rsid w:val="006D0ADB"/>
    <w:rsid w:val="006D0D37"/>
    <w:rsid w:val="006D17C2"/>
    <w:rsid w:val="006D1CA4"/>
    <w:rsid w:val="006D26A0"/>
    <w:rsid w:val="006D3F8F"/>
    <w:rsid w:val="006D5304"/>
    <w:rsid w:val="006D5C15"/>
    <w:rsid w:val="006D71BC"/>
    <w:rsid w:val="006D7C21"/>
    <w:rsid w:val="006D7D1E"/>
    <w:rsid w:val="006E02CD"/>
    <w:rsid w:val="006E1F90"/>
    <w:rsid w:val="006E2E78"/>
    <w:rsid w:val="006E45EF"/>
    <w:rsid w:val="006E4690"/>
    <w:rsid w:val="006E4BF5"/>
    <w:rsid w:val="006E4C32"/>
    <w:rsid w:val="006E4FD9"/>
    <w:rsid w:val="006E5268"/>
    <w:rsid w:val="006E56E9"/>
    <w:rsid w:val="006E59B7"/>
    <w:rsid w:val="006E672B"/>
    <w:rsid w:val="006E699F"/>
    <w:rsid w:val="006E6DE7"/>
    <w:rsid w:val="006F0247"/>
    <w:rsid w:val="006F09A8"/>
    <w:rsid w:val="006F09DD"/>
    <w:rsid w:val="006F0EB1"/>
    <w:rsid w:val="006F0F90"/>
    <w:rsid w:val="006F2F80"/>
    <w:rsid w:val="006F32D2"/>
    <w:rsid w:val="006F4891"/>
    <w:rsid w:val="006F5523"/>
    <w:rsid w:val="006F56F5"/>
    <w:rsid w:val="006F5B06"/>
    <w:rsid w:val="006F70B3"/>
    <w:rsid w:val="006F7F0A"/>
    <w:rsid w:val="006F7FD1"/>
    <w:rsid w:val="00701004"/>
    <w:rsid w:val="007010E8"/>
    <w:rsid w:val="007011A1"/>
    <w:rsid w:val="0070145E"/>
    <w:rsid w:val="007019E2"/>
    <w:rsid w:val="00701BEE"/>
    <w:rsid w:val="00702737"/>
    <w:rsid w:val="00702883"/>
    <w:rsid w:val="007037BE"/>
    <w:rsid w:val="0070648C"/>
    <w:rsid w:val="00706B80"/>
    <w:rsid w:val="00707B36"/>
    <w:rsid w:val="00710019"/>
    <w:rsid w:val="00710309"/>
    <w:rsid w:val="00710D82"/>
    <w:rsid w:val="0071165B"/>
    <w:rsid w:val="00711E4E"/>
    <w:rsid w:val="007125E4"/>
    <w:rsid w:val="00712773"/>
    <w:rsid w:val="00712C1D"/>
    <w:rsid w:val="00712C73"/>
    <w:rsid w:val="00713294"/>
    <w:rsid w:val="00713477"/>
    <w:rsid w:val="00714153"/>
    <w:rsid w:val="00714920"/>
    <w:rsid w:val="00714950"/>
    <w:rsid w:val="00714E22"/>
    <w:rsid w:val="007156A5"/>
    <w:rsid w:val="007158F5"/>
    <w:rsid w:val="00715CF9"/>
    <w:rsid w:val="007168A1"/>
    <w:rsid w:val="00716925"/>
    <w:rsid w:val="007174E6"/>
    <w:rsid w:val="00717B29"/>
    <w:rsid w:val="00720451"/>
    <w:rsid w:val="00720806"/>
    <w:rsid w:val="00721A13"/>
    <w:rsid w:val="00722171"/>
    <w:rsid w:val="007221A8"/>
    <w:rsid w:val="0072284A"/>
    <w:rsid w:val="00722F93"/>
    <w:rsid w:val="007255D7"/>
    <w:rsid w:val="0072576A"/>
    <w:rsid w:val="00726421"/>
    <w:rsid w:val="007268EF"/>
    <w:rsid w:val="00727436"/>
    <w:rsid w:val="0073048F"/>
    <w:rsid w:val="00730CB0"/>
    <w:rsid w:val="00730D25"/>
    <w:rsid w:val="00732D37"/>
    <w:rsid w:val="00734613"/>
    <w:rsid w:val="00734A42"/>
    <w:rsid w:val="0073607B"/>
    <w:rsid w:val="0073633E"/>
    <w:rsid w:val="00736396"/>
    <w:rsid w:val="0073760B"/>
    <w:rsid w:val="00740617"/>
    <w:rsid w:val="007428F4"/>
    <w:rsid w:val="0074380C"/>
    <w:rsid w:val="007439BB"/>
    <w:rsid w:val="00744C44"/>
    <w:rsid w:val="00745591"/>
    <w:rsid w:val="00745B3D"/>
    <w:rsid w:val="00746DFC"/>
    <w:rsid w:val="00746EE3"/>
    <w:rsid w:val="00750C15"/>
    <w:rsid w:val="00750F51"/>
    <w:rsid w:val="0075134F"/>
    <w:rsid w:val="007516C5"/>
    <w:rsid w:val="00751703"/>
    <w:rsid w:val="00752C68"/>
    <w:rsid w:val="0075309B"/>
    <w:rsid w:val="00753157"/>
    <w:rsid w:val="007536B1"/>
    <w:rsid w:val="007539AE"/>
    <w:rsid w:val="0075608F"/>
    <w:rsid w:val="0075619F"/>
    <w:rsid w:val="00756357"/>
    <w:rsid w:val="00756D6D"/>
    <w:rsid w:val="00757268"/>
    <w:rsid w:val="00760094"/>
    <w:rsid w:val="007604E2"/>
    <w:rsid w:val="00761258"/>
    <w:rsid w:val="00761EEA"/>
    <w:rsid w:val="00762637"/>
    <w:rsid w:val="00762A33"/>
    <w:rsid w:val="0076362A"/>
    <w:rsid w:val="00763847"/>
    <w:rsid w:val="00763F77"/>
    <w:rsid w:val="0076435E"/>
    <w:rsid w:val="007643B7"/>
    <w:rsid w:val="007646ED"/>
    <w:rsid w:val="00764924"/>
    <w:rsid w:val="00764D7C"/>
    <w:rsid w:val="0076765A"/>
    <w:rsid w:val="00770F02"/>
    <w:rsid w:val="00771B19"/>
    <w:rsid w:val="00771CCC"/>
    <w:rsid w:val="007721D2"/>
    <w:rsid w:val="0077329C"/>
    <w:rsid w:val="0077368A"/>
    <w:rsid w:val="0077387D"/>
    <w:rsid w:val="00773D8A"/>
    <w:rsid w:val="0077431C"/>
    <w:rsid w:val="00774984"/>
    <w:rsid w:val="00774BA3"/>
    <w:rsid w:val="00774C2E"/>
    <w:rsid w:val="00774DC9"/>
    <w:rsid w:val="00775787"/>
    <w:rsid w:val="00775D1B"/>
    <w:rsid w:val="00775EB5"/>
    <w:rsid w:val="00777784"/>
    <w:rsid w:val="00782879"/>
    <w:rsid w:val="00783751"/>
    <w:rsid w:val="00783C18"/>
    <w:rsid w:val="00784580"/>
    <w:rsid w:val="00784935"/>
    <w:rsid w:val="007860D6"/>
    <w:rsid w:val="00786A1E"/>
    <w:rsid w:val="00786D0B"/>
    <w:rsid w:val="0078765B"/>
    <w:rsid w:val="00790923"/>
    <w:rsid w:val="007939A3"/>
    <w:rsid w:val="0079417B"/>
    <w:rsid w:val="007943EB"/>
    <w:rsid w:val="00796FFE"/>
    <w:rsid w:val="0079757D"/>
    <w:rsid w:val="00797F24"/>
    <w:rsid w:val="007A0038"/>
    <w:rsid w:val="007A00EE"/>
    <w:rsid w:val="007A0333"/>
    <w:rsid w:val="007A12F3"/>
    <w:rsid w:val="007A34B7"/>
    <w:rsid w:val="007A35BB"/>
    <w:rsid w:val="007A3E0C"/>
    <w:rsid w:val="007A3EBA"/>
    <w:rsid w:val="007A4AEB"/>
    <w:rsid w:val="007A5154"/>
    <w:rsid w:val="007A5930"/>
    <w:rsid w:val="007A5AA6"/>
    <w:rsid w:val="007A5C9B"/>
    <w:rsid w:val="007A794E"/>
    <w:rsid w:val="007B01D8"/>
    <w:rsid w:val="007B0919"/>
    <w:rsid w:val="007B1929"/>
    <w:rsid w:val="007B3FF0"/>
    <w:rsid w:val="007B4A03"/>
    <w:rsid w:val="007B6201"/>
    <w:rsid w:val="007B62CF"/>
    <w:rsid w:val="007B6506"/>
    <w:rsid w:val="007B69A5"/>
    <w:rsid w:val="007B719F"/>
    <w:rsid w:val="007B725D"/>
    <w:rsid w:val="007C023A"/>
    <w:rsid w:val="007C0F25"/>
    <w:rsid w:val="007C1743"/>
    <w:rsid w:val="007C2245"/>
    <w:rsid w:val="007C4397"/>
    <w:rsid w:val="007C545C"/>
    <w:rsid w:val="007C61C9"/>
    <w:rsid w:val="007C66C5"/>
    <w:rsid w:val="007C67C2"/>
    <w:rsid w:val="007C68C3"/>
    <w:rsid w:val="007C69FF"/>
    <w:rsid w:val="007C72CB"/>
    <w:rsid w:val="007D021F"/>
    <w:rsid w:val="007D0604"/>
    <w:rsid w:val="007D077B"/>
    <w:rsid w:val="007D1126"/>
    <w:rsid w:val="007D252B"/>
    <w:rsid w:val="007D302B"/>
    <w:rsid w:val="007D5040"/>
    <w:rsid w:val="007D5569"/>
    <w:rsid w:val="007D7A83"/>
    <w:rsid w:val="007E033E"/>
    <w:rsid w:val="007E0943"/>
    <w:rsid w:val="007E15FE"/>
    <w:rsid w:val="007E1A67"/>
    <w:rsid w:val="007E1AAE"/>
    <w:rsid w:val="007E21FB"/>
    <w:rsid w:val="007E2253"/>
    <w:rsid w:val="007E2264"/>
    <w:rsid w:val="007E2638"/>
    <w:rsid w:val="007E2BE2"/>
    <w:rsid w:val="007E6671"/>
    <w:rsid w:val="007E6776"/>
    <w:rsid w:val="007E69C3"/>
    <w:rsid w:val="007E6C57"/>
    <w:rsid w:val="007E7904"/>
    <w:rsid w:val="007E7A1F"/>
    <w:rsid w:val="007F0F1A"/>
    <w:rsid w:val="007F1169"/>
    <w:rsid w:val="007F1D43"/>
    <w:rsid w:val="007F22B3"/>
    <w:rsid w:val="007F2FFB"/>
    <w:rsid w:val="007F38A5"/>
    <w:rsid w:val="007F3F84"/>
    <w:rsid w:val="007F4672"/>
    <w:rsid w:val="007F5265"/>
    <w:rsid w:val="007F6514"/>
    <w:rsid w:val="007F6BC7"/>
    <w:rsid w:val="007F6C93"/>
    <w:rsid w:val="007F78B4"/>
    <w:rsid w:val="0080047D"/>
    <w:rsid w:val="008006E4"/>
    <w:rsid w:val="00801C46"/>
    <w:rsid w:val="00801E80"/>
    <w:rsid w:val="00801EFD"/>
    <w:rsid w:val="008040FF"/>
    <w:rsid w:val="0080454F"/>
    <w:rsid w:val="00804A72"/>
    <w:rsid w:val="00805047"/>
    <w:rsid w:val="008050E2"/>
    <w:rsid w:val="0080513C"/>
    <w:rsid w:val="00805DD4"/>
    <w:rsid w:val="0080691B"/>
    <w:rsid w:val="00806E1E"/>
    <w:rsid w:val="00807507"/>
    <w:rsid w:val="00807587"/>
    <w:rsid w:val="00810335"/>
    <w:rsid w:val="00810D57"/>
    <w:rsid w:val="008113AC"/>
    <w:rsid w:val="008119BD"/>
    <w:rsid w:val="00811B4A"/>
    <w:rsid w:val="00812B29"/>
    <w:rsid w:val="00813BBE"/>
    <w:rsid w:val="00813D48"/>
    <w:rsid w:val="008143D7"/>
    <w:rsid w:val="00814D4D"/>
    <w:rsid w:val="00815084"/>
    <w:rsid w:val="0081552E"/>
    <w:rsid w:val="00817A41"/>
    <w:rsid w:val="008203C7"/>
    <w:rsid w:val="00820C15"/>
    <w:rsid w:val="00820D9E"/>
    <w:rsid w:val="00820F0E"/>
    <w:rsid w:val="00823279"/>
    <w:rsid w:val="008232FF"/>
    <w:rsid w:val="0082359B"/>
    <w:rsid w:val="00824027"/>
    <w:rsid w:val="00824347"/>
    <w:rsid w:val="00824B82"/>
    <w:rsid w:val="00825349"/>
    <w:rsid w:val="00825B94"/>
    <w:rsid w:val="00826F85"/>
    <w:rsid w:val="008275BC"/>
    <w:rsid w:val="00827DE4"/>
    <w:rsid w:val="00831288"/>
    <w:rsid w:val="00831297"/>
    <w:rsid w:val="008315CE"/>
    <w:rsid w:val="00831CCC"/>
    <w:rsid w:val="008322AB"/>
    <w:rsid w:val="00832555"/>
    <w:rsid w:val="00833CE5"/>
    <w:rsid w:val="00833E61"/>
    <w:rsid w:val="008347CE"/>
    <w:rsid w:val="00834985"/>
    <w:rsid w:val="0083506D"/>
    <w:rsid w:val="00836D17"/>
    <w:rsid w:val="00837214"/>
    <w:rsid w:val="008373B6"/>
    <w:rsid w:val="008411A8"/>
    <w:rsid w:val="008412C7"/>
    <w:rsid w:val="0084133D"/>
    <w:rsid w:val="00841737"/>
    <w:rsid w:val="00841F24"/>
    <w:rsid w:val="008433F1"/>
    <w:rsid w:val="00843B61"/>
    <w:rsid w:val="0084407C"/>
    <w:rsid w:val="00844B1F"/>
    <w:rsid w:val="00845FEC"/>
    <w:rsid w:val="00846A6E"/>
    <w:rsid w:val="00847E9D"/>
    <w:rsid w:val="008507C9"/>
    <w:rsid w:val="008509D9"/>
    <w:rsid w:val="008510C2"/>
    <w:rsid w:val="0085137E"/>
    <w:rsid w:val="00851944"/>
    <w:rsid w:val="00852BB7"/>
    <w:rsid w:val="00852C99"/>
    <w:rsid w:val="008553A0"/>
    <w:rsid w:val="00855F5B"/>
    <w:rsid w:val="008569E6"/>
    <w:rsid w:val="00856AFD"/>
    <w:rsid w:val="00856E77"/>
    <w:rsid w:val="00856F2E"/>
    <w:rsid w:val="008574C4"/>
    <w:rsid w:val="008623CA"/>
    <w:rsid w:val="00862655"/>
    <w:rsid w:val="00862C62"/>
    <w:rsid w:val="008634A1"/>
    <w:rsid w:val="00863ED0"/>
    <w:rsid w:val="00864421"/>
    <w:rsid w:val="008644F0"/>
    <w:rsid w:val="00864559"/>
    <w:rsid w:val="008650F4"/>
    <w:rsid w:val="00865772"/>
    <w:rsid w:val="008658D7"/>
    <w:rsid w:val="00865CBB"/>
    <w:rsid w:val="00865CE9"/>
    <w:rsid w:val="00867406"/>
    <w:rsid w:val="0086762B"/>
    <w:rsid w:val="008676C7"/>
    <w:rsid w:val="00870F96"/>
    <w:rsid w:val="008715F3"/>
    <w:rsid w:val="008716FC"/>
    <w:rsid w:val="0087178B"/>
    <w:rsid w:val="00871C39"/>
    <w:rsid w:val="00871C5E"/>
    <w:rsid w:val="00871D75"/>
    <w:rsid w:val="0087257D"/>
    <w:rsid w:val="00873FFB"/>
    <w:rsid w:val="0087450E"/>
    <w:rsid w:val="0087471B"/>
    <w:rsid w:val="00874D8D"/>
    <w:rsid w:val="00875DC7"/>
    <w:rsid w:val="00876013"/>
    <w:rsid w:val="008771DE"/>
    <w:rsid w:val="00877339"/>
    <w:rsid w:val="008773D3"/>
    <w:rsid w:val="008776D2"/>
    <w:rsid w:val="00877766"/>
    <w:rsid w:val="0087784C"/>
    <w:rsid w:val="0087794D"/>
    <w:rsid w:val="00877B50"/>
    <w:rsid w:val="00877B6C"/>
    <w:rsid w:val="00880224"/>
    <w:rsid w:val="008803BF"/>
    <w:rsid w:val="00880E5D"/>
    <w:rsid w:val="00881549"/>
    <w:rsid w:val="00881749"/>
    <w:rsid w:val="0088182A"/>
    <w:rsid w:val="008819A9"/>
    <w:rsid w:val="00882685"/>
    <w:rsid w:val="00882BAC"/>
    <w:rsid w:val="00883F93"/>
    <w:rsid w:val="00883FDF"/>
    <w:rsid w:val="008843BA"/>
    <w:rsid w:val="00884BAA"/>
    <w:rsid w:val="008860C6"/>
    <w:rsid w:val="008866FE"/>
    <w:rsid w:val="00886D9B"/>
    <w:rsid w:val="00886FAC"/>
    <w:rsid w:val="00887284"/>
    <w:rsid w:val="00887483"/>
    <w:rsid w:val="008878D3"/>
    <w:rsid w:val="00890996"/>
    <w:rsid w:val="008910BD"/>
    <w:rsid w:val="00891930"/>
    <w:rsid w:val="00891ED5"/>
    <w:rsid w:val="0089216F"/>
    <w:rsid w:val="00893549"/>
    <w:rsid w:val="00893EE6"/>
    <w:rsid w:val="00894178"/>
    <w:rsid w:val="00894395"/>
    <w:rsid w:val="00895CD2"/>
    <w:rsid w:val="00895D23"/>
    <w:rsid w:val="00897E96"/>
    <w:rsid w:val="008A04BD"/>
    <w:rsid w:val="008A064D"/>
    <w:rsid w:val="008A0D90"/>
    <w:rsid w:val="008A0E13"/>
    <w:rsid w:val="008A1210"/>
    <w:rsid w:val="008A128E"/>
    <w:rsid w:val="008A1506"/>
    <w:rsid w:val="008A21C5"/>
    <w:rsid w:val="008A2564"/>
    <w:rsid w:val="008A3090"/>
    <w:rsid w:val="008A3E93"/>
    <w:rsid w:val="008A46E3"/>
    <w:rsid w:val="008A4984"/>
    <w:rsid w:val="008A60B2"/>
    <w:rsid w:val="008A6456"/>
    <w:rsid w:val="008B02E3"/>
    <w:rsid w:val="008B039E"/>
    <w:rsid w:val="008B14F5"/>
    <w:rsid w:val="008B1612"/>
    <w:rsid w:val="008B1734"/>
    <w:rsid w:val="008B20DE"/>
    <w:rsid w:val="008B3282"/>
    <w:rsid w:val="008B3717"/>
    <w:rsid w:val="008B38DB"/>
    <w:rsid w:val="008B404C"/>
    <w:rsid w:val="008B492E"/>
    <w:rsid w:val="008B4F46"/>
    <w:rsid w:val="008B6C5A"/>
    <w:rsid w:val="008B79DF"/>
    <w:rsid w:val="008B7D4C"/>
    <w:rsid w:val="008C0116"/>
    <w:rsid w:val="008C189A"/>
    <w:rsid w:val="008C19E2"/>
    <w:rsid w:val="008C2C65"/>
    <w:rsid w:val="008C2CA5"/>
    <w:rsid w:val="008C4E18"/>
    <w:rsid w:val="008C591C"/>
    <w:rsid w:val="008C6030"/>
    <w:rsid w:val="008C72C4"/>
    <w:rsid w:val="008D04E4"/>
    <w:rsid w:val="008D14A1"/>
    <w:rsid w:val="008D1683"/>
    <w:rsid w:val="008D252F"/>
    <w:rsid w:val="008D26E6"/>
    <w:rsid w:val="008D28E1"/>
    <w:rsid w:val="008D3721"/>
    <w:rsid w:val="008D4165"/>
    <w:rsid w:val="008D4B09"/>
    <w:rsid w:val="008D6889"/>
    <w:rsid w:val="008D6AF7"/>
    <w:rsid w:val="008D728C"/>
    <w:rsid w:val="008D7CB0"/>
    <w:rsid w:val="008E0A95"/>
    <w:rsid w:val="008E0D44"/>
    <w:rsid w:val="008E10D6"/>
    <w:rsid w:val="008E15F9"/>
    <w:rsid w:val="008E1600"/>
    <w:rsid w:val="008E1F95"/>
    <w:rsid w:val="008E4277"/>
    <w:rsid w:val="008E460C"/>
    <w:rsid w:val="008E46A5"/>
    <w:rsid w:val="008E5E1E"/>
    <w:rsid w:val="008E62C0"/>
    <w:rsid w:val="008F0249"/>
    <w:rsid w:val="008F0C15"/>
    <w:rsid w:val="008F0EE8"/>
    <w:rsid w:val="008F2572"/>
    <w:rsid w:val="008F2A8A"/>
    <w:rsid w:val="008F3B3A"/>
    <w:rsid w:val="008F4241"/>
    <w:rsid w:val="008F42CD"/>
    <w:rsid w:val="008F4A2D"/>
    <w:rsid w:val="008F5269"/>
    <w:rsid w:val="009003B1"/>
    <w:rsid w:val="00900AEA"/>
    <w:rsid w:val="00903DFB"/>
    <w:rsid w:val="009040FF"/>
    <w:rsid w:val="0090427A"/>
    <w:rsid w:val="0090518A"/>
    <w:rsid w:val="0090693A"/>
    <w:rsid w:val="00906B1D"/>
    <w:rsid w:val="009078EE"/>
    <w:rsid w:val="00911E3D"/>
    <w:rsid w:val="00912804"/>
    <w:rsid w:val="0091389D"/>
    <w:rsid w:val="00913BEE"/>
    <w:rsid w:val="009143FC"/>
    <w:rsid w:val="00914640"/>
    <w:rsid w:val="00914F6E"/>
    <w:rsid w:val="009171DE"/>
    <w:rsid w:val="009203C8"/>
    <w:rsid w:val="00921913"/>
    <w:rsid w:val="00922618"/>
    <w:rsid w:val="0092287B"/>
    <w:rsid w:val="00922FD0"/>
    <w:rsid w:val="00923415"/>
    <w:rsid w:val="009257C1"/>
    <w:rsid w:val="0092758F"/>
    <w:rsid w:val="009305FF"/>
    <w:rsid w:val="009321F9"/>
    <w:rsid w:val="00932926"/>
    <w:rsid w:val="0093293C"/>
    <w:rsid w:val="00932CF8"/>
    <w:rsid w:val="009336CD"/>
    <w:rsid w:val="00934B5D"/>
    <w:rsid w:val="00934EB9"/>
    <w:rsid w:val="0093635C"/>
    <w:rsid w:val="00936A92"/>
    <w:rsid w:val="009371E4"/>
    <w:rsid w:val="00940441"/>
    <w:rsid w:val="009412ED"/>
    <w:rsid w:val="009413DF"/>
    <w:rsid w:val="00942815"/>
    <w:rsid w:val="00945451"/>
    <w:rsid w:val="00945598"/>
    <w:rsid w:val="00945E36"/>
    <w:rsid w:val="00946852"/>
    <w:rsid w:val="0094775D"/>
    <w:rsid w:val="00947899"/>
    <w:rsid w:val="00950AFA"/>
    <w:rsid w:val="00950DD2"/>
    <w:rsid w:val="009511C7"/>
    <w:rsid w:val="00951A72"/>
    <w:rsid w:val="00951B82"/>
    <w:rsid w:val="009527A4"/>
    <w:rsid w:val="009528E8"/>
    <w:rsid w:val="009530F4"/>
    <w:rsid w:val="00953820"/>
    <w:rsid w:val="00954E70"/>
    <w:rsid w:val="00954FD9"/>
    <w:rsid w:val="00955AE5"/>
    <w:rsid w:val="00955BA6"/>
    <w:rsid w:val="00955F8F"/>
    <w:rsid w:val="00957A71"/>
    <w:rsid w:val="00960AA2"/>
    <w:rsid w:val="00961734"/>
    <w:rsid w:val="00961B7A"/>
    <w:rsid w:val="00962736"/>
    <w:rsid w:val="00962EA2"/>
    <w:rsid w:val="00963FC3"/>
    <w:rsid w:val="00964163"/>
    <w:rsid w:val="009645FA"/>
    <w:rsid w:val="00970829"/>
    <w:rsid w:val="00971476"/>
    <w:rsid w:val="009719CB"/>
    <w:rsid w:val="00972436"/>
    <w:rsid w:val="0097418E"/>
    <w:rsid w:val="00974557"/>
    <w:rsid w:val="00974BD1"/>
    <w:rsid w:val="00975086"/>
    <w:rsid w:val="00975BB4"/>
    <w:rsid w:val="009764FB"/>
    <w:rsid w:val="00976EF7"/>
    <w:rsid w:val="00980C1F"/>
    <w:rsid w:val="00980C26"/>
    <w:rsid w:val="00981122"/>
    <w:rsid w:val="00981C4B"/>
    <w:rsid w:val="00981EFD"/>
    <w:rsid w:val="009827BC"/>
    <w:rsid w:val="009831A2"/>
    <w:rsid w:val="00983302"/>
    <w:rsid w:val="0098418E"/>
    <w:rsid w:val="00984749"/>
    <w:rsid w:val="009849EE"/>
    <w:rsid w:val="00985890"/>
    <w:rsid w:val="00985E52"/>
    <w:rsid w:val="00986200"/>
    <w:rsid w:val="0098680C"/>
    <w:rsid w:val="009901D5"/>
    <w:rsid w:val="0099095C"/>
    <w:rsid w:val="00990DD2"/>
    <w:rsid w:val="009918E3"/>
    <w:rsid w:val="00992C6D"/>
    <w:rsid w:val="0099319A"/>
    <w:rsid w:val="009938CE"/>
    <w:rsid w:val="0099450E"/>
    <w:rsid w:val="00996588"/>
    <w:rsid w:val="00997594"/>
    <w:rsid w:val="009A0388"/>
    <w:rsid w:val="009A0F38"/>
    <w:rsid w:val="009A1FE4"/>
    <w:rsid w:val="009A21DA"/>
    <w:rsid w:val="009A251B"/>
    <w:rsid w:val="009A3AE0"/>
    <w:rsid w:val="009A3FDD"/>
    <w:rsid w:val="009A4283"/>
    <w:rsid w:val="009A4AEA"/>
    <w:rsid w:val="009A5AC9"/>
    <w:rsid w:val="009A647C"/>
    <w:rsid w:val="009A677B"/>
    <w:rsid w:val="009A7AB8"/>
    <w:rsid w:val="009A7F79"/>
    <w:rsid w:val="009B0A47"/>
    <w:rsid w:val="009B0DEA"/>
    <w:rsid w:val="009B1555"/>
    <w:rsid w:val="009B278B"/>
    <w:rsid w:val="009B3CDF"/>
    <w:rsid w:val="009B3E72"/>
    <w:rsid w:val="009B3F83"/>
    <w:rsid w:val="009B55E1"/>
    <w:rsid w:val="009B5EEF"/>
    <w:rsid w:val="009B6468"/>
    <w:rsid w:val="009B7E55"/>
    <w:rsid w:val="009B7ED1"/>
    <w:rsid w:val="009C0857"/>
    <w:rsid w:val="009C0949"/>
    <w:rsid w:val="009C0A56"/>
    <w:rsid w:val="009C158D"/>
    <w:rsid w:val="009C1725"/>
    <w:rsid w:val="009C3181"/>
    <w:rsid w:val="009C3213"/>
    <w:rsid w:val="009C3BAB"/>
    <w:rsid w:val="009C4029"/>
    <w:rsid w:val="009C4890"/>
    <w:rsid w:val="009C4CF3"/>
    <w:rsid w:val="009C4E39"/>
    <w:rsid w:val="009C5E12"/>
    <w:rsid w:val="009C5E1A"/>
    <w:rsid w:val="009C7817"/>
    <w:rsid w:val="009D0FD9"/>
    <w:rsid w:val="009D18D0"/>
    <w:rsid w:val="009D198F"/>
    <w:rsid w:val="009D1E81"/>
    <w:rsid w:val="009D2298"/>
    <w:rsid w:val="009D2738"/>
    <w:rsid w:val="009D2A9A"/>
    <w:rsid w:val="009D2CDA"/>
    <w:rsid w:val="009D2D13"/>
    <w:rsid w:val="009D30B0"/>
    <w:rsid w:val="009D347B"/>
    <w:rsid w:val="009D52D9"/>
    <w:rsid w:val="009D684E"/>
    <w:rsid w:val="009D690E"/>
    <w:rsid w:val="009D699A"/>
    <w:rsid w:val="009D7593"/>
    <w:rsid w:val="009D78B6"/>
    <w:rsid w:val="009D7D7C"/>
    <w:rsid w:val="009E0741"/>
    <w:rsid w:val="009E127F"/>
    <w:rsid w:val="009E1580"/>
    <w:rsid w:val="009E403E"/>
    <w:rsid w:val="009E507B"/>
    <w:rsid w:val="009E51B8"/>
    <w:rsid w:val="009E536A"/>
    <w:rsid w:val="009E61DF"/>
    <w:rsid w:val="009E6574"/>
    <w:rsid w:val="009E6971"/>
    <w:rsid w:val="009E6E61"/>
    <w:rsid w:val="009E6FD6"/>
    <w:rsid w:val="009E73D8"/>
    <w:rsid w:val="009F0341"/>
    <w:rsid w:val="009F114F"/>
    <w:rsid w:val="009F2A01"/>
    <w:rsid w:val="009F3242"/>
    <w:rsid w:val="009F3B20"/>
    <w:rsid w:val="009F3E04"/>
    <w:rsid w:val="009F3EB0"/>
    <w:rsid w:val="009F4AC0"/>
    <w:rsid w:val="009F5453"/>
    <w:rsid w:val="009F60B8"/>
    <w:rsid w:val="009F6B58"/>
    <w:rsid w:val="009F7B3B"/>
    <w:rsid w:val="00A01693"/>
    <w:rsid w:val="00A01B10"/>
    <w:rsid w:val="00A01EAB"/>
    <w:rsid w:val="00A02087"/>
    <w:rsid w:val="00A0338D"/>
    <w:rsid w:val="00A038B5"/>
    <w:rsid w:val="00A05D44"/>
    <w:rsid w:val="00A06701"/>
    <w:rsid w:val="00A07752"/>
    <w:rsid w:val="00A07DE5"/>
    <w:rsid w:val="00A11ACC"/>
    <w:rsid w:val="00A11C15"/>
    <w:rsid w:val="00A11D43"/>
    <w:rsid w:val="00A11E56"/>
    <w:rsid w:val="00A12053"/>
    <w:rsid w:val="00A12F6C"/>
    <w:rsid w:val="00A133B5"/>
    <w:rsid w:val="00A13804"/>
    <w:rsid w:val="00A14E79"/>
    <w:rsid w:val="00A151B9"/>
    <w:rsid w:val="00A15AE9"/>
    <w:rsid w:val="00A169E5"/>
    <w:rsid w:val="00A16BA0"/>
    <w:rsid w:val="00A16EC4"/>
    <w:rsid w:val="00A205C8"/>
    <w:rsid w:val="00A20D7F"/>
    <w:rsid w:val="00A21801"/>
    <w:rsid w:val="00A2189D"/>
    <w:rsid w:val="00A21AB0"/>
    <w:rsid w:val="00A222D7"/>
    <w:rsid w:val="00A224A3"/>
    <w:rsid w:val="00A22935"/>
    <w:rsid w:val="00A22AE2"/>
    <w:rsid w:val="00A2326D"/>
    <w:rsid w:val="00A2329D"/>
    <w:rsid w:val="00A24329"/>
    <w:rsid w:val="00A245F8"/>
    <w:rsid w:val="00A24D44"/>
    <w:rsid w:val="00A25EFE"/>
    <w:rsid w:val="00A25F94"/>
    <w:rsid w:val="00A26789"/>
    <w:rsid w:val="00A27219"/>
    <w:rsid w:val="00A27692"/>
    <w:rsid w:val="00A27A21"/>
    <w:rsid w:val="00A27F9B"/>
    <w:rsid w:val="00A3013D"/>
    <w:rsid w:val="00A30EBD"/>
    <w:rsid w:val="00A3166F"/>
    <w:rsid w:val="00A31938"/>
    <w:rsid w:val="00A31EE3"/>
    <w:rsid w:val="00A3295D"/>
    <w:rsid w:val="00A3478D"/>
    <w:rsid w:val="00A35988"/>
    <w:rsid w:val="00A35C78"/>
    <w:rsid w:val="00A35CBF"/>
    <w:rsid w:val="00A35E3B"/>
    <w:rsid w:val="00A361B8"/>
    <w:rsid w:val="00A36DB6"/>
    <w:rsid w:val="00A4007D"/>
    <w:rsid w:val="00A4076F"/>
    <w:rsid w:val="00A408E1"/>
    <w:rsid w:val="00A40AAD"/>
    <w:rsid w:val="00A413A3"/>
    <w:rsid w:val="00A445B9"/>
    <w:rsid w:val="00A447A6"/>
    <w:rsid w:val="00A47458"/>
    <w:rsid w:val="00A47AE2"/>
    <w:rsid w:val="00A47E0F"/>
    <w:rsid w:val="00A47FB4"/>
    <w:rsid w:val="00A5002A"/>
    <w:rsid w:val="00A504B6"/>
    <w:rsid w:val="00A50C87"/>
    <w:rsid w:val="00A5154C"/>
    <w:rsid w:val="00A51DAB"/>
    <w:rsid w:val="00A51E70"/>
    <w:rsid w:val="00A52192"/>
    <w:rsid w:val="00A525F6"/>
    <w:rsid w:val="00A52AC6"/>
    <w:rsid w:val="00A53157"/>
    <w:rsid w:val="00A53A09"/>
    <w:rsid w:val="00A54818"/>
    <w:rsid w:val="00A55B2A"/>
    <w:rsid w:val="00A5711B"/>
    <w:rsid w:val="00A576A1"/>
    <w:rsid w:val="00A579EF"/>
    <w:rsid w:val="00A57CC6"/>
    <w:rsid w:val="00A60709"/>
    <w:rsid w:val="00A60867"/>
    <w:rsid w:val="00A6141C"/>
    <w:rsid w:val="00A618D3"/>
    <w:rsid w:val="00A619C6"/>
    <w:rsid w:val="00A61AAD"/>
    <w:rsid w:val="00A6246D"/>
    <w:rsid w:val="00A62565"/>
    <w:rsid w:val="00A625FF"/>
    <w:rsid w:val="00A64C9E"/>
    <w:rsid w:val="00A653DF"/>
    <w:rsid w:val="00A677DE"/>
    <w:rsid w:val="00A714E9"/>
    <w:rsid w:val="00A71532"/>
    <w:rsid w:val="00A72309"/>
    <w:rsid w:val="00A73533"/>
    <w:rsid w:val="00A7523C"/>
    <w:rsid w:val="00A75ECB"/>
    <w:rsid w:val="00A76134"/>
    <w:rsid w:val="00A762DB"/>
    <w:rsid w:val="00A76BBE"/>
    <w:rsid w:val="00A770A0"/>
    <w:rsid w:val="00A77214"/>
    <w:rsid w:val="00A773CF"/>
    <w:rsid w:val="00A77C8E"/>
    <w:rsid w:val="00A80049"/>
    <w:rsid w:val="00A82133"/>
    <w:rsid w:val="00A822BC"/>
    <w:rsid w:val="00A82A02"/>
    <w:rsid w:val="00A82B61"/>
    <w:rsid w:val="00A82D98"/>
    <w:rsid w:val="00A8404E"/>
    <w:rsid w:val="00A84312"/>
    <w:rsid w:val="00A84AFA"/>
    <w:rsid w:val="00A85C93"/>
    <w:rsid w:val="00A8647C"/>
    <w:rsid w:val="00A86714"/>
    <w:rsid w:val="00A868A4"/>
    <w:rsid w:val="00A868DB"/>
    <w:rsid w:val="00A87E4D"/>
    <w:rsid w:val="00A925A8"/>
    <w:rsid w:val="00A92D01"/>
    <w:rsid w:val="00A92F5B"/>
    <w:rsid w:val="00A93668"/>
    <w:rsid w:val="00A940A4"/>
    <w:rsid w:val="00A946BA"/>
    <w:rsid w:val="00A94E31"/>
    <w:rsid w:val="00A95172"/>
    <w:rsid w:val="00A958B6"/>
    <w:rsid w:val="00A95997"/>
    <w:rsid w:val="00A97935"/>
    <w:rsid w:val="00A97DE6"/>
    <w:rsid w:val="00AA22EB"/>
    <w:rsid w:val="00AA2A16"/>
    <w:rsid w:val="00AA3061"/>
    <w:rsid w:val="00AA3440"/>
    <w:rsid w:val="00AA369E"/>
    <w:rsid w:val="00AA3DF2"/>
    <w:rsid w:val="00AA44B7"/>
    <w:rsid w:val="00AA55DA"/>
    <w:rsid w:val="00AA6F7F"/>
    <w:rsid w:val="00AA781D"/>
    <w:rsid w:val="00AB00E0"/>
    <w:rsid w:val="00AB0352"/>
    <w:rsid w:val="00AB1160"/>
    <w:rsid w:val="00AB12E2"/>
    <w:rsid w:val="00AB186B"/>
    <w:rsid w:val="00AB1E38"/>
    <w:rsid w:val="00AB1F03"/>
    <w:rsid w:val="00AB2182"/>
    <w:rsid w:val="00AB2F74"/>
    <w:rsid w:val="00AB6616"/>
    <w:rsid w:val="00AB669E"/>
    <w:rsid w:val="00AB670B"/>
    <w:rsid w:val="00AB6A23"/>
    <w:rsid w:val="00AB782A"/>
    <w:rsid w:val="00AC0EFC"/>
    <w:rsid w:val="00AC0F56"/>
    <w:rsid w:val="00AC0F99"/>
    <w:rsid w:val="00AC27D5"/>
    <w:rsid w:val="00AC31D2"/>
    <w:rsid w:val="00AC356B"/>
    <w:rsid w:val="00AC57E6"/>
    <w:rsid w:val="00AC6239"/>
    <w:rsid w:val="00AC69BB"/>
    <w:rsid w:val="00AD0B5C"/>
    <w:rsid w:val="00AD0B83"/>
    <w:rsid w:val="00AD1C92"/>
    <w:rsid w:val="00AD2061"/>
    <w:rsid w:val="00AD2CF0"/>
    <w:rsid w:val="00AD3118"/>
    <w:rsid w:val="00AD32E7"/>
    <w:rsid w:val="00AD394F"/>
    <w:rsid w:val="00AD3EBE"/>
    <w:rsid w:val="00AD47E1"/>
    <w:rsid w:val="00AD4B73"/>
    <w:rsid w:val="00AD6409"/>
    <w:rsid w:val="00AD697C"/>
    <w:rsid w:val="00AD74C1"/>
    <w:rsid w:val="00AD7774"/>
    <w:rsid w:val="00AE1D12"/>
    <w:rsid w:val="00AE2147"/>
    <w:rsid w:val="00AE24DD"/>
    <w:rsid w:val="00AE2886"/>
    <w:rsid w:val="00AE2C98"/>
    <w:rsid w:val="00AE4907"/>
    <w:rsid w:val="00AE4D1A"/>
    <w:rsid w:val="00AE50F9"/>
    <w:rsid w:val="00AE526B"/>
    <w:rsid w:val="00AE58DF"/>
    <w:rsid w:val="00AE6AEF"/>
    <w:rsid w:val="00AE6B1B"/>
    <w:rsid w:val="00AE740D"/>
    <w:rsid w:val="00AE760F"/>
    <w:rsid w:val="00AF08E5"/>
    <w:rsid w:val="00AF0C43"/>
    <w:rsid w:val="00AF1E96"/>
    <w:rsid w:val="00AF223D"/>
    <w:rsid w:val="00AF2547"/>
    <w:rsid w:val="00AF25C0"/>
    <w:rsid w:val="00AF352C"/>
    <w:rsid w:val="00AF3609"/>
    <w:rsid w:val="00AF4409"/>
    <w:rsid w:val="00AF5A6B"/>
    <w:rsid w:val="00AF68C1"/>
    <w:rsid w:val="00AF6EB7"/>
    <w:rsid w:val="00AF7201"/>
    <w:rsid w:val="00AF771C"/>
    <w:rsid w:val="00B016D8"/>
    <w:rsid w:val="00B01995"/>
    <w:rsid w:val="00B02497"/>
    <w:rsid w:val="00B024D9"/>
    <w:rsid w:val="00B02F9E"/>
    <w:rsid w:val="00B03FAA"/>
    <w:rsid w:val="00B048A0"/>
    <w:rsid w:val="00B04E3A"/>
    <w:rsid w:val="00B0621B"/>
    <w:rsid w:val="00B0661E"/>
    <w:rsid w:val="00B0688E"/>
    <w:rsid w:val="00B06E74"/>
    <w:rsid w:val="00B0727F"/>
    <w:rsid w:val="00B074E9"/>
    <w:rsid w:val="00B10B5D"/>
    <w:rsid w:val="00B11D05"/>
    <w:rsid w:val="00B13BC2"/>
    <w:rsid w:val="00B15CF7"/>
    <w:rsid w:val="00B16966"/>
    <w:rsid w:val="00B16BDB"/>
    <w:rsid w:val="00B1734C"/>
    <w:rsid w:val="00B1752A"/>
    <w:rsid w:val="00B1763B"/>
    <w:rsid w:val="00B1792A"/>
    <w:rsid w:val="00B20641"/>
    <w:rsid w:val="00B21980"/>
    <w:rsid w:val="00B220F6"/>
    <w:rsid w:val="00B23BF3"/>
    <w:rsid w:val="00B25F57"/>
    <w:rsid w:val="00B269A4"/>
    <w:rsid w:val="00B26DF0"/>
    <w:rsid w:val="00B26F01"/>
    <w:rsid w:val="00B2746E"/>
    <w:rsid w:val="00B2797F"/>
    <w:rsid w:val="00B307F8"/>
    <w:rsid w:val="00B310E4"/>
    <w:rsid w:val="00B31692"/>
    <w:rsid w:val="00B32250"/>
    <w:rsid w:val="00B3265E"/>
    <w:rsid w:val="00B33C81"/>
    <w:rsid w:val="00B33F50"/>
    <w:rsid w:val="00B35100"/>
    <w:rsid w:val="00B3625B"/>
    <w:rsid w:val="00B36F10"/>
    <w:rsid w:val="00B36FEA"/>
    <w:rsid w:val="00B37FF7"/>
    <w:rsid w:val="00B403F4"/>
    <w:rsid w:val="00B40797"/>
    <w:rsid w:val="00B408B1"/>
    <w:rsid w:val="00B40947"/>
    <w:rsid w:val="00B40A7E"/>
    <w:rsid w:val="00B40EBD"/>
    <w:rsid w:val="00B412B5"/>
    <w:rsid w:val="00B416A8"/>
    <w:rsid w:val="00B41FA4"/>
    <w:rsid w:val="00B4247F"/>
    <w:rsid w:val="00B42846"/>
    <w:rsid w:val="00B4324C"/>
    <w:rsid w:val="00B434AB"/>
    <w:rsid w:val="00B43E33"/>
    <w:rsid w:val="00B43EAF"/>
    <w:rsid w:val="00B45039"/>
    <w:rsid w:val="00B474CE"/>
    <w:rsid w:val="00B47D1C"/>
    <w:rsid w:val="00B511AD"/>
    <w:rsid w:val="00B52643"/>
    <w:rsid w:val="00B53095"/>
    <w:rsid w:val="00B530C2"/>
    <w:rsid w:val="00B5322E"/>
    <w:rsid w:val="00B53302"/>
    <w:rsid w:val="00B53B1B"/>
    <w:rsid w:val="00B54418"/>
    <w:rsid w:val="00B5484A"/>
    <w:rsid w:val="00B5567D"/>
    <w:rsid w:val="00B55DF1"/>
    <w:rsid w:val="00B55E62"/>
    <w:rsid w:val="00B56FD6"/>
    <w:rsid w:val="00B56FE3"/>
    <w:rsid w:val="00B57E32"/>
    <w:rsid w:val="00B603DC"/>
    <w:rsid w:val="00B61E16"/>
    <w:rsid w:val="00B625CA"/>
    <w:rsid w:val="00B62B6E"/>
    <w:rsid w:val="00B6339A"/>
    <w:rsid w:val="00B637B2"/>
    <w:rsid w:val="00B662BC"/>
    <w:rsid w:val="00B662E7"/>
    <w:rsid w:val="00B668DC"/>
    <w:rsid w:val="00B66E8E"/>
    <w:rsid w:val="00B66FB3"/>
    <w:rsid w:val="00B67C9F"/>
    <w:rsid w:val="00B70A61"/>
    <w:rsid w:val="00B70EFB"/>
    <w:rsid w:val="00B7112E"/>
    <w:rsid w:val="00B72219"/>
    <w:rsid w:val="00B72B37"/>
    <w:rsid w:val="00B73E90"/>
    <w:rsid w:val="00B74411"/>
    <w:rsid w:val="00B74AF4"/>
    <w:rsid w:val="00B75BF7"/>
    <w:rsid w:val="00B83B28"/>
    <w:rsid w:val="00B83C35"/>
    <w:rsid w:val="00B840A8"/>
    <w:rsid w:val="00B84AB0"/>
    <w:rsid w:val="00B84AEC"/>
    <w:rsid w:val="00B85182"/>
    <w:rsid w:val="00B87055"/>
    <w:rsid w:val="00B876BD"/>
    <w:rsid w:val="00B879CF"/>
    <w:rsid w:val="00B90015"/>
    <w:rsid w:val="00B90204"/>
    <w:rsid w:val="00B9039E"/>
    <w:rsid w:val="00B90ADE"/>
    <w:rsid w:val="00B913A8"/>
    <w:rsid w:val="00B92720"/>
    <w:rsid w:val="00B92D2D"/>
    <w:rsid w:val="00B9318D"/>
    <w:rsid w:val="00B931F7"/>
    <w:rsid w:val="00B93EC3"/>
    <w:rsid w:val="00B9459A"/>
    <w:rsid w:val="00B949F3"/>
    <w:rsid w:val="00B967F2"/>
    <w:rsid w:val="00B96DF1"/>
    <w:rsid w:val="00B974E3"/>
    <w:rsid w:val="00BA0BB5"/>
    <w:rsid w:val="00BA2638"/>
    <w:rsid w:val="00BA3853"/>
    <w:rsid w:val="00BA3DC4"/>
    <w:rsid w:val="00BA4539"/>
    <w:rsid w:val="00BA5474"/>
    <w:rsid w:val="00BA6149"/>
    <w:rsid w:val="00BA6566"/>
    <w:rsid w:val="00BA6F43"/>
    <w:rsid w:val="00BA76EF"/>
    <w:rsid w:val="00BB0145"/>
    <w:rsid w:val="00BB05CB"/>
    <w:rsid w:val="00BB231C"/>
    <w:rsid w:val="00BB2FFC"/>
    <w:rsid w:val="00BB623C"/>
    <w:rsid w:val="00BB6823"/>
    <w:rsid w:val="00BB688D"/>
    <w:rsid w:val="00BB7016"/>
    <w:rsid w:val="00BB717B"/>
    <w:rsid w:val="00BB74B3"/>
    <w:rsid w:val="00BB764F"/>
    <w:rsid w:val="00BC0D31"/>
    <w:rsid w:val="00BC0D49"/>
    <w:rsid w:val="00BC1800"/>
    <w:rsid w:val="00BC30AE"/>
    <w:rsid w:val="00BC34F6"/>
    <w:rsid w:val="00BC51A9"/>
    <w:rsid w:val="00BC5E19"/>
    <w:rsid w:val="00BC5F13"/>
    <w:rsid w:val="00BC726B"/>
    <w:rsid w:val="00BC7EE6"/>
    <w:rsid w:val="00BD0F11"/>
    <w:rsid w:val="00BD10EB"/>
    <w:rsid w:val="00BD1944"/>
    <w:rsid w:val="00BD203A"/>
    <w:rsid w:val="00BD2A58"/>
    <w:rsid w:val="00BD3044"/>
    <w:rsid w:val="00BD45A0"/>
    <w:rsid w:val="00BD54DD"/>
    <w:rsid w:val="00BD57E9"/>
    <w:rsid w:val="00BD5DDF"/>
    <w:rsid w:val="00BD611B"/>
    <w:rsid w:val="00BD6357"/>
    <w:rsid w:val="00BE123B"/>
    <w:rsid w:val="00BE1584"/>
    <w:rsid w:val="00BE21CD"/>
    <w:rsid w:val="00BE304A"/>
    <w:rsid w:val="00BE4DBD"/>
    <w:rsid w:val="00BE4E13"/>
    <w:rsid w:val="00BE5AB1"/>
    <w:rsid w:val="00BE671D"/>
    <w:rsid w:val="00BE6B8E"/>
    <w:rsid w:val="00BE6C88"/>
    <w:rsid w:val="00BE79B3"/>
    <w:rsid w:val="00BF0CAA"/>
    <w:rsid w:val="00BF1172"/>
    <w:rsid w:val="00BF2CE1"/>
    <w:rsid w:val="00BF2EB7"/>
    <w:rsid w:val="00BF3DA6"/>
    <w:rsid w:val="00BF56AB"/>
    <w:rsid w:val="00BF5E70"/>
    <w:rsid w:val="00BF6178"/>
    <w:rsid w:val="00BF65FE"/>
    <w:rsid w:val="00BF669F"/>
    <w:rsid w:val="00BF67F6"/>
    <w:rsid w:val="00BF6AEA"/>
    <w:rsid w:val="00BF72CB"/>
    <w:rsid w:val="00BF77A5"/>
    <w:rsid w:val="00C0099E"/>
    <w:rsid w:val="00C00B35"/>
    <w:rsid w:val="00C00BDC"/>
    <w:rsid w:val="00C00D96"/>
    <w:rsid w:val="00C012D9"/>
    <w:rsid w:val="00C01514"/>
    <w:rsid w:val="00C02AB6"/>
    <w:rsid w:val="00C02E01"/>
    <w:rsid w:val="00C033BF"/>
    <w:rsid w:val="00C033C3"/>
    <w:rsid w:val="00C0369B"/>
    <w:rsid w:val="00C059E6"/>
    <w:rsid w:val="00C05FD2"/>
    <w:rsid w:val="00C068DA"/>
    <w:rsid w:val="00C119EC"/>
    <w:rsid w:val="00C122D2"/>
    <w:rsid w:val="00C12C5A"/>
    <w:rsid w:val="00C12DB7"/>
    <w:rsid w:val="00C13EF7"/>
    <w:rsid w:val="00C1548E"/>
    <w:rsid w:val="00C15815"/>
    <w:rsid w:val="00C1584C"/>
    <w:rsid w:val="00C167F7"/>
    <w:rsid w:val="00C16F78"/>
    <w:rsid w:val="00C174CE"/>
    <w:rsid w:val="00C177EB"/>
    <w:rsid w:val="00C17DA7"/>
    <w:rsid w:val="00C17F2F"/>
    <w:rsid w:val="00C214DD"/>
    <w:rsid w:val="00C217C1"/>
    <w:rsid w:val="00C21D12"/>
    <w:rsid w:val="00C2239C"/>
    <w:rsid w:val="00C2321D"/>
    <w:rsid w:val="00C23775"/>
    <w:rsid w:val="00C26093"/>
    <w:rsid w:val="00C27CEC"/>
    <w:rsid w:val="00C301E8"/>
    <w:rsid w:val="00C315E3"/>
    <w:rsid w:val="00C319D8"/>
    <w:rsid w:val="00C322A3"/>
    <w:rsid w:val="00C322D5"/>
    <w:rsid w:val="00C32450"/>
    <w:rsid w:val="00C33180"/>
    <w:rsid w:val="00C339E1"/>
    <w:rsid w:val="00C35287"/>
    <w:rsid w:val="00C35D52"/>
    <w:rsid w:val="00C36D2A"/>
    <w:rsid w:val="00C37150"/>
    <w:rsid w:val="00C374A2"/>
    <w:rsid w:val="00C407DD"/>
    <w:rsid w:val="00C40CD0"/>
    <w:rsid w:val="00C41EA3"/>
    <w:rsid w:val="00C42285"/>
    <w:rsid w:val="00C42E3C"/>
    <w:rsid w:val="00C43BAF"/>
    <w:rsid w:val="00C43C9E"/>
    <w:rsid w:val="00C448FB"/>
    <w:rsid w:val="00C44E6D"/>
    <w:rsid w:val="00C45328"/>
    <w:rsid w:val="00C45938"/>
    <w:rsid w:val="00C45C33"/>
    <w:rsid w:val="00C466EF"/>
    <w:rsid w:val="00C46969"/>
    <w:rsid w:val="00C47027"/>
    <w:rsid w:val="00C477F0"/>
    <w:rsid w:val="00C509EF"/>
    <w:rsid w:val="00C50A8D"/>
    <w:rsid w:val="00C50F75"/>
    <w:rsid w:val="00C51398"/>
    <w:rsid w:val="00C52143"/>
    <w:rsid w:val="00C52747"/>
    <w:rsid w:val="00C52F33"/>
    <w:rsid w:val="00C5316F"/>
    <w:rsid w:val="00C534C5"/>
    <w:rsid w:val="00C5386D"/>
    <w:rsid w:val="00C53FAE"/>
    <w:rsid w:val="00C54166"/>
    <w:rsid w:val="00C546A7"/>
    <w:rsid w:val="00C54BBE"/>
    <w:rsid w:val="00C5548B"/>
    <w:rsid w:val="00C560FD"/>
    <w:rsid w:val="00C569B2"/>
    <w:rsid w:val="00C56C2C"/>
    <w:rsid w:val="00C577CA"/>
    <w:rsid w:val="00C60158"/>
    <w:rsid w:val="00C6086D"/>
    <w:rsid w:val="00C613EF"/>
    <w:rsid w:val="00C61D77"/>
    <w:rsid w:val="00C61E5C"/>
    <w:rsid w:val="00C6284F"/>
    <w:rsid w:val="00C63714"/>
    <w:rsid w:val="00C63F06"/>
    <w:rsid w:val="00C64153"/>
    <w:rsid w:val="00C665F9"/>
    <w:rsid w:val="00C705DB"/>
    <w:rsid w:val="00C71A1C"/>
    <w:rsid w:val="00C71D1D"/>
    <w:rsid w:val="00C7333E"/>
    <w:rsid w:val="00C734EA"/>
    <w:rsid w:val="00C736C4"/>
    <w:rsid w:val="00C742F1"/>
    <w:rsid w:val="00C75FEA"/>
    <w:rsid w:val="00C76046"/>
    <w:rsid w:val="00C76126"/>
    <w:rsid w:val="00C76F4D"/>
    <w:rsid w:val="00C770E0"/>
    <w:rsid w:val="00C814C7"/>
    <w:rsid w:val="00C81531"/>
    <w:rsid w:val="00C817E0"/>
    <w:rsid w:val="00C81CF9"/>
    <w:rsid w:val="00C83152"/>
    <w:rsid w:val="00C83A46"/>
    <w:rsid w:val="00C84441"/>
    <w:rsid w:val="00C8458E"/>
    <w:rsid w:val="00C84E21"/>
    <w:rsid w:val="00C854C9"/>
    <w:rsid w:val="00C85A60"/>
    <w:rsid w:val="00C865AE"/>
    <w:rsid w:val="00C86930"/>
    <w:rsid w:val="00C869B4"/>
    <w:rsid w:val="00C90108"/>
    <w:rsid w:val="00C90CC4"/>
    <w:rsid w:val="00C90DE1"/>
    <w:rsid w:val="00C91365"/>
    <w:rsid w:val="00C9179D"/>
    <w:rsid w:val="00C91C06"/>
    <w:rsid w:val="00C92143"/>
    <w:rsid w:val="00C93795"/>
    <w:rsid w:val="00C94489"/>
    <w:rsid w:val="00C95612"/>
    <w:rsid w:val="00C95875"/>
    <w:rsid w:val="00C968CD"/>
    <w:rsid w:val="00C96EBD"/>
    <w:rsid w:val="00C972A0"/>
    <w:rsid w:val="00C97B16"/>
    <w:rsid w:val="00C97D0C"/>
    <w:rsid w:val="00CA1CF6"/>
    <w:rsid w:val="00CA38E9"/>
    <w:rsid w:val="00CA410F"/>
    <w:rsid w:val="00CA4F9E"/>
    <w:rsid w:val="00CA52B7"/>
    <w:rsid w:val="00CA555E"/>
    <w:rsid w:val="00CA55C6"/>
    <w:rsid w:val="00CA589C"/>
    <w:rsid w:val="00CA5A53"/>
    <w:rsid w:val="00CA764D"/>
    <w:rsid w:val="00CB00EB"/>
    <w:rsid w:val="00CB0354"/>
    <w:rsid w:val="00CB130E"/>
    <w:rsid w:val="00CB169B"/>
    <w:rsid w:val="00CB1E87"/>
    <w:rsid w:val="00CB2748"/>
    <w:rsid w:val="00CB2C4D"/>
    <w:rsid w:val="00CB328D"/>
    <w:rsid w:val="00CB35CF"/>
    <w:rsid w:val="00CB4365"/>
    <w:rsid w:val="00CB4EB3"/>
    <w:rsid w:val="00CB4FF7"/>
    <w:rsid w:val="00CB53E4"/>
    <w:rsid w:val="00CB5E2C"/>
    <w:rsid w:val="00CB6C76"/>
    <w:rsid w:val="00CB7433"/>
    <w:rsid w:val="00CB7517"/>
    <w:rsid w:val="00CB758A"/>
    <w:rsid w:val="00CC06EE"/>
    <w:rsid w:val="00CC0BEC"/>
    <w:rsid w:val="00CC1427"/>
    <w:rsid w:val="00CC4D15"/>
    <w:rsid w:val="00CC5B72"/>
    <w:rsid w:val="00CC703E"/>
    <w:rsid w:val="00CD0072"/>
    <w:rsid w:val="00CD0200"/>
    <w:rsid w:val="00CD0220"/>
    <w:rsid w:val="00CD11C5"/>
    <w:rsid w:val="00CD1450"/>
    <w:rsid w:val="00CD2849"/>
    <w:rsid w:val="00CD3DCB"/>
    <w:rsid w:val="00CD56D9"/>
    <w:rsid w:val="00CD6FB2"/>
    <w:rsid w:val="00CE08E8"/>
    <w:rsid w:val="00CE09EB"/>
    <w:rsid w:val="00CE0D2F"/>
    <w:rsid w:val="00CE1CC9"/>
    <w:rsid w:val="00CE1F52"/>
    <w:rsid w:val="00CE2391"/>
    <w:rsid w:val="00CE2C8A"/>
    <w:rsid w:val="00CE3F29"/>
    <w:rsid w:val="00CE40ED"/>
    <w:rsid w:val="00CE5AF2"/>
    <w:rsid w:val="00CE5F5A"/>
    <w:rsid w:val="00CE7A84"/>
    <w:rsid w:val="00CE7FD0"/>
    <w:rsid w:val="00CF0378"/>
    <w:rsid w:val="00CF0746"/>
    <w:rsid w:val="00CF45E5"/>
    <w:rsid w:val="00CF5B2B"/>
    <w:rsid w:val="00CF6099"/>
    <w:rsid w:val="00CF73A0"/>
    <w:rsid w:val="00CF73E4"/>
    <w:rsid w:val="00D0068F"/>
    <w:rsid w:val="00D00C18"/>
    <w:rsid w:val="00D018C6"/>
    <w:rsid w:val="00D019E0"/>
    <w:rsid w:val="00D01E15"/>
    <w:rsid w:val="00D02363"/>
    <w:rsid w:val="00D02AAF"/>
    <w:rsid w:val="00D03686"/>
    <w:rsid w:val="00D03C68"/>
    <w:rsid w:val="00D03FC9"/>
    <w:rsid w:val="00D053F5"/>
    <w:rsid w:val="00D0596E"/>
    <w:rsid w:val="00D05DEE"/>
    <w:rsid w:val="00D07AB0"/>
    <w:rsid w:val="00D1071F"/>
    <w:rsid w:val="00D10797"/>
    <w:rsid w:val="00D1166C"/>
    <w:rsid w:val="00D11C1F"/>
    <w:rsid w:val="00D1299F"/>
    <w:rsid w:val="00D12E41"/>
    <w:rsid w:val="00D13073"/>
    <w:rsid w:val="00D134A1"/>
    <w:rsid w:val="00D1491D"/>
    <w:rsid w:val="00D14B4C"/>
    <w:rsid w:val="00D172D0"/>
    <w:rsid w:val="00D200EA"/>
    <w:rsid w:val="00D21E2B"/>
    <w:rsid w:val="00D24040"/>
    <w:rsid w:val="00D2574C"/>
    <w:rsid w:val="00D25AB8"/>
    <w:rsid w:val="00D26BEC"/>
    <w:rsid w:val="00D26DCA"/>
    <w:rsid w:val="00D30904"/>
    <w:rsid w:val="00D30F39"/>
    <w:rsid w:val="00D3105F"/>
    <w:rsid w:val="00D31635"/>
    <w:rsid w:val="00D32BA6"/>
    <w:rsid w:val="00D32BBE"/>
    <w:rsid w:val="00D3369D"/>
    <w:rsid w:val="00D33C54"/>
    <w:rsid w:val="00D34719"/>
    <w:rsid w:val="00D34A55"/>
    <w:rsid w:val="00D35364"/>
    <w:rsid w:val="00D36190"/>
    <w:rsid w:val="00D421CC"/>
    <w:rsid w:val="00D42F5D"/>
    <w:rsid w:val="00D43A3E"/>
    <w:rsid w:val="00D4516D"/>
    <w:rsid w:val="00D4544A"/>
    <w:rsid w:val="00D45A30"/>
    <w:rsid w:val="00D45C39"/>
    <w:rsid w:val="00D45F36"/>
    <w:rsid w:val="00D4714F"/>
    <w:rsid w:val="00D47A24"/>
    <w:rsid w:val="00D503E7"/>
    <w:rsid w:val="00D50AA1"/>
    <w:rsid w:val="00D522BE"/>
    <w:rsid w:val="00D5272C"/>
    <w:rsid w:val="00D52C92"/>
    <w:rsid w:val="00D532C9"/>
    <w:rsid w:val="00D53A71"/>
    <w:rsid w:val="00D5553E"/>
    <w:rsid w:val="00D556E2"/>
    <w:rsid w:val="00D60088"/>
    <w:rsid w:val="00D6018D"/>
    <w:rsid w:val="00D60A07"/>
    <w:rsid w:val="00D61794"/>
    <w:rsid w:val="00D61C84"/>
    <w:rsid w:val="00D622F1"/>
    <w:rsid w:val="00D64AF8"/>
    <w:rsid w:val="00D6545B"/>
    <w:rsid w:val="00D65491"/>
    <w:rsid w:val="00D65F19"/>
    <w:rsid w:val="00D65FB0"/>
    <w:rsid w:val="00D66E0F"/>
    <w:rsid w:val="00D67F70"/>
    <w:rsid w:val="00D67FB3"/>
    <w:rsid w:val="00D700AB"/>
    <w:rsid w:val="00D71118"/>
    <w:rsid w:val="00D7306C"/>
    <w:rsid w:val="00D747C4"/>
    <w:rsid w:val="00D75435"/>
    <w:rsid w:val="00D75745"/>
    <w:rsid w:val="00D75BCA"/>
    <w:rsid w:val="00D765F0"/>
    <w:rsid w:val="00D7695C"/>
    <w:rsid w:val="00D77D3D"/>
    <w:rsid w:val="00D801DB"/>
    <w:rsid w:val="00D812F8"/>
    <w:rsid w:val="00D815E1"/>
    <w:rsid w:val="00D81A90"/>
    <w:rsid w:val="00D822C7"/>
    <w:rsid w:val="00D828A7"/>
    <w:rsid w:val="00D8361B"/>
    <w:rsid w:val="00D84F8E"/>
    <w:rsid w:val="00D865C9"/>
    <w:rsid w:val="00D86B93"/>
    <w:rsid w:val="00D8720A"/>
    <w:rsid w:val="00D876F1"/>
    <w:rsid w:val="00D878FE"/>
    <w:rsid w:val="00D90AAC"/>
    <w:rsid w:val="00D9156B"/>
    <w:rsid w:val="00D92039"/>
    <w:rsid w:val="00D9230C"/>
    <w:rsid w:val="00D93EEF"/>
    <w:rsid w:val="00D9450F"/>
    <w:rsid w:val="00D9472A"/>
    <w:rsid w:val="00D96045"/>
    <w:rsid w:val="00D974F1"/>
    <w:rsid w:val="00D979EB"/>
    <w:rsid w:val="00DA1485"/>
    <w:rsid w:val="00DA1534"/>
    <w:rsid w:val="00DA17B5"/>
    <w:rsid w:val="00DA19AF"/>
    <w:rsid w:val="00DA1A63"/>
    <w:rsid w:val="00DA2967"/>
    <w:rsid w:val="00DA2AD4"/>
    <w:rsid w:val="00DA394C"/>
    <w:rsid w:val="00DA428B"/>
    <w:rsid w:val="00DA4C21"/>
    <w:rsid w:val="00DA4C2B"/>
    <w:rsid w:val="00DA4E72"/>
    <w:rsid w:val="00DA4E9E"/>
    <w:rsid w:val="00DA630D"/>
    <w:rsid w:val="00DA6337"/>
    <w:rsid w:val="00DA674B"/>
    <w:rsid w:val="00DA7C13"/>
    <w:rsid w:val="00DB02AD"/>
    <w:rsid w:val="00DB0C4B"/>
    <w:rsid w:val="00DB13D1"/>
    <w:rsid w:val="00DB168B"/>
    <w:rsid w:val="00DB22D7"/>
    <w:rsid w:val="00DB3E98"/>
    <w:rsid w:val="00DB49B8"/>
    <w:rsid w:val="00DB52E6"/>
    <w:rsid w:val="00DB5E24"/>
    <w:rsid w:val="00DB5F8E"/>
    <w:rsid w:val="00DB68AE"/>
    <w:rsid w:val="00DB743B"/>
    <w:rsid w:val="00DB7B15"/>
    <w:rsid w:val="00DC04A2"/>
    <w:rsid w:val="00DC1759"/>
    <w:rsid w:val="00DC3747"/>
    <w:rsid w:val="00DC4FB9"/>
    <w:rsid w:val="00DC50C4"/>
    <w:rsid w:val="00DC51EF"/>
    <w:rsid w:val="00DC5355"/>
    <w:rsid w:val="00DC549E"/>
    <w:rsid w:val="00DC71DF"/>
    <w:rsid w:val="00DC796E"/>
    <w:rsid w:val="00DC7A38"/>
    <w:rsid w:val="00DD06CA"/>
    <w:rsid w:val="00DD098F"/>
    <w:rsid w:val="00DD0E6D"/>
    <w:rsid w:val="00DD0EA1"/>
    <w:rsid w:val="00DD13BB"/>
    <w:rsid w:val="00DD1420"/>
    <w:rsid w:val="00DD18B8"/>
    <w:rsid w:val="00DD1B19"/>
    <w:rsid w:val="00DD2839"/>
    <w:rsid w:val="00DD3236"/>
    <w:rsid w:val="00DD3A51"/>
    <w:rsid w:val="00DD3B07"/>
    <w:rsid w:val="00DD45F9"/>
    <w:rsid w:val="00DD4A78"/>
    <w:rsid w:val="00DD512A"/>
    <w:rsid w:val="00DD51BC"/>
    <w:rsid w:val="00DD54AE"/>
    <w:rsid w:val="00DD6B8B"/>
    <w:rsid w:val="00DE0903"/>
    <w:rsid w:val="00DE0CC5"/>
    <w:rsid w:val="00DE0FF5"/>
    <w:rsid w:val="00DE13D5"/>
    <w:rsid w:val="00DE240F"/>
    <w:rsid w:val="00DE2954"/>
    <w:rsid w:val="00DE2ECF"/>
    <w:rsid w:val="00DE2F5D"/>
    <w:rsid w:val="00DE3664"/>
    <w:rsid w:val="00DE377F"/>
    <w:rsid w:val="00DE4399"/>
    <w:rsid w:val="00DE47C7"/>
    <w:rsid w:val="00DE48B4"/>
    <w:rsid w:val="00DE49C7"/>
    <w:rsid w:val="00DE767A"/>
    <w:rsid w:val="00DF1293"/>
    <w:rsid w:val="00DF1672"/>
    <w:rsid w:val="00DF2A04"/>
    <w:rsid w:val="00DF2E8D"/>
    <w:rsid w:val="00DF33F5"/>
    <w:rsid w:val="00DF3930"/>
    <w:rsid w:val="00DF468A"/>
    <w:rsid w:val="00DF492E"/>
    <w:rsid w:val="00DF4F47"/>
    <w:rsid w:val="00DF50B9"/>
    <w:rsid w:val="00DF50EF"/>
    <w:rsid w:val="00DF5618"/>
    <w:rsid w:val="00DF581B"/>
    <w:rsid w:val="00DF5A70"/>
    <w:rsid w:val="00DF617F"/>
    <w:rsid w:val="00DF6642"/>
    <w:rsid w:val="00DF67EC"/>
    <w:rsid w:val="00DF6DE0"/>
    <w:rsid w:val="00DF7CC7"/>
    <w:rsid w:val="00DF7FE4"/>
    <w:rsid w:val="00E00F30"/>
    <w:rsid w:val="00E01BAC"/>
    <w:rsid w:val="00E01C0B"/>
    <w:rsid w:val="00E01EA1"/>
    <w:rsid w:val="00E02931"/>
    <w:rsid w:val="00E04627"/>
    <w:rsid w:val="00E056E7"/>
    <w:rsid w:val="00E05D8B"/>
    <w:rsid w:val="00E07713"/>
    <w:rsid w:val="00E12784"/>
    <w:rsid w:val="00E13AE8"/>
    <w:rsid w:val="00E14E8F"/>
    <w:rsid w:val="00E155A6"/>
    <w:rsid w:val="00E16122"/>
    <w:rsid w:val="00E16AB2"/>
    <w:rsid w:val="00E17387"/>
    <w:rsid w:val="00E177C6"/>
    <w:rsid w:val="00E20155"/>
    <w:rsid w:val="00E209CC"/>
    <w:rsid w:val="00E216F3"/>
    <w:rsid w:val="00E2183A"/>
    <w:rsid w:val="00E21A75"/>
    <w:rsid w:val="00E21A8D"/>
    <w:rsid w:val="00E22A5A"/>
    <w:rsid w:val="00E22F44"/>
    <w:rsid w:val="00E232BF"/>
    <w:rsid w:val="00E246CE"/>
    <w:rsid w:val="00E25479"/>
    <w:rsid w:val="00E2593B"/>
    <w:rsid w:val="00E26594"/>
    <w:rsid w:val="00E27B1A"/>
    <w:rsid w:val="00E3018C"/>
    <w:rsid w:val="00E31872"/>
    <w:rsid w:val="00E32317"/>
    <w:rsid w:val="00E323CF"/>
    <w:rsid w:val="00E32DD0"/>
    <w:rsid w:val="00E32FA1"/>
    <w:rsid w:val="00E338B3"/>
    <w:rsid w:val="00E342C3"/>
    <w:rsid w:val="00E34853"/>
    <w:rsid w:val="00E357DA"/>
    <w:rsid w:val="00E35966"/>
    <w:rsid w:val="00E36296"/>
    <w:rsid w:val="00E36C6F"/>
    <w:rsid w:val="00E37D99"/>
    <w:rsid w:val="00E4026D"/>
    <w:rsid w:val="00E408A0"/>
    <w:rsid w:val="00E40DA2"/>
    <w:rsid w:val="00E40FCB"/>
    <w:rsid w:val="00E42049"/>
    <w:rsid w:val="00E420E9"/>
    <w:rsid w:val="00E432DD"/>
    <w:rsid w:val="00E454F0"/>
    <w:rsid w:val="00E460F2"/>
    <w:rsid w:val="00E46E01"/>
    <w:rsid w:val="00E479E9"/>
    <w:rsid w:val="00E47CA8"/>
    <w:rsid w:val="00E47E81"/>
    <w:rsid w:val="00E50D00"/>
    <w:rsid w:val="00E50D99"/>
    <w:rsid w:val="00E513B5"/>
    <w:rsid w:val="00E5477B"/>
    <w:rsid w:val="00E5486E"/>
    <w:rsid w:val="00E568FD"/>
    <w:rsid w:val="00E56B99"/>
    <w:rsid w:val="00E579AF"/>
    <w:rsid w:val="00E6044C"/>
    <w:rsid w:val="00E60FD0"/>
    <w:rsid w:val="00E616B2"/>
    <w:rsid w:val="00E62132"/>
    <w:rsid w:val="00E62334"/>
    <w:rsid w:val="00E62C74"/>
    <w:rsid w:val="00E65767"/>
    <w:rsid w:val="00E66E1A"/>
    <w:rsid w:val="00E70656"/>
    <w:rsid w:val="00E707FD"/>
    <w:rsid w:val="00E70D4E"/>
    <w:rsid w:val="00E738B5"/>
    <w:rsid w:val="00E747CA"/>
    <w:rsid w:val="00E74BB2"/>
    <w:rsid w:val="00E74E4C"/>
    <w:rsid w:val="00E750DB"/>
    <w:rsid w:val="00E754A7"/>
    <w:rsid w:val="00E75507"/>
    <w:rsid w:val="00E75F14"/>
    <w:rsid w:val="00E767EF"/>
    <w:rsid w:val="00E7690A"/>
    <w:rsid w:val="00E775A2"/>
    <w:rsid w:val="00E77FEF"/>
    <w:rsid w:val="00E82ED1"/>
    <w:rsid w:val="00E8373C"/>
    <w:rsid w:val="00E84FC3"/>
    <w:rsid w:val="00E85A2B"/>
    <w:rsid w:val="00E86637"/>
    <w:rsid w:val="00E86C28"/>
    <w:rsid w:val="00E87284"/>
    <w:rsid w:val="00E903BF"/>
    <w:rsid w:val="00E90939"/>
    <w:rsid w:val="00E92E0F"/>
    <w:rsid w:val="00E93097"/>
    <w:rsid w:val="00E930ED"/>
    <w:rsid w:val="00E94086"/>
    <w:rsid w:val="00E94C9A"/>
    <w:rsid w:val="00E94F3A"/>
    <w:rsid w:val="00E95958"/>
    <w:rsid w:val="00E96E9F"/>
    <w:rsid w:val="00E9740E"/>
    <w:rsid w:val="00E976FF"/>
    <w:rsid w:val="00EA0498"/>
    <w:rsid w:val="00EA07C7"/>
    <w:rsid w:val="00EA1C9E"/>
    <w:rsid w:val="00EA36A4"/>
    <w:rsid w:val="00EA46BF"/>
    <w:rsid w:val="00EA5747"/>
    <w:rsid w:val="00EA6418"/>
    <w:rsid w:val="00EA673C"/>
    <w:rsid w:val="00EB14FB"/>
    <w:rsid w:val="00EB1DA6"/>
    <w:rsid w:val="00EB3A53"/>
    <w:rsid w:val="00EB3F08"/>
    <w:rsid w:val="00EB43D5"/>
    <w:rsid w:val="00EB5C0D"/>
    <w:rsid w:val="00EB60A5"/>
    <w:rsid w:val="00EB6736"/>
    <w:rsid w:val="00EB7443"/>
    <w:rsid w:val="00EB7CA7"/>
    <w:rsid w:val="00EC1098"/>
    <w:rsid w:val="00EC1731"/>
    <w:rsid w:val="00EC2D8E"/>
    <w:rsid w:val="00EC3170"/>
    <w:rsid w:val="00EC37A6"/>
    <w:rsid w:val="00EC4820"/>
    <w:rsid w:val="00EC4E5C"/>
    <w:rsid w:val="00EC76D5"/>
    <w:rsid w:val="00ED0743"/>
    <w:rsid w:val="00ED1075"/>
    <w:rsid w:val="00ED1647"/>
    <w:rsid w:val="00ED1DEA"/>
    <w:rsid w:val="00ED1FB8"/>
    <w:rsid w:val="00ED5471"/>
    <w:rsid w:val="00ED598D"/>
    <w:rsid w:val="00ED779F"/>
    <w:rsid w:val="00ED785E"/>
    <w:rsid w:val="00EE0344"/>
    <w:rsid w:val="00EE08E2"/>
    <w:rsid w:val="00EE0A84"/>
    <w:rsid w:val="00EE0C28"/>
    <w:rsid w:val="00EE0E3F"/>
    <w:rsid w:val="00EE1A26"/>
    <w:rsid w:val="00EE1B00"/>
    <w:rsid w:val="00EE1EFF"/>
    <w:rsid w:val="00EE2C46"/>
    <w:rsid w:val="00EE3EF5"/>
    <w:rsid w:val="00EE5C64"/>
    <w:rsid w:val="00EE5CB3"/>
    <w:rsid w:val="00EF0215"/>
    <w:rsid w:val="00EF1C64"/>
    <w:rsid w:val="00EF216C"/>
    <w:rsid w:val="00EF2192"/>
    <w:rsid w:val="00EF2F8C"/>
    <w:rsid w:val="00EF3D8E"/>
    <w:rsid w:val="00EF4FA7"/>
    <w:rsid w:val="00EF532C"/>
    <w:rsid w:val="00EF5DEF"/>
    <w:rsid w:val="00EF6AC6"/>
    <w:rsid w:val="00F00D26"/>
    <w:rsid w:val="00F01984"/>
    <w:rsid w:val="00F01EB3"/>
    <w:rsid w:val="00F04098"/>
    <w:rsid w:val="00F04DA9"/>
    <w:rsid w:val="00F0622A"/>
    <w:rsid w:val="00F07276"/>
    <w:rsid w:val="00F07B74"/>
    <w:rsid w:val="00F07FC9"/>
    <w:rsid w:val="00F10099"/>
    <w:rsid w:val="00F10363"/>
    <w:rsid w:val="00F118BB"/>
    <w:rsid w:val="00F12BE5"/>
    <w:rsid w:val="00F13B8F"/>
    <w:rsid w:val="00F13EB9"/>
    <w:rsid w:val="00F152D4"/>
    <w:rsid w:val="00F15905"/>
    <w:rsid w:val="00F15C9D"/>
    <w:rsid w:val="00F16634"/>
    <w:rsid w:val="00F16D18"/>
    <w:rsid w:val="00F17964"/>
    <w:rsid w:val="00F20E60"/>
    <w:rsid w:val="00F21113"/>
    <w:rsid w:val="00F221C8"/>
    <w:rsid w:val="00F22388"/>
    <w:rsid w:val="00F26B12"/>
    <w:rsid w:val="00F27D19"/>
    <w:rsid w:val="00F3092A"/>
    <w:rsid w:val="00F31008"/>
    <w:rsid w:val="00F31AD2"/>
    <w:rsid w:val="00F31EF5"/>
    <w:rsid w:val="00F33F75"/>
    <w:rsid w:val="00F35821"/>
    <w:rsid w:val="00F35BCA"/>
    <w:rsid w:val="00F403D6"/>
    <w:rsid w:val="00F4057A"/>
    <w:rsid w:val="00F40812"/>
    <w:rsid w:val="00F412E3"/>
    <w:rsid w:val="00F4237F"/>
    <w:rsid w:val="00F42586"/>
    <w:rsid w:val="00F440A8"/>
    <w:rsid w:val="00F443B0"/>
    <w:rsid w:val="00F444C1"/>
    <w:rsid w:val="00F44AA6"/>
    <w:rsid w:val="00F46DF6"/>
    <w:rsid w:val="00F471C4"/>
    <w:rsid w:val="00F47940"/>
    <w:rsid w:val="00F47945"/>
    <w:rsid w:val="00F50579"/>
    <w:rsid w:val="00F51891"/>
    <w:rsid w:val="00F5237C"/>
    <w:rsid w:val="00F52EA6"/>
    <w:rsid w:val="00F53CBA"/>
    <w:rsid w:val="00F5462F"/>
    <w:rsid w:val="00F563C2"/>
    <w:rsid w:val="00F566C1"/>
    <w:rsid w:val="00F61D99"/>
    <w:rsid w:val="00F62131"/>
    <w:rsid w:val="00F6268A"/>
    <w:rsid w:val="00F635A3"/>
    <w:rsid w:val="00F63827"/>
    <w:rsid w:val="00F64E4C"/>
    <w:rsid w:val="00F65557"/>
    <w:rsid w:val="00F6584B"/>
    <w:rsid w:val="00F66281"/>
    <w:rsid w:val="00F66BB9"/>
    <w:rsid w:val="00F71376"/>
    <w:rsid w:val="00F71DCB"/>
    <w:rsid w:val="00F724E1"/>
    <w:rsid w:val="00F72631"/>
    <w:rsid w:val="00F726D5"/>
    <w:rsid w:val="00F72A40"/>
    <w:rsid w:val="00F72E6E"/>
    <w:rsid w:val="00F73DE7"/>
    <w:rsid w:val="00F74536"/>
    <w:rsid w:val="00F7476C"/>
    <w:rsid w:val="00F754ED"/>
    <w:rsid w:val="00F76FE1"/>
    <w:rsid w:val="00F77A86"/>
    <w:rsid w:val="00F807ED"/>
    <w:rsid w:val="00F8173C"/>
    <w:rsid w:val="00F81F98"/>
    <w:rsid w:val="00F82846"/>
    <w:rsid w:val="00F8287A"/>
    <w:rsid w:val="00F829DC"/>
    <w:rsid w:val="00F83BDD"/>
    <w:rsid w:val="00F83C40"/>
    <w:rsid w:val="00F84B2D"/>
    <w:rsid w:val="00F9308B"/>
    <w:rsid w:val="00F93FFF"/>
    <w:rsid w:val="00F940AF"/>
    <w:rsid w:val="00F94C70"/>
    <w:rsid w:val="00F95461"/>
    <w:rsid w:val="00F9565B"/>
    <w:rsid w:val="00F96133"/>
    <w:rsid w:val="00F9699D"/>
    <w:rsid w:val="00F97698"/>
    <w:rsid w:val="00FA2139"/>
    <w:rsid w:val="00FA3862"/>
    <w:rsid w:val="00FA413D"/>
    <w:rsid w:val="00FA4C51"/>
    <w:rsid w:val="00FA4F81"/>
    <w:rsid w:val="00FA648D"/>
    <w:rsid w:val="00FA717C"/>
    <w:rsid w:val="00FA7C2E"/>
    <w:rsid w:val="00FB02DB"/>
    <w:rsid w:val="00FB10E4"/>
    <w:rsid w:val="00FB26EC"/>
    <w:rsid w:val="00FB2C33"/>
    <w:rsid w:val="00FB2FF8"/>
    <w:rsid w:val="00FB3B14"/>
    <w:rsid w:val="00FB504A"/>
    <w:rsid w:val="00FB793B"/>
    <w:rsid w:val="00FB7ED9"/>
    <w:rsid w:val="00FC08D9"/>
    <w:rsid w:val="00FC22CB"/>
    <w:rsid w:val="00FC419F"/>
    <w:rsid w:val="00FC5218"/>
    <w:rsid w:val="00FC565E"/>
    <w:rsid w:val="00FC62D6"/>
    <w:rsid w:val="00FC76C9"/>
    <w:rsid w:val="00FC7AB5"/>
    <w:rsid w:val="00FD040E"/>
    <w:rsid w:val="00FD097C"/>
    <w:rsid w:val="00FD1EE5"/>
    <w:rsid w:val="00FD2E5B"/>
    <w:rsid w:val="00FD4580"/>
    <w:rsid w:val="00FD527A"/>
    <w:rsid w:val="00FD587E"/>
    <w:rsid w:val="00FD59DB"/>
    <w:rsid w:val="00FD5D04"/>
    <w:rsid w:val="00FD68E3"/>
    <w:rsid w:val="00FD7383"/>
    <w:rsid w:val="00FD7C1F"/>
    <w:rsid w:val="00FD7C2B"/>
    <w:rsid w:val="00FE0EDC"/>
    <w:rsid w:val="00FE0F28"/>
    <w:rsid w:val="00FE17E4"/>
    <w:rsid w:val="00FE1DDA"/>
    <w:rsid w:val="00FE3B5C"/>
    <w:rsid w:val="00FE3E7D"/>
    <w:rsid w:val="00FE4E6D"/>
    <w:rsid w:val="00FE51C6"/>
    <w:rsid w:val="00FE53B1"/>
    <w:rsid w:val="00FE54C7"/>
    <w:rsid w:val="00FE555B"/>
    <w:rsid w:val="00FE7D05"/>
    <w:rsid w:val="00FF0AF9"/>
    <w:rsid w:val="00FF0D1B"/>
    <w:rsid w:val="00FF0F83"/>
    <w:rsid w:val="00FF1C30"/>
    <w:rsid w:val="00FF3844"/>
    <w:rsid w:val="00FF406B"/>
    <w:rsid w:val="00FF4EB4"/>
    <w:rsid w:val="00FF4EC8"/>
    <w:rsid w:val="00FF4F21"/>
    <w:rsid w:val="00FF5B4C"/>
    <w:rsid w:val="00FF7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2EE9F"/>
  <w15:chartTrackingRefBased/>
  <w15:docId w15:val="{1AD0441B-F27A-46C7-99F0-057B13777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643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633F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0B639C"/>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376"/>
    <w:pPr>
      <w:ind w:left="720"/>
      <w:contextualSpacing/>
    </w:pPr>
    <w:rPr>
      <w:lang w:eastAsia="en-GB"/>
    </w:rPr>
  </w:style>
  <w:style w:type="character" w:styleId="CommentReference">
    <w:name w:val="annotation reference"/>
    <w:basedOn w:val="DefaultParagraphFont"/>
    <w:uiPriority w:val="99"/>
    <w:semiHidden/>
    <w:unhideWhenUsed/>
    <w:rsid w:val="00F94C70"/>
    <w:rPr>
      <w:sz w:val="16"/>
      <w:szCs w:val="16"/>
    </w:rPr>
  </w:style>
  <w:style w:type="paragraph" w:styleId="CommentText">
    <w:name w:val="annotation text"/>
    <w:basedOn w:val="Normal"/>
    <w:link w:val="CommentTextChar"/>
    <w:uiPriority w:val="99"/>
    <w:unhideWhenUsed/>
    <w:rsid w:val="00F94C70"/>
    <w:rPr>
      <w:sz w:val="20"/>
      <w:szCs w:val="20"/>
      <w:lang w:eastAsia="en-GB"/>
    </w:rPr>
  </w:style>
  <w:style w:type="character" w:customStyle="1" w:styleId="CommentTextChar">
    <w:name w:val="Comment Text Char"/>
    <w:basedOn w:val="DefaultParagraphFont"/>
    <w:link w:val="CommentText"/>
    <w:uiPriority w:val="99"/>
    <w:rsid w:val="00F94C70"/>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94C70"/>
    <w:rPr>
      <w:b/>
      <w:bCs/>
    </w:rPr>
  </w:style>
  <w:style w:type="character" w:customStyle="1" w:styleId="CommentSubjectChar">
    <w:name w:val="Comment Subject Char"/>
    <w:basedOn w:val="CommentTextChar"/>
    <w:link w:val="CommentSubject"/>
    <w:uiPriority w:val="99"/>
    <w:semiHidden/>
    <w:rsid w:val="00F94C70"/>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F94C70"/>
    <w:rPr>
      <w:rFonts w:ascii="Segoe UI" w:hAnsi="Segoe UI" w:cs="Segoe UI"/>
      <w:sz w:val="18"/>
      <w:szCs w:val="18"/>
      <w:lang w:eastAsia="en-GB"/>
    </w:rPr>
  </w:style>
  <w:style w:type="character" w:customStyle="1" w:styleId="BalloonTextChar">
    <w:name w:val="Balloon Text Char"/>
    <w:basedOn w:val="DefaultParagraphFont"/>
    <w:link w:val="BalloonText"/>
    <w:uiPriority w:val="99"/>
    <w:semiHidden/>
    <w:rsid w:val="00F94C70"/>
    <w:rPr>
      <w:rFonts w:ascii="Segoe UI" w:eastAsia="Times New Roman" w:hAnsi="Segoe UI" w:cs="Segoe UI"/>
      <w:sz w:val="18"/>
      <w:szCs w:val="18"/>
      <w:lang w:eastAsia="en-GB"/>
    </w:rPr>
  </w:style>
  <w:style w:type="character" w:styleId="Hyperlink">
    <w:name w:val="Hyperlink"/>
    <w:basedOn w:val="DefaultParagraphFont"/>
    <w:uiPriority w:val="99"/>
    <w:unhideWhenUsed/>
    <w:rsid w:val="00236E2A"/>
    <w:rPr>
      <w:color w:val="0000FF"/>
      <w:u w:val="single"/>
    </w:rPr>
  </w:style>
  <w:style w:type="character" w:customStyle="1" w:styleId="Subtitle1">
    <w:name w:val="Subtitle1"/>
    <w:basedOn w:val="DefaultParagraphFont"/>
    <w:rsid w:val="007F2FFB"/>
  </w:style>
  <w:style w:type="paragraph" w:styleId="Header">
    <w:name w:val="header"/>
    <w:basedOn w:val="Normal"/>
    <w:link w:val="HeaderChar"/>
    <w:uiPriority w:val="99"/>
    <w:unhideWhenUsed/>
    <w:rsid w:val="009203C8"/>
    <w:pPr>
      <w:tabs>
        <w:tab w:val="center" w:pos="4513"/>
        <w:tab w:val="right" w:pos="9026"/>
      </w:tabs>
    </w:pPr>
    <w:rPr>
      <w:lang w:eastAsia="en-GB"/>
    </w:rPr>
  </w:style>
  <w:style w:type="character" w:customStyle="1" w:styleId="HeaderChar">
    <w:name w:val="Header Char"/>
    <w:basedOn w:val="DefaultParagraphFont"/>
    <w:link w:val="Header"/>
    <w:uiPriority w:val="99"/>
    <w:rsid w:val="009203C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203C8"/>
    <w:pPr>
      <w:tabs>
        <w:tab w:val="center" w:pos="4513"/>
        <w:tab w:val="right" w:pos="9026"/>
      </w:tabs>
    </w:pPr>
    <w:rPr>
      <w:lang w:eastAsia="en-GB"/>
    </w:rPr>
  </w:style>
  <w:style w:type="character" w:customStyle="1" w:styleId="FooterChar">
    <w:name w:val="Footer Char"/>
    <w:basedOn w:val="DefaultParagraphFont"/>
    <w:link w:val="Footer"/>
    <w:uiPriority w:val="99"/>
    <w:rsid w:val="009203C8"/>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EE1B00"/>
    <w:pPr>
      <w:spacing w:after="200"/>
    </w:pPr>
    <w:rPr>
      <w:i/>
      <w:iCs/>
      <w:color w:val="44546A" w:themeColor="text2"/>
      <w:sz w:val="18"/>
      <w:szCs w:val="18"/>
      <w:lang w:eastAsia="en-GB"/>
    </w:rPr>
  </w:style>
  <w:style w:type="character" w:styleId="FollowedHyperlink">
    <w:name w:val="FollowedHyperlink"/>
    <w:basedOn w:val="DefaultParagraphFont"/>
    <w:uiPriority w:val="99"/>
    <w:semiHidden/>
    <w:unhideWhenUsed/>
    <w:rsid w:val="00525497"/>
    <w:rPr>
      <w:color w:val="954F72" w:themeColor="followedHyperlink"/>
      <w:u w:val="single"/>
    </w:rPr>
  </w:style>
  <w:style w:type="character" w:customStyle="1" w:styleId="UnresolvedMention1">
    <w:name w:val="Unresolved Mention1"/>
    <w:basedOn w:val="DefaultParagraphFont"/>
    <w:uiPriority w:val="99"/>
    <w:semiHidden/>
    <w:unhideWhenUsed/>
    <w:rsid w:val="00264B59"/>
    <w:rPr>
      <w:color w:val="605E5C"/>
      <w:shd w:val="clear" w:color="auto" w:fill="E1DFDD"/>
    </w:rPr>
  </w:style>
  <w:style w:type="paragraph" w:styleId="Revision">
    <w:name w:val="Revision"/>
    <w:hidden/>
    <w:uiPriority w:val="99"/>
    <w:semiHidden/>
    <w:rsid w:val="001B6FD9"/>
    <w:pPr>
      <w:spacing w:after="0"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A6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B639C"/>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4633FA"/>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865CE9"/>
    <w:rPr>
      <w:i/>
      <w:iCs/>
    </w:rPr>
  </w:style>
  <w:style w:type="paragraph" w:styleId="EndnoteText">
    <w:name w:val="endnote text"/>
    <w:basedOn w:val="Normal"/>
    <w:link w:val="EndnoteTextChar"/>
    <w:uiPriority w:val="99"/>
    <w:semiHidden/>
    <w:unhideWhenUsed/>
    <w:rsid w:val="00F97698"/>
    <w:rPr>
      <w:sz w:val="20"/>
      <w:szCs w:val="20"/>
    </w:rPr>
  </w:style>
  <w:style w:type="character" w:customStyle="1" w:styleId="EndnoteTextChar">
    <w:name w:val="Endnote Text Char"/>
    <w:basedOn w:val="DefaultParagraphFont"/>
    <w:link w:val="EndnoteText"/>
    <w:uiPriority w:val="99"/>
    <w:semiHidden/>
    <w:rsid w:val="00F97698"/>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97698"/>
    <w:rPr>
      <w:vertAlign w:val="superscript"/>
    </w:rPr>
  </w:style>
  <w:style w:type="character" w:styleId="PageNumber">
    <w:name w:val="page number"/>
    <w:basedOn w:val="DefaultParagraphFont"/>
    <w:uiPriority w:val="99"/>
    <w:semiHidden/>
    <w:unhideWhenUsed/>
    <w:rsid w:val="00C84441"/>
  </w:style>
  <w:style w:type="paragraph" w:styleId="FootnoteText">
    <w:name w:val="footnote text"/>
    <w:basedOn w:val="Normal"/>
    <w:link w:val="FootnoteTextChar"/>
    <w:uiPriority w:val="99"/>
    <w:semiHidden/>
    <w:unhideWhenUsed/>
    <w:rsid w:val="005F211F"/>
    <w:rPr>
      <w:sz w:val="20"/>
      <w:szCs w:val="20"/>
    </w:rPr>
  </w:style>
  <w:style w:type="character" w:customStyle="1" w:styleId="FootnoteTextChar">
    <w:name w:val="Footnote Text Char"/>
    <w:basedOn w:val="DefaultParagraphFont"/>
    <w:link w:val="FootnoteText"/>
    <w:uiPriority w:val="99"/>
    <w:semiHidden/>
    <w:rsid w:val="005F211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F211F"/>
    <w:rPr>
      <w:vertAlign w:val="superscript"/>
    </w:rPr>
  </w:style>
  <w:style w:type="paragraph" w:styleId="NormalWeb">
    <w:name w:val="Normal (Web)"/>
    <w:basedOn w:val="Normal"/>
    <w:uiPriority w:val="99"/>
    <w:semiHidden/>
    <w:unhideWhenUsed/>
    <w:rsid w:val="00104359"/>
    <w:pPr>
      <w:spacing w:before="100" w:beforeAutospacing="1" w:after="100" w:afterAutospacing="1"/>
    </w:pPr>
    <w:rPr>
      <w:rFonts w:eastAsiaTheme="minorEastAsia"/>
    </w:rPr>
  </w:style>
  <w:style w:type="character" w:styleId="UnresolvedMention">
    <w:name w:val="Unresolved Mention"/>
    <w:basedOn w:val="DefaultParagraphFont"/>
    <w:uiPriority w:val="99"/>
    <w:rsid w:val="00605B9D"/>
    <w:rPr>
      <w:color w:val="605E5C"/>
      <w:shd w:val="clear" w:color="auto" w:fill="E1DFDD"/>
    </w:rPr>
  </w:style>
  <w:style w:type="paragraph" w:customStyle="1" w:styleId="referenceauthor">
    <w:name w:val="reference__author"/>
    <w:basedOn w:val="Normal"/>
    <w:rsid w:val="009E1580"/>
    <w:pPr>
      <w:spacing w:before="100" w:beforeAutospacing="1" w:after="100" w:afterAutospacing="1"/>
    </w:pPr>
    <w:rPr>
      <w:lang w:eastAsia="en-GB"/>
    </w:rPr>
  </w:style>
  <w:style w:type="character" w:customStyle="1" w:styleId="referenceauthorslistsuffix">
    <w:name w:val="reference__authors_list_suffix"/>
    <w:basedOn w:val="DefaultParagraphFont"/>
    <w:rsid w:val="009E1580"/>
  </w:style>
  <w:style w:type="paragraph" w:styleId="Bibliography">
    <w:name w:val="Bibliography"/>
    <w:basedOn w:val="Normal"/>
    <w:next w:val="Normal"/>
    <w:uiPriority w:val="37"/>
    <w:unhideWhenUsed/>
    <w:rsid w:val="00546949"/>
    <w:pPr>
      <w:tabs>
        <w:tab w:val="left" w:pos="384"/>
      </w:tabs>
      <w:spacing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9287">
      <w:bodyDiv w:val="1"/>
      <w:marLeft w:val="0"/>
      <w:marRight w:val="0"/>
      <w:marTop w:val="0"/>
      <w:marBottom w:val="0"/>
      <w:divBdr>
        <w:top w:val="none" w:sz="0" w:space="0" w:color="auto"/>
        <w:left w:val="none" w:sz="0" w:space="0" w:color="auto"/>
        <w:bottom w:val="none" w:sz="0" w:space="0" w:color="auto"/>
        <w:right w:val="none" w:sz="0" w:space="0" w:color="auto"/>
      </w:divBdr>
    </w:div>
    <w:div w:id="54353007">
      <w:bodyDiv w:val="1"/>
      <w:marLeft w:val="0"/>
      <w:marRight w:val="0"/>
      <w:marTop w:val="0"/>
      <w:marBottom w:val="0"/>
      <w:divBdr>
        <w:top w:val="none" w:sz="0" w:space="0" w:color="auto"/>
        <w:left w:val="none" w:sz="0" w:space="0" w:color="auto"/>
        <w:bottom w:val="none" w:sz="0" w:space="0" w:color="auto"/>
        <w:right w:val="none" w:sz="0" w:space="0" w:color="auto"/>
      </w:divBdr>
    </w:div>
    <w:div w:id="70398936">
      <w:bodyDiv w:val="1"/>
      <w:marLeft w:val="0"/>
      <w:marRight w:val="0"/>
      <w:marTop w:val="0"/>
      <w:marBottom w:val="0"/>
      <w:divBdr>
        <w:top w:val="none" w:sz="0" w:space="0" w:color="auto"/>
        <w:left w:val="none" w:sz="0" w:space="0" w:color="auto"/>
        <w:bottom w:val="none" w:sz="0" w:space="0" w:color="auto"/>
        <w:right w:val="none" w:sz="0" w:space="0" w:color="auto"/>
      </w:divBdr>
    </w:div>
    <w:div w:id="93138800">
      <w:bodyDiv w:val="1"/>
      <w:marLeft w:val="0"/>
      <w:marRight w:val="0"/>
      <w:marTop w:val="0"/>
      <w:marBottom w:val="0"/>
      <w:divBdr>
        <w:top w:val="none" w:sz="0" w:space="0" w:color="auto"/>
        <w:left w:val="none" w:sz="0" w:space="0" w:color="auto"/>
        <w:bottom w:val="none" w:sz="0" w:space="0" w:color="auto"/>
        <w:right w:val="none" w:sz="0" w:space="0" w:color="auto"/>
      </w:divBdr>
    </w:div>
    <w:div w:id="126238499">
      <w:bodyDiv w:val="1"/>
      <w:marLeft w:val="0"/>
      <w:marRight w:val="0"/>
      <w:marTop w:val="0"/>
      <w:marBottom w:val="0"/>
      <w:divBdr>
        <w:top w:val="none" w:sz="0" w:space="0" w:color="auto"/>
        <w:left w:val="none" w:sz="0" w:space="0" w:color="auto"/>
        <w:bottom w:val="none" w:sz="0" w:space="0" w:color="auto"/>
        <w:right w:val="none" w:sz="0" w:space="0" w:color="auto"/>
      </w:divBdr>
    </w:div>
    <w:div w:id="160702154">
      <w:bodyDiv w:val="1"/>
      <w:marLeft w:val="0"/>
      <w:marRight w:val="0"/>
      <w:marTop w:val="0"/>
      <w:marBottom w:val="0"/>
      <w:divBdr>
        <w:top w:val="none" w:sz="0" w:space="0" w:color="auto"/>
        <w:left w:val="none" w:sz="0" w:space="0" w:color="auto"/>
        <w:bottom w:val="none" w:sz="0" w:space="0" w:color="auto"/>
        <w:right w:val="none" w:sz="0" w:space="0" w:color="auto"/>
      </w:divBdr>
    </w:div>
    <w:div w:id="163202914">
      <w:bodyDiv w:val="1"/>
      <w:marLeft w:val="0"/>
      <w:marRight w:val="0"/>
      <w:marTop w:val="0"/>
      <w:marBottom w:val="0"/>
      <w:divBdr>
        <w:top w:val="none" w:sz="0" w:space="0" w:color="auto"/>
        <w:left w:val="none" w:sz="0" w:space="0" w:color="auto"/>
        <w:bottom w:val="none" w:sz="0" w:space="0" w:color="auto"/>
        <w:right w:val="none" w:sz="0" w:space="0" w:color="auto"/>
      </w:divBdr>
    </w:div>
    <w:div w:id="166140595">
      <w:bodyDiv w:val="1"/>
      <w:marLeft w:val="0"/>
      <w:marRight w:val="0"/>
      <w:marTop w:val="0"/>
      <w:marBottom w:val="0"/>
      <w:divBdr>
        <w:top w:val="none" w:sz="0" w:space="0" w:color="auto"/>
        <w:left w:val="none" w:sz="0" w:space="0" w:color="auto"/>
        <w:bottom w:val="none" w:sz="0" w:space="0" w:color="auto"/>
        <w:right w:val="none" w:sz="0" w:space="0" w:color="auto"/>
      </w:divBdr>
    </w:div>
    <w:div w:id="212693772">
      <w:bodyDiv w:val="1"/>
      <w:marLeft w:val="0"/>
      <w:marRight w:val="0"/>
      <w:marTop w:val="0"/>
      <w:marBottom w:val="0"/>
      <w:divBdr>
        <w:top w:val="none" w:sz="0" w:space="0" w:color="auto"/>
        <w:left w:val="none" w:sz="0" w:space="0" w:color="auto"/>
        <w:bottom w:val="none" w:sz="0" w:space="0" w:color="auto"/>
        <w:right w:val="none" w:sz="0" w:space="0" w:color="auto"/>
      </w:divBdr>
    </w:div>
    <w:div w:id="270825057">
      <w:bodyDiv w:val="1"/>
      <w:marLeft w:val="0"/>
      <w:marRight w:val="0"/>
      <w:marTop w:val="0"/>
      <w:marBottom w:val="0"/>
      <w:divBdr>
        <w:top w:val="none" w:sz="0" w:space="0" w:color="auto"/>
        <w:left w:val="none" w:sz="0" w:space="0" w:color="auto"/>
        <w:bottom w:val="none" w:sz="0" w:space="0" w:color="auto"/>
        <w:right w:val="none" w:sz="0" w:space="0" w:color="auto"/>
      </w:divBdr>
    </w:div>
    <w:div w:id="285239488">
      <w:bodyDiv w:val="1"/>
      <w:marLeft w:val="0"/>
      <w:marRight w:val="0"/>
      <w:marTop w:val="0"/>
      <w:marBottom w:val="0"/>
      <w:divBdr>
        <w:top w:val="none" w:sz="0" w:space="0" w:color="auto"/>
        <w:left w:val="none" w:sz="0" w:space="0" w:color="auto"/>
        <w:bottom w:val="none" w:sz="0" w:space="0" w:color="auto"/>
        <w:right w:val="none" w:sz="0" w:space="0" w:color="auto"/>
      </w:divBdr>
    </w:div>
    <w:div w:id="323708097">
      <w:bodyDiv w:val="1"/>
      <w:marLeft w:val="0"/>
      <w:marRight w:val="0"/>
      <w:marTop w:val="0"/>
      <w:marBottom w:val="0"/>
      <w:divBdr>
        <w:top w:val="none" w:sz="0" w:space="0" w:color="auto"/>
        <w:left w:val="none" w:sz="0" w:space="0" w:color="auto"/>
        <w:bottom w:val="none" w:sz="0" w:space="0" w:color="auto"/>
        <w:right w:val="none" w:sz="0" w:space="0" w:color="auto"/>
      </w:divBdr>
    </w:div>
    <w:div w:id="409155811">
      <w:bodyDiv w:val="1"/>
      <w:marLeft w:val="0"/>
      <w:marRight w:val="0"/>
      <w:marTop w:val="0"/>
      <w:marBottom w:val="0"/>
      <w:divBdr>
        <w:top w:val="none" w:sz="0" w:space="0" w:color="auto"/>
        <w:left w:val="none" w:sz="0" w:space="0" w:color="auto"/>
        <w:bottom w:val="none" w:sz="0" w:space="0" w:color="auto"/>
        <w:right w:val="none" w:sz="0" w:space="0" w:color="auto"/>
      </w:divBdr>
    </w:div>
    <w:div w:id="432168834">
      <w:bodyDiv w:val="1"/>
      <w:marLeft w:val="0"/>
      <w:marRight w:val="0"/>
      <w:marTop w:val="0"/>
      <w:marBottom w:val="0"/>
      <w:divBdr>
        <w:top w:val="none" w:sz="0" w:space="0" w:color="auto"/>
        <w:left w:val="none" w:sz="0" w:space="0" w:color="auto"/>
        <w:bottom w:val="none" w:sz="0" w:space="0" w:color="auto"/>
        <w:right w:val="none" w:sz="0" w:space="0" w:color="auto"/>
      </w:divBdr>
      <w:divsChild>
        <w:div w:id="1946888415">
          <w:marLeft w:val="0"/>
          <w:marRight w:val="108"/>
          <w:marTop w:val="18"/>
          <w:marBottom w:val="108"/>
          <w:divBdr>
            <w:top w:val="none" w:sz="0" w:space="0" w:color="auto"/>
            <w:left w:val="none" w:sz="0" w:space="0" w:color="auto"/>
            <w:bottom w:val="none" w:sz="0" w:space="0" w:color="auto"/>
            <w:right w:val="none" w:sz="0" w:space="0" w:color="auto"/>
          </w:divBdr>
          <w:divsChild>
            <w:div w:id="1827622824">
              <w:marLeft w:val="0"/>
              <w:marRight w:val="0"/>
              <w:marTop w:val="0"/>
              <w:marBottom w:val="0"/>
              <w:divBdr>
                <w:top w:val="none" w:sz="0" w:space="0" w:color="auto"/>
                <w:left w:val="none" w:sz="0" w:space="0" w:color="auto"/>
                <w:bottom w:val="none" w:sz="0" w:space="0" w:color="auto"/>
                <w:right w:val="none" w:sz="0" w:space="0" w:color="auto"/>
              </w:divBdr>
              <w:divsChild>
                <w:div w:id="185696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354813">
      <w:bodyDiv w:val="1"/>
      <w:marLeft w:val="0"/>
      <w:marRight w:val="0"/>
      <w:marTop w:val="0"/>
      <w:marBottom w:val="0"/>
      <w:divBdr>
        <w:top w:val="none" w:sz="0" w:space="0" w:color="auto"/>
        <w:left w:val="none" w:sz="0" w:space="0" w:color="auto"/>
        <w:bottom w:val="none" w:sz="0" w:space="0" w:color="auto"/>
        <w:right w:val="none" w:sz="0" w:space="0" w:color="auto"/>
      </w:divBdr>
    </w:div>
    <w:div w:id="539167179">
      <w:bodyDiv w:val="1"/>
      <w:marLeft w:val="0"/>
      <w:marRight w:val="0"/>
      <w:marTop w:val="0"/>
      <w:marBottom w:val="0"/>
      <w:divBdr>
        <w:top w:val="none" w:sz="0" w:space="0" w:color="auto"/>
        <w:left w:val="none" w:sz="0" w:space="0" w:color="auto"/>
        <w:bottom w:val="none" w:sz="0" w:space="0" w:color="auto"/>
        <w:right w:val="none" w:sz="0" w:space="0" w:color="auto"/>
      </w:divBdr>
    </w:div>
    <w:div w:id="548105273">
      <w:bodyDiv w:val="1"/>
      <w:marLeft w:val="0"/>
      <w:marRight w:val="0"/>
      <w:marTop w:val="0"/>
      <w:marBottom w:val="0"/>
      <w:divBdr>
        <w:top w:val="none" w:sz="0" w:space="0" w:color="auto"/>
        <w:left w:val="none" w:sz="0" w:space="0" w:color="auto"/>
        <w:bottom w:val="none" w:sz="0" w:space="0" w:color="auto"/>
        <w:right w:val="none" w:sz="0" w:space="0" w:color="auto"/>
      </w:divBdr>
      <w:divsChild>
        <w:div w:id="29427516">
          <w:marLeft w:val="0"/>
          <w:marRight w:val="0"/>
          <w:marTop w:val="0"/>
          <w:marBottom w:val="0"/>
          <w:divBdr>
            <w:top w:val="none" w:sz="0" w:space="0" w:color="auto"/>
            <w:left w:val="none" w:sz="0" w:space="0" w:color="auto"/>
            <w:bottom w:val="none" w:sz="0" w:space="0" w:color="auto"/>
            <w:right w:val="none" w:sz="0" w:space="0" w:color="auto"/>
          </w:divBdr>
        </w:div>
        <w:div w:id="270360812">
          <w:marLeft w:val="0"/>
          <w:marRight w:val="0"/>
          <w:marTop w:val="0"/>
          <w:marBottom w:val="0"/>
          <w:divBdr>
            <w:top w:val="none" w:sz="0" w:space="0" w:color="auto"/>
            <w:left w:val="none" w:sz="0" w:space="0" w:color="auto"/>
            <w:bottom w:val="none" w:sz="0" w:space="0" w:color="auto"/>
            <w:right w:val="none" w:sz="0" w:space="0" w:color="auto"/>
          </w:divBdr>
        </w:div>
        <w:div w:id="278028357">
          <w:marLeft w:val="0"/>
          <w:marRight w:val="0"/>
          <w:marTop w:val="0"/>
          <w:marBottom w:val="0"/>
          <w:divBdr>
            <w:top w:val="none" w:sz="0" w:space="0" w:color="auto"/>
            <w:left w:val="none" w:sz="0" w:space="0" w:color="auto"/>
            <w:bottom w:val="none" w:sz="0" w:space="0" w:color="auto"/>
            <w:right w:val="none" w:sz="0" w:space="0" w:color="auto"/>
          </w:divBdr>
        </w:div>
        <w:div w:id="429013747">
          <w:marLeft w:val="0"/>
          <w:marRight w:val="0"/>
          <w:marTop w:val="0"/>
          <w:marBottom w:val="0"/>
          <w:divBdr>
            <w:top w:val="none" w:sz="0" w:space="0" w:color="auto"/>
            <w:left w:val="none" w:sz="0" w:space="0" w:color="auto"/>
            <w:bottom w:val="none" w:sz="0" w:space="0" w:color="auto"/>
            <w:right w:val="none" w:sz="0" w:space="0" w:color="auto"/>
          </w:divBdr>
        </w:div>
        <w:div w:id="1066027790">
          <w:marLeft w:val="0"/>
          <w:marRight w:val="0"/>
          <w:marTop w:val="0"/>
          <w:marBottom w:val="0"/>
          <w:divBdr>
            <w:top w:val="none" w:sz="0" w:space="0" w:color="auto"/>
            <w:left w:val="none" w:sz="0" w:space="0" w:color="auto"/>
            <w:bottom w:val="none" w:sz="0" w:space="0" w:color="auto"/>
            <w:right w:val="none" w:sz="0" w:space="0" w:color="auto"/>
          </w:divBdr>
        </w:div>
        <w:div w:id="1156727000">
          <w:marLeft w:val="0"/>
          <w:marRight w:val="0"/>
          <w:marTop w:val="0"/>
          <w:marBottom w:val="0"/>
          <w:divBdr>
            <w:top w:val="none" w:sz="0" w:space="0" w:color="auto"/>
            <w:left w:val="none" w:sz="0" w:space="0" w:color="auto"/>
            <w:bottom w:val="none" w:sz="0" w:space="0" w:color="auto"/>
            <w:right w:val="none" w:sz="0" w:space="0" w:color="auto"/>
          </w:divBdr>
        </w:div>
        <w:div w:id="1275552722">
          <w:marLeft w:val="0"/>
          <w:marRight w:val="0"/>
          <w:marTop w:val="0"/>
          <w:marBottom w:val="0"/>
          <w:divBdr>
            <w:top w:val="none" w:sz="0" w:space="0" w:color="auto"/>
            <w:left w:val="none" w:sz="0" w:space="0" w:color="auto"/>
            <w:bottom w:val="none" w:sz="0" w:space="0" w:color="auto"/>
            <w:right w:val="none" w:sz="0" w:space="0" w:color="auto"/>
          </w:divBdr>
        </w:div>
        <w:div w:id="1480616616">
          <w:marLeft w:val="0"/>
          <w:marRight w:val="0"/>
          <w:marTop w:val="0"/>
          <w:marBottom w:val="0"/>
          <w:divBdr>
            <w:top w:val="none" w:sz="0" w:space="0" w:color="auto"/>
            <w:left w:val="none" w:sz="0" w:space="0" w:color="auto"/>
            <w:bottom w:val="none" w:sz="0" w:space="0" w:color="auto"/>
            <w:right w:val="none" w:sz="0" w:space="0" w:color="auto"/>
          </w:divBdr>
        </w:div>
        <w:div w:id="1491480243">
          <w:marLeft w:val="0"/>
          <w:marRight w:val="0"/>
          <w:marTop w:val="0"/>
          <w:marBottom w:val="0"/>
          <w:divBdr>
            <w:top w:val="none" w:sz="0" w:space="0" w:color="auto"/>
            <w:left w:val="none" w:sz="0" w:space="0" w:color="auto"/>
            <w:bottom w:val="none" w:sz="0" w:space="0" w:color="auto"/>
            <w:right w:val="none" w:sz="0" w:space="0" w:color="auto"/>
          </w:divBdr>
        </w:div>
      </w:divsChild>
    </w:div>
    <w:div w:id="568926733">
      <w:bodyDiv w:val="1"/>
      <w:marLeft w:val="0"/>
      <w:marRight w:val="0"/>
      <w:marTop w:val="0"/>
      <w:marBottom w:val="0"/>
      <w:divBdr>
        <w:top w:val="none" w:sz="0" w:space="0" w:color="auto"/>
        <w:left w:val="none" w:sz="0" w:space="0" w:color="auto"/>
        <w:bottom w:val="none" w:sz="0" w:space="0" w:color="auto"/>
        <w:right w:val="none" w:sz="0" w:space="0" w:color="auto"/>
      </w:divBdr>
    </w:div>
    <w:div w:id="576474319">
      <w:bodyDiv w:val="1"/>
      <w:marLeft w:val="0"/>
      <w:marRight w:val="0"/>
      <w:marTop w:val="0"/>
      <w:marBottom w:val="0"/>
      <w:divBdr>
        <w:top w:val="none" w:sz="0" w:space="0" w:color="auto"/>
        <w:left w:val="none" w:sz="0" w:space="0" w:color="auto"/>
        <w:bottom w:val="none" w:sz="0" w:space="0" w:color="auto"/>
        <w:right w:val="none" w:sz="0" w:space="0" w:color="auto"/>
      </w:divBdr>
    </w:div>
    <w:div w:id="625163404">
      <w:bodyDiv w:val="1"/>
      <w:marLeft w:val="0"/>
      <w:marRight w:val="0"/>
      <w:marTop w:val="0"/>
      <w:marBottom w:val="0"/>
      <w:divBdr>
        <w:top w:val="none" w:sz="0" w:space="0" w:color="auto"/>
        <w:left w:val="none" w:sz="0" w:space="0" w:color="auto"/>
        <w:bottom w:val="none" w:sz="0" w:space="0" w:color="auto"/>
        <w:right w:val="none" w:sz="0" w:space="0" w:color="auto"/>
      </w:divBdr>
    </w:div>
    <w:div w:id="687558588">
      <w:bodyDiv w:val="1"/>
      <w:marLeft w:val="0"/>
      <w:marRight w:val="0"/>
      <w:marTop w:val="0"/>
      <w:marBottom w:val="0"/>
      <w:divBdr>
        <w:top w:val="none" w:sz="0" w:space="0" w:color="auto"/>
        <w:left w:val="none" w:sz="0" w:space="0" w:color="auto"/>
        <w:bottom w:val="none" w:sz="0" w:space="0" w:color="auto"/>
        <w:right w:val="none" w:sz="0" w:space="0" w:color="auto"/>
      </w:divBdr>
    </w:div>
    <w:div w:id="725227532">
      <w:bodyDiv w:val="1"/>
      <w:marLeft w:val="0"/>
      <w:marRight w:val="0"/>
      <w:marTop w:val="0"/>
      <w:marBottom w:val="0"/>
      <w:divBdr>
        <w:top w:val="none" w:sz="0" w:space="0" w:color="auto"/>
        <w:left w:val="none" w:sz="0" w:space="0" w:color="auto"/>
        <w:bottom w:val="none" w:sz="0" w:space="0" w:color="auto"/>
        <w:right w:val="none" w:sz="0" w:space="0" w:color="auto"/>
      </w:divBdr>
    </w:div>
    <w:div w:id="756051643">
      <w:bodyDiv w:val="1"/>
      <w:marLeft w:val="0"/>
      <w:marRight w:val="0"/>
      <w:marTop w:val="0"/>
      <w:marBottom w:val="0"/>
      <w:divBdr>
        <w:top w:val="none" w:sz="0" w:space="0" w:color="auto"/>
        <w:left w:val="none" w:sz="0" w:space="0" w:color="auto"/>
        <w:bottom w:val="none" w:sz="0" w:space="0" w:color="auto"/>
        <w:right w:val="none" w:sz="0" w:space="0" w:color="auto"/>
      </w:divBdr>
    </w:div>
    <w:div w:id="760183768">
      <w:bodyDiv w:val="1"/>
      <w:marLeft w:val="0"/>
      <w:marRight w:val="0"/>
      <w:marTop w:val="0"/>
      <w:marBottom w:val="0"/>
      <w:divBdr>
        <w:top w:val="none" w:sz="0" w:space="0" w:color="auto"/>
        <w:left w:val="none" w:sz="0" w:space="0" w:color="auto"/>
        <w:bottom w:val="none" w:sz="0" w:space="0" w:color="auto"/>
        <w:right w:val="none" w:sz="0" w:space="0" w:color="auto"/>
      </w:divBdr>
    </w:div>
    <w:div w:id="768042271">
      <w:bodyDiv w:val="1"/>
      <w:marLeft w:val="0"/>
      <w:marRight w:val="0"/>
      <w:marTop w:val="0"/>
      <w:marBottom w:val="0"/>
      <w:divBdr>
        <w:top w:val="none" w:sz="0" w:space="0" w:color="auto"/>
        <w:left w:val="none" w:sz="0" w:space="0" w:color="auto"/>
        <w:bottom w:val="none" w:sz="0" w:space="0" w:color="auto"/>
        <w:right w:val="none" w:sz="0" w:space="0" w:color="auto"/>
      </w:divBdr>
    </w:div>
    <w:div w:id="778835857">
      <w:bodyDiv w:val="1"/>
      <w:marLeft w:val="0"/>
      <w:marRight w:val="0"/>
      <w:marTop w:val="0"/>
      <w:marBottom w:val="0"/>
      <w:divBdr>
        <w:top w:val="none" w:sz="0" w:space="0" w:color="auto"/>
        <w:left w:val="none" w:sz="0" w:space="0" w:color="auto"/>
        <w:bottom w:val="none" w:sz="0" w:space="0" w:color="auto"/>
        <w:right w:val="none" w:sz="0" w:space="0" w:color="auto"/>
      </w:divBdr>
    </w:div>
    <w:div w:id="806900281">
      <w:bodyDiv w:val="1"/>
      <w:marLeft w:val="0"/>
      <w:marRight w:val="0"/>
      <w:marTop w:val="0"/>
      <w:marBottom w:val="0"/>
      <w:divBdr>
        <w:top w:val="none" w:sz="0" w:space="0" w:color="auto"/>
        <w:left w:val="none" w:sz="0" w:space="0" w:color="auto"/>
        <w:bottom w:val="none" w:sz="0" w:space="0" w:color="auto"/>
        <w:right w:val="none" w:sz="0" w:space="0" w:color="auto"/>
      </w:divBdr>
    </w:div>
    <w:div w:id="825970300">
      <w:bodyDiv w:val="1"/>
      <w:marLeft w:val="0"/>
      <w:marRight w:val="0"/>
      <w:marTop w:val="0"/>
      <w:marBottom w:val="0"/>
      <w:divBdr>
        <w:top w:val="none" w:sz="0" w:space="0" w:color="auto"/>
        <w:left w:val="none" w:sz="0" w:space="0" w:color="auto"/>
        <w:bottom w:val="none" w:sz="0" w:space="0" w:color="auto"/>
        <w:right w:val="none" w:sz="0" w:space="0" w:color="auto"/>
      </w:divBdr>
      <w:divsChild>
        <w:div w:id="1346858680">
          <w:marLeft w:val="0"/>
          <w:marRight w:val="0"/>
          <w:marTop w:val="0"/>
          <w:marBottom w:val="0"/>
          <w:divBdr>
            <w:top w:val="none" w:sz="0" w:space="0" w:color="auto"/>
            <w:left w:val="none" w:sz="0" w:space="0" w:color="auto"/>
            <w:bottom w:val="none" w:sz="0" w:space="0" w:color="auto"/>
            <w:right w:val="none" w:sz="0" w:space="0" w:color="auto"/>
          </w:divBdr>
        </w:div>
      </w:divsChild>
    </w:div>
    <w:div w:id="851915903">
      <w:bodyDiv w:val="1"/>
      <w:marLeft w:val="0"/>
      <w:marRight w:val="0"/>
      <w:marTop w:val="0"/>
      <w:marBottom w:val="0"/>
      <w:divBdr>
        <w:top w:val="none" w:sz="0" w:space="0" w:color="auto"/>
        <w:left w:val="none" w:sz="0" w:space="0" w:color="auto"/>
        <w:bottom w:val="none" w:sz="0" w:space="0" w:color="auto"/>
        <w:right w:val="none" w:sz="0" w:space="0" w:color="auto"/>
      </w:divBdr>
    </w:div>
    <w:div w:id="862212041">
      <w:bodyDiv w:val="1"/>
      <w:marLeft w:val="0"/>
      <w:marRight w:val="0"/>
      <w:marTop w:val="0"/>
      <w:marBottom w:val="0"/>
      <w:divBdr>
        <w:top w:val="none" w:sz="0" w:space="0" w:color="auto"/>
        <w:left w:val="none" w:sz="0" w:space="0" w:color="auto"/>
        <w:bottom w:val="none" w:sz="0" w:space="0" w:color="auto"/>
        <w:right w:val="none" w:sz="0" w:space="0" w:color="auto"/>
      </w:divBdr>
    </w:div>
    <w:div w:id="1015112954">
      <w:bodyDiv w:val="1"/>
      <w:marLeft w:val="0"/>
      <w:marRight w:val="0"/>
      <w:marTop w:val="0"/>
      <w:marBottom w:val="0"/>
      <w:divBdr>
        <w:top w:val="none" w:sz="0" w:space="0" w:color="auto"/>
        <w:left w:val="none" w:sz="0" w:space="0" w:color="auto"/>
        <w:bottom w:val="none" w:sz="0" w:space="0" w:color="auto"/>
        <w:right w:val="none" w:sz="0" w:space="0" w:color="auto"/>
      </w:divBdr>
    </w:div>
    <w:div w:id="1028288226">
      <w:bodyDiv w:val="1"/>
      <w:marLeft w:val="0"/>
      <w:marRight w:val="0"/>
      <w:marTop w:val="0"/>
      <w:marBottom w:val="0"/>
      <w:divBdr>
        <w:top w:val="none" w:sz="0" w:space="0" w:color="auto"/>
        <w:left w:val="none" w:sz="0" w:space="0" w:color="auto"/>
        <w:bottom w:val="none" w:sz="0" w:space="0" w:color="auto"/>
        <w:right w:val="none" w:sz="0" w:space="0" w:color="auto"/>
      </w:divBdr>
    </w:div>
    <w:div w:id="1047144897">
      <w:bodyDiv w:val="1"/>
      <w:marLeft w:val="0"/>
      <w:marRight w:val="0"/>
      <w:marTop w:val="0"/>
      <w:marBottom w:val="0"/>
      <w:divBdr>
        <w:top w:val="none" w:sz="0" w:space="0" w:color="auto"/>
        <w:left w:val="none" w:sz="0" w:space="0" w:color="auto"/>
        <w:bottom w:val="none" w:sz="0" w:space="0" w:color="auto"/>
        <w:right w:val="none" w:sz="0" w:space="0" w:color="auto"/>
      </w:divBdr>
    </w:div>
    <w:div w:id="1059014863">
      <w:bodyDiv w:val="1"/>
      <w:marLeft w:val="0"/>
      <w:marRight w:val="0"/>
      <w:marTop w:val="0"/>
      <w:marBottom w:val="0"/>
      <w:divBdr>
        <w:top w:val="none" w:sz="0" w:space="0" w:color="auto"/>
        <w:left w:val="none" w:sz="0" w:space="0" w:color="auto"/>
        <w:bottom w:val="none" w:sz="0" w:space="0" w:color="auto"/>
        <w:right w:val="none" w:sz="0" w:space="0" w:color="auto"/>
      </w:divBdr>
    </w:div>
    <w:div w:id="1068191384">
      <w:bodyDiv w:val="1"/>
      <w:marLeft w:val="0"/>
      <w:marRight w:val="0"/>
      <w:marTop w:val="0"/>
      <w:marBottom w:val="0"/>
      <w:divBdr>
        <w:top w:val="none" w:sz="0" w:space="0" w:color="auto"/>
        <w:left w:val="none" w:sz="0" w:space="0" w:color="auto"/>
        <w:bottom w:val="none" w:sz="0" w:space="0" w:color="auto"/>
        <w:right w:val="none" w:sz="0" w:space="0" w:color="auto"/>
      </w:divBdr>
      <w:divsChild>
        <w:div w:id="1294016249">
          <w:marLeft w:val="0"/>
          <w:marRight w:val="108"/>
          <w:marTop w:val="108"/>
          <w:marBottom w:val="108"/>
          <w:divBdr>
            <w:top w:val="none" w:sz="0" w:space="0" w:color="auto"/>
            <w:left w:val="none" w:sz="0" w:space="0" w:color="auto"/>
            <w:bottom w:val="none" w:sz="0" w:space="0" w:color="auto"/>
            <w:right w:val="none" w:sz="0" w:space="0" w:color="auto"/>
          </w:divBdr>
          <w:divsChild>
            <w:div w:id="558326266">
              <w:marLeft w:val="0"/>
              <w:marRight w:val="0"/>
              <w:marTop w:val="0"/>
              <w:marBottom w:val="0"/>
              <w:divBdr>
                <w:top w:val="none" w:sz="0" w:space="0" w:color="auto"/>
                <w:left w:val="none" w:sz="0" w:space="0" w:color="auto"/>
                <w:bottom w:val="none" w:sz="0" w:space="0" w:color="auto"/>
                <w:right w:val="none" w:sz="0" w:space="0" w:color="auto"/>
              </w:divBdr>
              <w:divsChild>
                <w:div w:id="176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17237">
      <w:bodyDiv w:val="1"/>
      <w:marLeft w:val="0"/>
      <w:marRight w:val="0"/>
      <w:marTop w:val="0"/>
      <w:marBottom w:val="0"/>
      <w:divBdr>
        <w:top w:val="none" w:sz="0" w:space="0" w:color="auto"/>
        <w:left w:val="none" w:sz="0" w:space="0" w:color="auto"/>
        <w:bottom w:val="none" w:sz="0" w:space="0" w:color="auto"/>
        <w:right w:val="none" w:sz="0" w:space="0" w:color="auto"/>
      </w:divBdr>
      <w:divsChild>
        <w:div w:id="906762080">
          <w:marLeft w:val="0"/>
          <w:marRight w:val="108"/>
          <w:marTop w:val="18"/>
          <w:marBottom w:val="108"/>
          <w:divBdr>
            <w:top w:val="none" w:sz="0" w:space="0" w:color="auto"/>
            <w:left w:val="none" w:sz="0" w:space="0" w:color="auto"/>
            <w:bottom w:val="none" w:sz="0" w:space="0" w:color="auto"/>
            <w:right w:val="none" w:sz="0" w:space="0" w:color="auto"/>
          </w:divBdr>
          <w:divsChild>
            <w:div w:id="1295941098">
              <w:marLeft w:val="0"/>
              <w:marRight w:val="0"/>
              <w:marTop w:val="0"/>
              <w:marBottom w:val="0"/>
              <w:divBdr>
                <w:top w:val="none" w:sz="0" w:space="0" w:color="auto"/>
                <w:left w:val="none" w:sz="0" w:space="0" w:color="auto"/>
                <w:bottom w:val="none" w:sz="0" w:space="0" w:color="auto"/>
                <w:right w:val="none" w:sz="0" w:space="0" w:color="auto"/>
              </w:divBdr>
              <w:divsChild>
                <w:div w:id="1674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35001">
      <w:bodyDiv w:val="1"/>
      <w:marLeft w:val="0"/>
      <w:marRight w:val="0"/>
      <w:marTop w:val="0"/>
      <w:marBottom w:val="0"/>
      <w:divBdr>
        <w:top w:val="none" w:sz="0" w:space="0" w:color="auto"/>
        <w:left w:val="none" w:sz="0" w:space="0" w:color="auto"/>
        <w:bottom w:val="none" w:sz="0" w:space="0" w:color="auto"/>
        <w:right w:val="none" w:sz="0" w:space="0" w:color="auto"/>
      </w:divBdr>
    </w:div>
    <w:div w:id="1164008794">
      <w:bodyDiv w:val="1"/>
      <w:marLeft w:val="0"/>
      <w:marRight w:val="0"/>
      <w:marTop w:val="0"/>
      <w:marBottom w:val="0"/>
      <w:divBdr>
        <w:top w:val="none" w:sz="0" w:space="0" w:color="auto"/>
        <w:left w:val="none" w:sz="0" w:space="0" w:color="auto"/>
        <w:bottom w:val="none" w:sz="0" w:space="0" w:color="auto"/>
        <w:right w:val="none" w:sz="0" w:space="0" w:color="auto"/>
      </w:divBdr>
    </w:div>
    <w:div w:id="1176727556">
      <w:bodyDiv w:val="1"/>
      <w:marLeft w:val="0"/>
      <w:marRight w:val="0"/>
      <w:marTop w:val="0"/>
      <w:marBottom w:val="0"/>
      <w:divBdr>
        <w:top w:val="none" w:sz="0" w:space="0" w:color="auto"/>
        <w:left w:val="none" w:sz="0" w:space="0" w:color="auto"/>
        <w:bottom w:val="none" w:sz="0" w:space="0" w:color="auto"/>
        <w:right w:val="none" w:sz="0" w:space="0" w:color="auto"/>
      </w:divBdr>
    </w:div>
    <w:div w:id="1193618317">
      <w:bodyDiv w:val="1"/>
      <w:marLeft w:val="0"/>
      <w:marRight w:val="0"/>
      <w:marTop w:val="0"/>
      <w:marBottom w:val="0"/>
      <w:divBdr>
        <w:top w:val="none" w:sz="0" w:space="0" w:color="auto"/>
        <w:left w:val="none" w:sz="0" w:space="0" w:color="auto"/>
        <w:bottom w:val="none" w:sz="0" w:space="0" w:color="auto"/>
        <w:right w:val="none" w:sz="0" w:space="0" w:color="auto"/>
      </w:divBdr>
    </w:div>
    <w:div w:id="1220092699">
      <w:bodyDiv w:val="1"/>
      <w:marLeft w:val="0"/>
      <w:marRight w:val="0"/>
      <w:marTop w:val="0"/>
      <w:marBottom w:val="0"/>
      <w:divBdr>
        <w:top w:val="none" w:sz="0" w:space="0" w:color="auto"/>
        <w:left w:val="none" w:sz="0" w:space="0" w:color="auto"/>
        <w:bottom w:val="none" w:sz="0" w:space="0" w:color="auto"/>
        <w:right w:val="none" w:sz="0" w:space="0" w:color="auto"/>
      </w:divBdr>
      <w:divsChild>
        <w:div w:id="968824862">
          <w:marLeft w:val="0"/>
          <w:marRight w:val="0"/>
          <w:marTop w:val="0"/>
          <w:marBottom w:val="0"/>
          <w:divBdr>
            <w:top w:val="none" w:sz="0" w:space="0" w:color="auto"/>
            <w:left w:val="none" w:sz="0" w:space="0" w:color="auto"/>
            <w:bottom w:val="none" w:sz="0" w:space="0" w:color="auto"/>
            <w:right w:val="none" w:sz="0" w:space="0" w:color="auto"/>
          </w:divBdr>
        </w:div>
      </w:divsChild>
    </w:div>
    <w:div w:id="1257833029">
      <w:bodyDiv w:val="1"/>
      <w:marLeft w:val="0"/>
      <w:marRight w:val="0"/>
      <w:marTop w:val="0"/>
      <w:marBottom w:val="0"/>
      <w:divBdr>
        <w:top w:val="none" w:sz="0" w:space="0" w:color="auto"/>
        <w:left w:val="none" w:sz="0" w:space="0" w:color="auto"/>
        <w:bottom w:val="none" w:sz="0" w:space="0" w:color="auto"/>
        <w:right w:val="none" w:sz="0" w:space="0" w:color="auto"/>
      </w:divBdr>
    </w:div>
    <w:div w:id="1388989958">
      <w:bodyDiv w:val="1"/>
      <w:marLeft w:val="0"/>
      <w:marRight w:val="0"/>
      <w:marTop w:val="0"/>
      <w:marBottom w:val="0"/>
      <w:divBdr>
        <w:top w:val="none" w:sz="0" w:space="0" w:color="auto"/>
        <w:left w:val="none" w:sz="0" w:space="0" w:color="auto"/>
        <w:bottom w:val="none" w:sz="0" w:space="0" w:color="auto"/>
        <w:right w:val="none" w:sz="0" w:space="0" w:color="auto"/>
      </w:divBdr>
    </w:div>
    <w:div w:id="1419981113">
      <w:bodyDiv w:val="1"/>
      <w:marLeft w:val="0"/>
      <w:marRight w:val="0"/>
      <w:marTop w:val="0"/>
      <w:marBottom w:val="0"/>
      <w:divBdr>
        <w:top w:val="none" w:sz="0" w:space="0" w:color="auto"/>
        <w:left w:val="none" w:sz="0" w:space="0" w:color="auto"/>
        <w:bottom w:val="none" w:sz="0" w:space="0" w:color="auto"/>
        <w:right w:val="none" w:sz="0" w:space="0" w:color="auto"/>
      </w:divBdr>
    </w:div>
    <w:div w:id="1456633243">
      <w:bodyDiv w:val="1"/>
      <w:marLeft w:val="0"/>
      <w:marRight w:val="0"/>
      <w:marTop w:val="0"/>
      <w:marBottom w:val="0"/>
      <w:divBdr>
        <w:top w:val="none" w:sz="0" w:space="0" w:color="auto"/>
        <w:left w:val="none" w:sz="0" w:space="0" w:color="auto"/>
        <w:bottom w:val="none" w:sz="0" w:space="0" w:color="auto"/>
        <w:right w:val="none" w:sz="0" w:space="0" w:color="auto"/>
      </w:divBdr>
    </w:div>
    <w:div w:id="1456946286">
      <w:bodyDiv w:val="1"/>
      <w:marLeft w:val="0"/>
      <w:marRight w:val="0"/>
      <w:marTop w:val="0"/>
      <w:marBottom w:val="0"/>
      <w:divBdr>
        <w:top w:val="none" w:sz="0" w:space="0" w:color="auto"/>
        <w:left w:val="none" w:sz="0" w:space="0" w:color="auto"/>
        <w:bottom w:val="none" w:sz="0" w:space="0" w:color="auto"/>
        <w:right w:val="none" w:sz="0" w:space="0" w:color="auto"/>
      </w:divBdr>
    </w:div>
    <w:div w:id="1475874985">
      <w:bodyDiv w:val="1"/>
      <w:marLeft w:val="0"/>
      <w:marRight w:val="0"/>
      <w:marTop w:val="0"/>
      <w:marBottom w:val="0"/>
      <w:divBdr>
        <w:top w:val="none" w:sz="0" w:space="0" w:color="auto"/>
        <w:left w:val="none" w:sz="0" w:space="0" w:color="auto"/>
        <w:bottom w:val="none" w:sz="0" w:space="0" w:color="auto"/>
        <w:right w:val="none" w:sz="0" w:space="0" w:color="auto"/>
      </w:divBdr>
    </w:div>
    <w:div w:id="1499226505">
      <w:bodyDiv w:val="1"/>
      <w:marLeft w:val="0"/>
      <w:marRight w:val="0"/>
      <w:marTop w:val="0"/>
      <w:marBottom w:val="0"/>
      <w:divBdr>
        <w:top w:val="none" w:sz="0" w:space="0" w:color="auto"/>
        <w:left w:val="none" w:sz="0" w:space="0" w:color="auto"/>
        <w:bottom w:val="none" w:sz="0" w:space="0" w:color="auto"/>
        <w:right w:val="none" w:sz="0" w:space="0" w:color="auto"/>
      </w:divBdr>
      <w:divsChild>
        <w:div w:id="191189353">
          <w:marLeft w:val="0"/>
          <w:marRight w:val="108"/>
          <w:marTop w:val="18"/>
          <w:marBottom w:val="108"/>
          <w:divBdr>
            <w:top w:val="none" w:sz="0" w:space="0" w:color="auto"/>
            <w:left w:val="none" w:sz="0" w:space="0" w:color="auto"/>
            <w:bottom w:val="none" w:sz="0" w:space="0" w:color="auto"/>
            <w:right w:val="none" w:sz="0" w:space="0" w:color="auto"/>
          </w:divBdr>
          <w:divsChild>
            <w:div w:id="1994677391">
              <w:marLeft w:val="0"/>
              <w:marRight w:val="0"/>
              <w:marTop w:val="0"/>
              <w:marBottom w:val="0"/>
              <w:divBdr>
                <w:top w:val="none" w:sz="0" w:space="0" w:color="auto"/>
                <w:left w:val="none" w:sz="0" w:space="0" w:color="auto"/>
                <w:bottom w:val="none" w:sz="0" w:space="0" w:color="auto"/>
                <w:right w:val="none" w:sz="0" w:space="0" w:color="auto"/>
              </w:divBdr>
              <w:divsChild>
                <w:div w:id="9232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3196">
      <w:bodyDiv w:val="1"/>
      <w:marLeft w:val="0"/>
      <w:marRight w:val="0"/>
      <w:marTop w:val="0"/>
      <w:marBottom w:val="0"/>
      <w:divBdr>
        <w:top w:val="none" w:sz="0" w:space="0" w:color="auto"/>
        <w:left w:val="none" w:sz="0" w:space="0" w:color="auto"/>
        <w:bottom w:val="none" w:sz="0" w:space="0" w:color="auto"/>
        <w:right w:val="none" w:sz="0" w:space="0" w:color="auto"/>
      </w:divBdr>
    </w:div>
    <w:div w:id="1571580826">
      <w:bodyDiv w:val="1"/>
      <w:marLeft w:val="0"/>
      <w:marRight w:val="0"/>
      <w:marTop w:val="0"/>
      <w:marBottom w:val="0"/>
      <w:divBdr>
        <w:top w:val="none" w:sz="0" w:space="0" w:color="auto"/>
        <w:left w:val="none" w:sz="0" w:space="0" w:color="auto"/>
        <w:bottom w:val="none" w:sz="0" w:space="0" w:color="auto"/>
        <w:right w:val="none" w:sz="0" w:space="0" w:color="auto"/>
      </w:divBdr>
    </w:div>
    <w:div w:id="1610502799">
      <w:bodyDiv w:val="1"/>
      <w:marLeft w:val="0"/>
      <w:marRight w:val="0"/>
      <w:marTop w:val="0"/>
      <w:marBottom w:val="0"/>
      <w:divBdr>
        <w:top w:val="none" w:sz="0" w:space="0" w:color="auto"/>
        <w:left w:val="none" w:sz="0" w:space="0" w:color="auto"/>
        <w:bottom w:val="none" w:sz="0" w:space="0" w:color="auto"/>
        <w:right w:val="none" w:sz="0" w:space="0" w:color="auto"/>
      </w:divBdr>
    </w:div>
    <w:div w:id="1632512153">
      <w:bodyDiv w:val="1"/>
      <w:marLeft w:val="0"/>
      <w:marRight w:val="0"/>
      <w:marTop w:val="0"/>
      <w:marBottom w:val="0"/>
      <w:divBdr>
        <w:top w:val="none" w:sz="0" w:space="0" w:color="auto"/>
        <w:left w:val="none" w:sz="0" w:space="0" w:color="auto"/>
        <w:bottom w:val="none" w:sz="0" w:space="0" w:color="auto"/>
        <w:right w:val="none" w:sz="0" w:space="0" w:color="auto"/>
      </w:divBdr>
    </w:div>
    <w:div w:id="1672291376">
      <w:bodyDiv w:val="1"/>
      <w:marLeft w:val="0"/>
      <w:marRight w:val="0"/>
      <w:marTop w:val="0"/>
      <w:marBottom w:val="0"/>
      <w:divBdr>
        <w:top w:val="none" w:sz="0" w:space="0" w:color="auto"/>
        <w:left w:val="none" w:sz="0" w:space="0" w:color="auto"/>
        <w:bottom w:val="none" w:sz="0" w:space="0" w:color="auto"/>
        <w:right w:val="none" w:sz="0" w:space="0" w:color="auto"/>
      </w:divBdr>
    </w:div>
    <w:div w:id="1672679963">
      <w:bodyDiv w:val="1"/>
      <w:marLeft w:val="0"/>
      <w:marRight w:val="0"/>
      <w:marTop w:val="0"/>
      <w:marBottom w:val="0"/>
      <w:divBdr>
        <w:top w:val="none" w:sz="0" w:space="0" w:color="auto"/>
        <w:left w:val="none" w:sz="0" w:space="0" w:color="auto"/>
        <w:bottom w:val="none" w:sz="0" w:space="0" w:color="auto"/>
        <w:right w:val="none" w:sz="0" w:space="0" w:color="auto"/>
      </w:divBdr>
    </w:div>
    <w:div w:id="1685277339">
      <w:bodyDiv w:val="1"/>
      <w:marLeft w:val="0"/>
      <w:marRight w:val="0"/>
      <w:marTop w:val="0"/>
      <w:marBottom w:val="0"/>
      <w:divBdr>
        <w:top w:val="none" w:sz="0" w:space="0" w:color="auto"/>
        <w:left w:val="none" w:sz="0" w:space="0" w:color="auto"/>
        <w:bottom w:val="none" w:sz="0" w:space="0" w:color="auto"/>
        <w:right w:val="none" w:sz="0" w:space="0" w:color="auto"/>
      </w:divBdr>
      <w:divsChild>
        <w:div w:id="478152717">
          <w:marLeft w:val="0"/>
          <w:marRight w:val="108"/>
          <w:marTop w:val="18"/>
          <w:marBottom w:val="108"/>
          <w:divBdr>
            <w:top w:val="none" w:sz="0" w:space="0" w:color="auto"/>
            <w:left w:val="none" w:sz="0" w:space="0" w:color="auto"/>
            <w:bottom w:val="none" w:sz="0" w:space="0" w:color="auto"/>
            <w:right w:val="none" w:sz="0" w:space="0" w:color="auto"/>
          </w:divBdr>
          <w:divsChild>
            <w:div w:id="1481263173">
              <w:marLeft w:val="0"/>
              <w:marRight w:val="0"/>
              <w:marTop w:val="0"/>
              <w:marBottom w:val="0"/>
              <w:divBdr>
                <w:top w:val="none" w:sz="0" w:space="0" w:color="auto"/>
                <w:left w:val="none" w:sz="0" w:space="0" w:color="auto"/>
                <w:bottom w:val="none" w:sz="0" w:space="0" w:color="auto"/>
                <w:right w:val="none" w:sz="0" w:space="0" w:color="auto"/>
              </w:divBdr>
              <w:divsChild>
                <w:div w:id="44708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3712">
      <w:bodyDiv w:val="1"/>
      <w:marLeft w:val="0"/>
      <w:marRight w:val="0"/>
      <w:marTop w:val="0"/>
      <w:marBottom w:val="0"/>
      <w:divBdr>
        <w:top w:val="none" w:sz="0" w:space="0" w:color="auto"/>
        <w:left w:val="none" w:sz="0" w:space="0" w:color="auto"/>
        <w:bottom w:val="none" w:sz="0" w:space="0" w:color="auto"/>
        <w:right w:val="none" w:sz="0" w:space="0" w:color="auto"/>
      </w:divBdr>
      <w:divsChild>
        <w:div w:id="199248300">
          <w:marLeft w:val="0"/>
          <w:marRight w:val="0"/>
          <w:marTop w:val="0"/>
          <w:marBottom w:val="0"/>
          <w:divBdr>
            <w:top w:val="none" w:sz="0" w:space="0" w:color="auto"/>
            <w:left w:val="none" w:sz="0" w:space="0" w:color="auto"/>
            <w:bottom w:val="none" w:sz="0" w:space="0" w:color="auto"/>
            <w:right w:val="none" w:sz="0" w:space="0" w:color="auto"/>
          </w:divBdr>
        </w:div>
      </w:divsChild>
    </w:div>
    <w:div w:id="1725787464">
      <w:bodyDiv w:val="1"/>
      <w:marLeft w:val="0"/>
      <w:marRight w:val="0"/>
      <w:marTop w:val="0"/>
      <w:marBottom w:val="0"/>
      <w:divBdr>
        <w:top w:val="none" w:sz="0" w:space="0" w:color="auto"/>
        <w:left w:val="none" w:sz="0" w:space="0" w:color="auto"/>
        <w:bottom w:val="none" w:sz="0" w:space="0" w:color="auto"/>
        <w:right w:val="none" w:sz="0" w:space="0" w:color="auto"/>
      </w:divBdr>
    </w:div>
    <w:div w:id="1741322696">
      <w:bodyDiv w:val="1"/>
      <w:marLeft w:val="0"/>
      <w:marRight w:val="0"/>
      <w:marTop w:val="0"/>
      <w:marBottom w:val="0"/>
      <w:divBdr>
        <w:top w:val="none" w:sz="0" w:space="0" w:color="auto"/>
        <w:left w:val="none" w:sz="0" w:space="0" w:color="auto"/>
        <w:bottom w:val="none" w:sz="0" w:space="0" w:color="auto"/>
        <w:right w:val="none" w:sz="0" w:space="0" w:color="auto"/>
      </w:divBdr>
      <w:divsChild>
        <w:div w:id="1152915867">
          <w:marLeft w:val="0"/>
          <w:marRight w:val="108"/>
          <w:marTop w:val="18"/>
          <w:marBottom w:val="108"/>
          <w:divBdr>
            <w:top w:val="none" w:sz="0" w:space="0" w:color="auto"/>
            <w:left w:val="none" w:sz="0" w:space="0" w:color="auto"/>
            <w:bottom w:val="none" w:sz="0" w:space="0" w:color="auto"/>
            <w:right w:val="none" w:sz="0" w:space="0" w:color="auto"/>
          </w:divBdr>
          <w:divsChild>
            <w:div w:id="292292533">
              <w:marLeft w:val="0"/>
              <w:marRight w:val="0"/>
              <w:marTop w:val="0"/>
              <w:marBottom w:val="0"/>
              <w:divBdr>
                <w:top w:val="none" w:sz="0" w:space="0" w:color="auto"/>
                <w:left w:val="none" w:sz="0" w:space="0" w:color="auto"/>
                <w:bottom w:val="none" w:sz="0" w:space="0" w:color="auto"/>
                <w:right w:val="none" w:sz="0" w:space="0" w:color="auto"/>
              </w:divBdr>
              <w:divsChild>
                <w:div w:id="13790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928957">
      <w:bodyDiv w:val="1"/>
      <w:marLeft w:val="0"/>
      <w:marRight w:val="0"/>
      <w:marTop w:val="0"/>
      <w:marBottom w:val="0"/>
      <w:divBdr>
        <w:top w:val="none" w:sz="0" w:space="0" w:color="auto"/>
        <w:left w:val="none" w:sz="0" w:space="0" w:color="auto"/>
        <w:bottom w:val="none" w:sz="0" w:space="0" w:color="auto"/>
        <w:right w:val="none" w:sz="0" w:space="0" w:color="auto"/>
      </w:divBdr>
    </w:div>
    <w:div w:id="1784567476">
      <w:bodyDiv w:val="1"/>
      <w:marLeft w:val="0"/>
      <w:marRight w:val="0"/>
      <w:marTop w:val="0"/>
      <w:marBottom w:val="0"/>
      <w:divBdr>
        <w:top w:val="none" w:sz="0" w:space="0" w:color="auto"/>
        <w:left w:val="none" w:sz="0" w:space="0" w:color="auto"/>
        <w:bottom w:val="none" w:sz="0" w:space="0" w:color="auto"/>
        <w:right w:val="none" w:sz="0" w:space="0" w:color="auto"/>
      </w:divBdr>
    </w:div>
    <w:div w:id="1801998234">
      <w:bodyDiv w:val="1"/>
      <w:marLeft w:val="0"/>
      <w:marRight w:val="0"/>
      <w:marTop w:val="0"/>
      <w:marBottom w:val="0"/>
      <w:divBdr>
        <w:top w:val="none" w:sz="0" w:space="0" w:color="auto"/>
        <w:left w:val="none" w:sz="0" w:space="0" w:color="auto"/>
        <w:bottom w:val="none" w:sz="0" w:space="0" w:color="auto"/>
        <w:right w:val="none" w:sz="0" w:space="0" w:color="auto"/>
      </w:divBdr>
    </w:div>
    <w:div w:id="1829438402">
      <w:bodyDiv w:val="1"/>
      <w:marLeft w:val="0"/>
      <w:marRight w:val="0"/>
      <w:marTop w:val="0"/>
      <w:marBottom w:val="0"/>
      <w:divBdr>
        <w:top w:val="none" w:sz="0" w:space="0" w:color="auto"/>
        <w:left w:val="none" w:sz="0" w:space="0" w:color="auto"/>
        <w:bottom w:val="none" w:sz="0" w:space="0" w:color="auto"/>
        <w:right w:val="none" w:sz="0" w:space="0" w:color="auto"/>
      </w:divBdr>
    </w:div>
    <w:div w:id="1844860245">
      <w:bodyDiv w:val="1"/>
      <w:marLeft w:val="0"/>
      <w:marRight w:val="0"/>
      <w:marTop w:val="0"/>
      <w:marBottom w:val="0"/>
      <w:divBdr>
        <w:top w:val="none" w:sz="0" w:space="0" w:color="auto"/>
        <w:left w:val="none" w:sz="0" w:space="0" w:color="auto"/>
        <w:bottom w:val="none" w:sz="0" w:space="0" w:color="auto"/>
        <w:right w:val="none" w:sz="0" w:space="0" w:color="auto"/>
      </w:divBdr>
    </w:div>
    <w:div w:id="1901557836">
      <w:bodyDiv w:val="1"/>
      <w:marLeft w:val="0"/>
      <w:marRight w:val="0"/>
      <w:marTop w:val="0"/>
      <w:marBottom w:val="0"/>
      <w:divBdr>
        <w:top w:val="none" w:sz="0" w:space="0" w:color="auto"/>
        <w:left w:val="none" w:sz="0" w:space="0" w:color="auto"/>
        <w:bottom w:val="none" w:sz="0" w:space="0" w:color="auto"/>
        <w:right w:val="none" w:sz="0" w:space="0" w:color="auto"/>
      </w:divBdr>
    </w:div>
    <w:div w:id="1929730653">
      <w:bodyDiv w:val="1"/>
      <w:marLeft w:val="0"/>
      <w:marRight w:val="0"/>
      <w:marTop w:val="0"/>
      <w:marBottom w:val="0"/>
      <w:divBdr>
        <w:top w:val="none" w:sz="0" w:space="0" w:color="auto"/>
        <w:left w:val="none" w:sz="0" w:space="0" w:color="auto"/>
        <w:bottom w:val="none" w:sz="0" w:space="0" w:color="auto"/>
        <w:right w:val="none" w:sz="0" w:space="0" w:color="auto"/>
      </w:divBdr>
    </w:div>
    <w:div w:id="1952399275">
      <w:bodyDiv w:val="1"/>
      <w:marLeft w:val="0"/>
      <w:marRight w:val="0"/>
      <w:marTop w:val="0"/>
      <w:marBottom w:val="0"/>
      <w:divBdr>
        <w:top w:val="none" w:sz="0" w:space="0" w:color="auto"/>
        <w:left w:val="none" w:sz="0" w:space="0" w:color="auto"/>
        <w:bottom w:val="none" w:sz="0" w:space="0" w:color="auto"/>
        <w:right w:val="none" w:sz="0" w:space="0" w:color="auto"/>
      </w:divBdr>
    </w:div>
    <w:div w:id="1960337132">
      <w:bodyDiv w:val="1"/>
      <w:marLeft w:val="0"/>
      <w:marRight w:val="0"/>
      <w:marTop w:val="0"/>
      <w:marBottom w:val="0"/>
      <w:divBdr>
        <w:top w:val="none" w:sz="0" w:space="0" w:color="auto"/>
        <w:left w:val="none" w:sz="0" w:space="0" w:color="auto"/>
        <w:bottom w:val="none" w:sz="0" w:space="0" w:color="auto"/>
        <w:right w:val="none" w:sz="0" w:space="0" w:color="auto"/>
      </w:divBdr>
    </w:div>
    <w:div w:id="2009943986">
      <w:bodyDiv w:val="1"/>
      <w:marLeft w:val="0"/>
      <w:marRight w:val="0"/>
      <w:marTop w:val="0"/>
      <w:marBottom w:val="0"/>
      <w:divBdr>
        <w:top w:val="none" w:sz="0" w:space="0" w:color="auto"/>
        <w:left w:val="none" w:sz="0" w:space="0" w:color="auto"/>
        <w:bottom w:val="none" w:sz="0" w:space="0" w:color="auto"/>
        <w:right w:val="none" w:sz="0" w:space="0" w:color="auto"/>
      </w:divBdr>
    </w:div>
    <w:div w:id="214369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osf.io/maqxd"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osf.io/r89p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Placeholder1</b:Tag>
    <b:SourceType>Book</b:SourceType>
    <b:Guid>{32660C59-1613-244D-9220-DC4CB3DBBB48}</b:Guid>
    <b:RefOrder>2</b:RefOrder>
  </b:Source>
  <b:Source>
    <b:Tag>sds</b:Tag>
    <b:SourceType>Book</b:SourceType>
    <b:Guid>{9DF43FF8-EBB4-A441-80A2-502619E5B44C}</b:Guid>
    <b:Author>
      <b:Author>
        <b:NameList>
          <b:Person>
            <b:Last>sdsa</b:Last>
          </b:Person>
        </b:NameList>
      </b:Author>
    </b:Author>
    <b:RefOrder>1</b:RefOrder>
  </b:Source>
</b:Sources>
</file>

<file path=customXml/itemProps1.xml><?xml version="1.0" encoding="utf-8"?>
<ds:datastoreItem xmlns:ds="http://schemas.openxmlformats.org/officeDocument/2006/customXml" ds:itemID="{2C786357-D945-4482-BBCF-E314AEA99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31220</Words>
  <Characters>177960</Characters>
  <Application>Microsoft Office Word</Application>
  <DocSecurity>0</DocSecurity>
  <Lines>1483</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Mason</dc:creator>
  <cp:keywords/>
  <dc:description/>
  <cp:lastModifiedBy>Bennett, Kate</cp:lastModifiedBy>
  <cp:revision>2</cp:revision>
  <dcterms:created xsi:type="dcterms:W3CDTF">2021-08-24T13:47:00Z</dcterms:created>
  <dcterms:modified xsi:type="dcterms:W3CDTF">2021-08-24T13:47:00Z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http://www.zotero.org/styles/frontiers-in-psychiatry</vt:lpwstr>
  </property>
  <property fmtid="{D5CDD505-2E9C-101B-9397-08002B2CF9AE}" pid="11" name="Mendeley Recent Style Name 4_1">
    <vt:lpwstr>Frontiers in Psychiatry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478448c6-b867-3b10-a7d2-e38d8d0870e9</vt:lpwstr>
  </property>
  <property fmtid="{D5CDD505-2E9C-101B-9397-08002B2CF9AE}" pid="24" name="Mendeley Citation Style_1">
    <vt:lpwstr>http://www.zotero.org/styles/nature</vt:lpwstr>
  </property>
  <property fmtid="{D5CDD505-2E9C-101B-9397-08002B2CF9AE}" pid="25" name="ZOTERO_PREF_1">
    <vt:lpwstr>&lt;data data-version="3" zotero-version="5.0.96.2"&gt;&lt;session id="3dXyczz3"/&gt;&lt;style id="http://www.zotero.org/styles/nature" hasBibliography="1" bibliographyStyleHasBeenSet="1"/&gt;&lt;prefs&gt;&lt;pref name="fieldType" value="Field"/&gt;&lt;/prefs&gt;&lt;/data&gt;</vt:lpwstr>
  </property>
</Properties>
</file>