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ABC75" w14:textId="77777777" w:rsidR="004766F5" w:rsidRPr="004766F5" w:rsidRDefault="004766F5" w:rsidP="004766F5">
      <w:pPr>
        <w:rPr>
          <w:b/>
        </w:rPr>
      </w:pPr>
      <w:r w:rsidRPr="004766F5">
        <w:rPr>
          <w:b/>
        </w:rPr>
        <w:t>International audit of simulation use in pre-registration medical radiation science training</w:t>
      </w:r>
    </w:p>
    <w:p w14:paraId="44FCAA4C" w14:textId="77777777" w:rsidR="004766F5" w:rsidRPr="004766F5" w:rsidRDefault="004766F5" w:rsidP="004766F5">
      <w:pPr>
        <w:rPr>
          <w:b/>
        </w:rPr>
      </w:pPr>
    </w:p>
    <w:p w14:paraId="2C1DFEA0" w14:textId="77777777" w:rsidR="004766F5" w:rsidRPr="008624BE" w:rsidRDefault="004766F5" w:rsidP="008624BE">
      <w:pPr>
        <w:spacing w:after="0"/>
      </w:pPr>
      <w:r w:rsidRPr="008624BE">
        <w:t>Authors:</w:t>
      </w:r>
    </w:p>
    <w:p w14:paraId="15BE11E0" w14:textId="77777777" w:rsidR="004766F5" w:rsidRPr="008624BE" w:rsidRDefault="004766F5" w:rsidP="008624BE">
      <w:pPr>
        <w:spacing w:after="0"/>
      </w:pPr>
    </w:p>
    <w:p w14:paraId="37C0785F" w14:textId="77777777" w:rsidR="004766F5" w:rsidRPr="008624BE" w:rsidRDefault="004766F5" w:rsidP="008624BE">
      <w:pPr>
        <w:spacing w:after="0"/>
      </w:pPr>
      <w:r w:rsidRPr="008624BE">
        <w:t>Bridge, P1</w:t>
      </w:r>
    </w:p>
    <w:p w14:paraId="6DD69E9D" w14:textId="77777777" w:rsidR="004766F5" w:rsidRPr="008624BE" w:rsidRDefault="004766F5" w:rsidP="008624BE">
      <w:pPr>
        <w:spacing w:after="0"/>
      </w:pPr>
      <w:r w:rsidRPr="008624BE">
        <w:t>Shiner, N2</w:t>
      </w:r>
    </w:p>
    <w:p w14:paraId="5D8FDF86" w14:textId="77777777" w:rsidR="004766F5" w:rsidRPr="008624BE" w:rsidRDefault="004766F5" w:rsidP="008624BE">
      <w:pPr>
        <w:spacing w:after="0"/>
      </w:pPr>
      <w:r w:rsidRPr="008624BE">
        <w:t>Bolderston, A3</w:t>
      </w:r>
    </w:p>
    <w:p w14:paraId="737F067F" w14:textId="77777777" w:rsidR="004766F5" w:rsidRPr="008624BE" w:rsidRDefault="004766F5" w:rsidP="008624BE">
      <w:pPr>
        <w:spacing w:after="0"/>
      </w:pPr>
      <w:r w:rsidRPr="008624BE">
        <w:t>Gunn, T4</w:t>
      </w:r>
    </w:p>
    <w:p w14:paraId="6B2928C6" w14:textId="77777777" w:rsidR="004766F5" w:rsidRPr="008624BE" w:rsidRDefault="004766F5" w:rsidP="008624BE">
      <w:pPr>
        <w:spacing w:after="0"/>
      </w:pPr>
      <w:r w:rsidRPr="008624BE">
        <w:t>Hazell, LJ5</w:t>
      </w:r>
    </w:p>
    <w:p w14:paraId="250E30D6" w14:textId="77777777" w:rsidR="004766F5" w:rsidRPr="008624BE" w:rsidRDefault="004766F5" w:rsidP="008624BE">
      <w:pPr>
        <w:spacing w:after="0"/>
      </w:pPr>
      <w:r w:rsidRPr="008624BE">
        <w:t>Johnson, R6</w:t>
      </w:r>
    </w:p>
    <w:p w14:paraId="2C7453CA" w14:textId="77777777" w:rsidR="004766F5" w:rsidRPr="008624BE" w:rsidRDefault="004766F5" w:rsidP="008624BE">
      <w:pPr>
        <w:spacing w:after="0"/>
      </w:pPr>
      <w:r w:rsidRPr="008624BE">
        <w:t>Lawson Jones, G7</w:t>
      </w:r>
    </w:p>
    <w:p w14:paraId="05BF4241" w14:textId="77777777" w:rsidR="004766F5" w:rsidRPr="008624BE" w:rsidRDefault="004766F5" w:rsidP="008624BE">
      <w:pPr>
        <w:spacing w:after="0"/>
      </w:pPr>
      <w:r w:rsidRPr="008624BE">
        <w:t>Mifsud, L8</w:t>
      </w:r>
    </w:p>
    <w:p w14:paraId="155D713C" w14:textId="77777777" w:rsidR="004766F5" w:rsidRPr="008624BE" w:rsidRDefault="004766F5" w:rsidP="008624BE">
      <w:pPr>
        <w:spacing w:after="0"/>
      </w:pPr>
      <w:r w:rsidRPr="008624BE">
        <w:t>Stewart, SL9</w:t>
      </w:r>
    </w:p>
    <w:p w14:paraId="3CCDD86C" w14:textId="77777777" w:rsidR="004766F5" w:rsidRPr="008624BE" w:rsidRDefault="004766F5" w:rsidP="008624BE">
      <w:pPr>
        <w:spacing w:after="0"/>
      </w:pPr>
      <w:r w:rsidRPr="008624BE">
        <w:t>McNulty, JP10</w:t>
      </w:r>
    </w:p>
    <w:p w14:paraId="3FF487F8" w14:textId="77777777" w:rsidR="004766F5" w:rsidRPr="008624BE" w:rsidRDefault="004766F5" w:rsidP="008624BE">
      <w:pPr>
        <w:spacing w:after="0"/>
      </w:pPr>
    </w:p>
    <w:p w14:paraId="2310FBAE" w14:textId="77777777" w:rsidR="004766F5" w:rsidRPr="008624BE" w:rsidRDefault="004766F5" w:rsidP="008624BE">
      <w:pPr>
        <w:spacing w:after="0"/>
      </w:pPr>
      <w:r w:rsidRPr="008624BE">
        <w:t>Affiliations:</w:t>
      </w:r>
    </w:p>
    <w:p w14:paraId="5D93F9BB" w14:textId="77777777" w:rsidR="004766F5" w:rsidRPr="008624BE" w:rsidRDefault="004766F5" w:rsidP="008624BE">
      <w:pPr>
        <w:spacing w:after="0"/>
      </w:pPr>
      <w:r w:rsidRPr="008624BE">
        <w:t>1 University of Liverpool, Brownlow Hill, Liverpool. L69 3GB. UK pete.bridge@liverpool.ac.uk @drpbridge</w:t>
      </w:r>
    </w:p>
    <w:p w14:paraId="10E06BA1" w14:textId="77777777" w:rsidR="004766F5" w:rsidRPr="008624BE" w:rsidRDefault="004766F5" w:rsidP="008624BE">
      <w:pPr>
        <w:spacing w:after="0"/>
      </w:pPr>
      <w:r w:rsidRPr="008624BE">
        <w:t>2 University of Derby, Kedleston Rd, Derby, DE22 1GB. UK n.shiner@derby.ac.uk @naomi_shiner 3 University of Alberta, Edmonton, Canada bolderst@ualberta.ca @AmandaBoldersto</w:t>
      </w:r>
    </w:p>
    <w:p w14:paraId="0C8DBA29" w14:textId="77777777" w:rsidR="004766F5" w:rsidRPr="008624BE" w:rsidRDefault="004766F5" w:rsidP="008624BE">
      <w:pPr>
        <w:spacing w:after="0"/>
      </w:pPr>
      <w:r w:rsidRPr="008624BE">
        <w:t>4 Queensland University of Technology, 2 George St, Brisbane, QLD 4000. Australia. therese.gunn@qut.edu.au  @ThereseG_Aus</w:t>
      </w:r>
    </w:p>
    <w:p w14:paraId="342B72FD" w14:textId="77777777" w:rsidR="004766F5" w:rsidRPr="008624BE" w:rsidRDefault="004766F5" w:rsidP="008624BE">
      <w:pPr>
        <w:spacing w:after="0"/>
      </w:pPr>
      <w:r w:rsidRPr="008624BE">
        <w:t xml:space="preserve">5 University of Johannesburg, PO Box 524, Auckland Park, 2006. South Africa lynneh@uj.ac.za  </w:t>
      </w:r>
    </w:p>
    <w:p w14:paraId="01E72151" w14:textId="77777777" w:rsidR="004766F5" w:rsidRPr="008624BE" w:rsidRDefault="004766F5" w:rsidP="008624BE">
      <w:pPr>
        <w:spacing w:after="0"/>
      </w:pPr>
      <w:r w:rsidRPr="008624BE">
        <w:t xml:space="preserve">6 London South Bank University, 103 Borough Road, London, SE1 0AA. UK. johnsr15@lsbu.ac.uk </w:t>
      </w:r>
    </w:p>
    <w:p w14:paraId="1AF5C5E4" w14:textId="77777777" w:rsidR="004766F5" w:rsidRPr="008624BE" w:rsidRDefault="004766F5" w:rsidP="008624BE">
      <w:pPr>
        <w:spacing w:after="0"/>
      </w:pPr>
      <w:r w:rsidRPr="008624BE">
        <w:t xml:space="preserve">7 University of Hertfordshire, College Lane, Hatfield, AL10 9AB. UK g.lawson-jones@herts.ac.uk </w:t>
      </w:r>
    </w:p>
    <w:p w14:paraId="61B58EC6" w14:textId="77777777" w:rsidR="004766F5" w:rsidRPr="008624BE" w:rsidRDefault="004766F5" w:rsidP="008624BE">
      <w:pPr>
        <w:spacing w:after="0"/>
      </w:pPr>
      <w:r w:rsidRPr="008624BE">
        <w:t xml:space="preserve">8 Robert Gordon University, Aberdeen, AB10 7QG. UK l.mifsud@rgu.ac.uk </w:t>
      </w:r>
    </w:p>
    <w:p w14:paraId="0D3335B3" w14:textId="77777777" w:rsidR="004766F5" w:rsidRPr="008624BE" w:rsidRDefault="004766F5" w:rsidP="008624BE">
      <w:pPr>
        <w:spacing w:after="0"/>
      </w:pPr>
      <w:r w:rsidRPr="008624BE">
        <w:t xml:space="preserve">9 Glasgow Caledonian University, Cowcaddens Rd, Glasgow G4 0BA. UK. S.L.Stewart@gcu.ac.uk </w:t>
      </w:r>
    </w:p>
    <w:p w14:paraId="009FB97F" w14:textId="77777777" w:rsidR="004766F5" w:rsidRPr="008624BE" w:rsidRDefault="004766F5" w:rsidP="008624BE">
      <w:pPr>
        <w:spacing w:after="0"/>
      </w:pPr>
      <w:r w:rsidRPr="008624BE">
        <w:t xml:space="preserve">10 University College Dublin, Ireland jonathan.mcnulty@ucd.ie @McNulty_J </w:t>
      </w:r>
    </w:p>
    <w:p w14:paraId="0A9BE9B9" w14:textId="77777777" w:rsidR="004766F5" w:rsidRPr="008624BE" w:rsidRDefault="004766F5" w:rsidP="008624BE">
      <w:pPr>
        <w:spacing w:after="0"/>
      </w:pPr>
    </w:p>
    <w:p w14:paraId="1A62149C" w14:textId="77777777" w:rsidR="004766F5" w:rsidRPr="008624BE" w:rsidRDefault="004766F5" w:rsidP="008624BE">
      <w:pPr>
        <w:spacing w:after="0"/>
      </w:pPr>
      <w:r w:rsidRPr="008624BE">
        <w:t>Corresponding Author:</w:t>
      </w:r>
    </w:p>
    <w:p w14:paraId="3FBD5EB4" w14:textId="77777777" w:rsidR="004766F5" w:rsidRPr="008624BE" w:rsidRDefault="004766F5" w:rsidP="008624BE">
      <w:pPr>
        <w:spacing w:after="0"/>
      </w:pPr>
    </w:p>
    <w:p w14:paraId="5EE70029" w14:textId="77777777" w:rsidR="004766F5" w:rsidRPr="008624BE" w:rsidRDefault="004766F5" w:rsidP="008624BE">
      <w:pPr>
        <w:spacing w:after="0"/>
      </w:pPr>
      <w:r w:rsidRPr="008624BE">
        <w:t>Pete Bridge:</w:t>
      </w:r>
      <w:r w:rsidRPr="008624BE">
        <w:tab/>
        <w:t>University of Liverpool, Johnston Building, Brownlow Hill, Liverpool. L69 3GB, UK</w:t>
      </w:r>
    </w:p>
    <w:p w14:paraId="5EFE021B" w14:textId="77777777" w:rsidR="004766F5" w:rsidRPr="008624BE" w:rsidRDefault="004766F5" w:rsidP="008624BE">
      <w:pPr>
        <w:spacing w:after="0"/>
      </w:pPr>
      <w:r w:rsidRPr="008624BE">
        <w:t xml:space="preserve">Email: </w:t>
      </w:r>
      <w:r w:rsidRPr="008624BE">
        <w:tab/>
      </w:r>
      <w:r w:rsidRPr="008624BE">
        <w:tab/>
        <w:t xml:space="preserve">pete.bridge@liverpool.ac.uk  </w:t>
      </w:r>
    </w:p>
    <w:p w14:paraId="51A39E26" w14:textId="77777777" w:rsidR="004766F5" w:rsidRPr="008624BE" w:rsidRDefault="004766F5" w:rsidP="008624BE">
      <w:pPr>
        <w:spacing w:after="0"/>
      </w:pPr>
      <w:r w:rsidRPr="008624BE">
        <w:t>Telephone:</w:t>
      </w:r>
      <w:r w:rsidRPr="008624BE">
        <w:tab/>
        <w:t>+44 (0)151 795 8366</w:t>
      </w:r>
    </w:p>
    <w:p w14:paraId="0CF6F791" w14:textId="77777777" w:rsidR="004766F5" w:rsidRPr="008624BE" w:rsidRDefault="004766F5" w:rsidP="008624BE">
      <w:pPr>
        <w:spacing w:after="0"/>
      </w:pPr>
    </w:p>
    <w:p w14:paraId="79842E65" w14:textId="77777777" w:rsidR="004766F5" w:rsidRPr="008624BE" w:rsidRDefault="004766F5" w:rsidP="008624BE">
      <w:pPr>
        <w:spacing w:after="0"/>
      </w:pPr>
      <w:r w:rsidRPr="008624BE">
        <w:t>Conflicts of Interest:</w:t>
      </w:r>
    </w:p>
    <w:p w14:paraId="5EF4C5C9" w14:textId="77777777" w:rsidR="004766F5" w:rsidRPr="008624BE" w:rsidRDefault="004766F5" w:rsidP="008624BE">
      <w:pPr>
        <w:spacing w:after="0"/>
      </w:pPr>
      <w:r w:rsidRPr="008624BE">
        <w:t>Dr Pete Bridge and Therese Gunn are directors of “medspace.VR”; a medical imaging simulation software company</w:t>
      </w:r>
    </w:p>
    <w:p w14:paraId="6F549BD7" w14:textId="77777777" w:rsidR="004766F5" w:rsidRPr="004766F5" w:rsidRDefault="004766F5" w:rsidP="004766F5">
      <w:pPr>
        <w:rPr>
          <w:b/>
        </w:rPr>
      </w:pPr>
    </w:p>
    <w:p w14:paraId="5F68E1C2" w14:textId="77777777" w:rsidR="004766F5" w:rsidRDefault="004766F5">
      <w:pPr>
        <w:rPr>
          <w:b/>
        </w:rPr>
      </w:pPr>
    </w:p>
    <w:p w14:paraId="6422D167" w14:textId="77777777" w:rsidR="008624BE" w:rsidRDefault="008624BE">
      <w:pPr>
        <w:rPr>
          <w:b/>
        </w:rPr>
      </w:pPr>
      <w:r>
        <w:rPr>
          <w:b/>
        </w:rPr>
        <w:br w:type="page"/>
      </w:r>
    </w:p>
    <w:p w14:paraId="2BE11ADD" w14:textId="77777777" w:rsidR="008624BE" w:rsidRPr="008624BE" w:rsidRDefault="008624BE" w:rsidP="008624BE">
      <w:pPr>
        <w:spacing w:after="0"/>
        <w:jc w:val="both"/>
        <w:rPr>
          <w:b/>
        </w:rPr>
      </w:pPr>
      <w:r w:rsidRPr="008624BE">
        <w:rPr>
          <w:b/>
        </w:rPr>
        <w:lastRenderedPageBreak/>
        <w:t>Abstract</w:t>
      </w:r>
    </w:p>
    <w:p w14:paraId="167DBE68" w14:textId="77777777" w:rsidR="008624BE" w:rsidRDefault="008624BE" w:rsidP="008624BE">
      <w:pPr>
        <w:spacing w:after="0"/>
        <w:jc w:val="both"/>
      </w:pPr>
    </w:p>
    <w:p w14:paraId="2665F40A" w14:textId="484B941B" w:rsidR="008624BE" w:rsidRPr="008624BE" w:rsidRDefault="008624BE" w:rsidP="008624BE">
      <w:pPr>
        <w:spacing w:after="0"/>
        <w:jc w:val="both"/>
      </w:pPr>
      <w:r w:rsidRPr="008624BE">
        <w:t>Introduction</w:t>
      </w:r>
    </w:p>
    <w:p w14:paraId="304FEE56" w14:textId="77777777" w:rsidR="008624BE" w:rsidRPr="008624BE" w:rsidRDefault="008624BE" w:rsidP="008624BE">
      <w:pPr>
        <w:spacing w:after="0"/>
        <w:jc w:val="both"/>
      </w:pPr>
      <w:r w:rsidRPr="008624BE">
        <w:t xml:space="preserve">Simulation-based education (SBE) can replicate the challenging aspects of real-world clinical environments, while providing a safe and less intimidating setting. Literature supports its use within medical radiation science (MRS) training for safe practice of psychomotor skills, development of problem solving, team working, interpersonal and decision-making skills and embedding awareness of patient safety. This project aimed to quantify usage of SBE resources and activities internationally and to evaluate how this changed during COVID-19 restrictions. </w:t>
      </w:r>
    </w:p>
    <w:p w14:paraId="057736C2" w14:textId="77777777" w:rsidR="008624BE" w:rsidRPr="008624BE" w:rsidRDefault="008624BE" w:rsidP="008624BE">
      <w:pPr>
        <w:spacing w:after="0"/>
        <w:jc w:val="both"/>
      </w:pPr>
    </w:p>
    <w:p w14:paraId="497C57F7" w14:textId="77777777" w:rsidR="008624BE" w:rsidRPr="008624BE" w:rsidRDefault="008624BE" w:rsidP="008624BE">
      <w:pPr>
        <w:spacing w:after="0"/>
        <w:jc w:val="both"/>
      </w:pPr>
      <w:r w:rsidRPr="008624BE">
        <w:t>Methods</w:t>
      </w:r>
    </w:p>
    <w:p w14:paraId="42476E01" w14:textId="77777777" w:rsidR="008624BE" w:rsidRPr="008624BE" w:rsidRDefault="008624BE" w:rsidP="008624BE">
      <w:pPr>
        <w:spacing w:after="0"/>
        <w:jc w:val="both"/>
      </w:pPr>
      <w:r w:rsidRPr="008624BE">
        <w:t xml:space="preserve">An anonymous online survey tool gathered data relating to programme demographics, simulation resources, simulation activities and future plans. A link to the survey was distributed to programme leads via social media, professional bodies and national networks.  </w:t>
      </w:r>
    </w:p>
    <w:p w14:paraId="4953FCF2" w14:textId="77777777" w:rsidR="008624BE" w:rsidRPr="008624BE" w:rsidRDefault="008624BE" w:rsidP="008624BE">
      <w:pPr>
        <w:spacing w:after="0"/>
        <w:jc w:val="both"/>
      </w:pPr>
    </w:p>
    <w:p w14:paraId="361BAEED" w14:textId="77777777" w:rsidR="008624BE" w:rsidRPr="008624BE" w:rsidRDefault="008624BE" w:rsidP="008624BE">
      <w:pPr>
        <w:spacing w:after="0"/>
        <w:jc w:val="both"/>
      </w:pPr>
      <w:r w:rsidRPr="008624BE">
        <w:t>Results</w:t>
      </w:r>
    </w:p>
    <w:p w14:paraId="5F1279DC" w14:textId="77777777" w:rsidR="008624BE" w:rsidRPr="008624BE" w:rsidRDefault="008624BE" w:rsidP="008624BE">
      <w:pPr>
        <w:spacing w:after="0"/>
        <w:jc w:val="both"/>
      </w:pPr>
      <w:r w:rsidRPr="008624BE">
        <w:t>A total of 72 responses were received from a range of countries and representing a range of programme structures. Most respondents reported up to 100 hours of SBE per student per year with low fidelity resources and image viewing software featuring most prominently. There was low reported engagement of service users within simulation activities. Respondents also indicated that COVID-19 had been a trigger for rapid uptake of simulation resources.</w:t>
      </w:r>
    </w:p>
    <w:p w14:paraId="62D9DCDD" w14:textId="77777777" w:rsidR="008624BE" w:rsidRPr="008624BE" w:rsidRDefault="008624BE" w:rsidP="008624BE">
      <w:pPr>
        <w:spacing w:after="0"/>
        <w:jc w:val="both"/>
      </w:pPr>
    </w:p>
    <w:p w14:paraId="5AFAF25C" w14:textId="77777777" w:rsidR="008624BE" w:rsidRPr="008624BE" w:rsidRDefault="008624BE" w:rsidP="008624BE">
      <w:pPr>
        <w:spacing w:after="0"/>
        <w:jc w:val="both"/>
      </w:pPr>
      <w:r w:rsidRPr="008624BE">
        <w:t>Conclusion</w:t>
      </w:r>
    </w:p>
    <w:p w14:paraId="683098B9" w14:textId="77777777" w:rsidR="008624BE" w:rsidRPr="008624BE" w:rsidRDefault="008624BE" w:rsidP="008624BE">
      <w:pPr>
        <w:spacing w:after="0"/>
        <w:jc w:val="both"/>
      </w:pPr>
      <w:r w:rsidRPr="008624BE">
        <w:t xml:space="preserve">SBE forms an important aspect of MRS training internationally with low-fidelity resources being widely deployed. Where available, high fidelity virtual reality and specialised profession-specific resources were used heavily. There was a low level of reported engagement with service users or expert patients in simulation activities. Future research will identify whether the rapid uptake of SBE during COVID-19 continues and clarify the role of service users in SBE provision. </w:t>
      </w:r>
    </w:p>
    <w:p w14:paraId="2B5FE13A" w14:textId="77777777" w:rsidR="008624BE" w:rsidRPr="008624BE" w:rsidRDefault="008624BE" w:rsidP="008624BE">
      <w:pPr>
        <w:spacing w:after="0"/>
        <w:jc w:val="both"/>
      </w:pPr>
    </w:p>
    <w:p w14:paraId="185036C1" w14:textId="77777777" w:rsidR="008624BE" w:rsidRPr="008624BE" w:rsidRDefault="008624BE" w:rsidP="008624BE">
      <w:pPr>
        <w:spacing w:after="0"/>
        <w:jc w:val="both"/>
      </w:pPr>
      <w:r w:rsidRPr="008624BE">
        <w:t>Implications for practice</w:t>
      </w:r>
    </w:p>
    <w:p w14:paraId="1ECFF5EB" w14:textId="77777777" w:rsidR="008624BE" w:rsidRPr="008624BE" w:rsidRDefault="008624BE" w:rsidP="008624BE">
      <w:pPr>
        <w:spacing w:after="0"/>
        <w:jc w:val="both"/>
      </w:pPr>
      <w:r w:rsidRPr="008624BE">
        <w:t>Increased collaboration between MRS education providers may help to improve parity of SBE provision and identify additional opportunities to engage service users within SBE.</w:t>
      </w:r>
    </w:p>
    <w:p w14:paraId="595442C8" w14:textId="77777777" w:rsidR="008624BE" w:rsidRDefault="008624BE" w:rsidP="008624BE">
      <w:pPr>
        <w:jc w:val="both"/>
        <w:rPr>
          <w:b/>
        </w:rPr>
      </w:pPr>
    </w:p>
    <w:p w14:paraId="71E1F492" w14:textId="77777777" w:rsidR="008624BE" w:rsidRDefault="008624BE" w:rsidP="008624BE">
      <w:pPr>
        <w:jc w:val="both"/>
        <w:rPr>
          <w:b/>
        </w:rPr>
      </w:pPr>
    </w:p>
    <w:p w14:paraId="0D4093A3" w14:textId="77777777" w:rsidR="008624BE" w:rsidRDefault="008624BE" w:rsidP="008624BE">
      <w:pPr>
        <w:jc w:val="both"/>
        <w:rPr>
          <w:b/>
        </w:rPr>
      </w:pPr>
    </w:p>
    <w:p w14:paraId="4EA24B47" w14:textId="068A9346" w:rsidR="00420FA0" w:rsidRDefault="00C47FA3" w:rsidP="008624BE">
      <w:pPr>
        <w:jc w:val="both"/>
        <w:rPr>
          <w:b/>
        </w:rPr>
      </w:pPr>
      <w:r>
        <w:rPr>
          <w:b/>
        </w:rPr>
        <w:t>Introduction</w:t>
      </w:r>
    </w:p>
    <w:p w14:paraId="2A1A25A4" w14:textId="21508440" w:rsidR="00541C27" w:rsidRDefault="00C47FA3" w:rsidP="008624BE">
      <w:pPr>
        <w:jc w:val="both"/>
      </w:pPr>
      <w:r>
        <w:t>Clinical placements (also known as work integrate</w:t>
      </w:r>
      <w:r w:rsidR="00C829DA">
        <w:t>d learning, work-</w:t>
      </w:r>
      <w:r w:rsidR="00A96519">
        <w:t xml:space="preserve">based learning, clinical practicums or </w:t>
      </w:r>
      <w:r>
        <w:t xml:space="preserve">practice placements) are an integral element of many healthcare professions programmes. Placement allows </w:t>
      </w:r>
      <w:r w:rsidR="00E31C42">
        <w:t>learners</w:t>
      </w:r>
      <w:r>
        <w:t xml:space="preserve"> to translate the academic theory learned at university into practice and supports their development into competent and safe practitioners</w:t>
      </w:r>
      <w:r w:rsidR="00F74C19">
        <w:t>.</w:t>
      </w:r>
      <w:r w:rsidR="00F74C19">
        <w:rPr>
          <w:vertAlign w:val="superscript"/>
        </w:rPr>
        <w:t>1,2</w:t>
      </w:r>
      <w:r>
        <w:t xml:space="preserve"> </w:t>
      </w:r>
      <w:r w:rsidR="00E31C42">
        <w:t>This paper addresses clinical skills development of learners in medical radiation science (MRS) which comprises diagnostic radiography, therapeutic radiography and nuclear medicine. T</w:t>
      </w:r>
      <w:r>
        <w:t>ime allocated for clinical placement varies but comprises around 50% of</w:t>
      </w:r>
      <w:r w:rsidR="007714C0">
        <w:t xml:space="preserve"> some MRS programmes in the UK</w:t>
      </w:r>
      <w:r w:rsidR="00F74C19">
        <w:rPr>
          <w:vertAlign w:val="superscript"/>
        </w:rPr>
        <w:t>3</w:t>
      </w:r>
      <w:r w:rsidR="00541C27" w:rsidRPr="00541C27">
        <w:t xml:space="preserve"> </w:t>
      </w:r>
      <w:r w:rsidR="00541C27">
        <w:t>and also forms the backbone of development from graduate to accredited practitioner in other countries</w:t>
      </w:r>
      <w:r w:rsidR="00F74C19">
        <w:t>.</w:t>
      </w:r>
      <w:r w:rsidR="00F74C19">
        <w:rPr>
          <w:vertAlign w:val="superscript"/>
        </w:rPr>
        <w:t>4</w:t>
      </w:r>
      <w:r w:rsidR="00541C27">
        <w:t xml:space="preserve"> </w:t>
      </w:r>
    </w:p>
    <w:p w14:paraId="6DB672EA" w14:textId="73316344" w:rsidR="00420FA0" w:rsidRPr="00E63A83" w:rsidRDefault="00F74C19" w:rsidP="008624BE">
      <w:pPr>
        <w:jc w:val="both"/>
      </w:pPr>
      <w:r>
        <w:t>There is significant variation</w:t>
      </w:r>
      <w:r w:rsidR="00C47FA3">
        <w:t xml:space="preserve"> between programmes across Europe, including curricula, duration and time allocated for clinical training.</w:t>
      </w:r>
      <w:r>
        <w:rPr>
          <w:vertAlign w:val="superscript"/>
        </w:rPr>
        <w:t>1</w:t>
      </w:r>
      <w:r w:rsidR="00C47FA3">
        <w:t xml:space="preserve"> </w:t>
      </w:r>
      <w:r w:rsidR="00C47FA3" w:rsidRPr="00E5365D">
        <w:t xml:space="preserve">Often </w:t>
      </w:r>
      <w:r w:rsidR="00E31C42">
        <w:t>learners</w:t>
      </w:r>
      <w:r w:rsidR="00E31C42" w:rsidRPr="00E5365D">
        <w:t xml:space="preserve"> </w:t>
      </w:r>
      <w:r w:rsidR="00C47FA3" w:rsidRPr="00E5365D">
        <w:t>will be expected to demonstrate competencies in a variety of procedural, technical and non-technical skills in order to progress on the programme and graduate as a competent radiographer eligible to practice, and provide safe, optimised, patient centred care</w:t>
      </w:r>
      <w:r>
        <w:t>.</w:t>
      </w:r>
      <w:r>
        <w:rPr>
          <w:vertAlign w:val="superscript"/>
        </w:rPr>
        <w:t>1,2</w:t>
      </w:r>
      <w:r w:rsidR="00C47FA3" w:rsidRPr="00E5365D">
        <w:t xml:space="preserve"> Traditionally, MRS training involves practicing on real patients in the clinical environment under the supervision of qualified staff. This, however, can present several real-world </w:t>
      </w:r>
      <w:r w:rsidR="00E5365D" w:rsidRPr="00E5365D">
        <w:t xml:space="preserve">logistical </w:t>
      </w:r>
      <w:r w:rsidR="00C47FA3" w:rsidRPr="00E5365D">
        <w:t>challenges including availability of place</w:t>
      </w:r>
      <w:r w:rsidR="00E5365D" w:rsidRPr="00E5365D">
        <w:t xml:space="preserve">ments supervisors and assessors </w:t>
      </w:r>
      <w:r w:rsidR="00A96519">
        <w:t>as well as</w:t>
      </w:r>
      <w:r w:rsidR="00C47FA3" w:rsidRPr="00E5365D">
        <w:t xml:space="preserve"> restricted opportunities for learning in pressurised clinical settings</w:t>
      </w:r>
      <w:r w:rsidR="00E5365D" w:rsidRPr="00E5365D">
        <w:t xml:space="preserve">. </w:t>
      </w:r>
      <w:r w:rsidR="00E5365D">
        <w:t xml:space="preserve">There is </w:t>
      </w:r>
      <w:r w:rsidR="00A96519">
        <w:t xml:space="preserve">growing </w:t>
      </w:r>
      <w:r>
        <w:t>evidence</w:t>
      </w:r>
      <w:r>
        <w:rPr>
          <w:vertAlign w:val="superscript"/>
        </w:rPr>
        <w:t>5-7</w:t>
      </w:r>
      <w:r>
        <w:t xml:space="preserve"> </w:t>
      </w:r>
      <w:r w:rsidR="00E5365D">
        <w:t xml:space="preserve">of </w:t>
      </w:r>
      <w:r w:rsidR="007A6E81">
        <w:t>Simulation-based Education (</w:t>
      </w:r>
      <w:r w:rsidR="00E5365D" w:rsidRPr="007A6E81">
        <w:t>SBE</w:t>
      </w:r>
      <w:r w:rsidR="007A6E81">
        <w:t>)</w:t>
      </w:r>
      <w:r w:rsidR="00E5365D">
        <w:t xml:space="preserve"> being used in academic settings to prepare </w:t>
      </w:r>
      <w:r w:rsidR="00E31C42">
        <w:t xml:space="preserve">learners </w:t>
      </w:r>
      <w:r w:rsidR="00E5365D">
        <w:t>for practice placement, increasing their confidence in the application of the theory to the simulated practical. In addition, simulation including r</w:t>
      </w:r>
      <w:r w:rsidR="00E5365D" w:rsidRPr="00E5365D">
        <w:t xml:space="preserve">ole play between staff and </w:t>
      </w:r>
      <w:r w:rsidR="00102907">
        <w:t>learners</w:t>
      </w:r>
      <w:r w:rsidR="00102907" w:rsidRPr="00E5365D">
        <w:t xml:space="preserve"> </w:t>
      </w:r>
      <w:r w:rsidR="00E5365D" w:rsidRPr="00E5365D">
        <w:t xml:space="preserve">may be used within a practice placement setting </w:t>
      </w:r>
      <w:r w:rsidR="00E5365D">
        <w:t>to complement use of on-site</w:t>
      </w:r>
      <w:r w:rsidR="00E5365D" w:rsidRPr="00E5365D">
        <w:t xml:space="preserve"> resources </w:t>
      </w:r>
      <w:r w:rsidR="00E5365D">
        <w:t>and to enforce patient safety awareness</w:t>
      </w:r>
      <w:r>
        <w:t>.</w:t>
      </w:r>
      <w:r>
        <w:rPr>
          <w:vertAlign w:val="superscript"/>
        </w:rPr>
        <w:t>1,2</w:t>
      </w:r>
      <w:r w:rsidR="00E5365D">
        <w:t xml:space="preserve"> </w:t>
      </w:r>
      <w:r>
        <w:t>It has been argued</w:t>
      </w:r>
      <w:r w:rsidR="00C47FA3" w:rsidRPr="00E63A83">
        <w:t xml:space="preserve"> that the traditional model of medical training using the patient as a ‘training tool’, poses ethical issues and patient safety considerations,</w:t>
      </w:r>
      <w:r>
        <w:rPr>
          <w:vertAlign w:val="superscript"/>
        </w:rPr>
        <w:t>8</w:t>
      </w:r>
      <w:r w:rsidR="00C47FA3" w:rsidRPr="00E63A83">
        <w:t xml:space="preserve"> and that SBE can address these issues for healthcare professionals such as doctors and nurses. Clearly, this can be applied to MRS, where there are similar issues of patient safety with the additional hazard of use of ionising radiation for both medical imaging and radiotherapy.</w:t>
      </w:r>
      <w:r>
        <w:rPr>
          <w:vertAlign w:val="superscript"/>
        </w:rPr>
        <w:t>9</w:t>
      </w:r>
      <w:r w:rsidR="00C47FA3" w:rsidRPr="00E63A83">
        <w:t xml:space="preserve"> Whilst learning with patients in the real clinical environment remains invaluable for radiographers and other healthcare professionals, SBE is playing an increasing role in MRS training</w:t>
      </w:r>
      <w:r>
        <w:t>.</w:t>
      </w:r>
      <w:r>
        <w:rPr>
          <w:vertAlign w:val="superscript"/>
        </w:rPr>
        <w:t>8,10</w:t>
      </w:r>
      <w:r w:rsidR="00C47FA3" w:rsidRPr="00E63A83">
        <w:t xml:space="preserve"> </w:t>
      </w:r>
      <w:r w:rsidR="00E63A83" w:rsidRPr="00E63A83">
        <w:t xml:space="preserve">Identifying the range of simulation activities and settings internationally will help the understanding of this learning principle, potentially engage users and help to develop future simulation strategies. </w:t>
      </w:r>
    </w:p>
    <w:p w14:paraId="0B636F86" w14:textId="77777777" w:rsidR="00420FA0" w:rsidRDefault="00C47FA3" w:rsidP="008624BE">
      <w:pPr>
        <w:jc w:val="both"/>
        <w:rPr>
          <w:b/>
        </w:rPr>
      </w:pPr>
      <w:r>
        <w:rPr>
          <w:b/>
        </w:rPr>
        <w:t>Literature Review</w:t>
      </w:r>
    </w:p>
    <w:p w14:paraId="00BA2C8B" w14:textId="275EC561" w:rsidR="00420FA0" w:rsidRDefault="00C47FA3" w:rsidP="008624BE">
      <w:pPr>
        <w:jc w:val="both"/>
      </w:pPr>
      <w:r>
        <w:t xml:space="preserve">The terminology around SBE can be confusing and covers a variety of paradigms, facilities, and equipment. </w:t>
      </w:r>
      <w:r w:rsidR="00821A57">
        <w:t>Fundamentally, s</w:t>
      </w:r>
      <w:r>
        <w:t xml:space="preserve">imulation </w:t>
      </w:r>
      <w:r w:rsidR="00821A57">
        <w:t>aims</w:t>
      </w:r>
      <w:r>
        <w:t xml:space="preserve"> to replace a real experience,</w:t>
      </w:r>
      <w:r w:rsidR="00F74C19">
        <w:rPr>
          <w:vertAlign w:val="superscript"/>
        </w:rPr>
        <w:t>11</w:t>
      </w:r>
      <w:r>
        <w:t xml:space="preserve"> </w:t>
      </w:r>
      <w:r w:rsidR="00821A57">
        <w:t>and for</w:t>
      </w:r>
      <w:r>
        <w:t xml:space="preserve"> the purposes of this study the definition presented by Palaganas</w:t>
      </w:r>
      <w:r w:rsidR="00F74C19">
        <w:rPr>
          <w:vertAlign w:val="superscript"/>
        </w:rPr>
        <w:t>12</w:t>
      </w:r>
      <w:r>
        <w:t xml:space="preserve"> was adopted: “A technique that uses a situation or environment created to allow persons to experience a representation of a real event for the purpose of practice, learning, evaluation, testing, or to gain understanding of systems or human actions.” A 2009 study</w:t>
      </w:r>
      <w:r w:rsidR="00F74C19">
        <w:rPr>
          <w:vertAlign w:val="superscript"/>
        </w:rPr>
        <w:t>13</w:t>
      </w:r>
      <w:r>
        <w:t xml:space="preserve"> into simulation in nursing education identified four key factors that drive simulation: technical proficiency from repetition, contextual learning, assistance from experts and the understanding of the emotional element of learning. </w:t>
      </w:r>
      <w:r w:rsidR="00821A57">
        <w:t>Underpinning these factors, however, are the resource availability and pedagogical framework.</w:t>
      </w:r>
      <w:r>
        <w:t xml:space="preserve"> </w:t>
      </w:r>
    </w:p>
    <w:p w14:paraId="014B8134" w14:textId="70AE5278" w:rsidR="00420FA0" w:rsidRDefault="00C47FA3" w:rsidP="008624BE">
      <w:pPr>
        <w:jc w:val="both"/>
      </w:pPr>
      <w:r>
        <w:t xml:space="preserve">There </w:t>
      </w:r>
      <w:r w:rsidR="00A96519">
        <w:t>is a wide evidence base</w:t>
      </w:r>
      <w:r>
        <w:t xml:space="preserve"> detailing a range of simulation resources including role play scenarios, virtual reality simulators, computer-based systems, simulated patients, “live” x-ray rooms, wards, theatres and departments.</w:t>
      </w:r>
      <w:r w:rsidR="00CC2AAE">
        <w:rPr>
          <w:vertAlign w:val="superscript"/>
        </w:rPr>
        <w:t>7, 14-16</w:t>
      </w:r>
      <w:r w:rsidR="00E63A83">
        <w:t xml:space="preserve"> </w:t>
      </w:r>
      <w:r w:rsidR="00E31C42">
        <w:t>Evidence supports use of</w:t>
      </w:r>
      <w:r>
        <w:t xml:space="preserve"> SBE for teaching procedure and positioning </w:t>
      </w:r>
      <w:r w:rsidR="00E31C42">
        <w:t>as well as non-technical skills</w:t>
      </w:r>
      <w:r>
        <w:t xml:space="preserve"> such as professionalism, situa</w:t>
      </w:r>
      <w:r w:rsidR="00CC2AAE">
        <w:t>tional awareness, and teamwork</w:t>
      </w:r>
      <w:r>
        <w:t>.</w:t>
      </w:r>
      <w:r w:rsidR="00CC2AAE">
        <w:rPr>
          <w:vertAlign w:val="superscript"/>
        </w:rPr>
        <w:t>10,17</w:t>
      </w:r>
      <w:r>
        <w:t xml:space="preserve">  Simulation has also proved helpful in alleviating stress and anxiety that </w:t>
      </w:r>
      <w:r w:rsidR="00E31C42">
        <w:t xml:space="preserve">learners </w:t>
      </w:r>
      <w:r>
        <w:t xml:space="preserve">experience in clinical placement, to provide parity of student experience, and for assessment on placement. </w:t>
      </w:r>
      <w:r w:rsidR="00623267">
        <w:t xml:space="preserve">A key reported advantage of SBE is the reduced time pressure compared to clinical practice; </w:t>
      </w:r>
      <w:r>
        <w:t xml:space="preserve">especially </w:t>
      </w:r>
      <w:r w:rsidR="00623267">
        <w:t>with</w:t>
      </w:r>
      <w:r>
        <w:t xml:space="preserve"> high-pressure </w:t>
      </w:r>
      <w:r w:rsidR="00623267">
        <w:t xml:space="preserve">scenarios </w:t>
      </w:r>
      <w:r>
        <w:t xml:space="preserve">such as accident and emergency, or </w:t>
      </w:r>
      <w:r w:rsidR="00623267">
        <w:t>operating t</w:t>
      </w:r>
      <w:r>
        <w:t>heatre environments</w:t>
      </w:r>
      <w:r w:rsidR="00CC2AAE">
        <w:t>.</w:t>
      </w:r>
      <w:r w:rsidR="00CC2AAE">
        <w:rPr>
          <w:vertAlign w:val="superscript"/>
        </w:rPr>
        <w:t>10,17</w:t>
      </w:r>
      <w:r w:rsidR="00623267">
        <w:t xml:space="preserve"> Pedagogical advantages include</w:t>
      </w:r>
      <w:r>
        <w:t xml:space="preserve"> the ability to learn from mistakes safely, without threatening patient safety</w:t>
      </w:r>
      <w:r w:rsidR="00623267">
        <w:t xml:space="preserve"> and r</w:t>
      </w:r>
      <w:r>
        <w:t xml:space="preserve">epetition of procedures </w:t>
      </w:r>
      <w:r w:rsidR="00623267">
        <w:t xml:space="preserve">to </w:t>
      </w:r>
      <w:r>
        <w:t xml:space="preserve">enable learning which would </w:t>
      </w:r>
      <w:r w:rsidR="00A96519">
        <w:t>be problematic</w:t>
      </w:r>
      <w:r>
        <w:t xml:space="preserve"> in a radiation environment.</w:t>
      </w:r>
      <w:r w:rsidR="00CC2AAE">
        <w:rPr>
          <w:vertAlign w:val="superscript"/>
        </w:rPr>
        <w:t>18</w:t>
      </w:r>
    </w:p>
    <w:p w14:paraId="48A85DEA" w14:textId="04653749" w:rsidR="00420FA0" w:rsidRDefault="00CC2AAE" w:rsidP="008624BE">
      <w:pPr>
        <w:jc w:val="both"/>
      </w:pPr>
      <w:r>
        <w:t>T</w:t>
      </w:r>
      <w:r w:rsidR="00A96519">
        <w:t>he</w:t>
      </w:r>
      <w:r>
        <w:t xml:space="preserve"> first documented criticism of simulation</w:t>
      </w:r>
      <w:r w:rsidR="00A96519">
        <w:t xml:space="preserve"> suggested </w:t>
      </w:r>
      <w:r w:rsidR="00C47FA3">
        <w:t xml:space="preserve">that it was “…a shadow of reality, capable of giving </w:t>
      </w:r>
      <w:r>
        <w:t>false ideas to beginners…”</w:t>
      </w:r>
      <w:r w:rsidR="00C47FA3">
        <w:t>.</w:t>
      </w:r>
      <w:r>
        <w:rPr>
          <w:vertAlign w:val="superscript"/>
        </w:rPr>
        <w:t>19</w:t>
      </w:r>
      <w:r w:rsidR="00C47FA3">
        <w:t xml:space="preserve"> Criticism </w:t>
      </w:r>
      <w:r w:rsidR="00A96519">
        <w:t>related to poor fidelity continues but</w:t>
      </w:r>
      <w:r w:rsidR="00C47FA3">
        <w:t xml:space="preserve"> has not prevented the development and widespread use of simulation in healthcare across the world, although cost of equipment, availability of dedicated facilitators and trainers, and time can be an issue</w:t>
      </w:r>
      <w:r>
        <w:t>.</w:t>
      </w:r>
      <w:r>
        <w:rPr>
          <w:vertAlign w:val="superscript"/>
        </w:rPr>
        <w:t>11</w:t>
      </w:r>
      <w:r>
        <w:t xml:space="preserve"> </w:t>
      </w:r>
      <w:r w:rsidR="00C47FA3">
        <w:t>As such there can be diversity in the types and applications of SBE a</w:t>
      </w:r>
      <w:r>
        <w:t>cross different MRS programmes</w:t>
      </w:r>
      <w:r w:rsidR="00C47FA3">
        <w:t>.</w:t>
      </w:r>
      <w:r>
        <w:rPr>
          <w:vertAlign w:val="superscript"/>
        </w:rPr>
        <w:t>10</w:t>
      </w:r>
      <w:r w:rsidR="00C47FA3">
        <w:t xml:space="preserve"> </w:t>
      </w:r>
    </w:p>
    <w:p w14:paraId="7E27BDEB" w14:textId="78B2B4B8" w:rsidR="00420FA0" w:rsidRDefault="00C47FA3" w:rsidP="008624BE">
      <w:pPr>
        <w:jc w:val="both"/>
      </w:pPr>
      <w:r>
        <w:t>Globally healthcare and education systems have recently been forced to respond to the restrictions imposed by the COVID-19 pandemic</w:t>
      </w:r>
      <w:r w:rsidR="007E7F07">
        <w:t xml:space="preserve"> and the resulting</w:t>
      </w:r>
      <w:r>
        <w:t xml:space="preserve"> impact on clinical placement o</w:t>
      </w:r>
      <w:r w:rsidR="00A96519">
        <w:t xml:space="preserve">pportunities. For some </w:t>
      </w:r>
      <w:r w:rsidR="00E31C42">
        <w:t xml:space="preserve">learners </w:t>
      </w:r>
      <w:r>
        <w:t xml:space="preserve">placements were cancelled, </w:t>
      </w:r>
      <w:r w:rsidR="00EC5744">
        <w:t>and</w:t>
      </w:r>
      <w:r>
        <w:t xml:space="preserve"> SBE </w:t>
      </w:r>
      <w:r w:rsidR="007E7F07">
        <w:t xml:space="preserve">was used to </w:t>
      </w:r>
      <w:r>
        <w:t>support the</w:t>
      </w:r>
      <w:r w:rsidR="007E7F07">
        <w:t>ir</w:t>
      </w:r>
      <w:r>
        <w:t xml:space="preserve"> continued </w:t>
      </w:r>
      <w:r w:rsidR="007E7F07">
        <w:t xml:space="preserve">clinical skills </w:t>
      </w:r>
      <w:r>
        <w:t xml:space="preserve">training. Simulation has successfully been used as a replacement for some </w:t>
      </w:r>
      <w:r w:rsidR="00697694">
        <w:t xml:space="preserve">therapeutic radiography </w:t>
      </w:r>
      <w:r>
        <w:t>clinical practice hours</w:t>
      </w:r>
      <w:r w:rsidR="00623267">
        <w:t>, thus</w:t>
      </w:r>
      <w:r w:rsidR="00EC5744">
        <w:t xml:space="preserve"> increas</w:t>
      </w:r>
      <w:r w:rsidR="00623267">
        <w:t>ing</w:t>
      </w:r>
      <w:r>
        <w:t xml:space="preserve"> the </w:t>
      </w:r>
      <w:r w:rsidR="00EC5744">
        <w:t>capacity</w:t>
      </w:r>
      <w:r>
        <w:t xml:space="preserve"> for more </w:t>
      </w:r>
      <w:r w:rsidR="007E7F07">
        <w:t xml:space="preserve">learners </w:t>
      </w:r>
      <w:r>
        <w:t xml:space="preserve">to be trained, reducing the shortfall of qualified </w:t>
      </w:r>
      <w:r w:rsidR="007E7F07">
        <w:t>staff</w:t>
      </w:r>
      <w:r w:rsidR="00CC2AAE">
        <w:t>.</w:t>
      </w:r>
      <w:r w:rsidR="00CC2AAE">
        <w:rPr>
          <w:vertAlign w:val="superscript"/>
        </w:rPr>
        <w:t>20</w:t>
      </w:r>
      <w:r>
        <w:t xml:space="preserve"> </w:t>
      </w:r>
    </w:p>
    <w:p w14:paraId="55ADE525" w14:textId="34F40734" w:rsidR="00420FA0" w:rsidRDefault="00C47FA3" w:rsidP="008624BE">
      <w:pPr>
        <w:jc w:val="both"/>
      </w:pPr>
      <w:r>
        <w:t xml:space="preserve">In summary, the literature argues that SBE can provide </w:t>
      </w:r>
      <w:r w:rsidR="008F227F">
        <w:t>effective</w:t>
      </w:r>
      <w:r>
        <w:t xml:space="preserve"> </w:t>
      </w:r>
      <w:r w:rsidR="008F227F">
        <w:t>clinical skills gain for MRS learners outside the clinical environment</w:t>
      </w:r>
      <w:r>
        <w:t xml:space="preserve">. </w:t>
      </w:r>
      <w:r w:rsidR="009B42E0">
        <w:t>Its pedagogical value lies in</w:t>
      </w:r>
      <w:r>
        <w:t xml:space="preserve"> its ability to replicate the challenging aspects of real-world clinical environments, while providing a safe and less intimidating setting</w:t>
      </w:r>
      <w:r w:rsidR="00CC2AAE">
        <w:t>.</w:t>
      </w:r>
      <w:r w:rsidR="00CC2AAE">
        <w:rPr>
          <w:vertAlign w:val="superscript"/>
        </w:rPr>
        <w:t>8,21</w:t>
      </w:r>
      <w:r w:rsidR="00CC2AAE">
        <w:t xml:space="preserve"> </w:t>
      </w:r>
      <w:r>
        <w:t>This allows students to pra</w:t>
      </w:r>
      <w:r w:rsidR="00EC5744">
        <w:t>ctice complex psychomotor skills</w:t>
      </w:r>
      <w:r w:rsidR="008F227F">
        <w:t xml:space="preserve"> and prepare for high-pressure clinical environments</w:t>
      </w:r>
      <w:r w:rsidR="00EC5744">
        <w:t xml:space="preserve"> while optimising </w:t>
      </w:r>
      <w:r>
        <w:t>skills for improving s</w:t>
      </w:r>
      <w:r w:rsidR="00EC5744">
        <w:t xml:space="preserve">afety of the patient and staff. SBE can additionally assist the development of </w:t>
      </w:r>
      <w:r>
        <w:t>problem solving, te</w:t>
      </w:r>
      <w:r w:rsidR="00EC5744">
        <w:t>am working, interpersonal and</w:t>
      </w:r>
      <w:r>
        <w:t xml:space="preserve"> clinical decision-making skills. Despite this evidence, use of SBE in MRS programmes varies considerably and the exact role of SBE remains unclear. </w:t>
      </w:r>
    </w:p>
    <w:p w14:paraId="2D9AA2A0" w14:textId="10C518F4" w:rsidR="00420FA0" w:rsidRDefault="00C47FA3" w:rsidP="008624BE">
      <w:pPr>
        <w:jc w:val="both"/>
      </w:pPr>
      <w:r>
        <w:t xml:space="preserve">This project, therefore, aimed to quantify usage of SBE resources and activities </w:t>
      </w:r>
      <w:r w:rsidR="008F227F">
        <w:t xml:space="preserve">for pre-registration MRS learners </w:t>
      </w:r>
      <w:r>
        <w:t>internationally and to evaluate how the use of resources and innovation has changed during COVID-19 restrictions. Results from this work should inform ongoing curriculum development and facilitate future collaborative partnerships and knowledge sharing within the MRS simulation community.</w:t>
      </w:r>
    </w:p>
    <w:p w14:paraId="205D92D8" w14:textId="77777777" w:rsidR="00420FA0" w:rsidRDefault="00C47FA3" w:rsidP="008624BE">
      <w:pPr>
        <w:jc w:val="both"/>
      </w:pPr>
      <w:r>
        <w:rPr>
          <w:b/>
          <w:color w:val="000000"/>
        </w:rPr>
        <w:t>Methods</w:t>
      </w:r>
    </w:p>
    <w:p w14:paraId="40D71D38" w14:textId="77777777" w:rsidR="00420FA0" w:rsidRDefault="00C47FA3" w:rsidP="008624BE">
      <w:pPr>
        <w:jc w:val="both"/>
        <w:rPr>
          <w:b/>
          <w:color w:val="000000"/>
        </w:rPr>
      </w:pPr>
      <w:r>
        <w:rPr>
          <w:b/>
          <w:color w:val="000000"/>
        </w:rPr>
        <w:t>Data collection</w:t>
      </w:r>
    </w:p>
    <w:p w14:paraId="4D073FAE" w14:textId="510A9058" w:rsidR="00EC5744" w:rsidRDefault="00C47FA3" w:rsidP="008624BE">
      <w:pPr>
        <w:jc w:val="both"/>
        <w:rPr>
          <w:color w:val="000000"/>
        </w:rPr>
      </w:pPr>
      <w:r>
        <w:rPr>
          <w:color w:val="000000"/>
        </w:rPr>
        <w:t xml:space="preserve">A short, 16 item, survey tool was developed that comprised a mixture of multiple option, matrix and short-answer open questions. </w:t>
      </w:r>
      <w:r w:rsidR="00B474B8">
        <w:rPr>
          <w:color w:val="000000"/>
        </w:rPr>
        <w:t>Consultation with a range of simulation users and piloting of the resulting survey was used to develop the tool and</w:t>
      </w:r>
      <w:r w:rsidR="00C93DBC">
        <w:rPr>
          <w:color w:val="000000"/>
        </w:rPr>
        <w:t xml:space="preserve"> ensure that</w:t>
      </w:r>
      <w:r w:rsidR="00B474B8">
        <w:rPr>
          <w:color w:val="000000"/>
        </w:rPr>
        <w:t xml:space="preserve"> t</w:t>
      </w:r>
      <w:r w:rsidR="00697694">
        <w:t>erminology encompass</w:t>
      </w:r>
      <w:r w:rsidR="00C93DBC">
        <w:t>ed</w:t>
      </w:r>
      <w:r w:rsidR="00697694">
        <w:t xml:space="preserve"> regional and </w:t>
      </w:r>
      <w:r w:rsidR="00EC5744">
        <w:t>inter</w:t>
      </w:r>
      <w:r w:rsidR="00697694">
        <w:t>national variations</w:t>
      </w:r>
      <w:r w:rsidR="00C93DBC">
        <w:t xml:space="preserve">. The same panel provided suggestions for categories of </w:t>
      </w:r>
      <w:r w:rsidR="00697694">
        <w:t>SBE activities</w:t>
      </w:r>
      <w:r w:rsidR="00C93DBC">
        <w:t xml:space="preserve"> and resources</w:t>
      </w:r>
      <w:r w:rsidR="00697694">
        <w:t xml:space="preserve">. </w:t>
      </w:r>
      <w:r w:rsidR="003744DE">
        <w:t>The Palaganas</w:t>
      </w:r>
      <w:r w:rsidR="003744DE">
        <w:rPr>
          <w:vertAlign w:val="superscript"/>
        </w:rPr>
        <w:t>12</w:t>
      </w:r>
      <w:r w:rsidR="003744DE">
        <w:t xml:space="preserve"> </w:t>
      </w:r>
      <w:r w:rsidR="00697694">
        <w:t xml:space="preserve">definition of simulation was also provided to ensure clarity of the intention of the survey. </w:t>
      </w:r>
      <w:r>
        <w:rPr>
          <w:color w:val="000000"/>
        </w:rPr>
        <w:t>The survey comprised 4 sections that gathered data relating to programme demographics, simulation resources, simulation activities and future plans. An additional short answer question sought feedback relating to how COVID-19 restrictions had impacted on use of SBE. Ethical approval for the project was granted by the University of Liverpool Research Ethics Committee</w:t>
      </w:r>
      <w:r w:rsidR="00B474B8">
        <w:rPr>
          <w:color w:val="000000"/>
        </w:rPr>
        <w:t xml:space="preserve"> (Ref 6345)</w:t>
      </w:r>
      <w:r>
        <w:rPr>
          <w:color w:val="000000"/>
        </w:rPr>
        <w:t xml:space="preserve">. </w:t>
      </w:r>
      <w:r w:rsidR="00B474B8" w:rsidRPr="00B474B8">
        <w:rPr>
          <w:color w:val="000000"/>
        </w:rPr>
        <w:t>Consent to participate was required through the opening question.</w:t>
      </w:r>
    </w:p>
    <w:p w14:paraId="1788C264" w14:textId="2CC95DF5" w:rsidR="00420FA0" w:rsidRDefault="00C47FA3" w:rsidP="008624BE">
      <w:pPr>
        <w:jc w:val="both"/>
        <w:rPr>
          <w:color w:val="000000"/>
        </w:rPr>
      </w:pPr>
      <w:r>
        <w:rPr>
          <w:color w:val="000000"/>
        </w:rPr>
        <w:t xml:space="preserve">A link to the survey </w:t>
      </w:r>
      <w:r w:rsidR="00B474B8">
        <w:rPr>
          <w:color w:val="000000"/>
        </w:rPr>
        <w:t xml:space="preserve">and participant information </w:t>
      </w:r>
      <w:r>
        <w:rPr>
          <w:color w:val="000000"/>
        </w:rPr>
        <w:t>was distributed via social media and regional networks in September 2020.  A reminder to complete the survey was distributed 1 month later</w:t>
      </w:r>
      <w:r w:rsidR="00E04F70">
        <w:rPr>
          <w:color w:val="000000"/>
        </w:rPr>
        <w:t xml:space="preserve"> and it was left open for a total of 2 months</w:t>
      </w:r>
      <w:r>
        <w:rPr>
          <w:color w:val="000000"/>
        </w:rPr>
        <w:t>. The survey was deployed by the University of Liverpool via SurveyMonkey (SVMK Inc., San Mateo, USA) to enable anonymous online completion.</w:t>
      </w:r>
      <w:r w:rsidR="00B474B8">
        <w:rPr>
          <w:color w:val="000000"/>
        </w:rPr>
        <w:t xml:space="preserve"> </w:t>
      </w:r>
    </w:p>
    <w:p w14:paraId="74963005" w14:textId="77777777" w:rsidR="00420FA0" w:rsidRDefault="00C47FA3" w:rsidP="008624BE">
      <w:pPr>
        <w:jc w:val="both"/>
        <w:rPr>
          <w:b/>
          <w:color w:val="000000"/>
        </w:rPr>
      </w:pPr>
      <w:r>
        <w:rPr>
          <w:b/>
          <w:color w:val="000000"/>
        </w:rPr>
        <w:t>Data Analysis</w:t>
      </w:r>
    </w:p>
    <w:p w14:paraId="341ECA9E" w14:textId="13E76F76" w:rsidR="00420FA0" w:rsidRDefault="00C47FA3" w:rsidP="008624BE">
      <w:pPr>
        <w:jc w:val="both"/>
        <w:rPr>
          <w:color w:val="000000"/>
        </w:rPr>
      </w:pPr>
      <w:r>
        <w:rPr>
          <w:color w:val="000000"/>
        </w:rPr>
        <w:t>All data was exported to Excel (Microsoft Corporation, Redmond, USA) to facilitate further analysis. Quantitative data was collated and analysed using descriptive statistics. Responses to the open-ended question were analysed using an approach adapted from Giorgi</w:t>
      </w:r>
      <w:r w:rsidR="00CC2AAE">
        <w:rPr>
          <w:color w:val="000000"/>
        </w:rPr>
        <w:t>.</w:t>
      </w:r>
      <w:r w:rsidR="00CC2AAE">
        <w:rPr>
          <w:color w:val="000000"/>
          <w:vertAlign w:val="superscript"/>
        </w:rPr>
        <w:t>2</w:t>
      </w:r>
      <w:r w:rsidR="00AE4EF9">
        <w:rPr>
          <w:color w:val="000000"/>
          <w:vertAlign w:val="superscript"/>
        </w:rPr>
        <w:t>2</w:t>
      </w:r>
      <w:r>
        <w:rPr>
          <w:color w:val="000000"/>
        </w:rPr>
        <w:t xml:space="preserve"> All responses were initially read in order to make sense of the participant responses. </w:t>
      </w:r>
      <w:r w:rsidR="00EC5744">
        <w:rPr>
          <w:color w:val="000000"/>
        </w:rPr>
        <w:t xml:space="preserve">The data was subsequently </w:t>
      </w:r>
      <w:r>
        <w:rPr>
          <w:color w:val="000000"/>
        </w:rPr>
        <w:t>interrogated more closely to identify codes from common words, phrases or sentiments. Codes were then arranged into broader categories in order to better facilitate discussion. In order to eliminate bias and aid in the objective interpretation</w:t>
      </w:r>
      <w:r w:rsidR="00EC5744">
        <w:rPr>
          <w:color w:val="000000"/>
        </w:rPr>
        <w:t xml:space="preserve"> of the responses, the data was </w:t>
      </w:r>
      <w:r>
        <w:rPr>
          <w:color w:val="000000"/>
        </w:rPr>
        <w:t>analysed by three independent researchers and the resulting themes were then compared for consistency. Minor changes were made to derive four overarching themes. Qualitative data was triangulated against the quantitative findings to help identify underlying rationale for responses.</w:t>
      </w:r>
    </w:p>
    <w:p w14:paraId="60115A3D" w14:textId="30ABC2C2" w:rsidR="008F75F0" w:rsidRDefault="00C47FA3" w:rsidP="008624BE">
      <w:pPr>
        <w:jc w:val="both"/>
      </w:pPr>
      <w:r>
        <w:rPr>
          <w:b/>
          <w:color w:val="000000"/>
        </w:rPr>
        <w:t>Results</w:t>
      </w:r>
    </w:p>
    <w:p w14:paraId="3EEA8F65" w14:textId="77777777" w:rsidR="00420FA0" w:rsidRDefault="00C47FA3" w:rsidP="008624BE">
      <w:pPr>
        <w:jc w:val="both"/>
        <w:rPr>
          <w:b/>
        </w:rPr>
      </w:pPr>
      <w:r>
        <w:rPr>
          <w:b/>
          <w:color w:val="000000"/>
        </w:rPr>
        <w:t>Demographics</w:t>
      </w:r>
    </w:p>
    <w:p w14:paraId="478BF227" w14:textId="6E1C0D2A" w:rsidR="00420FA0" w:rsidRDefault="00C47FA3" w:rsidP="008624BE">
      <w:pPr>
        <w:jc w:val="both"/>
      </w:pPr>
      <w:r>
        <w:rPr>
          <w:color w:val="000000"/>
        </w:rPr>
        <w:t>Overall</w:t>
      </w:r>
      <w:r w:rsidR="00C829DA">
        <w:rPr>
          <w:color w:val="000000"/>
        </w:rPr>
        <w:t>,</w:t>
      </w:r>
      <w:r>
        <w:rPr>
          <w:color w:val="000000"/>
        </w:rPr>
        <w:t xml:space="preserve"> 72 responses were received from respondents representing MRS programmes internationally. The geographical distribution of these can be seen in Figure 1.</w:t>
      </w:r>
    </w:p>
    <w:p w14:paraId="5ED5A18D" w14:textId="485B4B7E" w:rsidR="00420FA0" w:rsidRDefault="00D703BC" w:rsidP="008624BE">
      <w:pPr>
        <w:jc w:val="both"/>
      </w:pPr>
      <w:r>
        <w:rPr>
          <w:noProof/>
          <w:lang w:eastAsia="en-GB"/>
        </w:rPr>
        <w:drawing>
          <wp:inline distT="0" distB="0" distL="0" distR="0" wp14:anchorId="0AF39348" wp14:editId="09D4DD83">
            <wp:extent cx="5115560" cy="28774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NE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4992" cy="2882737"/>
                    </a:xfrm>
                    <a:prstGeom prst="rect">
                      <a:avLst/>
                    </a:prstGeom>
                  </pic:spPr>
                </pic:pic>
              </a:graphicData>
            </a:graphic>
          </wp:inline>
        </w:drawing>
      </w:r>
    </w:p>
    <w:p w14:paraId="44A380D4" w14:textId="77777777" w:rsidR="00420FA0" w:rsidRDefault="00C47FA3" w:rsidP="008624BE">
      <w:pPr>
        <w:jc w:val="both"/>
        <w:rPr>
          <w:b/>
        </w:rPr>
      </w:pPr>
      <w:r>
        <w:rPr>
          <w:b/>
        </w:rPr>
        <w:t>Figure 1. Respondents per geographic region</w:t>
      </w:r>
    </w:p>
    <w:p w14:paraId="4F92205A" w14:textId="77777777" w:rsidR="00420FA0" w:rsidRDefault="00420FA0" w:rsidP="008624BE">
      <w:pPr>
        <w:jc w:val="both"/>
        <w:rPr>
          <w:b/>
        </w:rPr>
      </w:pPr>
    </w:p>
    <w:p w14:paraId="33F006A5" w14:textId="77777777" w:rsidR="00420FA0" w:rsidRDefault="00C47FA3" w:rsidP="008624BE">
      <w:pPr>
        <w:jc w:val="both"/>
        <w:rPr>
          <w:b/>
          <w:color w:val="000000"/>
        </w:rPr>
      </w:pPr>
      <w:r>
        <w:rPr>
          <w:color w:val="000000"/>
        </w:rPr>
        <w:t>From these respondents, a range of programme types were identified with ‘Diagnostic’ (Diagnostic radiography / Medical imaging) most common (n=34; 47.2%). This was followed by ‘MRS’ (diagnostic, radiotherapy and nuclear medicine) (n=25; 34.7%) and then discipline-specific programmes as seen in Figure 2.</w:t>
      </w:r>
    </w:p>
    <w:p w14:paraId="1A3BBBA4" w14:textId="7C96DD91" w:rsidR="00420FA0" w:rsidRDefault="00CC7AD3" w:rsidP="008624BE">
      <w:pPr>
        <w:jc w:val="both"/>
      </w:pPr>
      <w:r>
        <w:rPr>
          <w:noProof/>
          <w:lang w:eastAsia="en-GB"/>
        </w:rPr>
        <w:drawing>
          <wp:inline distT="0" distB="0" distL="0" distR="0" wp14:anchorId="77C644C1" wp14:editId="4D79383E">
            <wp:extent cx="4837796" cy="2973229"/>
            <wp:effectExtent l="0" t="0" r="1270" b="0"/>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764" cy="2979970"/>
                    </a:xfrm>
                    <a:prstGeom prst="rect">
                      <a:avLst/>
                    </a:prstGeom>
                    <a:noFill/>
                    <a:ln>
                      <a:noFill/>
                    </a:ln>
                  </pic:spPr>
                </pic:pic>
              </a:graphicData>
            </a:graphic>
          </wp:inline>
        </w:drawing>
      </w:r>
      <w:r>
        <w:rPr>
          <w:b/>
          <w:bCs/>
          <w:color w:val="000000"/>
          <w:shd w:val="clear" w:color="auto" w:fill="FFFFFF"/>
        </w:rPr>
        <w:br/>
      </w:r>
    </w:p>
    <w:p w14:paraId="009A31F0" w14:textId="77777777" w:rsidR="00420FA0" w:rsidRDefault="00C47FA3" w:rsidP="008624BE">
      <w:pPr>
        <w:jc w:val="both"/>
        <w:rPr>
          <w:b/>
        </w:rPr>
      </w:pPr>
      <w:r>
        <w:rPr>
          <w:b/>
        </w:rPr>
        <w:t>Figure 2. Programme type</w:t>
      </w:r>
    </w:p>
    <w:p w14:paraId="367A6FDF" w14:textId="77777777" w:rsidR="00420FA0" w:rsidRDefault="00C47FA3" w:rsidP="008624BE">
      <w:pPr>
        <w:jc w:val="both"/>
        <w:rPr>
          <w:b/>
          <w:color w:val="000000"/>
        </w:rPr>
      </w:pPr>
      <w:r>
        <w:rPr>
          <w:color w:val="000000"/>
        </w:rPr>
        <w:t>Figure 3 shows the class sizes for these programmes, based on annual student intake to first year. These ranged from less than 20 students (n=12; 16.7%) to over 70 students (n=18; 25.0%).</w:t>
      </w:r>
      <w:r>
        <w:rPr>
          <w:b/>
          <w:color w:val="000000"/>
        </w:rPr>
        <w:t xml:space="preserve"> </w:t>
      </w:r>
    </w:p>
    <w:p w14:paraId="122293E2" w14:textId="77777777" w:rsidR="00420FA0" w:rsidRDefault="00C47FA3" w:rsidP="008624BE">
      <w:pPr>
        <w:jc w:val="both"/>
        <w:rPr>
          <w:b/>
        </w:rPr>
      </w:pPr>
      <w:r>
        <w:rPr>
          <w:b/>
          <w:noProof/>
          <w:lang w:eastAsia="en-GB"/>
        </w:rPr>
        <w:drawing>
          <wp:inline distT="114300" distB="114300" distL="114300" distR="114300" wp14:anchorId="292F25C6" wp14:editId="10C8F32D">
            <wp:extent cx="4365924" cy="297837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365924" cy="2978373"/>
                    </a:xfrm>
                    <a:prstGeom prst="rect">
                      <a:avLst/>
                    </a:prstGeom>
                    <a:ln/>
                  </pic:spPr>
                </pic:pic>
              </a:graphicData>
            </a:graphic>
          </wp:inline>
        </w:drawing>
      </w:r>
    </w:p>
    <w:p w14:paraId="555EF4D4" w14:textId="119D25EB" w:rsidR="008F75F0" w:rsidRDefault="00C47FA3" w:rsidP="008624BE">
      <w:pPr>
        <w:jc w:val="both"/>
      </w:pPr>
      <w:r>
        <w:rPr>
          <w:b/>
          <w:color w:val="000000"/>
        </w:rPr>
        <w:t>Figure 3. Class size by annual first year intake</w:t>
      </w:r>
    </w:p>
    <w:p w14:paraId="07D8FA7B" w14:textId="77777777" w:rsidR="00420FA0" w:rsidRDefault="00C47FA3" w:rsidP="008624BE">
      <w:pPr>
        <w:jc w:val="both"/>
        <w:rPr>
          <w:b/>
        </w:rPr>
      </w:pPr>
      <w:r>
        <w:rPr>
          <w:b/>
          <w:color w:val="000000"/>
        </w:rPr>
        <w:t>Simulation resources</w:t>
      </w:r>
    </w:p>
    <w:p w14:paraId="2A0DEBFE" w14:textId="1D504EB9" w:rsidR="00420FA0" w:rsidRDefault="00C47FA3" w:rsidP="008624BE">
      <w:pPr>
        <w:jc w:val="both"/>
        <w:rPr>
          <w:color w:val="000000"/>
        </w:rPr>
      </w:pPr>
      <w:r>
        <w:rPr>
          <w:color w:val="000000"/>
        </w:rPr>
        <w:t xml:space="preserve">Table 1 illustrates the responses concerning course access to simulation resources and frequency of use during the course. In this case, "frequency" counted the specific occasions the simulation activity </w:t>
      </w:r>
      <w:r w:rsidR="001328EA">
        <w:rPr>
          <w:color w:val="000000"/>
        </w:rPr>
        <w:t>was used per student</w:t>
      </w:r>
      <w:r w:rsidR="002A446A">
        <w:rPr>
          <w:color w:val="000000"/>
        </w:rPr>
        <w:t xml:space="preserve">, as opposed to </w:t>
      </w:r>
      <w:r>
        <w:rPr>
          <w:color w:val="000000"/>
        </w:rPr>
        <w:t xml:space="preserve">the number of days spent on each activity. </w:t>
      </w:r>
    </w:p>
    <w:p w14:paraId="732348A9" w14:textId="36BA8CA3" w:rsidR="00420FA0" w:rsidRDefault="00C47FA3" w:rsidP="008624BE">
      <w:pPr>
        <w:jc w:val="both"/>
        <w:rPr>
          <w:b/>
          <w:color w:val="000000"/>
        </w:rPr>
      </w:pPr>
      <w:r>
        <w:rPr>
          <w:b/>
          <w:color w:val="000000"/>
        </w:rPr>
        <w:t xml:space="preserve">Table 1: Availability and usage of </w:t>
      </w:r>
      <w:r w:rsidR="00E31C42">
        <w:rPr>
          <w:b/>
          <w:color w:val="000000"/>
        </w:rPr>
        <w:t>SBE</w:t>
      </w:r>
      <w:r>
        <w:rPr>
          <w:b/>
          <w:color w:val="000000"/>
        </w:rPr>
        <w:t xml:space="preserve"> resources</w:t>
      </w:r>
      <w:r w:rsidR="002A446A">
        <w:rPr>
          <w:b/>
          <w:color w:val="000000"/>
        </w:rPr>
        <w:t xml:space="preserve"> </w:t>
      </w:r>
    </w:p>
    <w:tbl>
      <w:tblPr>
        <w:tblW w:w="9040" w:type="dxa"/>
        <w:tblLook w:val="04A0" w:firstRow="1" w:lastRow="0" w:firstColumn="1" w:lastColumn="0" w:noHBand="0" w:noVBand="1"/>
      </w:tblPr>
      <w:tblGrid>
        <w:gridCol w:w="2960"/>
        <w:gridCol w:w="700"/>
        <w:gridCol w:w="700"/>
        <w:gridCol w:w="800"/>
        <w:gridCol w:w="700"/>
        <w:gridCol w:w="740"/>
        <w:gridCol w:w="800"/>
        <w:gridCol w:w="680"/>
        <w:gridCol w:w="1044"/>
      </w:tblGrid>
      <w:tr w:rsidR="00AC6176" w:rsidRPr="00AC6176" w14:paraId="66422B0E" w14:textId="77777777" w:rsidTr="00AC6176">
        <w:trPr>
          <w:trHeight w:val="564"/>
        </w:trPr>
        <w:tc>
          <w:tcPr>
            <w:tcW w:w="2960" w:type="dxa"/>
            <w:tcBorders>
              <w:top w:val="nil"/>
              <w:left w:val="nil"/>
              <w:bottom w:val="nil"/>
              <w:right w:val="nil"/>
            </w:tcBorders>
            <w:shd w:val="clear" w:color="000000" w:fill="D9D9D9"/>
            <w:noWrap/>
            <w:vAlign w:val="bottom"/>
            <w:hideMark/>
          </w:tcPr>
          <w:p w14:paraId="1D14E442" w14:textId="3C979203" w:rsidR="00AC6176" w:rsidRPr="00AC6176" w:rsidRDefault="008F75F0" w:rsidP="008624BE">
            <w:pPr>
              <w:spacing w:after="0" w:line="240" w:lineRule="auto"/>
              <w:jc w:val="both"/>
              <w:rPr>
                <w:rFonts w:eastAsia="Times New Roman"/>
                <w:b/>
                <w:bCs/>
                <w:color w:val="000000"/>
                <w:lang w:eastAsia="en-GB"/>
              </w:rPr>
            </w:pPr>
            <w:r>
              <w:rPr>
                <w:rFonts w:eastAsia="Times New Roman"/>
                <w:b/>
                <w:bCs/>
                <w:color w:val="000000"/>
                <w:lang w:eastAsia="en-GB"/>
              </w:rPr>
              <w:t>Technical</w:t>
            </w:r>
            <w:r w:rsidR="00AC6176" w:rsidRPr="00AC6176">
              <w:rPr>
                <w:rFonts w:eastAsia="Times New Roman"/>
                <w:b/>
                <w:bCs/>
                <w:color w:val="000000"/>
                <w:lang w:eastAsia="en-GB"/>
              </w:rPr>
              <w:t xml:space="preserve"> resource</w:t>
            </w:r>
            <w:r>
              <w:rPr>
                <w:rFonts w:eastAsia="Times New Roman"/>
                <w:b/>
                <w:bCs/>
                <w:color w:val="000000"/>
                <w:lang w:eastAsia="en-GB"/>
              </w:rPr>
              <w:t>s</w:t>
            </w:r>
          </w:p>
        </w:tc>
        <w:tc>
          <w:tcPr>
            <w:tcW w:w="700" w:type="dxa"/>
            <w:tcBorders>
              <w:top w:val="nil"/>
              <w:left w:val="nil"/>
              <w:bottom w:val="nil"/>
              <w:right w:val="nil"/>
            </w:tcBorders>
            <w:shd w:val="clear" w:color="000000" w:fill="D9D9D9"/>
            <w:noWrap/>
            <w:vAlign w:val="bottom"/>
            <w:hideMark/>
          </w:tcPr>
          <w:p w14:paraId="45857B69"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700" w:type="dxa"/>
            <w:tcBorders>
              <w:top w:val="nil"/>
              <w:left w:val="nil"/>
              <w:bottom w:val="nil"/>
              <w:right w:val="nil"/>
            </w:tcBorders>
            <w:shd w:val="clear" w:color="000000" w:fill="D9D9D9"/>
            <w:noWrap/>
            <w:vAlign w:val="bottom"/>
            <w:hideMark/>
          </w:tcPr>
          <w:p w14:paraId="2CDC5744"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800" w:type="dxa"/>
            <w:tcBorders>
              <w:top w:val="nil"/>
              <w:left w:val="nil"/>
              <w:bottom w:val="nil"/>
              <w:right w:val="nil"/>
            </w:tcBorders>
            <w:shd w:val="clear" w:color="000000" w:fill="D9D9D9"/>
            <w:noWrap/>
            <w:vAlign w:val="bottom"/>
            <w:hideMark/>
          </w:tcPr>
          <w:p w14:paraId="1C0CA9AA"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700" w:type="dxa"/>
            <w:tcBorders>
              <w:top w:val="nil"/>
              <w:left w:val="nil"/>
              <w:bottom w:val="nil"/>
              <w:right w:val="nil"/>
            </w:tcBorders>
            <w:shd w:val="clear" w:color="000000" w:fill="D9D9D9"/>
            <w:noWrap/>
            <w:vAlign w:val="bottom"/>
            <w:hideMark/>
          </w:tcPr>
          <w:p w14:paraId="2CD5B00E"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740" w:type="dxa"/>
            <w:tcBorders>
              <w:top w:val="nil"/>
              <w:left w:val="nil"/>
              <w:bottom w:val="nil"/>
              <w:right w:val="nil"/>
            </w:tcBorders>
            <w:shd w:val="clear" w:color="000000" w:fill="D9D9D9"/>
            <w:noWrap/>
            <w:vAlign w:val="bottom"/>
            <w:hideMark/>
          </w:tcPr>
          <w:p w14:paraId="1CCFE600"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800" w:type="dxa"/>
            <w:tcBorders>
              <w:top w:val="nil"/>
              <w:left w:val="nil"/>
              <w:bottom w:val="nil"/>
              <w:right w:val="nil"/>
            </w:tcBorders>
            <w:shd w:val="clear" w:color="000000" w:fill="D9D9D9"/>
            <w:noWrap/>
            <w:vAlign w:val="bottom"/>
            <w:hideMark/>
          </w:tcPr>
          <w:p w14:paraId="6EB74A77"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680" w:type="dxa"/>
            <w:tcBorders>
              <w:top w:val="nil"/>
              <w:left w:val="nil"/>
              <w:bottom w:val="nil"/>
              <w:right w:val="nil"/>
            </w:tcBorders>
            <w:shd w:val="clear" w:color="000000" w:fill="D9D9D9"/>
            <w:noWrap/>
            <w:vAlign w:val="bottom"/>
            <w:hideMark/>
          </w:tcPr>
          <w:p w14:paraId="08B0A77A"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c>
          <w:tcPr>
            <w:tcW w:w="960" w:type="dxa"/>
            <w:tcBorders>
              <w:top w:val="nil"/>
              <w:left w:val="nil"/>
              <w:bottom w:val="nil"/>
              <w:right w:val="nil"/>
            </w:tcBorders>
            <w:shd w:val="clear" w:color="000000" w:fill="D9D9D9"/>
            <w:noWrap/>
            <w:vAlign w:val="bottom"/>
            <w:hideMark/>
          </w:tcPr>
          <w:p w14:paraId="7C15AAB0"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 </w:t>
            </w:r>
          </w:p>
        </w:tc>
      </w:tr>
      <w:tr w:rsidR="00AC6176" w:rsidRPr="00AC6176" w14:paraId="16217049" w14:textId="77777777" w:rsidTr="00AC6176">
        <w:trPr>
          <w:trHeight w:val="279"/>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7AA18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 </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6292E7DE"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NA*</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38D62237"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0</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09EB6768" w14:textId="7A7DAF64"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1-</w:t>
            </w:r>
            <w:r w:rsidR="005D511F">
              <w:rPr>
                <w:rFonts w:eastAsia="Times New Roman"/>
                <w:b/>
                <w:bCs/>
                <w:color w:val="000000"/>
                <w:sz w:val="20"/>
                <w:szCs w:val="20"/>
                <w:lang w:eastAsia="en-GB"/>
              </w:rPr>
              <w:t>2</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26EAC8F0"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Ann</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182B75F5"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Sem</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5658F884"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Mult</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14:paraId="2E42C8DB"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5320386C"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Course</w:t>
            </w:r>
          </w:p>
        </w:tc>
      </w:tr>
      <w:tr w:rsidR="00AC6176" w:rsidRPr="00AC6176" w14:paraId="6D78B8E0"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BDD6D5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3D Immersive VR hardware</w:t>
            </w:r>
          </w:p>
        </w:tc>
        <w:tc>
          <w:tcPr>
            <w:tcW w:w="700" w:type="dxa"/>
            <w:tcBorders>
              <w:top w:val="nil"/>
              <w:left w:val="nil"/>
              <w:bottom w:val="single" w:sz="8" w:space="0" w:color="000000"/>
              <w:right w:val="single" w:sz="8" w:space="0" w:color="000000"/>
            </w:tcBorders>
            <w:shd w:val="clear" w:color="auto" w:fill="auto"/>
            <w:vAlign w:val="center"/>
            <w:hideMark/>
          </w:tcPr>
          <w:p w14:paraId="18B7C39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43</w:t>
            </w:r>
          </w:p>
        </w:tc>
        <w:tc>
          <w:tcPr>
            <w:tcW w:w="700" w:type="dxa"/>
            <w:tcBorders>
              <w:top w:val="nil"/>
              <w:left w:val="nil"/>
              <w:bottom w:val="single" w:sz="8" w:space="0" w:color="000000"/>
              <w:right w:val="single" w:sz="8" w:space="0" w:color="000000"/>
            </w:tcBorders>
            <w:shd w:val="clear" w:color="auto" w:fill="auto"/>
            <w:vAlign w:val="center"/>
            <w:hideMark/>
          </w:tcPr>
          <w:p w14:paraId="5CD7922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550DFC1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148DD59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000000"/>
              <w:right w:val="single" w:sz="8" w:space="0" w:color="000000"/>
            </w:tcBorders>
            <w:shd w:val="clear" w:color="auto" w:fill="auto"/>
            <w:vAlign w:val="center"/>
            <w:hideMark/>
          </w:tcPr>
          <w:p w14:paraId="2048527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1190205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11</w:t>
            </w:r>
          </w:p>
        </w:tc>
        <w:tc>
          <w:tcPr>
            <w:tcW w:w="680" w:type="dxa"/>
            <w:tcBorders>
              <w:top w:val="nil"/>
              <w:left w:val="nil"/>
              <w:bottom w:val="single" w:sz="8" w:space="0" w:color="000000"/>
              <w:right w:val="single" w:sz="8" w:space="0" w:color="000000"/>
            </w:tcBorders>
            <w:shd w:val="clear" w:color="auto" w:fill="auto"/>
            <w:vAlign w:val="center"/>
            <w:hideMark/>
          </w:tcPr>
          <w:p w14:paraId="6136125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726A277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8B7C23E"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B594F8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Biometry measurements</w:t>
            </w:r>
          </w:p>
        </w:tc>
        <w:tc>
          <w:tcPr>
            <w:tcW w:w="700" w:type="dxa"/>
            <w:tcBorders>
              <w:top w:val="nil"/>
              <w:left w:val="nil"/>
              <w:bottom w:val="single" w:sz="8" w:space="0" w:color="000000"/>
              <w:right w:val="single" w:sz="8" w:space="0" w:color="000000"/>
            </w:tcBorders>
            <w:shd w:val="clear" w:color="auto" w:fill="auto"/>
            <w:vAlign w:val="center"/>
            <w:hideMark/>
          </w:tcPr>
          <w:p w14:paraId="3C4BD18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54</w:t>
            </w:r>
          </w:p>
        </w:tc>
        <w:tc>
          <w:tcPr>
            <w:tcW w:w="700" w:type="dxa"/>
            <w:tcBorders>
              <w:top w:val="nil"/>
              <w:left w:val="nil"/>
              <w:bottom w:val="single" w:sz="8" w:space="0" w:color="000000"/>
              <w:right w:val="single" w:sz="8" w:space="0" w:color="000000"/>
            </w:tcBorders>
            <w:shd w:val="clear" w:color="auto" w:fill="auto"/>
            <w:vAlign w:val="center"/>
            <w:hideMark/>
          </w:tcPr>
          <w:p w14:paraId="43B1A3F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10ED4ED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7AF5985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40" w:type="dxa"/>
            <w:tcBorders>
              <w:top w:val="nil"/>
              <w:left w:val="nil"/>
              <w:bottom w:val="single" w:sz="8" w:space="0" w:color="000000"/>
              <w:right w:val="single" w:sz="8" w:space="0" w:color="000000"/>
            </w:tcBorders>
            <w:shd w:val="clear" w:color="auto" w:fill="auto"/>
            <w:vAlign w:val="center"/>
            <w:hideMark/>
          </w:tcPr>
          <w:p w14:paraId="3AE146F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6F6BA4E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680" w:type="dxa"/>
            <w:tcBorders>
              <w:top w:val="nil"/>
              <w:left w:val="nil"/>
              <w:bottom w:val="single" w:sz="8" w:space="0" w:color="000000"/>
              <w:right w:val="single" w:sz="8" w:space="0" w:color="000000"/>
            </w:tcBorders>
            <w:shd w:val="clear" w:color="auto" w:fill="auto"/>
            <w:vAlign w:val="center"/>
            <w:hideMark/>
          </w:tcPr>
          <w:p w14:paraId="0FA3115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7DDCBFD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w:t>
            </w:r>
          </w:p>
        </w:tc>
      </w:tr>
      <w:tr w:rsidR="00AC6176" w:rsidRPr="00AC6176" w14:paraId="059AC34B"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CA38E2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Communication skills VR environment</w:t>
            </w:r>
          </w:p>
        </w:tc>
        <w:tc>
          <w:tcPr>
            <w:tcW w:w="700" w:type="dxa"/>
            <w:tcBorders>
              <w:top w:val="nil"/>
              <w:left w:val="nil"/>
              <w:bottom w:val="single" w:sz="8" w:space="0" w:color="000000"/>
              <w:right w:val="single" w:sz="8" w:space="0" w:color="000000"/>
            </w:tcBorders>
            <w:shd w:val="clear" w:color="auto" w:fill="auto"/>
            <w:vAlign w:val="center"/>
            <w:hideMark/>
          </w:tcPr>
          <w:p w14:paraId="0992436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30</w:t>
            </w:r>
          </w:p>
        </w:tc>
        <w:tc>
          <w:tcPr>
            <w:tcW w:w="700" w:type="dxa"/>
            <w:tcBorders>
              <w:top w:val="nil"/>
              <w:left w:val="nil"/>
              <w:bottom w:val="single" w:sz="8" w:space="0" w:color="000000"/>
              <w:right w:val="single" w:sz="8" w:space="0" w:color="000000"/>
            </w:tcBorders>
            <w:shd w:val="clear" w:color="auto" w:fill="auto"/>
            <w:vAlign w:val="center"/>
            <w:hideMark/>
          </w:tcPr>
          <w:p w14:paraId="4B30348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800" w:type="dxa"/>
            <w:tcBorders>
              <w:top w:val="nil"/>
              <w:left w:val="nil"/>
              <w:bottom w:val="single" w:sz="8" w:space="0" w:color="000000"/>
              <w:right w:val="single" w:sz="8" w:space="0" w:color="000000"/>
            </w:tcBorders>
            <w:shd w:val="clear" w:color="auto" w:fill="auto"/>
            <w:vAlign w:val="center"/>
            <w:hideMark/>
          </w:tcPr>
          <w:p w14:paraId="135B4F9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700" w:type="dxa"/>
            <w:tcBorders>
              <w:top w:val="nil"/>
              <w:left w:val="nil"/>
              <w:bottom w:val="single" w:sz="8" w:space="0" w:color="000000"/>
              <w:right w:val="single" w:sz="8" w:space="0" w:color="000000"/>
            </w:tcBorders>
            <w:shd w:val="clear" w:color="auto" w:fill="auto"/>
            <w:vAlign w:val="center"/>
            <w:hideMark/>
          </w:tcPr>
          <w:p w14:paraId="310A4BE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740" w:type="dxa"/>
            <w:tcBorders>
              <w:top w:val="nil"/>
              <w:left w:val="nil"/>
              <w:bottom w:val="single" w:sz="8" w:space="0" w:color="000000"/>
              <w:right w:val="single" w:sz="8" w:space="0" w:color="000000"/>
            </w:tcBorders>
            <w:shd w:val="clear" w:color="auto" w:fill="auto"/>
            <w:vAlign w:val="center"/>
            <w:hideMark/>
          </w:tcPr>
          <w:p w14:paraId="730F694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3147EDF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680" w:type="dxa"/>
            <w:tcBorders>
              <w:top w:val="nil"/>
              <w:left w:val="nil"/>
              <w:bottom w:val="single" w:sz="8" w:space="0" w:color="000000"/>
              <w:right w:val="single" w:sz="8" w:space="0" w:color="000000"/>
            </w:tcBorders>
            <w:shd w:val="clear" w:color="auto" w:fill="auto"/>
            <w:vAlign w:val="center"/>
            <w:hideMark/>
          </w:tcPr>
          <w:p w14:paraId="2F80F6B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0185D07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7D4ED95"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D42BCD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Decommissioned equipment</w:t>
            </w:r>
          </w:p>
        </w:tc>
        <w:tc>
          <w:tcPr>
            <w:tcW w:w="700" w:type="dxa"/>
            <w:tcBorders>
              <w:top w:val="nil"/>
              <w:left w:val="nil"/>
              <w:bottom w:val="single" w:sz="8" w:space="0" w:color="000000"/>
              <w:right w:val="single" w:sz="8" w:space="0" w:color="000000"/>
            </w:tcBorders>
            <w:shd w:val="clear" w:color="auto" w:fill="auto"/>
            <w:vAlign w:val="center"/>
            <w:hideMark/>
          </w:tcPr>
          <w:p w14:paraId="2454142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25</w:t>
            </w:r>
          </w:p>
        </w:tc>
        <w:tc>
          <w:tcPr>
            <w:tcW w:w="700" w:type="dxa"/>
            <w:tcBorders>
              <w:top w:val="nil"/>
              <w:left w:val="nil"/>
              <w:bottom w:val="single" w:sz="8" w:space="0" w:color="000000"/>
              <w:right w:val="single" w:sz="8" w:space="0" w:color="000000"/>
            </w:tcBorders>
            <w:shd w:val="clear" w:color="auto" w:fill="auto"/>
            <w:vAlign w:val="center"/>
            <w:hideMark/>
          </w:tcPr>
          <w:p w14:paraId="4895062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000000"/>
              <w:right w:val="single" w:sz="8" w:space="0" w:color="000000"/>
            </w:tcBorders>
            <w:shd w:val="clear" w:color="auto" w:fill="auto"/>
            <w:vAlign w:val="center"/>
            <w:hideMark/>
          </w:tcPr>
          <w:p w14:paraId="1818CA7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0A1AED8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000000"/>
              <w:right w:val="single" w:sz="8" w:space="0" w:color="000000"/>
            </w:tcBorders>
            <w:shd w:val="clear" w:color="auto" w:fill="auto"/>
            <w:vAlign w:val="center"/>
            <w:hideMark/>
          </w:tcPr>
          <w:p w14:paraId="4617086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000000"/>
              <w:right w:val="single" w:sz="8" w:space="0" w:color="000000"/>
            </w:tcBorders>
            <w:shd w:val="clear" w:color="auto" w:fill="auto"/>
            <w:vAlign w:val="center"/>
            <w:hideMark/>
          </w:tcPr>
          <w:p w14:paraId="7CAAC96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16</w:t>
            </w:r>
          </w:p>
        </w:tc>
        <w:tc>
          <w:tcPr>
            <w:tcW w:w="680" w:type="dxa"/>
            <w:tcBorders>
              <w:top w:val="nil"/>
              <w:left w:val="nil"/>
              <w:bottom w:val="single" w:sz="8" w:space="0" w:color="000000"/>
              <w:right w:val="single" w:sz="8" w:space="0" w:color="000000"/>
            </w:tcBorders>
            <w:shd w:val="clear" w:color="auto" w:fill="auto"/>
            <w:vAlign w:val="center"/>
            <w:hideMark/>
          </w:tcPr>
          <w:p w14:paraId="3EFE9BF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48B30BB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0AB96D5B"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EAB23E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Haptic feedback equipment</w:t>
            </w:r>
          </w:p>
        </w:tc>
        <w:tc>
          <w:tcPr>
            <w:tcW w:w="700" w:type="dxa"/>
            <w:tcBorders>
              <w:top w:val="nil"/>
              <w:left w:val="nil"/>
              <w:bottom w:val="single" w:sz="8" w:space="0" w:color="000000"/>
              <w:right w:val="single" w:sz="8" w:space="0" w:color="000000"/>
            </w:tcBorders>
            <w:shd w:val="clear" w:color="auto" w:fill="auto"/>
            <w:vAlign w:val="center"/>
            <w:hideMark/>
          </w:tcPr>
          <w:p w14:paraId="668D264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46</w:t>
            </w:r>
          </w:p>
        </w:tc>
        <w:tc>
          <w:tcPr>
            <w:tcW w:w="700" w:type="dxa"/>
            <w:tcBorders>
              <w:top w:val="nil"/>
              <w:left w:val="nil"/>
              <w:bottom w:val="single" w:sz="8" w:space="0" w:color="000000"/>
              <w:right w:val="single" w:sz="8" w:space="0" w:color="000000"/>
            </w:tcBorders>
            <w:shd w:val="clear" w:color="auto" w:fill="auto"/>
            <w:vAlign w:val="center"/>
            <w:hideMark/>
          </w:tcPr>
          <w:p w14:paraId="5002C8C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15DCBF8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00" w:type="dxa"/>
            <w:tcBorders>
              <w:top w:val="nil"/>
              <w:left w:val="nil"/>
              <w:bottom w:val="single" w:sz="8" w:space="0" w:color="000000"/>
              <w:right w:val="single" w:sz="8" w:space="0" w:color="000000"/>
            </w:tcBorders>
            <w:shd w:val="clear" w:color="auto" w:fill="auto"/>
            <w:vAlign w:val="center"/>
            <w:hideMark/>
          </w:tcPr>
          <w:p w14:paraId="50AD4E7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740" w:type="dxa"/>
            <w:tcBorders>
              <w:top w:val="nil"/>
              <w:left w:val="nil"/>
              <w:bottom w:val="single" w:sz="8" w:space="0" w:color="000000"/>
              <w:right w:val="single" w:sz="8" w:space="0" w:color="000000"/>
            </w:tcBorders>
            <w:shd w:val="clear" w:color="auto" w:fill="auto"/>
            <w:vAlign w:val="center"/>
            <w:hideMark/>
          </w:tcPr>
          <w:p w14:paraId="23A8786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111F2E2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680" w:type="dxa"/>
            <w:tcBorders>
              <w:top w:val="nil"/>
              <w:left w:val="nil"/>
              <w:bottom w:val="single" w:sz="8" w:space="0" w:color="000000"/>
              <w:right w:val="single" w:sz="8" w:space="0" w:color="000000"/>
            </w:tcBorders>
            <w:shd w:val="clear" w:color="auto" w:fill="auto"/>
            <w:vAlign w:val="center"/>
            <w:hideMark/>
          </w:tcPr>
          <w:p w14:paraId="743B67B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26078D0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2076CE04"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6A4F78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Image viewing software</w:t>
            </w:r>
          </w:p>
        </w:tc>
        <w:tc>
          <w:tcPr>
            <w:tcW w:w="700" w:type="dxa"/>
            <w:tcBorders>
              <w:top w:val="nil"/>
              <w:left w:val="nil"/>
              <w:bottom w:val="single" w:sz="8" w:space="0" w:color="000000"/>
              <w:right w:val="single" w:sz="8" w:space="0" w:color="000000"/>
            </w:tcBorders>
            <w:shd w:val="clear" w:color="auto" w:fill="auto"/>
            <w:vAlign w:val="center"/>
            <w:hideMark/>
          </w:tcPr>
          <w:p w14:paraId="01B9BE9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700" w:type="dxa"/>
            <w:tcBorders>
              <w:top w:val="nil"/>
              <w:left w:val="nil"/>
              <w:bottom w:val="single" w:sz="8" w:space="0" w:color="000000"/>
              <w:right w:val="single" w:sz="8" w:space="0" w:color="000000"/>
            </w:tcBorders>
            <w:shd w:val="clear" w:color="auto" w:fill="auto"/>
            <w:vAlign w:val="center"/>
            <w:hideMark/>
          </w:tcPr>
          <w:p w14:paraId="4DD206B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0D5976F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700" w:type="dxa"/>
            <w:tcBorders>
              <w:top w:val="nil"/>
              <w:left w:val="nil"/>
              <w:bottom w:val="single" w:sz="8" w:space="0" w:color="000000"/>
              <w:right w:val="single" w:sz="8" w:space="0" w:color="000000"/>
            </w:tcBorders>
            <w:shd w:val="clear" w:color="auto" w:fill="auto"/>
            <w:vAlign w:val="center"/>
            <w:hideMark/>
          </w:tcPr>
          <w:p w14:paraId="3C36180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740" w:type="dxa"/>
            <w:tcBorders>
              <w:top w:val="nil"/>
              <w:left w:val="nil"/>
              <w:bottom w:val="single" w:sz="8" w:space="0" w:color="000000"/>
              <w:right w:val="single" w:sz="8" w:space="0" w:color="000000"/>
            </w:tcBorders>
            <w:shd w:val="clear" w:color="auto" w:fill="auto"/>
            <w:vAlign w:val="center"/>
            <w:hideMark/>
          </w:tcPr>
          <w:p w14:paraId="0244C22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800" w:type="dxa"/>
            <w:tcBorders>
              <w:top w:val="nil"/>
              <w:left w:val="nil"/>
              <w:bottom w:val="single" w:sz="8" w:space="0" w:color="000000"/>
              <w:right w:val="single" w:sz="8" w:space="0" w:color="000000"/>
            </w:tcBorders>
            <w:shd w:val="clear" w:color="auto" w:fill="auto"/>
            <w:vAlign w:val="center"/>
            <w:hideMark/>
          </w:tcPr>
          <w:p w14:paraId="22D8099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36</w:t>
            </w:r>
          </w:p>
        </w:tc>
        <w:tc>
          <w:tcPr>
            <w:tcW w:w="680" w:type="dxa"/>
            <w:tcBorders>
              <w:top w:val="nil"/>
              <w:left w:val="nil"/>
              <w:bottom w:val="single" w:sz="8" w:space="0" w:color="000000"/>
              <w:right w:val="single" w:sz="8" w:space="0" w:color="000000"/>
            </w:tcBorders>
            <w:shd w:val="clear" w:color="auto" w:fill="auto"/>
            <w:vAlign w:val="center"/>
            <w:hideMark/>
          </w:tcPr>
          <w:p w14:paraId="54F48FA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45386B3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90D66C3"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8CA348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Image viewing station / library</w:t>
            </w:r>
          </w:p>
        </w:tc>
        <w:tc>
          <w:tcPr>
            <w:tcW w:w="700" w:type="dxa"/>
            <w:tcBorders>
              <w:top w:val="nil"/>
              <w:left w:val="nil"/>
              <w:bottom w:val="single" w:sz="8" w:space="0" w:color="000000"/>
              <w:right w:val="single" w:sz="8" w:space="0" w:color="000000"/>
            </w:tcBorders>
            <w:shd w:val="clear" w:color="auto" w:fill="auto"/>
            <w:vAlign w:val="center"/>
            <w:hideMark/>
          </w:tcPr>
          <w:p w14:paraId="504E57B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12</w:t>
            </w:r>
          </w:p>
        </w:tc>
        <w:tc>
          <w:tcPr>
            <w:tcW w:w="700" w:type="dxa"/>
            <w:tcBorders>
              <w:top w:val="nil"/>
              <w:left w:val="nil"/>
              <w:bottom w:val="single" w:sz="8" w:space="0" w:color="000000"/>
              <w:right w:val="single" w:sz="8" w:space="0" w:color="000000"/>
            </w:tcBorders>
            <w:shd w:val="clear" w:color="auto" w:fill="auto"/>
            <w:vAlign w:val="center"/>
            <w:hideMark/>
          </w:tcPr>
          <w:p w14:paraId="6888E40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66A179E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00" w:type="dxa"/>
            <w:tcBorders>
              <w:top w:val="nil"/>
              <w:left w:val="nil"/>
              <w:bottom w:val="single" w:sz="8" w:space="0" w:color="000000"/>
              <w:right w:val="single" w:sz="8" w:space="0" w:color="000000"/>
            </w:tcBorders>
            <w:shd w:val="clear" w:color="auto" w:fill="auto"/>
            <w:vAlign w:val="center"/>
            <w:hideMark/>
          </w:tcPr>
          <w:p w14:paraId="5BCE48B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40" w:type="dxa"/>
            <w:tcBorders>
              <w:top w:val="nil"/>
              <w:left w:val="nil"/>
              <w:bottom w:val="single" w:sz="8" w:space="0" w:color="000000"/>
              <w:right w:val="single" w:sz="8" w:space="0" w:color="000000"/>
            </w:tcBorders>
            <w:shd w:val="clear" w:color="auto" w:fill="auto"/>
            <w:vAlign w:val="center"/>
            <w:hideMark/>
          </w:tcPr>
          <w:p w14:paraId="13C87E5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800" w:type="dxa"/>
            <w:tcBorders>
              <w:top w:val="nil"/>
              <w:left w:val="nil"/>
              <w:bottom w:val="single" w:sz="8" w:space="0" w:color="000000"/>
              <w:right w:val="single" w:sz="8" w:space="0" w:color="000000"/>
            </w:tcBorders>
            <w:shd w:val="clear" w:color="auto" w:fill="auto"/>
            <w:vAlign w:val="center"/>
            <w:hideMark/>
          </w:tcPr>
          <w:p w14:paraId="0DA435C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36</w:t>
            </w:r>
          </w:p>
        </w:tc>
        <w:tc>
          <w:tcPr>
            <w:tcW w:w="680" w:type="dxa"/>
            <w:tcBorders>
              <w:top w:val="nil"/>
              <w:left w:val="nil"/>
              <w:bottom w:val="single" w:sz="8" w:space="0" w:color="000000"/>
              <w:right w:val="single" w:sz="8" w:space="0" w:color="000000"/>
            </w:tcBorders>
            <w:shd w:val="clear" w:color="auto" w:fill="auto"/>
            <w:vAlign w:val="center"/>
            <w:hideMark/>
          </w:tcPr>
          <w:p w14:paraId="6FB039D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56A87E9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291068F7"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22BFCA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Injection / cannulation</w:t>
            </w:r>
          </w:p>
        </w:tc>
        <w:tc>
          <w:tcPr>
            <w:tcW w:w="700" w:type="dxa"/>
            <w:tcBorders>
              <w:top w:val="nil"/>
              <w:left w:val="nil"/>
              <w:bottom w:val="single" w:sz="8" w:space="0" w:color="000000"/>
              <w:right w:val="single" w:sz="8" w:space="0" w:color="000000"/>
            </w:tcBorders>
            <w:shd w:val="clear" w:color="auto" w:fill="auto"/>
            <w:vAlign w:val="center"/>
            <w:hideMark/>
          </w:tcPr>
          <w:p w14:paraId="5C87E31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18</w:t>
            </w:r>
          </w:p>
        </w:tc>
        <w:tc>
          <w:tcPr>
            <w:tcW w:w="700" w:type="dxa"/>
            <w:tcBorders>
              <w:top w:val="nil"/>
              <w:left w:val="nil"/>
              <w:bottom w:val="single" w:sz="8" w:space="0" w:color="000000"/>
              <w:right w:val="single" w:sz="8" w:space="0" w:color="000000"/>
            </w:tcBorders>
            <w:shd w:val="clear" w:color="auto" w:fill="auto"/>
            <w:vAlign w:val="center"/>
            <w:hideMark/>
          </w:tcPr>
          <w:p w14:paraId="641FB61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800" w:type="dxa"/>
            <w:tcBorders>
              <w:top w:val="nil"/>
              <w:left w:val="nil"/>
              <w:bottom w:val="single" w:sz="8" w:space="0" w:color="000000"/>
              <w:right w:val="single" w:sz="8" w:space="0" w:color="000000"/>
            </w:tcBorders>
            <w:shd w:val="clear" w:color="auto" w:fill="auto"/>
            <w:vAlign w:val="center"/>
            <w:hideMark/>
          </w:tcPr>
          <w:p w14:paraId="2F991D7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16</w:t>
            </w:r>
          </w:p>
        </w:tc>
        <w:tc>
          <w:tcPr>
            <w:tcW w:w="700" w:type="dxa"/>
            <w:tcBorders>
              <w:top w:val="nil"/>
              <w:left w:val="nil"/>
              <w:bottom w:val="single" w:sz="8" w:space="0" w:color="000000"/>
              <w:right w:val="single" w:sz="8" w:space="0" w:color="000000"/>
            </w:tcBorders>
            <w:shd w:val="clear" w:color="auto" w:fill="auto"/>
            <w:vAlign w:val="center"/>
            <w:hideMark/>
          </w:tcPr>
          <w:p w14:paraId="200C564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740" w:type="dxa"/>
            <w:tcBorders>
              <w:top w:val="nil"/>
              <w:left w:val="nil"/>
              <w:bottom w:val="single" w:sz="8" w:space="0" w:color="000000"/>
              <w:right w:val="single" w:sz="8" w:space="0" w:color="000000"/>
            </w:tcBorders>
            <w:shd w:val="clear" w:color="auto" w:fill="auto"/>
            <w:vAlign w:val="center"/>
            <w:hideMark/>
          </w:tcPr>
          <w:p w14:paraId="1456481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4D188EF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680" w:type="dxa"/>
            <w:tcBorders>
              <w:top w:val="nil"/>
              <w:left w:val="nil"/>
              <w:bottom w:val="single" w:sz="8" w:space="0" w:color="000000"/>
              <w:right w:val="single" w:sz="8" w:space="0" w:color="000000"/>
            </w:tcBorders>
            <w:shd w:val="clear" w:color="auto" w:fill="auto"/>
            <w:vAlign w:val="center"/>
            <w:hideMark/>
          </w:tcPr>
          <w:p w14:paraId="4230A5A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5F505D1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52C428EA"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597A03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Mannequin-based simulation</w:t>
            </w:r>
          </w:p>
        </w:tc>
        <w:tc>
          <w:tcPr>
            <w:tcW w:w="700" w:type="dxa"/>
            <w:tcBorders>
              <w:top w:val="nil"/>
              <w:left w:val="nil"/>
              <w:bottom w:val="single" w:sz="8" w:space="0" w:color="000000"/>
              <w:right w:val="single" w:sz="8" w:space="0" w:color="000000"/>
            </w:tcBorders>
            <w:shd w:val="clear" w:color="auto" w:fill="auto"/>
            <w:vAlign w:val="center"/>
            <w:hideMark/>
          </w:tcPr>
          <w:p w14:paraId="54EB8CE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700" w:type="dxa"/>
            <w:tcBorders>
              <w:top w:val="nil"/>
              <w:left w:val="nil"/>
              <w:bottom w:val="single" w:sz="8" w:space="0" w:color="000000"/>
              <w:right w:val="single" w:sz="8" w:space="0" w:color="000000"/>
            </w:tcBorders>
            <w:shd w:val="clear" w:color="auto" w:fill="auto"/>
            <w:vAlign w:val="center"/>
            <w:hideMark/>
          </w:tcPr>
          <w:p w14:paraId="6B88F85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00AC28E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11</w:t>
            </w:r>
          </w:p>
        </w:tc>
        <w:tc>
          <w:tcPr>
            <w:tcW w:w="700" w:type="dxa"/>
            <w:tcBorders>
              <w:top w:val="nil"/>
              <w:left w:val="nil"/>
              <w:bottom w:val="single" w:sz="8" w:space="0" w:color="000000"/>
              <w:right w:val="single" w:sz="8" w:space="0" w:color="000000"/>
            </w:tcBorders>
            <w:shd w:val="clear" w:color="auto" w:fill="auto"/>
            <w:vAlign w:val="center"/>
            <w:hideMark/>
          </w:tcPr>
          <w:p w14:paraId="67AAE7B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40" w:type="dxa"/>
            <w:tcBorders>
              <w:top w:val="nil"/>
              <w:left w:val="nil"/>
              <w:bottom w:val="single" w:sz="8" w:space="0" w:color="000000"/>
              <w:right w:val="single" w:sz="8" w:space="0" w:color="000000"/>
            </w:tcBorders>
            <w:shd w:val="clear" w:color="auto" w:fill="auto"/>
            <w:vAlign w:val="center"/>
            <w:hideMark/>
          </w:tcPr>
          <w:p w14:paraId="2288F6C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7B6F3F2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32</w:t>
            </w:r>
          </w:p>
        </w:tc>
        <w:tc>
          <w:tcPr>
            <w:tcW w:w="680" w:type="dxa"/>
            <w:tcBorders>
              <w:top w:val="nil"/>
              <w:left w:val="nil"/>
              <w:bottom w:val="single" w:sz="8" w:space="0" w:color="000000"/>
              <w:right w:val="single" w:sz="8" w:space="0" w:color="000000"/>
            </w:tcBorders>
            <w:shd w:val="clear" w:color="auto" w:fill="auto"/>
            <w:vAlign w:val="center"/>
            <w:hideMark/>
          </w:tcPr>
          <w:p w14:paraId="75D68A5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428711D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6F989A49"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A62819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Manual handling equipment</w:t>
            </w:r>
          </w:p>
        </w:tc>
        <w:tc>
          <w:tcPr>
            <w:tcW w:w="700" w:type="dxa"/>
            <w:tcBorders>
              <w:top w:val="nil"/>
              <w:left w:val="nil"/>
              <w:bottom w:val="single" w:sz="8" w:space="0" w:color="000000"/>
              <w:right w:val="single" w:sz="8" w:space="0" w:color="000000"/>
            </w:tcBorders>
            <w:shd w:val="clear" w:color="auto" w:fill="auto"/>
            <w:vAlign w:val="center"/>
            <w:hideMark/>
          </w:tcPr>
          <w:p w14:paraId="4013070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35016AB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1267B9C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14</w:t>
            </w:r>
          </w:p>
        </w:tc>
        <w:tc>
          <w:tcPr>
            <w:tcW w:w="700" w:type="dxa"/>
            <w:tcBorders>
              <w:top w:val="nil"/>
              <w:left w:val="nil"/>
              <w:bottom w:val="single" w:sz="8" w:space="0" w:color="000000"/>
              <w:right w:val="single" w:sz="8" w:space="0" w:color="000000"/>
            </w:tcBorders>
            <w:shd w:val="clear" w:color="auto" w:fill="auto"/>
            <w:vAlign w:val="center"/>
            <w:hideMark/>
          </w:tcPr>
          <w:p w14:paraId="304F1C8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13</w:t>
            </w:r>
          </w:p>
        </w:tc>
        <w:tc>
          <w:tcPr>
            <w:tcW w:w="740" w:type="dxa"/>
            <w:tcBorders>
              <w:top w:val="nil"/>
              <w:left w:val="nil"/>
              <w:bottom w:val="single" w:sz="8" w:space="0" w:color="000000"/>
              <w:right w:val="single" w:sz="8" w:space="0" w:color="000000"/>
            </w:tcBorders>
            <w:shd w:val="clear" w:color="auto" w:fill="auto"/>
            <w:vAlign w:val="center"/>
            <w:hideMark/>
          </w:tcPr>
          <w:p w14:paraId="6607207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800" w:type="dxa"/>
            <w:tcBorders>
              <w:top w:val="nil"/>
              <w:left w:val="nil"/>
              <w:bottom w:val="single" w:sz="8" w:space="0" w:color="000000"/>
              <w:right w:val="single" w:sz="8" w:space="0" w:color="000000"/>
            </w:tcBorders>
            <w:shd w:val="clear" w:color="auto" w:fill="auto"/>
            <w:vAlign w:val="center"/>
            <w:hideMark/>
          </w:tcPr>
          <w:p w14:paraId="3A756DD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25</w:t>
            </w:r>
          </w:p>
        </w:tc>
        <w:tc>
          <w:tcPr>
            <w:tcW w:w="680" w:type="dxa"/>
            <w:tcBorders>
              <w:top w:val="nil"/>
              <w:left w:val="nil"/>
              <w:bottom w:val="single" w:sz="8" w:space="0" w:color="000000"/>
              <w:right w:val="single" w:sz="8" w:space="0" w:color="000000"/>
            </w:tcBorders>
            <w:shd w:val="clear" w:color="auto" w:fill="auto"/>
            <w:vAlign w:val="center"/>
            <w:hideMark/>
          </w:tcPr>
          <w:p w14:paraId="4604A20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3AC9ED1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A28F082"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4C63DF0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Patient archiving system</w:t>
            </w:r>
          </w:p>
        </w:tc>
        <w:tc>
          <w:tcPr>
            <w:tcW w:w="700" w:type="dxa"/>
            <w:tcBorders>
              <w:top w:val="nil"/>
              <w:left w:val="nil"/>
              <w:bottom w:val="single" w:sz="8" w:space="0" w:color="000000"/>
              <w:right w:val="single" w:sz="8" w:space="0" w:color="000000"/>
            </w:tcBorders>
            <w:shd w:val="clear" w:color="auto" w:fill="auto"/>
            <w:vAlign w:val="center"/>
            <w:hideMark/>
          </w:tcPr>
          <w:p w14:paraId="2E70CB5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23</w:t>
            </w:r>
          </w:p>
        </w:tc>
        <w:tc>
          <w:tcPr>
            <w:tcW w:w="700" w:type="dxa"/>
            <w:tcBorders>
              <w:top w:val="nil"/>
              <w:left w:val="nil"/>
              <w:bottom w:val="single" w:sz="8" w:space="0" w:color="000000"/>
              <w:right w:val="single" w:sz="8" w:space="0" w:color="000000"/>
            </w:tcBorders>
            <w:shd w:val="clear" w:color="auto" w:fill="auto"/>
            <w:vAlign w:val="center"/>
            <w:hideMark/>
          </w:tcPr>
          <w:p w14:paraId="3836A03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22ADAB1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7B883E0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740" w:type="dxa"/>
            <w:tcBorders>
              <w:top w:val="nil"/>
              <w:left w:val="nil"/>
              <w:bottom w:val="single" w:sz="8" w:space="0" w:color="000000"/>
              <w:right w:val="single" w:sz="8" w:space="0" w:color="000000"/>
            </w:tcBorders>
            <w:shd w:val="clear" w:color="auto" w:fill="auto"/>
            <w:vAlign w:val="center"/>
            <w:hideMark/>
          </w:tcPr>
          <w:p w14:paraId="34C1969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000000"/>
              <w:right w:val="single" w:sz="8" w:space="0" w:color="000000"/>
            </w:tcBorders>
            <w:shd w:val="clear" w:color="auto" w:fill="auto"/>
            <w:vAlign w:val="center"/>
            <w:hideMark/>
          </w:tcPr>
          <w:p w14:paraId="01BB3AA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23</w:t>
            </w:r>
          </w:p>
        </w:tc>
        <w:tc>
          <w:tcPr>
            <w:tcW w:w="680" w:type="dxa"/>
            <w:tcBorders>
              <w:top w:val="nil"/>
              <w:left w:val="nil"/>
              <w:bottom w:val="single" w:sz="8" w:space="0" w:color="000000"/>
              <w:right w:val="single" w:sz="8" w:space="0" w:color="000000"/>
            </w:tcBorders>
            <w:shd w:val="clear" w:color="auto" w:fill="auto"/>
            <w:vAlign w:val="center"/>
            <w:hideMark/>
          </w:tcPr>
          <w:p w14:paraId="06C5248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54173A6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48341B56"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F9F670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Video feedback</w:t>
            </w:r>
          </w:p>
        </w:tc>
        <w:tc>
          <w:tcPr>
            <w:tcW w:w="700" w:type="dxa"/>
            <w:tcBorders>
              <w:top w:val="nil"/>
              <w:left w:val="nil"/>
              <w:bottom w:val="single" w:sz="8" w:space="0" w:color="000000"/>
              <w:right w:val="single" w:sz="8" w:space="0" w:color="000000"/>
            </w:tcBorders>
            <w:shd w:val="clear" w:color="auto" w:fill="auto"/>
            <w:vAlign w:val="center"/>
            <w:hideMark/>
          </w:tcPr>
          <w:p w14:paraId="114002B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16</w:t>
            </w:r>
          </w:p>
        </w:tc>
        <w:tc>
          <w:tcPr>
            <w:tcW w:w="700" w:type="dxa"/>
            <w:tcBorders>
              <w:top w:val="nil"/>
              <w:left w:val="nil"/>
              <w:bottom w:val="single" w:sz="8" w:space="0" w:color="000000"/>
              <w:right w:val="single" w:sz="8" w:space="0" w:color="000000"/>
            </w:tcBorders>
            <w:shd w:val="clear" w:color="auto" w:fill="auto"/>
            <w:vAlign w:val="center"/>
            <w:hideMark/>
          </w:tcPr>
          <w:p w14:paraId="5FB4B61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13</w:t>
            </w:r>
          </w:p>
        </w:tc>
        <w:tc>
          <w:tcPr>
            <w:tcW w:w="800" w:type="dxa"/>
            <w:tcBorders>
              <w:top w:val="nil"/>
              <w:left w:val="nil"/>
              <w:bottom w:val="single" w:sz="8" w:space="0" w:color="000000"/>
              <w:right w:val="single" w:sz="8" w:space="0" w:color="000000"/>
            </w:tcBorders>
            <w:shd w:val="clear" w:color="auto" w:fill="auto"/>
            <w:vAlign w:val="center"/>
            <w:hideMark/>
          </w:tcPr>
          <w:p w14:paraId="32B97BA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17</w:t>
            </w:r>
          </w:p>
        </w:tc>
        <w:tc>
          <w:tcPr>
            <w:tcW w:w="700" w:type="dxa"/>
            <w:tcBorders>
              <w:top w:val="nil"/>
              <w:left w:val="nil"/>
              <w:bottom w:val="single" w:sz="8" w:space="0" w:color="000000"/>
              <w:right w:val="single" w:sz="8" w:space="0" w:color="000000"/>
            </w:tcBorders>
            <w:shd w:val="clear" w:color="auto" w:fill="auto"/>
            <w:vAlign w:val="center"/>
            <w:hideMark/>
          </w:tcPr>
          <w:p w14:paraId="10C86D9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000000"/>
              <w:right w:val="single" w:sz="8" w:space="0" w:color="000000"/>
            </w:tcBorders>
            <w:shd w:val="clear" w:color="auto" w:fill="auto"/>
            <w:vAlign w:val="center"/>
            <w:hideMark/>
          </w:tcPr>
          <w:p w14:paraId="7421D44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000000"/>
              <w:right w:val="single" w:sz="8" w:space="0" w:color="000000"/>
            </w:tcBorders>
            <w:shd w:val="clear" w:color="auto" w:fill="auto"/>
            <w:vAlign w:val="center"/>
            <w:hideMark/>
          </w:tcPr>
          <w:p w14:paraId="50D8D8F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680" w:type="dxa"/>
            <w:tcBorders>
              <w:top w:val="nil"/>
              <w:left w:val="nil"/>
              <w:bottom w:val="single" w:sz="8" w:space="0" w:color="000000"/>
              <w:right w:val="single" w:sz="8" w:space="0" w:color="000000"/>
            </w:tcBorders>
            <w:shd w:val="clear" w:color="auto" w:fill="auto"/>
            <w:vAlign w:val="center"/>
            <w:hideMark/>
          </w:tcPr>
          <w:p w14:paraId="2A0878A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2208D73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62A7A2B5"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209965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Virtual reality (VR) software</w:t>
            </w:r>
          </w:p>
        </w:tc>
        <w:tc>
          <w:tcPr>
            <w:tcW w:w="700" w:type="dxa"/>
            <w:tcBorders>
              <w:top w:val="nil"/>
              <w:left w:val="nil"/>
              <w:bottom w:val="single" w:sz="8" w:space="0" w:color="000000"/>
              <w:right w:val="single" w:sz="8" w:space="0" w:color="000000"/>
            </w:tcBorders>
            <w:shd w:val="clear" w:color="auto" w:fill="auto"/>
            <w:vAlign w:val="center"/>
            <w:hideMark/>
          </w:tcPr>
          <w:p w14:paraId="14D9A19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30</w:t>
            </w:r>
          </w:p>
        </w:tc>
        <w:tc>
          <w:tcPr>
            <w:tcW w:w="700" w:type="dxa"/>
            <w:tcBorders>
              <w:top w:val="nil"/>
              <w:left w:val="nil"/>
              <w:bottom w:val="single" w:sz="8" w:space="0" w:color="000000"/>
              <w:right w:val="single" w:sz="8" w:space="0" w:color="000000"/>
            </w:tcBorders>
            <w:shd w:val="clear" w:color="auto" w:fill="auto"/>
            <w:vAlign w:val="center"/>
            <w:hideMark/>
          </w:tcPr>
          <w:p w14:paraId="7C18B56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800" w:type="dxa"/>
            <w:tcBorders>
              <w:top w:val="nil"/>
              <w:left w:val="nil"/>
              <w:bottom w:val="single" w:sz="8" w:space="0" w:color="000000"/>
              <w:right w:val="single" w:sz="8" w:space="0" w:color="000000"/>
            </w:tcBorders>
            <w:shd w:val="clear" w:color="auto" w:fill="auto"/>
            <w:vAlign w:val="center"/>
            <w:hideMark/>
          </w:tcPr>
          <w:p w14:paraId="5AF34BC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00" w:type="dxa"/>
            <w:tcBorders>
              <w:top w:val="nil"/>
              <w:left w:val="nil"/>
              <w:bottom w:val="single" w:sz="8" w:space="0" w:color="000000"/>
              <w:right w:val="single" w:sz="8" w:space="0" w:color="000000"/>
            </w:tcBorders>
            <w:shd w:val="clear" w:color="auto" w:fill="auto"/>
            <w:vAlign w:val="center"/>
            <w:hideMark/>
          </w:tcPr>
          <w:p w14:paraId="42AF607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740" w:type="dxa"/>
            <w:tcBorders>
              <w:top w:val="nil"/>
              <w:left w:val="nil"/>
              <w:bottom w:val="single" w:sz="8" w:space="0" w:color="000000"/>
              <w:right w:val="single" w:sz="8" w:space="0" w:color="000000"/>
            </w:tcBorders>
            <w:shd w:val="clear" w:color="auto" w:fill="auto"/>
            <w:vAlign w:val="center"/>
            <w:hideMark/>
          </w:tcPr>
          <w:p w14:paraId="5D14BE7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7FDD055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16</w:t>
            </w:r>
          </w:p>
        </w:tc>
        <w:tc>
          <w:tcPr>
            <w:tcW w:w="680" w:type="dxa"/>
            <w:tcBorders>
              <w:top w:val="nil"/>
              <w:left w:val="nil"/>
              <w:bottom w:val="single" w:sz="8" w:space="0" w:color="000000"/>
              <w:right w:val="single" w:sz="8" w:space="0" w:color="000000"/>
            </w:tcBorders>
            <w:shd w:val="clear" w:color="auto" w:fill="auto"/>
            <w:vAlign w:val="center"/>
            <w:hideMark/>
          </w:tcPr>
          <w:p w14:paraId="5D2300C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22E2677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B32658D" w14:textId="77777777" w:rsidTr="00AC6176">
        <w:trPr>
          <w:trHeight w:val="336"/>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419E43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Wearable simulation / moulage</w:t>
            </w:r>
          </w:p>
        </w:tc>
        <w:tc>
          <w:tcPr>
            <w:tcW w:w="700" w:type="dxa"/>
            <w:tcBorders>
              <w:top w:val="nil"/>
              <w:left w:val="nil"/>
              <w:bottom w:val="single" w:sz="8" w:space="0" w:color="000000"/>
              <w:right w:val="single" w:sz="8" w:space="0" w:color="000000"/>
            </w:tcBorders>
            <w:shd w:val="clear" w:color="auto" w:fill="auto"/>
            <w:vAlign w:val="center"/>
            <w:hideMark/>
          </w:tcPr>
          <w:p w14:paraId="0055632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43</w:t>
            </w:r>
          </w:p>
        </w:tc>
        <w:tc>
          <w:tcPr>
            <w:tcW w:w="700" w:type="dxa"/>
            <w:tcBorders>
              <w:top w:val="nil"/>
              <w:left w:val="nil"/>
              <w:bottom w:val="single" w:sz="8" w:space="0" w:color="000000"/>
              <w:right w:val="single" w:sz="8" w:space="0" w:color="000000"/>
            </w:tcBorders>
            <w:shd w:val="clear" w:color="auto" w:fill="auto"/>
            <w:vAlign w:val="center"/>
            <w:hideMark/>
          </w:tcPr>
          <w:p w14:paraId="66CABAF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800" w:type="dxa"/>
            <w:tcBorders>
              <w:top w:val="nil"/>
              <w:left w:val="nil"/>
              <w:bottom w:val="single" w:sz="8" w:space="0" w:color="000000"/>
              <w:right w:val="single" w:sz="8" w:space="0" w:color="000000"/>
            </w:tcBorders>
            <w:shd w:val="clear" w:color="auto" w:fill="auto"/>
            <w:vAlign w:val="center"/>
            <w:hideMark/>
          </w:tcPr>
          <w:p w14:paraId="0A72AA9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00" w:type="dxa"/>
            <w:tcBorders>
              <w:top w:val="nil"/>
              <w:left w:val="nil"/>
              <w:bottom w:val="single" w:sz="8" w:space="0" w:color="000000"/>
              <w:right w:val="single" w:sz="8" w:space="0" w:color="000000"/>
            </w:tcBorders>
            <w:shd w:val="clear" w:color="auto" w:fill="auto"/>
            <w:vAlign w:val="center"/>
            <w:hideMark/>
          </w:tcPr>
          <w:p w14:paraId="6C07081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40" w:type="dxa"/>
            <w:tcBorders>
              <w:top w:val="nil"/>
              <w:left w:val="nil"/>
              <w:bottom w:val="single" w:sz="8" w:space="0" w:color="000000"/>
              <w:right w:val="single" w:sz="8" w:space="0" w:color="000000"/>
            </w:tcBorders>
            <w:shd w:val="clear" w:color="auto" w:fill="auto"/>
            <w:vAlign w:val="center"/>
            <w:hideMark/>
          </w:tcPr>
          <w:p w14:paraId="64CE651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5D0A3F6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680" w:type="dxa"/>
            <w:tcBorders>
              <w:top w:val="nil"/>
              <w:left w:val="nil"/>
              <w:bottom w:val="single" w:sz="8" w:space="0" w:color="000000"/>
              <w:right w:val="single" w:sz="8" w:space="0" w:color="000000"/>
            </w:tcBorders>
            <w:shd w:val="clear" w:color="auto" w:fill="auto"/>
            <w:vAlign w:val="center"/>
            <w:hideMark/>
          </w:tcPr>
          <w:p w14:paraId="6D2E8CB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2DD9E4F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71B8366" w14:textId="77777777" w:rsidTr="00AC6176">
        <w:trPr>
          <w:trHeight w:val="540"/>
        </w:trPr>
        <w:tc>
          <w:tcPr>
            <w:tcW w:w="2960" w:type="dxa"/>
            <w:tcBorders>
              <w:top w:val="nil"/>
              <w:left w:val="nil"/>
              <w:bottom w:val="nil"/>
              <w:right w:val="nil"/>
            </w:tcBorders>
            <w:shd w:val="clear" w:color="000000" w:fill="D9D9D9"/>
            <w:noWrap/>
            <w:vAlign w:val="bottom"/>
            <w:hideMark/>
          </w:tcPr>
          <w:p w14:paraId="776E8911"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People based' activities</w:t>
            </w:r>
          </w:p>
        </w:tc>
        <w:tc>
          <w:tcPr>
            <w:tcW w:w="700" w:type="dxa"/>
            <w:tcBorders>
              <w:top w:val="nil"/>
              <w:left w:val="nil"/>
              <w:bottom w:val="nil"/>
              <w:right w:val="nil"/>
            </w:tcBorders>
            <w:shd w:val="clear" w:color="000000" w:fill="D9D9D9"/>
            <w:noWrap/>
            <w:vAlign w:val="bottom"/>
            <w:hideMark/>
          </w:tcPr>
          <w:p w14:paraId="668D4FE1"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563E4A92"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2EBFA918"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09C6C055"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40" w:type="dxa"/>
            <w:tcBorders>
              <w:top w:val="nil"/>
              <w:left w:val="nil"/>
              <w:bottom w:val="nil"/>
              <w:right w:val="nil"/>
            </w:tcBorders>
            <w:shd w:val="clear" w:color="000000" w:fill="D9D9D9"/>
            <w:noWrap/>
            <w:vAlign w:val="bottom"/>
            <w:hideMark/>
          </w:tcPr>
          <w:p w14:paraId="28CD42B7"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6585250B"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680" w:type="dxa"/>
            <w:tcBorders>
              <w:top w:val="nil"/>
              <w:left w:val="nil"/>
              <w:bottom w:val="nil"/>
              <w:right w:val="nil"/>
            </w:tcBorders>
            <w:shd w:val="clear" w:color="000000" w:fill="D9D9D9"/>
            <w:noWrap/>
            <w:vAlign w:val="bottom"/>
            <w:hideMark/>
          </w:tcPr>
          <w:p w14:paraId="3FEB0A89"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960" w:type="dxa"/>
            <w:tcBorders>
              <w:top w:val="nil"/>
              <w:left w:val="nil"/>
              <w:bottom w:val="nil"/>
              <w:right w:val="nil"/>
            </w:tcBorders>
            <w:shd w:val="clear" w:color="000000" w:fill="D9D9D9"/>
            <w:noWrap/>
            <w:vAlign w:val="bottom"/>
            <w:hideMark/>
          </w:tcPr>
          <w:p w14:paraId="3700070E"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r>
      <w:tr w:rsidR="00AC6176" w:rsidRPr="00AC6176" w14:paraId="4CCE497E" w14:textId="77777777" w:rsidTr="00AC6176">
        <w:trPr>
          <w:trHeight w:val="279"/>
        </w:trPr>
        <w:tc>
          <w:tcPr>
            <w:tcW w:w="2960" w:type="dxa"/>
            <w:tcBorders>
              <w:top w:val="single" w:sz="8" w:space="0" w:color="000000"/>
              <w:left w:val="single" w:sz="8" w:space="0" w:color="000000"/>
              <w:bottom w:val="nil"/>
              <w:right w:val="single" w:sz="8" w:space="0" w:color="000000"/>
            </w:tcBorders>
            <w:shd w:val="clear" w:color="auto" w:fill="auto"/>
            <w:vAlign w:val="center"/>
            <w:hideMark/>
          </w:tcPr>
          <w:p w14:paraId="158C955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 </w:t>
            </w:r>
          </w:p>
        </w:tc>
        <w:tc>
          <w:tcPr>
            <w:tcW w:w="700" w:type="dxa"/>
            <w:tcBorders>
              <w:top w:val="single" w:sz="8" w:space="0" w:color="000000"/>
              <w:left w:val="nil"/>
              <w:bottom w:val="nil"/>
              <w:right w:val="single" w:sz="8" w:space="0" w:color="000000"/>
            </w:tcBorders>
            <w:shd w:val="clear" w:color="auto" w:fill="auto"/>
            <w:vAlign w:val="center"/>
            <w:hideMark/>
          </w:tcPr>
          <w:p w14:paraId="4D4996F9"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NA*</w:t>
            </w:r>
          </w:p>
        </w:tc>
        <w:tc>
          <w:tcPr>
            <w:tcW w:w="700" w:type="dxa"/>
            <w:tcBorders>
              <w:top w:val="single" w:sz="8" w:space="0" w:color="000000"/>
              <w:left w:val="nil"/>
              <w:bottom w:val="nil"/>
              <w:right w:val="single" w:sz="8" w:space="0" w:color="000000"/>
            </w:tcBorders>
            <w:shd w:val="clear" w:color="auto" w:fill="auto"/>
            <w:vAlign w:val="center"/>
            <w:hideMark/>
          </w:tcPr>
          <w:p w14:paraId="1B31B809"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0</w:t>
            </w:r>
          </w:p>
        </w:tc>
        <w:tc>
          <w:tcPr>
            <w:tcW w:w="800" w:type="dxa"/>
            <w:tcBorders>
              <w:top w:val="single" w:sz="8" w:space="0" w:color="000000"/>
              <w:left w:val="nil"/>
              <w:bottom w:val="nil"/>
              <w:right w:val="single" w:sz="8" w:space="0" w:color="000000"/>
            </w:tcBorders>
            <w:shd w:val="clear" w:color="auto" w:fill="auto"/>
            <w:vAlign w:val="center"/>
            <w:hideMark/>
          </w:tcPr>
          <w:p w14:paraId="5D6DE21F" w14:textId="7E6BD46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1-</w:t>
            </w:r>
            <w:r w:rsidR="005D511F">
              <w:rPr>
                <w:rFonts w:eastAsia="Times New Roman"/>
                <w:b/>
                <w:bCs/>
                <w:color w:val="000000"/>
                <w:sz w:val="20"/>
                <w:szCs w:val="20"/>
                <w:lang w:eastAsia="en-GB"/>
              </w:rPr>
              <w:t>2</w:t>
            </w:r>
          </w:p>
        </w:tc>
        <w:tc>
          <w:tcPr>
            <w:tcW w:w="700" w:type="dxa"/>
            <w:tcBorders>
              <w:top w:val="single" w:sz="8" w:space="0" w:color="000000"/>
              <w:left w:val="nil"/>
              <w:bottom w:val="nil"/>
              <w:right w:val="single" w:sz="8" w:space="0" w:color="000000"/>
            </w:tcBorders>
            <w:shd w:val="clear" w:color="auto" w:fill="auto"/>
            <w:vAlign w:val="center"/>
            <w:hideMark/>
          </w:tcPr>
          <w:p w14:paraId="5B88A995"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Ann</w:t>
            </w:r>
          </w:p>
        </w:tc>
        <w:tc>
          <w:tcPr>
            <w:tcW w:w="740" w:type="dxa"/>
            <w:tcBorders>
              <w:top w:val="single" w:sz="8" w:space="0" w:color="000000"/>
              <w:left w:val="nil"/>
              <w:bottom w:val="nil"/>
              <w:right w:val="single" w:sz="8" w:space="0" w:color="000000"/>
            </w:tcBorders>
            <w:shd w:val="clear" w:color="auto" w:fill="auto"/>
            <w:vAlign w:val="center"/>
            <w:hideMark/>
          </w:tcPr>
          <w:p w14:paraId="24DEAFAB"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Sem</w:t>
            </w:r>
          </w:p>
        </w:tc>
        <w:tc>
          <w:tcPr>
            <w:tcW w:w="800" w:type="dxa"/>
            <w:tcBorders>
              <w:top w:val="single" w:sz="8" w:space="0" w:color="000000"/>
              <w:left w:val="nil"/>
              <w:bottom w:val="nil"/>
              <w:right w:val="single" w:sz="8" w:space="0" w:color="000000"/>
            </w:tcBorders>
            <w:shd w:val="clear" w:color="auto" w:fill="auto"/>
            <w:vAlign w:val="center"/>
            <w:hideMark/>
          </w:tcPr>
          <w:p w14:paraId="0E05F43D"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Mult</w:t>
            </w:r>
          </w:p>
        </w:tc>
        <w:tc>
          <w:tcPr>
            <w:tcW w:w="680" w:type="dxa"/>
            <w:tcBorders>
              <w:top w:val="single" w:sz="8" w:space="0" w:color="000000"/>
              <w:left w:val="nil"/>
              <w:bottom w:val="nil"/>
              <w:right w:val="single" w:sz="8" w:space="0" w:color="000000"/>
            </w:tcBorders>
            <w:shd w:val="clear" w:color="auto" w:fill="auto"/>
            <w:vAlign w:val="center"/>
            <w:hideMark/>
          </w:tcPr>
          <w:p w14:paraId="157775B8"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2EBD81B"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Course</w:t>
            </w:r>
          </w:p>
        </w:tc>
      </w:tr>
      <w:tr w:rsidR="00AC6176" w:rsidRPr="00AC6176" w14:paraId="5A6896A3" w14:textId="77777777" w:rsidTr="00AC6176">
        <w:trPr>
          <w:trHeight w:val="288"/>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E63DC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Clinical staff (own profession)</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BDC5D9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11</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1000794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7D3A3EF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12</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E8E41D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12</w:t>
            </w:r>
          </w:p>
        </w:tc>
        <w:tc>
          <w:tcPr>
            <w:tcW w:w="740" w:type="dxa"/>
            <w:tcBorders>
              <w:top w:val="single" w:sz="8" w:space="0" w:color="auto"/>
              <w:left w:val="nil"/>
              <w:bottom w:val="single" w:sz="8" w:space="0" w:color="auto"/>
              <w:right w:val="single" w:sz="8" w:space="0" w:color="auto"/>
            </w:tcBorders>
            <w:shd w:val="clear" w:color="auto" w:fill="auto"/>
            <w:vAlign w:val="center"/>
            <w:hideMark/>
          </w:tcPr>
          <w:p w14:paraId="728123F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5F4E419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21</w:t>
            </w:r>
          </w:p>
        </w:tc>
        <w:tc>
          <w:tcPr>
            <w:tcW w:w="680" w:type="dxa"/>
            <w:tcBorders>
              <w:top w:val="single" w:sz="8" w:space="0" w:color="auto"/>
              <w:left w:val="nil"/>
              <w:bottom w:val="nil"/>
              <w:right w:val="single" w:sz="8" w:space="0" w:color="auto"/>
            </w:tcBorders>
            <w:shd w:val="clear" w:color="auto" w:fill="auto"/>
            <w:vAlign w:val="center"/>
            <w:hideMark/>
          </w:tcPr>
          <w:p w14:paraId="5836AC1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nil"/>
              <w:right w:val="single" w:sz="8" w:space="0" w:color="auto"/>
            </w:tcBorders>
            <w:shd w:val="clear" w:color="auto" w:fill="auto"/>
            <w:vAlign w:val="center"/>
            <w:hideMark/>
          </w:tcPr>
          <w:p w14:paraId="4475130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112A1974" w14:textId="77777777" w:rsidTr="00AC6176">
        <w:trPr>
          <w:trHeight w:val="279"/>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967DEE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Clinical staff (other professions)</w:t>
            </w:r>
          </w:p>
        </w:tc>
        <w:tc>
          <w:tcPr>
            <w:tcW w:w="700" w:type="dxa"/>
            <w:tcBorders>
              <w:top w:val="nil"/>
              <w:left w:val="nil"/>
              <w:bottom w:val="single" w:sz="8" w:space="0" w:color="auto"/>
              <w:right w:val="single" w:sz="8" w:space="0" w:color="auto"/>
            </w:tcBorders>
            <w:shd w:val="clear" w:color="auto" w:fill="auto"/>
            <w:vAlign w:val="center"/>
            <w:hideMark/>
          </w:tcPr>
          <w:p w14:paraId="20DF2F2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23</w:t>
            </w:r>
          </w:p>
        </w:tc>
        <w:tc>
          <w:tcPr>
            <w:tcW w:w="700" w:type="dxa"/>
            <w:tcBorders>
              <w:top w:val="nil"/>
              <w:left w:val="nil"/>
              <w:bottom w:val="single" w:sz="8" w:space="0" w:color="auto"/>
              <w:right w:val="single" w:sz="8" w:space="0" w:color="auto"/>
            </w:tcBorders>
            <w:shd w:val="clear" w:color="auto" w:fill="auto"/>
            <w:vAlign w:val="center"/>
            <w:hideMark/>
          </w:tcPr>
          <w:p w14:paraId="2D204F3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800" w:type="dxa"/>
            <w:tcBorders>
              <w:top w:val="nil"/>
              <w:left w:val="nil"/>
              <w:bottom w:val="single" w:sz="8" w:space="0" w:color="auto"/>
              <w:right w:val="single" w:sz="8" w:space="0" w:color="auto"/>
            </w:tcBorders>
            <w:shd w:val="clear" w:color="auto" w:fill="auto"/>
            <w:vAlign w:val="center"/>
            <w:hideMark/>
          </w:tcPr>
          <w:p w14:paraId="4B8BFAB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700" w:type="dxa"/>
            <w:tcBorders>
              <w:top w:val="nil"/>
              <w:left w:val="nil"/>
              <w:bottom w:val="single" w:sz="8" w:space="0" w:color="auto"/>
              <w:right w:val="single" w:sz="8" w:space="0" w:color="auto"/>
            </w:tcBorders>
            <w:shd w:val="clear" w:color="auto" w:fill="auto"/>
            <w:vAlign w:val="center"/>
            <w:hideMark/>
          </w:tcPr>
          <w:p w14:paraId="541D795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auto"/>
              <w:right w:val="single" w:sz="8" w:space="0" w:color="auto"/>
            </w:tcBorders>
            <w:shd w:val="clear" w:color="auto" w:fill="auto"/>
            <w:vAlign w:val="center"/>
            <w:hideMark/>
          </w:tcPr>
          <w:p w14:paraId="09C425E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auto"/>
              <w:right w:val="single" w:sz="8" w:space="0" w:color="auto"/>
            </w:tcBorders>
            <w:shd w:val="clear" w:color="auto" w:fill="auto"/>
            <w:vAlign w:val="center"/>
            <w:hideMark/>
          </w:tcPr>
          <w:p w14:paraId="44EE734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680" w:type="dxa"/>
            <w:tcBorders>
              <w:top w:val="single" w:sz="8" w:space="0" w:color="auto"/>
              <w:left w:val="nil"/>
              <w:bottom w:val="single" w:sz="8" w:space="0" w:color="auto"/>
              <w:right w:val="single" w:sz="8" w:space="0" w:color="auto"/>
            </w:tcBorders>
            <w:shd w:val="clear" w:color="auto" w:fill="auto"/>
            <w:vAlign w:val="center"/>
            <w:hideMark/>
          </w:tcPr>
          <w:p w14:paraId="0AC8F6E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AB5F2A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60440603"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71F408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Role play scenarios</w:t>
            </w:r>
          </w:p>
        </w:tc>
        <w:tc>
          <w:tcPr>
            <w:tcW w:w="700" w:type="dxa"/>
            <w:tcBorders>
              <w:top w:val="nil"/>
              <w:left w:val="nil"/>
              <w:bottom w:val="single" w:sz="8" w:space="0" w:color="000000"/>
              <w:right w:val="single" w:sz="8" w:space="0" w:color="000000"/>
            </w:tcBorders>
            <w:shd w:val="clear" w:color="auto" w:fill="auto"/>
            <w:vAlign w:val="center"/>
            <w:hideMark/>
          </w:tcPr>
          <w:p w14:paraId="24FA1B4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700" w:type="dxa"/>
            <w:tcBorders>
              <w:top w:val="nil"/>
              <w:left w:val="nil"/>
              <w:bottom w:val="single" w:sz="8" w:space="0" w:color="000000"/>
              <w:right w:val="single" w:sz="8" w:space="0" w:color="000000"/>
            </w:tcBorders>
            <w:shd w:val="clear" w:color="auto" w:fill="auto"/>
            <w:vAlign w:val="center"/>
            <w:hideMark/>
          </w:tcPr>
          <w:p w14:paraId="29F6710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6E59FBE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700" w:type="dxa"/>
            <w:tcBorders>
              <w:top w:val="nil"/>
              <w:left w:val="nil"/>
              <w:bottom w:val="single" w:sz="8" w:space="0" w:color="000000"/>
              <w:right w:val="single" w:sz="8" w:space="0" w:color="000000"/>
            </w:tcBorders>
            <w:shd w:val="clear" w:color="auto" w:fill="auto"/>
            <w:vAlign w:val="center"/>
            <w:hideMark/>
          </w:tcPr>
          <w:p w14:paraId="0D21537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12</w:t>
            </w:r>
          </w:p>
        </w:tc>
        <w:tc>
          <w:tcPr>
            <w:tcW w:w="740" w:type="dxa"/>
            <w:tcBorders>
              <w:top w:val="nil"/>
              <w:left w:val="nil"/>
              <w:bottom w:val="single" w:sz="8" w:space="0" w:color="000000"/>
              <w:right w:val="single" w:sz="8" w:space="0" w:color="000000"/>
            </w:tcBorders>
            <w:shd w:val="clear" w:color="auto" w:fill="auto"/>
            <w:vAlign w:val="center"/>
            <w:hideMark/>
          </w:tcPr>
          <w:p w14:paraId="528AC20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13</w:t>
            </w:r>
          </w:p>
        </w:tc>
        <w:tc>
          <w:tcPr>
            <w:tcW w:w="800" w:type="dxa"/>
            <w:tcBorders>
              <w:top w:val="nil"/>
              <w:left w:val="nil"/>
              <w:bottom w:val="single" w:sz="8" w:space="0" w:color="000000"/>
              <w:right w:val="single" w:sz="8" w:space="0" w:color="000000"/>
            </w:tcBorders>
            <w:shd w:val="clear" w:color="auto" w:fill="auto"/>
            <w:vAlign w:val="center"/>
            <w:hideMark/>
          </w:tcPr>
          <w:p w14:paraId="30429EA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25</w:t>
            </w:r>
          </w:p>
        </w:tc>
        <w:tc>
          <w:tcPr>
            <w:tcW w:w="680" w:type="dxa"/>
            <w:tcBorders>
              <w:top w:val="nil"/>
              <w:left w:val="nil"/>
              <w:bottom w:val="single" w:sz="8" w:space="0" w:color="000000"/>
              <w:right w:val="single" w:sz="8" w:space="0" w:color="000000"/>
            </w:tcBorders>
            <w:shd w:val="clear" w:color="auto" w:fill="auto"/>
            <w:vAlign w:val="center"/>
            <w:hideMark/>
          </w:tcPr>
          <w:p w14:paraId="06CD15C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04CA4EF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784CA3FB"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CA7885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Simulated patients (professional)</w:t>
            </w:r>
          </w:p>
        </w:tc>
        <w:tc>
          <w:tcPr>
            <w:tcW w:w="700" w:type="dxa"/>
            <w:tcBorders>
              <w:top w:val="nil"/>
              <w:left w:val="nil"/>
              <w:bottom w:val="single" w:sz="8" w:space="0" w:color="000000"/>
              <w:right w:val="single" w:sz="8" w:space="0" w:color="000000"/>
            </w:tcBorders>
            <w:shd w:val="clear" w:color="auto" w:fill="auto"/>
            <w:vAlign w:val="center"/>
            <w:hideMark/>
          </w:tcPr>
          <w:p w14:paraId="322656F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35</w:t>
            </w:r>
          </w:p>
        </w:tc>
        <w:tc>
          <w:tcPr>
            <w:tcW w:w="700" w:type="dxa"/>
            <w:tcBorders>
              <w:top w:val="nil"/>
              <w:left w:val="nil"/>
              <w:bottom w:val="single" w:sz="8" w:space="0" w:color="000000"/>
              <w:right w:val="single" w:sz="8" w:space="0" w:color="000000"/>
            </w:tcBorders>
            <w:shd w:val="clear" w:color="auto" w:fill="auto"/>
            <w:vAlign w:val="center"/>
            <w:hideMark/>
          </w:tcPr>
          <w:p w14:paraId="03E3D22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5602A68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00" w:type="dxa"/>
            <w:tcBorders>
              <w:top w:val="nil"/>
              <w:left w:val="nil"/>
              <w:bottom w:val="single" w:sz="8" w:space="0" w:color="000000"/>
              <w:right w:val="single" w:sz="8" w:space="0" w:color="000000"/>
            </w:tcBorders>
            <w:shd w:val="clear" w:color="auto" w:fill="auto"/>
            <w:vAlign w:val="center"/>
            <w:hideMark/>
          </w:tcPr>
          <w:p w14:paraId="3EBC040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000000"/>
              <w:right w:val="single" w:sz="8" w:space="0" w:color="000000"/>
            </w:tcBorders>
            <w:shd w:val="clear" w:color="auto" w:fill="auto"/>
            <w:vAlign w:val="center"/>
            <w:hideMark/>
          </w:tcPr>
          <w:p w14:paraId="4DF4539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3137C52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680" w:type="dxa"/>
            <w:tcBorders>
              <w:top w:val="nil"/>
              <w:left w:val="nil"/>
              <w:bottom w:val="single" w:sz="8" w:space="0" w:color="000000"/>
              <w:right w:val="single" w:sz="8" w:space="0" w:color="000000"/>
            </w:tcBorders>
            <w:shd w:val="clear" w:color="auto" w:fill="auto"/>
            <w:vAlign w:val="center"/>
            <w:hideMark/>
          </w:tcPr>
          <w:p w14:paraId="43929E2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6ACA91E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3ABF9342"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F3BDCA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Simulated patients (service users)</w:t>
            </w:r>
          </w:p>
        </w:tc>
        <w:tc>
          <w:tcPr>
            <w:tcW w:w="700" w:type="dxa"/>
            <w:tcBorders>
              <w:top w:val="nil"/>
              <w:left w:val="nil"/>
              <w:bottom w:val="single" w:sz="8" w:space="0" w:color="000000"/>
              <w:right w:val="single" w:sz="8" w:space="0" w:color="000000"/>
            </w:tcBorders>
            <w:shd w:val="clear" w:color="auto" w:fill="auto"/>
            <w:vAlign w:val="center"/>
            <w:hideMark/>
          </w:tcPr>
          <w:p w14:paraId="268BDD7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34</w:t>
            </w:r>
          </w:p>
        </w:tc>
        <w:tc>
          <w:tcPr>
            <w:tcW w:w="700" w:type="dxa"/>
            <w:tcBorders>
              <w:top w:val="nil"/>
              <w:left w:val="nil"/>
              <w:bottom w:val="single" w:sz="8" w:space="0" w:color="000000"/>
              <w:right w:val="single" w:sz="8" w:space="0" w:color="000000"/>
            </w:tcBorders>
            <w:shd w:val="clear" w:color="auto" w:fill="auto"/>
            <w:vAlign w:val="center"/>
            <w:hideMark/>
          </w:tcPr>
          <w:p w14:paraId="5EBCC57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800" w:type="dxa"/>
            <w:tcBorders>
              <w:top w:val="nil"/>
              <w:left w:val="nil"/>
              <w:bottom w:val="single" w:sz="8" w:space="0" w:color="000000"/>
              <w:right w:val="single" w:sz="8" w:space="0" w:color="000000"/>
            </w:tcBorders>
            <w:shd w:val="clear" w:color="auto" w:fill="auto"/>
            <w:vAlign w:val="center"/>
            <w:hideMark/>
          </w:tcPr>
          <w:p w14:paraId="0AEF99B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700" w:type="dxa"/>
            <w:tcBorders>
              <w:top w:val="nil"/>
              <w:left w:val="nil"/>
              <w:bottom w:val="single" w:sz="8" w:space="0" w:color="000000"/>
              <w:right w:val="single" w:sz="8" w:space="0" w:color="000000"/>
            </w:tcBorders>
            <w:shd w:val="clear" w:color="auto" w:fill="auto"/>
            <w:vAlign w:val="center"/>
            <w:hideMark/>
          </w:tcPr>
          <w:p w14:paraId="24E9635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40" w:type="dxa"/>
            <w:tcBorders>
              <w:top w:val="nil"/>
              <w:left w:val="nil"/>
              <w:bottom w:val="single" w:sz="8" w:space="0" w:color="000000"/>
              <w:right w:val="single" w:sz="8" w:space="0" w:color="000000"/>
            </w:tcBorders>
            <w:shd w:val="clear" w:color="auto" w:fill="auto"/>
            <w:vAlign w:val="center"/>
            <w:hideMark/>
          </w:tcPr>
          <w:p w14:paraId="2893DFB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4BFB09C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680" w:type="dxa"/>
            <w:tcBorders>
              <w:top w:val="nil"/>
              <w:left w:val="nil"/>
              <w:bottom w:val="single" w:sz="8" w:space="0" w:color="000000"/>
              <w:right w:val="single" w:sz="8" w:space="0" w:color="000000"/>
            </w:tcBorders>
            <w:shd w:val="clear" w:color="auto" w:fill="auto"/>
            <w:vAlign w:val="center"/>
            <w:hideMark/>
          </w:tcPr>
          <w:p w14:paraId="78B4343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3444495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5F76E416" w14:textId="77777777" w:rsidTr="00AC6176">
        <w:trPr>
          <w:trHeight w:val="300"/>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2812B5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Simulated patients (staff/student)</w:t>
            </w:r>
          </w:p>
        </w:tc>
        <w:tc>
          <w:tcPr>
            <w:tcW w:w="700" w:type="dxa"/>
            <w:tcBorders>
              <w:top w:val="nil"/>
              <w:left w:val="nil"/>
              <w:bottom w:val="single" w:sz="8" w:space="0" w:color="000000"/>
              <w:right w:val="single" w:sz="8" w:space="0" w:color="000000"/>
            </w:tcBorders>
            <w:shd w:val="clear" w:color="auto" w:fill="auto"/>
            <w:vAlign w:val="center"/>
            <w:hideMark/>
          </w:tcPr>
          <w:p w14:paraId="10684C5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700" w:type="dxa"/>
            <w:tcBorders>
              <w:top w:val="nil"/>
              <w:left w:val="nil"/>
              <w:bottom w:val="single" w:sz="8" w:space="0" w:color="000000"/>
              <w:right w:val="single" w:sz="8" w:space="0" w:color="000000"/>
            </w:tcBorders>
            <w:shd w:val="clear" w:color="auto" w:fill="auto"/>
            <w:vAlign w:val="center"/>
            <w:hideMark/>
          </w:tcPr>
          <w:p w14:paraId="0C45BE7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800" w:type="dxa"/>
            <w:tcBorders>
              <w:top w:val="nil"/>
              <w:left w:val="nil"/>
              <w:bottom w:val="single" w:sz="8" w:space="0" w:color="000000"/>
              <w:right w:val="single" w:sz="8" w:space="0" w:color="000000"/>
            </w:tcBorders>
            <w:shd w:val="clear" w:color="auto" w:fill="auto"/>
            <w:vAlign w:val="center"/>
            <w:hideMark/>
          </w:tcPr>
          <w:p w14:paraId="6AA87D5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700" w:type="dxa"/>
            <w:tcBorders>
              <w:top w:val="nil"/>
              <w:left w:val="nil"/>
              <w:bottom w:val="single" w:sz="8" w:space="0" w:color="000000"/>
              <w:right w:val="single" w:sz="8" w:space="0" w:color="000000"/>
            </w:tcBorders>
            <w:shd w:val="clear" w:color="auto" w:fill="auto"/>
            <w:vAlign w:val="center"/>
            <w:hideMark/>
          </w:tcPr>
          <w:p w14:paraId="5CDCA56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40" w:type="dxa"/>
            <w:tcBorders>
              <w:top w:val="nil"/>
              <w:left w:val="nil"/>
              <w:bottom w:val="single" w:sz="8" w:space="0" w:color="000000"/>
              <w:right w:val="single" w:sz="8" w:space="0" w:color="000000"/>
            </w:tcBorders>
            <w:shd w:val="clear" w:color="auto" w:fill="auto"/>
            <w:vAlign w:val="center"/>
            <w:hideMark/>
          </w:tcPr>
          <w:p w14:paraId="17C3435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800" w:type="dxa"/>
            <w:tcBorders>
              <w:top w:val="nil"/>
              <w:left w:val="nil"/>
              <w:bottom w:val="single" w:sz="8" w:space="0" w:color="000000"/>
              <w:right w:val="single" w:sz="8" w:space="0" w:color="000000"/>
            </w:tcBorders>
            <w:shd w:val="clear" w:color="auto" w:fill="auto"/>
            <w:vAlign w:val="center"/>
            <w:hideMark/>
          </w:tcPr>
          <w:p w14:paraId="38FBBE1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29</w:t>
            </w:r>
          </w:p>
        </w:tc>
        <w:tc>
          <w:tcPr>
            <w:tcW w:w="680" w:type="dxa"/>
            <w:tcBorders>
              <w:top w:val="nil"/>
              <w:left w:val="nil"/>
              <w:bottom w:val="single" w:sz="8" w:space="0" w:color="000000"/>
              <w:right w:val="single" w:sz="8" w:space="0" w:color="000000"/>
            </w:tcBorders>
            <w:shd w:val="clear" w:color="auto" w:fill="auto"/>
            <w:vAlign w:val="center"/>
            <w:hideMark/>
          </w:tcPr>
          <w:p w14:paraId="2CB875D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3B8E5C4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MI,RT,NM</w:t>
            </w:r>
          </w:p>
        </w:tc>
      </w:tr>
      <w:tr w:rsidR="00AC6176" w:rsidRPr="00AC6176" w14:paraId="78EAD44E" w14:textId="77777777" w:rsidTr="00AC6176">
        <w:trPr>
          <w:trHeight w:val="540"/>
        </w:trPr>
        <w:tc>
          <w:tcPr>
            <w:tcW w:w="2960" w:type="dxa"/>
            <w:tcBorders>
              <w:top w:val="nil"/>
              <w:left w:val="nil"/>
              <w:bottom w:val="nil"/>
              <w:right w:val="nil"/>
            </w:tcBorders>
            <w:shd w:val="clear" w:color="000000" w:fill="D9D9D9"/>
            <w:noWrap/>
            <w:vAlign w:val="bottom"/>
            <w:hideMark/>
          </w:tcPr>
          <w:p w14:paraId="6F190717"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Live activities</w:t>
            </w:r>
          </w:p>
        </w:tc>
        <w:tc>
          <w:tcPr>
            <w:tcW w:w="700" w:type="dxa"/>
            <w:tcBorders>
              <w:top w:val="nil"/>
              <w:left w:val="nil"/>
              <w:bottom w:val="nil"/>
              <w:right w:val="nil"/>
            </w:tcBorders>
            <w:shd w:val="clear" w:color="000000" w:fill="D9D9D9"/>
            <w:noWrap/>
            <w:vAlign w:val="bottom"/>
            <w:hideMark/>
          </w:tcPr>
          <w:p w14:paraId="2E31FB29"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4E7D2CD5"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332DD886"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00D84ACD"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40" w:type="dxa"/>
            <w:tcBorders>
              <w:top w:val="nil"/>
              <w:left w:val="nil"/>
              <w:bottom w:val="nil"/>
              <w:right w:val="nil"/>
            </w:tcBorders>
            <w:shd w:val="clear" w:color="000000" w:fill="D9D9D9"/>
            <w:noWrap/>
            <w:vAlign w:val="bottom"/>
            <w:hideMark/>
          </w:tcPr>
          <w:p w14:paraId="04BA3DD8"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77E330C1"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680" w:type="dxa"/>
            <w:tcBorders>
              <w:top w:val="nil"/>
              <w:left w:val="nil"/>
              <w:bottom w:val="nil"/>
              <w:right w:val="nil"/>
            </w:tcBorders>
            <w:shd w:val="clear" w:color="000000" w:fill="D9D9D9"/>
            <w:noWrap/>
            <w:vAlign w:val="bottom"/>
            <w:hideMark/>
          </w:tcPr>
          <w:p w14:paraId="61D244AB"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960" w:type="dxa"/>
            <w:tcBorders>
              <w:top w:val="nil"/>
              <w:left w:val="nil"/>
              <w:bottom w:val="nil"/>
              <w:right w:val="nil"/>
            </w:tcBorders>
            <w:shd w:val="clear" w:color="000000" w:fill="D9D9D9"/>
            <w:noWrap/>
            <w:vAlign w:val="bottom"/>
            <w:hideMark/>
          </w:tcPr>
          <w:p w14:paraId="5AA14BEE"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r>
      <w:tr w:rsidR="00AC6176" w:rsidRPr="00AC6176" w14:paraId="27EC4E9D" w14:textId="77777777" w:rsidTr="00AC6176">
        <w:trPr>
          <w:trHeight w:val="279"/>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DFB54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 </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183AA297"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NA*</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1C7C3201"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0</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63971E36" w14:textId="32248334"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1-</w:t>
            </w:r>
            <w:r w:rsidR="005D511F">
              <w:rPr>
                <w:rFonts w:eastAsia="Times New Roman"/>
                <w:b/>
                <w:bCs/>
                <w:color w:val="000000"/>
                <w:sz w:val="20"/>
                <w:szCs w:val="20"/>
                <w:lang w:eastAsia="en-GB"/>
              </w:rPr>
              <w:t>2</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376EF341"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Ann</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3676E532"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Sem</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0A438E2D"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Mult</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14:paraId="5CB2141C"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36BA661E"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Course</w:t>
            </w:r>
          </w:p>
        </w:tc>
      </w:tr>
      <w:tr w:rsidR="00AC6176" w:rsidRPr="00AC6176" w14:paraId="6EC0E160"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2F909BF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“Live” CT scanner</w:t>
            </w:r>
          </w:p>
        </w:tc>
        <w:tc>
          <w:tcPr>
            <w:tcW w:w="700" w:type="dxa"/>
            <w:tcBorders>
              <w:top w:val="nil"/>
              <w:left w:val="nil"/>
              <w:bottom w:val="single" w:sz="8" w:space="0" w:color="000000"/>
              <w:right w:val="single" w:sz="8" w:space="0" w:color="000000"/>
            </w:tcBorders>
            <w:shd w:val="clear" w:color="auto" w:fill="auto"/>
            <w:vAlign w:val="center"/>
            <w:hideMark/>
          </w:tcPr>
          <w:p w14:paraId="59BC8F7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49</w:t>
            </w:r>
          </w:p>
        </w:tc>
        <w:tc>
          <w:tcPr>
            <w:tcW w:w="700" w:type="dxa"/>
            <w:tcBorders>
              <w:top w:val="nil"/>
              <w:left w:val="nil"/>
              <w:bottom w:val="single" w:sz="8" w:space="0" w:color="000000"/>
              <w:right w:val="single" w:sz="8" w:space="0" w:color="000000"/>
            </w:tcBorders>
            <w:shd w:val="clear" w:color="auto" w:fill="auto"/>
            <w:vAlign w:val="center"/>
            <w:hideMark/>
          </w:tcPr>
          <w:p w14:paraId="31D9040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6D7B552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2F7FB61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740" w:type="dxa"/>
            <w:tcBorders>
              <w:top w:val="nil"/>
              <w:left w:val="nil"/>
              <w:bottom w:val="single" w:sz="8" w:space="0" w:color="000000"/>
              <w:right w:val="single" w:sz="8" w:space="0" w:color="000000"/>
            </w:tcBorders>
            <w:shd w:val="clear" w:color="auto" w:fill="auto"/>
            <w:vAlign w:val="center"/>
            <w:hideMark/>
          </w:tcPr>
          <w:p w14:paraId="5179EEF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4DD16CA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680" w:type="dxa"/>
            <w:tcBorders>
              <w:top w:val="nil"/>
              <w:left w:val="nil"/>
              <w:bottom w:val="single" w:sz="8" w:space="0" w:color="000000"/>
              <w:right w:val="single" w:sz="8" w:space="0" w:color="000000"/>
            </w:tcBorders>
            <w:shd w:val="clear" w:color="auto" w:fill="auto"/>
            <w:vAlign w:val="center"/>
            <w:hideMark/>
          </w:tcPr>
          <w:p w14:paraId="7642CE6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7BF485E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 &amp; RT</w:t>
            </w:r>
          </w:p>
        </w:tc>
      </w:tr>
      <w:tr w:rsidR="00AC6176" w:rsidRPr="00AC6176" w14:paraId="370BEE87"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8931B9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“Live” MR scanner</w:t>
            </w:r>
          </w:p>
        </w:tc>
        <w:tc>
          <w:tcPr>
            <w:tcW w:w="700" w:type="dxa"/>
            <w:tcBorders>
              <w:top w:val="nil"/>
              <w:left w:val="nil"/>
              <w:bottom w:val="single" w:sz="8" w:space="0" w:color="000000"/>
              <w:right w:val="single" w:sz="8" w:space="0" w:color="000000"/>
            </w:tcBorders>
            <w:shd w:val="clear" w:color="auto" w:fill="auto"/>
            <w:vAlign w:val="center"/>
            <w:hideMark/>
          </w:tcPr>
          <w:p w14:paraId="3E95F8C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53</w:t>
            </w:r>
          </w:p>
        </w:tc>
        <w:tc>
          <w:tcPr>
            <w:tcW w:w="700" w:type="dxa"/>
            <w:tcBorders>
              <w:top w:val="nil"/>
              <w:left w:val="nil"/>
              <w:bottom w:val="single" w:sz="8" w:space="0" w:color="000000"/>
              <w:right w:val="single" w:sz="8" w:space="0" w:color="000000"/>
            </w:tcBorders>
            <w:shd w:val="clear" w:color="auto" w:fill="auto"/>
            <w:vAlign w:val="center"/>
            <w:hideMark/>
          </w:tcPr>
          <w:p w14:paraId="1A758F1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2AFEF99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700" w:type="dxa"/>
            <w:tcBorders>
              <w:top w:val="nil"/>
              <w:left w:val="nil"/>
              <w:bottom w:val="single" w:sz="8" w:space="0" w:color="000000"/>
              <w:right w:val="single" w:sz="8" w:space="0" w:color="000000"/>
            </w:tcBorders>
            <w:shd w:val="clear" w:color="auto" w:fill="auto"/>
            <w:vAlign w:val="center"/>
            <w:hideMark/>
          </w:tcPr>
          <w:p w14:paraId="12B9CAF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40" w:type="dxa"/>
            <w:tcBorders>
              <w:top w:val="nil"/>
              <w:left w:val="nil"/>
              <w:bottom w:val="single" w:sz="8" w:space="0" w:color="000000"/>
              <w:right w:val="single" w:sz="8" w:space="0" w:color="000000"/>
            </w:tcBorders>
            <w:shd w:val="clear" w:color="auto" w:fill="auto"/>
            <w:vAlign w:val="center"/>
            <w:hideMark/>
          </w:tcPr>
          <w:p w14:paraId="7CACD0B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0CCF7B3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680" w:type="dxa"/>
            <w:tcBorders>
              <w:top w:val="nil"/>
              <w:left w:val="nil"/>
              <w:bottom w:val="single" w:sz="8" w:space="0" w:color="000000"/>
              <w:right w:val="single" w:sz="8" w:space="0" w:color="000000"/>
            </w:tcBorders>
            <w:shd w:val="clear" w:color="auto" w:fill="auto"/>
            <w:vAlign w:val="center"/>
            <w:hideMark/>
          </w:tcPr>
          <w:p w14:paraId="0EB676C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08F8421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 &amp; RT</w:t>
            </w:r>
          </w:p>
        </w:tc>
      </w:tr>
      <w:tr w:rsidR="00AC6176" w:rsidRPr="00AC6176" w14:paraId="507A4278"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FCA952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“Live” X-ray lab</w:t>
            </w:r>
          </w:p>
        </w:tc>
        <w:tc>
          <w:tcPr>
            <w:tcW w:w="700" w:type="dxa"/>
            <w:tcBorders>
              <w:top w:val="nil"/>
              <w:left w:val="nil"/>
              <w:bottom w:val="single" w:sz="8" w:space="0" w:color="000000"/>
              <w:right w:val="single" w:sz="8" w:space="0" w:color="000000"/>
            </w:tcBorders>
            <w:shd w:val="clear" w:color="auto" w:fill="auto"/>
            <w:vAlign w:val="center"/>
            <w:hideMark/>
          </w:tcPr>
          <w:p w14:paraId="79C8A00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17</w:t>
            </w:r>
          </w:p>
        </w:tc>
        <w:tc>
          <w:tcPr>
            <w:tcW w:w="700" w:type="dxa"/>
            <w:tcBorders>
              <w:top w:val="nil"/>
              <w:left w:val="nil"/>
              <w:bottom w:val="single" w:sz="8" w:space="0" w:color="000000"/>
              <w:right w:val="single" w:sz="8" w:space="0" w:color="000000"/>
            </w:tcBorders>
            <w:shd w:val="clear" w:color="auto" w:fill="auto"/>
            <w:vAlign w:val="center"/>
            <w:hideMark/>
          </w:tcPr>
          <w:p w14:paraId="20B11D5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45BF6DF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700" w:type="dxa"/>
            <w:tcBorders>
              <w:top w:val="nil"/>
              <w:left w:val="nil"/>
              <w:bottom w:val="single" w:sz="8" w:space="0" w:color="000000"/>
              <w:right w:val="single" w:sz="8" w:space="0" w:color="000000"/>
            </w:tcBorders>
            <w:shd w:val="clear" w:color="auto" w:fill="auto"/>
            <w:vAlign w:val="center"/>
            <w:hideMark/>
          </w:tcPr>
          <w:p w14:paraId="5BE9A07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40" w:type="dxa"/>
            <w:tcBorders>
              <w:top w:val="nil"/>
              <w:left w:val="nil"/>
              <w:bottom w:val="single" w:sz="8" w:space="0" w:color="000000"/>
              <w:right w:val="single" w:sz="8" w:space="0" w:color="000000"/>
            </w:tcBorders>
            <w:shd w:val="clear" w:color="auto" w:fill="auto"/>
            <w:vAlign w:val="center"/>
            <w:hideMark/>
          </w:tcPr>
          <w:p w14:paraId="2CBF223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800" w:type="dxa"/>
            <w:tcBorders>
              <w:top w:val="nil"/>
              <w:left w:val="nil"/>
              <w:bottom w:val="single" w:sz="8" w:space="0" w:color="000000"/>
              <w:right w:val="single" w:sz="8" w:space="0" w:color="000000"/>
            </w:tcBorders>
            <w:shd w:val="clear" w:color="auto" w:fill="auto"/>
            <w:vAlign w:val="center"/>
            <w:hideMark/>
          </w:tcPr>
          <w:p w14:paraId="3B8FADE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37</w:t>
            </w:r>
          </w:p>
        </w:tc>
        <w:tc>
          <w:tcPr>
            <w:tcW w:w="680" w:type="dxa"/>
            <w:tcBorders>
              <w:top w:val="nil"/>
              <w:left w:val="nil"/>
              <w:bottom w:val="single" w:sz="8" w:space="0" w:color="000000"/>
              <w:right w:val="single" w:sz="8" w:space="0" w:color="000000"/>
            </w:tcBorders>
            <w:shd w:val="clear" w:color="auto" w:fill="auto"/>
            <w:vAlign w:val="center"/>
            <w:hideMark/>
          </w:tcPr>
          <w:p w14:paraId="120E892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52B04CA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w:t>
            </w:r>
          </w:p>
        </w:tc>
      </w:tr>
      <w:tr w:rsidR="00AC6176" w:rsidRPr="00AC6176" w14:paraId="65D3014E"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D54C33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Ultrasound machine</w:t>
            </w:r>
          </w:p>
        </w:tc>
        <w:tc>
          <w:tcPr>
            <w:tcW w:w="700" w:type="dxa"/>
            <w:tcBorders>
              <w:top w:val="nil"/>
              <w:left w:val="nil"/>
              <w:bottom w:val="single" w:sz="8" w:space="0" w:color="000000"/>
              <w:right w:val="single" w:sz="8" w:space="0" w:color="000000"/>
            </w:tcBorders>
            <w:shd w:val="clear" w:color="auto" w:fill="auto"/>
            <w:vAlign w:val="center"/>
            <w:hideMark/>
          </w:tcPr>
          <w:p w14:paraId="37D21C1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21</w:t>
            </w:r>
          </w:p>
        </w:tc>
        <w:tc>
          <w:tcPr>
            <w:tcW w:w="700" w:type="dxa"/>
            <w:tcBorders>
              <w:top w:val="nil"/>
              <w:left w:val="nil"/>
              <w:bottom w:val="single" w:sz="8" w:space="0" w:color="000000"/>
              <w:right w:val="single" w:sz="8" w:space="0" w:color="000000"/>
            </w:tcBorders>
            <w:shd w:val="clear" w:color="auto" w:fill="auto"/>
            <w:vAlign w:val="center"/>
            <w:hideMark/>
          </w:tcPr>
          <w:p w14:paraId="128BF1E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800" w:type="dxa"/>
            <w:tcBorders>
              <w:top w:val="nil"/>
              <w:left w:val="nil"/>
              <w:bottom w:val="single" w:sz="8" w:space="0" w:color="000000"/>
              <w:right w:val="single" w:sz="8" w:space="0" w:color="000000"/>
            </w:tcBorders>
            <w:shd w:val="clear" w:color="auto" w:fill="auto"/>
            <w:vAlign w:val="center"/>
            <w:hideMark/>
          </w:tcPr>
          <w:p w14:paraId="1DCCCF9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00" w:type="dxa"/>
            <w:tcBorders>
              <w:top w:val="nil"/>
              <w:left w:val="nil"/>
              <w:bottom w:val="single" w:sz="8" w:space="0" w:color="000000"/>
              <w:right w:val="single" w:sz="8" w:space="0" w:color="000000"/>
            </w:tcBorders>
            <w:shd w:val="clear" w:color="auto" w:fill="auto"/>
            <w:vAlign w:val="center"/>
            <w:hideMark/>
          </w:tcPr>
          <w:p w14:paraId="55449A1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740" w:type="dxa"/>
            <w:tcBorders>
              <w:top w:val="nil"/>
              <w:left w:val="nil"/>
              <w:bottom w:val="single" w:sz="8" w:space="0" w:color="000000"/>
              <w:right w:val="single" w:sz="8" w:space="0" w:color="000000"/>
            </w:tcBorders>
            <w:shd w:val="clear" w:color="auto" w:fill="auto"/>
            <w:vAlign w:val="center"/>
            <w:hideMark/>
          </w:tcPr>
          <w:p w14:paraId="43D7393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32BAF84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15</w:t>
            </w:r>
          </w:p>
        </w:tc>
        <w:tc>
          <w:tcPr>
            <w:tcW w:w="680" w:type="dxa"/>
            <w:tcBorders>
              <w:top w:val="nil"/>
              <w:left w:val="nil"/>
              <w:bottom w:val="single" w:sz="8" w:space="0" w:color="000000"/>
              <w:right w:val="single" w:sz="8" w:space="0" w:color="000000"/>
            </w:tcBorders>
            <w:shd w:val="clear" w:color="auto" w:fill="auto"/>
            <w:vAlign w:val="center"/>
            <w:hideMark/>
          </w:tcPr>
          <w:p w14:paraId="49D39AF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55EC505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w:t>
            </w:r>
          </w:p>
        </w:tc>
      </w:tr>
      <w:tr w:rsidR="00AC6176" w:rsidRPr="00AC6176" w14:paraId="440B4CDC"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AE5F62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Image intensifier</w:t>
            </w:r>
          </w:p>
        </w:tc>
        <w:tc>
          <w:tcPr>
            <w:tcW w:w="700" w:type="dxa"/>
            <w:tcBorders>
              <w:top w:val="nil"/>
              <w:left w:val="nil"/>
              <w:bottom w:val="single" w:sz="8" w:space="0" w:color="000000"/>
              <w:right w:val="single" w:sz="8" w:space="0" w:color="000000"/>
            </w:tcBorders>
            <w:shd w:val="clear" w:color="auto" w:fill="auto"/>
            <w:vAlign w:val="center"/>
            <w:hideMark/>
          </w:tcPr>
          <w:p w14:paraId="1321612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40</w:t>
            </w:r>
          </w:p>
        </w:tc>
        <w:tc>
          <w:tcPr>
            <w:tcW w:w="700" w:type="dxa"/>
            <w:tcBorders>
              <w:top w:val="nil"/>
              <w:left w:val="nil"/>
              <w:bottom w:val="single" w:sz="8" w:space="0" w:color="000000"/>
              <w:right w:val="single" w:sz="8" w:space="0" w:color="000000"/>
            </w:tcBorders>
            <w:shd w:val="clear" w:color="auto" w:fill="auto"/>
            <w:vAlign w:val="center"/>
            <w:hideMark/>
          </w:tcPr>
          <w:p w14:paraId="0299027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800" w:type="dxa"/>
            <w:tcBorders>
              <w:top w:val="nil"/>
              <w:left w:val="nil"/>
              <w:bottom w:val="single" w:sz="8" w:space="0" w:color="000000"/>
              <w:right w:val="single" w:sz="8" w:space="0" w:color="000000"/>
            </w:tcBorders>
            <w:shd w:val="clear" w:color="auto" w:fill="auto"/>
            <w:vAlign w:val="center"/>
            <w:hideMark/>
          </w:tcPr>
          <w:p w14:paraId="43014FC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00" w:type="dxa"/>
            <w:tcBorders>
              <w:top w:val="nil"/>
              <w:left w:val="nil"/>
              <w:bottom w:val="single" w:sz="8" w:space="0" w:color="000000"/>
              <w:right w:val="single" w:sz="8" w:space="0" w:color="000000"/>
            </w:tcBorders>
            <w:shd w:val="clear" w:color="auto" w:fill="auto"/>
            <w:vAlign w:val="center"/>
            <w:hideMark/>
          </w:tcPr>
          <w:p w14:paraId="245E3B0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w:t>
            </w:r>
          </w:p>
        </w:tc>
        <w:tc>
          <w:tcPr>
            <w:tcW w:w="740" w:type="dxa"/>
            <w:tcBorders>
              <w:top w:val="nil"/>
              <w:left w:val="nil"/>
              <w:bottom w:val="single" w:sz="8" w:space="0" w:color="000000"/>
              <w:right w:val="single" w:sz="8" w:space="0" w:color="000000"/>
            </w:tcBorders>
            <w:shd w:val="clear" w:color="auto" w:fill="auto"/>
            <w:vAlign w:val="center"/>
            <w:hideMark/>
          </w:tcPr>
          <w:p w14:paraId="4E0B025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800" w:type="dxa"/>
            <w:tcBorders>
              <w:top w:val="nil"/>
              <w:left w:val="nil"/>
              <w:bottom w:val="single" w:sz="8" w:space="0" w:color="000000"/>
              <w:right w:val="single" w:sz="8" w:space="0" w:color="000000"/>
            </w:tcBorders>
            <w:shd w:val="clear" w:color="auto" w:fill="auto"/>
            <w:vAlign w:val="center"/>
            <w:hideMark/>
          </w:tcPr>
          <w:p w14:paraId="1766719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680" w:type="dxa"/>
            <w:tcBorders>
              <w:top w:val="nil"/>
              <w:left w:val="nil"/>
              <w:bottom w:val="single" w:sz="8" w:space="0" w:color="000000"/>
              <w:right w:val="single" w:sz="8" w:space="0" w:color="000000"/>
            </w:tcBorders>
            <w:shd w:val="clear" w:color="auto" w:fill="auto"/>
            <w:vAlign w:val="center"/>
            <w:hideMark/>
          </w:tcPr>
          <w:p w14:paraId="501FA1F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689555D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w:t>
            </w:r>
          </w:p>
        </w:tc>
      </w:tr>
      <w:tr w:rsidR="00AC6176" w:rsidRPr="00AC6176" w14:paraId="3784B519"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0090646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Mobile imaging equipment</w:t>
            </w:r>
          </w:p>
        </w:tc>
        <w:tc>
          <w:tcPr>
            <w:tcW w:w="700" w:type="dxa"/>
            <w:tcBorders>
              <w:top w:val="nil"/>
              <w:left w:val="nil"/>
              <w:bottom w:val="single" w:sz="8" w:space="0" w:color="000000"/>
              <w:right w:val="single" w:sz="8" w:space="0" w:color="000000"/>
            </w:tcBorders>
            <w:shd w:val="clear" w:color="auto" w:fill="auto"/>
            <w:vAlign w:val="center"/>
            <w:hideMark/>
          </w:tcPr>
          <w:p w14:paraId="3E6853A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24</w:t>
            </w:r>
          </w:p>
        </w:tc>
        <w:tc>
          <w:tcPr>
            <w:tcW w:w="700" w:type="dxa"/>
            <w:tcBorders>
              <w:top w:val="nil"/>
              <w:left w:val="nil"/>
              <w:bottom w:val="single" w:sz="8" w:space="0" w:color="000000"/>
              <w:right w:val="single" w:sz="8" w:space="0" w:color="000000"/>
            </w:tcBorders>
            <w:shd w:val="clear" w:color="auto" w:fill="auto"/>
            <w:vAlign w:val="center"/>
            <w:hideMark/>
          </w:tcPr>
          <w:p w14:paraId="435EFDA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2E359A8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8</w:t>
            </w:r>
          </w:p>
        </w:tc>
        <w:tc>
          <w:tcPr>
            <w:tcW w:w="700" w:type="dxa"/>
            <w:tcBorders>
              <w:top w:val="nil"/>
              <w:left w:val="nil"/>
              <w:bottom w:val="single" w:sz="8" w:space="0" w:color="000000"/>
              <w:right w:val="single" w:sz="8" w:space="0" w:color="000000"/>
            </w:tcBorders>
            <w:shd w:val="clear" w:color="auto" w:fill="auto"/>
            <w:vAlign w:val="center"/>
            <w:hideMark/>
          </w:tcPr>
          <w:p w14:paraId="597602F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740" w:type="dxa"/>
            <w:tcBorders>
              <w:top w:val="nil"/>
              <w:left w:val="nil"/>
              <w:bottom w:val="single" w:sz="8" w:space="0" w:color="000000"/>
              <w:right w:val="single" w:sz="8" w:space="0" w:color="000000"/>
            </w:tcBorders>
            <w:shd w:val="clear" w:color="auto" w:fill="auto"/>
            <w:vAlign w:val="center"/>
            <w:hideMark/>
          </w:tcPr>
          <w:p w14:paraId="1F5D648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800" w:type="dxa"/>
            <w:tcBorders>
              <w:top w:val="nil"/>
              <w:left w:val="nil"/>
              <w:bottom w:val="single" w:sz="8" w:space="0" w:color="000000"/>
              <w:right w:val="single" w:sz="8" w:space="0" w:color="000000"/>
            </w:tcBorders>
            <w:shd w:val="clear" w:color="auto" w:fill="auto"/>
            <w:vAlign w:val="center"/>
            <w:hideMark/>
          </w:tcPr>
          <w:p w14:paraId="5CE54C0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14</w:t>
            </w:r>
          </w:p>
        </w:tc>
        <w:tc>
          <w:tcPr>
            <w:tcW w:w="680" w:type="dxa"/>
            <w:tcBorders>
              <w:top w:val="nil"/>
              <w:left w:val="nil"/>
              <w:bottom w:val="single" w:sz="8" w:space="0" w:color="000000"/>
              <w:right w:val="single" w:sz="8" w:space="0" w:color="000000"/>
            </w:tcBorders>
            <w:shd w:val="clear" w:color="auto" w:fill="auto"/>
            <w:vAlign w:val="center"/>
            <w:hideMark/>
          </w:tcPr>
          <w:p w14:paraId="63A1A37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4B091C0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MI</w:t>
            </w:r>
          </w:p>
        </w:tc>
      </w:tr>
      <w:tr w:rsidR="00AC6176" w:rsidRPr="00AC6176" w14:paraId="39683F73"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9244C4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“Live” Gamma camera</w:t>
            </w:r>
          </w:p>
        </w:tc>
        <w:tc>
          <w:tcPr>
            <w:tcW w:w="700" w:type="dxa"/>
            <w:tcBorders>
              <w:top w:val="nil"/>
              <w:left w:val="nil"/>
              <w:bottom w:val="single" w:sz="8" w:space="0" w:color="000000"/>
              <w:right w:val="single" w:sz="8" w:space="0" w:color="000000"/>
            </w:tcBorders>
            <w:shd w:val="clear" w:color="auto" w:fill="auto"/>
            <w:vAlign w:val="center"/>
            <w:hideMark/>
          </w:tcPr>
          <w:p w14:paraId="008F5BF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52</w:t>
            </w:r>
          </w:p>
        </w:tc>
        <w:tc>
          <w:tcPr>
            <w:tcW w:w="700" w:type="dxa"/>
            <w:tcBorders>
              <w:top w:val="nil"/>
              <w:left w:val="nil"/>
              <w:bottom w:val="single" w:sz="8" w:space="0" w:color="000000"/>
              <w:right w:val="single" w:sz="8" w:space="0" w:color="000000"/>
            </w:tcBorders>
            <w:shd w:val="clear" w:color="auto" w:fill="auto"/>
            <w:vAlign w:val="center"/>
            <w:hideMark/>
          </w:tcPr>
          <w:p w14:paraId="16C71B1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6F66584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700" w:type="dxa"/>
            <w:tcBorders>
              <w:top w:val="nil"/>
              <w:left w:val="nil"/>
              <w:bottom w:val="single" w:sz="8" w:space="0" w:color="000000"/>
              <w:right w:val="single" w:sz="8" w:space="0" w:color="000000"/>
            </w:tcBorders>
            <w:shd w:val="clear" w:color="auto" w:fill="auto"/>
            <w:vAlign w:val="center"/>
            <w:hideMark/>
          </w:tcPr>
          <w:p w14:paraId="44569AB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740" w:type="dxa"/>
            <w:tcBorders>
              <w:top w:val="nil"/>
              <w:left w:val="nil"/>
              <w:bottom w:val="single" w:sz="8" w:space="0" w:color="000000"/>
              <w:right w:val="single" w:sz="8" w:space="0" w:color="000000"/>
            </w:tcBorders>
            <w:shd w:val="clear" w:color="auto" w:fill="auto"/>
            <w:vAlign w:val="center"/>
            <w:hideMark/>
          </w:tcPr>
          <w:p w14:paraId="497A2FC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6F87C23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680" w:type="dxa"/>
            <w:tcBorders>
              <w:top w:val="nil"/>
              <w:left w:val="nil"/>
              <w:bottom w:val="single" w:sz="8" w:space="0" w:color="000000"/>
              <w:right w:val="single" w:sz="8" w:space="0" w:color="000000"/>
            </w:tcBorders>
            <w:shd w:val="clear" w:color="auto" w:fill="auto"/>
            <w:vAlign w:val="center"/>
            <w:hideMark/>
          </w:tcPr>
          <w:p w14:paraId="463227B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0D2AAE2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NM</w:t>
            </w:r>
          </w:p>
        </w:tc>
      </w:tr>
      <w:tr w:rsidR="00AC6176" w:rsidRPr="00AC6176" w14:paraId="2F391AE3"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6F56EF7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“Live” PET scanner</w:t>
            </w:r>
          </w:p>
        </w:tc>
        <w:tc>
          <w:tcPr>
            <w:tcW w:w="700" w:type="dxa"/>
            <w:tcBorders>
              <w:top w:val="nil"/>
              <w:left w:val="nil"/>
              <w:bottom w:val="single" w:sz="8" w:space="0" w:color="000000"/>
              <w:right w:val="single" w:sz="8" w:space="0" w:color="000000"/>
            </w:tcBorders>
            <w:shd w:val="clear" w:color="auto" w:fill="auto"/>
            <w:vAlign w:val="center"/>
            <w:hideMark/>
          </w:tcPr>
          <w:p w14:paraId="752DE6D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55</w:t>
            </w:r>
          </w:p>
        </w:tc>
        <w:tc>
          <w:tcPr>
            <w:tcW w:w="700" w:type="dxa"/>
            <w:tcBorders>
              <w:top w:val="nil"/>
              <w:left w:val="nil"/>
              <w:bottom w:val="single" w:sz="8" w:space="0" w:color="000000"/>
              <w:right w:val="single" w:sz="8" w:space="0" w:color="000000"/>
            </w:tcBorders>
            <w:shd w:val="clear" w:color="auto" w:fill="auto"/>
            <w:vAlign w:val="center"/>
            <w:hideMark/>
          </w:tcPr>
          <w:p w14:paraId="7CFDF04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34F74E0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0E79169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740" w:type="dxa"/>
            <w:tcBorders>
              <w:top w:val="nil"/>
              <w:left w:val="nil"/>
              <w:bottom w:val="single" w:sz="8" w:space="0" w:color="000000"/>
              <w:right w:val="single" w:sz="8" w:space="0" w:color="000000"/>
            </w:tcBorders>
            <w:shd w:val="clear" w:color="auto" w:fill="auto"/>
            <w:vAlign w:val="center"/>
            <w:hideMark/>
          </w:tcPr>
          <w:p w14:paraId="56658E7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800" w:type="dxa"/>
            <w:tcBorders>
              <w:top w:val="nil"/>
              <w:left w:val="nil"/>
              <w:bottom w:val="single" w:sz="8" w:space="0" w:color="000000"/>
              <w:right w:val="single" w:sz="8" w:space="0" w:color="000000"/>
            </w:tcBorders>
            <w:shd w:val="clear" w:color="auto" w:fill="auto"/>
            <w:vAlign w:val="center"/>
            <w:hideMark/>
          </w:tcPr>
          <w:p w14:paraId="1116D6E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680" w:type="dxa"/>
            <w:tcBorders>
              <w:top w:val="nil"/>
              <w:left w:val="nil"/>
              <w:bottom w:val="single" w:sz="8" w:space="0" w:color="000000"/>
              <w:right w:val="single" w:sz="8" w:space="0" w:color="000000"/>
            </w:tcBorders>
            <w:shd w:val="clear" w:color="auto" w:fill="auto"/>
            <w:vAlign w:val="center"/>
            <w:hideMark/>
          </w:tcPr>
          <w:p w14:paraId="3440135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193206B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NM</w:t>
            </w:r>
          </w:p>
        </w:tc>
      </w:tr>
      <w:tr w:rsidR="00AC6176" w:rsidRPr="00AC6176" w14:paraId="66C6BB1F"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3CC93FF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Radiopharmacy laboratory</w:t>
            </w:r>
          </w:p>
        </w:tc>
        <w:tc>
          <w:tcPr>
            <w:tcW w:w="700" w:type="dxa"/>
            <w:tcBorders>
              <w:top w:val="nil"/>
              <w:left w:val="nil"/>
              <w:bottom w:val="single" w:sz="8" w:space="0" w:color="000000"/>
              <w:right w:val="single" w:sz="8" w:space="0" w:color="000000"/>
            </w:tcBorders>
            <w:shd w:val="clear" w:color="auto" w:fill="auto"/>
            <w:vAlign w:val="center"/>
            <w:hideMark/>
          </w:tcPr>
          <w:p w14:paraId="0FA7EE3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48</w:t>
            </w:r>
          </w:p>
        </w:tc>
        <w:tc>
          <w:tcPr>
            <w:tcW w:w="700" w:type="dxa"/>
            <w:tcBorders>
              <w:top w:val="nil"/>
              <w:left w:val="nil"/>
              <w:bottom w:val="single" w:sz="8" w:space="0" w:color="000000"/>
              <w:right w:val="single" w:sz="8" w:space="0" w:color="000000"/>
            </w:tcBorders>
            <w:shd w:val="clear" w:color="auto" w:fill="auto"/>
            <w:vAlign w:val="center"/>
            <w:hideMark/>
          </w:tcPr>
          <w:p w14:paraId="386A03F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562670E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700" w:type="dxa"/>
            <w:tcBorders>
              <w:top w:val="nil"/>
              <w:left w:val="nil"/>
              <w:bottom w:val="single" w:sz="8" w:space="0" w:color="000000"/>
              <w:right w:val="single" w:sz="8" w:space="0" w:color="000000"/>
            </w:tcBorders>
            <w:shd w:val="clear" w:color="auto" w:fill="auto"/>
            <w:vAlign w:val="center"/>
            <w:hideMark/>
          </w:tcPr>
          <w:p w14:paraId="1BC6D9F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40" w:type="dxa"/>
            <w:tcBorders>
              <w:top w:val="nil"/>
              <w:left w:val="nil"/>
              <w:bottom w:val="single" w:sz="8" w:space="0" w:color="000000"/>
              <w:right w:val="single" w:sz="8" w:space="0" w:color="000000"/>
            </w:tcBorders>
            <w:shd w:val="clear" w:color="auto" w:fill="auto"/>
            <w:vAlign w:val="center"/>
            <w:hideMark/>
          </w:tcPr>
          <w:p w14:paraId="36A39B9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3D959E3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10</w:t>
            </w:r>
          </w:p>
        </w:tc>
        <w:tc>
          <w:tcPr>
            <w:tcW w:w="680" w:type="dxa"/>
            <w:tcBorders>
              <w:top w:val="nil"/>
              <w:left w:val="nil"/>
              <w:bottom w:val="single" w:sz="8" w:space="0" w:color="000000"/>
              <w:right w:val="single" w:sz="8" w:space="0" w:color="000000"/>
            </w:tcBorders>
            <w:shd w:val="clear" w:color="auto" w:fill="auto"/>
            <w:vAlign w:val="center"/>
            <w:hideMark/>
          </w:tcPr>
          <w:p w14:paraId="2FE29492"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226A658E"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NM</w:t>
            </w:r>
          </w:p>
        </w:tc>
      </w:tr>
      <w:tr w:rsidR="00AC6176" w:rsidRPr="00AC6176" w14:paraId="0B7809A3" w14:textId="77777777" w:rsidTr="00AC6176">
        <w:trPr>
          <w:trHeight w:val="540"/>
        </w:trPr>
        <w:tc>
          <w:tcPr>
            <w:tcW w:w="2960" w:type="dxa"/>
            <w:tcBorders>
              <w:top w:val="nil"/>
              <w:left w:val="nil"/>
              <w:bottom w:val="nil"/>
              <w:right w:val="nil"/>
            </w:tcBorders>
            <w:shd w:val="clear" w:color="000000" w:fill="D9D9D9"/>
            <w:noWrap/>
            <w:vAlign w:val="bottom"/>
            <w:hideMark/>
          </w:tcPr>
          <w:p w14:paraId="7105797D" w14:textId="77777777" w:rsidR="00AC6176" w:rsidRPr="00AC6176" w:rsidRDefault="00AC6176" w:rsidP="008624BE">
            <w:pPr>
              <w:spacing w:after="0" w:line="240" w:lineRule="auto"/>
              <w:jc w:val="both"/>
              <w:rPr>
                <w:rFonts w:eastAsia="Times New Roman"/>
                <w:b/>
                <w:bCs/>
                <w:color w:val="000000"/>
                <w:lang w:eastAsia="en-GB"/>
              </w:rPr>
            </w:pPr>
            <w:r w:rsidRPr="00AC6176">
              <w:rPr>
                <w:rFonts w:eastAsia="Times New Roman"/>
                <w:b/>
                <w:bCs/>
                <w:color w:val="000000"/>
                <w:lang w:eastAsia="en-GB"/>
              </w:rPr>
              <w:t>RT specific</w:t>
            </w:r>
          </w:p>
        </w:tc>
        <w:tc>
          <w:tcPr>
            <w:tcW w:w="700" w:type="dxa"/>
            <w:tcBorders>
              <w:top w:val="nil"/>
              <w:left w:val="nil"/>
              <w:bottom w:val="nil"/>
              <w:right w:val="nil"/>
            </w:tcBorders>
            <w:shd w:val="clear" w:color="000000" w:fill="D9D9D9"/>
            <w:noWrap/>
            <w:vAlign w:val="bottom"/>
            <w:hideMark/>
          </w:tcPr>
          <w:p w14:paraId="7A129975"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369610D2"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361010BF"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00" w:type="dxa"/>
            <w:tcBorders>
              <w:top w:val="nil"/>
              <w:left w:val="nil"/>
              <w:bottom w:val="nil"/>
              <w:right w:val="nil"/>
            </w:tcBorders>
            <w:shd w:val="clear" w:color="000000" w:fill="D9D9D9"/>
            <w:noWrap/>
            <w:vAlign w:val="bottom"/>
            <w:hideMark/>
          </w:tcPr>
          <w:p w14:paraId="215F3BAA"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740" w:type="dxa"/>
            <w:tcBorders>
              <w:top w:val="nil"/>
              <w:left w:val="nil"/>
              <w:bottom w:val="nil"/>
              <w:right w:val="nil"/>
            </w:tcBorders>
            <w:shd w:val="clear" w:color="000000" w:fill="D9D9D9"/>
            <w:noWrap/>
            <w:vAlign w:val="bottom"/>
            <w:hideMark/>
          </w:tcPr>
          <w:p w14:paraId="5D80BF26"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800" w:type="dxa"/>
            <w:tcBorders>
              <w:top w:val="nil"/>
              <w:left w:val="nil"/>
              <w:bottom w:val="nil"/>
              <w:right w:val="nil"/>
            </w:tcBorders>
            <w:shd w:val="clear" w:color="000000" w:fill="D9D9D9"/>
            <w:noWrap/>
            <w:vAlign w:val="bottom"/>
            <w:hideMark/>
          </w:tcPr>
          <w:p w14:paraId="2F31FF34"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680" w:type="dxa"/>
            <w:tcBorders>
              <w:top w:val="nil"/>
              <w:left w:val="nil"/>
              <w:bottom w:val="nil"/>
              <w:right w:val="nil"/>
            </w:tcBorders>
            <w:shd w:val="clear" w:color="000000" w:fill="D9D9D9"/>
            <w:noWrap/>
            <w:vAlign w:val="bottom"/>
            <w:hideMark/>
          </w:tcPr>
          <w:p w14:paraId="2C184509"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c>
          <w:tcPr>
            <w:tcW w:w="960" w:type="dxa"/>
            <w:tcBorders>
              <w:top w:val="nil"/>
              <w:left w:val="nil"/>
              <w:bottom w:val="single" w:sz="8" w:space="0" w:color="000000"/>
              <w:right w:val="single" w:sz="4" w:space="0" w:color="auto"/>
            </w:tcBorders>
            <w:shd w:val="clear" w:color="000000" w:fill="D9D9D9"/>
            <w:noWrap/>
            <w:vAlign w:val="bottom"/>
            <w:hideMark/>
          </w:tcPr>
          <w:p w14:paraId="3A1D2743" w14:textId="77777777" w:rsidR="00AC6176" w:rsidRPr="00AC6176" w:rsidRDefault="00AC6176" w:rsidP="008624BE">
            <w:pPr>
              <w:spacing w:after="0" w:line="240" w:lineRule="auto"/>
              <w:jc w:val="both"/>
              <w:rPr>
                <w:rFonts w:eastAsia="Times New Roman"/>
                <w:color w:val="000000"/>
                <w:lang w:eastAsia="en-GB"/>
              </w:rPr>
            </w:pPr>
            <w:r w:rsidRPr="00AC6176">
              <w:rPr>
                <w:rFonts w:eastAsia="Times New Roman"/>
                <w:color w:val="000000"/>
                <w:lang w:eastAsia="en-GB"/>
              </w:rPr>
              <w:t> </w:t>
            </w:r>
          </w:p>
        </w:tc>
      </w:tr>
      <w:tr w:rsidR="00AC6176" w:rsidRPr="00AC6176" w14:paraId="17C27441" w14:textId="77777777" w:rsidTr="00AC6176">
        <w:trPr>
          <w:trHeight w:val="279"/>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1672F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 </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5344D215"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NA*</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123C487F"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0</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2DB5F3F3" w14:textId="785AB87B"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1-</w:t>
            </w:r>
            <w:r w:rsidR="005D511F">
              <w:rPr>
                <w:rFonts w:eastAsia="Times New Roman"/>
                <w:b/>
                <w:bCs/>
                <w:color w:val="000000"/>
                <w:sz w:val="20"/>
                <w:szCs w:val="20"/>
                <w:lang w:eastAsia="en-GB"/>
              </w:rPr>
              <w:t>2</w:t>
            </w:r>
          </w:p>
        </w:tc>
        <w:tc>
          <w:tcPr>
            <w:tcW w:w="700" w:type="dxa"/>
            <w:tcBorders>
              <w:top w:val="single" w:sz="8" w:space="0" w:color="000000"/>
              <w:left w:val="nil"/>
              <w:bottom w:val="single" w:sz="8" w:space="0" w:color="000000"/>
              <w:right w:val="single" w:sz="8" w:space="0" w:color="000000"/>
            </w:tcBorders>
            <w:shd w:val="clear" w:color="auto" w:fill="auto"/>
            <w:vAlign w:val="center"/>
            <w:hideMark/>
          </w:tcPr>
          <w:p w14:paraId="385C7384"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Ann</w:t>
            </w:r>
          </w:p>
        </w:tc>
        <w:tc>
          <w:tcPr>
            <w:tcW w:w="740" w:type="dxa"/>
            <w:tcBorders>
              <w:top w:val="single" w:sz="8" w:space="0" w:color="000000"/>
              <w:left w:val="nil"/>
              <w:bottom w:val="single" w:sz="8" w:space="0" w:color="000000"/>
              <w:right w:val="single" w:sz="8" w:space="0" w:color="000000"/>
            </w:tcBorders>
            <w:shd w:val="clear" w:color="auto" w:fill="auto"/>
            <w:vAlign w:val="center"/>
            <w:hideMark/>
          </w:tcPr>
          <w:p w14:paraId="4DC8584F"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Sem</w:t>
            </w:r>
          </w:p>
        </w:tc>
        <w:tc>
          <w:tcPr>
            <w:tcW w:w="800" w:type="dxa"/>
            <w:tcBorders>
              <w:top w:val="single" w:sz="8" w:space="0" w:color="000000"/>
              <w:left w:val="nil"/>
              <w:bottom w:val="single" w:sz="8" w:space="0" w:color="000000"/>
              <w:right w:val="single" w:sz="8" w:space="0" w:color="000000"/>
            </w:tcBorders>
            <w:shd w:val="clear" w:color="auto" w:fill="auto"/>
            <w:vAlign w:val="center"/>
            <w:hideMark/>
          </w:tcPr>
          <w:p w14:paraId="19F0A1DF"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Mult</w:t>
            </w:r>
          </w:p>
        </w:tc>
        <w:tc>
          <w:tcPr>
            <w:tcW w:w="680" w:type="dxa"/>
            <w:tcBorders>
              <w:top w:val="single" w:sz="8" w:space="0" w:color="000000"/>
              <w:left w:val="nil"/>
              <w:bottom w:val="single" w:sz="8" w:space="0" w:color="000000"/>
              <w:right w:val="single" w:sz="8" w:space="0" w:color="000000"/>
            </w:tcBorders>
            <w:shd w:val="clear" w:color="auto" w:fill="auto"/>
            <w:vAlign w:val="center"/>
            <w:hideMark/>
          </w:tcPr>
          <w:p w14:paraId="3F7EB351"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N</w:t>
            </w:r>
          </w:p>
        </w:tc>
        <w:tc>
          <w:tcPr>
            <w:tcW w:w="960" w:type="dxa"/>
            <w:tcBorders>
              <w:top w:val="nil"/>
              <w:left w:val="nil"/>
              <w:bottom w:val="single" w:sz="8" w:space="0" w:color="000000"/>
              <w:right w:val="single" w:sz="8" w:space="0" w:color="000000"/>
            </w:tcBorders>
            <w:shd w:val="clear" w:color="auto" w:fill="auto"/>
            <w:vAlign w:val="center"/>
            <w:hideMark/>
          </w:tcPr>
          <w:p w14:paraId="7AB1F2F4" w14:textId="77777777" w:rsidR="00AC6176" w:rsidRPr="00AC6176" w:rsidRDefault="00AC6176" w:rsidP="008624BE">
            <w:pPr>
              <w:spacing w:after="0" w:line="240" w:lineRule="auto"/>
              <w:jc w:val="both"/>
              <w:rPr>
                <w:rFonts w:eastAsia="Times New Roman"/>
                <w:b/>
                <w:bCs/>
                <w:color w:val="000000"/>
                <w:sz w:val="20"/>
                <w:szCs w:val="20"/>
                <w:lang w:eastAsia="en-GB"/>
              </w:rPr>
            </w:pPr>
            <w:r w:rsidRPr="00AC6176">
              <w:rPr>
                <w:rFonts w:eastAsia="Times New Roman"/>
                <w:b/>
                <w:bCs/>
                <w:color w:val="000000"/>
                <w:sz w:val="20"/>
                <w:szCs w:val="20"/>
                <w:lang w:eastAsia="en-GB"/>
              </w:rPr>
              <w:t>Course</w:t>
            </w:r>
          </w:p>
        </w:tc>
      </w:tr>
      <w:tr w:rsidR="00AC6176" w:rsidRPr="00AC6176" w14:paraId="26BE6A43"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19F28D99"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Lasers / positioning aids</w:t>
            </w:r>
          </w:p>
        </w:tc>
        <w:tc>
          <w:tcPr>
            <w:tcW w:w="700" w:type="dxa"/>
            <w:tcBorders>
              <w:top w:val="nil"/>
              <w:left w:val="nil"/>
              <w:bottom w:val="single" w:sz="8" w:space="0" w:color="000000"/>
              <w:right w:val="single" w:sz="8" w:space="0" w:color="000000"/>
            </w:tcBorders>
            <w:shd w:val="clear" w:color="auto" w:fill="auto"/>
            <w:vAlign w:val="center"/>
            <w:hideMark/>
          </w:tcPr>
          <w:p w14:paraId="092EF1F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33</w:t>
            </w:r>
          </w:p>
        </w:tc>
        <w:tc>
          <w:tcPr>
            <w:tcW w:w="700" w:type="dxa"/>
            <w:tcBorders>
              <w:top w:val="nil"/>
              <w:left w:val="nil"/>
              <w:bottom w:val="single" w:sz="8" w:space="0" w:color="000000"/>
              <w:right w:val="single" w:sz="8" w:space="0" w:color="000000"/>
            </w:tcBorders>
            <w:shd w:val="clear" w:color="auto" w:fill="auto"/>
            <w:vAlign w:val="center"/>
            <w:hideMark/>
          </w:tcPr>
          <w:p w14:paraId="690539D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0</w:t>
            </w:r>
          </w:p>
        </w:tc>
        <w:tc>
          <w:tcPr>
            <w:tcW w:w="800" w:type="dxa"/>
            <w:tcBorders>
              <w:top w:val="nil"/>
              <w:left w:val="nil"/>
              <w:bottom w:val="single" w:sz="8" w:space="0" w:color="000000"/>
              <w:right w:val="single" w:sz="8" w:space="0" w:color="000000"/>
            </w:tcBorders>
            <w:shd w:val="clear" w:color="auto" w:fill="auto"/>
            <w:vAlign w:val="center"/>
            <w:hideMark/>
          </w:tcPr>
          <w:p w14:paraId="0889C8C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28E8269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w:t>
            </w:r>
          </w:p>
        </w:tc>
        <w:tc>
          <w:tcPr>
            <w:tcW w:w="740" w:type="dxa"/>
            <w:tcBorders>
              <w:top w:val="nil"/>
              <w:left w:val="nil"/>
              <w:bottom w:val="single" w:sz="8" w:space="0" w:color="000000"/>
              <w:right w:val="single" w:sz="8" w:space="0" w:color="000000"/>
            </w:tcBorders>
            <w:shd w:val="clear" w:color="auto" w:fill="auto"/>
            <w:vAlign w:val="center"/>
            <w:hideMark/>
          </w:tcPr>
          <w:p w14:paraId="6D1CBCA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027E380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22</w:t>
            </w:r>
          </w:p>
        </w:tc>
        <w:tc>
          <w:tcPr>
            <w:tcW w:w="680" w:type="dxa"/>
            <w:tcBorders>
              <w:top w:val="nil"/>
              <w:left w:val="nil"/>
              <w:bottom w:val="single" w:sz="8" w:space="0" w:color="000000"/>
              <w:right w:val="single" w:sz="8" w:space="0" w:color="000000"/>
            </w:tcBorders>
            <w:shd w:val="clear" w:color="auto" w:fill="auto"/>
            <w:vAlign w:val="center"/>
            <w:hideMark/>
          </w:tcPr>
          <w:p w14:paraId="3F38F50F"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071E0BFC"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RT</w:t>
            </w:r>
          </w:p>
        </w:tc>
      </w:tr>
      <w:tr w:rsidR="00AC6176" w:rsidRPr="00AC6176" w14:paraId="7540F58C"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71FF4A27"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Treatment planning system</w:t>
            </w:r>
          </w:p>
        </w:tc>
        <w:tc>
          <w:tcPr>
            <w:tcW w:w="700" w:type="dxa"/>
            <w:tcBorders>
              <w:top w:val="nil"/>
              <w:left w:val="nil"/>
              <w:bottom w:val="single" w:sz="8" w:space="0" w:color="000000"/>
              <w:right w:val="single" w:sz="8" w:space="0" w:color="000000"/>
            </w:tcBorders>
            <w:shd w:val="clear" w:color="auto" w:fill="auto"/>
            <w:vAlign w:val="center"/>
            <w:hideMark/>
          </w:tcPr>
          <w:p w14:paraId="69CCB4C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31</w:t>
            </w:r>
          </w:p>
        </w:tc>
        <w:tc>
          <w:tcPr>
            <w:tcW w:w="700" w:type="dxa"/>
            <w:tcBorders>
              <w:top w:val="nil"/>
              <w:left w:val="nil"/>
              <w:bottom w:val="single" w:sz="8" w:space="0" w:color="000000"/>
              <w:right w:val="single" w:sz="8" w:space="0" w:color="000000"/>
            </w:tcBorders>
            <w:shd w:val="clear" w:color="auto" w:fill="auto"/>
            <w:vAlign w:val="center"/>
            <w:hideMark/>
          </w:tcPr>
          <w:p w14:paraId="6D3F09E1"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266AFEAA"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00" w:type="dxa"/>
            <w:tcBorders>
              <w:top w:val="nil"/>
              <w:left w:val="nil"/>
              <w:bottom w:val="single" w:sz="8" w:space="0" w:color="000000"/>
              <w:right w:val="single" w:sz="8" w:space="0" w:color="000000"/>
            </w:tcBorders>
            <w:shd w:val="clear" w:color="auto" w:fill="auto"/>
            <w:vAlign w:val="center"/>
            <w:hideMark/>
          </w:tcPr>
          <w:p w14:paraId="71B8986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40" w:type="dxa"/>
            <w:tcBorders>
              <w:top w:val="nil"/>
              <w:left w:val="nil"/>
              <w:bottom w:val="single" w:sz="8" w:space="0" w:color="000000"/>
              <w:right w:val="single" w:sz="8" w:space="0" w:color="000000"/>
            </w:tcBorders>
            <w:shd w:val="clear" w:color="auto" w:fill="auto"/>
            <w:vAlign w:val="center"/>
            <w:hideMark/>
          </w:tcPr>
          <w:p w14:paraId="51BB565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7</w:t>
            </w:r>
          </w:p>
        </w:tc>
        <w:tc>
          <w:tcPr>
            <w:tcW w:w="800" w:type="dxa"/>
            <w:tcBorders>
              <w:top w:val="nil"/>
              <w:left w:val="nil"/>
              <w:bottom w:val="single" w:sz="8" w:space="0" w:color="000000"/>
              <w:right w:val="single" w:sz="8" w:space="0" w:color="000000"/>
            </w:tcBorders>
            <w:shd w:val="clear" w:color="auto" w:fill="auto"/>
            <w:vAlign w:val="center"/>
            <w:hideMark/>
          </w:tcPr>
          <w:p w14:paraId="1AEB7CE8"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18</w:t>
            </w:r>
          </w:p>
        </w:tc>
        <w:tc>
          <w:tcPr>
            <w:tcW w:w="680" w:type="dxa"/>
            <w:tcBorders>
              <w:top w:val="nil"/>
              <w:left w:val="nil"/>
              <w:bottom w:val="single" w:sz="8" w:space="0" w:color="000000"/>
              <w:right w:val="single" w:sz="8" w:space="0" w:color="000000"/>
            </w:tcBorders>
            <w:shd w:val="clear" w:color="auto" w:fill="auto"/>
            <w:vAlign w:val="center"/>
            <w:hideMark/>
          </w:tcPr>
          <w:p w14:paraId="57238016"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64</w:t>
            </w:r>
          </w:p>
        </w:tc>
        <w:tc>
          <w:tcPr>
            <w:tcW w:w="960" w:type="dxa"/>
            <w:tcBorders>
              <w:top w:val="nil"/>
              <w:left w:val="nil"/>
              <w:bottom w:val="single" w:sz="8" w:space="0" w:color="000000"/>
              <w:right w:val="single" w:sz="8" w:space="0" w:color="000000"/>
            </w:tcBorders>
            <w:shd w:val="clear" w:color="auto" w:fill="auto"/>
            <w:vAlign w:val="center"/>
            <w:hideMark/>
          </w:tcPr>
          <w:p w14:paraId="07F5A17D"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RT</w:t>
            </w:r>
          </w:p>
        </w:tc>
      </w:tr>
      <w:tr w:rsidR="00AC6176" w:rsidRPr="00AC6176" w14:paraId="41314388" w14:textId="77777777" w:rsidTr="00AC6176">
        <w:trPr>
          <w:trHeight w:val="279"/>
        </w:trPr>
        <w:tc>
          <w:tcPr>
            <w:tcW w:w="2960" w:type="dxa"/>
            <w:tcBorders>
              <w:top w:val="nil"/>
              <w:left w:val="single" w:sz="8" w:space="0" w:color="000000"/>
              <w:bottom w:val="single" w:sz="8" w:space="0" w:color="000000"/>
              <w:right w:val="single" w:sz="8" w:space="0" w:color="000000"/>
            </w:tcBorders>
            <w:shd w:val="clear" w:color="auto" w:fill="auto"/>
            <w:vAlign w:val="center"/>
            <w:hideMark/>
          </w:tcPr>
          <w:p w14:paraId="5819047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Mould room / shell making</w:t>
            </w:r>
          </w:p>
        </w:tc>
        <w:tc>
          <w:tcPr>
            <w:tcW w:w="700" w:type="dxa"/>
            <w:tcBorders>
              <w:top w:val="nil"/>
              <w:left w:val="nil"/>
              <w:bottom w:val="single" w:sz="8" w:space="0" w:color="000000"/>
              <w:right w:val="single" w:sz="8" w:space="0" w:color="000000"/>
            </w:tcBorders>
            <w:shd w:val="clear" w:color="auto" w:fill="auto"/>
            <w:vAlign w:val="center"/>
            <w:hideMark/>
          </w:tcPr>
          <w:p w14:paraId="52CCB51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43</w:t>
            </w:r>
          </w:p>
        </w:tc>
        <w:tc>
          <w:tcPr>
            <w:tcW w:w="700" w:type="dxa"/>
            <w:tcBorders>
              <w:top w:val="nil"/>
              <w:left w:val="nil"/>
              <w:bottom w:val="single" w:sz="8" w:space="0" w:color="000000"/>
              <w:right w:val="single" w:sz="8" w:space="0" w:color="000000"/>
            </w:tcBorders>
            <w:shd w:val="clear" w:color="auto" w:fill="auto"/>
            <w:vAlign w:val="center"/>
            <w:hideMark/>
          </w:tcPr>
          <w:p w14:paraId="124B7910"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1</w:t>
            </w:r>
          </w:p>
        </w:tc>
        <w:tc>
          <w:tcPr>
            <w:tcW w:w="800" w:type="dxa"/>
            <w:tcBorders>
              <w:top w:val="nil"/>
              <w:left w:val="nil"/>
              <w:bottom w:val="single" w:sz="8" w:space="0" w:color="000000"/>
              <w:right w:val="single" w:sz="8" w:space="0" w:color="000000"/>
            </w:tcBorders>
            <w:shd w:val="clear" w:color="auto" w:fill="auto"/>
            <w:vAlign w:val="center"/>
            <w:hideMark/>
          </w:tcPr>
          <w:p w14:paraId="7470288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3</w:t>
            </w:r>
          </w:p>
        </w:tc>
        <w:tc>
          <w:tcPr>
            <w:tcW w:w="700" w:type="dxa"/>
            <w:tcBorders>
              <w:top w:val="nil"/>
              <w:left w:val="nil"/>
              <w:bottom w:val="single" w:sz="8" w:space="0" w:color="000000"/>
              <w:right w:val="single" w:sz="8" w:space="0" w:color="000000"/>
            </w:tcBorders>
            <w:shd w:val="clear" w:color="auto" w:fill="auto"/>
            <w:vAlign w:val="center"/>
            <w:hideMark/>
          </w:tcPr>
          <w:p w14:paraId="0DCF114B"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4</w:t>
            </w:r>
          </w:p>
        </w:tc>
        <w:tc>
          <w:tcPr>
            <w:tcW w:w="740" w:type="dxa"/>
            <w:tcBorders>
              <w:top w:val="nil"/>
              <w:left w:val="nil"/>
              <w:bottom w:val="single" w:sz="8" w:space="0" w:color="000000"/>
              <w:right w:val="single" w:sz="8" w:space="0" w:color="000000"/>
            </w:tcBorders>
            <w:shd w:val="clear" w:color="auto" w:fill="auto"/>
            <w:vAlign w:val="center"/>
            <w:hideMark/>
          </w:tcPr>
          <w:p w14:paraId="5BD72CB5"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5</w:t>
            </w:r>
          </w:p>
        </w:tc>
        <w:tc>
          <w:tcPr>
            <w:tcW w:w="800" w:type="dxa"/>
            <w:tcBorders>
              <w:top w:val="nil"/>
              <w:left w:val="nil"/>
              <w:bottom w:val="single" w:sz="8" w:space="0" w:color="000000"/>
              <w:right w:val="single" w:sz="8" w:space="0" w:color="000000"/>
            </w:tcBorders>
            <w:shd w:val="clear" w:color="auto" w:fill="auto"/>
            <w:vAlign w:val="center"/>
            <w:hideMark/>
          </w:tcPr>
          <w:p w14:paraId="68DAFA0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9</w:t>
            </w:r>
          </w:p>
        </w:tc>
        <w:tc>
          <w:tcPr>
            <w:tcW w:w="680" w:type="dxa"/>
            <w:tcBorders>
              <w:top w:val="nil"/>
              <w:left w:val="nil"/>
              <w:bottom w:val="single" w:sz="8" w:space="0" w:color="000000"/>
              <w:right w:val="single" w:sz="8" w:space="0" w:color="000000"/>
            </w:tcBorders>
            <w:shd w:val="clear" w:color="auto" w:fill="auto"/>
            <w:vAlign w:val="center"/>
            <w:hideMark/>
          </w:tcPr>
          <w:p w14:paraId="33B63243"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65</w:t>
            </w:r>
          </w:p>
        </w:tc>
        <w:tc>
          <w:tcPr>
            <w:tcW w:w="960" w:type="dxa"/>
            <w:tcBorders>
              <w:top w:val="nil"/>
              <w:left w:val="nil"/>
              <w:bottom w:val="single" w:sz="8" w:space="0" w:color="000000"/>
              <w:right w:val="single" w:sz="8" w:space="0" w:color="000000"/>
            </w:tcBorders>
            <w:shd w:val="clear" w:color="auto" w:fill="auto"/>
            <w:vAlign w:val="center"/>
            <w:hideMark/>
          </w:tcPr>
          <w:p w14:paraId="6FB300C4" w14:textId="77777777" w:rsidR="00AC6176" w:rsidRPr="00AC6176" w:rsidRDefault="00AC6176" w:rsidP="008624BE">
            <w:pPr>
              <w:spacing w:after="0" w:line="240" w:lineRule="auto"/>
              <w:jc w:val="both"/>
              <w:rPr>
                <w:rFonts w:eastAsia="Times New Roman"/>
                <w:color w:val="000000"/>
                <w:sz w:val="20"/>
                <w:szCs w:val="20"/>
                <w:lang w:eastAsia="en-GB"/>
              </w:rPr>
            </w:pPr>
            <w:r w:rsidRPr="00AC6176">
              <w:rPr>
                <w:rFonts w:eastAsia="Times New Roman"/>
                <w:color w:val="000000"/>
                <w:sz w:val="20"/>
                <w:szCs w:val="20"/>
                <w:lang w:eastAsia="en-GB"/>
              </w:rPr>
              <w:t>RT</w:t>
            </w:r>
          </w:p>
        </w:tc>
      </w:tr>
    </w:tbl>
    <w:p w14:paraId="3634B4A5" w14:textId="77777777" w:rsidR="00420FA0" w:rsidRDefault="00420FA0" w:rsidP="008624BE">
      <w:pPr>
        <w:jc w:val="both"/>
      </w:pPr>
    </w:p>
    <w:p w14:paraId="1F02F53C" w14:textId="012A1F6D" w:rsidR="00420FA0" w:rsidRDefault="00697694" w:rsidP="008624BE">
      <w:pPr>
        <w:jc w:val="both"/>
        <w:rPr>
          <w:b/>
        </w:rPr>
      </w:pPr>
      <w:r>
        <w:t>*</w:t>
      </w:r>
      <w:r w:rsidR="00C47FA3">
        <w:t>Key: NA = ‘Don’t have’; 0 = ‘Never used’; 1-2 = ‘Once or twice’; Ann = ‘Annually (once per year)’; Sem = ‘Once per semester’; Mult = ‘Multiple times per semester’; N = ‘Total number’; MI = ‘Medical imaging / diagnostic radiography’; RT = ‘Radiation therapy / therapeutic radiography’; NM = ‘Nuclear medicine’</w:t>
      </w:r>
      <w:r w:rsidR="00C47FA3">
        <w:br/>
      </w:r>
      <w:r w:rsidR="00C47FA3">
        <w:br/>
      </w:r>
      <w:r w:rsidR="00C47FA3">
        <w:rPr>
          <w:b/>
          <w:color w:val="000000"/>
        </w:rPr>
        <w:t>Simulation activity</w:t>
      </w:r>
    </w:p>
    <w:p w14:paraId="4F86C9B9" w14:textId="2DB21FD5" w:rsidR="00420FA0" w:rsidRDefault="00CC0161" w:rsidP="008624BE">
      <w:pPr>
        <w:jc w:val="both"/>
        <w:rPr>
          <w:color w:val="000000"/>
        </w:rPr>
      </w:pPr>
      <w:r>
        <w:rPr>
          <w:color w:val="000000"/>
        </w:rPr>
        <w:t>G</w:t>
      </w:r>
      <w:r w:rsidRPr="00CC0161">
        <w:rPr>
          <w:color w:val="000000"/>
        </w:rPr>
        <w:t xml:space="preserve">uidance given to respondents stated that 50 hours </w:t>
      </w:r>
      <w:r>
        <w:rPr>
          <w:color w:val="000000"/>
        </w:rPr>
        <w:t>equates to</w:t>
      </w:r>
      <w:r w:rsidRPr="00CC0161">
        <w:rPr>
          <w:color w:val="000000"/>
        </w:rPr>
        <w:t xml:space="preserve"> half a day per fortnight for 30 weeks; 100 hours approximately half a day per week for 30 weeks; 200 hours approximately 1</w:t>
      </w:r>
      <w:r>
        <w:rPr>
          <w:color w:val="000000"/>
        </w:rPr>
        <w:t xml:space="preserve"> full day per week for 30 weeks and</w:t>
      </w:r>
      <w:r w:rsidRPr="00CC0161">
        <w:rPr>
          <w:color w:val="000000"/>
        </w:rPr>
        <w:t xml:space="preserve"> </w:t>
      </w:r>
      <w:r>
        <w:rPr>
          <w:color w:val="000000"/>
        </w:rPr>
        <w:t>so on</w:t>
      </w:r>
      <w:r w:rsidRPr="00CC0161">
        <w:rPr>
          <w:color w:val="000000"/>
        </w:rPr>
        <w:t>.</w:t>
      </w:r>
      <w:r>
        <w:rPr>
          <w:color w:val="000000"/>
        </w:rPr>
        <w:t xml:space="preserve"> </w:t>
      </w:r>
      <w:r w:rsidR="00C47FA3">
        <w:rPr>
          <w:color w:val="000000"/>
        </w:rPr>
        <w:t xml:space="preserve">As shown in Figure </w:t>
      </w:r>
      <w:r>
        <w:rPr>
          <w:color w:val="000000"/>
        </w:rPr>
        <w:t>4</w:t>
      </w:r>
      <w:r w:rsidR="00C47FA3">
        <w:rPr>
          <w:color w:val="000000"/>
        </w:rPr>
        <w:t>, of the 60 who responded to this question, the majority of programmes included 100 hours or less of simulation in Year 1 (n=37; 61.7%) and Year 2 (n=37; 61.7%). Of the 52 respondents for Year 3, again the majority included 100 hours or less of simulation (n=34; 65.4%). Finally, for the 22 respondents for Year 4, again a majority of 68.2% (n=15) included 100 hours or less of simulation. At the other end of the spectrum where more than 200 hours of simulation was included per year, this only applied to 10 programmes for Years 1 (16.7%), 2 (16.7%), and 3 (19.2%) respectively, and two programmes (9.1%) for Year 4.</w:t>
      </w:r>
    </w:p>
    <w:p w14:paraId="3C1A358D" w14:textId="54854281" w:rsidR="004F0DD8" w:rsidRDefault="004F0DD8" w:rsidP="008624BE">
      <w:pPr>
        <w:jc w:val="both"/>
        <w:rPr>
          <w:color w:val="000000"/>
        </w:rPr>
      </w:pPr>
    </w:p>
    <w:p w14:paraId="1755385D" w14:textId="04C232A0" w:rsidR="004F0DD8" w:rsidRDefault="004F0DD8" w:rsidP="008624BE">
      <w:pPr>
        <w:jc w:val="both"/>
        <w:rPr>
          <w:color w:val="000000"/>
        </w:rPr>
      </w:pPr>
      <w:r>
        <w:rPr>
          <w:noProof/>
          <w:lang w:eastAsia="en-GB"/>
        </w:rPr>
        <w:drawing>
          <wp:inline distT="0" distB="0" distL="0" distR="0" wp14:anchorId="291CC47F" wp14:editId="272ECA1E">
            <wp:extent cx="5331460" cy="2915285"/>
            <wp:effectExtent l="0" t="0" r="2540" b="18415"/>
            <wp:docPr id="1" name="Chart 1">
              <a:extLst xmlns:a="http://schemas.openxmlformats.org/drawingml/2006/main">
                <a:ext uri="{FF2B5EF4-FFF2-40B4-BE49-F238E27FC236}">
                  <a16:creationId xmlns:a16="http://schemas.microsoft.com/office/drawing/2014/main" id="{EACB9CEC-C63A-433D-874D-45EB31F40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85AB9C" w14:textId="3BBC53DD" w:rsidR="00420FA0" w:rsidRDefault="00C47FA3" w:rsidP="008624BE">
      <w:pPr>
        <w:jc w:val="both"/>
        <w:rPr>
          <w:b/>
        </w:rPr>
      </w:pPr>
      <w:r>
        <w:rPr>
          <w:b/>
        </w:rPr>
        <w:t xml:space="preserve">Figure </w:t>
      </w:r>
      <w:r w:rsidR="00CC0161">
        <w:rPr>
          <w:b/>
        </w:rPr>
        <w:t>4</w:t>
      </w:r>
      <w:r>
        <w:rPr>
          <w:b/>
        </w:rPr>
        <w:t xml:space="preserve">: Hours of </w:t>
      </w:r>
      <w:r w:rsidR="00E31C42">
        <w:rPr>
          <w:b/>
        </w:rPr>
        <w:t>SBE</w:t>
      </w:r>
      <w:r>
        <w:rPr>
          <w:b/>
        </w:rPr>
        <w:t xml:space="preserve"> per year</w:t>
      </w:r>
      <w:r w:rsidR="00F95301">
        <w:rPr>
          <w:b/>
        </w:rPr>
        <w:t xml:space="preserve"> </w:t>
      </w:r>
    </w:p>
    <w:p w14:paraId="05E972EB" w14:textId="57A99FA4" w:rsidR="008F75F0" w:rsidRDefault="008F75F0" w:rsidP="008624BE">
      <w:pPr>
        <w:jc w:val="both"/>
        <w:rPr>
          <w:b/>
        </w:rPr>
      </w:pPr>
      <w:bookmarkStart w:id="0" w:name="_GoBack"/>
      <w:bookmarkEnd w:id="0"/>
    </w:p>
    <w:p w14:paraId="556D61F4" w14:textId="490CAA2E" w:rsidR="00420FA0" w:rsidRDefault="00C47FA3" w:rsidP="008624BE">
      <w:pPr>
        <w:jc w:val="both"/>
        <w:rPr>
          <w:b/>
        </w:rPr>
      </w:pPr>
      <w:r>
        <w:rPr>
          <w:b/>
        </w:rPr>
        <w:t>Qualitative Findings</w:t>
      </w:r>
    </w:p>
    <w:p w14:paraId="6053C17A" w14:textId="6EAA0250" w:rsidR="00420FA0" w:rsidRDefault="00C47FA3" w:rsidP="008624BE">
      <w:pPr>
        <w:jc w:val="both"/>
      </w:pPr>
      <w:r>
        <w:t xml:space="preserve">Responses to the open question: “How has your COVID-19 experience changed your future plans for use of simulation” elicited over 40 comments. Themes arising from this </w:t>
      </w:r>
      <w:r w:rsidR="00C9358C">
        <w:t xml:space="preserve">were mostly positive with many examples of reflection and learning gained through rapid uptake of SBE. It was also clear that some respondents had faced barriers and a lack of support for simulation, while others had perceived little impact or uptake of SBE. </w:t>
      </w:r>
    </w:p>
    <w:p w14:paraId="29E405B6" w14:textId="77777777" w:rsidR="006B43E8" w:rsidRDefault="006B43E8" w:rsidP="008624BE">
      <w:pPr>
        <w:jc w:val="both"/>
        <w:rPr>
          <w:b/>
        </w:rPr>
      </w:pPr>
    </w:p>
    <w:p w14:paraId="1B5A4DD4" w14:textId="77777777" w:rsidR="00420FA0" w:rsidRDefault="00C47FA3" w:rsidP="008624BE">
      <w:pPr>
        <w:jc w:val="both"/>
        <w:rPr>
          <w:b/>
          <w:color w:val="000000"/>
        </w:rPr>
      </w:pPr>
      <w:r>
        <w:rPr>
          <w:b/>
          <w:color w:val="000000"/>
        </w:rPr>
        <w:t>Discussion</w:t>
      </w:r>
    </w:p>
    <w:p w14:paraId="72687011" w14:textId="77777777" w:rsidR="00420FA0" w:rsidRDefault="00C47FA3" w:rsidP="008624BE">
      <w:pPr>
        <w:jc w:val="both"/>
        <w:rPr>
          <w:b/>
          <w:color w:val="000000"/>
        </w:rPr>
      </w:pPr>
      <w:r>
        <w:rPr>
          <w:b/>
          <w:color w:val="000000"/>
        </w:rPr>
        <w:t>SBE resources and activities</w:t>
      </w:r>
    </w:p>
    <w:p w14:paraId="0CD5AAA4" w14:textId="2DB2BAB9" w:rsidR="00AE4EF9" w:rsidRPr="007A6E81" w:rsidRDefault="00C47FA3" w:rsidP="008624BE">
      <w:pPr>
        <w:jc w:val="both"/>
        <w:rPr>
          <w:color w:val="000000"/>
        </w:rPr>
      </w:pPr>
      <w:r>
        <w:rPr>
          <w:color w:val="000000"/>
        </w:rPr>
        <w:t xml:space="preserve">The findings indicated that a wide range of SBE resources were being utilised across the various courses. The most commonly used resources were generally </w:t>
      </w:r>
      <w:r w:rsidR="00C93DBC">
        <w:rPr>
          <w:color w:val="000000"/>
        </w:rPr>
        <w:t>person-based</w:t>
      </w:r>
      <w:r>
        <w:rPr>
          <w:color w:val="000000"/>
        </w:rPr>
        <w:t>, including mannequins, role play, use of staff or students as patients and manual handling resources.</w:t>
      </w:r>
      <w:r w:rsidR="00CC0161">
        <w:rPr>
          <w:color w:val="000000"/>
        </w:rPr>
        <w:t xml:space="preserve"> This aligns well with the findings supporting increased non-technical skills development arising from SBE.</w:t>
      </w:r>
      <w:r w:rsidR="00CC0161">
        <w:rPr>
          <w:color w:val="000000"/>
          <w:vertAlign w:val="superscript"/>
        </w:rPr>
        <w:t>17,20,24</w:t>
      </w:r>
      <w:r>
        <w:rPr>
          <w:color w:val="000000"/>
        </w:rPr>
        <w:t xml:space="preserve"> </w:t>
      </w:r>
      <w:r w:rsidR="00AE4EF9">
        <w:rPr>
          <w:color w:val="000000"/>
        </w:rPr>
        <w:t>A surprising finding, therefore, was the low levels of reported usage of service users or expert patients, despite the current drive towards service-user involvement in MRS education.</w:t>
      </w:r>
      <w:r w:rsidR="00AE4EF9">
        <w:rPr>
          <w:color w:val="000000"/>
          <w:vertAlign w:val="superscript"/>
        </w:rPr>
        <w:t>15,24,25</w:t>
      </w:r>
      <w:r w:rsidR="00AE4EF9">
        <w:rPr>
          <w:color w:val="000000"/>
        </w:rPr>
        <w:t xml:space="preserve"> Perhaps this represents a perception that SBE should focus on those skills and experiences that are most challenging to experience in clinical placement, yet many papers have reported great value in engaging service users in SBE.</w:t>
      </w:r>
      <w:r w:rsidR="00AE4EF9">
        <w:rPr>
          <w:color w:val="000000"/>
          <w:vertAlign w:val="superscript"/>
        </w:rPr>
        <w:t>20,26</w:t>
      </w:r>
      <w:r w:rsidR="00AE4EF9">
        <w:rPr>
          <w:color w:val="000000"/>
        </w:rPr>
        <w:t xml:space="preserve"> Alternatively this may represent the logistical challenges presented by COVID-19 restrictions in terms of accessing these individuals. </w:t>
      </w:r>
    </w:p>
    <w:p w14:paraId="2BA022E7" w14:textId="3CB20A5F" w:rsidR="00420FA0" w:rsidRPr="00697694" w:rsidRDefault="00AE4EF9" w:rsidP="008624BE">
      <w:pPr>
        <w:jc w:val="both"/>
        <w:rPr>
          <w:color w:val="222222"/>
        </w:rPr>
      </w:pPr>
      <w:r>
        <w:rPr>
          <w:color w:val="000000"/>
        </w:rPr>
        <w:t>Of the “technical” resources, i</w:t>
      </w:r>
      <w:r w:rsidR="00C47FA3">
        <w:rPr>
          <w:color w:val="000000"/>
        </w:rPr>
        <w:t xml:space="preserve">mage viewing software was very commonly utilised; this was </w:t>
      </w:r>
      <w:r>
        <w:rPr>
          <w:color w:val="000000"/>
        </w:rPr>
        <w:t xml:space="preserve">clearly </w:t>
      </w:r>
      <w:r w:rsidR="00C47FA3">
        <w:rPr>
          <w:color w:val="000000"/>
        </w:rPr>
        <w:t>influenced by the strong prevalence of diagnostic radiography education in the responses. High fidelity virtual reality training</w:t>
      </w:r>
      <w:r w:rsidR="00CC2AAE">
        <w:rPr>
          <w:color w:val="000000"/>
          <w:vertAlign w:val="superscript"/>
        </w:rPr>
        <w:t>23</w:t>
      </w:r>
      <w:r>
        <w:rPr>
          <w:color w:val="000000"/>
          <w:vertAlign w:val="superscript"/>
        </w:rPr>
        <w:t>,27</w:t>
      </w:r>
      <w:r w:rsidR="00C47FA3">
        <w:rPr>
          <w:color w:val="000000"/>
        </w:rPr>
        <w:t xml:space="preserve"> was not used by many courses, yet where available it was used to a large extent</w:t>
      </w:r>
      <w:r>
        <w:rPr>
          <w:color w:val="000000"/>
        </w:rPr>
        <w:t xml:space="preserve"> with almost 50% of respondents using it multiple times per semester</w:t>
      </w:r>
      <w:r w:rsidR="00C47FA3">
        <w:rPr>
          <w:color w:val="000000"/>
        </w:rPr>
        <w:t xml:space="preserve">. The same finding was true of profession-specific resources such as radiotherapy treatment planning systems and ultrasound equipment. </w:t>
      </w:r>
    </w:p>
    <w:p w14:paraId="3967D2F5" w14:textId="2CE8BF03" w:rsidR="00420FA0" w:rsidRPr="007A6E81" w:rsidRDefault="00C47FA3" w:rsidP="008624BE">
      <w:pPr>
        <w:jc w:val="both"/>
        <w:rPr>
          <w:color w:val="000000"/>
        </w:rPr>
      </w:pPr>
      <w:r w:rsidRPr="007A6E81">
        <w:rPr>
          <w:color w:val="000000"/>
        </w:rPr>
        <w:t xml:space="preserve">Not many of the </w:t>
      </w:r>
      <w:r w:rsidR="005D511F" w:rsidRPr="007A6E81">
        <w:rPr>
          <w:color w:val="000000"/>
        </w:rPr>
        <w:t>courses reported</w:t>
      </w:r>
      <w:r w:rsidRPr="007A6E81">
        <w:rPr>
          <w:color w:val="000000"/>
        </w:rPr>
        <w:t xml:space="preserve"> access to “real” functioning clinical equipment, with the exception of X-ray laboratories which were well-used within SBE</w:t>
      </w:r>
      <w:r w:rsidR="00154871" w:rsidRPr="007A6E81">
        <w:rPr>
          <w:color w:val="000000"/>
        </w:rPr>
        <w:t xml:space="preserve"> (48 out of 65)</w:t>
      </w:r>
      <w:r w:rsidRPr="007A6E81">
        <w:rPr>
          <w:color w:val="000000"/>
        </w:rPr>
        <w:t>. Again</w:t>
      </w:r>
      <w:r w:rsidR="00EC5744" w:rsidRPr="007A6E81">
        <w:rPr>
          <w:color w:val="000000"/>
        </w:rPr>
        <w:t>,</w:t>
      </w:r>
      <w:r w:rsidRPr="007A6E81">
        <w:rPr>
          <w:color w:val="000000"/>
        </w:rPr>
        <w:t xml:space="preserve"> this is influenced by the dominance of diagnostic radiography in the responses. </w:t>
      </w:r>
      <w:r w:rsidR="00697694" w:rsidRPr="007A6E81">
        <w:rPr>
          <w:color w:val="222222"/>
        </w:rPr>
        <w:t>Some important barriers and restrictions were identified with several respondents highlighting a desire to employ more simulation but acknowledging barriers such as funding, access to resources (including the simulation lab and real people as patients) and</w:t>
      </w:r>
      <w:r w:rsidR="00AE4EF9" w:rsidRPr="007A6E81">
        <w:rPr>
          <w:color w:val="222222"/>
        </w:rPr>
        <w:t xml:space="preserve"> recent</w:t>
      </w:r>
      <w:r w:rsidR="00697694" w:rsidRPr="007A6E81">
        <w:rPr>
          <w:color w:val="222222"/>
        </w:rPr>
        <w:t xml:space="preserve"> social distancing restrictions (for face to face techniques). </w:t>
      </w:r>
      <w:r w:rsidR="00A90412">
        <w:rPr>
          <w:color w:val="222222"/>
        </w:rPr>
        <w:t>These logistical and financial barriers have also been reported in previous studies</w:t>
      </w:r>
      <w:r w:rsidR="00A90412">
        <w:rPr>
          <w:color w:val="222222"/>
          <w:vertAlign w:val="superscript"/>
        </w:rPr>
        <w:t>2,17,20</w:t>
      </w:r>
      <w:r w:rsidR="00A90412">
        <w:rPr>
          <w:color w:val="222222"/>
        </w:rPr>
        <w:t xml:space="preserve"> and clearly there is still a need for additional investment.</w:t>
      </w:r>
    </w:p>
    <w:p w14:paraId="3C591672" w14:textId="4758A71E" w:rsidR="00420FA0" w:rsidRDefault="00C47FA3" w:rsidP="008624BE">
      <w:pPr>
        <w:jc w:val="both"/>
        <w:rPr>
          <w:color w:val="000000"/>
        </w:rPr>
      </w:pPr>
      <w:r>
        <w:rPr>
          <w:color w:val="000000"/>
        </w:rPr>
        <w:t>Reported levels of SBE usage were relatively consistent</w:t>
      </w:r>
      <w:r w:rsidR="00EC5744">
        <w:rPr>
          <w:color w:val="000000"/>
        </w:rPr>
        <w:t>,</w:t>
      </w:r>
      <w:r>
        <w:rPr>
          <w:color w:val="000000"/>
        </w:rPr>
        <w:t xml:space="preserve"> with most of the respondents reporting up to 100 hours; this equates to half a day per week for 30 weeks of campus-based teaching. Only ten programmes reported using over 200 hours; this equates to one day per week. It will be interesting to see if this changes due to more widespread uptake of simulated placements in response to placement pressures and the drive to expand the MRS workforce. </w:t>
      </w:r>
    </w:p>
    <w:p w14:paraId="40BEE7A2" w14:textId="77777777" w:rsidR="00420FA0" w:rsidRDefault="00C47FA3" w:rsidP="008624BE">
      <w:pPr>
        <w:jc w:val="both"/>
        <w:rPr>
          <w:b/>
          <w:color w:val="000000"/>
        </w:rPr>
      </w:pPr>
      <w:r>
        <w:rPr>
          <w:b/>
          <w:color w:val="000000"/>
        </w:rPr>
        <w:t>Impact of COVID-19</w:t>
      </w:r>
    </w:p>
    <w:p w14:paraId="6111ED85" w14:textId="6A80E221" w:rsidR="00C9358C" w:rsidRPr="007A6E81" w:rsidRDefault="00C47FA3" w:rsidP="008624BE">
      <w:pPr>
        <w:jc w:val="both"/>
        <w:rPr>
          <w:color w:val="000000"/>
        </w:rPr>
      </w:pPr>
      <w:r>
        <w:rPr>
          <w:color w:val="000000"/>
        </w:rPr>
        <w:t xml:space="preserve">The timing of this study coincided with widespread social distancing and reduction in clinical placement opportunities. Additional questions were added relating to the impact of COVID-19 and this revealed widespread uptake of virtual simulation as a solution to remote clinical skills training for most respondents. Many comments referred to the pandemic as a trigger for rapid adoption of SBE or an accelerant for wider usage of existing resources. </w:t>
      </w:r>
      <w:r w:rsidR="00C9358C">
        <w:rPr>
          <w:color w:val="000000"/>
        </w:rPr>
        <w:t>In many cases, c</w:t>
      </w:r>
      <w:r>
        <w:rPr>
          <w:color w:val="000000"/>
        </w:rPr>
        <w:t xml:space="preserve">reative approaches to </w:t>
      </w:r>
      <w:r w:rsidR="00EC5744">
        <w:rPr>
          <w:color w:val="000000"/>
        </w:rPr>
        <w:t xml:space="preserve">the </w:t>
      </w:r>
      <w:r w:rsidRPr="007A6E81">
        <w:rPr>
          <w:color w:val="000000"/>
        </w:rPr>
        <w:t xml:space="preserve">use of SBE while maintaining social distancing had evidently been developed with great success. </w:t>
      </w:r>
    </w:p>
    <w:p w14:paraId="60039AA6" w14:textId="6411010B" w:rsidR="00C9358C" w:rsidRPr="007A6E81" w:rsidRDefault="00C9358C" w:rsidP="008624BE">
      <w:pPr>
        <w:jc w:val="both"/>
        <w:rPr>
          <w:i/>
          <w:color w:val="000000" w:themeColor="text1"/>
        </w:rPr>
      </w:pPr>
      <w:r w:rsidRPr="007A6E81">
        <w:rPr>
          <w:i/>
          <w:color w:val="000000" w:themeColor="text1"/>
        </w:rPr>
        <w:t>“Thinking out of the box has opened a whole new way to present and enhance our program bringing it out of the dark ages and old model of teaching into a new model that will help the new generation of trainees”</w:t>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t>(P1)</w:t>
      </w:r>
    </w:p>
    <w:p w14:paraId="5684FE0A" w14:textId="4E9743E9" w:rsidR="00C9358C" w:rsidRPr="007A6E81" w:rsidRDefault="00C9358C" w:rsidP="008624BE">
      <w:pPr>
        <w:jc w:val="both"/>
        <w:rPr>
          <w:i/>
          <w:color w:val="000000" w:themeColor="text1"/>
        </w:rPr>
      </w:pPr>
      <w:r w:rsidRPr="007A6E81">
        <w:rPr>
          <w:i/>
          <w:color w:val="000000" w:themeColor="text1"/>
        </w:rPr>
        <w:t xml:space="preserve">“We are looking into expanding options and making more use of existing simulation where </w:t>
      </w:r>
      <w:r w:rsidR="0049369E" w:rsidRPr="007A6E81">
        <w:rPr>
          <w:i/>
          <w:color w:val="000000" w:themeColor="text1"/>
        </w:rPr>
        <w:t>we can”</w:t>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r>
      <w:r w:rsidR="0049369E" w:rsidRPr="007A6E81">
        <w:rPr>
          <w:i/>
          <w:color w:val="000000" w:themeColor="text1"/>
        </w:rPr>
        <w:tab/>
        <w:t>(P2)</w:t>
      </w:r>
    </w:p>
    <w:p w14:paraId="33214A3B" w14:textId="4D2B21EC" w:rsidR="00697694" w:rsidRPr="007A6E81" w:rsidRDefault="00697694" w:rsidP="008624BE">
      <w:pPr>
        <w:jc w:val="both"/>
        <w:rPr>
          <w:color w:val="222222"/>
        </w:rPr>
      </w:pPr>
      <w:r w:rsidRPr="007A6E81">
        <w:rPr>
          <w:color w:val="222222"/>
        </w:rPr>
        <w:t>Respondents experienced an increased appreciation and awareness of the use of simulation in education and some also felt that teaching in a pandemic had taught them increased adaptation and flexibility. Some have found that their previous misconceptions of the value of online simulation had been challenged. It was also clear that making global connections and sharing ideas (e.g. via social media) had also been a positive benefit of COVID-19.</w:t>
      </w:r>
    </w:p>
    <w:p w14:paraId="0A9889A4" w14:textId="1C85C028" w:rsidR="00C9358C" w:rsidRPr="007A6E81" w:rsidRDefault="00C9358C" w:rsidP="008624BE">
      <w:pPr>
        <w:jc w:val="both"/>
        <w:rPr>
          <w:i/>
          <w:color w:val="222222"/>
        </w:rPr>
      </w:pPr>
      <w:r w:rsidRPr="007A6E81">
        <w:rPr>
          <w:i/>
          <w:color w:val="000000" w:themeColor="text1"/>
        </w:rPr>
        <w:t xml:space="preserve"> “Sharing ideas via Twitter and online platforms has been a huge bonus of COVID 19”</w:t>
      </w:r>
      <w:r w:rsidR="0049369E">
        <w:rPr>
          <w:i/>
          <w:color w:val="222222"/>
        </w:rPr>
        <w:tab/>
      </w:r>
      <w:r w:rsidR="0049369E">
        <w:rPr>
          <w:i/>
          <w:color w:val="222222"/>
        </w:rPr>
        <w:tab/>
        <w:t>(P3)</w:t>
      </w:r>
    </w:p>
    <w:p w14:paraId="71DE0705" w14:textId="77777777" w:rsidR="00C9358C" w:rsidRDefault="00C9358C" w:rsidP="008624BE">
      <w:pPr>
        <w:jc w:val="both"/>
        <w:rPr>
          <w:color w:val="222222"/>
        </w:rPr>
      </w:pPr>
    </w:p>
    <w:p w14:paraId="1F298F01" w14:textId="77F4AB94" w:rsidR="00697694" w:rsidRPr="007A6E81" w:rsidRDefault="00697694" w:rsidP="008624BE">
      <w:pPr>
        <w:jc w:val="both"/>
        <w:rPr>
          <w:color w:val="222222"/>
        </w:rPr>
      </w:pPr>
      <w:r w:rsidRPr="007A6E81">
        <w:rPr>
          <w:color w:val="222222"/>
        </w:rPr>
        <w:t>There was a reflective theme within the data with some of the respondents expressing a desire to put the lessons learned during the pandemic to use in the future (for example, more innovative teaching</w:t>
      </w:r>
      <w:r w:rsidR="009B4926">
        <w:rPr>
          <w:color w:val="222222"/>
        </w:rPr>
        <w:t>)</w:t>
      </w:r>
      <w:r w:rsidRPr="007A6E81">
        <w:rPr>
          <w:color w:val="222222"/>
        </w:rPr>
        <w:t xml:space="preserve">. </w:t>
      </w:r>
      <w:r w:rsidR="00A90412">
        <w:rPr>
          <w:color w:val="222222"/>
        </w:rPr>
        <w:t>This finding correlates with reported feedback from a recent conference related to SBE during the pandemic.</w:t>
      </w:r>
      <w:r w:rsidR="00A90412">
        <w:rPr>
          <w:color w:val="222222"/>
          <w:vertAlign w:val="superscript"/>
        </w:rPr>
        <w:t>28</w:t>
      </w:r>
      <w:r w:rsidR="00A90412">
        <w:rPr>
          <w:color w:val="222222"/>
        </w:rPr>
        <w:t xml:space="preserve"> </w:t>
      </w:r>
      <w:r w:rsidRPr="007A6E81">
        <w:rPr>
          <w:color w:val="222222"/>
        </w:rPr>
        <w:t>Many respondents additionally wanted to continue with more simulation in the future, including online, virt</w:t>
      </w:r>
      <w:r w:rsidR="009C7BAE" w:rsidRPr="007A6E81">
        <w:rPr>
          <w:color w:val="222222"/>
        </w:rPr>
        <w:t>ual and face to face methods.</w:t>
      </w:r>
      <w:r w:rsidRPr="007A6E81">
        <w:rPr>
          <w:color w:val="222222"/>
        </w:rPr>
        <w:t xml:space="preserve"> </w:t>
      </w:r>
      <w:r w:rsidR="009C7BAE" w:rsidRPr="007A6E81">
        <w:rPr>
          <w:color w:val="222222"/>
        </w:rPr>
        <w:t xml:space="preserve">There were also some comments indicating that for some respondents the pandemic had not affected plans. This either reflected the lack of plans to use simulation pre-COVID-19, or that plans were already in place. </w:t>
      </w:r>
    </w:p>
    <w:p w14:paraId="775D0201" w14:textId="6CC9C005" w:rsidR="0049369E" w:rsidRPr="007A6E81" w:rsidRDefault="0049369E" w:rsidP="008624BE">
      <w:pPr>
        <w:jc w:val="both"/>
        <w:rPr>
          <w:i/>
          <w:color w:val="000000" w:themeColor="text1"/>
        </w:rPr>
      </w:pPr>
      <w:r w:rsidRPr="007A6E81">
        <w:rPr>
          <w:i/>
          <w:color w:val="000000" w:themeColor="text1"/>
        </w:rPr>
        <w:t>“Face to face simulation is not being supported by university for diagnostic radiography, although still supported for some other professions”</w:t>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r>
      <w:r w:rsidRPr="007A6E81">
        <w:rPr>
          <w:i/>
          <w:color w:val="000000" w:themeColor="text1"/>
        </w:rPr>
        <w:tab/>
        <w:t>(P4)</w:t>
      </w:r>
    </w:p>
    <w:p w14:paraId="2832F46D" w14:textId="5B86F4E6" w:rsidR="0049369E" w:rsidRPr="007A6E81" w:rsidRDefault="0049369E" w:rsidP="008624BE">
      <w:pPr>
        <w:jc w:val="both"/>
        <w:rPr>
          <w:i/>
          <w:color w:val="000000" w:themeColor="text1"/>
        </w:rPr>
      </w:pPr>
      <w:r w:rsidRPr="007A6E81">
        <w:rPr>
          <w:i/>
          <w:color w:val="000000" w:themeColor="text1"/>
        </w:rPr>
        <w:t>“It has not changed anything because there was (sic) no plans for future use of simulation”</w:t>
      </w:r>
      <w:r w:rsidRPr="007A6E81">
        <w:rPr>
          <w:i/>
          <w:color w:val="000000" w:themeColor="text1"/>
        </w:rPr>
        <w:tab/>
        <w:t>(P5)</w:t>
      </w:r>
    </w:p>
    <w:p w14:paraId="5AEC6F63" w14:textId="04402997" w:rsidR="00697694" w:rsidRDefault="00697694" w:rsidP="008624BE">
      <w:pPr>
        <w:jc w:val="both"/>
        <w:rPr>
          <w:color w:val="000000"/>
        </w:rPr>
      </w:pPr>
      <w:r w:rsidRPr="007A6E81">
        <w:rPr>
          <w:color w:val="000000" w:themeColor="text1"/>
        </w:rPr>
        <w:t>The limitation themes identified in the qualitative data do reflect the need for social distancing or are related to logistical constraints such as limited laboratory availability, restricted space, the need for staff training and the cost of equipment. These are common themes, supported well by the existing evidence base</w:t>
      </w:r>
      <w:r w:rsidR="00CC2AAE" w:rsidRPr="007A6E81">
        <w:rPr>
          <w:color w:val="000000" w:themeColor="text1"/>
        </w:rPr>
        <w:t>.</w:t>
      </w:r>
      <w:r w:rsidR="00CC2AAE" w:rsidRPr="007A6E81">
        <w:rPr>
          <w:color w:val="000000" w:themeColor="text1"/>
          <w:vertAlign w:val="superscript"/>
        </w:rPr>
        <w:t>17.20</w:t>
      </w:r>
      <w:r w:rsidRPr="007A6E81">
        <w:rPr>
          <w:color w:val="000000" w:themeColor="text1"/>
        </w:rPr>
        <w:t xml:space="preserve"> It will be interesting </w:t>
      </w:r>
      <w:r>
        <w:rPr>
          <w:color w:val="000000"/>
        </w:rPr>
        <w:t xml:space="preserve">to repeat this study in the future to identify how the uptake of SBE changes in response to the evidence base and post-pandemic pedagogical developments. </w:t>
      </w:r>
    </w:p>
    <w:p w14:paraId="1AC3CC1D" w14:textId="77777777" w:rsidR="00420FA0" w:rsidRDefault="00C47FA3" w:rsidP="008624BE">
      <w:pPr>
        <w:jc w:val="both"/>
        <w:rPr>
          <w:b/>
          <w:color w:val="000000"/>
        </w:rPr>
      </w:pPr>
      <w:r>
        <w:rPr>
          <w:b/>
          <w:color w:val="000000"/>
        </w:rPr>
        <w:t xml:space="preserve">Limitations </w:t>
      </w:r>
    </w:p>
    <w:p w14:paraId="647A26CF" w14:textId="006756A3" w:rsidR="00420FA0" w:rsidRDefault="00C47FA3" w:rsidP="008624BE">
      <w:pPr>
        <w:jc w:val="both"/>
        <w:rPr>
          <w:color w:val="000000"/>
        </w:rPr>
      </w:pPr>
      <w:r>
        <w:rPr>
          <w:color w:val="000000"/>
        </w:rPr>
        <w:t xml:space="preserve">As with any survey-based study, respondent bias is prevalent and with a small sample, generalisability of these findings is challenging. The findings here are likely to over-represent usage of SBE </w:t>
      </w:r>
      <w:r w:rsidR="009C7BAE">
        <w:t>as those with less interest and as infrequent users are less likely to have</w:t>
      </w:r>
      <w:r w:rsidR="009C7BAE">
        <w:rPr>
          <w:color w:val="000000"/>
        </w:rPr>
        <w:t xml:space="preserve"> </w:t>
      </w:r>
      <w:r>
        <w:rPr>
          <w:color w:val="000000"/>
        </w:rPr>
        <w:t xml:space="preserve">responded to the invitation to participate. </w:t>
      </w:r>
      <w:r w:rsidR="00A90412">
        <w:rPr>
          <w:color w:val="000000"/>
        </w:rPr>
        <w:t>A previous international survey of simulation use</w:t>
      </w:r>
      <w:r w:rsidR="00A90412">
        <w:rPr>
          <w:color w:val="000000"/>
          <w:vertAlign w:val="superscript"/>
        </w:rPr>
        <w:t>27</w:t>
      </w:r>
      <w:r w:rsidR="00A90412">
        <w:rPr>
          <w:color w:val="000000"/>
        </w:rPr>
        <w:t xml:space="preserve"> also reported this issue. </w:t>
      </w:r>
      <w:r>
        <w:rPr>
          <w:color w:val="000000"/>
        </w:rPr>
        <w:t xml:space="preserve">Recruitment methods relied on professional body and national networks to distribute and again engagement with this could have influenced the results. Geographically there was poor representation from many regions and future work should attempt to gather data from these to provide a well-rounded picture of international SBE usage. </w:t>
      </w:r>
      <w:r w:rsidR="0049369E">
        <w:rPr>
          <w:color w:val="000000"/>
        </w:rPr>
        <w:t xml:space="preserve">While this study does provide data concerning time spent on SBE, it does not address the pedagogical value of this and again future work could aim to identify this. </w:t>
      </w:r>
      <w:r w:rsidR="00515D94">
        <w:rPr>
          <w:color w:val="000000"/>
        </w:rPr>
        <w:t>The impact of COVID-19 on this data should also be considered; in some cases this and other logistical issues may have restricted the extent and format of SBE that could be delivered.</w:t>
      </w:r>
    </w:p>
    <w:p w14:paraId="1E681075" w14:textId="194C114D" w:rsidR="008705D8" w:rsidRDefault="008705D8" w:rsidP="008624BE">
      <w:pPr>
        <w:jc w:val="both"/>
        <w:rPr>
          <w:color w:val="000000"/>
        </w:rPr>
      </w:pPr>
    </w:p>
    <w:p w14:paraId="164084AD" w14:textId="5C503217" w:rsidR="008705D8" w:rsidRPr="007A6E81" w:rsidRDefault="008705D8" w:rsidP="008624BE">
      <w:pPr>
        <w:jc w:val="both"/>
        <w:rPr>
          <w:b/>
          <w:color w:val="000000" w:themeColor="text1"/>
        </w:rPr>
      </w:pPr>
      <w:r w:rsidRPr="007A6E81">
        <w:rPr>
          <w:b/>
          <w:color w:val="000000" w:themeColor="text1"/>
        </w:rPr>
        <w:t>Conclusions</w:t>
      </w:r>
    </w:p>
    <w:p w14:paraId="37F0B0A0" w14:textId="21DC8DF6" w:rsidR="008705D8" w:rsidRPr="007A6E81" w:rsidRDefault="003744DE" w:rsidP="008624BE">
      <w:pPr>
        <w:jc w:val="both"/>
        <w:rPr>
          <w:color w:val="000000" w:themeColor="text1"/>
        </w:rPr>
      </w:pPr>
      <w:r w:rsidRPr="003744DE">
        <w:rPr>
          <w:color w:val="000000" w:themeColor="text1"/>
        </w:rPr>
        <w:t>Based upon this study, the role of SBE within MRS education varies greatly.  Whilst the majority use less than 100 hours per year, a proportion use considerably more than this.</w:t>
      </w:r>
      <w:r w:rsidR="008705D8" w:rsidRPr="007A6E81">
        <w:rPr>
          <w:color w:val="000000" w:themeColor="text1"/>
        </w:rPr>
        <w:t xml:space="preserve"> This comprises a wide range of </w:t>
      </w:r>
      <w:r w:rsidR="008D67E9" w:rsidRPr="007A6E81">
        <w:rPr>
          <w:color w:val="000000" w:themeColor="text1"/>
        </w:rPr>
        <w:t xml:space="preserve">activities </w:t>
      </w:r>
      <w:r w:rsidR="008705D8" w:rsidRPr="007A6E81">
        <w:rPr>
          <w:color w:val="000000" w:themeColor="text1"/>
        </w:rPr>
        <w:t xml:space="preserve">with an emphasis on </w:t>
      </w:r>
      <w:r w:rsidR="008D67E9" w:rsidRPr="007A6E81">
        <w:rPr>
          <w:color w:val="000000" w:themeColor="text1"/>
        </w:rPr>
        <w:t>person-based</w:t>
      </w:r>
      <w:r w:rsidR="008705D8" w:rsidRPr="007A6E81">
        <w:rPr>
          <w:color w:val="000000" w:themeColor="text1"/>
        </w:rPr>
        <w:t xml:space="preserve"> </w:t>
      </w:r>
      <w:r w:rsidR="008D67E9" w:rsidRPr="007A6E81">
        <w:rPr>
          <w:color w:val="000000" w:themeColor="text1"/>
        </w:rPr>
        <w:t xml:space="preserve">resources </w:t>
      </w:r>
      <w:r w:rsidR="000945F0" w:rsidRPr="007A6E81">
        <w:rPr>
          <w:color w:val="000000" w:themeColor="text1"/>
        </w:rPr>
        <w:t>and image viewing technology</w:t>
      </w:r>
      <w:r w:rsidR="008705D8" w:rsidRPr="007A6E81">
        <w:rPr>
          <w:color w:val="000000" w:themeColor="text1"/>
        </w:rPr>
        <w:t>. Where high fidelity virtual reality</w:t>
      </w:r>
      <w:r w:rsidR="000945F0" w:rsidRPr="007A6E81">
        <w:rPr>
          <w:color w:val="000000" w:themeColor="text1"/>
        </w:rPr>
        <w:t xml:space="preserve"> and profession-specific</w:t>
      </w:r>
      <w:r w:rsidR="008705D8" w:rsidRPr="007A6E81">
        <w:rPr>
          <w:color w:val="000000" w:themeColor="text1"/>
        </w:rPr>
        <w:t xml:space="preserve"> simulation resources were av</w:t>
      </w:r>
      <w:r w:rsidR="000945F0" w:rsidRPr="007A6E81">
        <w:rPr>
          <w:color w:val="000000" w:themeColor="text1"/>
        </w:rPr>
        <w:t>ai</w:t>
      </w:r>
      <w:r w:rsidR="008705D8" w:rsidRPr="007A6E81">
        <w:rPr>
          <w:color w:val="000000" w:themeColor="text1"/>
        </w:rPr>
        <w:t>l</w:t>
      </w:r>
      <w:r w:rsidR="000945F0" w:rsidRPr="007A6E81">
        <w:rPr>
          <w:color w:val="000000" w:themeColor="text1"/>
        </w:rPr>
        <w:t>a</w:t>
      </w:r>
      <w:r w:rsidR="008705D8" w:rsidRPr="007A6E81">
        <w:rPr>
          <w:color w:val="000000" w:themeColor="text1"/>
        </w:rPr>
        <w:t xml:space="preserve">ble, they were used heavily. </w:t>
      </w:r>
      <w:r w:rsidR="000945F0" w:rsidRPr="007A6E81">
        <w:rPr>
          <w:color w:val="000000" w:themeColor="text1"/>
        </w:rPr>
        <w:t xml:space="preserve">There was a low level of reported engagement with </w:t>
      </w:r>
      <w:r w:rsidR="008705D8" w:rsidRPr="007A6E81">
        <w:rPr>
          <w:color w:val="000000" w:themeColor="text1"/>
        </w:rPr>
        <w:t>se</w:t>
      </w:r>
      <w:r w:rsidR="000945F0" w:rsidRPr="007A6E81">
        <w:rPr>
          <w:color w:val="000000" w:themeColor="text1"/>
        </w:rPr>
        <w:t xml:space="preserve">rvice users or expert patients in simulation activities and additional research is needed to identify </w:t>
      </w:r>
      <w:r w:rsidR="008D67E9" w:rsidRPr="007A6E81">
        <w:rPr>
          <w:color w:val="000000" w:themeColor="text1"/>
        </w:rPr>
        <w:t>whether this is due to COVID-19 restrictions or some other reason</w:t>
      </w:r>
      <w:r w:rsidR="000945F0" w:rsidRPr="007A6E81">
        <w:rPr>
          <w:color w:val="000000" w:themeColor="text1"/>
        </w:rPr>
        <w:t xml:space="preserve">. </w:t>
      </w:r>
      <w:r w:rsidR="008D67E9" w:rsidRPr="007A6E81">
        <w:rPr>
          <w:color w:val="000000" w:themeColor="text1"/>
        </w:rPr>
        <w:t xml:space="preserve">In many cases, </w:t>
      </w:r>
      <w:r w:rsidR="000945F0" w:rsidRPr="007A6E81">
        <w:rPr>
          <w:color w:val="000000" w:themeColor="text1"/>
        </w:rPr>
        <w:t xml:space="preserve">COVID-19 restrictions have acted as a trigger for increased uptake of </w:t>
      </w:r>
      <w:r w:rsidR="00E31C42" w:rsidRPr="007A6E81">
        <w:rPr>
          <w:color w:val="000000" w:themeColor="text1"/>
        </w:rPr>
        <w:t>SBE</w:t>
      </w:r>
      <w:r w:rsidR="000945F0" w:rsidRPr="007A6E81">
        <w:rPr>
          <w:color w:val="000000" w:themeColor="text1"/>
        </w:rPr>
        <w:t xml:space="preserve"> resources and </w:t>
      </w:r>
      <w:r w:rsidR="009C7BAE" w:rsidRPr="007A6E81">
        <w:rPr>
          <w:color w:val="000000" w:themeColor="text1"/>
        </w:rPr>
        <w:t xml:space="preserve">sharing of practice via virtual platforms. Future iterations of this study are planned to identify the </w:t>
      </w:r>
      <w:r w:rsidR="000945F0" w:rsidRPr="007A6E81">
        <w:rPr>
          <w:color w:val="000000" w:themeColor="text1"/>
        </w:rPr>
        <w:t>long-term impact of this.</w:t>
      </w:r>
    </w:p>
    <w:p w14:paraId="50448798" w14:textId="77777777" w:rsidR="00671B74" w:rsidRDefault="00671B74" w:rsidP="008624BE">
      <w:pPr>
        <w:jc w:val="both"/>
      </w:pPr>
    </w:p>
    <w:p w14:paraId="2DFAB83F" w14:textId="77777777" w:rsidR="00420FA0" w:rsidRDefault="00C47FA3" w:rsidP="008624BE">
      <w:pPr>
        <w:jc w:val="both"/>
        <w:rPr>
          <w:b/>
        </w:rPr>
      </w:pPr>
      <w:r>
        <w:rPr>
          <w:b/>
        </w:rPr>
        <w:t>References:</w:t>
      </w:r>
    </w:p>
    <w:p w14:paraId="1C5C7EFA" w14:textId="77777777" w:rsidR="00F74C19" w:rsidRPr="00F74C19" w:rsidRDefault="00F74C19" w:rsidP="008624BE">
      <w:pPr>
        <w:numPr>
          <w:ilvl w:val="0"/>
          <w:numId w:val="1"/>
        </w:numPr>
        <w:spacing w:before="240" w:after="0"/>
        <w:ind w:left="284" w:hanging="284"/>
        <w:contextualSpacing/>
      </w:pPr>
      <w:r w:rsidRPr="00F74C19">
        <w:t xml:space="preserve">England A. Geers-van Gemeren S, Henner A, Kukkes T, Pronk-Larive D, Rainford L, McNulty JP. Clinical radiography education across Europe. Radiography 2017; 23(S1): S7-S15 DOI: 10.1016/j.radi.2017.05.011 </w:t>
      </w:r>
    </w:p>
    <w:p w14:paraId="237FF804" w14:textId="77777777" w:rsidR="00F74C19" w:rsidRPr="00F74C19" w:rsidRDefault="00F74C19" w:rsidP="008624BE">
      <w:pPr>
        <w:numPr>
          <w:ilvl w:val="0"/>
          <w:numId w:val="1"/>
        </w:numPr>
        <w:spacing w:before="240" w:after="0"/>
        <w:ind w:left="284" w:hanging="284"/>
        <w:contextualSpacing/>
      </w:pPr>
      <w:r w:rsidRPr="00F74C19">
        <w:t>Hazell L, Lawrence H, Friedrich-Nel H. Simulation based learning to facilitate clinical readiness in diagnostic radiography. A meta-synthesis. Radiography 2020; 26(4): 238-245</w:t>
      </w:r>
    </w:p>
    <w:p w14:paraId="7F5A77F5" w14:textId="77777777" w:rsidR="00F74C19" w:rsidRPr="00F74C19" w:rsidRDefault="00F74C19" w:rsidP="008624BE">
      <w:pPr>
        <w:numPr>
          <w:ilvl w:val="0"/>
          <w:numId w:val="1"/>
        </w:numPr>
        <w:spacing w:before="240" w:after="0"/>
        <w:ind w:left="284" w:hanging="284"/>
        <w:contextualSpacing/>
      </w:pPr>
      <w:r w:rsidRPr="00F74C19">
        <w:t xml:space="preserve">Society and College of Radiographers 2011 Roles and responsibilities in clinical education. 2011  [Internet]. Available from: </w:t>
      </w:r>
      <w:hyperlink r:id="rId12" w:history="1">
        <w:r w:rsidR="005220E0" w:rsidRPr="00F74C19">
          <w:rPr>
            <w:color w:val="0563C1"/>
            <w:u w:val="single"/>
          </w:rPr>
          <w:t>https://www.sor.org/getmedia/ec30e173-42a8-4f33-ba50-bdd017612b1e/Roles%20and%20Responsibilities%20in%20Clinical%20Education_1</w:t>
        </w:r>
      </w:hyperlink>
      <w:r w:rsidRPr="00F74C19">
        <w:t xml:space="preserve"> Accessed 23/03/21</w:t>
      </w:r>
    </w:p>
    <w:p w14:paraId="4CB8EF49" w14:textId="77777777" w:rsidR="00F74C19" w:rsidRPr="00F74C19" w:rsidRDefault="00F74C19" w:rsidP="008624BE">
      <w:pPr>
        <w:numPr>
          <w:ilvl w:val="0"/>
          <w:numId w:val="1"/>
        </w:numPr>
        <w:spacing w:after="0" w:line="240" w:lineRule="auto"/>
        <w:ind w:left="284" w:hanging="284"/>
      </w:pPr>
      <w:r w:rsidRPr="00F74C19">
        <w:t xml:space="preserve">Medical Radiation Practice Board. Professional capabilities for medical radiation practice. 2020 [Internet]. Available from: </w:t>
      </w:r>
      <w:hyperlink r:id="rId13" w:history="1">
        <w:r w:rsidRPr="00F74C19">
          <w:rPr>
            <w:color w:val="0563C1"/>
            <w:u w:val="single"/>
          </w:rPr>
          <w:t>https://www.medicalradiationpracticeboard.gov.au/registration/professional-capabilities.aspx</w:t>
        </w:r>
      </w:hyperlink>
      <w:r w:rsidRPr="00F74C19">
        <w:t xml:space="preserve"> Accessed 23/03/21</w:t>
      </w:r>
    </w:p>
    <w:p w14:paraId="6DC091F8" w14:textId="77777777" w:rsidR="00F74C19" w:rsidRPr="00F74C19" w:rsidRDefault="00F74C19" w:rsidP="008624BE">
      <w:pPr>
        <w:numPr>
          <w:ilvl w:val="0"/>
          <w:numId w:val="1"/>
        </w:numPr>
        <w:spacing w:after="0"/>
        <w:ind w:left="284" w:hanging="284"/>
        <w:contextualSpacing/>
      </w:pPr>
      <w:r w:rsidRPr="00F74C19">
        <w:t>Halkett GKB, McKay J, Shaw T. Improving student confidence levels in communicating with patients and introducing students to the importance of history taking. Radiography 2011; 17: 55-60.</w:t>
      </w:r>
    </w:p>
    <w:p w14:paraId="0FACB7C1" w14:textId="77777777" w:rsidR="00F74C19" w:rsidRPr="00F74C19" w:rsidRDefault="00F74C19" w:rsidP="008624BE">
      <w:pPr>
        <w:numPr>
          <w:ilvl w:val="0"/>
          <w:numId w:val="1"/>
        </w:numPr>
        <w:spacing w:before="240" w:after="0"/>
        <w:ind w:left="284" w:hanging="284"/>
        <w:contextualSpacing/>
      </w:pPr>
      <w:r w:rsidRPr="00F74C19">
        <w:t xml:space="preserve">Kelly T, Surjan Y, Rinks M, Beech J, Warren-Forward H M. Communication: Preparing undergraduate radiation therapy students for initial clinical patient interactions. Radiography 2019; 25(4): 320-326. DOI: </w:t>
      </w:r>
      <w:hyperlink r:id="rId14" w:history="1">
        <w:r w:rsidR="005220E0" w:rsidRPr="00F74C19">
          <w:rPr>
            <w:color w:val="0563C1"/>
            <w:u w:val="single"/>
          </w:rPr>
          <w:t>https://doi.org/10.1016/j.radi.2019.02.012</w:t>
        </w:r>
      </w:hyperlink>
      <w:r w:rsidRPr="00F74C19">
        <w:t xml:space="preserve">  </w:t>
      </w:r>
    </w:p>
    <w:p w14:paraId="701226E0" w14:textId="77777777" w:rsidR="00F74C19" w:rsidRPr="00F74C19" w:rsidRDefault="00F74C19" w:rsidP="008624BE">
      <w:pPr>
        <w:numPr>
          <w:ilvl w:val="0"/>
          <w:numId w:val="1"/>
        </w:numPr>
        <w:spacing w:before="240" w:after="0"/>
        <w:ind w:left="284" w:hanging="284"/>
        <w:contextualSpacing/>
      </w:pPr>
      <w:r w:rsidRPr="00F74C19">
        <w:t xml:space="preserve">Kong A, Hodgson Y, Druva R. The role of simulation in developing clinical knowledge and increasing clinical confidence in first-year radiography students. F Health Prof Educ 2014; 16 (3): </w:t>
      </w:r>
      <w:hyperlink r:id="rId15" w:history="1">
        <w:r w:rsidR="005220E0" w:rsidRPr="00F74C19">
          <w:rPr>
            <w:color w:val="0563C1"/>
            <w:u w:val="single"/>
          </w:rPr>
          <w:t>https://fohpe.org/FoHPE/article/view/83</w:t>
        </w:r>
      </w:hyperlink>
    </w:p>
    <w:p w14:paraId="036A4F52" w14:textId="77777777" w:rsidR="00F74C19" w:rsidRPr="00F74C19" w:rsidRDefault="00F74C19" w:rsidP="008624BE">
      <w:pPr>
        <w:numPr>
          <w:ilvl w:val="0"/>
          <w:numId w:val="1"/>
        </w:numPr>
        <w:spacing w:before="240" w:after="0"/>
        <w:ind w:left="284" w:hanging="284"/>
        <w:contextualSpacing/>
      </w:pPr>
      <w:r w:rsidRPr="00F74C19">
        <w:t>Dawson S, Gould DA. Procedural simulation's developing role in medicine. Lancet 2007; 369(9574): 1671-1673.</w:t>
      </w:r>
    </w:p>
    <w:p w14:paraId="2071BEA7" w14:textId="77777777" w:rsidR="00F74C19" w:rsidRPr="00F74C19" w:rsidRDefault="00F74C19" w:rsidP="008624BE">
      <w:pPr>
        <w:numPr>
          <w:ilvl w:val="0"/>
          <w:numId w:val="1"/>
        </w:numPr>
        <w:spacing w:before="240" w:after="0"/>
        <w:ind w:left="284" w:hanging="284"/>
        <w:contextualSpacing/>
      </w:pPr>
      <w:r w:rsidRPr="00F74C19">
        <w:t>European Society of Radiology, (ESR), European Federation of Radiographer Societies, (EFRS). Patient safety in medical imaging: a joint paper of the European Society of Radiology (ESR) and the European Federation of Radiographer Societies (EFRS). Insights Imaging 2019; 10(1): 1-17</w:t>
      </w:r>
    </w:p>
    <w:p w14:paraId="46ABD98B" w14:textId="77777777" w:rsidR="00F74C19" w:rsidRPr="00F74C19" w:rsidRDefault="00F74C19" w:rsidP="008624BE">
      <w:pPr>
        <w:numPr>
          <w:ilvl w:val="0"/>
          <w:numId w:val="1"/>
        </w:numPr>
        <w:spacing w:before="240" w:after="0"/>
        <w:ind w:left="284" w:hanging="284"/>
        <w:contextualSpacing/>
      </w:pPr>
      <w:r w:rsidRPr="00F74C19">
        <w:t xml:space="preserve">Shiner N, Pantic V. An overview of the types and applications of simulation-based education within diagnostic radiography and ultrasound at two higher education institutions Simul Imag Oncol 2019 6-19 </w:t>
      </w:r>
    </w:p>
    <w:p w14:paraId="49C59146" w14:textId="77777777" w:rsidR="00F74C19" w:rsidRPr="00F74C19" w:rsidRDefault="00F74C19" w:rsidP="008624BE">
      <w:pPr>
        <w:numPr>
          <w:ilvl w:val="0"/>
          <w:numId w:val="1"/>
        </w:numPr>
        <w:spacing w:before="240" w:after="0"/>
        <w:ind w:left="284" w:hanging="284"/>
        <w:contextualSpacing/>
      </w:pPr>
      <w:r w:rsidRPr="00F74C19">
        <w:t>Gaba DM. The future vision of simulation in health care. Qual Saf Health Care 2004; 13(Suppl 1): 2–10 doi: 10.1136/qshc.2004.009878</w:t>
      </w:r>
    </w:p>
    <w:p w14:paraId="3B62F3DC" w14:textId="77777777" w:rsidR="00F74C19" w:rsidRPr="00F74C19" w:rsidRDefault="00F74C19" w:rsidP="008624BE">
      <w:pPr>
        <w:numPr>
          <w:ilvl w:val="0"/>
          <w:numId w:val="1"/>
        </w:numPr>
        <w:spacing w:before="240" w:after="0"/>
        <w:ind w:left="284" w:hanging="284"/>
        <w:contextualSpacing/>
      </w:pPr>
      <w:r w:rsidRPr="00F74C19">
        <w:t>Palaganas JC, Maxworthy JC, Epps CA, Mancini ME. Defining excellence in simulation programs. Philadelphia: Lippincott Williams and Wilkins; 2014.</w:t>
      </w:r>
    </w:p>
    <w:p w14:paraId="5E32190F" w14:textId="77777777" w:rsidR="00F74C19" w:rsidRPr="00F74C19" w:rsidRDefault="00F74C19" w:rsidP="008624BE">
      <w:pPr>
        <w:numPr>
          <w:ilvl w:val="0"/>
          <w:numId w:val="1"/>
        </w:numPr>
        <w:spacing w:after="0"/>
        <w:ind w:left="284" w:hanging="284"/>
        <w:contextualSpacing/>
      </w:pPr>
      <w:r w:rsidRPr="00F74C19">
        <w:t>Cant RP, Cooper SJ. Simulation-based learning in nurse education: systematic review. J Adv Nurs 2010; 66(1): 3–15 doi: 10.1111/j.1365-2648.2009.05240.x</w:t>
      </w:r>
    </w:p>
    <w:p w14:paraId="42F841FF" w14:textId="77777777" w:rsidR="00F74C19" w:rsidRPr="00F74C19" w:rsidRDefault="00F74C19" w:rsidP="008624BE">
      <w:pPr>
        <w:numPr>
          <w:ilvl w:val="0"/>
          <w:numId w:val="1"/>
        </w:numPr>
        <w:spacing w:after="0" w:line="240" w:lineRule="auto"/>
        <w:ind w:left="284" w:hanging="284"/>
      </w:pPr>
      <w:r w:rsidRPr="00F74C19">
        <w:t xml:space="preserve">Aura S, Jordan S, Saano S, Tossavainen K, Turunen H. Transfer of learning: Radiographers' perceptions of simulation-based educational intervention. Radiography 2016; 22 (3): 228-236. doi:10.1016/j.radi.2016.01.005 </w:t>
      </w:r>
    </w:p>
    <w:p w14:paraId="49089C8B" w14:textId="77777777" w:rsidR="00F74C19" w:rsidRPr="00F74C19" w:rsidRDefault="00F74C19" w:rsidP="008624BE">
      <w:pPr>
        <w:numPr>
          <w:ilvl w:val="0"/>
          <w:numId w:val="1"/>
        </w:numPr>
        <w:spacing w:after="0" w:line="240" w:lineRule="auto"/>
        <w:ind w:left="284" w:hanging="284"/>
      </w:pPr>
      <w:r w:rsidRPr="00F74C19">
        <w:t>Naylor S, Harcus J, Elkington M. An exploration of service user involvement in the assessment of students. Radiography 2015; 21(3): 269-272</w:t>
      </w:r>
    </w:p>
    <w:p w14:paraId="6A6A5038" w14:textId="77777777" w:rsidR="00F74C19" w:rsidRPr="00F74C19" w:rsidRDefault="00F74C19" w:rsidP="008624BE">
      <w:pPr>
        <w:numPr>
          <w:ilvl w:val="0"/>
          <w:numId w:val="1"/>
        </w:numPr>
        <w:spacing w:after="0" w:line="240" w:lineRule="auto"/>
        <w:ind w:left="284" w:hanging="284"/>
      </w:pPr>
      <w:r w:rsidRPr="00F74C19">
        <w:t>Bott OJ, Dressing K, Wagner M, Raab B-W, Teistler M. Use of a C-arm fluoroscopy simulator to support training in intraoperative radiography. RadioGraphics 2011; 31: e65-75.</w:t>
      </w:r>
    </w:p>
    <w:p w14:paraId="0B945860" w14:textId="77777777" w:rsidR="00F74C19" w:rsidRPr="00F74C19" w:rsidRDefault="00F74C19" w:rsidP="008624BE">
      <w:pPr>
        <w:numPr>
          <w:ilvl w:val="0"/>
          <w:numId w:val="1"/>
        </w:numPr>
        <w:spacing w:before="240" w:after="0"/>
        <w:ind w:left="284" w:hanging="284"/>
        <w:contextualSpacing/>
      </w:pPr>
      <w:r w:rsidRPr="00F74C19">
        <w:t>Shiner N. Is there a role for simulation-based education within conventional diagnostic radiography? A literature review. Radiography 2018 (3):262-271.</w:t>
      </w:r>
    </w:p>
    <w:p w14:paraId="550F2128" w14:textId="77777777" w:rsidR="00F74C19" w:rsidRPr="00F74C19" w:rsidRDefault="00F74C19" w:rsidP="008624BE">
      <w:pPr>
        <w:numPr>
          <w:ilvl w:val="0"/>
          <w:numId w:val="1"/>
        </w:numPr>
        <w:spacing w:before="240" w:after="0"/>
        <w:ind w:left="284" w:hanging="284"/>
        <w:contextualSpacing/>
      </w:pPr>
      <w:r w:rsidRPr="00F74C19">
        <w:t xml:space="preserve">Shanahan M. Student perspective on using a virtual radiography simulation Radiography 2016; 22(3): 217-222 </w:t>
      </w:r>
    </w:p>
    <w:p w14:paraId="4077E3E8" w14:textId="77777777" w:rsidR="00F74C19" w:rsidRPr="00F74C19" w:rsidRDefault="00F74C19" w:rsidP="008624BE">
      <w:pPr>
        <w:numPr>
          <w:ilvl w:val="0"/>
          <w:numId w:val="1"/>
        </w:numPr>
        <w:spacing w:before="240" w:after="0"/>
        <w:ind w:left="284" w:hanging="284"/>
        <w:contextualSpacing/>
      </w:pPr>
      <w:r w:rsidRPr="00F74C19">
        <w:t>Owen H. Early use of simulation in medical education. Simul Healthcare 2012; 7(2): 102-16 DOI: 10.1097/SIH.0b013e3182415a91</w:t>
      </w:r>
    </w:p>
    <w:p w14:paraId="526F1618" w14:textId="77777777" w:rsidR="00F74C19" w:rsidRPr="00F74C19" w:rsidRDefault="00F74C19" w:rsidP="008624BE">
      <w:pPr>
        <w:numPr>
          <w:ilvl w:val="0"/>
          <w:numId w:val="1"/>
        </w:numPr>
        <w:spacing w:before="240" w:after="0"/>
        <w:ind w:left="284" w:hanging="284"/>
        <w:contextualSpacing/>
      </w:pPr>
      <w:r w:rsidRPr="00F74C19">
        <w:t>Ketterer S-J, Callender J, Warren M, Al-Samarraie F, Ball B, Calder K-A. et al. Simulated versus traditional therapeutic radiography placements: A randomised controlled trial. Radiography. 2020; 26(2): 140-146 DOI: 10.1016/j.radi.2019.10.005</w:t>
      </w:r>
    </w:p>
    <w:p w14:paraId="0AAF7642" w14:textId="77777777" w:rsidR="00F74C19" w:rsidRPr="00F74C19" w:rsidRDefault="00F74C19" w:rsidP="008624BE">
      <w:pPr>
        <w:numPr>
          <w:ilvl w:val="0"/>
          <w:numId w:val="1"/>
        </w:numPr>
        <w:spacing w:before="240" w:after="0"/>
        <w:ind w:left="284" w:hanging="284"/>
        <w:contextualSpacing/>
      </w:pPr>
      <w:r w:rsidRPr="00F74C19">
        <w:t>Shiner N. Can simulation impact on first year diagnostic radiography students' emotional preparedness to encounter open wounds on their first clinical placement: A pilot study. Radiography 2019; 25(4): 294-300</w:t>
      </w:r>
    </w:p>
    <w:p w14:paraId="085865CC" w14:textId="77777777" w:rsidR="00F74C19" w:rsidRPr="00F74C19" w:rsidRDefault="00F74C19" w:rsidP="008624BE">
      <w:pPr>
        <w:numPr>
          <w:ilvl w:val="0"/>
          <w:numId w:val="1"/>
        </w:numPr>
        <w:spacing w:before="240" w:after="0"/>
        <w:ind w:left="284" w:hanging="284"/>
        <w:contextualSpacing/>
        <w:rPr>
          <w:color w:val="1F497D"/>
        </w:rPr>
      </w:pPr>
      <w:r w:rsidRPr="00F74C19">
        <w:t>Giorgi A. Concerning the application of phenomenology to caring research. Scand J Caring Sci 2000; 14(1): 11-5</w:t>
      </w:r>
    </w:p>
    <w:p w14:paraId="4245EFD7" w14:textId="77777777" w:rsidR="00F74C19" w:rsidRPr="00F74C19" w:rsidRDefault="00F74C19" w:rsidP="008624BE">
      <w:pPr>
        <w:numPr>
          <w:ilvl w:val="0"/>
          <w:numId w:val="1"/>
        </w:numPr>
        <w:spacing w:before="240" w:after="0"/>
        <w:ind w:left="284" w:hanging="284"/>
        <w:contextualSpacing/>
      </w:pPr>
      <w:r w:rsidRPr="00F74C19">
        <w:t>Gunn T, Jones L, Bridge P, Rowntree P, Nissen L. The use of virtual reality simulation to improve technical skill in the undergraduate medical imaging student. Interact Learn Envir 2018; 26(5): 613-620.</w:t>
      </w:r>
    </w:p>
    <w:p w14:paraId="100EF5CE" w14:textId="77777777" w:rsidR="00F74C19" w:rsidRPr="00F74C19" w:rsidRDefault="00F74C19" w:rsidP="008624BE">
      <w:pPr>
        <w:numPr>
          <w:ilvl w:val="0"/>
          <w:numId w:val="1"/>
        </w:numPr>
        <w:spacing w:before="240" w:after="0"/>
        <w:ind w:left="284" w:hanging="284"/>
        <w:contextualSpacing/>
      </w:pPr>
      <w:r w:rsidRPr="00F74C19">
        <w:t>Flood T, Wilson IM, Cathcart J. Service user involvement in radiotherapy and oncology education; the patient perspective. Radiography 2018; 24(3):185-191</w:t>
      </w:r>
    </w:p>
    <w:p w14:paraId="28F8AC7D" w14:textId="77777777" w:rsidR="00F74C19" w:rsidRPr="00F74C19" w:rsidRDefault="00F74C19" w:rsidP="008624BE">
      <w:pPr>
        <w:numPr>
          <w:ilvl w:val="0"/>
          <w:numId w:val="1"/>
        </w:numPr>
        <w:spacing w:before="240" w:after="0"/>
        <w:ind w:left="284" w:hanging="284"/>
        <w:contextualSpacing/>
      </w:pPr>
      <w:r w:rsidRPr="00F74C19">
        <w:t xml:space="preserve">Health &amp; Care Professions Council. Service user and carer involvement in education and training programmes. 2018 [Internet]. Available from: </w:t>
      </w:r>
      <w:hyperlink r:id="rId16" w:history="1">
        <w:r w:rsidR="005220E0" w:rsidRPr="00F74C19">
          <w:rPr>
            <w:color w:val="0563C1"/>
            <w:u w:val="single"/>
          </w:rPr>
          <w:t>http://www.hcpc-uk.org/education/providers/sucinvolvement/</w:t>
        </w:r>
      </w:hyperlink>
      <w:r w:rsidRPr="00F74C19">
        <w:t xml:space="preserve"> Accessed 23/03/21</w:t>
      </w:r>
    </w:p>
    <w:p w14:paraId="66FE0A47" w14:textId="7E221ACC" w:rsidR="00F74C19" w:rsidRDefault="00F74C19" w:rsidP="008624BE">
      <w:pPr>
        <w:numPr>
          <w:ilvl w:val="0"/>
          <w:numId w:val="1"/>
        </w:numPr>
        <w:spacing w:before="240" w:after="0"/>
        <w:ind w:left="284" w:hanging="284"/>
        <w:contextualSpacing/>
      </w:pPr>
      <w:r w:rsidRPr="00F74C19">
        <w:t>Edwards S, McCormack S. Simulation using 'live' adult service users and moulage in a variety of settings. Nurs Manag 2018; 24(9):33-40</w:t>
      </w:r>
    </w:p>
    <w:p w14:paraId="7D6B0A01" w14:textId="1551E5B0" w:rsidR="006B43E8" w:rsidRDefault="006B43E8" w:rsidP="008624BE">
      <w:pPr>
        <w:numPr>
          <w:ilvl w:val="0"/>
          <w:numId w:val="1"/>
        </w:numPr>
        <w:spacing w:before="240" w:after="0"/>
        <w:ind w:left="284" w:hanging="284"/>
        <w:contextualSpacing/>
      </w:pPr>
      <w:r w:rsidRPr="006B43E8">
        <w:t>Bridge P, Giles E, Williams A, Boejen A, Appleyard RM, Kirby M. International Audit of VERT Academic Practice. J Radiother Pract 2017; 16(4): 375-82</w:t>
      </w:r>
    </w:p>
    <w:p w14:paraId="01E55BE8" w14:textId="03A4BAFD" w:rsidR="00A90412" w:rsidRPr="00F74C19" w:rsidRDefault="00A90412" w:rsidP="008624BE">
      <w:pPr>
        <w:numPr>
          <w:ilvl w:val="0"/>
          <w:numId w:val="1"/>
        </w:numPr>
        <w:spacing w:before="240" w:after="0"/>
        <w:ind w:left="284" w:hanging="284"/>
        <w:contextualSpacing/>
      </w:pPr>
      <w:r w:rsidRPr="00A90412">
        <w:t>Bridge P. Simulation-based education: International collaboration and resource sharing in respon</w:t>
      </w:r>
      <w:r w:rsidR="005342E7">
        <w:t>se to COVID-19. Malta J Health Sci</w:t>
      </w:r>
      <w:r w:rsidRPr="00A90412">
        <w:t xml:space="preserve"> 2021; 8(1): https://www.um.edu.mt/library/oar/handle/123456789/75744</w:t>
      </w:r>
    </w:p>
    <w:p w14:paraId="3ADD41F3" w14:textId="77777777" w:rsidR="00F74C19" w:rsidRPr="00F74C19" w:rsidRDefault="00F74C19" w:rsidP="008624BE">
      <w:pPr>
        <w:spacing w:before="240" w:after="0"/>
      </w:pPr>
    </w:p>
    <w:p w14:paraId="1DAD9717" w14:textId="77777777" w:rsidR="00420FA0" w:rsidRDefault="00420FA0" w:rsidP="008624BE"/>
    <w:sectPr w:rsidR="00420FA0">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EE71" w14:textId="77777777" w:rsidR="00A452FA" w:rsidRDefault="00A452FA" w:rsidP="000B4834">
      <w:pPr>
        <w:spacing w:after="0" w:line="240" w:lineRule="auto"/>
      </w:pPr>
      <w:r>
        <w:separator/>
      </w:r>
    </w:p>
  </w:endnote>
  <w:endnote w:type="continuationSeparator" w:id="0">
    <w:p w14:paraId="64214A84" w14:textId="77777777" w:rsidR="00A452FA" w:rsidRDefault="00A452FA" w:rsidP="000B4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038030"/>
      <w:docPartObj>
        <w:docPartGallery w:val="Page Numbers (Bottom of Page)"/>
        <w:docPartUnique/>
      </w:docPartObj>
    </w:sdtPr>
    <w:sdtEndPr>
      <w:rPr>
        <w:noProof/>
      </w:rPr>
    </w:sdtEndPr>
    <w:sdtContent>
      <w:p w14:paraId="224DA548" w14:textId="13C00072" w:rsidR="003744DE" w:rsidRDefault="003744DE">
        <w:pPr>
          <w:pStyle w:val="Footer"/>
          <w:jc w:val="center"/>
        </w:pPr>
        <w:r>
          <w:fldChar w:fldCharType="begin"/>
        </w:r>
        <w:r>
          <w:instrText xml:space="preserve"> PAGE   \* MERGEFORMAT </w:instrText>
        </w:r>
        <w:r>
          <w:fldChar w:fldCharType="separate"/>
        </w:r>
        <w:r w:rsidR="00A452FA">
          <w:rPr>
            <w:noProof/>
          </w:rPr>
          <w:t>1</w:t>
        </w:r>
        <w:r>
          <w:rPr>
            <w:noProof/>
          </w:rPr>
          <w:fldChar w:fldCharType="end"/>
        </w:r>
      </w:p>
    </w:sdtContent>
  </w:sdt>
  <w:p w14:paraId="656665AD" w14:textId="77777777" w:rsidR="003744DE" w:rsidRDefault="0037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FFD60" w14:textId="77777777" w:rsidR="00A452FA" w:rsidRDefault="00A452FA" w:rsidP="000B4834">
      <w:pPr>
        <w:spacing w:after="0" w:line="240" w:lineRule="auto"/>
      </w:pPr>
      <w:r>
        <w:separator/>
      </w:r>
    </w:p>
  </w:footnote>
  <w:footnote w:type="continuationSeparator" w:id="0">
    <w:p w14:paraId="39E22D7D" w14:textId="77777777" w:rsidR="00A452FA" w:rsidRDefault="00A452FA" w:rsidP="000B4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949"/>
    <w:multiLevelType w:val="hybridMultilevel"/>
    <w:tmpl w:val="6C6A7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A0"/>
    <w:rsid w:val="00022B9E"/>
    <w:rsid w:val="000312BA"/>
    <w:rsid w:val="000404AE"/>
    <w:rsid w:val="000945F0"/>
    <w:rsid w:val="000B4834"/>
    <w:rsid w:val="00102907"/>
    <w:rsid w:val="001328EA"/>
    <w:rsid w:val="00154871"/>
    <w:rsid w:val="0016685E"/>
    <w:rsid w:val="00192972"/>
    <w:rsid w:val="001A52D5"/>
    <w:rsid w:val="001B2259"/>
    <w:rsid w:val="001D1F3D"/>
    <w:rsid w:val="00226909"/>
    <w:rsid w:val="00240099"/>
    <w:rsid w:val="002A446A"/>
    <w:rsid w:val="002C2D8F"/>
    <w:rsid w:val="00342AE0"/>
    <w:rsid w:val="00367EA1"/>
    <w:rsid w:val="00370FC2"/>
    <w:rsid w:val="003744DE"/>
    <w:rsid w:val="00383446"/>
    <w:rsid w:val="00383640"/>
    <w:rsid w:val="00384ADB"/>
    <w:rsid w:val="003C2C6B"/>
    <w:rsid w:val="003F5F8C"/>
    <w:rsid w:val="00420FA0"/>
    <w:rsid w:val="00444FAA"/>
    <w:rsid w:val="004766F5"/>
    <w:rsid w:val="00490390"/>
    <w:rsid w:val="0049369E"/>
    <w:rsid w:val="004D19C5"/>
    <w:rsid w:val="004D5760"/>
    <w:rsid w:val="004F0DD8"/>
    <w:rsid w:val="00510353"/>
    <w:rsid w:val="00515D94"/>
    <w:rsid w:val="005220E0"/>
    <w:rsid w:val="005342E7"/>
    <w:rsid w:val="00541C27"/>
    <w:rsid w:val="0054389E"/>
    <w:rsid w:val="00580980"/>
    <w:rsid w:val="005A02DC"/>
    <w:rsid w:val="005D511F"/>
    <w:rsid w:val="00623267"/>
    <w:rsid w:val="00636AC5"/>
    <w:rsid w:val="00636D64"/>
    <w:rsid w:val="00667741"/>
    <w:rsid w:val="00671B74"/>
    <w:rsid w:val="006728A4"/>
    <w:rsid w:val="0068360D"/>
    <w:rsid w:val="00697694"/>
    <w:rsid w:val="006B43E8"/>
    <w:rsid w:val="006C1817"/>
    <w:rsid w:val="006D674F"/>
    <w:rsid w:val="00722E19"/>
    <w:rsid w:val="007714C0"/>
    <w:rsid w:val="007A6E81"/>
    <w:rsid w:val="007D0B26"/>
    <w:rsid w:val="007D7F2C"/>
    <w:rsid w:val="007E7F07"/>
    <w:rsid w:val="008063FD"/>
    <w:rsid w:val="00821A57"/>
    <w:rsid w:val="008624BE"/>
    <w:rsid w:val="008705D8"/>
    <w:rsid w:val="0088521A"/>
    <w:rsid w:val="00891736"/>
    <w:rsid w:val="008D67E9"/>
    <w:rsid w:val="008F227F"/>
    <w:rsid w:val="008F75F0"/>
    <w:rsid w:val="00923AB5"/>
    <w:rsid w:val="00983E28"/>
    <w:rsid w:val="00994284"/>
    <w:rsid w:val="009B42E0"/>
    <w:rsid w:val="009B4926"/>
    <w:rsid w:val="009C7BAE"/>
    <w:rsid w:val="009E38F0"/>
    <w:rsid w:val="00A20D4E"/>
    <w:rsid w:val="00A452FA"/>
    <w:rsid w:val="00A6145D"/>
    <w:rsid w:val="00A826E3"/>
    <w:rsid w:val="00A85A1B"/>
    <w:rsid w:val="00A90412"/>
    <w:rsid w:val="00A96519"/>
    <w:rsid w:val="00AB3AE7"/>
    <w:rsid w:val="00AB6EDB"/>
    <w:rsid w:val="00AC6176"/>
    <w:rsid w:val="00AD476B"/>
    <w:rsid w:val="00AE22A8"/>
    <w:rsid w:val="00AE37BF"/>
    <w:rsid w:val="00AE4EF9"/>
    <w:rsid w:val="00AE7312"/>
    <w:rsid w:val="00B474B8"/>
    <w:rsid w:val="00BD773B"/>
    <w:rsid w:val="00C02FA2"/>
    <w:rsid w:val="00C45A1D"/>
    <w:rsid w:val="00C47FA3"/>
    <w:rsid w:val="00C829DA"/>
    <w:rsid w:val="00C9358C"/>
    <w:rsid w:val="00C93DBC"/>
    <w:rsid w:val="00C94685"/>
    <w:rsid w:val="00CC0161"/>
    <w:rsid w:val="00CC0E5D"/>
    <w:rsid w:val="00CC2AAE"/>
    <w:rsid w:val="00CC7AD3"/>
    <w:rsid w:val="00CD7216"/>
    <w:rsid w:val="00CF3037"/>
    <w:rsid w:val="00D04256"/>
    <w:rsid w:val="00D05B2F"/>
    <w:rsid w:val="00D37C18"/>
    <w:rsid w:val="00D40329"/>
    <w:rsid w:val="00D703BC"/>
    <w:rsid w:val="00DA37ED"/>
    <w:rsid w:val="00E04F70"/>
    <w:rsid w:val="00E05F4B"/>
    <w:rsid w:val="00E31C42"/>
    <w:rsid w:val="00E51901"/>
    <w:rsid w:val="00E5365D"/>
    <w:rsid w:val="00E63A83"/>
    <w:rsid w:val="00E8132D"/>
    <w:rsid w:val="00EC5744"/>
    <w:rsid w:val="00EF3A7A"/>
    <w:rsid w:val="00F00323"/>
    <w:rsid w:val="00F0218D"/>
    <w:rsid w:val="00F35480"/>
    <w:rsid w:val="00F52A48"/>
    <w:rsid w:val="00F74C19"/>
    <w:rsid w:val="00F95301"/>
    <w:rsid w:val="00FC1802"/>
    <w:rsid w:val="00FD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A12"/>
  <w15:docId w15:val="{1939BDB2-D4D4-47DE-BEDF-80897930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6C"/>
    <w:rPr>
      <w:lang w:eastAsia="en-US"/>
    </w:rPr>
  </w:style>
  <w:style w:type="paragraph" w:styleId="Heading1">
    <w:name w:val="heading 1"/>
    <w:basedOn w:val="Normal"/>
    <w:next w:val="Normal"/>
    <w:link w:val="Heading1Char"/>
    <w:uiPriority w:val="9"/>
    <w:qFormat/>
    <w:rsid w:val="00A14FE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DB686C"/>
    <w:rPr>
      <w:color w:val="0563C1"/>
      <w:u w:val="single"/>
    </w:rPr>
  </w:style>
  <w:style w:type="character" w:customStyle="1" w:styleId="Heading1Char">
    <w:name w:val="Heading 1 Char"/>
    <w:link w:val="Heading1"/>
    <w:uiPriority w:val="9"/>
    <w:rsid w:val="00A14FEE"/>
    <w:rPr>
      <w:rFonts w:ascii="Calibri Light" w:eastAsia="Times New Roman" w:hAnsi="Calibri Light" w:cs="Times New Roman"/>
      <w:color w:val="2E74B5"/>
      <w:sz w:val="32"/>
      <w:szCs w:val="32"/>
    </w:rPr>
  </w:style>
  <w:style w:type="character" w:customStyle="1" w:styleId="coursename">
    <w:name w:val="coursename"/>
    <w:basedOn w:val="DefaultParagraphFont"/>
    <w:rsid w:val="00007D79"/>
  </w:style>
  <w:style w:type="character" w:customStyle="1" w:styleId="courseid">
    <w:name w:val="courseid"/>
    <w:basedOn w:val="DefaultParagraphFont"/>
    <w:rsid w:val="00007D79"/>
  </w:style>
  <w:style w:type="paragraph" w:styleId="NormalWeb">
    <w:name w:val="Normal (Web)"/>
    <w:basedOn w:val="Normal"/>
    <w:uiPriority w:val="99"/>
    <w:unhideWhenUsed/>
    <w:rsid w:val="00007D79"/>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4542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54265"/>
    <w:rPr>
      <w:rFonts w:ascii="Segoe UI" w:hAnsi="Segoe UI" w:cs="Segoe UI"/>
      <w:sz w:val="18"/>
      <w:szCs w:val="18"/>
    </w:rPr>
  </w:style>
  <w:style w:type="character" w:styleId="CommentReference">
    <w:name w:val="annotation reference"/>
    <w:uiPriority w:val="99"/>
    <w:semiHidden/>
    <w:unhideWhenUsed/>
    <w:rsid w:val="003D7E84"/>
    <w:rPr>
      <w:sz w:val="16"/>
      <w:szCs w:val="16"/>
    </w:rPr>
  </w:style>
  <w:style w:type="paragraph" w:styleId="CommentText">
    <w:name w:val="annotation text"/>
    <w:basedOn w:val="Normal"/>
    <w:link w:val="CommentTextChar"/>
    <w:uiPriority w:val="99"/>
    <w:semiHidden/>
    <w:unhideWhenUsed/>
    <w:rsid w:val="003D7E84"/>
    <w:pPr>
      <w:spacing w:line="240" w:lineRule="auto"/>
    </w:pPr>
    <w:rPr>
      <w:sz w:val="20"/>
      <w:szCs w:val="20"/>
    </w:rPr>
  </w:style>
  <w:style w:type="character" w:customStyle="1" w:styleId="CommentTextChar">
    <w:name w:val="Comment Text Char"/>
    <w:link w:val="CommentText"/>
    <w:uiPriority w:val="99"/>
    <w:semiHidden/>
    <w:rsid w:val="003D7E84"/>
    <w:rPr>
      <w:sz w:val="20"/>
      <w:szCs w:val="20"/>
    </w:rPr>
  </w:style>
  <w:style w:type="paragraph" w:styleId="CommentSubject">
    <w:name w:val="annotation subject"/>
    <w:basedOn w:val="CommentText"/>
    <w:next w:val="CommentText"/>
    <w:link w:val="CommentSubjectChar"/>
    <w:uiPriority w:val="99"/>
    <w:semiHidden/>
    <w:unhideWhenUsed/>
    <w:rsid w:val="003D7E84"/>
    <w:rPr>
      <w:b/>
      <w:bCs/>
    </w:rPr>
  </w:style>
  <w:style w:type="character" w:customStyle="1" w:styleId="CommentSubjectChar">
    <w:name w:val="Comment Subject Char"/>
    <w:link w:val="CommentSubject"/>
    <w:uiPriority w:val="99"/>
    <w:semiHidden/>
    <w:rsid w:val="003D7E84"/>
    <w:rPr>
      <w:b/>
      <w:bCs/>
      <w:sz w:val="20"/>
      <w:szCs w:val="20"/>
    </w:rPr>
  </w:style>
  <w:style w:type="character" w:customStyle="1" w:styleId="article-headerdoilabel">
    <w:name w:val="article-header__doi__label"/>
    <w:basedOn w:val="DefaultParagraphFont"/>
    <w:rsid w:val="003B7182"/>
  </w:style>
  <w:style w:type="character" w:customStyle="1" w:styleId="UnresolvedMention1">
    <w:name w:val="Unresolved Mention1"/>
    <w:uiPriority w:val="99"/>
    <w:semiHidden/>
    <w:unhideWhenUsed/>
    <w:rsid w:val="008F36D9"/>
    <w:rPr>
      <w:color w:val="605E5C"/>
      <w:shd w:val="clear" w:color="auto" w:fill="E1DFDD"/>
    </w:rPr>
  </w:style>
  <w:style w:type="paragraph" w:styleId="ListParagraph">
    <w:name w:val="List Paragraph"/>
    <w:basedOn w:val="Normal"/>
    <w:uiPriority w:val="34"/>
    <w:qFormat/>
    <w:rsid w:val="00241FB4"/>
    <w:pPr>
      <w:ind w:left="720"/>
      <w:contextualSpacing/>
    </w:pPr>
    <w:rPr>
      <w:rFonts w:asciiTheme="minorHAnsi" w:eastAsiaTheme="minorHAnsi" w:hAnsiTheme="minorHAnsi" w:cstheme="minorBidi"/>
      <w:lang w:val="en-CA"/>
    </w:rPr>
  </w:style>
  <w:style w:type="paragraph" w:customStyle="1" w:styleId="m-4898200090644459004msolistparagraph">
    <w:name w:val="m_-4898200090644459004msolistparagraph"/>
    <w:basedOn w:val="Normal"/>
    <w:rsid w:val="00241FB4"/>
    <w:pPr>
      <w:spacing w:before="100" w:beforeAutospacing="1" w:after="100" w:afterAutospacing="1" w:line="240" w:lineRule="auto"/>
    </w:pPr>
    <w:rPr>
      <w:rFonts w:ascii="Times New Roman" w:eastAsia="Times New Roman" w:hAnsi="Times New Roman"/>
      <w:sz w:val="24"/>
      <w:szCs w:val="24"/>
      <w:lang w:val="en-CA"/>
    </w:rPr>
  </w:style>
  <w:style w:type="table" w:styleId="TableGrid">
    <w:name w:val="Table Grid"/>
    <w:basedOn w:val="TableNormal"/>
    <w:uiPriority w:val="39"/>
    <w:rsid w:val="00241FB4"/>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84B22"/>
    <w:rPr>
      <w:color w:val="605E5C"/>
      <w:shd w:val="clear" w:color="auto" w:fill="E1DFDD"/>
    </w:rPr>
  </w:style>
  <w:style w:type="table" w:styleId="TableGridLight">
    <w:name w:val="Grid Table Light"/>
    <w:basedOn w:val="TableNormal"/>
    <w:uiPriority w:val="40"/>
    <w:rsid w:val="00A65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0B4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34"/>
    <w:rPr>
      <w:lang w:eastAsia="en-US"/>
    </w:rPr>
  </w:style>
  <w:style w:type="paragraph" w:styleId="Footer">
    <w:name w:val="footer"/>
    <w:basedOn w:val="Normal"/>
    <w:link w:val="FooterChar"/>
    <w:uiPriority w:val="99"/>
    <w:unhideWhenUsed/>
    <w:rsid w:val="000B4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34"/>
    <w:rPr>
      <w:lang w:eastAsia="en-US"/>
    </w:rPr>
  </w:style>
  <w:style w:type="character" w:customStyle="1" w:styleId="UnresolvedMention3">
    <w:name w:val="Unresolved Mention3"/>
    <w:basedOn w:val="DefaultParagraphFont"/>
    <w:uiPriority w:val="99"/>
    <w:semiHidden/>
    <w:unhideWhenUsed/>
    <w:rsid w:val="00F00323"/>
    <w:rPr>
      <w:color w:val="605E5C"/>
      <w:shd w:val="clear" w:color="auto" w:fill="E1DFDD"/>
    </w:rPr>
  </w:style>
  <w:style w:type="character" w:styleId="FollowedHyperlink">
    <w:name w:val="FollowedHyperlink"/>
    <w:basedOn w:val="DefaultParagraphFont"/>
    <w:uiPriority w:val="99"/>
    <w:semiHidden/>
    <w:unhideWhenUsed/>
    <w:rsid w:val="003836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944">
      <w:bodyDiv w:val="1"/>
      <w:marLeft w:val="0"/>
      <w:marRight w:val="0"/>
      <w:marTop w:val="0"/>
      <w:marBottom w:val="0"/>
      <w:divBdr>
        <w:top w:val="none" w:sz="0" w:space="0" w:color="auto"/>
        <w:left w:val="none" w:sz="0" w:space="0" w:color="auto"/>
        <w:bottom w:val="none" w:sz="0" w:space="0" w:color="auto"/>
        <w:right w:val="none" w:sz="0" w:space="0" w:color="auto"/>
      </w:divBdr>
    </w:div>
    <w:div w:id="389504786">
      <w:bodyDiv w:val="1"/>
      <w:marLeft w:val="0"/>
      <w:marRight w:val="0"/>
      <w:marTop w:val="0"/>
      <w:marBottom w:val="0"/>
      <w:divBdr>
        <w:top w:val="none" w:sz="0" w:space="0" w:color="auto"/>
        <w:left w:val="none" w:sz="0" w:space="0" w:color="auto"/>
        <w:bottom w:val="none" w:sz="0" w:space="0" w:color="auto"/>
        <w:right w:val="none" w:sz="0" w:space="0" w:color="auto"/>
      </w:divBdr>
    </w:div>
    <w:div w:id="536967680">
      <w:bodyDiv w:val="1"/>
      <w:marLeft w:val="0"/>
      <w:marRight w:val="0"/>
      <w:marTop w:val="0"/>
      <w:marBottom w:val="0"/>
      <w:divBdr>
        <w:top w:val="none" w:sz="0" w:space="0" w:color="auto"/>
        <w:left w:val="none" w:sz="0" w:space="0" w:color="auto"/>
        <w:bottom w:val="none" w:sz="0" w:space="0" w:color="auto"/>
        <w:right w:val="none" w:sz="0" w:space="0" w:color="auto"/>
      </w:divBdr>
    </w:div>
    <w:div w:id="635181802">
      <w:bodyDiv w:val="1"/>
      <w:marLeft w:val="0"/>
      <w:marRight w:val="0"/>
      <w:marTop w:val="0"/>
      <w:marBottom w:val="0"/>
      <w:divBdr>
        <w:top w:val="none" w:sz="0" w:space="0" w:color="auto"/>
        <w:left w:val="none" w:sz="0" w:space="0" w:color="auto"/>
        <w:bottom w:val="none" w:sz="0" w:space="0" w:color="auto"/>
        <w:right w:val="none" w:sz="0" w:space="0" w:color="auto"/>
      </w:divBdr>
    </w:div>
    <w:div w:id="1176268192">
      <w:bodyDiv w:val="1"/>
      <w:marLeft w:val="0"/>
      <w:marRight w:val="0"/>
      <w:marTop w:val="0"/>
      <w:marBottom w:val="0"/>
      <w:divBdr>
        <w:top w:val="none" w:sz="0" w:space="0" w:color="auto"/>
        <w:left w:val="none" w:sz="0" w:space="0" w:color="auto"/>
        <w:bottom w:val="none" w:sz="0" w:space="0" w:color="auto"/>
        <w:right w:val="none" w:sz="0" w:space="0" w:color="auto"/>
      </w:divBdr>
    </w:div>
    <w:div w:id="1303122476">
      <w:bodyDiv w:val="1"/>
      <w:marLeft w:val="0"/>
      <w:marRight w:val="0"/>
      <w:marTop w:val="0"/>
      <w:marBottom w:val="0"/>
      <w:divBdr>
        <w:top w:val="none" w:sz="0" w:space="0" w:color="auto"/>
        <w:left w:val="none" w:sz="0" w:space="0" w:color="auto"/>
        <w:bottom w:val="none" w:sz="0" w:space="0" w:color="auto"/>
        <w:right w:val="none" w:sz="0" w:space="0" w:color="auto"/>
      </w:divBdr>
    </w:div>
    <w:div w:id="1681664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www.medicalradiationpracticeboard.gov.au/registration/professional-capabiliti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org/getmedia/ec30e173-42a8-4f33-ba50-bdd017612b1e/Roles%20and%20Responsibilities%20in%20Clinical%20Education_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cpc-uk.org/education/providers/sucinvolv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fohpe.org/FoHPE/article/view/83"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radi.2019.02.01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950846962801259E-2"/>
          <c:y val="0.13109537933901208"/>
          <c:w val="0.9370836654779896"/>
          <c:h val="0.75506190486972447"/>
        </c:manualLayout>
      </c:layout>
      <c:barChart>
        <c:barDir val="col"/>
        <c:grouping val="clustered"/>
        <c:varyColors val="0"/>
        <c:ser>
          <c:idx val="0"/>
          <c:order val="0"/>
          <c:tx>
            <c:strRef>
              <c:f>Sheet1!$B$21</c:f>
              <c:strCache>
                <c:ptCount val="1"/>
                <c:pt idx="0">
                  <c:v>Year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Sheet1!$A$22:$A$26</c:f>
              <c:strCache>
                <c:ptCount val="5"/>
                <c:pt idx="0">
                  <c:v>Less than 50 hours</c:v>
                </c:pt>
                <c:pt idx="1">
                  <c:v>Less than 100 hours</c:v>
                </c:pt>
                <c:pt idx="2">
                  <c:v>Less than 200 hours</c:v>
                </c:pt>
                <c:pt idx="3">
                  <c:v>Less than 400 hours</c:v>
                </c:pt>
                <c:pt idx="4">
                  <c:v>Less than 600 hours</c:v>
                </c:pt>
              </c:strCache>
            </c:strRef>
          </c:cat>
          <c:val>
            <c:numRef>
              <c:f>Sheet1!$B$22:$B$26</c:f>
              <c:numCache>
                <c:formatCode>General</c:formatCode>
                <c:ptCount val="5"/>
                <c:pt idx="0">
                  <c:v>16</c:v>
                </c:pt>
                <c:pt idx="1">
                  <c:v>21</c:v>
                </c:pt>
                <c:pt idx="2">
                  <c:v>12</c:v>
                </c:pt>
                <c:pt idx="3">
                  <c:v>9</c:v>
                </c:pt>
                <c:pt idx="4">
                  <c:v>1</c:v>
                </c:pt>
              </c:numCache>
            </c:numRef>
          </c:val>
          <c:extLst>
            <c:ext xmlns:c16="http://schemas.microsoft.com/office/drawing/2014/chart" uri="{C3380CC4-5D6E-409C-BE32-E72D297353CC}">
              <c16:uniqueId val="{00000000-C708-4E4C-B9A7-527485384917}"/>
            </c:ext>
          </c:extLst>
        </c:ser>
        <c:ser>
          <c:idx val="1"/>
          <c:order val="1"/>
          <c:tx>
            <c:strRef>
              <c:f>Sheet1!$C$21</c:f>
              <c:strCache>
                <c:ptCount val="1"/>
                <c:pt idx="0">
                  <c:v>Year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Sheet1!$A$22:$A$26</c:f>
              <c:strCache>
                <c:ptCount val="5"/>
                <c:pt idx="0">
                  <c:v>Less than 50 hours</c:v>
                </c:pt>
                <c:pt idx="1">
                  <c:v>Less than 100 hours</c:v>
                </c:pt>
                <c:pt idx="2">
                  <c:v>Less than 200 hours</c:v>
                </c:pt>
                <c:pt idx="3">
                  <c:v>Less than 400 hours</c:v>
                </c:pt>
                <c:pt idx="4">
                  <c:v>Less than 600 hours</c:v>
                </c:pt>
              </c:strCache>
            </c:strRef>
          </c:cat>
          <c:val>
            <c:numRef>
              <c:f>Sheet1!$C$22:$C$26</c:f>
              <c:numCache>
                <c:formatCode>General</c:formatCode>
                <c:ptCount val="5"/>
                <c:pt idx="0">
                  <c:v>16</c:v>
                </c:pt>
                <c:pt idx="1">
                  <c:v>21</c:v>
                </c:pt>
                <c:pt idx="2">
                  <c:v>12</c:v>
                </c:pt>
                <c:pt idx="3">
                  <c:v>9</c:v>
                </c:pt>
                <c:pt idx="4">
                  <c:v>1</c:v>
                </c:pt>
              </c:numCache>
            </c:numRef>
          </c:val>
          <c:extLst>
            <c:ext xmlns:c16="http://schemas.microsoft.com/office/drawing/2014/chart" uri="{C3380CC4-5D6E-409C-BE32-E72D297353CC}">
              <c16:uniqueId val="{00000001-C708-4E4C-B9A7-527485384917}"/>
            </c:ext>
          </c:extLst>
        </c:ser>
        <c:ser>
          <c:idx val="2"/>
          <c:order val="2"/>
          <c:tx>
            <c:strRef>
              <c:f>Sheet1!$D$21</c:f>
              <c:strCache>
                <c:ptCount val="1"/>
                <c:pt idx="0">
                  <c:v>Year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Sheet1!$A$22:$A$26</c:f>
              <c:strCache>
                <c:ptCount val="5"/>
                <c:pt idx="0">
                  <c:v>Less than 50 hours</c:v>
                </c:pt>
                <c:pt idx="1">
                  <c:v>Less than 100 hours</c:v>
                </c:pt>
                <c:pt idx="2">
                  <c:v>Less than 200 hours</c:v>
                </c:pt>
                <c:pt idx="3">
                  <c:v>Less than 400 hours</c:v>
                </c:pt>
                <c:pt idx="4">
                  <c:v>Less than 600 hours</c:v>
                </c:pt>
              </c:strCache>
            </c:strRef>
          </c:cat>
          <c:val>
            <c:numRef>
              <c:f>Sheet1!$D$22:$D$26</c:f>
              <c:numCache>
                <c:formatCode>General</c:formatCode>
                <c:ptCount val="5"/>
                <c:pt idx="0">
                  <c:v>15</c:v>
                </c:pt>
                <c:pt idx="1">
                  <c:v>19</c:v>
                </c:pt>
                <c:pt idx="2">
                  <c:v>8</c:v>
                </c:pt>
                <c:pt idx="3">
                  <c:v>9</c:v>
                </c:pt>
                <c:pt idx="4">
                  <c:v>1</c:v>
                </c:pt>
              </c:numCache>
            </c:numRef>
          </c:val>
          <c:extLst>
            <c:ext xmlns:c16="http://schemas.microsoft.com/office/drawing/2014/chart" uri="{C3380CC4-5D6E-409C-BE32-E72D297353CC}">
              <c16:uniqueId val="{00000002-C708-4E4C-B9A7-527485384917}"/>
            </c:ext>
          </c:extLst>
        </c:ser>
        <c:ser>
          <c:idx val="3"/>
          <c:order val="3"/>
          <c:tx>
            <c:strRef>
              <c:f>Sheet1!$E$21</c:f>
              <c:strCache>
                <c:ptCount val="1"/>
                <c:pt idx="0">
                  <c:v>Year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Sheet1!$A$22:$A$26</c:f>
              <c:strCache>
                <c:ptCount val="5"/>
                <c:pt idx="0">
                  <c:v>Less than 50 hours</c:v>
                </c:pt>
                <c:pt idx="1">
                  <c:v>Less than 100 hours</c:v>
                </c:pt>
                <c:pt idx="2">
                  <c:v>Less than 200 hours</c:v>
                </c:pt>
                <c:pt idx="3">
                  <c:v>Less than 400 hours</c:v>
                </c:pt>
                <c:pt idx="4">
                  <c:v>Less than 600 hours</c:v>
                </c:pt>
              </c:strCache>
            </c:strRef>
          </c:cat>
          <c:val>
            <c:numRef>
              <c:f>Sheet1!$E$22:$E$26</c:f>
              <c:numCache>
                <c:formatCode>General</c:formatCode>
                <c:ptCount val="5"/>
                <c:pt idx="0">
                  <c:v>7</c:v>
                </c:pt>
                <c:pt idx="1">
                  <c:v>8</c:v>
                </c:pt>
                <c:pt idx="2">
                  <c:v>6</c:v>
                </c:pt>
                <c:pt idx="3">
                  <c:v>1</c:v>
                </c:pt>
                <c:pt idx="4">
                  <c:v>1</c:v>
                </c:pt>
              </c:numCache>
            </c:numRef>
          </c:val>
          <c:extLst>
            <c:ext xmlns:c16="http://schemas.microsoft.com/office/drawing/2014/chart" uri="{C3380CC4-5D6E-409C-BE32-E72D297353CC}">
              <c16:uniqueId val="{00000003-C708-4E4C-B9A7-527485384917}"/>
            </c:ext>
          </c:extLst>
        </c:ser>
        <c:dLbls>
          <c:showLegendKey val="0"/>
          <c:showVal val="0"/>
          <c:showCatName val="0"/>
          <c:showSerName val="0"/>
          <c:showPercent val="0"/>
          <c:showBubbleSize val="0"/>
        </c:dLbls>
        <c:gapWidth val="300"/>
        <c:overlap val="-25"/>
        <c:axId val="365511616"/>
        <c:axId val="365513280"/>
      </c:barChart>
      <c:catAx>
        <c:axId val="36551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65513280"/>
        <c:crosses val="autoZero"/>
        <c:auto val="0"/>
        <c:lblAlgn val="ctr"/>
        <c:lblOffset val="100"/>
        <c:tickLblSkip val="1"/>
        <c:noMultiLvlLbl val="0"/>
      </c:catAx>
      <c:valAx>
        <c:axId val="36551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65511616"/>
        <c:crosses val="autoZero"/>
        <c:crossBetween val="between"/>
      </c:valAx>
      <c:spPr>
        <a:noFill/>
        <a:ln>
          <a:noFill/>
        </a:ln>
        <a:effectLst/>
      </c:spPr>
    </c:plotArea>
    <c:legend>
      <c:legendPos val="b"/>
      <c:layout>
        <c:manualLayout>
          <c:xMode val="edge"/>
          <c:yMode val="edge"/>
          <c:x val="0.18263146977714367"/>
          <c:y val="5.1975013339633259E-2"/>
          <c:w val="0.58968476496788347"/>
          <c:h val="6.6472812994362113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IU7oQqNlQLu8Ngo7i2rtOibqw==">AMUW2mXiD4b5HKfD/1mOFsDlL8Y3vupLdjPxZMory3+HAT3OZroaroSbeNX7CooSLHqz+VEIornhQX5/m5YXWp5HRyrwX1KLEIM+/rnMIvMXJjjF26zc06kk2nGCHHkuKAGeQt7/3/HO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Sharon (Radiography)</dc:creator>
  <cp:lastModifiedBy>Bridge, Pete</cp:lastModifiedBy>
  <cp:revision>3</cp:revision>
  <cp:lastPrinted>2021-03-26T11:37:00Z</cp:lastPrinted>
  <dcterms:created xsi:type="dcterms:W3CDTF">2021-07-20T12:52:00Z</dcterms:created>
  <dcterms:modified xsi:type="dcterms:W3CDTF">2021-07-20T12:55:00Z</dcterms:modified>
</cp:coreProperties>
</file>