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95E5" w14:textId="35C0F6AC" w:rsidR="00915E34" w:rsidRDefault="0091412C" w:rsidP="00752C36">
      <w:pPr>
        <w:pStyle w:val="Heading1"/>
        <w:spacing w:line="480" w:lineRule="auto"/>
        <w:jc w:val="center"/>
        <w:rPr>
          <w:rFonts w:ascii="Garamond" w:hAnsi="Garamond" w:cs="Times New Roman"/>
          <w:color w:val="auto"/>
          <w:sz w:val="24"/>
          <w:szCs w:val="24"/>
        </w:rPr>
      </w:pPr>
      <w:bookmarkStart w:id="0" w:name="_GoBack"/>
      <w:bookmarkEnd w:id="0"/>
      <w:r>
        <w:rPr>
          <w:rFonts w:ascii="Garamond" w:hAnsi="Garamond" w:cs="Times New Roman"/>
          <w:color w:val="auto"/>
          <w:sz w:val="24"/>
          <w:szCs w:val="24"/>
        </w:rPr>
        <w:t xml:space="preserve">PROMOTING </w:t>
      </w:r>
      <w:r w:rsidR="00051A25" w:rsidRPr="009321EF">
        <w:rPr>
          <w:rFonts w:ascii="Garamond" w:hAnsi="Garamond" w:cs="Times New Roman"/>
          <w:color w:val="auto"/>
          <w:sz w:val="24"/>
          <w:szCs w:val="24"/>
        </w:rPr>
        <w:t>PUBLIC CONFIDENCE</w:t>
      </w:r>
      <w:r w:rsidR="00915E34">
        <w:rPr>
          <w:rFonts w:ascii="Garamond" w:hAnsi="Garamond" w:cs="Times New Roman"/>
          <w:color w:val="auto"/>
          <w:sz w:val="24"/>
          <w:szCs w:val="24"/>
        </w:rPr>
        <w:t xml:space="preserve"> IN</w:t>
      </w:r>
      <w:r>
        <w:rPr>
          <w:rFonts w:ascii="Garamond" w:hAnsi="Garamond" w:cs="Times New Roman"/>
          <w:color w:val="auto"/>
          <w:sz w:val="24"/>
          <w:szCs w:val="24"/>
        </w:rPr>
        <w:t xml:space="preserve"> THE MEDICAL PROFESSION</w:t>
      </w:r>
      <w:r w:rsidR="00051A25" w:rsidRPr="009321EF">
        <w:rPr>
          <w:rFonts w:ascii="Garamond" w:hAnsi="Garamond" w:cs="Times New Roman"/>
          <w:color w:val="auto"/>
          <w:sz w:val="24"/>
          <w:szCs w:val="24"/>
        </w:rPr>
        <w:t xml:space="preserve">: </w:t>
      </w:r>
    </w:p>
    <w:p w14:paraId="4477541D" w14:textId="659C435E" w:rsidR="00051A25" w:rsidRPr="009321EF" w:rsidRDefault="00485132" w:rsidP="00752C36">
      <w:pPr>
        <w:pStyle w:val="Heading1"/>
        <w:spacing w:line="480" w:lineRule="auto"/>
        <w:jc w:val="center"/>
        <w:rPr>
          <w:rFonts w:ascii="Garamond" w:hAnsi="Garamond" w:cs="Times New Roman"/>
          <w:color w:val="auto"/>
          <w:sz w:val="24"/>
          <w:szCs w:val="24"/>
        </w:rPr>
      </w:pPr>
      <w:r w:rsidRPr="009321EF">
        <w:rPr>
          <w:rFonts w:ascii="Garamond" w:hAnsi="Garamond" w:cs="Times New Roman"/>
          <w:color w:val="auto"/>
          <w:sz w:val="24"/>
          <w:szCs w:val="24"/>
        </w:rPr>
        <w:t xml:space="preserve">LEARNING </w:t>
      </w:r>
      <w:r w:rsidR="00051A25" w:rsidRPr="009321EF">
        <w:rPr>
          <w:rFonts w:ascii="Garamond" w:hAnsi="Garamond" w:cs="Times New Roman"/>
          <w:color w:val="auto"/>
          <w:sz w:val="24"/>
          <w:szCs w:val="24"/>
        </w:rPr>
        <w:t xml:space="preserve">FROM </w:t>
      </w:r>
      <w:r w:rsidRPr="009321EF">
        <w:rPr>
          <w:rFonts w:ascii="Garamond" w:hAnsi="Garamond" w:cs="Times New Roman"/>
          <w:color w:val="auto"/>
          <w:sz w:val="24"/>
          <w:szCs w:val="24"/>
        </w:rPr>
        <w:t xml:space="preserve">THE CASE OF </w:t>
      </w:r>
      <w:r w:rsidR="001C5B92" w:rsidRPr="009321EF">
        <w:rPr>
          <w:rFonts w:ascii="Garamond" w:hAnsi="Garamond" w:cs="Times New Roman"/>
          <w:color w:val="auto"/>
          <w:sz w:val="24"/>
          <w:szCs w:val="24"/>
        </w:rPr>
        <w:t xml:space="preserve">DR. </w:t>
      </w:r>
      <w:r w:rsidR="001161DA" w:rsidRPr="009321EF">
        <w:rPr>
          <w:rFonts w:ascii="Garamond" w:hAnsi="Garamond" w:cs="Times New Roman"/>
          <w:color w:val="auto"/>
          <w:sz w:val="24"/>
          <w:szCs w:val="24"/>
        </w:rPr>
        <w:t>BAWA</w:t>
      </w:r>
      <w:r w:rsidR="00766073" w:rsidRPr="009321EF">
        <w:rPr>
          <w:rFonts w:ascii="Garamond" w:hAnsi="Garamond" w:cs="Times New Roman"/>
          <w:color w:val="auto"/>
          <w:sz w:val="24"/>
          <w:szCs w:val="24"/>
        </w:rPr>
        <w:t>-GARBA</w:t>
      </w:r>
    </w:p>
    <w:p w14:paraId="6C574646" w14:textId="77777777" w:rsidR="00DD260B" w:rsidRPr="009321EF" w:rsidRDefault="00DD260B" w:rsidP="00752C36">
      <w:pPr>
        <w:pStyle w:val="Normal1"/>
        <w:spacing w:line="480" w:lineRule="auto"/>
        <w:rPr>
          <w:rFonts w:ascii="Garamond" w:hAnsi="Garamond" w:cs="Times New Roman"/>
          <w:b/>
          <w:bCs/>
        </w:rPr>
      </w:pPr>
    </w:p>
    <w:p w14:paraId="6B2FD8AC" w14:textId="3D535EBD" w:rsidR="00DD260B" w:rsidRPr="009321EF" w:rsidRDefault="00C70A3C" w:rsidP="00752C36">
      <w:pPr>
        <w:pStyle w:val="Normal1"/>
        <w:spacing w:line="480" w:lineRule="auto"/>
        <w:jc w:val="center"/>
        <w:rPr>
          <w:rFonts w:ascii="Garamond" w:hAnsi="Garamond" w:cs="Times New Roman"/>
          <w:b/>
          <w:bCs/>
        </w:rPr>
      </w:pPr>
      <w:r w:rsidRPr="009321EF">
        <w:rPr>
          <w:rFonts w:ascii="Garamond" w:hAnsi="Garamond" w:cs="Times New Roman"/>
          <w:b/>
          <w:bCs/>
        </w:rPr>
        <w:t>A</w:t>
      </w:r>
      <w:r w:rsidR="00E76AA8">
        <w:rPr>
          <w:rFonts w:ascii="Garamond" w:hAnsi="Garamond" w:cs="Times New Roman"/>
          <w:b/>
          <w:bCs/>
        </w:rPr>
        <w:t>bstract</w:t>
      </w:r>
    </w:p>
    <w:p w14:paraId="71FBDAAC" w14:textId="01DED90E" w:rsidR="00E76AA8" w:rsidRDefault="00B604C8" w:rsidP="009321EF">
      <w:pPr>
        <w:pStyle w:val="Normal1"/>
        <w:spacing w:line="480" w:lineRule="auto"/>
        <w:jc w:val="both"/>
        <w:rPr>
          <w:rFonts w:ascii="Garamond" w:hAnsi="Garamond" w:cs="Times New Roman"/>
        </w:rPr>
      </w:pPr>
      <w:r w:rsidRPr="009321EF">
        <w:rPr>
          <w:rFonts w:ascii="Garamond" w:hAnsi="Garamond" w:cs="Times New Roman"/>
        </w:rPr>
        <w:t xml:space="preserve">In a </w:t>
      </w:r>
      <w:r w:rsidR="00B54E64">
        <w:rPr>
          <w:rFonts w:ascii="Garamond" w:hAnsi="Garamond" w:cs="Times New Roman"/>
        </w:rPr>
        <w:t xml:space="preserve">2015 </w:t>
      </w:r>
      <w:r w:rsidRPr="009321EF">
        <w:rPr>
          <w:rFonts w:ascii="Garamond" w:hAnsi="Garamond" w:cs="Times New Roman"/>
        </w:rPr>
        <w:t xml:space="preserve">prosecution </w:t>
      </w:r>
      <w:r w:rsidR="00B54E64">
        <w:rPr>
          <w:rFonts w:ascii="Garamond" w:hAnsi="Garamond" w:cs="Times New Roman"/>
        </w:rPr>
        <w:t>which divided</w:t>
      </w:r>
      <w:r w:rsidR="00857514">
        <w:rPr>
          <w:rFonts w:ascii="Garamond" w:hAnsi="Garamond" w:cs="Times New Roman"/>
        </w:rPr>
        <w:t xml:space="preserve"> public</w:t>
      </w:r>
      <w:r w:rsidR="00B54E64">
        <w:rPr>
          <w:rFonts w:ascii="Garamond" w:hAnsi="Garamond" w:cs="Times New Roman"/>
        </w:rPr>
        <w:t xml:space="preserve"> opinion</w:t>
      </w:r>
      <w:r w:rsidRPr="009321EF">
        <w:rPr>
          <w:rFonts w:ascii="Garamond" w:hAnsi="Garamond" w:cs="Times New Roman"/>
        </w:rPr>
        <w:t xml:space="preserve">, Dr </w:t>
      </w:r>
      <w:proofErr w:type="spellStart"/>
      <w:r w:rsidRPr="009321EF">
        <w:rPr>
          <w:rFonts w:ascii="Garamond" w:hAnsi="Garamond" w:cs="Times New Roman"/>
        </w:rPr>
        <w:t>Bawa-Garba</w:t>
      </w:r>
      <w:proofErr w:type="spellEnd"/>
      <w:r w:rsidRPr="009321EF">
        <w:rPr>
          <w:rFonts w:ascii="Garamond" w:hAnsi="Garamond" w:cs="Times New Roman"/>
        </w:rPr>
        <w:t xml:space="preserve"> was convicted of gross negligence manslaughter </w:t>
      </w:r>
      <w:r w:rsidR="00360FCF">
        <w:rPr>
          <w:rFonts w:ascii="Garamond" w:hAnsi="Garamond" w:cs="Times New Roman"/>
        </w:rPr>
        <w:t xml:space="preserve">and sentenced to </w:t>
      </w:r>
      <w:r w:rsidRPr="009321EF">
        <w:rPr>
          <w:rFonts w:ascii="Garamond" w:hAnsi="Garamond" w:cs="Times New Roman"/>
        </w:rPr>
        <w:t>two</w:t>
      </w:r>
      <w:r>
        <w:rPr>
          <w:rFonts w:ascii="Garamond" w:hAnsi="Garamond" w:cs="Times New Roman"/>
        </w:rPr>
        <w:t>-</w:t>
      </w:r>
      <w:r w:rsidRPr="009321EF">
        <w:rPr>
          <w:rFonts w:ascii="Garamond" w:hAnsi="Garamond" w:cs="Times New Roman"/>
        </w:rPr>
        <w:t>year</w:t>
      </w:r>
      <w:r w:rsidR="00360FCF">
        <w:rPr>
          <w:rFonts w:ascii="Garamond" w:hAnsi="Garamond" w:cs="Times New Roman"/>
        </w:rPr>
        <w:t xml:space="preserve">s’ </w:t>
      </w:r>
      <w:r w:rsidRPr="009321EF">
        <w:rPr>
          <w:rFonts w:ascii="Garamond" w:hAnsi="Garamond" w:cs="Times New Roman"/>
        </w:rPr>
        <w:t>imprisonment</w:t>
      </w:r>
      <w:r w:rsidR="00360FCF">
        <w:rPr>
          <w:rFonts w:ascii="Garamond" w:hAnsi="Garamond" w:cs="Times New Roman"/>
        </w:rPr>
        <w:t>, suspended for two years</w:t>
      </w:r>
      <w:r w:rsidRPr="009321EF">
        <w:rPr>
          <w:rFonts w:ascii="Garamond" w:hAnsi="Garamond" w:cs="Times New Roman"/>
        </w:rPr>
        <w:t xml:space="preserve">. </w:t>
      </w:r>
      <w:r w:rsidR="00085F3B" w:rsidRPr="009321EF">
        <w:rPr>
          <w:rFonts w:ascii="Garamond" w:hAnsi="Garamond" w:cs="Times New Roman"/>
        </w:rPr>
        <w:t xml:space="preserve">The </w:t>
      </w:r>
      <w:r w:rsidRPr="00B604C8">
        <w:rPr>
          <w:rFonts w:ascii="Garamond" w:hAnsi="Garamond" w:cs="Times New Roman"/>
        </w:rPr>
        <w:t>post-c</w:t>
      </w:r>
      <w:r>
        <w:rPr>
          <w:rFonts w:ascii="Garamond" w:hAnsi="Garamond" w:cs="Times New Roman"/>
        </w:rPr>
        <w:t>onviction litigation which sought to determine whether</w:t>
      </w:r>
      <w:r w:rsidR="00B54E64">
        <w:rPr>
          <w:rFonts w:ascii="Garamond" w:hAnsi="Garamond" w:cs="Times New Roman"/>
        </w:rPr>
        <w:t xml:space="preserve"> and when</w:t>
      </w:r>
      <w:r>
        <w:rPr>
          <w:rFonts w:ascii="Garamond" w:hAnsi="Garamond" w:cs="Times New Roman"/>
        </w:rPr>
        <w:t xml:space="preserve"> Dr </w:t>
      </w:r>
      <w:proofErr w:type="spellStart"/>
      <w:r>
        <w:rPr>
          <w:rFonts w:ascii="Garamond" w:hAnsi="Garamond" w:cs="Times New Roman"/>
        </w:rPr>
        <w:t>Bawa-Garba</w:t>
      </w:r>
      <w:proofErr w:type="spellEnd"/>
      <w:r>
        <w:rPr>
          <w:rFonts w:ascii="Garamond" w:hAnsi="Garamond" w:cs="Times New Roman"/>
        </w:rPr>
        <w:t xml:space="preserve"> could return to</w:t>
      </w:r>
      <w:r w:rsidR="00752C36">
        <w:rPr>
          <w:rFonts w:ascii="Garamond" w:hAnsi="Garamond" w:cs="Times New Roman"/>
        </w:rPr>
        <w:t xml:space="preserve"> clinical</w:t>
      </w:r>
      <w:r>
        <w:rPr>
          <w:rFonts w:ascii="Garamond" w:hAnsi="Garamond" w:cs="Times New Roman"/>
        </w:rPr>
        <w:t xml:space="preserve"> practi</w:t>
      </w:r>
      <w:r w:rsidR="002C2BC1">
        <w:rPr>
          <w:rFonts w:ascii="Garamond" w:hAnsi="Garamond" w:cs="Times New Roman"/>
        </w:rPr>
        <w:t>c</w:t>
      </w:r>
      <w:r>
        <w:rPr>
          <w:rFonts w:ascii="Garamond" w:hAnsi="Garamond" w:cs="Times New Roman"/>
        </w:rPr>
        <w:t>e</w:t>
      </w:r>
      <w:r w:rsidR="00085F3B" w:rsidRPr="009321EF">
        <w:rPr>
          <w:rFonts w:ascii="Garamond" w:hAnsi="Garamond" w:cs="Times New Roman"/>
        </w:rPr>
        <w:t xml:space="preserve"> threatened</w:t>
      </w:r>
      <w:r w:rsidR="001F30EC" w:rsidRPr="009321EF">
        <w:rPr>
          <w:rFonts w:ascii="Garamond" w:hAnsi="Garamond" w:cs="Times New Roman"/>
        </w:rPr>
        <w:t xml:space="preserve"> </w:t>
      </w:r>
      <w:r w:rsidR="001161DA" w:rsidRPr="009321EF">
        <w:rPr>
          <w:rFonts w:ascii="Garamond" w:hAnsi="Garamond" w:cs="Times New Roman"/>
        </w:rPr>
        <w:t xml:space="preserve">to </w:t>
      </w:r>
      <w:r w:rsidR="001F30EC" w:rsidRPr="009321EF">
        <w:rPr>
          <w:rFonts w:ascii="Garamond" w:hAnsi="Garamond" w:cs="Times New Roman"/>
        </w:rPr>
        <w:t>destabilise</w:t>
      </w:r>
      <w:r w:rsidR="00051A25" w:rsidRPr="009321EF">
        <w:rPr>
          <w:rFonts w:ascii="Garamond" w:hAnsi="Garamond" w:cs="Times New Roman"/>
        </w:rPr>
        <w:t xml:space="preserve"> the</w:t>
      </w:r>
      <w:r w:rsidR="00085F3B" w:rsidRPr="009321EF">
        <w:rPr>
          <w:rFonts w:ascii="Garamond" w:hAnsi="Garamond" w:cs="Times New Roman"/>
        </w:rPr>
        <w:t xml:space="preserve"> already</w:t>
      </w:r>
      <w:r w:rsidR="00051A25" w:rsidRPr="009321EF">
        <w:rPr>
          <w:rFonts w:ascii="Garamond" w:hAnsi="Garamond" w:cs="Times New Roman"/>
        </w:rPr>
        <w:t xml:space="preserve"> </w:t>
      </w:r>
      <w:r w:rsidR="001F30EC" w:rsidRPr="009321EF">
        <w:rPr>
          <w:rFonts w:ascii="Garamond" w:hAnsi="Garamond" w:cs="Times New Roman"/>
        </w:rPr>
        <w:t>fragile</w:t>
      </w:r>
      <w:r w:rsidR="00051A25" w:rsidRPr="009321EF">
        <w:rPr>
          <w:rFonts w:ascii="Garamond" w:hAnsi="Garamond" w:cs="Times New Roman"/>
        </w:rPr>
        <w:t xml:space="preserve"> relationship between the </w:t>
      </w:r>
      <w:r w:rsidR="00085F3B" w:rsidRPr="009321EF">
        <w:rPr>
          <w:rFonts w:ascii="Garamond" w:hAnsi="Garamond" w:cs="Times New Roman"/>
        </w:rPr>
        <w:t xml:space="preserve">medical </w:t>
      </w:r>
      <w:r w:rsidR="00051A25" w:rsidRPr="009321EF">
        <w:rPr>
          <w:rFonts w:ascii="Garamond" w:hAnsi="Garamond" w:cs="Times New Roman"/>
        </w:rPr>
        <w:t>profession and its regulator</w:t>
      </w:r>
      <w:r w:rsidR="00085F3B" w:rsidRPr="009321EF">
        <w:rPr>
          <w:rFonts w:ascii="Garamond" w:hAnsi="Garamond" w:cs="Times New Roman"/>
        </w:rPr>
        <w:t>, the General Medical Council</w:t>
      </w:r>
      <w:r w:rsidR="00051A25" w:rsidRPr="009321EF">
        <w:rPr>
          <w:rFonts w:ascii="Garamond" w:hAnsi="Garamond" w:cs="Times New Roman"/>
        </w:rPr>
        <w:t>. At the heart of t</w:t>
      </w:r>
      <w:r w:rsidR="00134998">
        <w:rPr>
          <w:rFonts w:ascii="Garamond" w:hAnsi="Garamond" w:cs="Times New Roman"/>
        </w:rPr>
        <w:t>his</w:t>
      </w:r>
      <w:r w:rsidR="00051A25" w:rsidRPr="009321EF">
        <w:rPr>
          <w:rFonts w:ascii="Garamond" w:hAnsi="Garamond" w:cs="Times New Roman"/>
        </w:rPr>
        <w:t xml:space="preserve"> </w:t>
      </w:r>
      <w:r w:rsidR="00134998">
        <w:rPr>
          <w:rFonts w:ascii="Garamond" w:hAnsi="Garamond" w:cs="Times New Roman"/>
        </w:rPr>
        <w:t>litigation</w:t>
      </w:r>
      <w:r w:rsidR="00051A25" w:rsidRPr="009321EF">
        <w:rPr>
          <w:rFonts w:ascii="Garamond" w:hAnsi="Garamond" w:cs="Times New Roman"/>
        </w:rPr>
        <w:t xml:space="preserve"> l</w:t>
      </w:r>
      <w:r w:rsidR="00134998">
        <w:rPr>
          <w:rFonts w:ascii="Garamond" w:hAnsi="Garamond" w:cs="Times New Roman"/>
        </w:rPr>
        <w:t>ay</w:t>
      </w:r>
      <w:r w:rsidR="00051A25" w:rsidRPr="009321EF">
        <w:rPr>
          <w:rFonts w:ascii="Garamond" w:hAnsi="Garamond" w:cs="Times New Roman"/>
        </w:rPr>
        <w:t xml:space="preserve"> the </w:t>
      </w:r>
      <w:r w:rsidR="00FB126C" w:rsidRPr="009321EF">
        <w:rPr>
          <w:rFonts w:ascii="Garamond" w:hAnsi="Garamond" w:cs="Times New Roman"/>
        </w:rPr>
        <w:t>regulator’s</w:t>
      </w:r>
      <w:r w:rsidR="00051A25" w:rsidRPr="009321EF">
        <w:rPr>
          <w:rFonts w:ascii="Garamond" w:hAnsi="Garamond" w:cs="Times New Roman"/>
        </w:rPr>
        <w:t xml:space="preserve"> quest to maintain </w:t>
      </w:r>
      <w:r w:rsidR="001E1220">
        <w:rPr>
          <w:rFonts w:ascii="Garamond" w:hAnsi="Garamond" w:cs="Times New Roman"/>
        </w:rPr>
        <w:t xml:space="preserve">and promote </w:t>
      </w:r>
      <w:r w:rsidR="00051A25" w:rsidRPr="009321EF">
        <w:rPr>
          <w:rFonts w:ascii="Garamond" w:hAnsi="Garamond" w:cs="Times New Roman"/>
        </w:rPr>
        <w:t>public confidence in the profession</w:t>
      </w:r>
      <w:r w:rsidR="001D4387" w:rsidRPr="009321EF">
        <w:rPr>
          <w:rFonts w:ascii="Garamond" w:hAnsi="Garamond" w:cs="Times New Roman"/>
        </w:rPr>
        <w:t xml:space="preserve">, </w:t>
      </w:r>
      <w:r w:rsidR="0022791B">
        <w:rPr>
          <w:rFonts w:ascii="Garamond" w:hAnsi="Garamond" w:cs="Times New Roman"/>
        </w:rPr>
        <w:t>in a case where the doctor concerned was not regarded as posing a future risk to patient safety</w:t>
      </w:r>
      <w:r w:rsidR="00051A25" w:rsidRPr="009321EF">
        <w:rPr>
          <w:rFonts w:ascii="Garamond" w:hAnsi="Garamond" w:cs="Times New Roman"/>
        </w:rPr>
        <w:t xml:space="preserve">. </w:t>
      </w:r>
      <w:r w:rsidR="004B10B8">
        <w:rPr>
          <w:rFonts w:ascii="Garamond" w:hAnsi="Garamond" w:cs="Times New Roman"/>
        </w:rPr>
        <w:t>Using the</w:t>
      </w:r>
      <w:r w:rsidR="004B10B8" w:rsidRPr="001E1220">
        <w:rPr>
          <w:rFonts w:ascii="Garamond" w:hAnsi="Garamond" w:cs="Times New Roman"/>
          <w:i/>
          <w:iCs/>
        </w:rPr>
        <w:t xml:space="preserve"> </w:t>
      </w:r>
      <w:proofErr w:type="spellStart"/>
      <w:r w:rsidR="0018195F" w:rsidRPr="001E1220">
        <w:rPr>
          <w:rFonts w:ascii="Garamond" w:hAnsi="Garamond" w:cs="Times New Roman"/>
          <w:i/>
          <w:iCs/>
        </w:rPr>
        <w:t>Bawa-Garba</w:t>
      </w:r>
      <w:proofErr w:type="spellEnd"/>
      <w:r w:rsidR="0018195F" w:rsidRPr="001E1220">
        <w:rPr>
          <w:rFonts w:ascii="Garamond" w:hAnsi="Garamond" w:cs="Times New Roman"/>
          <w:i/>
          <w:iCs/>
        </w:rPr>
        <w:t xml:space="preserve"> </w:t>
      </w:r>
      <w:r w:rsidR="0018195F">
        <w:rPr>
          <w:rFonts w:ascii="Garamond" w:hAnsi="Garamond" w:cs="Times New Roman"/>
        </w:rPr>
        <w:t>litigation</w:t>
      </w:r>
      <w:r w:rsidR="004B10B8">
        <w:rPr>
          <w:rFonts w:ascii="Garamond" w:hAnsi="Garamond" w:cs="Times New Roman"/>
        </w:rPr>
        <w:t>, this commentary examines</w:t>
      </w:r>
      <w:r w:rsidR="00902FCA" w:rsidRPr="009321EF">
        <w:rPr>
          <w:rFonts w:ascii="Garamond" w:hAnsi="Garamond" w:cs="Times New Roman"/>
        </w:rPr>
        <w:t xml:space="preserve"> the </w:t>
      </w:r>
      <w:r w:rsidR="00260708" w:rsidRPr="009321EF">
        <w:rPr>
          <w:rFonts w:ascii="Garamond" w:hAnsi="Garamond" w:cs="Times New Roman"/>
        </w:rPr>
        <w:t xml:space="preserve">position and use of the </w:t>
      </w:r>
      <w:r w:rsidR="00902FCA" w:rsidRPr="009321EF">
        <w:rPr>
          <w:rFonts w:ascii="Garamond" w:hAnsi="Garamond" w:cs="Times New Roman"/>
        </w:rPr>
        <w:t xml:space="preserve">nebulous concept of ‘public confidence’ </w:t>
      </w:r>
      <w:r w:rsidR="002E0C51">
        <w:rPr>
          <w:rFonts w:ascii="Garamond" w:hAnsi="Garamond" w:cs="Times New Roman"/>
        </w:rPr>
        <w:t>with</w:t>
      </w:r>
      <w:r w:rsidR="00902FCA" w:rsidRPr="009321EF">
        <w:rPr>
          <w:rFonts w:ascii="Garamond" w:hAnsi="Garamond" w:cs="Times New Roman"/>
        </w:rPr>
        <w:t>in the fitness to practise framework for doctors</w:t>
      </w:r>
      <w:r w:rsidR="00827B9B">
        <w:rPr>
          <w:rFonts w:ascii="Garamond" w:hAnsi="Garamond" w:cs="Times New Roman"/>
        </w:rPr>
        <w:t>.</w:t>
      </w:r>
      <w:r w:rsidR="00902FCA" w:rsidRPr="009321EF">
        <w:rPr>
          <w:rFonts w:ascii="Garamond" w:hAnsi="Garamond" w:cs="Times New Roman"/>
        </w:rPr>
        <w:t xml:space="preserve"> </w:t>
      </w:r>
      <w:r w:rsidR="00827B9B">
        <w:rPr>
          <w:rFonts w:ascii="Garamond" w:hAnsi="Garamond" w:cs="Times New Roman"/>
        </w:rPr>
        <w:t>A</w:t>
      </w:r>
      <w:r w:rsidR="00235651" w:rsidRPr="009321EF">
        <w:rPr>
          <w:rFonts w:ascii="Garamond" w:hAnsi="Garamond" w:cs="Times New Roman"/>
        </w:rPr>
        <w:t xml:space="preserve">lthough the authors’ observations </w:t>
      </w:r>
      <w:r w:rsidR="00561874">
        <w:rPr>
          <w:rFonts w:ascii="Garamond" w:hAnsi="Garamond" w:cs="Times New Roman"/>
        </w:rPr>
        <w:t>arise</w:t>
      </w:r>
      <w:r w:rsidR="00235651" w:rsidRPr="009321EF">
        <w:rPr>
          <w:rFonts w:ascii="Garamond" w:hAnsi="Garamond" w:cs="Times New Roman"/>
        </w:rPr>
        <w:t xml:space="preserve"> </w:t>
      </w:r>
      <w:r w:rsidR="00260708" w:rsidRPr="009321EF">
        <w:rPr>
          <w:rFonts w:ascii="Garamond" w:hAnsi="Garamond" w:cs="Times New Roman"/>
        </w:rPr>
        <w:t xml:space="preserve">specifically </w:t>
      </w:r>
      <w:r w:rsidR="00561874">
        <w:rPr>
          <w:rFonts w:ascii="Garamond" w:hAnsi="Garamond" w:cs="Times New Roman"/>
        </w:rPr>
        <w:t>from</w:t>
      </w:r>
      <w:r w:rsidR="00260708" w:rsidRPr="009321EF">
        <w:rPr>
          <w:rFonts w:ascii="Garamond" w:hAnsi="Garamond" w:cs="Times New Roman"/>
        </w:rPr>
        <w:t xml:space="preserve"> a case decided in</w:t>
      </w:r>
      <w:r w:rsidR="00235651" w:rsidRPr="009321EF">
        <w:rPr>
          <w:rFonts w:ascii="Garamond" w:hAnsi="Garamond" w:cs="Times New Roman"/>
        </w:rPr>
        <w:t xml:space="preserve"> the UK, ‘public confidence’ is a </w:t>
      </w:r>
      <w:r w:rsidR="00827B9B">
        <w:rPr>
          <w:rFonts w:ascii="Garamond" w:hAnsi="Garamond" w:cs="Times New Roman"/>
        </w:rPr>
        <w:t>touchstone</w:t>
      </w:r>
      <w:r w:rsidR="00235651" w:rsidRPr="009321EF">
        <w:rPr>
          <w:rFonts w:ascii="Garamond" w:hAnsi="Garamond" w:cs="Times New Roman"/>
        </w:rPr>
        <w:t xml:space="preserve"> concept in professional regulation regimes around the world</w:t>
      </w:r>
      <w:r w:rsidR="00260708" w:rsidRPr="009321EF">
        <w:rPr>
          <w:rFonts w:ascii="Garamond" w:hAnsi="Garamond" w:cs="Times New Roman"/>
        </w:rPr>
        <w:t xml:space="preserve"> and so these observations </w:t>
      </w:r>
      <w:r w:rsidR="001161DA" w:rsidRPr="009321EF">
        <w:rPr>
          <w:rFonts w:ascii="Garamond" w:hAnsi="Garamond" w:cs="Times New Roman"/>
        </w:rPr>
        <w:t>have</w:t>
      </w:r>
      <w:r w:rsidR="00260708" w:rsidRPr="009321EF">
        <w:rPr>
          <w:rFonts w:ascii="Garamond" w:hAnsi="Garamond" w:cs="Times New Roman"/>
        </w:rPr>
        <w:t xml:space="preserve"> relevance</w:t>
      </w:r>
      <w:r w:rsidR="002C2BC1">
        <w:rPr>
          <w:rFonts w:ascii="Garamond" w:hAnsi="Garamond" w:cs="Times New Roman"/>
        </w:rPr>
        <w:t xml:space="preserve"> beyond this jurisdiction</w:t>
      </w:r>
      <w:r w:rsidR="00235651" w:rsidRPr="009321EF">
        <w:rPr>
          <w:rFonts w:ascii="Garamond" w:hAnsi="Garamond" w:cs="Times New Roman"/>
        </w:rPr>
        <w:t>.</w:t>
      </w:r>
      <w:r w:rsidR="001B2276" w:rsidRPr="009321EF">
        <w:rPr>
          <w:rFonts w:ascii="Garamond" w:hAnsi="Garamond" w:cs="Times New Roman"/>
        </w:rPr>
        <w:t xml:space="preserve"> </w:t>
      </w:r>
      <w:r w:rsidR="00F22ADD">
        <w:rPr>
          <w:rFonts w:ascii="Garamond" w:hAnsi="Garamond" w:cs="Times New Roman"/>
        </w:rPr>
        <w:t xml:space="preserve">The authors </w:t>
      </w:r>
      <w:r w:rsidR="00860243">
        <w:rPr>
          <w:rFonts w:ascii="Garamond" w:hAnsi="Garamond" w:cs="Times New Roman"/>
        </w:rPr>
        <w:t>argue that</w:t>
      </w:r>
      <w:r w:rsidR="006E4F0C">
        <w:rPr>
          <w:rFonts w:ascii="Garamond" w:hAnsi="Garamond" w:cs="Times New Roman"/>
        </w:rPr>
        <w:t>,</w:t>
      </w:r>
      <w:r w:rsidR="00860243">
        <w:rPr>
          <w:rFonts w:ascii="Garamond" w:hAnsi="Garamond" w:cs="Times New Roman"/>
        </w:rPr>
        <w:t xml:space="preserve"> for too long, </w:t>
      </w:r>
      <w:r w:rsidR="00B60816">
        <w:rPr>
          <w:rFonts w:ascii="Garamond" w:hAnsi="Garamond" w:cs="Times New Roman"/>
        </w:rPr>
        <w:t xml:space="preserve">use of </w:t>
      </w:r>
      <w:r w:rsidR="00860243">
        <w:rPr>
          <w:rFonts w:ascii="Garamond" w:hAnsi="Garamond" w:cs="Times New Roman"/>
        </w:rPr>
        <w:t>the rhetoric of public confidence in</w:t>
      </w:r>
      <w:r w:rsidR="00B60816">
        <w:rPr>
          <w:rFonts w:ascii="Garamond" w:hAnsi="Garamond" w:cs="Times New Roman"/>
        </w:rPr>
        <w:t xml:space="preserve"> </w:t>
      </w:r>
      <w:r w:rsidR="00752C36">
        <w:rPr>
          <w:rFonts w:ascii="Garamond" w:hAnsi="Garamond" w:cs="Times New Roman"/>
        </w:rPr>
        <w:t xml:space="preserve">the regulation of the medical profession </w:t>
      </w:r>
      <w:r w:rsidR="00860243">
        <w:rPr>
          <w:rFonts w:ascii="Garamond" w:hAnsi="Garamond" w:cs="Times New Roman"/>
        </w:rPr>
        <w:t>has been characterised by an unsatisfactory lack of transparency</w:t>
      </w:r>
      <w:r w:rsidR="00752C36">
        <w:rPr>
          <w:rFonts w:ascii="Garamond" w:hAnsi="Garamond" w:cs="Times New Roman"/>
        </w:rPr>
        <w:t>,</w:t>
      </w:r>
      <w:r w:rsidR="00860243">
        <w:rPr>
          <w:rFonts w:ascii="Garamond" w:hAnsi="Garamond" w:cs="Times New Roman"/>
        </w:rPr>
        <w:t xml:space="preserve"> </w:t>
      </w:r>
      <w:r w:rsidR="00F24058">
        <w:rPr>
          <w:rFonts w:ascii="Garamond" w:hAnsi="Garamond" w:cs="Times New Roman"/>
        </w:rPr>
        <w:t xml:space="preserve">excessive deference </w:t>
      </w:r>
      <w:r w:rsidR="001E1220">
        <w:rPr>
          <w:rFonts w:ascii="Garamond" w:hAnsi="Garamond" w:cs="Times New Roman"/>
        </w:rPr>
        <w:t>by the courts</w:t>
      </w:r>
      <w:r w:rsidR="00857514">
        <w:rPr>
          <w:rFonts w:ascii="Garamond" w:hAnsi="Garamond" w:cs="Times New Roman"/>
        </w:rPr>
        <w:t xml:space="preserve"> to regulatory tribunals</w:t>
      </w:r>
      <w:r w:rsidR="001E1220">
        <w:rPr>
          <w:rFonts w:ascii="Garamond" w:hAnsi="Garamond" w:cs="Times New Roman"/>
        </w:rPr>
        <w:t xml:space="preserve"> </w:t>
      </w:r>
      <w:r w:rsidR="00F24058">
        <w:rPr>
          <w:rFonts w:ascii="Garamond" w:hAnsi="Garamond" w:cs="Times New Roman"/>
        </w:rPr>
        <w:t>and that</w:t>
      </w:r>
      <w:r w:rsidR="00860243">
        <w:rPr>
          <w:rFonts w:ascii="Garamond" w:hAnsi="Garamond" w:cs="Times New Roman"/>
        </w:rPr>
        <w:t xml:space="preserve"> research is increasingly </w:t>
      </w:r>
      <w:r w:rsidR="001E1220">
        <w:rPr>
          <w:rFonts w:ascii="Garamond" w:hAnsi="Garamond" w:cs="Times New Roman"/>
        </w:rPr>
        <w:t>signalling</w:t>
      </w:r>
      <w:r w:rsidR="00860243">
        <w:rPr>
          <w:rFonts w:ascii="Garamond" w:hAnsi="Garamond" w:cs="Times New Roman"/>
        </w:rPr>
        <w:t xml:space="preserve"> that instinctual </w:t>
      </w:r>
      <w:r w:rsidR="00B54E64">
        <w:rPr>
          <w:rFonts w:ascii="Garamond" w:hAnsi="Garamond" w:cs="Times New Roman"/>
        </w:rPr>
        <w:t xml:space="preserve">‘expert’ </w:t>
      </w:r>
      <w:r w:rsidR="00860243">
        <w:rPr>
          <w:rFonts w:ascii="Garamond" w:hAnsi="Garamond" w:cs="Times New Roman"/>
        </w:rPr>
        <w:t xml:space="preserve">judgements </w:t>
      </w:r>
      <w:r w:rsidR="00B54E64">
        <w:rPr>
          <w:rFonts w:ascii="Garamond" w:hAnsi="Garamond" w:cs="Times New Roman"/>
        </w:rPr>
        <w:t>on the issue of ‘</w:t>
      </w:r>
      <w:r w:rsidR="00860243">
        <w:rPr>
          <w:rFonts w:ascii="Garamond" w:hAnsi="Garamond" w:cs="Times New Roman"/>
        </w:rPr>
        <w:t>what the public think</w:t>
      </w:r>
      <w:r w:rsidR="00B54E64">
        <w:rPr>
          <w:rFonts w:ascii="Garamond" w:hAnsi="Garamond" w:cs="Times New Roman"/>
        </w:rPr>
        <w:t>’</w:t>
      </w:r>
      <w:r w:rsidR="00860243">
        <w:rPr>
          <w:rFonts w:ascii="Garamond" w:hAnsi="Garamond" w:cs="Times New Roman"/>
        </w:rPr>
        <w:t xml:space="preserve"> </w:t>
      </w:r>
      <w:r w:rsidR="00B60816">
        <w:rPr>
          <w:rFonts w:ascii="Garamond" w:hAnsi="Garamond" w:cs="Times New Roman"/>
        </w:rPr>
        <w:t>may be</w:t>
      </w:r>
      <w:r w:rsidR="00860243">
        <w:rPr>
          <w:rFonts w:ascii="Garamond" w:hAnsi="Garamond" w:cs="Times New Roman"/>
        </w:rPr>
        <w:t xml:space="preserve"> unreliable. </w:t>
      </w:r>
    </w:p>
    <w:p w14:paraId="77598FDF" w14:textId="77777777" w:rsidR="00752C36" w:rsidRPr="009321EF" w:rsidRDefault="00752C36" w:rsidP="009321EF">
      <w:pPr>
        <w:pStyle w:val="Normal1"/>
        <w:spacing w:line="480" w:lineRule="auto"/>
        <w:jc w:val="both"/>
        <w:rPr>
          <w:rFonts w:ascii="Garamond" w:hAnsi="Garamond" w:cs="Times New Roman"/>
          <w:b/>
          <w:bCs/>
        </w:rPr>
      </w:pPr>
    </w:p>
    <w:p w14:paraId="6C8B4DB8" w14:textId="01539247" w:rsidR="00752C36" w:rsidRDefault="000B376A" w:rsidP="009321EF">
      <w:pPr>
        <w:pStyle w:val="Normal1"/>
        <w:spacing w:line="480" w:lineRule="auto"/>
        <w:jc w:val="both"/>
        <w:rPr>
          <w:rFonts w:ascii="Garamond" w:hAnsi="Garamond" w:cs="Times New Roman"/>
        </w:rPr>
      </w:pPr>
      <w:r w:rsidRPr="009321EF">
        <w:rPr>
          <w:rFonts w:ascii="Garamond" w:hAnsi="Garamond" w:cs="Times New Roman"/>
          <w:b/>
          <w:bCs/>
        </w:rPr>
        <w:t>Keywords:</w:t>
      </w:r>
      <w:r w:rsidRPr="009321EF">
        <w:rPr>
          <w:rFonts w:ascii="Garamond" w:hAnsi="Garamond" w:cs="Times New Roman"/>
        </w:rPr>
        <w:t xml:space="preserve"> </w:t>
      </w:r>
      <w:r w:rsidR="00902FCA" w:rsidRPr="009321EF">
        <w:rPr>
          <w:rFonts w:ascii="Garamond" w:hAnsi="Garamond" w:cs="Times New Roman"/>
        </w:rPr>
        <w:t xml:space="preserve">Fitness to Practise, </w:t>
      </w:r>
      <w:r w:rsidR="00A2389D" w:rsidRPr="009321EF">
        <w:rPr>
          <w:rFonts w:ascii="Garamond" w:hAnsi="Garamond" w:cs="Times New Roman"/>
        </w:rPr>
        <w:t>General Medical Council</w:t>
      </w:r>
      <w:r w:rsidRPr="009321EF">
        <w:rPr>
          <w:rFonts w:ascii="Garamond" w:hAnsi="Garamond" w:cs="Times New Roman"/>
        </w:rPr>
        <w:t xml:space="preserve">, </w:t>
      </w:r>
      <w:r w:rsidR="00A84BBF" w:rsidRPr="009321EF">
        <w:rPr>
          <w:rFonts w:ascii="Garamond" w:hAnsi="Garamond" w:cs="Times New Roman"/>
        </w:rPr>
        <w:t>Professional Regulation</w:t>
      </w:r>
      <w:r w:rsidR="00A2389D" w:rsidRPr="009321EF">
        <w:rPr>
          <w:rFonts w:ascii="Garamond" w:hAnsi="Garamond" w:cs="Times New Roman"/>
        </w:rPr>
        <w:t xml:space="preserve">, </w:t>
      </w:r>
      <w:r w:rsidR="00142B47" w:rsidRPr="009321EF">
        <w:rPr>
          <w:rFonts w:ascii="Garamond" w:hAnsi="Garamond" w:cs="Times New Roman"/>
        </w:rPr>
        <w:t>Public Confidence</w:t>
      </w:r>
    </w:p>
    <w:p w14:paraId="7D54284F" w14:textId="77777777" w:rsidR="00752C36" w:rsidRDefault="00752C36">
      <w:pPr>
        <w:pStyle w:val="Normal1"/>
        <w:spacing w:line="480" w:lineRule="auto"/>
        <w:jc w:val="both"/>
        <w:rPr>
          <w:rFonts w:ascii="Garamond" w:hAnsi="Garamond" w:cs="Times New Roman"/>
          <w:b/>
          <w:bCs/>
        </w:rPr>
      </w:pPr>
    </w:p>
    <w:p w14:paraId="715119F2" w14:textId="7E1F6C21" w:rsidR="00752C36" w:rsidRPr="009321EF" w:rsidRDefault="00E76AA8" w:rsidP="009321EF">
      <w:pPr>
        <w:pStyle w:val="Normal1"/>
        <w:spacing w:line="480" w:lineRule="auto"/>
        <w:jc w:val="both"/>
        <w:rPr>
          <w:rFonts w:ascii="Garamond" w:hAnsi="Garamond" w:cs="Times New Roman"/>
          <w:b/>
          <w:bCs/>
        </w:rPr>
      </w:pPr>
      <w:r w:rsidRPr="009321EF">
        <w:rPr>
          <w:rFonts w:ascii="Garamond" w:hAnsi="Garamond" w:cs="Times New Roman"/>
          <w:b/>
          <w:bCs/>
        </w:rPr>
        <w:lastRenderedPageBreak/>
        <w:t xml:space="preserve">Introduction </w:t>
      </w:r>
    </w:p>
    <w:p w14:paraId="22BCC190" w14:textId="77777777" w:rsidR="00E76AA8" w:rsidRPr="009321EF" w:rsidRDefault="00E76AA8" w:rsidP="009321EF">
      <w:pPr>
        <w:pStyle w:val="Normal1"/>
        <w:spacing w:line="480" w:lineRule="auto"/>
        <w:jc w:val="both"/>
        <w:rPr>
          <w:rFonts w:ascii="Garamond" w:hAnsi="Garamond" w:cs="Times New Roman"/>
        </w:rPr>
      </w:pPr>
    </w:p>
    <w:p w14:paraId="57D79DD9" w14:textId="1746C471" w:rsidR="00260708" w:rsidRPr="009321EF" w:rsidRDefault="007907C8" w:rsidP="009321EF">
      <w:pPr>
        <w:pStyle w:val="Normal1"/>
        <w:spacing w:line="480" w:lineRule="auto"/>
        <w:jc w:val="both"/>
        <w:rPr>
          <w:rFonts w:ascii="Garamond" w:hAnsi="Garamond" w:cs="Times New Roman"/>
          <w:bCs/>
        </w:rPr>
      </w:pPr>
      <w:r w:rsidRPr="009321EF">
        <w:rPr>
          <w:rFonts w:ascii="Garamond" w:hAnsi="Garamond" w:cs="Times New Roman"/>
        </w:rPr>
        <w:t>There is growing interest</w:t>
      </w:r>
      <w:r w:rsidRPr="009321EF">
        <w:rPr>
          <w:rFonts w:ascii="Garamond" w:hAnsi="Garamond" w:cs="Times New Roman"/>
          <w:vertAlign w:val="superscript"/>
        </w:rPr>
        <w:footnoteReference w:id="1"/>
      </w:r>
      <w:r w:rsidRPr="009321EF">
        <w:rPr>
          <w:rFonts w:ascii="Garamond" w:hAnsi="Garamond" w:cs="Times New Roman"/>
        </w:rPr>
        <w:t xml:space="preserve"> in the concept of ‘maintaining public confidence’ </w:t>
      </w:r>
      <w:r w:rsidR="00256022" w:rsidRPr="009321EF">
        <w:rPr>
          <w:rFonts w:ascii="Garamond" w:hAnsi="Garamond" w:cs="Times New Roman"/>
        </w:rPr>
        <w:t xml:space="preserve">as it is applied in the regulation of </w:t>
      </w:r>
      <w:r w:rsidR="001161DA" w:rsidRPr="009321EF">
        <w:rPr>
          <w:rFonts w:ascii="Garamond" w:hAnsi="Garamond" w:cs="Times New Roman"/>
        </w:rPr>
        <w:t>the health care professions</w:t>
      </w:r>
      <w:r w:rsidR="00256022" w:rsidRPr="009321EF">
        <w:rPr>
          <w:rFonts w:ascii="Garamond" w:hAnsi="Garamond" w:cs="Times New Roman"/>
        </w:rPr>
        <w:t xml:space="preserve">. </w:t>
      </w:r>
      <w:r w:rsidR="00F75E98" w:rsidRPr="009321EF">
        <w:rPr>
          <w:rFonts w:ascii="Garamond" w:hAnsi="Garamond" w:cs="Times New Roman"/>
        </w:rPr>
        <w:t xml:space="preserve">The </w:t>
      </w:r>
      <w:r w:rsidR="0039548C">
        <w:rPr>
          <w:rFonts w:ascii="Garamond" w:hAnsi="Garamond" w:cs="Times New Roman"/>
        </w:rPr>
        <w:t>term is</w:t>
      </w:r>
      <w:r w:rsidR="00134998">
        <w:rPr>
          <w:rFonts w:ascii="Garamond" w:hAnsi="Garamond" w:cs="Times New Roman"/>
        </w:rPr>
        <w:t xml:space="preserve"> frequently</w:t>
      </w:r>
      <w:r w:rsidR="0039548C">
        <w:rPr>
          <w:rFonts w:ascii="Garamond" w:hAnsi="Garamond" w:cs="Times New Roman"/>
        </w:rPr>
        <w:t xml:space="preserve"> a central feature of </w:t>
      </w:r>
      <w:r w:rsidR="00405700">
        <w:rPr>
          <w:rFonts w:ascii="Garamond" w:hAnsi="Garamond" w:cs="Times New Roman"/>
        </w:rPr>
        <w:t xml:space="preserve">fitness to practise frameworks, usually </w:t>
      </w:r>
      <w:r w:rsidR="00857514">
        <w:rPr>
          <w:rFonts w:ascii="Garamond" w:hAnsi="Garamond" w:cs="Times New Roman"/>
        </w:rPr>
        <w:t xml:space="preserve">conceptualised </w:t>
      </w:r>
      <w:r w:rsidR="00405700">
        <w:rPr>
          <w:rFonts w:ascii="Garamond" w:hAnsi="Garamond" w:cs="Times New Roman"/>
        </w:rPr>
        <w:t>as a component part of a broader duty to protect patients</w:t>
      </w:r>
      <w:r w:rsidR="002C2BC1">
        <w:rPr>
          <w:rFonts w:ascii="Garamond" w:hAnsi="Garamond" w:cs="Times New Roman"/>
        </w:rPr>
        <w:t xml:space="preserve"> or the </w:t>
      </w:r>
      <w:r w:rsidR="00405700">
        <w:rPr>
          <w:rFonts w:ascii="Garamond" w:hAnsi="Garamond" w:cs="Times New Roman"/>
        </w:rPr>
        <w:t>public</w:t>
      </w:r>
      <w:r w:rsidR="00F75E98" w:rsidRPr="009321EF">
        <w:rPr>
          <w:rFonts w:ascii="Garamond" w:hAnsi="Garamond" w:cs="Times New Roman"/>
        </w:rPr>
        <w:t>.</w:t>
      </w:r>
      <w:r w:rsidR="004B10B8">
        <w:rPr>
          <w:rStyle w:val="FootnoteReference"/>
          <w:rFonts w:ascii="Garamond" w:hAnsi="Garamond" w:cs="Times New Roman"/>
        </w:rPr>
        <w:footnoteReference w:id="2"/>
      </w:r>
      <w:r w:rsidR="00F75E98" w:rsidRPr="009321EF">
        <w:rPr>
          <w:rFonts w:ascii="Garamond" w:hAnsi="Garamond" w:cs="Times New Roman"/>
        </w:rPr>
        <w:t xml:space="preserve"> In the UK, t</w:t>
      </w:r>
      <w:r w:rsidR="00256022" w:rsidRPr="009321EF">
        <w:rPr>
          <w:rFonts w:ascii="Garamond" w:hAnsi="Garamond" w:cs="Times New Roman"/>
        </w:rPr>
        <w:t>he</w:t>
      </w:r>
      <w:r w:rsidRPr="009321EF">
        <w:rPr>
          <w:rFonts w:ascii="Garamond" w:hAnsi="Garamond" w:cs="Times New Roman"/>
        </w:rPr>
        <w:t xml:space="preserve"> term is acknowledged as being relevant to all stages of fitness to practise determinations in tribunals</w:t>
      </w:r>
      <w:r w:rsidR="00134998">
        <w:rPr>
          <w:rFonts w:ascii="Garamond" w:hAnsi="Garamond" w:cs="Times New Roman"/>
        </w:rPr>
        <w:t xml:space="preserve"> which assess a doctor’s fitness to practise</w:t>
      </w:r>
      <w:r w:rsidRPr="009321EF">
        <w:rPr>
          <w:rFonts w:ascii="Garamond" w:hAnsi="Garamond" w:cs="Times New Roman"/>
          <w:vertAlign w:val="superscript"/>
        </w:rPr>
        <w:footnoteReference w:id="3"/>
      </w:r>
      <w:r w:rsidRPr="009321EF">
        <w:rPr>
          <w:rFonts w:ascii="Garamond" w:hAnsi="Garamond" w:cs="Times New Roman"/>
        </w:rPr>
        <w:t xml:space="preserve">, despite no settled </w:t>
      </w:r>
      <w:r w:rsidR="00134998">
        <w:rPr>
          <w:rFonts w:ascii="Garamond" w:hAnsi="Garamond" w:cs="Times New Roman"/>
        </w:rPr>
        <w:t xml:space="preserve">test for assessing public confidence </w:t>
      </w:r>
      <w:r w:rsidRPr="009321EF">
        <w:rPr>
          <w:rFonts w:ascii="Garamond" w:hAnsi="Garamond" w:cs="Times New Roman"/>
        </w:rPr>
        <w:t xml:space="preserve">being </w:t>
      </w:r>
      <w:r w:rsidR="00857514">
        <w:rPr>
          <w:rFonts w:ascii="Garamond" w:hAnsi="Garamond" w:cs="Times New Roman"/>
        </w:rPr>
        <w:t xml:space="preserve">enshrined </w:t>
      </w:r>
      <w:r w:rsidRPr="009321EF">
        <w:rPr>
          <w:rFonts w:ascii="Garamond" w:hAnsi="Garamond" w:cs="Times New Roman"/>
        </w:rPr>
        <w:t xml:space="preserve">in </w:t>
      </w:r>
      <w:r w:rsidR="00C56FA1" w:rsidRPr="009321EF">
        <w:rPr>
          <w:rFonts w:ascii="Garamond" w:hAnsi="Garamond" w:cs="Times New Roman"/>
        </w:rPr>
        <w:t xml:space="preserve">either </w:t>
      </w:r>
      <w:r w:rsidRPr="009321EF">
        <w:rPr>
          <w:rFonts w:ascii="Garamond" w:hAnsi="Garamond" w:cs="Times New Roman"/>
        </w:rPr>
        <w:t xml:space="preserve">statute or case law. </w:t>
      </w:r>
      <w:r w:rsidR="00E07100">
        <w:rPr>
          <w:rFonts w:ascii="Garamond" w:hAnsi="Garamond" w:cs="Times New Roman"/>
        </w:rPr>
        <w:t xml:space="preserve">This lack of concretisation </w:t>
      </w:r>
      <w:r w:rsidR="00857514">
        <w:rPr>
          <w:rFonts w:ascii="Garamond" w:hAnsi="Garamond" w:cs="Times New Roman"/>
        </w:rPr>
        <w:t>explains, in part,</w:t>
      </w:r>
      <w:r w:rsidR="00E07100">
        <w:rPr>
          <w:rFonts w:ascii="Garamond" w:hAnsi="Garamond" w:cs="Times New Roman"/>
        </w:rPr>
        <w:t xml:space="preserve"> why u</w:t>
      </w:r>
      <w:r w:rsidRPr="009321EF">
        <w:rPr>
          <w:rFonts w:ascii="Garamond" w:hAnsi="Garamond" w:cs="Times New Roman"/>
        </w:rPr>
        <w:t>se</w:t>
      </w:r>
      <w:r w:rsidR="004906D3">
        <w:rPr>
          <w:rFonts w:ascii="Garamond" w:hAnsi="Garamond" w:cs="Times New Roman"/>
        </w:rPr>
        <w:t xml:space="preserve"> of the language of </w:t>
      </w:r>
      <w:r w:rsidR="00FB231B">
        <w:rPr>
          <w:rFonts w:ascii="Garamond" w:hAnsi="Garamond" w:cs="Times New Roman"/>
        </w:rPr>
        <w:t>‘</w:t>
      </w:r>
      <w:r w:rsidR="004906D3">
        <w:rPr>
          <w:rFonts w:ascii="Garamond" w:hAnsi="Garamond" w:cs="Times New Roman"/>
        </w:rPr>
        <w:t>public confidence</w:t>
      </w:r>
      <w:r w:rsidR="00FB231B">
        <w:rPr>
          <w:rFonts w:ascii="Garamond" w:hAnsi="Garamond" w:cs="Times New Roman"/>
        </w:rPr>
        <w:t>’</w:t>
      </w:r>
      <w:r w:rsidRPr="009321EF">
        <w:rPr>
          <w:rFonts w:ascii="Garamond" w:hAnsi="Garamond" w:cs="Times New Roman"/>
        </w:rPr>
        <w:t xml:space="preserve"> in decision making </w:t>
      </w:r>
      <w:r w:rsidR="00C56FA1" w:rsidRPr="009321EF">
        <w:rPr>
          <w:rFonts w:ascii="Garamond" w:hAnsi="Garamond" w:cs="Times New Roman"/>
        </w:rPr>
        <w:t>has steadily become more</w:t>
      </w:r>
      <w:r w:rsidRPr="009321EF">
        <w:rPr>
          <w:rFonts w:ascii="Garamond" w:hAnsi="Garamond" w:cs="Times New Roman"/>
        </w:rPr>
        <w:t xml:space="preserve"> controversial</w:t>
      </w:r>
      <w:r w:rsidR="00405700">
        <w:rPr>
          <w:rFonts w:ascii="Garamond" w:hAnsi="Garamond" w:cs="Times New Roman"/>
        </w:rPr>
        <w:t>:</w:t>
      </w:r>
      <w:r w:rsidRPr="009321EF">
        <w:rPr>
          <w:rFonts w:ascii="Garamond" w:hAnsi="Garamond" w:cs="Times New Roman"/>
        </w:rPr>
        <w:t xml:space="preserve"> its relationship with the </w:t>
      </w:r>
      <w:r w:rsidR="001161DA" w:rsidRPr="009321EF">
        <w:rPr>
          <w:rFonts w:ascii="Garamond" w:hAnsi="Garamond" w:cs="Times New Roman"/>
        </w:rPr>
        <w:t xml:space="preserve">regulator’s </w:t>
      </w:r>
      <w:r w:rsidRPr="009321EF">
        <w:rPr>
          <w:rFonts w:ascii="Garamond" w:hAnsi="Garamond" w:cs="Times New Roman"/>
        </w:rPr>
        <w:t xml:space="preserve">overriding </w:t>
      </w:r>
      <w:r w:rsidR="001161DA" w:rsidRPr="009321EF">
        <w:rPr>
          <w:rFonts w:ascii="Garamond" w:hAnsi="Garamond" w:cs="Times New Roman"/>
        </w:rPr>
        <w:t xml:space="preserve">statutory </w:t>
      </w:r>
      <w:r w:rsidRPr="009321EF">
        <w:rPr>
          <w:rFonts w:ascii="Garamond" w:hAnsi="Garamond" w:cs="Times New Roman"/>
        </w:rPr>
        <w:t xml:space="preserve">aim of </w:t>
      </w:r>
      <w:r w:rsidR="001161DA" w:rsidRPr="009321EF">
        <w:rPr>
          <w:rFonts w:ascii="Garamond" w:hAnsi="Garamond" w:cs="Times New Roman"/>
        </w:rPr>
        <w:t xml:space="preserve">protecting the public’ </w:t>
      </w:r>
      <w:r w:rsidRPr="009321EF">
        <w:rPr>
          <w:rFonts w:ascii="Garamond" w:hAnsi="Garamond" w:cs="Times New Roman"/>
        </w:rPr>
        <w:t>lacks transparency</w:t>
      </w:r>
      <w:r w:rsidRPr="009321EF">
        <w:rPr>
          <w:rFonts w:ascii="Garamond" w:hAnsi="Garamond" w:cs="Times New Roman"/>
          <w:vertAlign w:val="superscript"/>
        </w:rPr>
        <w:footnoteReference w:id="4"/>
      </w:r>
      <w:r w:rsidR="00405700">
        <w:rPr>
          <w:rFonts w:ascii="Garamond" w:hAnsi="Garamond" w:cs="Times New Roman"/>
        </w:rPr>
        <w:t>;</w:t>
      </w:r>
      <w:r w:rsidRPr="009321EF">
        <w:rPr>
          <w:rFonts w:ascii="Garamond" w:hAnsi="Garamond" w:cs="Times New Roman"/>
        </w:rPr>
        <w:t xml:space="preserve"> maintaining public confidence </w:t>
      </w:r>
      <w:r w:rsidRPr="009321EF">
        <w:rPr>
          <w:rFonts w:ascii="Garamond" w:hAnsi="Garamond" w:cs="Times New Roman"/>
          <w:i/>
          <w:iCs/>
        </w:rPr>
        <w:t>in the profession</w:t>
      </w:r>
      <w:r w:rsidRPr="009321EF">
        <w:rPr>
          <w:rFonts w:ascii="Garamond" w:hAnsi="Garamond" w:cs="Times New Roman"/>
        </w:rPr>
        <w:t xml:space="preserve"> can be </w:t>
      </w:r>
      <w:r w:rsidR="00405700">
        <w:rPr>
          <w:rFonts w:ascii="Garamond" w:hAnsi="Garamond" w:cs="Times New Roman"/>
        </w:rPr>
        <w:t>constru</w:t>
      </w:r>
      <w:r w:rsidRPr="009321EF">
        <w:rPr>
          <w:rFonts w:ascii="Garamond" w:hAnsi="Garamond" w:cs="Times New Roman"/>
        </w:rPr>
        <w:t>ed as a throw-back to self-</w:t>
      </w:r>
      <w:r w:rsidR="00041E65">
        <w:rPr>
          <w:rFonts w:ascii="Garamond" w:hAnsi="Garamond" w:cs="Times New Roman"/>
        </w:rPr>
        <w:t>(</w:t>
      </w:r>
      <w:r w:rsidRPr="009321EF">
        <w:rPr>
          <w:rFonts w:ascii="Garamond" w:hAnsi="Garamond" w:cs="Times New Roman"/>
        </w:rPr>
        <w:t>serving</w:t>
      </w:r>
      <w:r w:rsidR="00041E65">
        <w:rPr>
          <w:rFonts w:ascii="Garamond" w:hAnsi="Garamond" w:cs="Times New Roman"/>
        </w:rPr>
        <w:t>)</w:t>
      </w:r>
      <w:r w:rsidRPr="009321EF">
        <w:rPr>
          <w:rFonts w:ascii="Garamond" w:hAnsi="Garamond" w:cs="Times New Roman"/>
        </w:rPr>
        <w:t xml:space="preserve"> regulation</w:t>
      </w:r>
      <w:r w:rsidR="00041E65">
        <w:rPr>
          <w:rFonts w:ascii="Garamond" w:hAnsi="Garamond" w:cs="Times New Roman"/>
        </w:rPr>
        <w:t xml:space="preserve"> rather than patient-centred governance</w:t>
      </w:r>
      <w:r w:rsidR="00405700">
        <w:rPr>
          <w:rFonts w:ascii="Garamond" w:hAnsi="Garamond" w:cs="Times New Roman"/>
        </w:rPr>
        <w:t>;</w:t>
      </w:r>
      <w:r w:rsidRPr="009321EF">
        <w:rPr>
          <w:rFonts w:ascii="Garamond" w:hAnsi="Garamond" w:cs="Times New Roman"/>
        </w:rPr>
        <w:t xml:space="preserve"> the public confidence narrative is frequently relied upon to justify judicial deference to professional regulators</w:t>
      </w:r>
      <w:r w:rsidR="00405700">
        <w:rPr>
          <w:rFonts w:ascii="Garamond" w:hAnsi="Garamond" w:cs="Times New Roman"/>
        </w:rPr>
        <w:t>;</w:t>
      </w:r>
      <w:r w:rsidRPr="009321EF">
        <w:rPr>
          <w:rFonts w:ascii="Garamond" w:hAnsi="Garamond" w:cs="Times New Roman"/>
          <w:vertAlign w:val="superscript"/>
        </w:rPr>
        <w:footnoteReference w:id="5"/>
      </w:r>
      <w:r w:rsidRPr="009321EF">
        <w:rPr>
          <w:rFonts w:ascii="Garamond" w:hAnsi="Garamond" w:cs="Times New Roman"/>
        </w:rPr>
        <w:t xml:space="preserve"> and it has been key in the use of draconian regulatory powers where the individual health care practitioner concerned is not </w:t>
      </w:r>
      <w:r w:rsidR="0039548C">
        <w:rPr>
          <w:rFonts w:ascii="Garamond" w:hAnsi="Garamond" w:cs="Times New Roman"/>
        </w:rPr>
        <w:t xml:space="preserve">currently </w:t>
      </w:r>
      <w:r w:rsidRPr="009321EF">
        <w:rPr>
          <w:rFonts w:ascii="Garamond" w:hAnsi="Garamond" w:cs="Times New Roman"/>
        </w:rPr>
        <w:t>regarded as posing a risk to patient safety.</w:t>
      </w:r>
      <w:r w:rsidRPr="009321EF">
        <w:rPr>
          <w:rFonts w:ascii="Garamond" w:hAnsi="Garamond" w:cs="Times New Roman"/>
          <w:vertAlign w:val="superscript"/>
        </w:rPr>
        <w:footnoteReference w:id="6"/>
      </w:r>
      <w:r w:rsidRPr="009321EF">
        <w:rPr>
          <w:rFonts w:ascii="Garamond" w:hAnsi="Garamond" w:cs="Times New Roman"/>
        </w:rPr>
        <w:t xml:space="preserve"> </w:t>
      </w:r>
    </w:p>
    <w:p w14:paraId="5697DE15" w14:textId="77777777" w:rsidR="00827B9B" w:rsidRDefault="00827B9B" w:rsidP="00827B9B">
      <w:pPr>
        <w:pStyle w:val="Normal1"/>
        <w:spacing w:line="480" w:lineRule="auto"/>
        <w:jc w:val="both"/>
        <w:rPr>
          <w:rFonts w:ascii="Garamond" w:hAnsi="Garamond" w:cs="Times New Roman"/>
        </w:rPr>
      </w:pPr>
    </w:p>
    <w:p w14:paraId="054575DB" w14:textId="02E22331" w:rsidR="00012DD9" w:rsidRPr="009321EF" w:rsidRDefault="002E0C51" w:rsidP="009321EF">
      <w:pPr>
        <w:pStyle w:val="Normal1"/>
        <w:spacing w:line="480" w:lineRule="auto"/>
        <w:jc w:val="both"/>
        <w:rPr>
          <w:rFonts w:ascii="Garamond" w:hAnsi="Garamond" w:cs="Times New Roman"/>
          <w:bCs/>
        </w:rPr>
      </w:pPr>
      <w:r>
        <w:rPr>
          <w:rFonts w:ascii="Garamond" w:hAnsi="Garamond" w:cs="Times New Roman"/>
        </w:rPr>
        <w:lastRenderedPageBreak/>
        <w:t xml:space="preserve">This </w:t>
      </w:r>
      <w:r w:rsidR="007907C8" w:rsidRPr="009321EF">
        <w:rPr>
          <w:rFonts w:ascii="Garamond" w:hAnsi="Garamond" w:cs="Times New Roman"/>
        </w:rPr>
        <w:t xml:space="preserve">unease surrounding the positioning of ‘public confidence’ in </w:t>
      </w:r>
      <w:r w:rsidR="00A23959" w:rsidRPr="009321EF">
        <w:rPr>
          <w:rFonts w:ascii="Garamond" w:hAnsi="Garamond" w:cs="Times New Roman"/>
        </w:rPr>
        <w:t xml:space="preserve">professional regulation </w:t>
      </w:r>
      <w:r w:rsidR="007907C8" w:rsidRPr="009321EF">
        <w:rPr>
          <w:rFonts w:ascii="Garamond" w:hAnsi="Garamond" w:cs="Times New Roman"/>
        </w:rPr>
        <w:t xml:space="preserve">spiked during the progress of Dr </w:t>
      </w:r>
      <w:proofErr w:type="spellStart"/>
      <w:r w:rsidR="007907C8" w:rsidRPr="009321EF">
        <w:rPr>
          <w:rFonts w:ascii="Garamond" w:hAnsi="Garamond" w:cs="Times New Roman"/>
        </w:rPr>
        <w:t>Hadiwa</w:t>
      </w:r>
      <w:proofErr w:type="spellEnd"/>
      <w:r w:rsidR="007907C8" w:rsidRPr="009321EF">
        <w:rPr>
          <w:rFonts w:ascii="Garamond" w:hAnsi="Garamond" w:cs="Times New Roman"/>
        </w:rPr>
        <w:t xml:space="preserve"> </w:t>
      </w:r>
      <w:proofErr w:type="spellStart"/>
      <w:r w:rsidR="00260708" w:rsidRPr="009321EF">
        <w:rPr>
          <w:rFonts w:ascii="Garamond" w:hAnsi="Garamond" w:cs="Times New Roman"/>
        </w:rPr>
        <w:t>Bawa</w:t>
      </w:r>
      <w:r w:rsidR="00766073" w:rsidRPr="009321EF">
        <w:rPr>
          <w:rFonts w:ascii="Garamond" w:hAnsi="Garamond" w:cs="Times New Roman"/>
        </w:rPr>
        <w:t>-Garba</w:t>
      </w:r>
      <w:r w:rsidR="007907C8" w:rsidRPr="009321EF">
        <w:rPr>
          <w:rFonts w:ascii="Garamond" w:hAnsi="Garamond" w:cs="Times New Roman"/>
        </w:rPr>
        <w:t>’s</w:t>
      </w:r>
      <w:proofErr w:type="spellEnd"/>
      <w:r w:rsidR="007907C8" w:rsidRPr="009321EF">
        <w:rPr>
          <w:rFonts w:ascii="Garamond" w:hAnsi="Garamond" w:cs="Times New Roman"/>
        </w:rPr>
        <w:t xml:space="preserve"> case through the appeal courts, a case which </w:t>
      </w:r>
      <w:r w:rsidR="007C6AC2" w:rsidRPr="009321EF">
        <w:rPr>
          <w:rFonts w:ascii="Garamond" w:hAnsi="Garamond" w:cs="Times New Roman"/>
        </w:rPr>
        <w:t>illustrates</w:t>
      </w:r>
      <w:r w:rsidR="002B7493" w:rsidRPr="009321EF">
        <w:rPr>
          <w:rFonts w:ascii="Garamond" w:hAnsi="Garamond" w:cs="Times New Roman"/>
        </w:rPr>
        <w:t xml:space="preserve"> the </w:t>
      </w:r>
      <w:r w:rsidR="00791033" w:rsidRPr="009321EF">
        <w:rPr>
          <w:rFonts w:ascii="Garamond" w:hAnsi="Garamond" w:cs="Times New Roman"/>
        </w:rPr>
        <w:t>sometimes difficult</w:t>
      </w:r>
      <w:r w:rsidR="002B7493" w:rsidRPr="009321EF">
        <w:rPr>
          <w:rFonts w:ascii="Garamond" w:hAnsi="Garamond" w:cs="Times New Roman"/>
        </w:rPr>
        <w:t xml:space="preserve"> </w:t>
      </w:r>
      <w:r w:rsidR="007C6AC2" w:rsidRPr="009321EF">
        <w:rPr>
          <w:rFonts w:ascii="Garamond" w:hAnsi="Garamond" w:cs="Times New Roman"/>
        </w:rPr>
        <w:t>relationship</w:t>
      </w:r>
      <w:r w:rsidR="002B7493" w:rsidRPr="009321EF">
        <w:rPr>
          <w:rFonts w:ascii="Garamond" w:hAnsi="Garamond" w:cs="Times New Roman"/>
        </w:rPr>
        <w:t xml:space="preserve"> between doctors and the</w:t>
      </w:r>
      <w:r w:rsidR="004F5F12" w:rsidRPr="009321EF">
        <w:rPr>
          <w:rFonts w:ascii="Garamond" w:hAnsi="Garamond" w:cs="Times New Roman"/>
        </w:rPr>
        <w:t>ir regulator, the</w:t>
      </w:r>
      <w:r w:rsidR="002B7493" w:rsidRPr="009321EF">
        <w:rPr>
          <w:rFonts w:ascii="Garamond" w:hAnsi="Garamond" w:cs="Times New Roman"/>
        </w:rPr>
        <w:t xml:space="preserve"> General Medical Council (GMC)</w:t>
      </w:r>
      <w:r w:rsidR="007C6AC2" w:rsidRPr="009321EF">
        <w:rPr>
          <w:rFonts w:ascii="Garamond" w:hAnsi="Garamond" w:cs="Times New Roman"/>
        </w:rPr>
        <w:t xml:space="preserve">, </w:t>
      </w:r>
      <w:r w:rsidR="001161DA" w:rsidRPr="009321EF">
        <w:rPr>
          <w:rFonts w:ascii="Garamond" w:hAnsi="Garamond" w:cs="Times New Roman"/>
        </w:rPr>
        <w:t xml:space="preserve">and which </w:t>
      </w:r>
      <w:r w:rsidR="007C6AC2" w:rsidRPr="009321EF">
        <w:rPr>
          <w:rFonts w:ascii="Garamond" w:hAnsi="Garamond" w:cs="Times New Roman"/>
        </w:rPr>
        <w:t>intensif</w:t>
      </w:r>
      <w:r w:rsidR="001161DA" w:rsidRPr="009321EF">
        <w:rPr>
          <w:rFonts w:ascii="Garamond" w:hAnsi="Garamond" w:cs="Times New Roman"/>
        </w:rPr>
        <w:t>ied</w:t>
      </w:r>
      <w:r w:rsidR="007C6AC2" w:rsidRPr="009321EF">
        <w:rPr>
          <w:rFonts w:ascii="Garamond" w:hAnsi="Garamond" w:cs="Times New Roman"/>
        </w:rPr>
        <w:t xml:space="preserve"> concerns that the</w:t>
      </w:r>
      <w:r w:rsidR="004906D3">
        <w:rPr>
          <w:rFonts w:ascii="Garamond" w:hAnsi="Garamond" w:cs="Times New Roman"/>
        </w:rPr>
        <w:t xml:space="preserve"> regulator</w:t>
      </w:r>
      <w:r w:rsidR="007C6AC2" w:rsidRPr="009321EF">
        <w:rPr>
          <w:rFonts w:ascii="Garamond" w:hAnsi="Garamond" w:cs="Times New Roman"/>
        </w:rPr>
        <w:t xml:space="preserve"> </w:t>
      </w:r>
      <w:r w:rsidR="00FB126C" w:rsidRPr="009321EF">
        <w:rPr>
          <w:rFonts w:ascii="Garamond" w:hAnsi="Garamond" w:cs="Times New Roman"/>
        </w:rPr>
        <w:t>was pursuing public confidence for its own sak</w:t>
      </w:r>
      <w:r w:rsidR="004906D3">
        <w:rPr>
          <w:rFonts w:ascii="Garamond" w:hAnsi="Garamond" w:cs="Times New Roman"/>
        </w:rPr>
        <w:t>e.</w:t>
      </w:r>
      <w:r w:rsidR="0022642D" w:rsidRPr="009321EF">
        <w:rPr>
          <w:rStyle w:val="FootnoteReference"/>
          <w:rFonts w:ascii="Garamond" w:hAnsi="Garamond" w:cs="Times New Roman"/>
        </w:rPr>
        <w:footnoteReference w:id="7"/>
      </w:r>
      <w:r w:rsidR="0022642D" w:rsidRPr="009321EF">
        <w:rPr>
          <w:rFonts w:ascii="Garamond" w:hAnsi="Garamond" w:cs="Times New Roman"/>
        </w:rPr>
        <w:t xml:space="preserve"> </w:t>
      </w:r>
      <w:r w:rsidR="00012DD9" w:rsidRPr="009321EF">
        <w:rPr>
          <w:rFonts w:ascii="Garamond" w:hAnsi="Garamond" w:cs="Times New Roman"/>
        </w:rPr>
        <w:t xml:space="preserve">After first setting out key aspects of the </w:t>
      </w:r>
      <w:r w:rsidR="00B604C8">
        <w:rPr>
          <w:rFonts w:ascii="Garamond" w:hAnsi="Garamond" w:cs="Times New Roman"/>
        </w:rPr>
        <w:t xml:space="preserve">post-conviction </w:t>
      </w:r>
      <w:r w:rsidR="00012DD9" w:rsidRPr="009321EF">
        <w:rPr>
          <w:rFonts w:ascii="Garamond" w:hAnsi="Garamond" w:cs="Times New Roman"/>
        </w:rPr>
        <w:t>litigation</w:t>
      </w:r>
      <w:r w:rsidR="008630B6">
        <w:rPr>
          <w:rFonts w:ascii="Garamond" w:hAnsi="Garamond" w:cs="Times New Roman"/>
        </w:rPr>
        <w:t xml:space="preserve"> in the </w:t>
      </w:r>
      <w:proofErr w:type="spellStart"/>
      <w:r w:rsidR="008630B6">
        <w:rPr>
          <w:rFonts w:ascii="Garamond" w:hAnsi="Garamond" w:cs="Times New Roman"/>
          <w:i/>
          <w:iCs/>
        </w:rPr>
        <w:t>Bawa-Garba</w:t>
      </w:r>
      <w:proofErr w:type="spellEnd"/>
      <w:r w:rsidR="008630B6">
        <w:rPr>
          <w:rFonts w:ascii="Garamond" w:hAnsi="Garamond" w:cs="Times New Roman"/>
        </w:rPr>
        <w:t xml:space="preserve"> case</w:t>
      </w:r>
      <w:r w:rsidR="00012DD9" w:rsidRPr="009321EF">
        <w:rPr>
          <w:rFonts w:ascii="Garamond" w:hAnsi="Garamond" w:cs="Times New Roman"/>
        </w:rPr>
        <w:t>, the authors use th</w:t>
      </w:r>
      <w:r w:rsidR="008630B6">
        <w:rPr>
          <w:rFonts w:ascii="Garamond" w:hAnsi="Garamond" w:cs="Times New Roman"/>
        </w:rPr>
        <w:t xml:space="preserve">ese </w:t>
      </w:r>
      <w:r w:rsidR="00B60816">
        <w:rPr>
          <w:rFonts w:ascii="Garamond" w:hAnsi="Garamond" w:cs="Times New Roman"/>
        </w:rPr>
        <w:t>judgments</w:t>
      </w:r>
      <w:r w:rsidR="00012DD9" w:rsidRPr="009321EF">
        <w:rPr>
          <w:rFonts w:ascii="Garamond" w:hAnsi="Garamond" w:cs="Times New Roman"/>
        </w:rPr>
        <w:t xml:space="preserve"> as a springboard to </w:t>
      </w:r>
      <w:r w:rsidR="004906D3">
        <w:rPr>
          <w:rFonts w:ascii="Garamond" w:hAnsi="Garamond" w:cs="Times New Roman"/>
        </w:rPr>
        <w:t>discuss</w:t>
      </w:r>
      <w:r w:rsidR="00012DD9" w:rsidRPr="009321EF">
        <w:rPr>
          <w:rFonts w:ascii="Garamond" w:hAnsi="Garamond" w:cs="Times New Roman"/>
        </w:rPr>
        <w:t xml:space="preserve"> some of the controversies </w:t>
      </w:r>
      <w:r w:rsidR="00041E65">
        <w:rPr>
          <w:rFonts w:ascii="Garamond" w:hAnsi="Garamond" w:cs="Times New Roman"/>
        </w:rPr>
        <w:t>surrounding ‘</w:t>
      </w:r>
      <w:r w:rsidR="00012DD9" w:rsidRPr="009321EF">
        <w:rPr>
          <w:rFonts w:ascii="Garamond" w:hAnsi="Garamond" w:cs="Times New Roman"/>
        </w:rPr>
        <w:t>public confidence</w:t>
      </w:r>
      <w:r w:rsidR="00041E65">
        <w:rPr>
          <w:rFonts w:ascii="Garamond" w:hAnsi="Garamond" w:cs="Times New Roman"/>
        </w:rPr>
        <w:t>’ reasoning</w:t>
      </w:r>
      <w:r w:rsidR="00B60816">
        <w:rPr>
          <w:rFonts w:ascii="Garamond" w:hAnsi="Garamond" w:cs="Times New Roman"/>
        </w:rPr>
        <w:t xml:space="preserve"> </w:t>
      </w:r>
      <w:r w:rsidR="00041E65">
        <w:rPr>
          <w:rFonts w:ascii="Garamond" w:hAnsi="Garamond" w:cs="Times New Roman"/>
        </w:rPr>
        <w:t xml:space="preserve">and identify some unanswered questions about how </w:t>
      </w:r>
      <w:r w:rsidR="00637BF9" w:rsidRPr="00041E65">
        <w:rPr>
          <w:rFonts w:ascii="Garamond" w:hAnsi="Garamond" w:cs="Times New Roman"/>
          <w:bCs/>
        </w:rPr>
        <w:t>public confidence in the medical profession is to be assessed</w:t>
      </w:r>
      <w:r w:rsidR="00B54E64" w:rsidRPr="00041E65">
        <w:rPr>
          <w:rFonts w:ascii="Garamond" w:hAnsi="Garamond" w:cs="Times New Roman"/>
          <w:bCs/>
        </w:rPr>
        <w:t>.</w:t>
      </w:r>
    </w:p>
    <w:p w14:paraId="13C0B8A6" w14:textId="77777777" w:rsidR="00CE0116" w:rsidRDefault="00CE0116" w:rsidP="00CE0116">
      <w:pPr>
        <w:pStyle w:val="Normal1"/>
        <w:numPr>
          <w:ilvl w:val="0"/>
          <w:numId w:val="3"/>
        </w:numPr>
        <w:spacing w:line="480" w:lineRule="auto"/>
        <w:jc w:val="both"/>
        <w:rPr>
          <w:rFonts w:ascii="Garamond" w:hAnsi="Garamond" w:cs="Times New Roman"/>
        </w:rPr>
      </w:pPr>
    </w:p>
    <w:p w14:paraId="489971CB" w14:textId="234B1DBE" w:rsidR="00CE0116" w:rsidRPr="00CE0116" w:rsidRDefault="00CE0116" w:rsidP="00CE0116">
      <w:pPr>
        <w:pStyle w:val="Normal1"/>
        <w:spacing w:line="480" w:lineRule="auto"/>
        <w:jc w:val="both"/>
        <w:rPr>
          <w:rFonts w:ascii="Garamond" w:hAnsi="Garamond" w:cs="Times New Roman"/>
        </w:rPr>
      </w:pPr>
      <w:r w:rsidRPr="00CE0116">
        <w:rPr>
          <w:rFonts w:ascii="Garamond" w:hAnsi="Garamond" w:cs="Times New Roman"/>
          <w:b/>
          <w:bCs/>
        </w:rPr>
        <w:t>Positioning ‘</w:t>
      </w:r>
      <w:bookmarkStart w:id="1" w:name="_uitc0rjnmhvk" w:colFirst="0" w:colLast="0"/>
      <w:bookmarkEnd w:id="1"/>
      <w:r w:rsidRPr="00CE0116">
        <w:rPr>
          <w:rFonts w:ascii="Garamond" w:hAnsi="Garamond" w:cs="Times New Roman"/>
          <w:b/>
          <w:bCs/>
        </w:rPr>
        <w:t>public confidence' in the regulatory framework</w:t>
      </w:r>
    </w:p>
    <w:p w14:paraId="0072B9FA" w14:textId="7B419090" w:rsidR="00CE0116" w:rsidRPr="009321EF" w:rsidRDefault="00CE0116" w:rsidP="00CE0116">
      <w:pPr>
        <w:pStyle w:val="Normal1"/>
        <w:spacing w:line="480" w:lineRule="auto"/>
        <w:jc w:val="both"/>
        <w:rPr>
          <w:rFonts w:ascii="Garamond" w:hAnsi="Garamond" w:cs="Times New Roman"/>
        </w:rPr>
      </w:pPr>
      <w:r w:rsidRPr="009321EF">
        <w:rPr>
          <w:rFonts w:ascii="Garamond" w:hAnsi="Garamond" w:cs="Times New Roman"/>
        </w:rPr>
        <w:t>First</w:t>
      </w:r>
      <w:r>
        <w:rPr>
          <w:rFonts w:ascii="Garamond" w:hAnsi="Garamond" w:cs="Times New Roman"/>
        </w:rPr>
        <w:t>,</w:t>
      </w:r>
      <w:r w:rsidRPr="009321EF">
        <w:rPr>
          <w:rFonts w:ascii="Garamond" w:hAnsi="Garamond" w:cs="Times New Roman"/>
        </w:rPr>
        <w:t xml:space="preserve"> </w:t>
      </w:r>
      <w:r w:rsidR="005F60A8">
        <w:rPr>
          <w:rFonts w:ascii="Garamond" w:hAnsi="Garamond" w:cs="Times New Roman"/>
        </w:rPr>
        <w:t xml:space="preserve">however, </w:t>
      </w:r>
      <w:r w:rsidRPr="009321EF">
        <w:rPr>
          <w:rFonts w:ascii="Garamond" w:hAnsi="Garamond" w:cs="Times New Roman"/>
        </w:rPr>
        <w:t xml:space="preserve">it is necessary to look at exactly where the directive to maintain public confidence in the profession sits </w:t>
      </w:r>
      <w:r>
        <w:rPr>
          <w:rFonts w:ascii="Garamond" w:hAnsi="Garamond" w:cs="Times New Roman"/>
        </w:rPr>
        <w:t>with</w:t>
      </w:r>
      <w:r w:rsidRPr="009321EF">
        <w:rPr>
          <w:rFonts w:ascii="Garamond" w:hAnsi="Garamond" w:cs="Times New Roman"/>
        </w:rPr>
        <w:t xml:space="preserve">in the regulatory framework. </w:t>
      </w:r>
      <w:r>
        <w:rPr>
          <w:rFonts w:ascii="Garamond" w:hAnsi="Garamond" w:cs="Times New Roman"/>
        </w:rPr>
        <w:t>T</w:t>
      </w:r>
      <w:r w:rsidRPr="00570B07">
        <w:rPr>
          <w:rFonts w:ascii="Garamond" w:hAnsi="Garamond" w:cs="Times New Roman"/>
        </w:rPr>
        <w:t>h</w:t>
      </w:r>
      <w:r>
        <w:rPr>
          <w:rFonts w:ascii="Garamond" w:hAnsi="Garamond" w:cs="Times New Roman"/>
        </w:rPr>
        <w:t xml:space="preserve">e language of </w:t>
      </w:r>
      <w:r w:rsidRPr="00570B07">
        <w:rPr>
          <w:rFonts w:ascii="Garamond" w:hAnsi="Garamond" w:cs="Times New Roman"/>
        </w:rPr>
        <w:t>public confidence in the profession has a long history in the case law of professional regulation</w:t>
      </w:r>
      <w:r w:rsidRPr="00570B07">
        <w:rPr>
          <w:rFonts w:ascii="Garamond" w:hAnsi="Garamond" w:cs="Times New Roman"/>
          <w:vertAlign w:val="superscript"/>
        </w:rPr>
        <w:footnoteReference w:id="8"/>
      </w:r>
      <w:r w:rsidRPr="00570B07">
        <w:rPr>
          <w:rFonts w:ascii="Garamond" w:hAnsi="Garamond" w:cs="Times New Roman"/>
        </w:rPr>
        <w:t xml:space="preserve">, including the regulation of doctors, but </w:t>
      </w:r>
      <w:r>
        <w:rPr>
          <w:rFonts w:ascii="Garamond" w:hAnsi="Garamond" w:cs="Times New Roman"/>
        </w:rPr>
        <w:t>h</w:t>
      </w:r>
      <w:r w:rsidRPr="00570B07">
        <w:rPr>
          <w:rFonts w:ascii="Garamond" w:hAnsi="Garamond" w:cs="Times New Roman"/>
        </w:rPr>
        <w:t>as only recently</w:t>
      </w:r>
      <w:r>
        <w:rPr>
          <w:rFonts w:ascii="Garamond" w:hAnsi="Garamond" w:cs="Times New Roman"/>
        </w:rPr>
        <w:t xml:space="preserve"> been</w:t>
      </w:r>
      <w:r w:rsidRPr="00570B07">
        <w:rPr>
          <w:rFonts w:ascii="Garamond" w:hAnsi="Garamond" w:cs="Times New Roman"/>
        </w:rPr>
        <w:t xml:space="preserve"> express</w:t>
      </w:r>
      <w:r>
        <w:rPr>
          <w:rFonts w:ascii="Garamond" w:hAnsi="Garamond" w:cs="Times New Roman"/>
        </w:rPr>
        <w:t>ed</w:t>
      </w:r>
      <w:r w:rsidRPr="00570B07">
        <w:rPr>
          <w:rFonts w:ascii="Garamond" w:hAnsi="Garamond" w:cs="Times New Roman"/>
        </w:rPr>
        <w:t xml:space="preserve"> i</w:t>
      </w:r>
      <w:r>
        <w:rPr>
          <w:rFonts w:ascii="Garamond" w:hAnsi="Garamond" w:cs="Times New Roman"/>
        </w:rPr>
        <w:t>n</w:t>
      </w:r>
      <w:r w:rsidRPr="00570B07">
        <w:rPr>
          <w:rFonts w:ascii="Garamond" w:hAnsi="Garamond" w:cs="Times New Roman"/>
        </w:rPr>
        <w:t xml:space="preserve"> statute.</w:t>
      </w:r>
      <w:r>
        <w:rPr>
          <w:rFonts w:ascii="Garamond" w:hAnsi="Garamond" w:cs="Times New Roman"/>
        </w:rPr>
        <w:t xml:space="preserve"> </w:t>
      </w:r>
      <w:r w:rsidRPr="009321EF">
        <w:rPr>
          <w:rFonts w:ascii="Garamond" w:hAnsi="Garamond" w:cs="Times New Roman"/>
        </w:rPr>
        <w:t>The GMC</w:t>
      </w:r>
      <w:r>
        <w:rPr>
          <w:rFonts w:ascii="Garamond" w:hAnsi="Garamond" w:cs="Times New Roman"/>
        </w:rPr>
        <w:t>’s</w:t>
      </w:r>
      <w:r w:rsidRPr="009321EF">
        <w:rPr>
          <w:rFonts w:ascii="Garamond" w:hAnsi="Garamond" w:cs="Times New Roman"/>
        </w:rPr>
        <w:t xml:space="preserve"> </w:t>
      </w:r>
      <w:r>
        <w:rPr>
          <w:rFonts w:ascii="Garamond" w:hAnsi="Garamond" w:cs="Times New Roman"/>
        </w:rPr>
        <w:t xml:space="preserve">functions, as set out in the Medical Act 1983, </w:t>
      </w:r>
      <w:r w:rsidRPr="009321EF">
        <w:rPr>
          <w:rFonts w:ascii="Garamond" w:hAnsi="Garamond" w:cs="Times New Roman"/>
        </w:rPr>
        <w:t>include:</w:t>
      </w:r>
      <w:r>
        <w:rPr>
          <w:rFonts w:ascii="Garamond" w:hAnsi="Garamond" w:cs="Times New Roman"/>
        </w:rPr>
        <w:t xml:space="preserve"> coordinating</w:t>
      </w:r>
      <w:r w:rsidRPr="009321EF">
        <w:rPr>
          <w:rFonts w:ascii="Garamond" w:hAnsi="Garamond" w:cs="Times New Roman"/>
        </w:rPr>
        <w:t xml:space="preserve"> medical education, maintaining the medical register and </w:t>
      </w:r>
      <w:r>
        <w:rPr>
          <w:rFonts w:ascii="Garamond" w:hAnsi="Garamond" w:cs="Times New Roman"/>
        </w:rPr>
        <w:t xml:space="preserve">investigating </w:t>
      </w:r>
      <w:r w:rsidRPr="009321EF">
        <w:rPr>
          <w:rFonts w:ascii="Garamond" w:hAnsi="Garamond" w:cs="Times New Roman"/>
        </w:rPr>
        <w:t>fitness to practice</w:t>
      </w:r>
      <w:r>
        <w:rPr>
          <w:rFonts w:ascii="Garamond" w:hAnsi="Garamond" w:cs="Times New Roman"/>
        </w:rPr>
        <w:t xml:space="preserve"> concerns</w:t>
      </w:r>
      <w:r w:rsidRPr="009321EF">
        <w:rPr>
          <w:rFonts w:ascii="Garamond" w:hAnsi="Garamond" w:cs="Times New Roman"/>
        </w:rPr>
        <w:t>.</w:t>
      </w:r>
      <w:r w:rsidRPr="001161DA">
        <w:rPr>
          <w:rFonts w:ascii="Garamond" w:hAnsi="Garamond" w:cs="Times New Roman"/>
        </w:rPr>
        <w:t xml:space="preserve"> </w:t>
      </w:r>
      <w:r w:rsidRPr="00DB08F5">
        <w:rPr>
          <w:rFonts w:ascii="Garamond" w:hAnsi="Garamond" w:cs="Times New Roman"/>
        </w:rPr>
        <w:t xml:space="preserve">Section 1(1A) of the 1983 Act </w:t>
      </w:r>
      <w:r>
        <w:rPr>
          <w:rFonts w:ascii="Garamond" w:hAnsi="Garamond" w:cs="Times New Roman"/>
        </w:rPr>
        <w:t>was amended</w:t>
      </w:r>
      <w:r w:rsidRPr="00DB08F5">
        <w:rPr>
          <w:rFonts w:ascii="Garamond" w:hAnsi="Garamond" w:cs="Times New Roman"/>
        </w:rPr>
        <w:t xml:space="preserve"> </w:t>
      </w:r>
      <w:r>
        <w:rPr>
          <w:rFonts w:ascii="Garamond" w:hAnsi="Garamond" w:cs="Times New Roman"/>
        </w:rPr>
        <w:t xml:space="preserve">in 2015 to </w:t>
      </w:r>
      <w:r w:rsidRPr="00DB08F5">
        <w:rPr>
          <w:rFonts w:ascii="Garamond" w:hAnsi="Garamond" w:cs="Times New Roman"/>
        </w:rPr>
        <w:t xml:space="preserve">provide that the GMC’s over-arching objective </w:t>
      </w:r>
      <w:r>
        <w:rPr>
          <w:rFonts w:ascii="Garamond" w:hAnsi="Garamond" w:cs="Times New Roman"/>
        </w:rPr>
        <w:t xml:space="preserve">in exercising its functions </w:t>
      </w:r>
      <w:r w:rsidRPr="00DB08F5">
        <w:rPr>
          <w:rFonts w:ascii="Garamond" w:hAnsi="Garamond" w:cs="Times New Roman"/>
        </w:rPr>
        <w:t>is to ‘protect the public’, an</w:t>
      </w:r>
      <w:r w:rsidRPr="0097187F">
        <w:rPr>
          <w:rFonts w:ascii="Garamond" w:hAnsi="Garamond" w:cs="Times New Roman"/>
        </w:rPr>
        <w:t>d s.1(1B) further provides that this objective includes a tripartite bundle of aims:</w:t>
      </w:r>
      <w:r>
        <w:rPr>
          <w:rFonts w:ascii="Garamond" w:hAnsi="Garamond" w:cs="Times New Roman"/>
        </w:rPr>
        <w:t xml:space="preserve"> </w:t>
      </w:r>
      <w:proofErr w:type="spellStart"/>
      <w:r>
        <w:rPr>
          <w:rFonts w:ascii="Garamond" w:hAnsi="Garamond" w:cs="Times New Roman"/>
        </w:rPr>
        <w:t>i</w:t>
      </w:r>
      <w:proofErr w:type="spellEnd"/>
      <w:r>
        <w:rPr>
          <w:rFonts w:ascii="Garamond" w:hAnsi="Garamond" w:cs="Times New Roman"/>
        </w:rPr>
        <w:t>)</w:t>
      </w:r>
      <w:r w:rsidRPr="0097187F">
        <w:rPr>
          <w:rFonts w:ascii="Garamond" w:hAnsi="Garamond" w:cs="Times New Roman"/>
        </w:rPr>
        <w:t xml:space="preserve"> </w:t>
      </w:r>
      <w:r w:rsidRPr="009321EF">
        <w:rPr>
          <w:rFonts w:ascii="Garamond" w:hAnsi="Garamond" w:cs="Arial"/>
          <w:color w:val="000000"/>
          <w:shd w:val="clear" w:color="auto" w:fill="FFFFFF"/>
        </w:rPr>
        <w:t xml:space="preserve">to protect, promote and maintain the health, safety and well-being of the public, </w:t>
      </w:r>
      <w:r>
        <w:rPr>
          <w:rFonts w:ascii="Garamond" w:hAnsi="Garamond" w:cs="Arial"/>
          <w:color w:val="000000"/>
          <w:shd w:val="clear" w:color="auto" w:fill="FFFFFF"/>
        </w:rPr>
        <w:t xml:space="preserve">ii) </w:t>
      </w:r>
      <w:r w:rsidRPr="009321EF">
        <w:rPr>
          <w:rFonts w:ascii="Garamond" w:hAnsi="Garamond" w:cs="Arial"/>
          <w:color w:val="000000"/>
          <w:shd w:val="clear" w:color="auto" w:fill="FFFFFF"/>
        </w:rPr>
        <w:t xml:space="preserve">to promote and maintain </w:t>
      </w:r>
      <w:r w:rsidRPr="0097187F">
        <w:rPr>
          <w:rFonts w:ascii="Garamond" w:hAnsi="Garamond" w:cs="Times New Roman"/>
        </w:rPr>
        <w:t xml:space="preserve">public confidence in the profession and </w:t>
      </w:r>
      <w:r>
        <w:rPr>
          <w:rFonts w:ascii="Garamond" w:hAnsi="Garamond" w:cs="Times New Roman"/>
        </w:rPr>
        <w:t xml:space="preserve">iii) </w:t>
      </w:r>
      <w:r w:rsidRPr="009321EF">
        <w:rPr>
          <w:rFonts w:ascii="Garamond" w:hAnsi="Garamond" w:cs="Arial"/>
          <w:color w:val="000000"/>
          <w:shd w:val="clear" w:color="auto" w:fill="FFFFFF"/>
        </w:rPr>
        <w:t>to promote and maintain proper professional standards and conduct for members of that profession</w:t>
      </w:r>
      <w:r w:rsidRPr="0097187F">
        <w:rPr>
          <w:rFonts w:ascii="Garamond" w:hAnsi="Garamond" w:cs="Times New Roman"/>
        </w:rPr>
        <w:t>.</w:t>
      </w:r>
      <w:r w:rsidRPr="0097187F">
        <w:rPr>
          <w:rFonts w:ascii="Garamond" w:hAnsi="Garamond" w:cs="Times New Roman"/>
          <w:vertAlign w:val="superscript"/>
        </w:rPr>
        <w:footnoteReference w:id="9"/>
      </w:r>
      <w:r w:rsidRPr="0097187F">
        <w:rPr>
          <w:rFonts w:ascii="Garamond" w:hAnsi="Garamond" w:cs="Times New Roman"/>
        </w:rPr>
        <w:t xml:space="preserve"> </w:t>
      </w:r>
      <w:r w:rsidR="00EF228C">
        <w:rPr>
          <w:rFonts w:ascii="Garamond" w:hAnsi="Garamond" w:cs="Times New Roman"/>
        </w:rPr>
        <w:t>Distinct from earlier case law, parliamentary d</w:t>
      </w:r>
      <w:r w:rsidRPr="0097187F">
        <w:rPr>
          <w:rFonts w:ascii="Garamond" w:hAnsi="Garamond" w:cs="Times New Roman"/>
        </w:rPr>
        <w:t xml:space="preserve">ebate </w:t>
      </w:r>
      <w:r w:rsidRPr="0097187F">
        <w:rPr>
          <w:rFonts w:ascii="Garamond" w:hAnsi="Garamond" w:cs="Times New Roman"/>
        </w:rPr>
        <w:lastRenderedPageBreak/>
        <w:t>and the language of the statute itself</w:t>
      </w:r>
      <w:r>
        <w:rPr>
          <w:rFonts w:ascii="Garamond" w:hAnsi="Garamond" w:cs="Times New Roman"/>
        </w:rPr>
        <w:t xml:space="preserve">, </w:t>
      </w:r>
      <w:r w:rsidRPr="0097187F">
        <w:rPr>
          <w:rFonts w:ascii="Garamond" w:hAnsi="Garamond" w:cs="Times New Roman"/>
        </w:rPr>
        <w:t xml:space="preserve">confirm that maintaining public confidence </w:t>
      </w:r>
      <w:r>
        <w:rPr>
          <w:rFonts w:ascii="Garamond" w:hAnsi="Garamond" w:cs="Times New Roman"/>
        </w:rPr>
        <w:t>wa</w:t>
      </w:r>
      <w:r w:rsidRPr="0097187F">
        <w:rPr>
          <w:rFonts w:ascii="Garamond" w:hAnsi="Garamond" w:cs="Times New Roman"/>
        </w:rPr>
        <w:t>s not intended to have application o</w:t>
      </w:r>
      <w:r w:rsidRPr="00DB08F5">
        <w:rPr>
          <w:rFonts w:ascii="Garamond" w:hAnsi="Garamond" w:cs="Times New Roman"/>
        </w:rPr>
        <w:t>utside the context of the parent objective of ‘protecting the public’.</w:t>
      </w:r>
      <w:r w:rsidRPr="009321EF">
        <w:rPr>
          <w:rFonts w:ascii="Garamond" w:hAnsi="Garamond" w:cs="Times New Roman"/>
          <w:vertAlign w:val="superscript"/>
        </w:rPr>
        <w:footnoteReference w:id="10"/>
      </w:r>
      <w:r w:rsidRPr="009321EF">
        <w:rPr>
          <w:rFonts w:ascii="Garamond" w:hAnsi="Garamond" w:cs="Times New Roman"/>
        </w:rPr>
        <w:t xml:space="preserve"> </w:t>
      </w:r>
    </w:p>
    <w:p w14:paraId="1C846BC7" w14:textId="77777777" w:rsidR="00CE0116" w:rsidRDefault="00CE0116" w:rsidP="009321EF">
      <w:pPr>
        <w:pStyle w:val="Normal1"/>
        <w:spacing w:line="480" w:lineRule="auto"/>
        <w:jc w:val="both"/>
        <w:rPr>
          <w:rFonts w:ascii="Garamond" w:hAnsi="Garamond" w:cs="Times New Roman"/>
          <w:b/>
          <w:bCs/>
          <w:i/>
          <w:iCs/>
        </w:rPr>
      </w:pPr>
    </w:p>
    <w:p w14:paraId="41A99B35" w14:textId="7C7E836A" w:rsidR="0007625A" w:rsidRPr="009321EF" w:rsidRDefault="00E76AA8" w:rsidP="009321EF">
      <w:pPr>
        <w:pStyle w:val="Normal1"/>
        <w:spacing w:line="480" w:lineRule="auto"/>
        <w:jc w:val="both"/>
        <w:rPr>
          <w:rFonts w:ascii="Garamond" w:hAnsi="Garamond" w:cs="Times New Roman"/>
          <w:b/>
          <w:bCs/>
        </w:rPr>
      </w:pPr>
      <w:proofErr w:type="spellStart"/>
      <w:r w:rsidRPr="009321EF">
        <w:rPr>
          <w:rFonts w:ascii="Garamond" w:hAnsi="Garamond" w:cs="Times New Roman"/>
          <w:b/>
          <w:bCs/>
          <w:i/>
          <w:iCs/>
        </w:rPr>
        <w:t>Bawa-Garba</w:t>
      </w:r>
      <w:proofErr w:type="spellEnd"/>
      <w:r w:rsidRPr="009321EF">
        <w:rPr>
          <w:rFonts w:ascii="Garamond" w:hAnsi="Garamond" w:cs="Times New Roman"/>
          <w:b/>
          <w:bCs/>
          <w:i/>
          <w:iCs/>
        </w:rPr>
        <w:t xml:space="preserve"> v the G</w:t>
      </w:r>
      <w:r w:rsidR="00A66CCD">
        <w:rPr>
          <w:rFonts w:ascii="Garamond" w:hAnsi="Garamond" w:cs="Times New Roman"/>
          <w:b/>
          <w:bCs/>
          <w:i/>
          <w:iCs/>
        </w:rPr>
        <w:t>eneral Medical Council</w:t>
      </w:r>
      <w:r>
        <w:rPr>
          <w:rFonts w:ascii="Garamond" w:hAnsi="Garamond" w:cs="Times New Roman"/>
          <w:b/>
          <w:bCs/>
        </w:rPr>
        <w:t>: Twists and turns in fitness to practise decision making</w:t>
      </w:r>
    </w:p>
    <w:p w14:paraId="22B40B7C" w14:textId="77777777" w:rsidR="0007625A" w:rsidRPr="009321EF" w:rsidRDefault="0007625A" w:rsidP="009321EF">
      <w:pPr>
        <w:pStyle w:val="ListParagraph"/>
        <w:jc w:val="both"/>
        <w:rPr>
          <w:rFonts w:ascii="Garamond" w:hAnsi="Garamond" w:cs="Times New Roman"/>
        </w:rPr>
      </w:pPr>
    </w:p>
    <w:p w14:paraId="43968EAD" w14:textId="498C77A5" w:rsidR="008C3335" w:rsidRPr="00570626" w:rsidRDefault="00F75E98">
      <w:pPr>
        <w:pStyle w:val="Normal1"/>
        <w:spacing w:line="480" w:lineRule="auto"/>
        <w:jc w:val="both"/>
        <w:rPr>
          <w:rFonts w:ascii="Garamond" w:hAnsi="Garamond" w:cs="Times New Roman"/>
        </w:rPr>
      </w:pPr>
      <w:r w:rsidRPr="009321EF">
        <w:rPr>
          <w:rFonts w:ascii="Garamond" w:hAnsi="Garamond" w:cs="Times New Roman"/>
        </w:rPr>
        <w:t>In 2015</w:t>
      </w:r>
      <w:r w:rsidR="00FB126C" w:rsidRPr="009321EF">
        <w:rPr>
          <w:rFonts w:ascii="Garamond" w:hAnsi="Garamond" w:cs="Times New Roman"/>
        </w:rPr>
        <w:t xml:space="preserve"> </w:t>
      </w:r>
      <w:r w:rsidR="0022642D" w:rsidRPr="009321EF">
        <w:rPr>
          <w:rFonts w:ascii="Garamond" w:hAnsi="Garamond" w:cs="Times New Roman"/>
        </w:rPr>
        <w:t xml:space="preserve">Dr </w:t>
      </w:r>
      <w:proofErr w:type="spellStart"/>
      <w:r w:rsidR="00260708" w:rsidRPr="009321EF">
        <w:rPr>
          <w:rFonts w:ascii="Garamond" w:hAnsi="Garamond" w:cs="Times New Roman"/>
        </w:rPr>
        <w:t>Bawa</w:t>
      </w:r>
      <w:r w:rsidR="00766073" w:rsidRPr="009321EF">
        <w:rPr>
          <w:rFonts w:ascii="Garamond" w:hAnsi="Garamond" w:cs="Times New Roman"/>
        </w:rPr>
        <w:t>-Garba</w:t>
      </w:r>
      <w:proofErr w:type="spellEnd"/>
      <w:r w:rsidRPr="009321EF">
        <w:rPr>
          <w:rFonts w:ascii="Garamond" w:hAnsi="Garamond" w:cs="Times New Roman"/>
        </w:rPr>
        <w:t>,</w:t>
      </w:r>
      <w:r w:rsidR="0022642D" w:rsidRPr="009321EF">
        <w:rPr>
          <w:rFonts w:ascii="Garamond" w:hAnsi="Garamond" w:cs="Times New Roman"/>
        </w:rPr>
        <w:t xml:space="preserve"> </w:t>
      </w:r>
      <w:r w:rsidR="004D3FED" w:rsidRPr="009321EF">
        <w:rPr>
          <w:rFonts w:ascii="Garamond" w:hAnsi="Garamond" w:cs="Times New Roman"/>
        </w:rPr>
        <w:t xml:space="preserve">a </w:t>
      </w:r>
      <w:r w:rsidR="0052284C" w:rsidRPr="009321EF">
        <w:rPr>
          <w:rFonts w:ascii="Garamond" w:hAnsi="Garamond" w:cs="Times New Roman"/>
        </w:rPr>
        <w:t xml:space="preserve">paediatrician, </w:t>
      </w:r>
      <w:r w:rsidR="004D3FED" w:rsidRPr="009321EF">
        <w:rPr>
          <w:rFonts w:ascii="Garamond" w:hAnsi="Garamond" w:cs="Times New Roman"/>
        </w:rPr>
        <w:t>was convicted of gross negligence manslaughter</w:t>
      </w:r>
      <w:r w:rsidR="00C103D8" w:rsidRPr="009321EF">
        <w:rPr>
          <w:rFonts w:ascii="Garamond" w:hAnsi="Garamond" w:cs="Times New Roman"/>
        </w:rPr>
        <w:t xml:space="preserve"> (GNM) </w:t>
      </w:r>
      <w:r w:rsidRPr="009321EF">
        <w:rPr>
          <w:rFonts w:ascii="Garamond" w:hAnsi="Garamond" w:cs="Times New Roman"/>
        </w:rPr>
        <w:t xml:space="preserve"> in respect of one of her patients at Leicester</w:t>
      </w:r>
      <w:r w:rsidR="008C3335" w:rsidRPr="009321EF">
        <w:rPr>
          <w:rFonts w:ascii="Garamond" w:hAnsi="Garamond" w:cs="Times New Roman"/>
        </w:rPr>
        <w:t xml:space="preserve"> Royal Infirmary</w:t>
      </w:r>
      <w:r w:rsidRPr="009321EF">
        <w:rPr>
          <w:rFonts w:ascii="Garamond" w:hAnsi="Garamond" w:cs="Times New Roman"/>
        </w:rPr>
        <w:t xml:space="preserve"> Hospital. D</w:t>
      </w:r>
      <w:r w:rsidR="0022642D" w:rsidRPr="009321EF">
        <w:rPr>
          <w:rFonts w:ascii="Garamond" w:hAnsi="Garamond" w:cs="Times New Roman"/>
        </w:rPr>
        <w:t xml:space="preserve">uring </w:t>
      </w:r>
      <w:r w:rsidR="00565E82">
        <w:rPr>
          <w:rFonts w:ascii="Garamond" w:hAnsi="Garamond" w:cs="Times New Roman"/>
        </w:rPr>
        <w:t>a</w:t>
      </w:r>
      <w:r w:rsidR="0022642D" w:rsidRPr="009321EF">
        <w:rPr>
          <w:rFonts w:ascii="Garamond" w:hAnsi="Garamond" w:cs="Times New Roman"/>
        </w:rPr>
        <w:t xml:space="preserve"> night-shift featuring IT meltdowns and communication failures that many clinicians will be familiar with, </w:t>
      </w:r>
      <w:r w:rsidR="005902D7">
        <w:rPr>
          <w:rFonts w:ascii="Garamond" w:hAnsi="Garamond" w:cs="Times New Roman"/>
        </w:rPr>
        <w:t xml:space="preserve">and having worked a double shift of </w:t>
      </w:r>
      <w:r w:rsidR="00F3157D">
        <w:rPr>
          <w:rFonts w:ascii="Garamond" w:hAnsi="Garamond" w:cs="Times New Roman"/>
        </w:rPr>
        <w:t>twelve to thirteen</w:t>
      </w:r>
      <w:r w:rsidR="005902D7">
        <w:rPr>
          <w:rFonts w:ascii="Garamond" w:hAnsi="Garamond" w:cs="Times New Roman"/>
        </w:rPr>
        <w:t xml:space="preserve"> hours, </w:t>
      </w:r>
      <w:r w:rsidRPr="009321EF">
        <w:rPr>
          <w:rFonts w:ascii="Garamond" w:hAnsi="Garamond" w:cs="Times New Roman"/>
        </w:rPr>
        <w:t xml:space="preserve">Dr </w:t>
      </w:r>
      <w:proofErr w:type="spellStart"/>
      <w:r w:rsidR="00260708" w:rsidRPr="009321EF">
        <w:rPr>
          <w:rFonts w:ascii="Garamond" w:hAnsi="Garamond" w:cs="Times New Roman"/>
        </w:rPr>
        <w:t>Bawa</w:t>
      </w:r>
      <w:r w:rsidR="00766073" w:rsidRPr="009321EF">
        <w:rPr>
          <w:rFonts w:ascii="Garamond" w:hAnsi="Garamond" w:cs="Times New Roman"/>
        </w:rPr>
        <w:t>-Garba</w:t>
      </w:r>
      <w:r w:rsidRPr="009321EF">
        <w:rPr>
          <w:rFonts w:ascii="Garamond" w:hAnsi="Garamond" w:cs="Times New Roman"/>
        </w:rPr>
        <w:t>’s</w:t>
      </w:r>
      <w:proofErr w:type="spellEnd"/>
      <w:r w:rsidRPr="009321EF">
        <w:rPr>
          <w:rFonts w:ascii="Garamond" w:hAnsi="Garamond" w:cs="Times New Roman"/>
        </w:rPr>
        <w:t xml:space="preserve"> </w:t>
      </w:r>
      <w:r w:rsidR="0022642D" w:rsidRPr="009321EF">
        <w:rPr>
          <w:rFonts w:ascii="Garamond" w:hAnsi="Garamond" w:cs="Times New Roman"/>
        </w:rPr>
        <w:t>actions</w:t>
      </w:r>
      <w:r w:rsidR="00565E82">
        <w:rPr>
          <w:rFonts w:ascii="Garamond" w:hAnsi="Garamond" w:cs="Times New Roman"/>
        </w:rPr>
        <w:t xml:space="preserve"> and </w:t>
      </w:r>
      <w:r w:rsidR="005B0BE9">
        <w:rPr>
          <w:rFonts w:ascii="Garamond" w:hAnsi="Garamond" w:cs="Times New Roman"/>
        </w:rPr>
        <w:t>omissions</w:t>
      </w:r>
      <w:r w:rsidR="00565E82">
        <w:rPr>
          <w:rFonts w:ascii="Garamond" w:hAnsi="Garamond" w:cs="Times New Roman"/>
        </w:rPr>
        <w:t xml:space="preserve"> were</w:t>
      </w:r>
      <w:r w:rsidR="0022642D" w:rsidRPr="009321EF">
        <w:rPr>
          <w:rFonts w:ascii="Garamond" w:hAnsi="Garamond" w:cs="Times New Roman"/>
        </w:rPr>
        <w:t xml:space="preserve"> </w:t>
      </w:r>
      <w:r w:rsidR="00713008">
        <w:rPr>
          <w:rFonts w:ascii="Garamond" w:hAnsi="Garamond" w:cs="Times New Roman"/>
        </w:rPr>
        <w:t>(</w:t>
      </w:r>
      <w:r w:rsidR="0022642D" w:rsidRPr="009321EF">
        <w:rPr>
          <w:rFonts w:ascii="Garamond" w:hAnsi="Garamond" w:cs="Times New Roman"/>
        </w:rPr>
        <w:t xml:space="preserve">according to </w:t>
      </w:r>
      <w:r w:rsidRPr="009321EF">
        <w:rPr>
          <w:rFonts w:ascii="Garamond" w:hAnsi="Garamond" w:cs="Times New Roman"/>
        </w:rPr>
        <w:t>a</w:t>
      </w:r>
      <w:r w:rsidR="00713008">
        <w:rPr>
          <w:rFonts w:ascii="Garamond" w:hAnsi="Garamond" w:cs="Times New Roman"/>
        </w:rPr>
        <w:t xml:space="preserve"> </w:t>
      </w:r>
      <w:r w:rsidRPr="009321EF">
        <w:rPr>
          <w:rFonts w:ascii="Garamond" w:hAnsi="Garamond" w:cs="Times New Roman"/>
        </w:rPr>
        <w:t>jury</w:t>
      </w:r>
      <w:r w:rsidR="00713008">
        <w:rPr>
          <w:rFonts w:ascii="Garamond" w:hAnsi="Garamond" w:cs="Times New Roman"/>
        </w:rPr>
        <w:t>)</w:t>
      </w:r>
      <w:r w:rsidR="0022642D" w:rsidRPr="009321EF">
        <w:rPr>
          <w:rFonts w:ascii="Garamond" w:hAnsi="Garamond" w:cs="Times New Roman"/>
        </w:rPr>
        <w:t xml:space="preserve"> a material contributory cause of the death of s</w:t>
      </w:r>
      <w:r w:rsidR="005902D7">
        <w:rPr>
          <w:rFonts w:ascii="Garamond" w:hAnsi="Garamond" w:cs="Times New Roman"/>
        </w:rPr>
        <w:t>ix</w:t>
      </w:r>
      <w:r w:rsidR="005B0BE9">
        <w:rPr>
          <w:rFonts w:ascii="Garamond" w:hAnsi="Garamond" w:cs="Times New Roman"/>
        </w:rPr>
        <w:t>-</w:t>
      </w:r>
      <w:r w:rsidR="0022642D" w:rsidRPr="009321EF">
        <w:rPr>
          <w:rFonts w:ascii="Garamond" w:hAnsi="Garamond" w:cs="Times New Roman"/>
        </w:rPr>
        <w:t>year old Jack Adcock</w:t>
      </w:r>
      <w:r w:rsidR="0022642D" w:rsidRPr="009321EF">
        <w:rPr>
          <w:rStyle w:val="FootnoteReference"/>
          <w:rFonts w:ascii="Garamond" w:hAnsi="Garamond" w:cs="Times New Roman"/>
        </w:rPr>
        <w:footnoteReference w:id="11"/>
      </w:r>
      <w:r w:rsidR="0022642D" w:rsidRPr="009321EF">
        <w:rPr>
          <w:rFonts w:ascii="Garamond" w:hAnsi="Garamond" w:cs="Times New Roman"/>
        </w:rPr>
        <w:t xml:space="preserve">. </w:t>
      </w:r>
      <w:r w:rsidR="00034468">
        <w:rPr>
          <w:rFonts w:ascii="Garamond" w:hAnsi="Garamond" w:cs="Times New Roman"/>
        </w:rPr>
        <w:t xml:space="preserve">Notwithstanding these </w:t>
      </w:r>
      <w:r w:rsidR="00034468" w:rsidRPr="005B0BE9">
        <w:rPr>
          <w:rFonts w:ascii="Garamond" w:hAnsi="Garamond" w:cs="Times New Roman"/>
        </w:rPr>
        <w:t>system failures</w:t>
      </w:r>
      <w:r w:rsidR="00034468">
        <w:rPr>
          <w:rFonts w:ascii="Garamond" w:hAnsi="Garamond" w:cs="Times New Roman"/>
        </w:rPr>
        <w:t>, the jury found that the defendant’s performance had been ‘truly exceptionally bad’</w:t>
      </w:r>
      <w:r w:rsidR="00034468">
        <w:rPr>
          <w:rStyle w:val="FootnoteReference"/>
          <w:rFonts w:ascii="Garamond" w:hAnsi="Garamond" w:cs="Times New Roman"/>
        </w:rPr>
        <w:footnoteReference w:id="12"/>
      </w:r>
      <w:r w:rsidR="00034468">
        <w:rPr>
          <w:rFonts w:ascii="Garamond" w:hAnsi="Garamond" w:cs="Times New Roman"/>
        </w:rPr>
        <w:t xml:space="preserve"> and by a majority verdict, found </w:t>
      </w:r>
      <w:r w:rsidR="0022642D" w:rsidRPr="009321EF">
        <w:rPr>
          <w:rFonts w:ascii="Garamond" w:hAnsi="Garamond" w:cs="Times New Roman"/>
        </w:rPr>
        <w:t xml:space="preserve">Dr </w:t>
      </w:r>
      <w:proofErr w:type="spellStart"/>
      <w:r w:rsidR="0022642D" w:rsidRPr="009321EF">
        <w:rPr>
          <w:rFonts w:ascii="Garamond" w:hAnsi="Garamond" w:cs="Times New Roman"/>
        </w:rPr>
        <w:t>Bawa-Garba</w:t>
      </w:r>
      <w:proofErr w:type="spellEnd"/>
      <w:r w:rsidR="0022642D" w:rsidRPr="009321EF">
        <w:rPr>
          <w:rFonts w:ascii="Garamond" w:hAnsi="Garamond" w:cs="Times New Roman"/>
        </w:rPr>
        <w:t xml:space="preserve"> </w:t>
      </w:r>
      <w:r w:rsidR="00034468">
        <w:rPr>
          <w:rFonts w:ascii="Garamond" w:hAnsi="Garamond" w:cs="Times New Roman"/>
        </w:rPr>
        <w:t>guilty of GNM. Justice Nicol sentenced her</w:t>
      </w:r>
      <w:r w:rsidR="0022642D" w:rsidRPr="009321EF">
        <w:rPr>
          <w:rFonts w:ascii="Garamond" w:hAnsi="Garamond" w:cs="Times New Roman"/>
        </w:rPr>
        <w:t xml:space="preserve"> to two years imprisonment, suspended for two years</w:t>
      </w:r>
      <w:r w:rsidR="00034468" w:rsidRPr="00570626">
        <w:rPr>
          <w:rFonts w:ascii="Garamond" w:hAnsi="Garamond" w:cs="Times New Roman"/>
        </w:rPr>
        <w:t>, and t</w:t>
      </w:r>
      <w:r w:rsidR="0022642D" w:rsidRPr="009321EF">
        <w:rPr>
          <w:rFonts w:ascii="Garamond" w:hAnsi="Garamond" w:cs="Times New Roman"/>
        </w:rPr>
        <w:t>he Court of Appeal unanimously rejected her appeal against conviction.</w:t>
      </w:r>
      <w:r w:rsidR="0022642D" w:rsidRPr="009321EF">
        <w:rPr>
          <w:rFonts w:ascii="Garamond" w:hAnsi="Garamond" w:cs="Times New Roman"/>
          <w:vertAlign w:val="superscript"/>
        </w:rPr>
        <w:footnoteReference w:id="13"/>
      </w:r>
      <w:r w:rsidR="0022642D" w:rsidRPr="009321EF">
        <w:rPr>
          <w:rFonts w:ascii="Garamond" w:hAnsi="Garamond" w:cs="Times New Roman"/>
        </w:rPr>
        <w:t xml:space="preserve"> </w:t>
      </w:r>
    </w:p>
    <w:p w14:paraId="03F59992" w14:textId="77777777" w:rsidR="00034468" w:rsidRPr="00570626" w:rsidRDefault="00034468">
      <w:pPr>
        <w:pStyle w:val="Normal1"/>
        <w:spacing w:line="480" w:lineRule="auto"/>
        <w:jc w:val="both"/>
        <w:rPr>
          <w:rFonts w:ascii="Garamond" w:hAnsi="Garamond" w:cs="Times New Roman"/>
        </w:rPr>
      </w:pPr>
    </w:p>
    <w:p w14:paraId="3CAA8A95" w14:textId="56EB151E" w:rsidR="00976C3E" w:rsidRPr="009321EF" w:rsidRDefault="00976C3E" w:rsidP="009321EF">
      <w:pPr>
        <w:pStyle w:val="Normal1"/>
        <w:spacing w:line="480" w:lineRule="auto"/>
        <w:jc w:val="both"/>
        <w:rPr>
          <w:rFonts w:ascii="Garamond" w:hAnsi="Garamond" w:cs="Times New Roman"/>
        </w:rPr>
      </w:pPr>
      <w:r w:rsidRPr="00570626">
        <w:rPr>
          <w:rFonts w:ascii="Garamond" w:hAnsi="Garamond" w:cs="Times New Roman"/>
        </w:rPr>
        <w:t xml:space="preserve">The prosecution and conviction of </w:t>
      </w:r>
      <w:r w:rsidR="004E2CF0">
        <w:rPr>
          <w:rFonts w:ascii="Garamond" w:hAnsi="Garamond" w:cs="Times New Roman"/>
        </w:rPr>
        <w:t xml:space="preserve">Dr </w:t>
      </w:r>
      <w:proofErr w:type="spellStart"/>
      <w:r w:rsidRPr="00570626">
        <w:rPr>
          <w:rFonts w:ascii="Garamond" w:hAnsi="Garamond" w:cs="Times New Roman"/>
        </w:rPr>
        <w:t>Bawa-Garba</w:t>
      </w:r>
      <w:proofErr w:type="spellEnd"/>
      <w:r w:rsidRPr="00570626">
        <w:rPr>
          <w:rFonts w:ascii="Garamond" w:hAnsi="Garamond" w:cs="Times New Roman"/>
        </w:rPr>
        <w:t xml:space="preserve"> divided</w:t>
      </w:r>
      <w:r w:rsidR="00857514">
        <w:rPr>
          <w:rFonts w:ascii="Garamond" w:hAnsi="Garamond" w:cs="Times New Roman"/>
        </w:rPr>
        <w:t xml:space="preserve"> public</w:t>
      </w:r>
      <w:r w:rsidRPr="00570626">
        <w:rPr>
          <w:rFonts w:ascii="Garamond" w:hAnsi="Garamond" w:cs="Times New Roman"/>
        </w:rPr>
        <w:t xml:space="preserve"> opinion. The tests fo</w:t>
      </w:r>
      <w:r w:rsidR="008E611A" w:rsidRPr="00570626">
        <w:rPr>
          <w:rFonts w:ascii="Garamond" w:hAnsi="Garamond" w:cs="Times New Roman"/>
        </w:rPr>
        <w:t>r</w:t>
      </w:r>
      <w:r w:rsidRPr="00570626">
        <w:rPr>
          <w:rFonts w:ascii="Garamond" w:hAnsi="Garamond" w:cs="Times New Roman"/>
        </w:rPr>
        <w:t xml:space="preserve"> liability in GNM are </w:t>
      </w:r>
      <w:r w:rsidR="00F464B7" w:rsidRPr="00570626">
        <w:rPr>
          <w:rFonts w:ascii="Garamond" w:hAnsi="Garamond" w:cs="Times New Roman"/>
        </w:rPr>
        <w:t xml:space="preserve">notoriously </w:t>
      </w:r>
      <w:r w:rsidR="00B40B2E" w:rsidRPr="00570626">
        <w:rPr>
          <w:rFonts w:ascii="Garamond" w:hAnsi="Garamond" w:cs="Times New Roman"/>
        </w:rPr>
        <w:t>vague</w:t>
      </w:r>
      <w:r w:rsidR="00570626">
        <w:rPr>
          <w:rFonts w:ascii="Garamond" w:hAnsi="Garamond" w:cs="Times New Roman"/>
        </w:rPr>
        <w:t>,</w:t>
      </w:r>
      <w:r w:rsidR="00B40B2E" w:rsidRPr="00570626">
        <w:rPr>
          <w:rFonts w:ascii="Garamond" w:hAnsi="Garamond" w:cs="Times New Roman"/>
        </w:rPr>
        <w:t xml:space="preserve"> </w:t>
      </w:r>
      <w:r w:rsidRPr="00570626">
        <w:rPr>
          <w:rFonts w:ascii="Garamond" w:hAnsi="Garamond" w:cs="Times New Roman"/>
        </w:rPr>
        <w:t>marred by circularity</w:t>
      </w:r>
      <w:r w:rsidR="00CE6BEB" w:rsidRPr="00570626">
        <w:rPr>
          <w:rStyle w:val="FootnoteReference"/>
          <w:rFonts w:ascii="Garamond" w:hAnsi="Garamond" w:cs="Times New Roman"/>
        </w:rPr>
        <w:footnoteReference w:id="14"/>
      </w:r>
      <w:r w:rsidRPr="00570626">
        <w:rPr>
          <w:rFonts w:ascii="Garamond" w:hAnsi="Garamond" w:cs="Times New Roman"/>
        </w:rPr>
        <w:t xml:space="preserve"> </w:t>
      </w:r>
      <w:r w:rsidR="00B40B2E" w:rsidRPr="00570626">
        <w:rPr>
          <w:rFonts w:ascii="Garamond" w:hAnsi="Garamond" w:cs="Times New Roman"/>
        </w:rPr>
        <w:t>and ‘</w:t>
      </w:r>
      <w:r w:rsidR="00B40B2E" w:rsidRPr="009321EF">
        <w:rPr>
          <w:rFonts w:ascii="Garamond" w:hAnsi="Garamond"/>
        </w:rPr>
        <w:t>potentially unfair to those prosecuted.’</w:t>
      </w:r>
      <w:r w:rsidR="00B40B2E" w:rsidRPr="009321EF">
        <w:rPr>
          <w:rStyle w:val="FootnoteReference"/>
          <w:rFonts w:ascii="Garamond" w:hAnsi="Garamond"/>
        </w:rPr>
        <w:footnoteReference w:id="15"/>
      </w:r>
      <w:r w:rsidR="00B40B2E" w:rsidRPr="009321EF">
        <w:rPr>
          <w:rFonts w:ascii="Garamond" w:hAnsi="Garamond"/>
        </w:rPr>
        <w:t xml:space="preserve"> </w:t>
      </w:r>
      <w:r w:rsidR="00034468" w:rsidRPr="009321EF">
        <w:rPr>
          <w:rFonts w:ascii="Garamond" w:hAnsi="Garamond"/>
        </w:rPr>
        <w:t>S</w:t>
      </w:r>
      <w:r w:rsidRPr="00570626">
        <w:rPr>
          <w:rFonts w:ascii="Garamond" w:hAnsi="Garamond" w:cs="Times New Roman"/>
        </w:rPr>
        <w:t>ome que</w:t>
      </w:r>
      <w:r w:rsidR="002F2FA5">
        <w:rPr>
          <w:rFonts w:ascii="Garamond" w:hAnsi="Garamond" w:cs="Times New Roman"/>
        </w:rPr>
        <w:t>ried</w:t>
      </w:r>
      <w:r w:rsidRPr="00570626">
        <w:rPr>
          <w:rFonts w:ascii="Garamond" w:hAnsi="Garamond" w:cs="Times New Roman"/>
        </w:rPr>
        <w:t xml:space="preserve"> </w:t>
      </w:r>
      <w:r w:rsidR="008E611A" w:rsidRPr="00570626">
        <w:rPr>
          <w:rFonts w:ascii="Garamond" w:hAnsi="Garamond" w:cs="Times New Roman"/>
        </w:rPr>
        <w:t xml:space="preserve">the public interest in prosecuting this case </w:t>
      </w:r>
      <w:r w:rsidR="00CE0116">
        <w:rPr>
          <w:rFonts w:ascii="Garamond" w:hAnsi="Garamond" w:cs="Times New Roman"/>
        </w:rPr>
        <w:t xml:space="preserve">at all </w:t>
      </w:r>
      <w:r w:rsidR="002F2FA5">
        <w:rPr>
          <w:rFonts w:ascii="Garamond" w:hAnsi="Garamond" w:cs="Times New Roman"/>
        </w:rPr>
        <w:t>(</w:t>
      </w:r>
      <w:r w:rsidR="008E611A" w:rsidRPr="00570626">
        <w:rPr>
          <w:rFonts w:ascii="Garamond" w:hAnsi="Garamond" w:cs="Times New Roman"/>
        </w:rPr>
        <w:t>particularly given the use of NHS resources inevitably involved in defending it</w:t>
      </w:r>
      <w:r w:rsidR="002F2FA5">
        <w:rPr>
          <w:rFonts w:ascii="Garamond" w:hAnsi="Garamond" w:cs="Times New Roman"/>
        </w:rPr>
        <w:t>)</w:t>
      </w:r>
      <w:r w:rsidR="00034468" w:rsidRPr="00570626">
        <w:rPr>
          <w:rFonts w:ascii="Garamond" w:hAnsi="Garamond" w:cs="Times New Roman"/>
        </w:rPr>
        <w:t>,</w:t>
      </w:r>
      <w:r w:rsidR="008E611A" w:rsidRPr="00570626">
        <w:rPr>
          <w:rFonts w:ascii="Garamond" w:hAnsi="Garamond" w:cs="Times New Roman"/>
          <w:vertAlign w:val="superscript"/>
        </w:rPr>
        <w:footnoteReference w:id="16"/>
      </w:r>
      <w:r w:rsidR="00034468" w:rsidRPr="00570626">
        <w:rPr>
          <w:rFonts w:ascii="Garamond" w:hAnsi="Garamond" w:cs="Times New Roman"/>
        </w:rPr>
        <w:t xml:space="preserve"> </w:t>
      </w:r>
      <w:r w:rsidR="002F2FA5">
        <w:rPr>
          <w:rFonts w:ascii="Garamond" w:hAnsi="Garamond" w:cs="Times New Roman"/>
        </w:rPr>
        <w:t xml:space="preserve">and </w:t>
      </w:r>
      <w:r w:rsidR="001E1220">
        <w:rPr>
          <w:rFonts w:ascii="Garamond" w:hAnsi="Garamond" w:cs="Times New Roman"/>
        </w:rPr>
        <w:t xml:space="preserve">further </w:t>
      </w:r>
      <w:r w:rsidR="002F2FA5">
        <w:rPr>
          <w:rFonts w:ascii="Garamond" w:hAnsi="Garamond" w:cs="Times New Roman"/>
        </w:rPr>
        <w:t xml:space="preserve">questions were raised </w:t>
      </w:r>
      <w:r w:rsidR="00041E65">
        <w:rPr>
          <w:rFonts w:ascii="Garamond" w:hAnsi="Garamond" w:cs="Times New Roman"/>
        </w:rPr>
        <w:t>regarding</w:t>
      </w:r>
      <w:r w:rsidR="001E1220">
        <w:rPr>
          <w:rFonts w:ascii="Garamond" w:hAnsi="Garamond" w:cs="Times New Roman"/>
        </w:rPr>
        <w:t>:</w:t>
      </w:r>
      <w:r w:rsidR="002F2FA5">
        <w:rPr>
          <w:rFonts w:ascii="Garamond" w:hAnsi="Garamond" w:cs="Times New Roman"/>
        </w:rPr>
        <w:t xml:space="preserve"> </w:t>
      </w:r>
      <w:r w:rsidR="005902D7" w:rsidRPr="00570626">
        <w:rPr>
          <w:rFonts w:ascii="Garamond" w:hAnsi="Garamond" w:cs="Times New Roman"/>
        </w:rPr>
        <w:t xml:space="preserve">the appropriateness of asking juries to make decisions turning on intricacies of </w:t>
      </w:r>
      <w:r w:rsidR="005902D7" w:rsidRPr="00570626">
        <w:rPr>
          <w:rFonts w:ascii="Garamond" w:hAnsi="Garamond" w:cs="Times New Roman"/>
        </w:rPr>
        <w:lastRenderedPageBreak/>
        <w:t>professional competence,</w:t>
      </w:r>
      <w:r w:rsidR="005902D7" w:rsidRPr="00570626">
        <w:rPr>
          <w:rStyle w:val="FootnoteReference"/>
          <w:rFonts w:ascii="Garamond" w:hAnsi="Garamond" w:cs="Times New Roman"/>
        </w:rPr>
        <w:footnoteReference w:id="17"/>
      </w:r>
      <w:r w:rsidR="005902D7" w:rsidRPr="00570626">
        <w:rPr>
          <w:rFonts w:ascii="Garamond" w:hAnsi="Garamond" w:cs="Times New Roman"/>
        </w:rPr>
        <w:t xml:space="preserve"> </w:t>
      </w:r>
      <w:r w:rsidR="00F3157D" w:rsidRPr="00570626">
        <w:rPr>
          <w:rFonts w:ascii="Garamond" w:hAnsi="Garamond" w:cs="Times New Roman"/>
        </w:rPr>
        <w:t>the foregrounding of the defendant’s failures against the backdrop of substantial system f</w:t>
      </w:r>
      <w:r w:rsidR="00F3157D">
        <w:rPr>
          <w:rFonts w:ascii="Garamond" w:hAnsi="Garamond" w:cs="Times New Roman"/>
        </w:rPr>
        <w:t>ailures</w:t>
      </w:r>
      <w:r w:rsidR="005B19D3">
        <w:rPr>
          <w:rFonts w:ascii="Garamond" w:hAnsi="Garamond" w:cs="Times New Roman"/>
        </w:rPr>
        <w:t xml:space="preserve"> and failings by other staff</w:t>
      </w:r>
      <w:r w:rsidR="005B19D3">
        <w:rPr>
          <w:rStyle w:val="FootnoteReference"/>
          <w:rFonts w:ascii="Garamond" w:hAnsi="Garamond" w:cs="Times New Roman"/>
        </w:rPr>
        <w:footnoteReference w:id="18"/>
      </w:r>
      <w:r w:rsidR="00F3157D">
        <w:rPr>
          <w:rFonts w:ascii="Garamond" w:hAnsi="Garamond" w:cs="Times New Roman"/>
        </w:rPr>
        <w:t xml:space="preserve"> and the role of expert witnesses in securing her conviction.</w:t>
      </w:r>
      <w:r w:rsidR="005B0BE9">
        <w:rPr>
          <w:rStyle w:val="FootnoteReference"/>
          <w:rFonts w:ascii="Garamond" w:hAnsi="Garamond" w:cs="Times New Roman"/>
        </w:rPr>
        <w:footnoteReference w:id="19"/>
      </w:r>
      <w:r w:rsidR="00034468">
        <w:rPr>
          <w:rFonts w:ascii="Garamond" w:hAnsi="Garamond" w:cs="Times New Roman"/>
        </w:rPr>
        <w:t xml:space="preserve"> The</w:t>
      </w:r>
      <w:r w:rsidR="002F2FA5">
        <w:rPr>
          <w:rFonts w:ascii="Garamond" w:hAnsi="Garamond" w:cs="Times New Roman"/>
        </w:rPr>
        <w:t>se issues are not explored further in this commentary, the</w:t>
      </w:r>
      <w:r w:rsidR="00034468">
        <w:rPr>
          <w:rFonts w:ascii="Garamond" w:hAnsi="Garamond" w:cs="Times New Roman"/>
        </w:rPr>
        <w:t xml:space="preserve"> focus of this paper</w:t>
      </w:r>
      <w:r w:rsidR="002F2FA5">
        <w:rPr>
          <w:rFonts w:ascii="Garamond" w:hAnsi="Garamond" w:cs="Times New Roman"/>
        </w:rPr>
        <w:t xml:space="preserve"> being</w:t>
      </w:r>
      <w:r w:rsidR="00034468">
        <w:rPr>
          <w:rFonts w:ascii="Garamond" w:hAnsi="Garamond" w:cs="Times New Roman"/>
        </w:rPr>
        <w:t xml:space="preserve"> the litigation connected with the question of whether Dr </w:t>
      </w:r>
      <w:proofErr w:type="spellStart"/>
      <w:r w:rsidR="00034468">
        <w:rPr>
          <w:rFonts w:ascii="Garamond" w:hAnsi="Garamond" w:cs="Times New Roman"/>
        </w:rPr>
        <w:t>Bawa-Garba</w:t>
      </w:r>
      <w:r w:rsidR="00FB231B">
        <w:rPr>
          <w:rFonts w:ascii="Garamond" w:hAnsi="Garamond" w:cs="Times New Roman"/>
        </w:rPr>
        <w:t>’s</w:t>
      </w:r>
      <w:proofErr w:type="spellEnd"/>
      <w:r w:rsidR="00FB231B">
        <w:rPr>
          <w:rFonts w:ascii="Garamond" w:hAnsi="Garamond" w:cs="Times New Roman"/>
        </w:rPr>
        <w:t xml:space="preserve"> GNM conviction meant that she</w:t>
      </w:r>
      <w:r w:rsidR="00034468">
        <w:rPr>
          <w:rFonts w:ascii="Garamond" w:hAnsi="Garamond" w:cs="Times New Roman"/>
        </w:rPr>
        <w:t xml:space="preserve"> </w:t>
      </w:r>
      <w:r w:rsidR="003141DB">
        <w:rPr>
          <w:rFonts w:ascii="Garamond" w:hAnsi="Garamond" w:cs="Times New Roman"/>
        </w:rPr>
        <w:t xml:space="preserve">should be excluded from medical </w:t>
      </w:r>
      <w:r w:rsidR="00034468">
        <w:rPr>
          <w:rFonts w:ascii="Garamond" w:hAnsi="Garamond" w:cs="Times New Roman"/>
        </w:rPr>
        <w:t>practi</w:t>
      </w:r>
      <w:r w:rsidR="003141DB">
        <w:rPr>
          <w:rFonts w:ascii="Garamond" w:hAnsi="Garamond" w:cs="Times New Roman"/>
        </w:rPr>
        <w:t>c</w:t>
      </w:r>
      <w:r w:rsidR="00034468">
        <w:rPr>
          <w:rFonts w:ascii="Garamond" w:hAnsi="Garamond" w:cs="Times New Roman"/>
        </w:rPr>
        <w:t>e.</w:t>
      </w:r>
    </w:p>
    <w:p w14:paraId="63A3FDFF" w14:textId="77777777" w:rsidR="008C3335" w:rsidRPr="009321EF" w:rsidRDefault="008C3335" w:rsidP="009321EF">
      <w:pPr>
        <w:pStyle w:val="Normal1"/>
        <w:numPr>
          <w:ilvl w:val="0"/>
          <w:numId w:val="3"/>
        </w:numPr>
        <w:spacing w:line="480" w:lineRule="auto"/>
        <w:jc w:val="both"/>
        <w:rPr>
          <w:rFonts w:ascii="Garamond" w:hAnsi="Garamond" w:cs="Times New Roman"/>
          <w:bCs/>
        </w:rPr>
      </w:pPr>
    </w:p>
    <w:p w14:paraId="2C6ED46D" w14:textId="77777777" w:rsidR="00A66CCD" w:rsidRPr="009321EF" w:rsidRDefault="00A66CCD">
      <w:pPr>
        <w:pStyle w:val="Normal1"/>
        <w:spacing w:line="480" w:lineRule="auto"/>
        <w:jc w:val="both"/>
        <w:rPr>
          <w:rFonts w:ascii="Garamond" w:hAnsi="Garamond" w:cs="Times New Roman"/>
          <w:b/>
          <w:bCs/>
        </w:rPr>
      </w:pPr>
      <w:r w:rsidRPr="009321EF">
        <w:rPr>
          <w:rFonts w:ascii="Garamond" w:hAnsi="Garamond" w:cs="Times New Roman"/>
          <w:b/>
          <w:bCs/>
        </w:rPr>
        <w:t>From suspension to erasure and back again</w:t>
      </w:r>
    </w:p>
    <w:p w14:paraId="773F7887" w14:textId="2CBFA208" w:rsidR="001E1220" w:rsidRDefault="00573A29">
      <w:pPr>
        <w:pStyle w:val="Normal1"/>
        <w:spacing w:line="480" w:lineRule="auto"/>
        <w:jc w:val="both"/>
        <w:rPr>
          <w:rFonts w:ascii="Garamond" w:hAnsi="Garamond" w:cs="Times New Roman"/>
        </w:rPr>
      </w:pPr>
      <w:r w:rsidRPr="00573A29">
        <w:rPr>
          <w:rFonts w:ascii="Garamond" w:hAnsi="Garamond" w:cs="Times New Roman"/>
        </w:rPr>
        <w:t xml:space="preserve">In </w:t>
      </w:r>
      <w:r>
        <w:rPr>
          <w:rFonts w:ascii="Garamond" w:hAnsi="Garamond" w:cs="Times New Roman"/>
        </w:rPr>
        <w:t xml:space="preserve">an interim order hearing, Mr Justice Knowles considered </w:t>
      </w:r>
      <w:r w:rsidR="00C20181">
        <w:rPr>
          <w:rFonts w:ascii="Garamond" w:hAnsi="Garamond" w:cs="Times New Roman"/>
        </w:rPr>
        <w:t xml:space="preserve">that </w:t>
      </w:r>
      <w:r>
        <w:rPr>
          <w:rFonts w:ascii="Garamond" w:hAnsi="Garamond" w:cs="Times New Roman"/>
        </w:rPr>
        <w:t xml:space="preserve">Dr </w:t>
      </w:r>
      <w:proofErr w:type="spellStart"/>
      <w:r>
        <w:rPr>
          <w:rFonts w:ascii="Garamond" w:hAnsi="Garamond" w:cs="Times New Roman"/>
        </w:rPr>
        <w:t>Bawa-Garba</w:t>
      </w:r>
      <w:proofErr w:type="spellEnd"/>
      <w:r w:rsidR="00C20181">
        <w:rPr>
          <w:rFonts w:ascii="Garamond" w:hAnsi="Garamond" w:cs="Times New Roman"/>
        </w:rPr>
        <w:t xml:space="preserve"> did not need to </w:t>
      </w:r>
      <w:r>
        <w:rPr>
          <w:rFonts w:ascii="Garamond" w:hAnsi="Garamond" w:cs="Times New Roman"/>
        </w:rPr>
        <w:t>be suspended from practi</w:t>
      </w:r>
      <w:r w:rsidR="0005517F">
        <w:rPr>
          <w:rFonts w:ascii="Garamond" w:hAnsi="Garamond" w:cs="Times New Roman"/>
        </w:rPr>
        <w:t>c</w:t>
      </w:r>
      <w:r>
        <w:rPr>
          <w:rFonts w:ascii="Garamond" w:hAnsi="Garamond" w:cs="Times New Roman"/>
        </w:rPr>
        <w:t xml:space="preserve">e </w:t>
      </w:r>
      <w:r w:rsidR="00C20181">
        <w:rPr>
          <w:rFonts w:ascii="Garamond" w:hAnsi="Garamond" w:cs="Times New Roman"/>
        </w:rPr>
        <w:t xml:space="preserve">on public confidence grounds </w:t>
      </w:r>
      <w:r w:rsidR="002D47A1">
        <w:rPr>
          <w:rFonts w:ascii="Garamond" w:hAnsi="Garamond" w:cs="Times New Roman"/>
        </w:rPr>
        <w:t xml:space="preserve">once she </w:t>
      </w:r>
      <w:r w:rsidR="002F2FA5">
        <w:rPr>
          <w:rFonts w:ascii="Garamond" w:hAnsi="Garamond" w:cs="Times New Roman"/>
        </w:rPr>
        <w:t>had been</w:t>
      </w:r>
      <w:r w:rsidR="002D47A1">
        <w:rPr>
          <w:rFonts w:ascii="Garamond" w:hAnsi="Garamond" w:cs="Times New Roman"/>
        </w:rPr>
        <w:t xml:space="preserve"> charged with GNM</w:t>
      </w:r>
      <w:r w:rsidR="002F2FA5">
        <w:rPr>
          <w:rFonts w:ascii="Garamond" w:hAnsi="Garamond" w:cs="Times New Roman"/>
        </w:rPr>
        <w:t xml:space="preserve"> and pending the outcome of the criminal trial</w:t>
      </w:r>
      <w:r w:rsidR="00C20181">
        <w:rPr>
          <w:rFonts w:ascii="Garamond" w:hAnsi="Garamond" w:cs="Times New Roman"/>
        </w:rPr>
        <w:t>.</w:t>
      </w:r>
      <w:r w:rsidR="0005517F">
        <w:rPr>
          <w:rStyle w:val="FootnoteReference"/>
          <w:rFonts w:ascii="Garamond" w:hAnsi="Garamond" w:cs="Times New Roman"/>
        </w:rPr>
        <w:footnoteReference w:id="20"/>
      </w:r>
      <w:r w:rsidR="00C20181">
        <w:rPr>
          <w:rFonts w:ascii="Garamond" w:hAnsi="Garamond" w:cs="Times New Roman"/>
        </w:rPr>
        <w:t xml:space="preserve"> This was because </w:t>
      </w:r>
      <w:r w:rsidRPr="00573A29">
        <w:rPr>
          <w:rFonts w:ascii="Garamond" w:hAnsi="Garamond" w:cs="Times New Roman"/>
        </w:rPr>
        <w:t xml:space="preserve">a decision based on maintaining public confidence was one of balance, and even a conviction </w:t>
      </w:r>
      <w:r w:rsidR="004D45EB">
        <w:rPr>
          <w:rFonts w:ascii="Garamond" w:hAnsi="Garamond" w:cs="Times New Roman"/>
        </w:rPr>
        <w:t xml:space="preserve">of an offence </w:t>
      </w:r>
      <w:r w:rsidRPr="00573A29">
        <w:rPr>
          <w:rFonts w:ascii="Garamond" w:hAnsi="Garamond" w:cs="Times New Roman"/>
        </w:rPr>
        <w:t>as serious as manslaughter should not automatically lead to erasure from the medical register.</w:t>
      </w:r>
      <w:r w:rsidR="00E377A5" w:rsidRPr="00E377A5">
        <w:rPr>
          <w:rFonts w:ascii="Garamond" w:hAnsi="Garamond" w:cs="Times New Roman"/>
          <w:vertAlign w:val="superscript"/>
        </w:rPr>
        <w:footnoteReference w:id="21"/>
      </w:r>
      <w:r w:rsidRPr="00573A29">
        <w:rPr>
          <w:rFonts w:ascii="Garamond" w:hAnsi="Garamond" w:cs="Times New Roman"/>
        </w:rPr>
        <w:t xml:space="preserve"> </w:t>
      </w:r>
    </w:p>
    <w:p w14:paraId="66BFE76E" w14:textId="77777777" w:rsidR="001E1220" w:rsidRDefault="001E1220">
      <w:pPr>
        <w:pStyle w:val="Normal1"/>
        <w:spacing w:line="480" w:lineRule="auto"/>
        <w:jc w:val="both"/>
        <w:rPr>
          <w:rFonts w:ascii="Garamond" w:hAnsi="Garamond" w:cs="Times New Roman"/>
        </w:rPr>
      </w:pPr>
    </w:p>
    <w:p w14:paraId="6DE6B757" w14:textId="6AD514D6" w:rsidR="004906D3" w:rsidRDefault="002F2FA5">
      <w:pPr>
        <w:pStyle w:val="Normal1"/>
        <w:spacing w:line="480" w:lineRule="auto"/>
        <w:jc w:val="both"/>
        <w:rPr>
          <w:rFonts w:ascii="Garamond" w:hAnsi="Garamond" w:cs="Times New Roman"/>
        </w:rPr>
      </w:pPr>
      <w:r>
        <w:rPr>
          <w:rFonts w:ascii="Garamond" w:hAnsi="Garamond" w:cs="Times New Roman"/>
        </w:rPr>
        <w:t>F</w:t>
      </w:r>
      <w:r w:rsidR="00C20181">
        <w:rPr>
          <w:rFonts w:ascii="Garamond" w:hAnsi="Garamond" w:cs="Times New Roman"/>
        </w:rPr>
        <w:t xml:space="preserve">ollowing Dr </w:t>
      </w:r>
      <w:proofErr w:type="spellStart"/>
      <w:r w:rsidR="00C20181">
        <w:rPr>
          <w:rFonts w:ascii="Garamond" w:hAnsi="Garamond" w:cs="Times New Roman"/>
        </w:rPr>
        <w:t>Bawa-Garba’s</w:t>
      </w:r>
      <w:proofErr w:type="spellEnd"/>
      <w:r w:rsidR="00C20181">
        <w:rPr>
          <w:rFonts w:ascii="Garamond" w:hAnsi="Garamond" w:cs="Times New Roman"/>
        </w:rPr>
        <w:t xml:space="preserve"> </w:t>
      </w:r>
      <w:r w:rsidR="00E07F01">
        <w:rPr>
          <w:rFonts w:ascii="Garamond" w:hAnsi="Garamond" w:cs="Times New Roman"/>
        </w:rPr>
        <w:t xml:space="preserve">GNM </w:t>
      </w:r>
      <w:r w:rsidR="00C20181">
        <w:rPr>
          <w:rFonts w:ascii="Garamond" w:hAnsi="Garamond" w:cs="Times New Roman"/>
        </w:rPr>
        <w:t>conviction</w:t>
      </w:r>
      <w:r>
        <w:rPr>
          <w:rFonts w:ascii="Garamond" w:hAnsi="Garamond" w:cs="Times New Roman"/>
        </w:rPr>
        <w:t xml:space="preserve"> in 2017</w:t>
      </w:r>
      <w:r w:rsidR="00C20181">
        <w:rPr>
          <w:rFonts w:ascii="Garamond" w:hAnsi="Garamond" w:cs="Times New Roman"/>
        </w:rPr>
        <w:t xml:space="preserve">, </w:t>
      </w:r>
      <w:r w:rsidR="0022642D" w:rsidRPr="009321EF">
        <w:rPr>
          <w:rFonts w:ascii="Garamond" w:hAnsi="Garamond" w:cs="Times New Roman"/>
        </w:rPr>
        <w:t>the Medical Practitioners Tribunal Service (MPTS)</w:t>
      </w:r>
      <w:r w:rsidR="00565E82">
        <w:rPr>
          <w:rFonts w:ascii="Garamond" w:hAnsi="Garamond" w:cs="Times New Roman"/>
        </w:rPr>
        <w:t xml:space="preserve"> examined</w:t>
      </w:r>
      <w:r w:rsidR="00C20181">
        <w:rPr>
          <w:rFonts w:ascii="Garamond" w:hAnsi="Garamond" w:cs="Times New Roman"/>
        </w:rPr>
        <w:t xml:space="preserve"> her case</w:t>
      </w:r>
      <w:r w:rsidR="00565E82">
        <w:rPr>
          <w:rFonts w:ascii="Garamond" w:hAnsi="Garamond" w:cs="Times New Roman"/>
        </w:rPr>
        <w:t xml:space="preserve"> and concluded that </w:t>
      </w:r>
      <w:r w:rsidR="00565E82" w:rsidRPr="00520D8B">
        <w:rPr>
          <w:rFonts w:ascii="Garamond" w:hAnsi="Garamond" w:cs="Times New Roman"/>
          <w:bCs/>
        </w:rPr>
        <w:t xml:space="preserve">a finding of ‘impaired fitness to practise’ </w:t>
      </w:r>
      <w:r w:rsidR="00565E82">
        <w:rPr>
          <w:rFonts w:ascii="Garamond" w:hAnsi="Garamond" w:cs="Times New Roman"/>
          <w:bCs/>
        </w:rPr>
        <w:t xml:space="preserve">was </w:t>
      </w:r>
      <w:r w:rsidR="00565E82" w:rsidRPr="00520D8B">
        <w:rPr>
          <w:rFonts w:ascii="Garamond" w:hAnsi="Garamond" w:cs="Times New Roman"/>
          <w:bCs/>
        </w:rPr>
        <w:t>necessary to maintain public confidence</w:t>
      </w:r>
      <w:r w:rsidR="00565E82">
        <w:rPr>
          <w:rFonts w:ascii="Garamond" w:hAnsi="Garamond" w:cs="Times New Roman"/>
          <w:bCs/>
        </w:rPr>
        <w:t>.</w:t>
      </w:r>
      <w:r w:rsidR="001E1220" w:rsidRPr="001E1220">
        <w:rPr>
          <w:rFonts w:ascii="Garamond" w:hAnsi="Garamond" w:cs="Times New Roman"/>
          <w:bCs/>
          <w:vertAlign w:val="superscript"/>
        </w:rPr>
        <w:footnoteReference w:id="22"/>
      </w:r>
      <w:r w:rsidR="00565E82">
        <w:rPr>
          <w:rFonts w:ascii="Garamond" w:hAnsi="Garamond" w:cs="Times New Roman"/>
          <w:bCs/>
        </w:rPr>
        <w:t xml:space="preserve"> </w:t>
      </w:r>
      <w:r w:rsidR="00565E82" w:rsidRPr="00520D8B">
        <w:rPr>
          <w:rFonts w:ascii="Garamond" w:hAnsi="Garamond" w:cs="Times New Roman"/>
          <w:bCs/>
        </w:rPr>
        <w:t xml:space="preserve">A finding of </w:t>
      </w:r>
      <w:r w:rsidR="00134998">
        <w:rPr>
          <w:rFonts w:ascii="Garamond" w:hAnsi="Garamond" w:cs="Times New Roman"/>
          <w:bCs/>
        </w:rPr>
        <w:t>‘</w:t>
      </w:r>
      <w:r w:rsidR="00565E82" w:rsidRPr="00520D8B">
        <w:rPr>
          <w:rFonts w:ascii="Garamond" w:hAnsi="Garamond" w:cs="Times New Roman"/>
          <w:bCs/>
        </w:rPr>
        <w:t>impairment</w:t>
      </w:r>
      <w:r w:rsidR="00134998">
        <w:rPr>
          <w:rFonts w:ascii="Garamond" w:hAnsi="Garamond" w:cs="Times New Roman"/>
          <w:bCs/>
        </w:rPr>
        <w:t>’</w:t>
      </w:r>
      <w:r w:rsidR="00565E82" w:rsidRPr="00520D8B">
        <w:rPr>
          <w:rFonts w:ascii="Garamond" w:hAnsi="Garamond" w:cs="Times New Roman"/>
          <w:bCs/>
        </w:rPr>
        <w:t xml:space="preserve"> </w:t>
      </w:r>
      <w:r w:rsidR="00E07F01">
        <w:rPr>
          <w:rFonts w:ascii="Garamond" w:hAnsi="Garamond" w:cs="Times New Roman"/>
          <w:bCs/>
        </w:rPr>
        <w:t>is the gateway to</w:t>
      </w:r>
      <w:r w:rsidR="00041E65">
        <w:rPr>
          <w:rFonts w:ascii="Garamond" w:hAnsi="Garamond" w:cs="Times New Roman"/>
          <w:bCs/>
        </w:rPr>
        <w:t xml:space="preserve"> ‘sanctions’ which qualify</w:t>
      </w:r>
      <w:r w:rsidR="001F7607">
        <w:rPr>
          <w:rFonts w:ascii="Garamond" w:hAnsi="Garamond" w:cs="Times New Roman"/>
          <w:bCs/>
        </w:rPr>
        <w:t xml:space="preserve"> a doctor’s registration</w:t>
      </w:r>
      <w:r w:rsidR="008C305A">
        <w:rPr>
          <w:rFonts w:ascii="Garamond" w:hAnsi="Garamond" w:cs="Times New Roman"/>
          <w:bCs/>
        </w:rPr>
        <w:t xml:space="preserve"> with the GMC</w:t>
      </w:r>
      <w:r w:rsidR="00E46B79">
        <w:rPr>
          <w:rFonts w:ascii="Garamond" w:hAnsi="Garamond" w:cs="Times New Roman"/>
          <w:bCs/>
        </w:rPr>
        <w:t xml:space="preserve"> and therefore eligibility to practice</w:t>
      </w:r>
      <w:r w:rsidR="001F7607">
        <w:rPr>
          <w:rFonts w:ascii="Garamond" w:hAnsi="Garamond" w:cs="Times New Roman"/>
          <w:bCs/>
        </w:rPr>
        <w:t>, including suspension or erasure.</w:t>
      </w:r>
      <w:r w:rsidR="00565E82" w:rsidRPr="00520D8B">
        <w:rPr>
          <w:rFonts w:ascii="Garamond" w:hAnsi="Garamond" w:cs="Times New Roman"/>
          <w:bCs/>
          <w:vertAlign w:val="superscript"/>
        </w:rPr>
        <w:footnoteReference w:id="23"/>
      </w:r>
      <w:r w:rsidR="001F7607">
        <w:rPr>
          <w:rFonts w:ascii="Garamond" w:hAnsi="Garamond" w:cs="Times New Roman"/>
          <w:bCs/>
        </w:rPr>
        <w:t xml:space="preserve"> T</w:t>
      </w:r>
      <w:r w:rsidR="00565E82" w:rsidRPr="00520D8B">
        <w:rPr>
          <w:rFonts w:ascii="Garamond" w:hAnsi="Garamond" w:cs="Times New Roman"/>
          <w:bCs/>
        </w:rPr>
        <w:t>he tribunal found that a one-year suspension was sufficient to maintain public confidence</w:t>
      </w:r>
      <w:r w:rsidR="00041E65">
        <w:rPr>
          <w:rFonts w:ascii="Garamond" w:hAnsi="Garamond" w:cs="Times New Roman"/>
          <w:bCs/>
        </w:rPr>
        <w:t xml:space="preserve"> in this case</w:t>
      </w:r>
      <w:r w:rsidR="00E46B79">
        <w:rPr>
          <w:rFonts w:ascii="Garamond" w:hAnsi="Garamond" w:cs="Times New Roman"/>
          <w:bCs/>
        </w:rPr>
        <w:t>,</w:t>
      </w:r>
      <w:r w:rsidR="0078737D" w:rsidRPr="009321EF">
        <w:rPr>
          <w:rFonts w:ascii="Garamond" w:hAnsi="Garamond" w:cs="Times New Roman"/>
        </w:rPr>
        <w:t xml:space="preserve"> </w:t>
      </w:r>
      <w:r w:rsidR="00E46B79">
        <w:rPr>
          <w:rFonts w:ascii="Garamond" w:hAnsi="Garamond" w:cs="Times New Roman"/>
        </w:rPr>
        <w:t>given that</w:t>
      </w:r>
      <w:r w:rsidR="002C13F9">
        <w:rPr>
          <w:rFonts w:ascii="Garamond" w:hAnsi="Garamond" w:cs="Times New Roman"/>
        </w:rPr>
        <w:t xml:space="preserve"> her failings were not deliberate or reckless</w:t>
      </w:r>
      <w:r w:rsidR="000E2CBA">
        <w:rPr>
          <w:rFonts w:ascii="Garamond" w:hAnsi="Garamond" w:cs="Times New Roman"/>
        </w:rPr>
        <w:t>, they took place in the context of wider systemic failings</w:t>
      </w:r>
      <w:r w:rsidR="002C13F9">
        <w:rPr>
          <w:rFonts w:ascii="Garamond" w:hAnsi="Garamond" w:cs="Times New Roman"/>
        </w:rPr>
        <w:t xml:space="preserve"> and she did not present a continuing risk to patients.</w:t>
      </w:r>
      <w:r w:rsidR="002C13F9">
        <w:rPr>
          <w:rStyle w:val="FootnoteReference"/>
          <w:rFonts w:ascii="Garamond" w:hAnsi="Garamond" w:cs="Times New Roman"/>
        </w:rPr>
        <w:footnoteReference w:id="24"/>
      </w:r>
      <w:r w:rsidR="002C13F9">
        <w:rPr>
          <w:rFonts w:ascii="Garamond" w:hAnsi="Garamond" w:cs="Times New Roman"/>
        </w:rPr>
        <w:t xml:space="preserve"> </w:t>
      </w:r>
    </w:p>
    <w:p w14:paraId="7896D22F" w14:textId="77777777" w:rsidR="004906D3" w:rsidRDefault="004906D3">
      <w:pPr>
        <w:pStyle w:val="Normal1"/>
        <w:spacing w:line="480" w:lineRule="auto"/>
        <w:jc w:val="both"/>
        <w:rPr>
          <w:rFonts w:ascii="Garamond" w:hAnsi="Garamond" w:cs="Times New Roman"/>
        </w:rPr>
      </w:pPr>
    </w:p>
    <w:p w14:paraId="551E19D1" w14:textId="2EF49D83" w:rsidR="00CE0116" w:rsidRDefault="00624BF2" w:rsidP="009321EF">
      <w:pPr>
        <w:pStyle w:val="Normal1"/>
        <w:spacing w:line="480" w:lineRule="auto"/>
        <w:jc w:val="both"/>
        <w:rPr>
          <w:rFonts w:ascii="Garamond" w:hAnsi="Garamond" w:cs="Times New Roman"/>
        </w:rPr>
      </w:pPr>
      <w:r>
        <w:rPr>
          <w:rFonts w:ascii="Garamond" w:hAnsi="Garamond" w:cs="Times New Roman"/>
        </w:rPr>
        <w:t>Following the tribunal’s decision</w:t>
      </w:r>
      <w:r w:rsidR="00B61E14" w:rsidRPr="009321EF">
        <w:rPr>
          <w:rFonts w:ascii="Garamond" w:hAnsi="Garamond" w:cs="Times New Roman"/>
          <w:i/>
        </w:rPr>
        <w:t xml:space="preserve">, </w:t>
      </w:r>
      <w:r w:rsidR="00B61E14" w:rsidRPr="009321EF">
        <w:rPr>
          <w:rFonts w:ascii="Garamond" w:hAnsi="Garamond" w:cs="Times New Roman"/>
        </w:rPr>
        <w:t>the GMC exercised its</w:t>
      </w:r>
      <w:r w:rsidR="0081038D" w:rsidRPr="009321EF">
        <w:rPr>
          <w:rFonts w:ascii="Garamond" w:hAnsi="Garamond" w:cs="Times New Roman"/>
        </w:rPr>
        <w:t xml:space="preserve"> then</w:t>
      </w:r>
      <w:r w:rsidR="00B61E14" w:rsidRPr="009321EF">
        <w:rPr>
          <w:rFonts w:ascii="Garamond" w:hAnsi="Garamond" w:cs="Times New Roman"/>
        </w:rPr>
        <w:t xml:space="preserve"> relative</w:t>
      </w:r>
      <w:r w:rsidR="0081038D" w:rsidRPr="009321EF">
        <w:rPr>
          <w:rFonts w:ascii="Garamond" w:hAnsi="Garamond" w:cs="Times New Roman"/>
        </w:rPr>
        <w:t>ly</w:t>
      </w:r>
      <w:r w:rsidR="00B61E14" w:rsidRPr="009321EF">
        <w:rPr>
          <w:rFonts w:ascii="Garamond" w:hAnsi="Garamond" w:cs="Times New Roman"/>
        </w:rPr>
        <w:t xml:space="preserve"> new powers of appeal</w:t>
      </w:r>
      <w:r w:rsidR="00260708" w:rsidRPr="009321EF">
        <w:rPr>
          <w:rFonts w:ascii="Garamond" w:hAnsi="Garamond" w:cs="Times New Roman"/>
          <w:vertAlign w:val="superscript"/>
        </w:rPr>
        <w:footnoteReference w:id="25"/>
      </w:r>
      <w:r w:rsidR="00B61E14" w:rsidRPr="009321EF">
        <w:rPr>
          <w:rFonts w:ascii="Garamond" w:hAnsi="Garamond" w:cs="Times New Roman"/>
        </w:rPr>
        <w:t xml:space="preserve"> against MPTS outcomes</w:t>
      </w:r>
      <w:r>
        <w:rPr>
          <w:rFonts w:ascii="Garamond" w:hAnsi="Garamond" w:cs="Times New Roman"/>
        </w:rPr>
        <w:t>,</w:t>
      </w:r>
      <w:r w:rsidR="0081038D" w:rsidRPr="009321EF">
        <w:rPr>
          <w:rStyle w:val="FootnoteReference"/>
          <w:rFonts w:ascii="Garamond" w:hAnsi="Garamond" w:cs="Times New Roman"/>
        </w:rPr>
        <w:footnoteReference w:id="26"/>
      </w:r>
      <w:r w:rsidR="00B61E14" w:rsidRPr="009321EF">
        <w:rPr>
          <w:rFonts w:ascii="Garamond" w:hAnsi="Garamond" w:cs="Times New Roman"/>
        </w:rPr>
        <w:t xml:space="preserve"> </w:t>
      </w:r>
      <w:r w:rsidR="00041E65">
        <w:rPr>
          <w:rFonts w:ascii="Garamond" w:hAnsi="Garamond" w:cs="Times New Roman"/>
        </w:rPr>
        <w:t xml:space="preserve">arguing </w:t>
      </w:r>
      <w:r w:rsidR="00B61E14" w:rsidRPr="009321EF">
        <w:rPr>
          <w:rFonts w:ascii="Garamond" w:hAnsi="Garamond" w:cs="Times New Roman"/>
        </w:rPr>
        <w:t xml:space="preserve">that </w:t>
      </w:r>
      <w:r w:rsidR="00FB231B">
        <w:rPr>
          <w:rFonts w:ascii="Garamond" w:hAnsi="Garamond" w:cs="Times New Roman"/>
        </w:rPr>
        <w:t>a</w:t>
      </w:r>
      <w:r w:rsidR="00B61E14" w:rsidRPr="009321EF">
        <w:rPr>
          <w:rFonts w:ascii="Garamond" w:hAnsi="Garamond" w:cs="Times New Roman"/>
        </w:rPr>
        <w:t xml:space="preserve"> </w:t>
      </w:r>
      <w:r w:rsidR="008C3335" w:rsidRPr="009321EF">
        <w:rPr>
          <w:rFonts w:ascii="Garamond" w:hAnsi="Garamond" w:cs="Times New Roman"/>
        </w:rPr>
        <w:t>one year suspension from practice</w:t>
      </w:r>
      <w:r w:rsidR="004906D3">
        <w:rPr>
          <w:rFonts w:ascii="Garamond" w:hAnsi="Garamond" w:cs="Times New Roman"/>
        </w:rPr>
        <w:t xml:space="preserve"> </w:t>
      </w:r>
      <w:r w:rsidR="00041E65">
        <w:rPr>
          <w:rFonts w:ascii="Garamond" w:hAnsi="Garamond" w:cs="Times New Roman"/>
        </w:rPr>
        <w:t xml:space="preserve">was </w:t>
      </w:r>
      <w:r w:rsidR="00E46B79">
        <w:rPr>
          <w:rFonts w:ascii="Garamond" w:hAnsi="Garamond" w:cs="Times New Roman"/>
        </w:rPr>
        <w:t>in</w:t>
      </w:r>
      <w:r w:rsidR="00041E65">
        <w:rPr>
          <w:rFonts w:ascii="Garamond" w:hAnsi="Garamond" w:cs="Times New Roman"/>
        </w:rPr>
        <w:t>sufficient to</w:t>
      </w:r>
      <w:r w:rsidR="004906D3">
        <w:rPr>
          <w:rFonts w:ascii="Garamond" w:hAnsi="Garamond" w:cs="Times New Roman"/>
        </w:rPr>
        <w:t xml:space="preserve"> </w:t>
      </w:r>
      <w:r w:rsidR="002F2FA5">
        <w:rPr>
          <w:rFonts w:ascii="Garamond" w:hAnsi="Garamond" w:cs="Times New Roman"/>
        </w:rPr>
        <w:t>‘</w:t>
      </w:r>
      <w:r w:rsidR="004906D3">
        <w:rPr>
          <w:rFonts w:ascii="Garamond" w:hAnsi="Garamond" w:cs="Times New Roman"/>
        </w:rPr>
        <w:t>protect the public</w:t>
      </w:r>
      <w:r w:rsidR="00B61E14" w:rsidRPr="009321EF">
        <w:rPr>
          <w:rFonts w:ascii="Garamond" w:hAnsi="Garamond" w:cs="Times New Roman"/>
        </w:rPr>
        <w:t>.</w:t>
      </w:r>
      <w:r w:rsidR="002F2FA5">
        <w:rPr>
          <w:rFonts w:ascii="Garamond" w:hAnsi="Garamond" w:cs="Times New Roman"/>
        </w:rPr>
        <w:t>’</w:t>
      </w:r>
      <w:r w:rsidR="00B61E14" w:rsidRPr="009321EF">
        <w:rPr>
          <w:rFonts w:ascii="Garamond" w:hAnsi="Garamond" w:cs="Times New Roman"/>
          <w:vertAlign w:val="superscript"/>
        </w:rPr>
        <w:footnoteReference w:id="27"/>
      </w:r>
      <w:r w:rsidR="00F13BDB" w:rsidRPr="009321EF">
        <w:rPr>
          <w:rFonts w:ascii="Garamond" w:hAnsi="Garamond" w:cs="Times New Roman"/>
        </w:rPr>
        <w:t xml:space="preserve"> </w:t>
      </w:r>
      <w:r w:rsidRPr="00624BF2">
        <w:rPr>
          <w:rFonts w:ascii="Garamond" w:hAnsi="Garamond" w:cs="Times New Roman"/>
        </w:rPr>
        <w:t>In</w:t>
      </w:r>
      <w:r w:rsidR="00570626">
        <w:rPr>
          <w:rFonts w:ascii="Garamond" w:hAnsi="Garamond" w:cs="Times New Roman"/>
        </w:rPr>
        <w:t xml:space="preserve"> a judgment which appeared to </w:t>
      </w:r>
      <w:r w:rsidR="00570626" w:rsidRPr="00570626">
        <w:rPr>
          <w:rFonts w:ascii="Garamond" w:hAnsi="Garamond" w:cs="Times New Roman"/>
        </w:rPr>
        <w:t xml:space="preserve">conflate the </w:t>
      </w:r>
      <w:r w:rsidR="002F2FA5">
        <w:rPr>
          <w:rFonts w:ascii="Garamond" w:hAnsi="Garamond" w:cs="Times New Roman"/>
        </w:rPr>
        <w:t>level of</w:t>
      </w:r>
      <w:r w:rsidR="00570626" w:rsidRPr="00570626">
        <w:rPr>
          <w:rFonts w:ascii="Garamond" w:hAnsi="Garamond" w:cs="Times New Roman"/>
        </w:rPr>
        <w:t xml:space="preserve"> sanction required to maintain public confidence, with the verdict of the jury</w:t>
      </w:r>
      <w:r w:rsidR="00570626">
        <w:rPr>
          <w:rFonts w:ascii="Garamond" w:hAnsi="Garamond" w:cs="Times New Roman"/>
        </w:rPr>
        <w:t xml:space="preserve">, </w:t>
      </w:r>
      <w:r>
        <w:rPr>
          <w:rFonts w:ascii="Garamond" w:hAnsi="Garamond" w:cs="Times New Roman"/>
        </w:rPr>
        <w:t>t</w:t>
      </w:r>
      <w:r w:rsidR="00E1000C" w:rsidRPr="009321EF">
        <w:rPr>
          <w:rFonts w:ascii="Garamond" w:hAnsi="Garamond" w:cs="Times New Roman"/>
        </w:rPr>
        <w:t>he High Court</w:t>
      </w:r>
      <w:r w:rsidR="005455B0" w:rsidRPr="009321EF">
        <w:rPr>
          <w:rFonts w:ascii="Garamond" w:hAnsi="Garamond" w:cs="Times New Roman"/>
        </w:rPr>
        <w:t xml:space="preserve"> agreed</w:t>
      </w:r>
      <w:r>
        <w:rPr>
          <w:rFonts w:ascii="Garamond" w:hAnsi="Garamond" w:cs="Times New Roman"/>
        </w:rPr>
        <w:t xml:space="preserve"> with the GMC</w:t>
      </w:r>
      <w:r w:rsidR="00410925">
        <w:rPr>
          <w:rFonts w:ascii="Garamond" w:hAnsi="Garamond" w:cs="Times New Roman"/>
        </w:rPr>
        <w:t>, quashing the suspension and replacing it with</w:t>
      </w:r>
      <w:r w:rsidR="00E1000C" w:rsidRPr="009321EF">
        <w:rPr>
          <w:rFonts w:ascii="Garamond" w:hAnsi="Garamond" w:cs="Times New Roman"/>
        </w:rPr>
        <w:t xml:space="preserve"> </w:t>
      </w:r>
      <w:r w:rsidR="00410925">
        <w:rPr>
          <w:rFonts w:ascii="Garamond" w:hAnsi="Garamond" w:cs="Times New Roman"/>
        </w:rPr>
        <w:t xml:space="preserve">the </w:t>
      </w:r>
      <w:r w:rsidR="00E1000C" w:rsidRPr="009321EF">
        <w:rPr>
          <w:rFonts w:ascii="Garamond" w:hAnsi="Garamond" w:cs="Times New Roman"/>
        </w:rPr>
        <w:t>sanction of erasure</w:t>
      </w:r>
      <w:r w:rsidR="00576159" w:rsidRPr="009321EF">
        <w:rPr>
          <w:rFonts w:ascii="Garamond" w:hAnsi="Garamond" w:cs="Times New Roman"/>
        </w:rPr>
        <w:t>.</w:t>
      </w:r>
      <w:r w:rsidR="00570626">
        <w:rPr>
          <w:rStyle w:val="FootnoteReference"/>
          <w:rFonts w:ascii="Garamond" w:hAnsi="Garamond" w:cs="Times New Roman"/>
        </w:rPr>
        <w:footnoteReference w:id="28"/>
      </w:r>
      <w:r w:rsidR="00410925">
        <w:rPr>
          <w:rFonts w:ascii="Garamond" w:hAnsi="Garamond" w:cs="Times New Roman"/>
        </w:rPr>
        <w:t xml:space="preserve"> </w:t>
      </w:r>
      <w:r w:rsidR="00041E65">
        <w:rPr>
          <w:rFonts w:ascii="Garamond" w:hAnsi="Garamond" w:cs="Times New Roman"/>
        </w:rPr>
        <w:t xml:space="preserve">The </w:t>
      </w:r>
      <w:r w:rsidR="0005517F">
        <w:rPr>
          <w:rFonts w:ascii="Garamond" w:hAnsi="Garamond" w:cs="Times New Roman"/>
        </w:rPr>
        <w:t xml:space="preserve"> tribunal’s </w:t>
      </w:r>
      <w:r w:rsidR="00034468">
        <w:rPr>
          <w:rFonts w:ascii="Garamond" w:hAnsi="Garamond" w:cs="Times New Roman"/>
        </w:rPr>
        <w:t xml:space="preserve">decision and </w:t>
      </w:r>
      <w:r w:rsidR="0005517F">
        <w:rPr>
          <w:rFonts w:ascii="Garamond" w:hAnsi="Garamond" w:cs="Times New Roman"/>
        </w:rPr>
        <w:t>its</w:t>
      </w:r>
      <w:r w:rsidR="00034468">
        <w:rPr>
          <w:rFonts w:ascii="Garamond" w:hAnsi="Garamond" w:cs="Times New Roman"/>
        </w:rPr>
        <w:t xml:space="preserve"> emphasis o</w:t>
      </w:r>
      <w:r w:rsidR="004D45EB">
        <w:rPr>
          <w:rFonts w:ascii="Garamond" w:hAnsi="Garamond" w:cs="Times New Roman"/>
        </w:rPr>
        <w:t>n</w:t>
      </w:r>
      <w:r w:rsidR="00034468">
        <w:rPr>
          <w:rFonts w:ascii="Garamond" w:hAnsi="Garamond" w:cs="Times New Roman"/>
        </w:rPr>
        <w:t xml:space="preserve"> systemic failures </w:t>
      </w:r>
      <w:r w:rsidR="00DD639C">
        <w:rPr>
          <w:rFonts w:ascii="Garamond" w:hAnsi="Garamond" w:cs="Times New Roman"/>
        </w:rPr>
        <w:t xml:space="preserve">which the jury had been aware of, </w:t>
      </w:r>
      <w:r w:rsidR="00034468">
        <w:rPr>
          <w:rFonts w:ascii="Garamond" w:hAnsi="Garamond" w:cs="Times New Roman"/>
        </w:rPr>
        <w:t>demonstrated</w:t>
      </w:r>
      <w:r w:rsidR="00041E65">
        <w:rPr>
          <w:rFonts w:ascii="Garamond" w:hAnsi="Garamond" w:cs="Times New Roman"/>
        </w:rPr>
        <w:t xml:space="preserve">, according to </w:t>
      </w:r>
      <w:proofErr w:type="spellStart"/>
      <w:r w:rsidR="00041E65">
        <w:rPr>
          <w:rFonts w:ascii="Garamond" w:hAnsi="Garamond" w:cs="Times New Roman"/>
        </w:rPr>
        <w:t>Ouseley</w:t>
      </w:r>
      <w:proofErr w:type="spellEnd"/>
      <w:r w:rsidR="00041E65">
        <w:rPr>
          <w:rFonts w:ascii="Garamond" w:hAnsi="Garamond" w:cs="Times New Roman"/>
        </w:rPr>
        <w:t xml:space="preserve"> J,</w:t>
      </w:r>
      <w:r w:rsidR="00034468">
        <w:rPr>
          <w:rFonts w:ascii="Garamond" w:hAnsi="Garamond" w:cs="Times New Roman"/>
        </w:rPr>
        <w:t xml:space="preserve"> that</w:t>
      </w:r>
      <w:r w:rsidR="0005517F">
        <w:rPr>
          <w:rFonts w:ascii="Garamond" w:hAnsi="Garamond" w:cs="Times New Roman"/>
        </w:rPr>
        <w:t xml:space="preserve"> its approach</w:t>
      </w:r>
      <w:r w:rsidR="00CE0116">
        <w:rPr>
          <w:rFonts w:ascii="Garamond" w:hAnsi="Garamond" w:cs="Times New Roman"/>
        </w:rPr>
        <w:t>:</w:t>
      </w:r>
    </w:p>
    <w:p w14:paraId="20500304" w14:textId="77777777" w:rsidR="00CE0116" w:rsidRDefault="00CE0116" w:rsidP="00CE0116">
      <w:pPr>
        <w:pStyle w:val="Normal1"/>
        <w:spacing w:line="480" w:lineRule="auto"/>
        <w:ind w:left="397" w:right="397"/>
        <w:jc w:val="both"/>
        <w:rPr>
          <w:rFonts w:ascii="Garamond" w:hAnsi="Garamond" w:cs="Times New Roman"/>
        </w:rPr>
      </w:pPr>
    </w:p>
    <w:p w14:paraId="3F0FD575" w14:textId="2185AD24" w:rsidR="00CE0116" w:rsidRDefault="00E1000C" w:rsidP="00CE0116">
      <w:pPr>
        <w:pStyle w:val="Normal1"/>
        <w:spacing w:line="480" w:lineRule="auto"/>
        <w:ind w:left="397" w:right="397"/>
        <w:jc w:val="both"/>
        <w:rPr>
          <w:rFonts w:ascii="Garamond" w:hAnsi="Garamond" w:cs="Times New Roman"/>
        </w:rPr>
      </w:pPr>
      <w:r w:rsidRPr="009321EF">
        <w:rPr>
          <w:rFonts w:ascii="Garamond" w:hAnsi="Garamond" w:cs="Times New Roman"/>
        </w:rPr>
        <w:t xml:space="preserve"> </w:t>
      </w:r>
      <w:r w:rsidR="0005517F">
        <w:rPr>
          <w:rFonts w:ascii="Garamond" w:hAnsi="Garamond" w:cs="Times New Roman"/>
        </w:rPr>
        <w:t>‘</w:t>
      </w:r>
      <w:r w:rsidRPr="009321EF">
        <w:rPr>
          <w:rFonts w:ascii="Garamond" w:hAnsi="Garamond" w:cs="Times New Roman"/>
        </w:rPr>
        <w:t>did not respect the true force of the jury’s verdict nor did it give it the weight required when considering the need to maintain public confidence in the profession and proper standards.’</w:t>
      </w:r>
      <w:r w:rsidRPr="009321EF">
        <w:rPr>
          <w:rFonts w:ascii="Garamond" w:hAnsi="Garamond" w:cs="Times New Roman"/>
          <w:vertAlign w:val="superscript"/>
        </w:rPr>
        <w:footnoteReference w:id="29"/>
      </w:r>
      <w:r w:rsidRPr="009321EF">
        <w:rPr>
          <w:rFonts w:ascii="Garamond" w:hAnsi="Garamond" w:cs="Times New Roman"/>
        </w:rPr>
        <w:t xml:space="preserve"> </w:t>
      </w:r>
    </w:p>
    <w:p w14:paraId="17A0CA29" w14:textId="77777777" w:rsidR="00CE0116" w:rsidRDefault="00CE0116" w:rsidP="009321EF">
      <w:pPr>
        <w:pStyle w:val="Normal1"/>
        <w:spacing w:line="480" w:lineRule="auto"/>
        <w:jc w:val="both"/>
        <w:rPr>
          <w:rFonts w:ascii="Garamond" w:hAnsi="Garamond" w:cs="Times New Roman"/>
        </w:rPr>
      </w:pPr>
    </w:p>
    <w:p w14:paraId="00A8A13E" w14:textId="65D95B60" w:rsidR="00361DE9" w:rsidRPr="009321EF" w:rsidRDefault="0022642D" w:rsidP="009321EF">
      <w:pPr>
        <w:pStyle w:val="Normal1"/>
        <w:spacing w:line="480" w:lineRule="auto"/>
        <w:jc w:val="both"/>
        <w:rPr>
          <w:rFonts w:ascii="Garamond" w:hAnsi="Garamond" w:cs="Times New Roman"/>
        </w:rPr>
      </w:pPr>
      <w:r w:rsidRPr="009321EF">
        <w:rPr>
          <w:rFonts w:ascii="Garamond" w:hAnsi="Garamond" w:cs="Times New Roman"/>
        </w:rPr>
        <w:t>T</w:t>
      </w:r>
      <w:r w:rsidR="00E1000C" w:rsidRPr="009321EF">
        <w:rPr>
          <w:rFonts w:ascii="Garamond" w:hAnsi="Garamond" w:cs="Times New Roman"/>
        </w:rPr>
        <w:t>he GMC’s</w:t>
      </w:r>
      <w:r w:rsidRPr="009321EF">
        <w:rPr>
          <w:rFonts w:ascii="Garamond" w:hAnsi="Garamond" w:cs="Times New Roman"/>
        </w:rPr>
        <w:t xml:space="preserve"> appeal was upheld on the basis that </w:t>
      </w:r>
      <w:r w:rsidR="00576159" w:rsidRPr="009321EF">
        <w:rPr>
          <w:rFonts w:ascii="Garamond" w:hAnsi="Garamond" w:cs="Times New Roman"/>
        </w:rPr>
        <w:t xml:space="preserve">given the verdict of the jury in the criminal case, </w:t>
      </w:r>
      <w:r w:rsidRPr="009321EF">
        <w:rPr>
          <w:rFonts w:ascii="Garamond" w:hAnsi="Garamond" w:cs="Times New Roman"/>
        </w:rPr>
        <w:t>nothing short of erasure would uphold public confidence in the profession</w:t>
      </w:r>
      <w:r w:rsidR="001E1220">
        <w:rPr>
          <w:rFonts w:ascii="Garamond" w:hAnsi="Garamond" w:cs="Times New Roman"/>
        </w:rPr>
        <w:t>.</w:t>
      </w:r>
      <w:r w:rsidRPr="009321EF">
        <w:rPr>
          <w:rStyle w:val="FootnoteReference"/>
          <w:rFonts w:ascii="Garamond" w:hAnsi="Garamond" w:cs="Times New Roman"/>
        </w:rPr>
        <w:footnoteReference w:id="30"/>
      </w:r>
      <w:r w:rsidRPr="009321EF">
        <w:rPr>
          <w:rFonts w:ascii="Garamond" w:hAnsi="Garamond" w:cs="Times New Roman"/>
        </w:rPr>
        <w:t xml:space="preserve"> </w:t>
      </w:r>
    </w:p>
    <w:p w14:paraId="58B0D8C8" w14:textId="77777777" w:rsidR="00361DE9" w:rsidRPr="009321EF" w:rsidRDefault="00361DE9" w:rsidP="009321EF">
      <w:pPr>
        <w:pStyle w:val="Normal1"/>
        <w:spacing w:line="480" w:lineRule="auto"/>
        <w:ind w:left="720"/>
        <w:jc w:val="both"/>
        <w:rPr>
          <w:rFonts w:ascii="Garamond" w:hAnsi="Garamond" w:cs="Times New Roman"/>
          <w:bCs/>
        </w:rPr>
      </w:pPr>
    </w:p>
    <w:p w14:paraId="4C6580DE" w14:textId="210D8CF8" w:rsidR="00E27203" w:rsidRPr="009321EF" w:rsidRDefault="00065268" w:rsidP="009321EF">
      <w:pPr>
        <w:pStyle w:val="Normal1"/>
        <w:spacing w:line="480" w:lineRule="auto"/>
        <w:jc w:val="both"/>
        <w:rPr>
          <w:rFonts w:ascii="Garamond" w:hAnsi="Garamond" w:cs="Times New Roman"/>
          <w:bCs/>
        </w:rPr>
      </w:pPr>
      <w:r w:rsidRPr="009321EF">
        <w:rPr>
          <w:rFonts w:ascii="Garamond" w:hAnsi="Garamond" w:cs="Times New Roman"/>
        </w:rPr>
        <w:t>The Court of Appeal overturned th</w:t>
      </w:r>
      <w:r w:rsidR="00570626">
        <w:rPr>
          <w:rFonts w:ascii="Garamond" w:hAnsi="Garamond" w:cs="Times New Roman"/>
        </w:rPr>
        <w:t>is</w:t>
      </w:r>
      <w:r w:rsidR="00410925">
        <w:rPr>
          <w:rFonts w:ascii="Garamond" w:hAnsi="Garamond" w:cs="Times New Roman"/>
        </w:rPr>
        <w:t xml:space="preserve"> ruling</w:t>
      </w:r>
      <w:r w:rsidR="00041E65">
        <w:rPr>
          <w:rFonts w:ascii="Garamond" w:hAnsi="Garamond" w:cs="Times New Roman"/>
        </w:rPr>
        <w:t>,</w:t>
      </w:r>
      <w:r w:rsidR="00E27203" w:rsidRPr="009321EF">
        <w:rPr>
          <w:rFonts w:ascii="Garamond" w:hAnsi="Garamond" w:cs="Times New Roman"/>
        </w:rPr>
        <w:t xml:space="preserve"> restor</w:t>
      </w:r>
      <w:r w:rsidR="00041E65">
        <w:rPr>
          <w:rFonts w:ascii="Garamond" w:hAnsi="Garamond" w:cs="Times New Roman"/>
        </w:rPr>
        <w:t>ing</w:t>
      </w:r>
      <w:r w:rsidR="00E27203" w:rsidRPr="009321EF">
        <w:rPr>
          <w:rFonts w:ascii="Garamond" w:hAnsi="Garamond" w:cs="Times New Roman"/>
        </w:rPr>
        <w:t xml:space="preserve"> the original suspension order</w:t>
      </w:r>
      <w:r w:rsidR="00B90B56" w:rsidRPr="009321EF">
        <w:rPr>
          <w:rStyle w:val="FootnoteReference"/>
          <w:rFonts w:ascii="Garamond" w:hAnsi="Garamond" w:cs="Times New Roman"/>
        </w:rPr>
        <w:footnoteReference w:id="31"/>
      </w:r>
      <w:r w:rsidR="00041E65">
        <w:rPr>
          <w:rFonts w:ascii="Garamond" w:hAnsi="Garamond" w:cs="Times New Roman"/>
        </w:rPr>
        <w:t xml:space="preserve"> and</w:t>
      </w:r>
      <w:r w:rsidR="00E27203" w:rsidRPr="009321EF">
        <w:rPr>
          <w:rFonts w:ascii="Garamond" w:hAnsi="Garamond" w:cs="Times New Roman"/>
        </w:rPr>
        <w:t xml:space="preserve"> </w:t>
      </w:r>
      <w:r w:rsidR="008630B6">
        <w:rPr>
          <w:rFonts w:ascii="Garamond" w:hAnsi="Garamond" w:cs="Times New Roman"/>
        </w:rPr>
        <w:t xml:space="preserve">finding that </w:t>
      </w:r>
      <w:r w:rsidR="00B45A7D" w:rsidRPr="009321EF">
        <w:rPr>
          <w:rFonts w:ascii="Garamond" w:hAnsi="Garamond" w:cs="Times New Roman"/>
        </w:rPr>
        <w:t xml:space="preserve">Justice </w:t>
      </w:r>
      <w:proofErr w:type="spellStart"/>
      <w:r w:rsidR="00B45A7D" w:rsidRPr="009321EF">
        <w:rPr>
          <w:rFonts w:ascii="Garamond" w:hAnsi="Garamond" w:cs="Times New Roman"/>
        </w:rPr>
        <w:t>Ouseley</w:t>
      </w:r>
      <w:proofErr w:type="spellEnd"/>
      <w:r w:rsidR="00B45A7D" w:rsidRPr="009321EF">
        <w:rPr>
          <w:rFonts w:ascii="Garamond" w:hAnsi="Garamond" w:cs="Times New Roman"/>
        </w:rPr>
        <w:t xml:space="preserve"> had adopted an ‘impermissible approach’</w:t>
      </w:r>
      <w:r w:rsidR="005455B0" w:rsidRPr="009321EF">
        <w:rPr>
          <w:rFonts w:ascii="Garamond" w:hAnsi="Garamond" w:cs="Times New Roman"/>
        </w:rPr>
        <w:t xml:space="preserve"> by ap</w:t>
      </w:r>
      <w:r w:rsidR="00C103D8" w:rsidRPr="009321EF">
        <w:rPr>
          <w:rFonts w:ascii="Garamond" w:hAnsi="Garamond" w:cs="Times New Roman"/>
        </w:rPr>
        <w:t>p</w:t>
      </w:r>
      <w:r w:rsidR="005455B0" w:rsidRPr="009321EF">
        <w:rPr>
          <w:rFonts w:ascii="Garamond" w:hAnsi="Garamond" w:cs="Times New Roman"/>
        </w:rPr>
        <w:t>lying</w:t>
      </w:r>
      <w:r w:rsidR="00B45A7D" w:rsidRPr="009321EF">
        <w:rPr>
          <w:rFonts w:ascii="Garamond" w:hAnsi="Garamond" w:cs="Times New Roman"/>
        </w:rPr>
        <w:t xml:space="preserve"> a presumption of erasure </w:t>
      </w:r>
      <w:r w:rsidR="00576159" w:rsidRPr="009321EF">
        <w:rPr>
          <w:rFonts w:ascii="Garamond" w:hAnsi="Garamond" w:cs="Times New Roman"/>
        </w:rPr>
        <w:t>where a jury had found a doctor guilty of GNM</w:t>
      </w:r>
      <w:r w:rsidR="00B45A7D" w:rsidRPr="009321EF">
        <w:rPr>
          <w:rFonts w:ascii="Garamond" w:hAnsi="Garamond" w:cs="Times New Roman"/>
        </w:rPr>
        <w:t>.</w:t>
      </w:r>
      <w:r w:rsidR="00B45A7D" w:rsidRPr="009321EF">
        <w:rPr>
          <w:rFonts w:ascii="Garamond" w:hAnsi="Garamond" w:cs="Times New Roman"/>
          <w:vertAlign w:val="superscript"/>
        </w:rPr>
        <w:footnoteReference w:id="32"/>
      </w:r>
      <w:r w:rsidR="00B45A7D" w:rsidRPr="009321EF">
        <w:rPr>
          <w:rFonts w:ascii="Garamond" w:hAnsi="Garamond" w:cs="Times New Roman"/>
        </w:rPr>
        <w:t xml:space="preserve"> </w:t>
      </w:r>
      <w:r w:rsidR="008630B6">
        <w:rPr>
          <w:rFonts w:ascii="Garamond" w:hAnsi="Garamond" w:cs="Times New Roman"/>
        </w:rPr>
        <w:t xml:space="preserve">Justice </w:t>
      </w:r>
      <w:proofErr w:type="spellStart"/>
      <w:r w:rsidR="008630B6">
        <w:rPr>
          <w:rFonts w:ascii="Garamond" w:hAnsi="Garamond" w:cs="Times New Roman"/>
        </w:rPr>
        <w:t>Ouseley’s</w:t>
      </w:r>
      <w:proofErr w:type="spellEnd"/>
      <w:r w:rsidR="008630B6">
        <w:rPr>
          <w:rFonts w:ascii="Garamond" w:hAnsi="Garamond" w:cs="Times New Roman"/>
        </w:rPr>
        <w:t xml:space="preserve"> a</w:t>
      </w:r>
      <w:r w:rsidR="005455B0" w:rsidRPr="009321EF">
        <w:rPr>
          <w:rFonts w:ascii="Garamond" w:hAnsi="Garamond" w:cs="Times New Roman"/>
        </w:rPr>
        <w:t xml:space="preserve">pproach </w:t>
      </w:r>
      <w:r w:rsidR="008630B6">
        <w:rPr>
          <w:rFonts w:ascii="Garamond" w:hAnsi="Garamond" w:cs="Times New Roman"/>
        </w:rPr>
        <w:t xml:space="preserve">had also been contrary to his own </w:t>
      </w:r>
      <w:r w:rsidR="00B45A7D" w:rsidRPr="009321EF">
        <w:rPr>
          <w:rFonts w:ascii="Garamond" w:hAnsi="Garamond" w:cs="Times New Roman"/>
        </w:rPr>
        <w:t xml:space="preserve">expressed view that a </w:t>
      </w:r>
      <w:r w:rsidR="00B45A7D" w:rsidRPr="009321EF">
        <w:rPr>
          <w:rFonts w:ascii="Garamond" w:hAnsi="Garamond" w:cs="Times New Roman"/>
          <w:i/>
          <w:iCs/>
        </w:rPr>
        <w:t>presumption</w:t>
      </w:r>
      <w:r w:rsidR="00B45A7D" w:rsidRPr="009321EF">
        <w:rPr>
          <w:rFonts w:ascii="Garamond" w:hAnsi="Garamond" w:cs="Times New Roman"/>
        </w:rPr>
        <w:t xml:space="preserve"> in favour of erasure in convictions for </w:t>
      </w:r>
      <w:r w:rsidR="00B45A7D" w:rsidRPr="009321EF">
        <w:rPr>
          <w:rFonts w:ascii="Garamond" w:hAnsi="Garamond" w:cs="Times New Roman"/>
        </w:rPr>
        <w:lastRenderedPageBreak/>
        <w:t>GNM was inappropriate</w:t>
      </w:r>
      <w:r w:rsidR="00025267">
        <w:rPr>
          <w:rFonts w:ascii="Garamond" w:hAnsi="Garamond" w:cs="Times New Roman"/>
        </w:rPr>
        <w:t xml:space="preserve"> and that</w:t>
      </w:r>
      <w:r w:rsidR="00B45A7D" w:rsidRPr="009321EF">
        <w:rPr>
          <w:rFonts w:ascii="Garamond" w:hAnsi="Garamond" w:cs="Times New Roman"/>
        </w:rPr>
        <w:t xml:space="preserve"> </w:t>
      </w:r>
      <w:r w:rsidR="00025267">
        <w:rPr>
          <w:rFonts w:ascii="Garamond" w:hAnsi="Garamond" w:cs="Times New Roman"/>
        </w:rPr>
        <w:t>s</w:t>
      </w:r>
      <w:r w:rsidR="00B45A7D" w:rsidRPr="009321EF">
        <w:rPr>
          <w:rFonts w:ascii="Garamond" w:hAnsi="Garamond" w:cs="Times New Roman"/>
        </w:rPr>
        <w:t xml:space="preserve">anctions should depend on the individual facts and circumstances. </w:t>
      </w:r>
      <w:r w:rsidR="00DD4A8E" w:rsidRPr="009321EF">
        <w:rPr>
          <w:rFonts w:ascii="Garamond" w:hAnsi="Garamond" w:cs="Times New Roman"/>
        </w:rPr>
        <w:t>Subsequently, a</w:t>
      </w:r>
      <w:r w:rsidR="009E6F71" w:rsidRPr="009321EF">
        <w:rPr>
          <w:rFonts w:ascii="Garamond" w:hAnsi="Garamond" w:cs="Times New Roman"/>
        </w:rPr>
        <w:t xml:space="preserve">fter </w:t>
      </w:r>
      <w:r w:rsidR="00876DE3">
        <w:rPr>
          <w:rFonts w:ascii="Garamond" w:hAnsi="Garamond" w:cs="Times New Roman"/>
        </w:rPr>
        <w:t xml:space="preserve">a total of </w:t>
      </w:r>
      <w:r w:rsidR="009E6F71" w:rsidRPr="009321EF">
        <w:rPr>
          <w:rFonts w:ascii="Garamond" w:hAnsi="Garamond" w:cs="Times New Roman"/>
        </w:rPr>
        <w:t>18</w:t>
      </w:r>
      <w:r w:rsidR="00C56FA1" w:rsidRPr="009321EF">
        <w:rPr>
          <w:rFonts w:ascii="Garamond" w:hAnsi="Garamond" w:cs="Times New Roman"/>
        </w:rPr>
        <w:t xml:space="preserve"> </w:t>
      </w:r>
      <w:r w:rsidR="009E6F71" w:rsidRPr="009321EF">
        <w:rPr>
          <w:rFonts w:ascii="Garamond" w:hAnsi="Garamond" w:cs="Times New Roman"/>
        </w:rPr>
        <w:t>m</w:t>
      </w:r>
      <w:r w:rsidR="00C56FA1" w:rsidRPr="009321EF">
        <w:rPr>
          <w:rFonts w:ascii="Garamond" w:hAnsi="Garamond" w:cs="Times New Roman"/>
        </w:rPr>
        <w:t>on</w:t>
      </w:r>
      <w:r w:rsidR="009E6F71" w:rsidRPr="009321EF">
        <w:rPr>
          <w:rFonts w:ascii="Garamond" w:hAnsi="Garamond" w:cs="Times New Roman"/>
        </w:rPr>
        <w:t>ths</w:t>
      </w:r>
      <w:r w:rsidR="00C56FA1" w:rsidRPr="009321EF">
        <w:rPr>
          <w:rFonts w:ascii="Garamond" w:hAnsi="Garamond" w:cs="Times New Roman"/>
        </w:rPr>
        <w:t>’</w:t>
      </w:r>
      <w:r w:rsidR="009E6F71" w:rsidRPr="009321EF">
        <w:rPr>
          <w:rFonts w:ascii="Garamond" w:hAnsi="Garamond" w:cs="Times New Roman"/>
        </w:rPr>
        <w:t xml:space="preserve"> suspension, Dr </w:t>
      </w:r>
      <w:proofErr w:type="spellStart"/>
      <w:r w:rsidR="00260708" w:rsidRPr="009321EF">
        <w:rPr>
          <w:rFonts w:ascii="Garamond" w:hAnsi="Garamond" w:cs="Times New Roman"/>
        </w:rPr>
        <w:t>Bawa</w:t>
      </w:r>
      <w:r w:rsidR="00766073" w:rsidRPr="009321EF">
        <w:rPr>
          <w:rFonts w:ascii="Garamond" w:hAnsi="Garamond" w:cs="Times New Roman"/>
        </w:rPr>
        <w:t>-Garba</w:t>
      </w:r>
      <w:proofErr w:type="spellEnd"/>
      <w:r w:rsidR="009E6F71" w:rsidRPr="009321EF">
        <w:rPr>
          <w:rFonts w:ascii="Garamond" w:hAnsi="Garamond" w:cs="Times New Roman"/>
        </w:rPr>
        <w:t xml:space="preserve"> was</w:t>
      </w:r>
      <w:r w:rsidR="00B45A7D" w:rsidRPr="009321EF">
        <w:rPr>
          <w:rFonts w:ascii="Garamond" w:hAnsi="Garamond" w:cs="Times New Roman"/>
        </w:rPr>
        <w:t xml:space="preserve"> finally</w:t>
      </w:r>
      <w:r w:rsidR="009E6F71" w:rsidRPr="009321EF">
        <w:rPr>
          <w:rFonts w:ascii="Garamond" w:hAnsi="Garamond" w:cs="Times New Roman"/>
        </w:rPr>
        <w:t xml:space="preserve"> cleared by the MPTS to return to practice, subject to conditions</w:t>
      </w:r>
      <w:r w:rsidR="00862E9B">
        <w:rPr>
          <w:rFonts w:ascii="Garamond" w:hAnsi="Garamond" w:cs="Times New Roman"/>
        </w:rPr>
        <w:t xml:space="preserve">, </w:t>
      </w:r>
      <w:r w:rsidR="00CE0116">
        <w:rPr>
          <w:rFonts w:ascii="Garamond" w:hAnsi="Garamond" w:cs="Times New Roman"/>
        </w:rPr>
        <w:t>it not being in the public interest to ‘</w:t>
      </w:r>
      <w:r w:rsidR="009E6F71" w:rsidRPr="009321EF">
        <w:rPr>
          <w:rFonts w:ascii="Garamond" w:hAnsi="Garamond"/>
        </w:rPr>
        <w:t>deprive the public of an otherwise competent and dedicated practitioner</w:t>
      </w:r>
      <w:r w:rsidR="00CE0116">
        <w:rPr>
          <w:rFonts w:ascii="Garamond" w:hAnsi="Garamond"/>
        </w:rPr>
        <w:t>’</w:t>
      </w:r>
      <w:r w:rsidR="00025267">
        <w:rPr>
          <w:rFonts w:ascii="Garamond" w:hAnsi="Garamond"/>
        </w:rPr>
        <w:t>.</w:t>
      </w:r>
      <w:r w:rsidR="009E6F71" w:rsidRPr="009321EF">
        <w:rPr>
          <w:rFonts w:ascii="Garamond" w:hAnsi="Garamond"/>
        </w:rPr>
        <w:t>’</w:t>
      </w:r>
      <w:r w:rsidR="009E6F71" w:rsidRPr="009321EF">
        <w:rPr>
          <w:rStyle w:val="FootnoteReference"/>
          <w:rFonts w:ascii="Garamond" w:hAnsi="Garamond"/>
        </w:rPr>
        <w:footnoteReference w:id="33"/>
      </w:r>
    </w:p>
    <w:p w14:paraId="00000005" w14:textId="77777777" w:rsidR="0022642D" w:rsidRPr="009321EF" w:rsidRDefault="0022642D" w:rsidP="009321EF">
      <w:pPr>
        <w:pStyle w:val="Normal1"/>
        <w:spacing w:line="480" w:lineRule="auto"/>
        <w:jc w:val="both"/>
        <w:rPr>
          <w:rFonts w:ascii="Garamond" w:hAnsi="Garamond" w:cs="Times New Roman"/>
        </w:rPr>
      </w:pPr>
    </w:p>
    <w:p w14:paraId="00000008" w14:textId="0F35CF9F" w:rsidR="0022642D" w:rsidRPr="009321EF" w:rsidRDefault="0022642D" w:rsidP="00E92C7A">
      <w:pPr>
        <w:pStyle w:val="Normal1"/>
        <w:spacing w:line="480" w:lineRule="auto"/>
        <w:jc w:val="both"/>
        <w:rPr>
          <w:rFonts w:ascii="Garamond" w:hAnsi="Garamond" w:cs="Times New Roman"/>
        </w:rPr>
      </w:pPr>
      <w:r w:rsidRPr="009321EF">
        <w:rPr>
          <w:rFonts w:ascii="Garamond" w:hAnsi="Garamond" w:cs="Times New Roman"/>
        </w:rPr>
        <w:t>Th</w:t>
      </w:r>
      <w:r w:rsidR="00570626">
        <w:rPr>
          <w:rFonts w:ascii="Garamond" w:hAnsi="Garamond" w:cs="Times New Roman"/>
        </w:rPr>
        <w:t>e</w:t>
      </w:r>
      <w:r w:rsidRPr="009321EF">
        <w:rPr>
          <w:rFonts w:ascii="Garamond" w:hAnsi="Garamond" w:cs="Times New Roman"/>
        </w:rPr>
        <w:t xml:space="preserve"> case r</w:t>
      </w:r>
      <w:r w:rsidR="00220C4F" w:rsidRPr="009321EF">
        <w:rPr>
          <w:rFonts w:ascii="Garamond" w:hAnsi="Garamond" w:cs="Times New Roman"/>
        </w:rPr>
        <w:t>a</w:t>
      </w:r>
      <w:r w:rsidRPr="009321EF">
        <w:rPr>
          <w:rFonts w:ascii="Garamond" w:hAnsi="Garamond" w:cs="Times New Roman"/>
        </w:rPr>
        <w:t xml:space="preserve">ng alarm bells </w:t>
      </w:r>
      <w:r w:rsidR="008C305A">
        <w:rPr>
          <w:rFonts w:ascii="Garamond" w:hAnsi="Garamond" w:cs="Times New Roman"/>
        </w:rPr>
        <w:t xml:space="preserve">amongst the medical profession </w:t>
      </w:r>
      <w:r w:rsidRPr="009321EF">
        <w:rPr>
          <w:rFonts w:ascii="Garamond" w:hAnsi="Garamond" w:cs="Times New Roman"/>
        </w:rPr>
        <w:t xml:space="preserve">for a number of reasons. </w:t>
      </w:r>
      <w:r w:rsidR="00243AAE" w:rsidRPr="00243AAE">
        <w:rPr>
          <w:rFonts w:ascii="Garamond" w:hAnsi="Garamond" w:cs="Times New Roman"/>
        </w:rPr>
        <w:t>Whilst some of the profession’s concern was directed at the use of the criminal law, there was also ‘consternation and outrage’ at the regulator’s handling of the case.</w:t>
      </w:r>
      <w:r w:rsidR="00243AAE" w:rsidRPr="00243AAE">
        <w:rPr>
          <w:rFonts w:ascii="Garamond" w:hAnsi="Garamond" w:cs="Times New Roman"/>
          <w:vertAlign w:val="superscript"/>
        </w:rPr>
        <w:footnoteReference w:id="34"/>
      </w:r>
      <w:r w:rsidR="00243AAE" w:rsidRPr="00243AAE">
        <w:rPr>
          <w:rFonts w:ascii="Garamond" w:hAnsi="Garamond" w:cs="Times New Roman"/>
        </w:rPr>
        <w:t xml:space="preserve"> </w:t>
      </w:r>
      <w:r w:rsidRPr="009321EF">
        <w:rPr>
          <w:rFonts w:ascii="Garamond" w:hAnsi="Garamond" w:cs="Times New Roman"/>
        </w:rPr>
        <w:t xml:space="preserve">Firstly, many clinicians believed that this </w:t>
      </w:r>
      <w:r w:rsidR="008630B6">
        <w:rPr>
          <w:rFonts w:ascii="Garamond" w:hAnsi="Garamond" w:cs="Times New Roman"/>
        </w:rPr>
        <w:t xml:space="preserve">post-conviction </w:t>
      </w:r>
      <w:r w:rsidR="00766073" w:rsidRPr="009321EF">
        <w:rPr>
          <w:rFonts w:ascii="Garamond" w:hAnsi="Garamond" w:cs="Times New Roman"/>
        </w:rPr>
        <w:t>litigation</w:t>
      </w:r>
      <w:r w:rsidRPr="009321EF">
        <w:rPr>
          <w:rFonts w:ascii="Garamond" w:hAnsi="Garamond" w:cs="Times New Roman"/>
        </w:rPr>
        <w:t xml:space="preserve"> </w:t>
      </w:r>
      <w:r w:rsidR="00134998">
        <w:rPr>
          <w:rFonts w:ascii="Garamond" w:hAnsi="Garamond" w:cs="Times New Roman"/>
        </w:rPr>
        <w:t xml:space="preserve">was an example of </w:t>
      </w:r>
      <w:r w:rsidRPr="009321EF">
        <w:rPr>
          <w:rFonts w:ascii="Garamond" w:hAnsi="Garamond" w:cs="Times New Roman"/>
        </w:rPr>
        <w:t xml:space="preserve">the GMC ‘going after doctors’ </w:t>
      </w:r>
      <w:r w:rsidR="004D45EB">
        <w:rPr>
          <w:rFonts w:ascii="Garamond" w:hAnsi="Garamond" w:cs="Times New Roman"/>
        </w:rPr>
        <w:t>in appealing</w:t>
      </w:r>
      <w:r w:rsidRPr="009321EF">
        <w:rPr>
          <w:rFonts w:ascii="Garamond" w:hAnsi="Garamond" w:cs="Times New Roman"/>
        </w:rPr>
        <w:t xml:space="preserve"> the MPTS decision</w:t>
      </w:r>
      <w:r w:rsidR="000C1E74">
        <w:rPr>
          <w:rFonts w:ascii="Garamond" w:hAnsi="Garamond" w:cs="Times New Roman"/>
        </w:rPr>
        <w:t xml:space="preserve"> </w:t>
      </w:r>
      <w:r w:rsidRPr="009321EF">
        <w:rPr>
          <w:rFonts w:ascii="Garamond" w:hAnsi="Garamond" w:cs="Times New Roman"/>
        </w:rPr>
        <w:t xml:space="preserve">and seeking erasure of a competent doctor who was not </w:t>
      </w:r>
      <w:r w:rsidR="008C305A">
        <w:rPr>
          <w:rFonts w:ascii="Garamond" w:hAnsi="Garamond" w:cs="Times New Roman"/>
        </w:rPr>
        <w:t xml:space="preserve">considered to pose a risk </w:t>
      </w:r>
      <w:r w:rsidRPr="009321EF">
        <w:rPr>
          <w:rFonts w:ascii="Garamond" w:hAnsi="Garamond" w:cs="Times New Roman"/>
        </w:rPr>
        <w:t>of harming her patients</w:t>
      </w:r>
      <w:r w:rsidR="008630B6">
        <w:rPr>
          <w:rFonts w:ascii="Garamond" w:hAnsi="Garamond" w:cs="Times New Roman"/>
        </w:rPr>
        <w:t>.</w:t>
      </w:r>
      <w:r w:rsidRPr="009321EF">
        <w:rPr>
          <w:rStyle w:val="FootnoteReference"/>
          <w:rFonts w:ascii="Garamond" w:hAnsi="Garamond" w:cs="Times New Roman"/>
        </w:rPr>
        <w:footnoteReference w:id="35"/>
      </w:r>
      <w:r w:rsidR="00E64D01" w:rsidRPr="009321EF">
        <w:rPr>
          <w:rFonts w:ascii="Garamond" w:hAnsi="Garamond" w:cs="Times New Roman"/>
        </w:rPr>
        <w:t xml:space="preserve"> </w:t>
      </w:r>
      <w:r w:rsidR="008630B6">
        <w:rPr>
          <w:rFonts w:ascii="Garamond" w:hAnsi="Garamond" w:cs="Times New Roman"/>
        </w:rPr>
        <w:t>T</w:t>
      </w:r>
      <w:r w:rsidR="00E64D01" w:rsidRPr="009321EF">
        <w:rPr>
          <w:rFonts w:ascii="Garamond" w:hAnsi="Garamond" w:cs="Times New Roman"/>
        </w:rPr>
        <w:t>his is consisten</w:t>
      </w:r>
      <w:r w:rsidR="00220C4F" w:rsidRPr="009321EF">
        <w:rPr>
          <w:rFonts w:ascii="Garamond" w:hAnsi="Garamond" w:cs="Times New Roman"/>
        </w:rPr>
        <w:t>t</w:t>
      </w:r>
      <w:r w:rsidR="00E64D01" w:rsidRPr="009321EF">
        <w:rPr>
          <w:rFonts w:ascii="Garamond" w:hAnsi="Garamond" w:cs="Times New Roman"/>
        </w:rPr>
        <w:t xml:space="preserve"> with the reported belief amongst</w:t>
      </w:r>
      <w:r w:rsidR="00BF7EFE">
        <w:rPr>
          <w:rFonts w:ascii="Garamond" w:hAnsi="Garamond" w:cs="Times New Roman"/>
        </w:rPr>
        <w:t xml:space="preserve"> some</w:t>
      </w:r>
      <w:r w:rsidR="00E64D01" w:rsidRPr="009321EF">
        <w:rPr>
          <w:rFonts w:ascii="Garamond" w:hAnsi="Garamond" w:cs="Times New Roman"/>
        </w:rPr>
        <w:t xml:space="preserve"> doctors that </w:t>
      </w:r>
      <w:r w:rsidR="00025267">
        <w:rPr>
          <w:rFonts w:ascii="Garamond" w:hAnsi="Garamond" w:cs="Times New Roman"/>
        </w:rPr>
        <w:t xml:space="preserve">in recent times </w:t>
      </w:r>
      <w:r w:rsidR="00E64D01" w:rsidRPr="009321EF">
        <w:rPr>
          <w:rFonts w:ascii="Garamond" w:hAnsi="Garamond" w:cs="Times New Roman"/>
        </w:rPr>
        <w:t xml:space="preserve">the GMC </w:t>
      </w:r>
      <w:r w:rsidR="00220C4F" w:rsidRPr="009321EF">
        <w:rPr>
          <w:rFonts w:ascii="Garamond" w:hAnsi="Garamond" w:cs="Times New Roman"/>
        </w:rPr>
        <w:t>has been ‘</w:t>
      </w:r>
      <w:r w:rsidR="00E64D01" w:rsidRPr="009321EF">
        <w:rPr>
          <w:rFonts w:ascii="Garamond" w:hAnsi="Garamond" w:cs="Times New Roman"/>
        </w:rPr>
        <w:t>adopting a more punitive approach</w:t>
      </w:r>
      <w:r w:rsidR="00570626">
        <w:rPr>
          <w:rStyle w:val="FootnoteReference"/>
          <w:rFonts w:ascii="Garamond" w:hAnsi="Garamond" w:cs="Times New Roman"/>
        </w:rPr>
        <w:footnoteReference w:id="36"/>
      </w:r>
      <w:r w:rsidR="00E64D01" w:rsidRPr="009321EF">
        <w:rPr>
          <w:rFonts w:ascii="Garamond" w:hAnsi="Garamond" w:cs="Times New Roman"/>
        </w:rPr>
        <w:t xml:space="preserve"> to the management of fitness to practise cases’</w:t>
      </w:r>
      <w:r w:rsidR="00E64D01" w:rsidRPr="009321EF">
        <w:rPr>
          <w:rStyle w:val="FootnoteReference"/>
          <w:rFonts w:ascii="Garamond" w:hAnsi="Garamond" w:cs="Times New Roman"/>
        </w:rPr>
        <w:footnoteReference w:id="37"/>
      </w:r>
      <w:r w:rsidR="00862E9B">
        <w:rPr>
          <w:rFonts w:ascii="Garamond" w:hAnsi="Garamond" w:cs="Times New Roman"/>
        </w:rPr>
        <w:t xml:space="preserve"> and that the regulator adopts an approach of ‘guilty until proven innocent.’</w:t>
      </w:r>
      <w:r w:rsidR="00862E9B">
        <w:rPr>
          <w:rStyle w:val="FootnoteReference"/>
          <w:rFonts w:ascii="Garamond" w:hAnsi="Garamond" w:cs="Times New Roman"/>
        </w:rPr>
        <w:footnoteReference w:id="38"/>
      </w:r>
      <w:r w:rsidRPr="009321EF">
        <w:rPr>
          <w:rFonts w:ascii="Garamond" w:hAnsi="Garamond" w:cs="Times New Roman"/>
        </w:rPr>
        <w:t xml:space="preserve"> Secondly, clinicians</w:t>
      </w:r>
      <w:r w:rsidR="00BF7EFE">
        <w:rPr>
          <w:rFonts w:ascii="Garamond" w:hAnsi="Garamond" w:cs="Times New Roman"/>
        </w:rPr>
        <w:t xml:space="preserve"> working in a challenged NHS</w:t>
      </w:r>
      <w:r w:rsidR="00BF7EFE">
        <w:rPr>
          <w:rStyle w:val="FootnoteReference"/>
          <w:rFonts w:ascii="Garamond" w:hAnsi="Garamond" w:cs="Times New Roman"/>
        </w:rPr>
        <w:footnoteReference w:id="39"/>
      </w:r>
      <w:r w:rsidRPr="009321EF">
        <w:rPr>
          <w:rFonts w:ascii="Garamond" w:hAnsi="Garamond" w:cs="Times New Roman"/>
        </w:rPr>
        <w:t xml:space="preserve"> </w:t>
      </w:r>
      <w:r w:rsidR="001F1304" w:rsidRPr="009321EF">
        <w:rPr>
          <w:rFonts w:ascii="Garamond" w:hAnsi="Garamond" w:cs="Times New Roman"/>
        </w:rPr>
        <w:t>e</w:t>
      </w:r>
      <w:r w:rsidRPr="009321EF">
        <w:rPr>
          <w:rFonts w:ascii="Garamond" w:hAnsi="Garamond" w:cs="Times New Roman"/>
        </w:rPr>
        <w:t xml:space="preserve">mpathised with Dr </w:t>
      </w:r>
      <w:proofErr w:type="spellStart"/>
      <w:r w:rsidR="00766073" w:rsidRPr="009321EF">
        <w:rPr>
          <w:rFonts w:ascii="Garamond" w:hAnsi="Garamond" w:cs="Times New Roman"/>
        </w:rPr>
        <w:t>Bawa-Garba</w:t>
      </w:r>
      <w:proofErr w:type="spellEnd"/>
      <w:r w:rsidRPr="009321EF">
        <w:rPr>
          <w:rFonts w:ascii="Garamond" w:hAnsi="Garamond" w:cs="Times New Roman"/>
        </w:rPr>
        <w:t xml:space="preserve"> during the night of </w:t>
      </w:r>
      <w:r w:rsidR="008630B6">
        <w:rPr>
          <w:rFonts w:ascii="Garamond" w:hAnsi="Garamond" w:cs="Times New Roman"/>
        </w:rPr>
        <w:t>Jack’s death</w:t>
      </w:r>
      <w:r w:rsidRPr="009321EF">
        <w:rPr>
          <w:rFonts w:ascii="Garamond" w:hAnsi="Garamond" w:cs="Times New Roman"/>
        </w:rPr>
        <w:t xml:space="preserve">, </w:t>
      </w:r>
      <w:r w:rsidR="001F1304" w:rsidRPr="009321EF">
        <w:rPr>
          <w:rFonts w:ascii="Garamond" w:hAnsi="Garamond" w:cs="Times New Roman"/>
        </w:rPr>
        <w:t>observing</w:t>
      </w:r>
      <w:r w:rsidRPr="009321EF">
        <w:rPr>
          <w:rFonts w:ascii="Garamond" w:hAnsi="Garamond" w:cs="Times New Roman"/>
        </w:rPr>
        <w:t xml:space="preserve"> ‘[that] could have been any of us’</w:t>
      </w:r>
      <w:r w:rsidR="00025267">
        <w:rPr>
          <w:rFonts w:ascii="Garamond" w:hAnsi="Garamond" w:cs="Times New Roman"/>
        </w:rPr>
        <w:t>,</w:t>
      </w:r>
      <w:r w:rsidRPr="009321EF">
        <w:rPr>
          <w:rStyle w:val="FootnoteReference"/>
          <w:rFonts w:ascii="Garamond" w:hAnsi="Garamond" w:cs="Times New Roman"/>
        </w:rPr>
        <w:footnoteReference w:id="40"/>
      </w:r>
      <w:r w:rsidR="00243AAE">
        <w:rPr>
          <w:rFonts w:ascii="Garamond" w:hAnsi="Garamond" w:cs="Times New Roman"/>
        </w:rPr>
        <w:t xml:space="preserve"> and</w:t>
      </w:r>
      <w:r w:rsidR="00182A47" w:rsidRPr="009321EF">
        <w:rPr>
          <w:rFonts w:ascii="Garamond" w:hAnsi="Garamond" w:cs="Times New Roman"/>
        </w:rPr>
        <w:t xml:space="preserve"> </w:t>
      </w:r>
      <w:r w:rsidR="00C103D8" w:rsidRPr="009321EF">
        <w:rPr>
          <w:rFonts w:ascii="Garamond" w:hAnsi="Garamond" w:cs="Times New Roman"/>
        </w:rPr>
        <w:t xml:space="preserve">widespread </w:t>
      </w:r>
      <w:r w:rsidR="00182A47" w:rsidRPr="009321EF">
        <w:rPr>
          <w:rFonts w:ascii="Garamond" w:hAnsi="Garamond" w:cs="Times New Roman"/>
        </w:rPr>
        <w:t xml:space="preserve">support </w:t>
      </w:r>
      <w:r w:rsidR="00243AAE">
        <w:rPr>
          <w:rFonts w:ascii="Garamond" w:hAnsi="Garamond" w:cs="Times New Roman"/>
        </w:rPr>
        <w:t xml:space="preserve">was expressed </w:t>
      </w:r>
      <w:r w:rsidR="00182A47" w:rsidRPr="009321EF">
        <w:rPr>
          <w:rFonts w:ascii="Garamond" w:hAnsi="Garamond" w:cs="Times New Roman"/>
        </w:rPr>
        <w:t xml:space="preserve">for the convicted paediatrician by using </w:t>
      </w:r>
      <w:r w:rsidR="00C56FA1" w:rsidRPr="009321EF">
        <w:rPr>
          <w:rFonts w:ascii="Garamond" w:hAnsi="Garamond" w:cs="Times New Roman"/>
        </w:rPr>
        <w:t>the ‘</w:t>
      </w:r>
      <w:proofErr w:type="spellStart"/>
      <w:r w:rsidR="00C56FA1" w:rsidRPr="009321EF">
        <w:rPr>
          <w:rFonts w:ascii="Garamond" w:hAnsi="Garamond" w:cs="Times New Roman"/>
        </w:rPr>
        <w:t>IAmHadiza</w:t>
      </w:r>
      <w:proofErr w:type="spellEnd"/>
      <w:r w:rsidR="00C56FA1" w:rsidRPr="009321EF">
        <w:rPr>
          <w:rFonts w:ascii="Garamond" w:hAnsi="Garamond" w:cs="Times New Roman"/>
        </w:rPr>
        <w:t>’ hashtag on twitter.</w:t>
      </w:r>
      <w:r w:rsidRPr="009321EF">
        <w:rPr>
          <w:rFonts w:ascii="Garamond" w:hAnsi="Garamond" w:cs="Times New Roman"/>
        </w:rPr>
        <w:t xml:space="preserve"> </w:t>
      </w:r>
      <w:r w:rsidR="00CD2E9C">
        <w:rPr>
          <w:rFonts w:ascii="Garamond" w:hAnsi="Garamond" w:cs="Times New Roman"/>
        </w:rPr>
        <w:t>The GMC’</w:t>
      </w:r>
      <w:r w:rsidR="000C1E74">
        <w:rPr>
          <w:rFonts w:ascii="Garamond" w:hAnsi="Garamond" w:cs="Times New Roman"/>
        </w:rPr>
        <w:t xml:space="preserve">s </w:t>
      </w:r>
      <w:r w:rsidR="00E62E23" w:rsidRPr="009321EF">
        <w:rPr>
          <w:rFonts w:ascii="Garamond" w:hAnsi="Garamond" w:cs="Times New Roman"/>
        </w:rPr>
        <w:t xml:space="preserve">pursuit of erasure prompted a vote of </w:t>
      </w:r>
      <w:r w:rsidR="00C103D8" w:rsidRPr="009321EF">
        <w:rPr>
          <w:rFonts w:ascii="Garamond" w:hAnsi="Garamond" w:cs="Times New Roman"/>
        </w:rPr>
        <w:t>‘</w:t>
      </w:r>
      <w:r w:rsidR="00E62E23" w:rsidRPr="009321EF">
        <w:rPr>
          <w:rFonts w:ascii="Garamond" w:hAnsi="Garamond" w:cs="Times New Roman"/>
        </w:rPr>
        <w:t>no confidence</w:t>
      </w:r>
      <w:r w:rsidR="00C103D8" w:rsidRPr="009321EF">
        <w:rPr>
          <w:rFonts w:ascii="Garamond" w:hAnsi="Garamond" w:cs="Times New Roman"/>
        </w:rPr>
        <w:t>’</w:t>
      </w:r>
      <w:r w:rsidR="001B09CD" w:rsidRPr="009321EF">
        <w:rPr>
          <w:rFonts w:ascii="Garamond" w:hAnsi="Garamond" w:cs="Times New Roman"/>
          <w:vertAlign w:val="superscript"/>
        </w:rPr>
        <w:footnoteReference w:id="41"/>
      </w:r>
      <w:r w:rsidR="001B09CD" w:rsidRPr="009321EF">
        <w:rPr>
          <w:rFonts w:ascii="Garamond" w:hAnsi="Garamond" w:cs="Times New Roman"/>
        </w:rPr>
        <w:t xml:space="preserve"> and </w:t>
      </w:r>
      <w:r w:rsidR="000C1E74">
        <w:rPr>
          <w:rFonts w:ascii="Garamond" w:hAnsi="Garamond" w:cs="Times New Roman"/>
        </w:rPr>
        <w:t>led to</w:t>
      </w:r>
      <w:r w:rsidR="001B09CD" w:rsidRPr="009321EF">
        <w:rPr>
          <w:rFonts w:ascii="Garamond" w:hAnsi="Garamond" w:cs="Times New Roman"/>
        </w:rPr>
        <w:t xml:space="preserve"> </w:t>
      </w:r>
      <w:r w:rsidR="000C1E74">
        <w:rPr>
          <w:rFonts w:ascii="Garamond" w:hAnsi="Garamond" w:cs="Times New Roman"/>
        </w:rPr>
        <w:t>a</w:t>
      </w:r>
      <w:r w:rsidR="001B09CD" w:rsidRPr="009321EF">
        <w:rPr>
          <w:rFonts w:ascii="Garamond" w:hAnsi="Garamond" w:cs="Times New Roman"/>
        </w:rPr>
        <w:t xml:space="preserve"> recommendation to remove the </w:t>
      </w:r>
      <w:r w:rsidR="00CD2E9C">
        <w:rPr>
          <w:rFonts w:ascii="Garamond" w:hAnsi="Garamond" w:cs="Times New Roman"/>
        </w:rPr>
        <w:t>regulator</w:t>
      </w:r>
      <w:r w:rsidR="001B09CD" w:rsidRPr="009321EF">
        <w:rPr>
          <w:rFonts w:ascii="Garamond" w:hAnsi="Garamond" w:cs="Times New Roman"/>
        </w:rPr>
        <w:t>’s power to appeal MPTS decisions.</w:t>
      </w:r>
      <w:r w:rsidR="001B09CD" w:rsidRPr="009321EF">
        <w:rPr>
          <w:rStyle w:val="FootnoteReference"/>
          <w:rFonts w:ascii="Garamond" w:hAnsi="Garamond" w:cs="Times New Roman"/>
        </w:rPr>
        <w:footnoteReference w:id="42"/>
      </w:r>
      <w:r w:rsidR="00025267">
        <w:rPr>
          <w:rFonts w:ascii="Garamond" w:hAnsi="Garamond" w:cs="Times New Roman"/>
        </w:rPr>
        <w:t xml:space="preserve"> </w:t>
      </w:r>
      <w:r w:rsidRPr="009321EF">
        <w:rPr>
          <w:rFonts w:ascii="Garamond" w:hAnsi="Garamond" w:cs="Times New Roman"/>
        </w:rPr>
        <w:t xml:space="preserve">Thirdly, clinicians </w:t>
      </w:r>
      <w:r w:rsidRPr="009321EF">
        <w:rPr>
          <w:rFonts w:ascii="Garamond" w:hAnsi="Garamond" w:cs="Times New Roman"/>
        </w:rPr>
        <w:lastRenderedPageBreak/>
        <w:t>raised eyebrows at the argument of ‘upholding public confidence’ used by the GMC</w:t>
      </w:r>
      <w:r w:rsidR="00E64D01" w:rsidRPr="009321EF">
        <w:rPr>
          <w:rFonts w:ascii="Garamond" w:hAnsi="Garamond" w:cs="Times New Roman"/>
        </w:rPr>
        <w:t xml:space="preserve"> to justify its stance that erasure was the only appropriate sanction.</w:t>
      </w:r>
      <w:r w:rsidRPr="009321EF">
        <w:rPr>
          <w:rStyle w:val="FootnoteReference"/>
          <w:rFonts w:ascii="Garamond" w:hAnsi="Garamond" w:cs="Times New Roman"/>
        </w:rPr>
        <w:footnoteReference w:id="43"/>
      </w:r>
      <w:r w:rsidRPr="009321EF">
        <w:rPr>
          <w:rFonts w:ascii="Garamond" w:hAnsi="Garamond" w:cs="Times New Roman"/>
        </w:rPr>
        <w:t xml:space="preserve"> It is th</w:t>
      </w:r>
      <w:r w:rsidR="002B7684">
        <w:rPr>
          <w:rFonts w:ascii="Garamond" w:hAnsi="Garamond" w:cs="Times New Roman"/>
        </w:rPr>
        <w:t xml:space="preserve">e last </w:t>
      </w:r>
      <w:r w:rsidRPr="009321EF">
        <w:rPr>
          <w:rFonts w:ascii="Garamond" w:hAnsi="Garamond" w:cs="Times New Roman"/>
        </w:rPr>
        <w:t xml:space="preserve">point that this article </w:t>
      </w:r>
      <w:proofErr w:type="spellStart"/>
      <w:r w:rsidRPr="009321EF">
        <w:rPr>
          <w:rFonts w:ascii="Garamond" w:hAnsi="Garamond" w:cs="Times New Roman"/>
        </w:rPr>
        <w:t>will</w:t>
      </w:r>
      <w:r w:rsidR="00FB231B">
        <w:rPr>
          <w:rFonts w:ascii="Garamond" w:hAnsi="Garamond" w:cs="Times New Roman"/>
        </w:rPr>
        <w:t>now</w:t>
      </w:r>
      <w:proofErr w:type="spellEnd"/>
      <w:r w:rsidR="00FB231B">
        <w:rPr>
          <w:rFonts w:ascii="Garamond" w:hAnsi="Garamond" w:cs="Times New Roman"/>
        </w:rPr>
        <w:t xml:space="preserve"> </w:t>
      </w:r>
      <w:r w:rsidRPr="009321EF">
        <w:rPr>
          <w:rFonts w:ascii="Garamond" w:hAnsi="Garamond" w:cs="Times New Roman"/>
        </w:rPr>
        <w:t xml:space="preserve"> explore in more detail. </w:t>
      </w:r>
      <w:r w:rsidR="00985742" w:rsidRPr="009321EF">
        <w:rPr>
          <w:rFonts w:ascii="Garamond" w:hAnsi="Garamond" w:cs="Times New Roman"/>
        </w:rPr>
        <w:t xml:space="preserve">One of the many significant aspects of the </w:t>
      </w:r>
      <w:proofErr w:type="spellStart"/>
      <w:r w:rsidR="00985742" w:rsidRPr="009321EF">
        <w:rPr>
          <w:rFonts w:ascii="Garamond" w:hAnsi="Garamond" w:cs="Times New Roman"/>
          <w:i/>
          <w:iCs/>
        </w:rPr>
        <w:t>Bawa-Garba</w:t>
      </w:r>
      <w:proofErr w:type="spellEnd"/>
      <w:r w:rsidR="00985742" w:rsidRPr="009321EF">
        <w:rPr>
          <w:rFonts w:ascii="Garamond" w:hAnsi="Garamond" w:cs="Times New Roman"/>
        </w:rPr>
        <w:t xml:space="preserve"> case is that it involved a fitness to practise case</w:t>
      </w:r>
      <w:r w:rsidR="008630B6">
        <w:rPr>
          <w:rFonts w:ascii="Garamond" w:hAnsi="Garamond" w:cs="Times New Roman"/>
        </w:rPr>
        <w:t xml:space="preserve"> </w:t>
      </w:r>
      <w:r w:rsidR="00985742" w:rsidRPr="009321EF">
        <w:rPr>
          <w:rFonts w:ascii="Garamond" w:hAnsi="Garamond" w:cs="Times New Roman"/>
        </w:rPr>
        <w:t>sheared of issues of patient safety, laying bare the workings of the public confidence objective.</w:t>
      </w:r>
      <w:r w:rsidR="00CE211A">
        <w:rPr>
          <w:rFonts w:ascii="Garamond" w:hAnsi="Garamond" w:cs="Times New Roman"/>
        </w:rPr>
        <w:t xml:space="preserve"> </w:t>
      </w:r>
      <w:r w:rsidR="00CD2E9C">
        <w:rPr>
          <w:rFonts w:ascii="Garamond" w:hAnsi="Garamond" w:cs="Times New Roman"/>
        </w:rPr>
        <w:t xml:space="preserve">The Court of Appeal judgment is therefore of </w:t>
      </w:r>
      <w:proofErr w:type="gramStart"/>
      <w:r w:rsidR="00B9269A">
        <w:rPr>
          <w:rFonts w:ascii="Garamond" w:hAnsi="Garamond" w:cs="Times New Roman"/>
        </w:rPr>
        <w:t>particular</w:t>
      </w:r>
      <w:r w:rsidR="00CD2E9C">
        <w:rPr>
          <w:rFonts w:ascii="Garamond" w:hAnsi="Garamond" w:cs="Times New Roman"/>
        </w:rPr>
        <w:t xml:space="preserve"> significance</w:t>
      </w:r>
      <w:proofErr w:type="gramEnd"/>
      <w:r w:rsidR="00CD2E9C">
        <w:rPr>
          <w:rFonts w:ascii="Garamond" w:hAnsi="Garamond" w:cs="Times New Roman"/>
        </w:rPr>
        <w:t xml:space="preserve"> to regulatory jurisprudence, bu</w:t>
      </w:r>
      <w:r w:rsidR="00CE211A">
        <w:rPr>
          <w:rFonts w:ascii="Garamond" w:hAnsi="Garamond" w:cs="Times New Roman"/>
        </w:rPr>
        <w:t>t</w:t>
      </w:r>
      <w:r w:rsidR="00985742" w:rsidRPr="009321EF">
        <w:rPr>
          <w:rFonts w:ascii="Garamond" w:hAnsi="Garamond" w:cs="Times New Roman"/>
        </w:rPr>
        <w:t xml:space="preserve"> </w:t>
      </w:r>
      <w:r w:rsidR="00CE211A" w:rsidRPr="009321EF">
        <w:rPr>
          <w:rFonts w:ascii="Garamond" w:hAnsi="Garamond" w:cs="Times New Roman"/>
        </w:rPr>
        <w:t>w</w:t>
      </w:r>
      <w:r w:rsidR="00151BD9" w:rsidRPr="009321EF">
        <w:rPr>
          <w:rFonts w:ascii="Garamond" w:hAnsi="Garamond" w:cs="Times New Roman"/>
        </w:rPr>
        <w:t xml:space="preserve">hat </w:t>
      </w:r>
      <w:r w:rsidR="002B7684">
        <w:rPr>
          <w:rFonts w:ascii="Garamond" w:hAnsi="Garamond" w:cs="Times New Roman"/>
        </w:rPr>
        <w:t>can</w:t>
      </w:r>
      <w:r w:rsidR="00151BD9" w:rsidRPr="009321EF">
        <w:rPr>
          <w:rFonts w:ascii="Garamond" w:hAnsi="Garamond" w:cs="Times New Roman"/>
        </w:rPr>
        <w:t xml:space="preserve"> </w:t>
      </w:r>
      <w:r w:rsidR="00CD2E9C">
        <w:rPr>
          <w:rFonts w:ascii="Garamond" w:hAnsi="Garamond" w:cs="Times New Roman"/>
        </w:rPr>
        <w:t xml:space="preserve">it </w:t>
      </w:r>
      <w:r w:rsidR="00151BD9" w:rsidRPr="009321EF">
        <w:rPr>
          <w:rFonts w:ascii="Garamond" w:hAnsi="Garamond" w:cs="Times New Roman"/>
        </w:rPr>
        <w:t xml:space="preserve">tell us about the </w:t>
      </w:r>
      <w:r w:rsidR="00854F7F" w:rsidRPr="009321EF">
        <w:rPr>
          <w:rFonts w:ascii="Garamond" w:hAnsi="Garamond" w:cs="Times New Roman"/>
        </w:rPr>
        <w:t xml:space="preserve">role of ‘maintaining </w:t>
      </w:r>
      <w:r w:rsidR="002B7684">
        <w:rPr>
          <w:rFonts w:ascii="Garamond" w:hAnsi="Garamond" w:cs="Times New Roman"/>
        </w:rPr>
        <w:t xml:space="preserve">and promoting </w:t>
      </w:r>
      <w:r w:rsidR="00151BD9" w:rsidRPr="009321EF">
        <w:rPr>
          <w:rFonts w:ascii="Garamond" w:hAnsi="Garamond" w:cs="Times New Roman"/>
        </w:rPr>
        <w:t>public confidence’</w:t>
      </w:r>
      <w:r w:rsidR="00854F7F" w:rsidRPr="009321EF">
        <w:rPr>
          <w:rFonts w:ascii="Garamond" w:hAnsi="Garamond" w:cs="Times New Roman"/>
        </w:rPr>
        <w:t xml:space="preserve"> in the </w:t>
      </w:r>
      <w:r w:rsidR="00FB231B">
        <w:rPr>
          <w:rFonts w:ascii="Garamond" w:hAnsi="Garamond" w:cs="Times New Roman"/>
        </w:rPr>
        <w:t>application</w:t>
      </w:r>
      <w:r w:rsidR="00854F7F" w:rsidRPr="009321EF">
        <w:rPr>
          <w:rFonts w:ascii="Garamond" w:hAnsi="Garamond" w:cs="Times New Roman"/>
        </w:rPr>
        <w:t xml:space="preserve"> of professional sanctions</w:t>
      </w:r>
      <w:r w:rsidR="00151BD9" w:rsidRPr="009321EF">
        <w:rPr>
          <w:rFonts w:ascii="Garamond" w:hAnsi="Garamond" w:cs="Times New Roman"/>
        </w:rPr>
        <w:t xml:space="preserve">? </w:t>
      </w:r>
    </w:p>
    <w:p w14:paraId="5C57A87B" w14:textId="256E4A9A" w:rsidR="006D2B82" w:rsidRDefault="00557614" w:rsidP="0080070A">
      <w:pPr>
        <w:pStyle w:val="Heading1"/>
        <w:spacing w:line="480" w:lineRule="auto"/>
        <w:jc w:val="both"/>
        <w:rPr>
          <w:rFonts w:ascii="Garamond" w:hAnsi="Garamond" w:cs="Times New Roman"/>
          <w:color w:val="auto"/>
          <w:sz w:val="24"/>
          <w:szCs w:val="24"/>
        </w:rPr>
      </w:pPr>
      <w:bookmarkStart w:id="3" w:name="_6rfw8vwreqa0" w:colFirst="0" w:colLast="0"/>
      <w:bookmarkStart w:id="4" w:name="_Hlk26968055"/>
      <w:bookmarkEnd w:id="3"/>
      <w:r>
        <w:rPr>
          <w:rFonts w:ascii="Garamond" w:hAnsi="Garamond" w:cs="Times New Roman"/>
          <w:color w:val="auto"/>
          <w:sz w:val="24"/>
          <w:szCs w:val="24"/>
        </w:rPr>
        <w:t xml:space="preserve">How are risks to public confidence to be assessed? </w:t>
      </w:r>
    </w:p>
    <w:p w14:paraId="0C7D3860" w14:textId="77777777" w:rsidR="0080070A" w:rsidRPr="009321EF" w:rsidRDefault="0080070A" w:rsidP="009321EF">
      <w:pPr>
        <w:pStyle w:val="Normal1"/>
      </w:pPr>
    </w:p>
    <w:p w14:paraId="2D44FD53" w14:textId="1E6ABE70" w:rsidR="0080070A" w:rsidRDefault="00DC43AE" w:rsidP="0080070A">
      <w:pPr>
        <w:pStyle w:val="Normal1"/>
        <w:spacing w:line="480" w:lineRule="auto"/>
        <w:jc w:val="both"/>
        <w:rPr>
          <w:rFonts w:ascii="Garamond" w:hAnsi="Garamond" w:cs="Times New Roman"/>
        </w:rPr>
      </w:pPr>
      <w:r>
        <w:rPr>
          <w:rFonts w:ascii="Garamond" w:hAnsi="Garamond" w:cs="Times New Roman"/>
        </w:rPr>
        <w:t xml:space="preserve">At the heart of reservations about the use of public confidence justifications for the use of regulatory powers are questions about how assessments </w:t>
      </w:r>
      <w:r w:rsidR="00034468">
        <w:rPr>
          <w:rFonts w:ascii="Garamond" w:hAnsi="Garamond" w:cs="Times New Roman"/>
        </w:rPr>
        <w:t>of</w:t>
      </w:r>
      <w:r>
        <w:rPr>
          <w:rFonts w:ascii="Garamond" w:hAnsi="Garamond" w:cs="Times New Roman"/>
        </w:rPr>
        <w:t xml:space="preserve"> what is needed to maintain public confidence are reached. </w:t>
      </w:r>
      <w:r w:rsidR="00634D8F">
        <w:rPr>
          <w:rFonts w:ascii="Garamond" w:hAnsi="Garamond" w:cs="Times New Roman"/>
        </w:rPr>
        <w:t xml:space="preserve">Law and practice in this area </w:t>
      </w:r>
      <w:r>
        <w:rPr>
          <w:rFonts w:ascii="Garamond" w:hAnsi="Garamond" w:cs="Times New Roman"/>
        </w:rPr>
        <w:t xml:space="preserve">has </w:t>
      </w:r>
      <w:r w:rsidR="00063DF3">
        <w:rPr>
          <w:rFonts w:ascii="Garamond" w:hAnsi="Garamond" w:cs="Times New Roman"/>
        </w:rPr>
        <w:t>treated</w:t>
      </w:r>
      <w:r>
        <w:rPr>
          <w:rFonts w:ascii="Garamond" w:hAnsi="Garamond" w:cs="Times New Roman"/>
        </w:rPr>
        <w:t xml:space="preserve"> such decisions as instinctual judgements</w:t>
      </w:r>
      <w:r w:rsidR="00637BF9">
        <w:rPr>
          <w:rFonts w:ascii="Garamond" w:hAnsi="Garamond" w:cs="Times New Roman"/>
        </w:rPr>
        <w:t>,</w:t>
      </w:r>
      <w:r>
        <w:rPr>
          <w:rFonts w:ascii="Garamond" w:hAnsi="Garamond" w:cs="Times New Roman"/>
        </w:rPr>
        <w:t xml:space="preserve"> trusted to the expertise of the </w:t>
      </w:r>
      <w:r w:rsidR="00063DF3">
        <w:rPr>
          <w:rFonts w:ascii="Garamond" w:hAnsi="Garamond" w:cs="Times New Roman"/>
        </w:rPr>
        <w:t xml:space="preserve">specialist </w:t>
      </w:r>
      <w:r>
        <w:rPr>
          <w:rFonts w:ascii="Garamond" w:hAnsi="Garamond" w:cs="Times New Roman"/>
        </w:rPr>
        <w:t xml:space="preserve">tribunal, </w:t>
      </w:r>
      <w:r w:rsidR="000E2D76">
        <w:rPr>
          <w:rFonts w:ascii="Garamond" w:hAnsi="Garamond" w:cs="Times New Roman"/>
        </w:rPr>
        <w:t>and</w:t>
      </w:r>
      <w:r>
        <w:rPr>
          <w:rFonts w:ascii="Garamond" w:hAnsi="Garamond" w:cs="Times New Roman"/>
        </w:rPr>
        <w:t xml:space="preserve"> court</w:t>
      </w:r>
      <w:r w:rsidR="000E2D76">
        <w:rPr>
          <w:rFonts w:ascii="Garamond" w:hAnsi="Garamond" w:cs="Times New Roman"/>
        </w:rPr>
        <w:t xml:space="preserve"> judgments frequently remind us that </w:t>
      </w:r>
      <w:r w:rsidR="00634D8F">
        <w:rPr>
          <w:rFonts w:ascii="Garamond" w:hAnsi="Garamond" w:cs="Times New Roman"/>
        </w:rPr>
        <w:t>judges</w:t>
      </w:r>
      <w:r w:rsidR="000E2D76">
        <w:rPr>
          <w:rFonts w:ascii="Garamond" w:hAnsi="Garamond" w:cs="Times New Roman"/>
        </w:rPr>
        <w:t xml:space="preserve"> should be ‘</w:t>
      </w:r>
      <w:r>
        <w:rPr>
          <w:rFonts w:ascii="Garamond" w:hAnsi="Garamond" w:cs="Times New Roman"/>
        </w:rPr>
        <w:t>slow to interfere</w:t>
      </w:r>
      <w:r w:rsidR="000E2D76">
        <w:rPr>
          <w:rFonts w:ascii="Garamond" w:hAnsi="Garamond" w:cs="Times New Roman"/>
        </w:rPr>
        <w:t>’</w:t>
      </w:r>
      <w:r>
        <w:rPr>
          <w:rFonts w:ascii="Garamond" w:hAnsi="Garamond" w:cs="Times New Roman"/>
        </w:rPr>
        <w:t xml:space="preserve"> with the</w:t>
      </w:r>
      <w:r w:rsidR="000E2D76">
        <w:rPr>
          <w:rFonts w:ascii="Garamond" w:hAnsi="Garamond" w:cs="Times New Roman"/>
        </w:rPr>
        <w:t xml:space="preserve"> tribunal’s</w:t>
      </w:r>
      <w:r>
        <w:rPr>
          <w:rFonts w:ascii="Garamond" w:hAnsi="Garamond" w:cs="Times New Roman"/>
        </w:rPr>
        <w:t xml:space="preserve"> assessment</w:t>
      </w:r>
      <w:r w:rsidR="00886F98">
        <w:rPr>
          <w:rFonts w:ascii="Garamond" w:hAnsi="Garamond" w:cs="Times New Roman"/>
        </w:rPr>
        <w:t>.</w:t>
      </w:r>
      <w:r w:rsidR="00360FCF">
        <w:rPr>
          <w:rStyle w:val="FootnoteReference"/>
          <w:rFonts w:ascii="Garamond" w:hAnsi="Garamond" w:cs="Times New Roman"/>
        </w:rPr>
        <w:footnoteReference w:id="44"/>
      </w:r>
      <w:r>
        <w:rPr>
          <w:rFonts w:ascii="Garamond" w:hAnsi="Garamond" w:cs="Times New Roman"/>
        </w:rPr>
        <w:t xml:space="preserve"> Given the </w:t>
      </w:r>
      <w:r w:rsidR="000E2D76">
        <w:rPr>
          <w:rFonts w:ascii="Garamond" w:hAnsi="Garamond" w:cs="Times New Roman"/>
        </w:rPr>
        <w:t>longstanding</w:t>
      </w:r>
      <w:r>
        <w:rPr>
          <w:rFonts w:ascii="Garamond" w:hAnsi="Garamond" w:cs="Times New Roman"/>
        </w:rPr>
        <w:t xml:space="preserve"> policy of deference here, it is difficult to see why the tribunal’s</w:t>
      </w:r>
      <w:r w:rsidR="00E93075">
        <w:rPr>
          <w:rFonts w:ascii="Garamond" w:hAnsi="Garamond" w:cs="Times New Roman"/>
        </w:rPr>
        <w:t xml:space="preserve"> decision</w:t>
      </w:r>
      <w:r>
        <w:rPr>
          <w:rFonts w:ascii="Garamond" w:hAnsi="Garamond" w:cs="Times New Roman"/>
        </w:rPr>
        <w:t xml:space="preserve"> was so readily discarded by the High Court in </w:t>
      </w:r>
      <w:proofErr w:type="spellStart"/>
      <w:r>
        <w:rPr>
          <w:rFonts w:ascii="Garamond" w:hAnsi="Garamond" w:cs="Times New Roman"/>
          <w:i/>
          <w:iCs/>
        </w:rPr>
        <w:t>Bawa-Garba’s</w:t>
      </w:r>
      <w:proofErr w:type="spellEnd"/>
      <w:r>
        <w:rPr>
          <w:rFonts w:ascii="Garamond" w:hAnsi="Garamond" w:cs="Times New Roman"/>
          <w:i/>
          <w:iCs/>
        </w:rPr>
        <w:t xml:space="preserve"> </w:t>
      </w:r>
      <w:r>
        <w:rPr>
          <w:rFonts w:ascii="Garamond" w:hAnsi="Garamond" w:cs="Times New Roman"/>
        </w:rPr>
        <w:t xml:space="preserve">case.  </w:t>
      </w:r>
      <w:r w:rsidR="00063DF3">
        <w:rPr>
          <w:rFonts w:ascii="Garamond" w:hAnsi="Garamond" w:cs="Times New Roman"/>
        </w:rPr>
        <w:t>Both the</w:t>
      </w:r>
      <w:r w:rsidR="00576159" w:rsidRPr="009321EF">
        <w:rPr>
          <w:rFonts w:ascii="Garamond" w:hAnsi="Garamond" w:cs="Times New Roman"/>
        </w:rPr>
        <w:t xml:space="preserve"> GMC’s a</w:t>
      </w:r>
      <w:r>
        <w:rPr>
          <w:rFonts w:ascii="Garamond" w:hAnsi="Garamond" w:cs="Times New Roman"/>
        </w:rPr>
        <w:t>rgument</w:t>
      </w:r>
      <w:r w:rsidR="00576159" w:rsidRPr="009321EF">
        <w:rPr>
          <w:rFonts w:ascii="Garamond" w:hAnsi="Garamond" w:cs="Times New Roman"/>
        </w:rPr>
        <w:t xml:space="preserve"> and the judgment </w:t>
      </w:r>
      <w:r w:rsidR="00853183">
        <w:rPr>
          <w:rFonts w:ascii="Garamond" w:hAnsi="Garamond" w:cs="Times New Roman"/>
        </w:rPr>
        <w:t xml:space="preserve">of </w:t>
      </w:r>
      <w:proofErr w:type="spellStart"/>
      <w:r w:rsidR="00853183">
        <w:rPr>
          <w:rFonts w:ascii="Garamond" w:hAnsi="Garamond" w:cs="Times New Roman"/>
        </w:rPr>
        <w:t>Ouseley</w:t>
      </w:r>
      <w:proofErr w:type="spellEnd"/>
      <w:r w:rsidR="00853183">
        <w:rPr>
          <w:rFonts w:ascii="Garamond" w:hAnsi="Garamond" w:cs="Times New Roman"/>
        </w:rPr>
        <w:t xml:space="preserve"> J</w:t>
      </w:r>
      <w:r w:rsidR="00570B07">
        <w:rPr>
          <w:rFonts w:ascii="Garamond" w:hAnsi="Garamond" w:cs="Times New Roman"/>
        </w:rPr>
        <w:t xml:space="preserve"> </w:t>
      </w:r>
      <w:r w:rsidR="00E93075">
        <w:rPr>
          <w:rFonts w:ascii="Garamond" w:hAnsi="Garamond" w:cs="Times New Roman"/>
        </w:rPr>
        <w:t xml:space="preserve">regarded the tribunal decision as discounting </w:t>
      </w:r>
      <w:r>
        <w:rPr>
          <w:rFonts w:ascii="Garamond" w:hAnsi="Garamond" w:cs="Times New Roman"/>
        </w:rPr>
        <w:t>t</w:t>
      </w:r>
      <w:r w:rsidR="00576159" w:rsidRPr="009321EF">
        <w:rPr>
          <w:rFonts w:ascii="Garamond" w:hAnsi="Garamond" w:cs="Times New Roman"/>
        </w:rPr>
        <w:t>he jury’s verdict</w:t>
      </w:r>
      <w:r w:rsidR="005F378A">
        <w:rPr>
          <w:rFonts w:ascii="Garamond" w:hAnsi="Garamond" w:cs="Times New Roman"/>
        </w:rPr>
        <w:t xml:space="preserve"> -</w:t>
      </w:r>
      <w:r w:rsidR="00576159" w:rsidRPr="009321EF">
        <w:rPr>
          <w:rFonts w:ascii="Garamond" w:hAnsi="Garamond" w:cs="Times New Roman"/>
        </w:rPr>
        <w:t xml:space="preserve"> </w:t>
      </w:r>
      <w:r w:rsidR="00E93075">
        <w:rPr>
          <w:rFonts w:ascii="Garamond" w:hAnsi="Garamond" w:cs="Times New Roman"/>
        </w:rPr>
        <w:t xml:space="preserve">the verdict being, </w:t>
      </w:r>
      <w:r w:rsidR="00576159" w:rsidRPr="009321EF">
        <w:rPr>
          <w:rFonts w:ascii="Garamond" w:hAnsi="Garamond" w:cs="Times New Roman"/>
        </w:rPr>
        <w:t xml:space="preserve">in effect, </w:t>
      </w:r>
      <w:r>
        <w:rPr>
          <w:rFonts w:ascii="Garamond" w:hAnsi="Garamond" w:cs="Times New Roman"/>
        </w:rPr>
        <w:t xml:space="preserve">clear </w:t>
      </w:r>
      <w:r w:rsidR="00576159" w:rsidRPr="009321EF">
        <w:rPr>
          <w:rFonts w:ascii="Garamond" w:hAnsi="Garamond" w:cs="Times New Roman"/>
        </w:rPr>
        <w:t xml:space="preserve">evidence that public confidence could not tolerate such a doctor returning to medical practice. </w:t>
      </w:r>
      <w:r w:rsidRPr="00D50781">
        <w:rPr>
          <w:rFonts w:ascii="Garamond" w:hAnsi="Garamond" w:cs="Times New Roman"/>
        </w:rPr>
        <w:t>But</w:t>
      </w:r>
      <w:r w:rsidR="005F378A">
        <w:rPr>
          <w:rFonts w:ascii="Garamond" w:hAnsi="Garamond" w:cs="Times New Roman"/>
        </w:rPr>
        <w:t>,</w:t>
      </w:r>
      <w:r w:rsidRPr="00D50781">
        <w:rPr>
          <w:rFonts w:ascii="Garamond" w:hAnsi="Garamond" w:cs="Times New Roman"/>
        </w:rPr>
        <w:t xml:space="preserve"> as the Court of Appeal made clear, that </w:t>
      </w:r>
      <w:r w:rsidR="00E93075">
        <w:rPr>
          <w:rFonts w:ascii="Garamond" w:hAnsi="Garamond" w:cs="Times New Roman"/>
        </w:rPr>
        <w:t>stance</w:t>
      </w:r>
      <w:r w:rsidRPr="00D50781">
        <w:rPr>
          <w:rFonts w:ascii="Garamond" w:hAnsi="Garamond" w:cs="Times New Roman"/>
        </w:rPr>
        <w:t xml:space="preserve"> ignore</w:t>
      </w:r>
      <w:r w:rsidR="00E93075">
        <w:rPr>
          <w:rFonts w:ascii="Garamond" w:hAnsi="Garamond" w:cs="Times New Roman"/>
        </w:rPr>
        <w:t>d</w:t>
      </w:r>
      <w:r w:rsidRPr="00D50781">
        <w:rPr>
          <w:rFonts w:ascii="Garamond" w:hAnsi="Garamond" w:cs="Times New Roman"/>
        </w:rPr>
        <w:t xml:space="preserve"> the fact that the </w:t>
      </w:r>
      <w:r>
        <w:rPr>
          <w:rFonts w:ascii="Garamond" w:hAnsi="Garamond" w:cs="Times New Roman"/>
        </w:rPr>
        <w:t xml:space="preserve">decisions of the jury and of </w:t>
      </w:r>
      <w:r w:rsidRPr="00D50781">
        <w:rPr>
          <w:rFonts w:ascii="Garamond" w:hAnsi="Garamond" w:cs="Times New Roman"/>
        </w:rPr>
        <w:t>the</w:t>
      </w:r>
      <w:r>
        <w:rPr>
          <w:rFonts w:ascii="Garamond" w:hAnsi="Garamond" w:cs="Times New Roman"/>
        </w:rPr>
        <w:t xml:space="preserve"> tribunal</w:t>
      </w:r>
      <w:r w:rsidRPr="00D50781">
        <w:rPr>
          <w:rFonts w:ascii="Garamond" w:hAnsi="Garamond" w:cs="Times New Roman"/>
        </w:rPr>
        <w:t xml:space="preserve"> </w:t>
      </w:r>
      <w:r>
        <w:rPr>
          <w:rFonts w:ascii="Garamond" w:hAnsi="Garamond" w:cs="Times New Roman"/>
        </w:rPr>
        <w:t xml:space="preserve">are taken </w:t>
      </w:r>
      <w:r w:rsidRPr="00D50781">
        <w:rPr>
          <w:rFonts w:ascii="Garamond" w:hAnsi="Garamond" w:cs="Times New Roman"/>
        </w:rPr>
        <w:t>‘by different bodies, with different functions, addressing different questions and at different times.’</w:t>
      </w:r>
      <w:r w:rsidRPr="00D50781">
        <w:rPr>
          <w:rStyle w:val="FootnoteReference"/>
          <w:rFonts w:ascii="Garamond" w:hAnsi="Garamond" w:cs="Times New Roman"/>
        </w:rPr>
        <w:footnoteReference w:id="45"/>
      </w:r>
      <w:r w:rsidRPr="00D50781">
        <w:rPr>
          <w:rFonts w:ascii="Garamond" w:hAnsi="Garamond" w:cs="Times New Roman"/>
        </w:rPr>
        <w:t xml:space="preserve"> </w:t>
      </w:r>
      <w:r w:rsidR="005F378A">
        <w:rPr>
          <w:rFonts w:ascii="Garamond" w:hAnsi="Garamond" w:cs="Times New Roman"/>
        </w:rPr>
        <w:t>Certainly, t</w:t>
      </w:r>
      <w:r w:rsidR="00637BF9">
        <w:rPr>
          <w:rFonts w:ascii="Garamond" w:hAnsi="Garamond" w:cs="Times New Roman"/>
        </w:rPr>
        <w:t xml:space="preserve">he jury </w:t>
      </w:r>
      <w:r w:rsidR="00853183">
        <w:rPr>
          <w:rFonts w:ascii="Garamond" w:hAnsi="Garamond" w:cs="Times New Roman"/>
        </w:rPr>
        <w:t>had not been</w:t>
      </w:r>
      <w:r w:rsidR="00637BF9">
        <w:rPr>
          <w:rFonts w:ascii="Garamond" w:hAnsi="Garamond" w:cs="Times New Roman"/>
        </w:rPr>
        <w:t xml:space="preserve"> asked its opinion about whether Dr </w:t>
      </w:r>
      <w:proofErr w:type="spellStart"/>
      <w:r w:rsidR="00637BF9">
        <w:rPr>
          <w:rFonts w:ascii="Garamond" w:hAnsi="Garamond" w:cs="Times New Roman"/>
        </w:rPr>
        <w:t>Bawa</w:t>
      </w:r>
      <w:r w:rsidR="00853183">
        <w:rPr>
          <w:rFonts w:ascii="Garamond" w:hAnsi="Garamond" w:cs="Times New Roman"/>
        </w:rPr>
        <w:t>-</w:t>
      </w:r>
      <w:r w:rsidR="00637BF9">
        <w:rPr>
          <w:rFonts w:ascii="Garamond" w:hAnsi="Garamond" w:cs="Times New Roman"/>
        </w:rPr>
        <w:t>Garba</w:t>
      </w:r>
      <w:proofErr w:type="spellEnd"/>
      <w:r w:rsidR="00637BF9">
        <w:rPr>
          <w:rFonts w:ascii="Garamond" w:hAnsi="Garamond" w:cs="Times New Roman"/>
        </w:rPr>
        <w:t xml:space="preserve"> should ever return to practice</w:t>
      </w:r>
      <w:r w:rsidR="00FB231B">
        <w:rPr>
          <w:rFonts w:ascii="Garamond" w:hAnsi="Garamond" w:cs="Times New Roman"/>
        </w:rPr>
        <w:t>,</w:t>
      </w:r>
      <w:r w:rsidR="00637BF9">
        <w:rPr>
          <w:rFonts w:ascii="Garamond" w:hAnsi="Garamond" w:cs="Times New Roman"/>
        </w:rPr>
        <w:t xml:space="preserve"> </w:t>
      </w:r>
      <w:r w:rsidR="00874CA0">
        <w:rPr>
          <w:rFonts w:ascii="Garamond" w:hAnsi="Garamond" w:cs="Times New Roman"/>
        </w:rPr>
        <w:t xml:space="preserve">and </w:t>
      </w:r>
      <w:r w:rsidR="00570626">
        <w:rPr>
          <w:rFonts w:ascii="Garamond" w:hAnsi="Garamond" w:cs="Times New Roman"/>
        </w:rPr>
        <w:t xml:space="preserve">neither had </w:t>
      </w:r>
      <w:r w:rsidR="00874CA0">
        <w:rPr>
          <w:rFonts w:ascii="Garamond" w:hAnsi="Garamond" w:cs="Times New Roman"/>
        </w:rPr>
        <w:t xml:space="preserve">the jury been given </w:t>
      </w:r>
      <w:r w:rsidR="00874CA0">
        <w:rPr>
          <w:rFonts w:ascii="Garamond" w:hAnsi="Garamond" w:cs="Times New Roman"/>
        </w:rPr>
        <w:lastRenderedPageBreak/>
        <w:t>a detailed report into the systemic failures at the hospital that night</w:t>
      </w:r>
      <w:r w:rsidR="005F378A">
        <w:rPr>
          <w:rFonts w:ascii="Garamond" w:hAnsi="Garamond" w:cs="Times New Roman"/>
        </w:rPr>
        <w:t>.</w:t>
      </w:r>
      <w:r w:rsidR="00874CA0">
        <w:rPr>
          <w:rStyle w:val="FootnoteReference"/>
          <w:rFonts w:ascii="Garamond" w:hAnsi="Garamond" w:cs="Times New Roman"/>
        </w:rPr>
        <w:footnoteReference w:id="46"/>
      </w:r>
      <w:r w:rsidR="00874CA0">
        <w:rPr>
          <w:rFonts w:ascii="Garamond" w:hAnsi="Garamond" w:cs="Times New Roman"/>
        </w:rPr>
        <w:t xml:space="preserve"> </w:t>
      </w:r>
      <w:r w:rsidR="002B7684">
        <w:rPr>
          <w:rFonts w:ascii="Garamond" w:hAnsi="Garamond" w:cs="Times New Roman"/>
        </w:rPr>
        <w:t>T</w:t>
      </w:r>
      <w:r w:rsidR="0080070A">
        <w:rPr>
          <w:rFonts w:ascii="Garamond" w:hAnsi="Garamond" w:cs="Times New Roman"/>
        </w:rPr>
        <w:t>he jury</w:t>
      </w:r>
      <w:r w:rsidR="00A55C50">
        <w:rPr>
          <w:rFonts w:ascii="Garamond" w:hAnsi="Garamond" w:cs="Times New Roman"/>
        </w:rPr>
        <w:t xml:space="preserve">’s </w:t>
      </w:r>
      <w:r w:rsidR="002B7684">
        <w:rPr>
          <w:rFonts w:ascii="Garamond" w:hAnsi="Garamond" w:cs="Times New Roman"/>
        </w:rPr>
        <w:t>verdict</w:t>
      </w:r>
      <w:r w:rsidR="0080070A">
        <w:rPr>
          <w:rFonts w:ascii="Garamond" w:hAnsi="Garamond" w:cs="Times New Roman"/>
        </w:rPr>
        <w:t xml:space="preserve"> </w:t>
      </w:r>
      <w:r w:rsidR="00A55C50">
        <w:rPr>
          <w:rFonts w:ascii="Garamond" w:hAnsi="Garamond" w:cs="Times New Roman"/>
        </w:rPr>
        <w:t>w</w:t>
      </w:r>
      <w:r w:rsidR="0080070A">
        <w:rPr>
          <w:rFonts w:ascii="Garamond" w:hAnsi="Garamond" w:cs="Times New Roman"/>
        </w:rPr>
        <w:t xml:space="preserve">as </w:t>
      </w:r>
      <w:r w:rsidR="002B7684">
        <w:rPr>
          <w:rFonts w:ascii="Garamond" w:hAnsi="Garamond" w:cs="Times New Roman"/>
        </w:rPr>
        <w:t xml:space="preserve">therefore </w:t>
      </w:r>
      <w:r w:rsidR="0080070A">
        <w:rPr>
          <w:rFonts w:ascii="Garamond" w:hAnsi="Garamond" w:cs="Times New Roman"/>
        </w:rPr>
        <w:t>a</w:t>
      </w:r>
      <w:r w:rsidR="002B7684">
        <w:rPr>
          <w:rFonts w:ascii="Garamond" w:hAnsi="Garamond" w:cs="Times New Roman"/>
        </w:rPr>
        <w:t>n extremely</w:t>
      </w:r>
      <w:r w:rsidR="0080070A">
        <w:rPr>
          <w:rFonts w:ascii="Garamond" w:hAnsi="Garamond" w:cs="Times New Roman"/>
        </w:rPr>
        <w:t xml:space="preserve"> </w:t>
      </w:r>
      <w:r w:rsidR="00A55C50">
        <w:rPr>
          <w:rFonts w:ascii="Garamond" w:hAnsi="Garamond" w:cs="Times New Roman"/>
        </w:rPr>
        <w:t xml:space="preserve">crude </w:t>
      </w:r>
      <w:r w:rsidR="0080070A">
        <w:rPr>
          <w:rFonts w:ascii="Garamond" w:hAnsi="Garamond" w:cs="Times New Roman"/>
        </w:rPr>
        <w:t>proxy for determin</w:t>
      </w:r>
      <w:r w:rsidR="005F378A">
        <w:rPr>
          <w:rFonts w:ascii="Garamond" w:hAnsi="Garamond" w:cs="Times New Roman"/>
        </w:rPr>
        <w:t>ing</w:t>
      </w:r>
      <w:r w:rsidR="0080070A">
        <w:rPr>
          <w:rFonts w:ascii="Garamond" w:hAnsi="Garamond" w:cs="Times New Roman"/>
        </w:rPr>
        <w:t xml:space="preserve"> what </w:t>
      </w:r>
      <w:r w:rsidR="005F378A">
        <w:rPr>
          <w:rFonts w:ascii="Garamond" w:hAnsi="Garamond" w:cs="Times New Roman"/>
        </w:rPr>
        <w:t xml:space="preserve">was needed to ‘maintain </w:t>
      </w:r>
      <w:r w:rsidR="0080070A">
        <w:rPr>
          <w:rFonts w:ascii="Garamond" w:hAnsi="Garamond" w:cs="Times New Roman"/>
        </w:rPr>
        <w:t>public confidence</w:t>
      </w:r>
      <w:r w:rsidR="002B7684">
        <w:rPr>
          <w:rFonts w:ascii="Garamond" w:hAnsi="Garamond" w:cs="Times New Roman"/>
        </w:rPr>
        <w:t>’</w:t>
      </w:r>
      <w:r w:rsidR="00637BF9">
        <w:rPr>
          <w:rFonts w:ascii="Garamond" w:hAnsi="Garamond" w:cs="Times New Roman"/>
        </w:rPr>
        <w:t xml:space="preserve">. </w:t>
      </w:r>
    </w:p>
    <w:p w14:paraId="703A96CE" w14:textId="77777777" w:rsidR="0080070A" w:rsidRDefault="0080070A" w:rsidP="001513AF">
      <w:pPr>
        <w:pStyle w:val="Normal1"/>
        <w:spacing w:line="480" w:lineRule="auto"/>
        <w:jc w:val="both"/>
        <w:rPr>
          <w:rFonts w:ascii="Garamond" w:hAnsi="Garamond" w:cs="Times New Roman"/>
        </w:rPr>
      </w:pPr>
    </w:p>
    <w:p w14:paraId="633C1AD0" w14:textId="09FEB2B1" w:rsidR="0080070A" w:rsidRDefault="00853183">
      <w:pPr>
        <w:pStyle w:val="Normal1"/>
        <w:spacing w:line="480" w:lineRule="auto"/>
        <w:jc w:val="both"/>
        <w:rPr>
          <w:rFonts w:ascii="Garamond" w:hAnsi="Garamond" w:cs="Times New Roman"/>
          <w:bCs/>
        </w:rPr>
      </w:pPr>
      <w:r w:rsidRPr="00D50781">
        <w:rPr>
          <w:rFonts w:ascii="Garamond" w:hAnsi="Garamond" w:cs="Times New Roman"/>
          <w:bCs/>
        </w:rPr>
        <w:t>Although</w:t>
      </w:r>
      <w:r w:rsidRPr="00D50781">
        <w:rPr>
          <w:rFonts w:ascii="Garamond" w:hAnsi="Garamond" w:cs="Times New Roman"/>
        </w:rPr>
        <w:t xml:space="preserve"> the Court of Appeal</w:t>
      </w:r>
      <w:r w:rsidR="0080070A">
        <w:rPr>
          <w:rFonts w:ascii="Garamond" w:hAnsi="Garamond" w:cs="Times New Roman"/>
        </w:rPr>
        <w:t xml:space="preserve"> in </w:t>
      </w:r>
      <w:proofErr w:type="spellStart"/>
      <w:r w:rsidR="0080070A">
        <w:rPr>
          <w:rFonts w:ascii="Garamond" w:hAnsi="Garamond" w:cs="Times New Roman"/>
          <w:i/>
          <w:iCs/>
        </w:rPr>
        <w:t>Bawa-Garba</w:t>
      </w:r>
      <w:proofErr w:type="spellEnd"/>
      <w:r w:rsidR="0080070A">
        <w:rPr>
          <w:rFonts w:ascii="Garamond" w:hAnsi="Garamond" w:cs="Times New Roman"/>
          <w:i/>
          <w:iCs/>
        </w:rPr>
        <w:t xml:space="preserve"> v GMC</w:t>
      </w:r>
      <w:r w:rsidRPr="00D50781">
        <w:rPr>
          <w:rFonts w:ascii="Garamond" w:hAnsi="Garamond" w:cs="Times New Roman"/>
        </w:rPr>
        <w:t xml:space="preserve"> </w:t>
      </w:r>
      <w:r w:rsidR="00570626">
        <w:rPr>
          <w:rFonts w:ascii="Garamond" w:hAnsi="Garamond" w:cs="Times New Roman"/>
        </w:rPr>
        <w:t xml:space="preserve">went on to </w:t>
      </w:r>
      <w:r w:rsidRPr="00D50781">
        <w:rPr>
          <w:rFonts w:ascii="Garamond" w:hAnsi="Garamond" w:cs="Times New Roman"/>
        </w:rPr>
        <w:t xml:space="preserve">reference ‘public confidence’ no less than 32 times, it offered little further guidance on its meaning or application, but rather consigned it to the expertise of the profession’s tribunal. </w:t>
      </w:r>
      <w:r w:rsidR="002A0D80">
        <w:rPr>
          <w:rFonts w:ascii="Garamond" w:hAnsi="Garamond" w:cs="Times New Roman"/>
        </w:rPr>
        <w:t xml:space="preserve">The decision as to the appropriate sanction was an ‘evaluative’, ‘multifactorial’ decision, a ‘kind of jury question’ </w:t>
      </w:r>
      <w:r w:rsidR="00570626">
        <w:rPr>
          <w:rFonts w:ascii="Garamond" w:hAnsi="Garamond" w:cs="Times New Roman"/>
        </w:rPr>
        <w:t xml:space="preserve">upon </w:t>
      </w:r>
      <w:r w:rsidR="002A0D80">
        <w:rPr>
          <w:rFonts w:ascii="Garamond" w:hAnsi="Garamond" w:cs="Times New Roman"/>
        </w:rPr>
        <w:t>which reasonable people might reasonably disagree.</w:t>
      </w:r>
      <w:r w:rsidR="00E5073D" w:rsidRPr="00E5073D">
        <w:rPr>
          <w:rFonts w:ascii="Garamond" w:hAnsi="Garamond" w:cs="Times New Roman"/>
          <w:vertAlign w:val="superscript"/>
        </w:rPr>
        <w:footnoteReference w:id="47"/>
      </w:r>
      <w:r w:rsidR="002A0D80">
        <w:rPr>
          <w:rFonts w:ascii="Garamond" w:hAnsi="Garamond" w:cs="Times New Roman"/>
        </w:rPr>
        <w:t xml:space="preserve"> This categorisation of the expert tribunal’s decision</w:t>
      </w:r>
      <w:r w:rsidR="00E93075">
        <w:rPr>
          <w:rFonts w:ascii="Garamond" w:hAnsi="Garamond" w:cs="Times New Roman"/>
        </w:rPr>
        <w:t xml:space="preserve"> as ordinarily beyond the reach of judicial interference, has echoes of</w:t>
      </w:r>
      <w:r w:rsidR="002A0D80">
        <w:rPr>
          <w:rFonts w:ascii="Garamond" w:hAnsi="Garamond" w:cs="Times New Roman"/>
        </w:rPr>
        <w:t xml:space="preserve"> the </w:t>
      </w:r>
      <w:r w:rsidR="00AB3532">
        <w:rPr>
          <w:rFonts w:ascii="Garamond" w:hAnsi="Garamond" w:cs="Times New Roman"/>
        </w:rPr>
        <w:t xml:space="preserve">much maligned </w:t>
      </w:r>
      <w:proofErr w:type="spellStart"/>
      <w:r w:rsidR="002A0D80">
        <w:rPr>
          <w:rFonts w:ascii="Garamond" w:hAnsi="Garamond" w:cs="Times New Roman"/>
          <w:i/>
          <w:iCs/>
        </w:rPr>
        <w:t>Bolam</w:t>
      </w:r>
      <w:proofErr w:type="spellEnd"/>
      <w:r w:rsidR="002A0D80">
        <w:rPr>
          <w:rFonts w:ascii="Garamond" w:hAnsi="Garamond" w:cs="Times New Roman"/>
          <w:i/>
          <w:iCs/>
        </w:rPr>
        <w:t xml:space="preserve"> </w:t>
      </w:r>
      <w:r w:rsidR="002A0D80">
        <w:rPr>
          <w:rFonts w:ascii="Garamond" w:hAnsi="Garamond" w:cs="Times New Roman"/>
        </w:rPr>
        <w:t>test</w:t>
      </w:r>
      <w:r w:rsidR="00DC6F5A">
        <w:rPr>
          <w:rFonts w:ascii="Garamond" w:hAnsi="Garamond" w:cs="Times New Roman"/>
        </w:rPr>
        <w:t>,</w:t>
      </w:r>
      <w:r w:rsidR="002D0276">
        <w:rPr>
          <w:rStyle w:val="FootnoteReference"/>
          <w:rFonts w:ascii="Garamond" w:hAnsi="Garamond" w:cs="Times New Roman"/>
        </w:rPr>
        <w:footnoteReference w:id="48"/>
      </w:r>
      <w:r w:rsidR="002A0D80">
        <w:rPr>
          <w:rFonts w:ascii="Garamond" w:hAnsi="Garamond" w:cs="Times New Roman"/>
        </w:rPr>
        <w:t xml:space="preserve"> and </w:t>
      </w:r>
      <w:r w:rsidR="0026695F">
        <w:rPr>
          <w:rFonts w:ascii="Garamond" w:hAnsi="Garamond" w:cs="Times New Roman"/>
        </w:rPr>
        <w:t xml:space="preserve">underscored </w:t>
      </w:r>
      <w:r w:rsidR="009E6BDB">
        <w:rPr>
          <w:rFonts w:ascii="Garamond" w:hAnsi="Garamond" w:cs="Times New Roman"/>
        </w:rPr>
        <w:t xml:space="preserve">once again, </w:t>
      </w:r>
      <w:r w:rsidR="0026695F">
        <w:rPr>
          <w:rFonts w:ascii="Garamond" w:hAnsi="Garamond" w:cs="Times New Roman"/>
        </w:rPr>
        <w:t xml:space="preserve">in thick black pen, </w:t>
      </w:r>
      <w:r w:rsidR="002A0D80">
        <w:rPr>
          <w:rFonts w:ascii="Garamond" w:hAnsi="Garamond" w:cs="Times New Roman"/>
        </w:rPr>
        <w:t>the court’s stance of deference to the decision maker.</w:t>
      </w:r>
      <w:r w:rsidR="00D67CF6">
        <w:rPr>
          <w:rFonts w:ascii="Garamond" w:hAnsi="Garamond" w:cs="Times New Roman"/>
        </w:rPr>
        <w:t xml:space="preserve"> As the regulator is often identified as part of the profession, this can be viewed as</w:t>
      </w:r>
      <w:r w:rsidR="00522113">
        <w:rPr>
          <w:rFonts w:ascii="Garamond" w:hAnsi="Garamond" w:cs="Times New Roman"/>
        </w:rPr>
        <w:t xml:space="preserve"> yet</w:t>
      </w:r>
      <w:r w:rsidR="00D67CF6">
        <w:rPr>
          <w:rFonts w:ascii="Garamond" w:hAnsi="Garamond" w:cs="Times New Roman"/>
        </w:rPr>
        <w:t xml:space="preserve"> another variant of ‘medical exceptionalism,’ the idea that medics have ‘unique insight’ into these issues.</w:t>
      </w:r>
      <w:r w:rsidR="00D67CF6">
        <w:rPr>
          <w:rStyle w:val="FootnoteReference"/>
          <w:rFonts w:ascii="Garamond" w:hAnsi="Garamond" w:cs="Times New Roman"/>
        </w:rPr>
        <w:footnoteReference w:id="49"/>
      </w:r>
      <w:r w:rsidR="002A0D80">
        <w:rPr>
          <w:rFonts w:ascii="Garamond" w:hAnsi="Garamond" w:cs="Times New Roman"/>
        </w:rPr>
        <w:t xml:space="preserve"> </w:t>
      </w:r>
      <w:r w:rsidR="00544C70">
        <w:rPr>
          <w:rFonts w:ascii="Garamond" w:hAnsi="Garamond" w:cs="Times New Roman"/>
        </w:rPr>
        <w:t xml:space="preserve">Having consigned the issue </w:t>
      </w:r>
      <w:r w:rsidR="00D67CF6">
        <w:rPr>
          <w:rFonts w:ascii="Garamond" w:hAnsi="Garamond" w:cs="Times New Roman"/>
        </w:rPr>
        <w:t xml:space="preserve">of appropriate sanction </w:t>
      </w:r>
      <w:r w:rsidR="00544C70">
        <w:rPr>
          <w:rFonts w:ascii="Garamond" w:hAnsi="Garamond" w:cs="Times New Roman"/>
        </w:rPr>
        <w:t>to expert regulators, t</w:t>
      </w:r>
      <w:r w:rsidR="002258A7">
        <w:rPr>
          <w:rFonts w:ascii="Garamond" w:hAnsi="Garamond" w:cs="Times New Roman"/>
        </w:rPr>
        <w:t>he Court of Appeal</w:t>
      </w:r>
      <w:r w:rsidR="00544C70">
        <w:rPr>
          <w:rFonts w:ascii="Garamond" w:hAnsi="Garamond" w:cs="Times New Roman"/>
        </w:rPr>
        <w:t xml:space="preserve"> went on to </w:t>
      </w:r>
      <w:r w:rsidRPr="00D50781">
        <w:rPr>
          <w:rFonts w:ascii="Garamond" w:hAnsi="Garamond" w:cs="Times New Roman"/>
        </w:rPr>
        <w:t xml:space="preserve">affirm </w:t>
      </w:r>
      <w:r w:rsidR="00BC106A">
        <w:rPr>
          <w:rFonts w:ascii="Garamond" w:hAnsi="Garamond" w:cs="Times New Roman"/>
        </w:rPr>
        <w:t>pre-existing</w:t>
      </w:r>
      <w:r w:rsidR="001513AF">
        <w:rPr>
          <w:rFonts w:ascii="Garamond" w:hAnsi="Garamond" w:cs="Times New Roman"/>
        </w:rPr>
        <w:t xml:space="preserve"> statements on how public confidence demands were to be gauged</w:t>
      </w:r>
      <w:r w:rsidR="00570626">
        <w:rPr>
          <w:rFonts w:ascii="Garamond" w:hAnsi="Garamond" w:cs="Times New Roman"/>
        </w:rPr>
        <w:t>,</w:t>
      </w:r>
      <w:r w:rsidR="00544C70">
        <w:rPr>
          <w:rFonts w:ascii="Garamond" w:hAnsi="Garamond" w:cs="Times New Roman"/>
        </w:rPr>
        <w:t xml:space="preserve"> rel</w:t>
      </w:r>
      <w:r w:rsidR="009E6BDB">
        <w:rPr>
          <w:rFonts w:ascii="Garamond" w:hAnsi="Garamond" w:cs="Times New Roman"/>
        </w:rPr>
        <w:t>ying</w:t>
      </w:r>
      <w:r w:rsidR="00544C70">
        <w:rPr>
          <w:rFonts w:ascii="Garamond" w:hAnsi="Garamond" w:cs="Times New Roman"/>
        </w:rPr>
        <w:t xml:space="preserve"> upon an </w:t>
      </w:r>
      <w:r w:rsidR="00DC6F5A">
        <w:rPr>
          <w:rFonts w:ascii="Garamond" w:hAnsi="Garamond" w:cs="Times New Roman"/>
        </w:rPr>
        <w:t>‘</w:t>
      </w:r>
      <w:r w:rsidR="00544C70">
        <w:rPr>
          <w:rFonts w:ascii="Garamond" w:hAnsi="Garamond" w:cs="Times New Roman"/>
        </w:rPr>
        <w:t xml:space="preserve">ordinary </w:t>
      </w:r>
      <w:r w:rsidR="002B7684">
        <w:rPr>
          <w:rFonts w:ascii="Garamond" w:hAnsi="Garamond" w:cs="Times New Roman"/>
        </w:rPr>
        <w:t>person</w:t>
      </w:r>
      <w:r w:rsidR="00DC6F5A">
        <w:rPr>
          <w:rFonts w:ascii="Garamond" w:hAnsi="Garamond" w:cs="Times New Roman"/>
        </w:rPr>
        <w:t xml:space="preserve">’ type </w:t>
      </w:r>
      <w:r w:rsidR="00544C70">
        <w:rPr>
          <w:rFonts w:ascii="Garamond" w:hAnsi="Garamond" w:cs="Times New Roman"/>
        </w:rPr>
        <w:t>standard</w:t>
      </w:r>
      <w:r w:rsidR="002258A7">
        <w:rPr>
          <w:rFonts w:ascii="Garamond" w:hAnsi="Garamond" w:cs="Times New Roman"/>
        </w:rPr>
        <w:t>.</w:t>
      </w:r>
      <w:r w:rsidR="001513AF">
        <w:rPr>
          <w:rFonts w:ascii="Garamond" w:hAnsi="Garamond" w:cs="Times New Roman"/>
        </w:rPr>
        <w:t xml:space="preserve"> </w:t>
      </w:r>
      <w:r w:rsidR="002258A7">
        <w:rPr>
          <w:rFonts w:ascii="Garamond" w:hAnsi="Garamond" w:cs="Times New Roman"/>
        </w:rPr>
        <w:t>F</w:t>
      </w:r>
      <w:r w:rsidR="001513AF">
        <w:rPr>
          <w:rFonts w:ascii="Garamond" w:hAnsi="Garamond" w:cs="Times New Roman"/>
        </w:rPr>
        <w:t xml:space="preserve">or example, </w:t>
      </w:r>
      <w:r w:rsidRPr="00D50781">
        <w:rPr>
          <w:rFonts w:ascii="Garamond" w:hAnsi="Garamond" w:cs="Times New Roman"/>
          <w:bCs/>
        </w:rPr>
        <w:t>public confidence</w:t>
      </w:r>
      <w:r w:rsidR="001513AF">
        <w:rPr>
          <w:rFonts w:ascii="Garamond" w:hAnsi="Garamond" w:cs="Times New Roman"/>
          <w:bCs/>
        </w:rPr>
        <w:t xml:space="preserve"> decision making</w:t>
      </w:r>
      <w:r w:rsidRPr="00D50781">
        <w:rPr>
          <w:rFonts w:ascii="Garamond" w:hAnsi="Garamond" w:cs="Times New Roman"/>
          <w:bCs/>
        </w:rPr>
        <w:t xml:space="preserve"> </w:t>
      </w:r>
      <w:r w:rsidR="001513AF">
        <w:rPr>
          <w:rFonts w:ascii="Garamond" w:hAnsi="Garamond" w:cs="Times New Roman"/>
          <w:bCs/>
        </w:rPr>
        <w:t>should ‘</w:t>
      </w:r>
      <w:r w:rsidRPr="0080070A">
        <w:rPr>
          <w:rFonts w:ascii="Garamond" w:hAnsi="Garamond" w:cs="Times New Roman"/>
          <w:bCs/>
        </w:rPr>
        <w:t xml:space="preserve">reflect the views of an </w:t>
      </w:r>
      <w:r w:rsidRPr="009321EF">
        <w:rPr>
          <w:rFonts w:ascii="Garamond" w:hAnsi="Garamond" w:cs="Times New Roman"/>
          <w:bCs/>
        </w:rPr>
        <w:t>informed and reasonable member of the public</w:t>
      </w:r>
      <w:r w:rsidR="001513AF">
        <w:rPr>
          <w:rFonts w:ascii="Garamond" w:hAnsi="Garamond" w:cs="Times New Roman"/>
          <w:bCs/>
        </w:rPr>
        <w:t>’</w:t>
      </w:r>
      <w:r w:rsidRPr="0080070A">
        <w:rPr>
          <w:rFonts w:ascii="Garamond" w:hAnsi="Garamond" w:cs="Times New Roman"/>
          <w:bCs/>
          <w:vertAlign w:val="superscript"/>
        </w:rPr>
        <w:footnoteReference w:id="50"/>
      </w:r>
      <w:r w:rsidRPr="0080070A">
        <w:rPr>
          <w:rFonts w:ascii="Garamond" w:hAnsi="Garamond" w:cs="Times New Roman"/>
          <w:bCs/>
        </w:rPr>
        <w:t xml:space="preserve"> and, </w:t>
      </w:r>
      <w:r w:rsidR="001513AF">
        <w:rPr>
          <w:rFonts w:ascii="Garamond" w:hAnsi="Garamond" w:cs="Times New Roman"/>
          <w:bCs/>
        </w:rPr>
        <w:t>in a similar vein:</w:t>
      </w:r>
      <w:r w:rsidRPr="00D50781">
        <w:rPr>
          <w:rFonts w:ascii="Garamond" w:hAnsi="Garamond" w:cs="Times New Roman"/>
          <w:bCs/>
        </w:rPr>
        <w:t xml:space="preserve"> </w:t>
      </w:r>
    </w:p>
    <w:p w14:paraId="5DD1DA83" w14:textId="77777777" w:rsidR="0080070A" w:rsidRDefault="0080070A" w:rsidP="0080070A">
      <w:pPr>
        <w:pStyle w:val="Normal1"/>
        <w:spacing w:line="480" w:lineRule="auto"/>
        <w:ind w:left="397" w:right="397"/>
        <w:jc w:val="both"/>
        <w:rPr>
          <w:rFonts w:ascii="Garamond" w:hAnsi="Garamond" w:cs="Times New Roman"/>
          <w:bCs/>
        </w:rPr>
      </w:pPr>
    </w:p>
    <w:p w14:paraId="37A11DE3" w14:textId="0B6C8909" w:rsidR="0080070A" w:rsidRDefault="00853183" w:rsidP="009321EF">
      <w:pPr>
        <w:pStyle w:val="Normal1"/>
        <w:spacing w:line="480" w:lineRule="auto"/>
        <w:ind w:left="397" w:right="397"/>
        <w:jc w:val="both"/>
        <w:rPr>
          <w:rFonts w:ascii="Garamond" w:hAnsi="Garamond" w:cs="Times New Roman"/>
          <w:bCs/>
        </w:rPr>
      </w:pPr>
      <w:r w:rsidRPr="00D50781">
        <w:rPr>
          <w:rFonts w:ascii="Garamond" w:hAnsi="Garamond" w:cs="Times New Roman"/>
          <w:bCs/>
        </w:rPr>
        <w:t>‘public confidence in the profession must be assessed by reference to the standard of “the ordinary intelligent citizen” who appreciates the seriousness of the proposed sanction, as well as the other issues involved in the case.’</w:t>
      </w:r>
      <w:r w:rsidRPr="00D50781">
        <w:rPr>
          <w:rFonts w:ascii="Garamond" w:hAnsi="Garamond" w:cs="Times New Roman"/>
          <w:bCs/>
          <w:vertAlign w:val="superscript"/>
        </w:rPr>
        <w:footnoteReference w:id="51"/>
      </w:r>
      <w:r>
        <w:rPr>
          <w:rFonts w:ascii="Garamond" w:hAnsi="Garamond" w:cs="Times New Roman"/>
          <w:bCs/>
        </w:rPr>
        <w:t xml:space="preserve"> </w:t>
      </w:r>
    </w:p>
    <w:p w14:paraId="0DE7A9DF" w14:textId="77777777" w:rsidR="0080070A" w:rsidRDefault="0080070A" w:rsidP="0080070A">
      <w:pPr>
        <w:pStyle w:val="Normal1"/>
        <w:spacing w:line="480" w:lineRule="auto"/>
        <w:jc w:val="both"/>
        <w:rPr>
          <w:rFonts w:ascii="Garamond" w:hAnsi="Garamond" w:cs="Times New Roman"/>
          <w:bCs/>
        </w:rPr>
      </w:pPr>
    </w:p>
    <w:p w14:paraId="5B198D7E" w14:textId="3E1603F8" w:rsidR="0091412C" w:rsidRDefault="00853183" w:rsidP="00B27BE8">
      <w:pPr>
        <w:pStyle w:val="Normal1"/>
        <w:spacing w:line="480" w:lineRule="auto"/>
        <w:jc w:val="both"/>
        <w:rPr>
          <w:rFonts w:ascii="Garamond" w:hAnsi="Garamond" w:cs="Times New Roman"/>
          <w:bCs/>
        </w:rPr>
      </w:pPr>
      <w:r w:rsidRPr="00D50781">
        <w:rPr>
          <w:rFonts w:ascii="Garamond" w:hAnsi="Garamond" w:cs="Times New Roman"/>
          <w:bCs/>
        </w:rPr>
        <w:t xml:space="preserve">Both attempts to capture how public confidence </w:t>
      </w:r>
      <w:r w:rsidR="00BC106A">
        <w:rPr>
          <w:rFonts w:ascii="Garamond" w:hAnsi="Garamond" w:cs="Times New Roman"/>
          <w:bCs/>
        </w:rPr>
        <w:t>should be</w:t>
      </w:r>
      <w:r w:rsidRPr="00D50781">
        <w:rPr>
          <w:rFonts w:ascii="Garamond" w:hAnsi="Garamond" w:cs="Times New Roman"/>
          <w:bCs/>
        </w:rPr>
        <w:t xml:space="preserve"> assessed are </w:t>
      </w:r>
      <w:r w:rsidR="00B27BE8">
        <w:rPr>
          <w:rFonts w:ascii="Garamond" w:hAnsi="Garamond" w:cs="Times New Roman"/>
          <w:bCs/>
        </w:rPr>
        <w:t>intriguing</w:t>
      </w:r>
      <w:r w:rsidR="00BC106A">
        <w:rPr>
          <w:rFonts w:ascii="Garamond" w:hAnsi="Garamond" w:cs="Times New Roman"/>
          <w:bCs/>
        </w:rPr>
        <w:t>. On the one hand</w:t>
      </w:r>
      <w:r w:rsidR="00B27BE8">
        <w:rPr>
          <w:rFonts w:ascii="Garamond" w:hAnsi="Garamond" w:cs="Times New Roman"/>
          <w:bCs/>
        </w:rPr>
        <w:t>, both</w:t>
      </w:r>
      <w:r w:rsidR="00BC106A">
        <w:rPr>
          <w:rFonts w:ascii="Garamond" w:hAnsi="Garamond" w:cs="Times New Roman"/>
          <w:bCs/>
        </w:rPr>
        <w:t xml:space="preserve"> confirm that the u</w:t>
      </w:r>
      <w:r w:rsidRPr="00D50781">
        <w:rPr>
          <w:rFonts w:ascii="Garamond" w:hAnsi="Garamond" w:cs="Times New Roman"/>
          <w:bCs/>
        </w:rPr>
        <w:t xml:space="preserve">se of regulatory powers in the name of public confidence must go beyond </w:t>
      </w:r>
      <w:r w:rsidR="00BC106A">
        <w:rPr>
          <w:rFonts w:ascii="Garamond" w:hAnsi="Garamond" w:cs="Times New Roman"/>
          <w:bCs/>
        </w:rPr>
        <w:t>‘</w:t>
      </w:r>
      <w:r w:rsidRPr="00D50781">
        <w:rPr>
          <w:rFonts w:ascii="Garamond" w:hAnsi="Garamond" w:cs="Times New Roman"/>
          <w:bCs/>
        </w:rPr>
        <w:t>knee-jerk</w:t>
      </w:r>
      <w:r w:rsidR="00BC106A">
        <w:rPr>
          <w:rFonts w:ascii="Garamond" w:hAnsi="Garamond" w:cs="Times New Roman"/>
          <w:bCs/>
        </w:rPr>
        <w:t>’</w:t>
      </w:r>
      <w:r w:rsidRPr="00D50781">
        <w:rPr>
          <w:rFonts w:ascii="Garamond" w:hAnsi="Garamond" w:cs="Times New Roman"/>
          <w:bCs/>
        </w:rPr>
        <w:t xml:space="preserve"> reaction</w:t>
      </w:r>
      <w:r w:rsidR="00BC106A">
        <w:rPr>
          <w:rFonts w:ascii="Garamond" w:hAnsi="Garamond" w:cs="Times New Roman"/>
          <w:bCs/>
        </w:rPr>
        <w:t>s</w:t>
      </w:r>
      <w:r w:rsidRPr="00D50781">
        <w:rPr>
          <w:rFonts w:ascii="Garamond" w:hAnsi="Garamond" w:cs="Times New Roman"/>
          <w:bCs/>
        </w:rPr>
        <w:t xml:space="preserve">, </w:t>
      </w:r>
      <w:r>
        <w:rPr>
          <w:rFonts w:ascii="Garamond" w:hAnsi="Garamond" w:cs="Times New Roman"/>
          <w:bCs/>
        </w:rPr>
        <w:t>appeasement</w:t>
      </w:r>
      <w:r w:rsidRPr="00D50781">
        <w:rPr>
          <w:rFonts w:ascii="Garamond" w:hAnsi="Garamond" w:cs="Times New Roman"/>
          <w:bCs/>
        </w:rPr>
        <w:t xml:space="preserve"> of populis</w:t>
      </w:r>
      <w:r>
        <w:rPr>
          <w:rFonts w:ascii="Garamond" w:hAnsi="Garamond" w:cs="Times New Roman"/>
          <w:bCs/>
        </w:rPr>
        <w:t>m</w:t>
      </w:r>
      <w:r w:rsidRPr="0080070A">
        <w:rPr>
          <w:rFonts w:ascii="Garamond" w:hAnsi="Garamond" w:cs="Times New Roman"/>
          <w:bCs/>
        </w:rPr>
        <w:t xml:space="preserve"> or reacting ‘</w:t>
      </w:r>
      <w:r w:rsidRPr="009321EF">
        <w:rPr>
          <w:rFonts w:ascii="Garamond" w:hAnsi="Garamond"/>
        </w:rPr>
        <w:t>to the public mood of the moment’</w:t>
      </w:r>
      <w:r w:rsidRPr="0080070A">
        <w:rPr>
          <w:rFonts w:ascii="Garamond" w:hAnsi="Garamond" w:cs="Times New Roman"/>
          <w:bCs/>
        </w:rPr>
        <w:t>.</w:t>
      </w:r>
      <w:r w:rsidRPr="0080070A">
        <w:rPr>
          <w:rStyle w:val="FootnoteReference"/>
          <w:rFonts w:ascii="Garamond" w:hAnsi="Garamond" w:cs="Times New Roman"/>
          <w:bCs/>
        </w:rPr>
        <w:footnoteReference w:id="52"/>
      </w:r>
      <w:r w:rsidRPr="0080070A">
        <w:rPr>
          <w:rFonts w:ascii="Garamond" w:hAnsi="Garamond" w:cs="Times New Roman"/>
          <w:bCs/>
        </w:rPr>
        <w:t xml:space="preserve"> </w:t>
      </w:r>
      <w:r w:rsidR="00BC106A">
        <w:rPr>
          <w:rFonts w:ascii="Garamond" w:hAnsi="Garamond" w:cs="Times New Roman"/>
          <w:bCs/>
        </w:rPr>
        <w:t xml:space="preserve">But </w:t>
      </w:r>
      <w:r w:rsidR="00544C70">
        <w:rPr>
          <w:rFonts w:ascii="Garamond" w:hAnsi="Garamond" w:cs="Times New Roman"/>
          <w:bCs/>
        </w:rPr>
        <w:t xml:space="preserve">in doing so, they </w:t>
      </w:r>
      <w:r w:rsidR="00BC106A">
        <w:rPr>
          <w:rFonts w:ascii="Garamond" w:hAnsi="Garamond" w:cs="Times New Roman"/>
          <w:bCs/>
        </w:rPr>
        <w:t xml:space="preserve">also </w:t>
      </w:r>
      <w:r w:rsidR="00B27BE8">
        <w:rPr>
          <w:rFonts w:ascii="Garamond" w:hAnsi="Garamond" w:cs="Times New Roman"/>
          <w:bCs/>
        </w:rPr>
        <w:t>appear to endorse the</w:t>
      </w:r>
      <w:r w:rsidR="00BC106A">
        <w:rPr>
          <w:rFonts w:ascii="Garamond" w:hAnsi="Garamond" w:cs="Times New Roman"/>
          <w:bCs/>
        </w:rPr>
        <w:t xml:space="preserve"> guesstimati</w:t>
      </w:r>
      <w:r w:rsidR="00B27BE8">
        <w:rPr>
          <w:rFonts w:ascii="Garamond" w:hAnsi="Garamond" w:cs="Times New Roman"/>
          <w:bCs/>
        </w:rPr>
        <w:t>ng of</w:t>
      </w:r>
      <w:r w:rsidR="00BC106A">
        <w:rPr>
          <w:rFonts w:ascii="Garamond" w:hAnsi="Garamond" w:cs="Times New Roman"/>
          <w:bCs/>
        </w:rPr>
        <w:t xml:space="preserve"> public opinion, which </w:t>
      </w:r>
      <w:r w:rsidR="00B27BE8">
        <w:rPr>
          <w:rFonts w:ascii="Garamond" w:hAnsi="Garamond" w:cs="Times New Roman"/>
          <w:bCs/>
        </w:rPr>
        <w:t>is</w:t>
      </w:r>
      <w:r w:rsidR="00BC106A">
        <w:rPr>
          <w:rFonts w:ascii="Garamond" w:hAnsi="Garamond" w:cs="Times New Roman"/>
          <w:bCs/>
        </w:rPr>
        <w:t xml:space="preserve"> then subject</w:t>
      </w:r>
      <w:r w:rsidR="00063DF3">
        <w:rPr>
          <w:rFonts w:ascii="Garamond" w:hAnsi="Garamond" w:cs="Times New Roman"/>
          <w:bCs/>
        </w:rPr>
        <w:t>ed</w:t>
      </w:r>
      <w:r w:rsidR="00BC106A">
        <w:rPr>
          <w:rFonts w:ascii="Garamond" w:hAnsi="Garamond" w:cs="Times New Roman"/>
          <w:bCs/>
        </w:rPr>
        <w:t xml:space="preserve"> to a corrective gloss should that opinion be found wanting. </w:t>
      </w:r>
      <w:r w:rsidR="00544C70">
        <w:rPr>
          <w:rFonts w:ascii="Garamond" w:hAnsi="Garamond" w:cs="Times New Roman"/>
          <w:bCs/>
        </w:rPr>
        <w:t>The test therefore becomes what an ‘expert’ thinks ‘the public’ think</w:t>
      </w:r>
      <w:r w:rsidR="00DC6F5A">
        <w:rPr>
          <w:rFonts w:ascii="Garamond" w:hAnsi="Garamond" w:cs="Times New Roman"/>
          <w:bCs/>
        </w:rPr>
        <w:t>s</w:t>
      </w:r>
      <w:r w:rsidR="00A55C50">
        <w:rPr>
          <w:rFonts w:ascii="Garamond" w:hAnsi="Garamond" w:cs="Times New Roman"/>
          <w:bCs/>
        </w:rPr>
        <w:t>, with room for selective adjustment</w:t>
      </w:r>
      <w:r w:rsidR="00544C70">
        <w:rPr>
          <w:rFonts w:ascii="Garamond" w:hAnsi="Garamond" w:cs="Times New Roman"/>
          <w:bCs/>
        </w:rPr>
        <w:t xml:space="preserve">. </w:t>
      </w:r>
      <w:r w:rsidR="004814B8">
        <w:rPr>
          <w:rFonts w:ascii="Garamond" w:hAnsi="Garamond" w:cs="Times New Roman"/>
          <w:bCs/>
        </w:rPr>
        <w:t>Foster notes the tension between on the one hand</w:t>
      </w:r>
      <w:r w:rsidR="009857E9">
        <w:rPr>
          <w:rFonts w:ascii="Garamond" w:hAnsi="Garamond" w:cs="Times New Roman"/>
          <w:bCs/>
        </w:rPr>
        <w:t>,</w:t>
      </w:r>
      <w:r w:rsidR="004814B8">
        <w:rPr>
          <w:rFonts w:ascii="Garamond" w:hAnsi="Garamond" w:cs="Times New Roman"/>
          <w:bCs/>
        </w:rPr>
        <w:t xml:space="preserve"> reserving issues of public confidence for the expertise of the specialist tribunal, whilst on the other</w:t>
      </w:r>
      <w:r w:rsidR="00B27BE8">
        <w:rPr>
          <w:rFonts w:ascii="Garamond" w:hAnsi="Garamond" w:cs="Times New Roman"/>
          <w:bCs/>
        </w:rPr>
        <w:t>,</w:t>
      </w:r>
      <w:r w:rsidR="004814B8">
        <w:rPr>
          <w:rFonts w:ascii="Garamond" w:hAnsi="Garamond" w:cs="Times New Roman"/>
          <w:bCs/>
        </w:rPr>
        <w:t xml:space="preserve"> articulating the benchmark as ‘reflecting the view of an informed and reasonable member of the public.’</w:t>
      </w:r>
      <w:r w:rsidR="004814B8">
        <w:rPr>
          <w:rStyle w:val="FootnoteReference"/>
          <w:rFonts w:ascii="Garamond" w:hAnsi="Garamond" w:cs="Times New Roman"/>
          <w:bCs/>
        </w:rPr>
        <w:footnoteReference w:id="53"/>
      </w:r>
      <w:r w:rsidR="004814B8">
        <w:rPr>
          <w:rFonts w:ascii="Garamond" w:hAnsi="Garamond" w:cs="Times New Roman"/>
          <w:bCs/>
        </w:rPr>
        <w:t xml:space="preserve"> </w:t>
      </w:r>
      <w:r w:rsidR="00544C70">
        <w:rPr>
          <w:rFonts w:ascii="Garamond" w:hAnsi="Garamond" w:cs="Times New Roman"/>
          <w:bCs/>
        </w:rPr>
        <w:t>These formulations also raise questions about how deferential the courts should be</w:t>
      </w:r>
      <w:r w:rsidR="00FD67D8">
        <w:rPr>
          <w:rFonts w:ascii="Garamond" w:hAnsi="Garamond" w:cs="Times New Roman"/>
          <w:bCs/>
        </w:rPr>
        <w:t>,</w:t>
      </w:r>
      <w:r w:rsidR="00544C70">
        <w:rPr>
          <w:rFonts w:ascii="Garamond" w:hAnsi="Garamond" w:cs="Times New Roman"/>
          <w:bCs/>
        </w:rPr>
        <w:t xml:space="preserve"> given their </w:t>
      </w:r>
      <w:r w:rsidR="00570626">
        <w:rPr>
          <w:rFonts w:ascii="Garamond" w:hAnsi="Garamond" w:cs="Times New Roman"/>
          <w:bCs/>
        </w:rPr>
        <w:t xml:space="preserve">own </w:t>
      </w:r>
      <w:r w:rsidR="00544C70">
        <w:rPr>
          <w:rFonts w:ascii="Garamond" w:hAnsi="Garamond" w:cs="Times New Roman"/>
          <w:bCs/>
        </w:rPr>
        <w:t xml:space="preserve">familiarity and </w:t>
      </w:r>
      <w:r w:rsidR="004814B8">
        <w:rPr>
          <w:rFonts w:ascii="Garamond" w:hAnsi="Garamond" w:cs="Times New Roman"/>
          <w:bCs/>
        </w:rPr>
        <w:t>experience in dealing with the ‘reasonable man’ and the ‘o</w:t>
      </w:r>
      <w:r w:rsidR="00063DF3">
        <w:rPr>
          <w:rFonts w:ascii="Garamond" w:hAnsi="Garamond" w:cs="Times New Roman"/>
          <w:bCs/>
        </w:rPr>
        <w:t>fficious</w:t>
      </w:r>
      <w:r w:rsidR="004814B8">
        <w:rPr>
          <w:rFonts w:ascii="Garamond" w:hAnsi="Garamond" w:cs="Times New Roman"/>
          <w:bCs/>
        </w:rPr>
        <w:t xml:space="preserve"> bystander’</w:t>
      </w:r>
      <w:r w:rsidR="00FD67D8">
        <w:rPr>
          <w:rFonts w:ascii="Garamond" w:hAnsi="Garamond" w:cs="Times New Roman"/>
          <w:bCs/>
        </w:rPr>
        <w:t xml:space="preserve"> in the ordinary </w:t>
      </w:r>
      <w:r w:rsidR="00243AAE">
        <w:rPr>
          <w:rFonts w:ascii="Garamond" w:hAnsi="Garamond" w:cs="Times New Roman"/>
          <w:bCs/>
        </w:rPr>
        <w:t>business</w:t>
      </w:r>
      <w:r w:rsidR="00FD67D8">
        <w:rPr>
          <w:rFonts w:ascii="Garamond" w:hAnsi="Garamond" w:cs="Times New Roman"/>
          <w:bCs/>
        </w:rPr>
        <w:t xml:space="preserve"> of </w:t>
      </w:r>
      <w:r w:rsidR="00243AAE">
        <w:rPr>
          <w:rFonts w:ascii="Garamond" w:hAnsi="Garamond" w:cs="Times New Roman"/>
          <w:bCs/>
        </w:rPr>
        <w:t xml:space="preserve">deciding </w:t>
      </w:r>
      <w:r w:rsidR="00FD67D8">
        <w:rPr>
          <w:rFonts w:ascii="Garamond" w:hAnsi="Garamond" w:cs="Times New Roman"/>
          <w:bCs/>
        </w:rPr>
        <w:t>contract and tort claims</w:t>
      </w:r>
      <w:r w:rsidR="00544C70">
        <w:rPr>
          <w:rFonts w:ascii="Garamond" w:hAnsi="Garamond" w:cs="Times New Roman"/>
          <w:bCs/>
        </w:rPr>
        <w:t>. I</w:t>
      </w:r>
      <w:r w:rsidR="009857E9">
        <w:rPr>
          <w:rFonts w:ascii="Garamond" w:hAnsi="Garamond" w:cs="Times New Roman"/>
          <w:bCs/>
        </w:rPr>
        <w:t xml:space="preserve">t seems incongruous to suggest that </w:t>
      </w:r>
      <w:r w:rsidR="004814B8">
        <w:rPr>
          <w:rFonts w:ascii="Garamond" w:hAnsi="Garamond" w:cs="Times New Roman"/>
          <w:bCs/>
        </w:rPr>
        <w:t xml:space="preserve">the </w:t>
      </w:r>
      <w:r w:rsidR="000E2D76">
        <w:rPr>
          <w:rFonts w:ascii="Garamond" w:hAnsi="Garamond" w:cs="Times New Roman"/>
          <w:bCs/>
        </w:rPr>
        <w:t xml:space="preserve">profession’s </w:t>
      </w:r>
      <w:r w:rsidR="004814B8">
        <w:rPr>
          <w:rFonts w:ascii="Garamond" w:hAnsi="Garamond" w:cs="Times New Roman"/>
          <w:bCs/>
        </w:rPr>
        <w:t>tribunal is</w:t>
      </w:r>
      <w:r w:rsidR="00DC6F5A">
        <w:rPr>
          <w:rFonts w:ascii="Garamond" w:hAnsi="Garamond" w:cs="Times New Roman"/>
          <w:bCs/>
        </w:rPr>
        <w:t xml:space="preserve"> so</w:t>
      </w:r>
      <w:r w:rsidR="004814B8">
        <w:rPr>
          <w:rFonts w:ascii="Garamond" w:hAnsi="Garamond" w:cs="Times New Roman"/>
          <w:bCs/>
        </w:rPr>
        <w:t xml:space="preserve"> </w:t>
      </w:r>
      <w:r w:rsidR="00BD10AB">
        <w:rPr>
          <w:rFonts w:ascii="Garamond" w:hAnsi="Garamond" w:cs="Times New Roman"/>
          <w:bCs/>
        </w:rPr>
        <w:t xml:space="preserve">much </w:t>
      </w:r>
      <w:r w:rsidR="004814B8">
        <w:rPr>
          <w:rFonts w:ascii="Garamond" w:hAnsi="Garamond" w:cs="Times New Roman"/>
          <w:bCs/>
        </w:rPr>
        <w:t xml:space="preserve">better placed than </w:t>
      </w:r>
      <w:r w:rsidR="00102F76">
        <w:rPr>
          <w:rFonts w:ascii="Garamond" w:hAnsi="Garamond" w:cs="Times New Roman"/>
          <w:bCs/>
        </w:rPr>
        <w:t>a</w:t>
      </w:r>
      <w:r w:rsidR="004814B8">
        <w:rPr>
          <w:rFonts w:ascii="Garamond" w:hAnsi="Garamond" w:cs="Times New Roman"/>
          <w:bCs/>
        </w:rPr>
        <w:t xml:space="preserve"> court to make th</w:t>
      </w:r>
      <w:r w:rsidR="00BD10AB">
        <w:rPr>
          <w:rFonts w:ascii="Garamond" w:hAnsi="Garamond" w:cs="Times New Roman"/>
          <w:bCs/>
        </w:rPr>
        <w:t>ese</w:t>
      </w:r>
      <w:r w:rsidR="004814B8">
        <w:rPr>
          <w:rFonts w:ascii="Garamond" w:hAnsi="Garamond" w:cs="Times New Roman"/>
          <w:bCs/>
        </w:rPr>
        <w:t xml:space="preserve"> assessment</w:t>
      </w:r>
      <w:r w:rsidR="00BD10AB">
        <w:rPr>
          <w:rFonts w:ascii="Garamond" w:hAnsi="Garamond" w:cs="Times New Roman"/>
          <w:bCs/>
        </w:rPr>
        <w:t>s</w:t>
      </w:r>
      <w:r w:rsidR="00DC6F5A">
        <w:rPr>
          <w:rFonts w:ascii="Garamond" w:hAnsi="Garamond" w:cs="Times New Roman"/>
          <w:bCs/>
        </w:rPr>
        <w:t xml:space="preserve"> and it is argued that the policy of deference </w:t>
      </w:r>
      <w:r w:rsidR="00A55C50">
        <w:rPr>
          <w:rFonts w:ascii="Garamond" w:hAnsi="Garamond" w:cs="Times New Roman"/>
          <w:bCs/>
        </w:rPr>
        <w:t>on these issues</w:t>
      </w:r>
      <w:r w:rsidR="00DC6F5A">
        <w:rPr>
          <w:rFonts w:ascii="Garamond" w:hAnsi="Garamond" w:cs="Times New Roman"/>
          <w:bCs/>
        </w:rPr>
        <w:t xml:space="preserve"> should be reconsidered</w:t>
      </w:r>
      <w:r w:rsidR="009857E9">
        <w:rPr>
          <w:rFonts w:ascii="Garamond" w:hAnsi="Garamond" w:cs="Times New Roman"/>
          <w:bCs/>
        </w:rPr>
        <w:t>.</w:t>
      </w:r>
      <w:r w:rsidR="004814B8">
        <w:rPr>
          <w:rFonts w:ascii="Garamond" w:hAnsi="Garamond" w:cs="Times New Roman"/>
          <w:bCs/>
        </w:rPr>
        <w:t xml:space="preserve"> </w:t>
      </w:r>
    </w:p>
    <w:p w14:paraId="2D9979E0" w14:textId="77777777" w:rsidR="00B27BE8" w:rsidRPr="0091412C" w:rsidRDefault="00B27BE8" w:rsidP="00B27BE8">
      <w:pPr>
        <w:pStyle w:val="Normal1"/>
        <w:spacing w:line="480" w:lineRule="auto"/>
        <w:jc w:val="both"/>
        <w:rPr>
          <w:rFonts w:ascii="Garamond" w:hAnsi="Garamond" w:cs="Times New Roman"/>
          <w:bCs/>
        </w:rPr>
      </w:pPr>
    </w:p>
    <w:p w14:paraId="17F5E1B2" w14:textId="7696E907" w:rsidR="00760EF7" w:rsidRPr="00760EF7" w:rsidRDefault="00DC43AE" w:rsidP="00760EF7">
      <w:pPr>
        <w:pStyle w:val="Normal1"/>
        <w:spacing w:line="480" w:lineRule="auto"/>
        <w:jc w:val="both"/>
        <w:rPr>
          <w:rFonts w:ascii="Garamond" w:hAnsi="Garamond" w:cs="Times New Roman"/>
          <w:bCs/>
        </w:rPr>
      </w:pPr>
      <w:r>
        <w:rPr>
          <w:rFonts w:ascii="Garamond" w:hAnsi="Garamond" w:cs="Times New Roman"/>
        </w:rPr>
        <w:t xml:space="preserve">Whilst </w:t>
      </w:r>
      <w:r w:rsidR="009857E9">
        <w:rPr>
          <w:rFonts w:ascii="Garamond" w:hAnsi="Garamond" w:cs="Times New Roman"/>
        </w:rPr>
        <w:t>the High Court and Court of Appeal</w:t>
      </w:r>
      <w:r w:rsidR="00102F76">
        <w:rPr>
          <w:rFonts w:ascii="Garamond" w:hAnsi="Garamond" w:cs="Times New Roman"/>
        </w:rPr>
        <w:t xml:space="preserve"> judgments in </w:t>
      </w:r>
      <w:proofErr w:type="spellStart"/>
      <w:r w:rsidR="00102F76">
        <w:rPr>
          <w:rFonts w:ascii="Garamond" w:hAnsi="Garamond" w:cs="Times New Roman"/>
          <w:i/>
          <w:iCs/>
        </w:rPr>
        <w:t>Bawa-Garba’s</w:t>
      </w:r>
      <w:proofErr w:type="spellEnd"/>
      <w:r w:rsidR="00102F76">
        <w:rPr>
          <w:rFonts w:ascii="Garamond" w:hAnsi="Garamond" w:cs="Times New Roman"/>
          <w:i/>
          <w:iCs/>
        </w:rPr>
        <w:t xml:space="preserve"> </w:t>
      </w:r>
      <w:r w:rsidR="00102F76">
        <w:rPr>
          <w:rFonts w:ascii="Garamond" w:hAnsi="Garamond" w:cs="Times New Roman"/>
        </w:rPr>
        <w:t>case</w:t>
      </w:r>
      <w:r w:rsidR="009857E9">
        <w:rPr>
          <w:rFonts w:ascii="Garamond" w:hAnsi="Garamond" w:cs="Times New Roman"/>
        </w:rPr>
        <w:t xml:space="preserve"> </w:t>
      </w:r>
      <w:r>
        <w:rPr>
          <w:rFonts w:ascii="Garamond" w:hAnsi="Garamond" w:cs="Times New Roman"/>
        </w:rPr>
        <w:t>chose to contextualise the jury decision differently,</w:t>
      </w:r>
      <w:r w:rsidR="00603346">
        <w:rPr>
          <w:rFonts w:ascii="Garamond" w:hAnsi="Garamond" w:cs="Times New Roman"/>
        </w:rPr>
        <w:t xml:space="preserve"> </w:t>
      </w:r>
      <w:r w:rsidR="00063DF3">
        <w:rPr>
          <w:rFonts w:ascii="Garamond" w:hAnsi="Garamond" w:cs="Times New Roman"/>
        </w:rPr>
        <w:t xml:space="preserve">the judgments </w:t>
      </w:r>
      <w:r w:rsidR="00243AAE">
        <w:rPr>
          <w:rFonts w:ascii="Garamond" w:hAnsi="Garamond" w:cs="Times New Roman"/>
        </w:rPr>
        <w:t xml:space="preserve">still </w:t>
      </w:r>
      <w:r w:rsidR="00063DF3">
        <w:rPr>
          <w:rFonts w:ascii="Garamond" w:hAnsi="Garamond" w:cs="Times New Roman"/>
        </w:rPr>
        <w:t xml:space="preserve">share common ground in characterising public confidence assessments as </w:t>
      </w:r>
      <w:r>
        <w:rPr>
          <w:rFonts w:ascii="Garamond" w:hAnsi="Garamond" w:cs="Times New Roman"/>
        </w:rPr>
        <w:t>instinctual.</w:t>
      </w:r>
      <w:r w:rsidR="0091412C">
        <w:rPr>
          <w:rFonts w:ascii="Garamond" w:hAnsi="Garamond" w:cs="Times New Roman"/>
        </w:rPr>
        <w:t xml:space="preserve"> </w:t>
      </w:r>
      <w:bookmarkEnd w:id="4"/>
      <w:r w:rsidR="003D3B84">
        <w:rPr>
          <w:rFonts w:ascii="Garamond" w:hAnsi="Garamond" w:cs="Times New Roman"/>
          <w:bCs/>
        </w:rPr>
        <w:t>Th</w:t>
      </w:r>
      <w:r w:rsidR="00DC0BB8">
        <w:rPr>
          <w:rFonts w:ascii="Garamond" w:hAnsi="Garamond" w:cs="Times New Roman"/>
          <w:bCs/>
        </w:rPr>
        <w:t>is</w:t>
      </w:r>
      <w:r w:rsidR="003D3B84">
        <w:rPr>
          <w:rFonts w:ascii="Garamond" w:hAnsi="Garamond" w:cs="Times New Roman"/>
          <w:bCs/>
        </w:rPr>
        <w:t xml:space="preserve"> instinctual judg</w:t>
      </w:r>
      <w:r w:rsidR="000E2D76">
        <w:rPr>
          <w:rFonts w:ascii="Garamond" w:hAnsi="Garamond" w:cs="Times New Roman"/>
          <w:bCs/>
        </w:rPr>
        <w:t>e</w:t>
      </w:r>
      <w:r w:rsidR="003D3B84">
        <w:rPr>
          <w:rFonts w:ascii="Garamond" w:hAnsi="Garamond" w:cs="Times New Roman"/>
          <w:bCs/>
        </w:rPr>
        <w:t>ment approach</w:t>
      </w:r>
      <w:r w:rsidR="00F54F8E">
        <w:rPr>
          <w:rFonts w:ascii="Garamond" w:hAnsi="Garamond" w:cs="Times New Roman"/>
          <w:bCs/>
        </w:rPr>
        <w:t xml:space="preserve"> </w:t>
      </w:r>
      <w:r w:rsidR="006D10FC">
        <w:rPr>
          <w:rFonts w:ascii="Garamond" w:hAnsi="Garamond" w:cs="Times New Roman"/>
          <w:bCs/>
        </w:rPr>
        <w:t>is</w:t>
      </w:r>
      <w:r w:rsidR="00102F76">
        <w:rPr>
          <w:rFonts w:ascii="Garamond" w:hAnsi="Garamond" w:cs="Times New Roman"/>
          <w:bCs/>
        </w:rPr>
        <w:t xml:space="preserve"> conspicuously</w:t>
      </w:r>
      <w:r w:rsidR="006D10FC">
        <w:rPr>
          <w:rFonts w:ascii="Garamond" w:hAnsi="Garamond" w:cs="Times New Roman"/>
          <w:bCs/>
        </w:rPr>
        <w:t xml:space="preserve"> </w:t>
      </w:r>
      <w:r w:rsidR="003D3B84">
        <w:rPr>
          <w:rFonts w:ascii="Garamond" w:hAnsi="Garamond" w:cs="Times New Roman"/>
          <w:bCs/>
        </w:rPr>
        <w:t>at odds</w:t>
      </w:r>
      <w:r w:rsidR="006D10FC">
        <w:rPr>
          <w:rFonts w:ascii="Garamond" w:hAnsi="Garamond" w:cs="Times New Roman"/>
          <w:bCs/>
        </w:rPr>
        <w:t xml:space="preserve"> with an emerging narrative which recommends deconstruction of public confidence assessment. </w:t>
      </w:r>
      <w:r w:rsidR="00CC7345" w:rsidRPr="00CC7345">
        <w:rPr>
          <w:rFonts w:ascii="Garamond" w:hAnsi="Garamond" w:cs="Times New Roman"/>
          <w:bCs/>
        </w:rPr>
        <w:t xml:space="preserve">The </w:t>
      </w:r>
      <w:r w:rsidR="00CC7345" w:rsidRPr="009321EF">
        <w:rPr>
          <w:rFonts w:ascii="Garamond" w:hAnsi="Garamond" w:cs="Times New Roman"/>
          <w:bCs/>
          <w:i/>
          <w:iCs/>
        </w:rPr>
        <w:t>Williams Review</w:t>
      </w:r>
      <w:r w:rsidR="00CC7345" w:rsidRPr="00CC7345">
        <w:rPr>
          <w:rFonts w:ascii="Garamond" w:hAnsi="Garamond" w:cs="Times New Roman"/>
          <w:bCs/>
        </w:rPr>
        <w:t xml:space="preserve"> </w:t>
      </w:r>
      <w:r w:rsidR="00102F76">
        <w:rPr>
          <w:rFonts w:ascii="Garamond" w:hAnsi="Garamond" w:cs="Times New Roman"/>
          <w:bCs/>
        </w:rPr>
        <w:t>(</w:t>
      </w:r>
      <w:r w:rsidR="00D64F48">
        <w:rPr>
          <w:rFonts w:ascii="Garamond" w:hAnsi="Garamond" w:cs="Times New Roman"/>
          <w:bCs/>
        </w:rPr>
        <w:t>commissioned</w:t>
      </w:r>
      <w:r w:rsidR="00CC7345" w:rsidRPr="00CC7345">
        <w:rPr>
          <w:rFonts w:ascii="Garamond" w:hAnsi="Garamond" w:cs="Times New Roman"/>
          <w:bCs/>
        </w:rPr>
        <w:t xml:space="preserve"> in response to concerns raised by healthcare professionals regarding convictions </w:t>
      </w:r>
      <w:r w:rsidR="0080070A">
        <w:rPr>
          <w:rFonts w:ascii="Garamond" w:hAnsi="Garamond" w:cs="Times New Roman"/>
          <w:bCs/>
        </w:rPr>
        <w:t>for GNM</w:t>
      </w:r>
      <w:r w:rsidR="00102F76">
        <w:rPr>
          <w:rFonts w:ascii="Garamond" w:hAnsi="Garamond" w:cs="Times New Roman"/>
          <w:bCs/>
        </w:rPr>
        <w:t>)</w:t>
      </w:r>
      <w:r w:rsidR="00CC7345" w:rsidRPr="00CC7345">
        <w:rPr>
          <w:rFonts w:ascii="Garamond" w:hAnsi="Garamond" w:cs="Times New Roman"/>
          <w:bCs/>
        </w:rPr>
        <w:t xml:space="preserve"> recommended research to </w:t>
      </w:r>
      <w:r w:rsidR="0080070A">
        <w:rPr>
          <w:rFonts w:ascii="Garamond" w:hAnsi="Garamond" w:cs="Times New Roman"/>
          <w:bCs/>
        </w:rPr>
        <w:t>‘</w:t>
      </w:r>
      <w:r w:rsidR="00CC7345" w:rsidRPr="00CC7345">
        <w:rPr>
          <w:rFonts w:ascii="Garamond" w:hAnsi="Garamond" w:cs="Times New Roman"/>
          <w:bCs/>
        </w:rPr>
        <w:t>review how the impact on public confidence is assessed in reaching fitness to practise decisions about individual healthcare professionals,</w:t>
      </w:r>
      <w:r w:rsidR="00853183">
        <w:rPr>
          <w:rFonts w:ascii="Garamond" w:hAnsi="Garamond" w:cs="Times New Roman"/>
          <w:bCs/>
        </w:rPr>
        <w:t>’</w:t>
      </w:r>
      <w:r w:rsidR="00CC7345" w:rsidRPr="00CC7345">
        <w:rPr>
          <w:rFonts w:ascii="Garamond" w:hAnsi="Garamond" w:cs="Times New Roman"/>
          <w:bCs/>
        </w:rPr>
        <w:t xml:space="preserve"> and </w:t>
      </w:r>
      <w:r w:rsidR="00853183">
        <w:rPr>
          <w:rFonts w:ascii="Garamond" w:hAnsi="Garamond" w:cs="Times New Roman"/>
          <w:bCs/>
        </w:rPr>
        <w:t>the development of ‘</w:t>
      </w:r>
      <w:r w:rsidR="00CC7345" w:rsidRPr="00CC7345">
        <w:rPr>
          <w:rFonts w:ascii="Garamond" w:hAnsi="Garamond" w:cs="Times New Roman"/>
          <w:bCs/>
        </w:rPr>
        <w:t xml:space="preserve">guidance to support consistent decision making </w:t>
      </w:r>
      <w:r w:rsidR="00CC7345" w:rsidRPr="00CC7345">
        <w:rPr>
          <w:rFonts w:ascii="Garamond" w:hAnsi="Garamond" w:cs="Times New Roman"/>
          <w:bCs/>
        </w:rPr>
        <w:lastRenderedPageBreak/>
        <w:t>in this area.</w:t>
      </w:r>
      <w:r w:rsidR="00853183">
        <w:rPr>
          <w:rFonts w:ascii="Garamond" w:hAnsi="Garamond" w:cs="Times New Roman"/>
          <w:bCs/>
        </w:rPr>
        <w:t>’</w:t>
      </w:r>
      <w:r w:rsidR="00CC7345" w:rsidRPr="00CC7345">
        <w:rPr>
          <w:rFonts w:ascii="Garamond" w:hAnsi="Garamond" w:cs="Times New Roman"/>
          <w:bCs/>
          <w:vertAlign w:val="superscript"/>
        </w:rPr>
        <w:footnoteReference w:id="54"/>
      </w:r>
      <w:r w:rsidR="0098601C">
        <w:rPr>
          <w:rFonts w:ascii="Garamond" w:hAnsi="Garamond" w:cs="Times New Roman"/>
          <w:bCs/>
        </w:rPr>
        <w:t xml:space="preserve"> </w:t>
      </w:r>
      <w:r w:rsidR="00CC7345">
        <w:rPr>
          <w:rFonts w:ascii="Garamond" w:hAnsi="Garamond" w:cs="Times New Roman"/>
          <w:bCs/>
        </w:rPr>
        <w:t xml:space="preserve">Implicit in this recommendation is a view that more transparency is required in the use of ‘public confidence’ as a </w:t>
      </w:r>
      <w:r w:rsidR="00FD0691">
        <w:rPr>
          <w:rFonts w:ascii="Garamond" w:hAnsi="Garamond" w:cs="Times New Roman"/>
          <w:bCs/>
        </w:rPr>
        <w:t>justification</w:t>
      </w:r>
      <w:r w:rsidR="00CC7345">
        <w:rPr>
          <w:rFonts w:ascii="Garamond" w:hAnsi="Garamond" w:cs="Times New Roman"/>
          <w:bCs/>
        </w:rPr>
        <w:t xml:space="preserve"> for regulatory decisions. </w:t>
      </w:r>
      <w:r w:rsidR="00DC0BB8">
        <w:rPr>
          <w:rFonts w:ascii="Garamond" w:hAnsi="Garamond" w:cs="Times New Roman"/>
          <w:bCs/>
        </w:rPr>
        <w:t>The</w:t>
      </w:r>
      <w:r w:rsidR="009E20F5">
        <w:rPr>
          <w:rFonts w:ascii="Garamond" w:hAnsi="Garamond" w:cs="Times New Roman"/>
          <w:bCs/>
        </w:rPr>
        <w:t xml:space="preserve"> follow</w:t>
      </w:r>
      <w:r w:rsidR="0098601C">
        <w:rPr>
          <w:rFonts w:ascii="Garamond" w:hAnsi="Garamond" w:cs="Times New Roman"/>
          <w:bCs/>
        </w:rPr>
        <w:t>-</w:t>
      </w:r>
      <w:r w:rsidR="009E20F5">
        <w:rPr>
          <w:rFonts w:ascii="Garamond" w:hAnsi="Garamond" w:cs="Times New Roman"/>
          <w:bCs/>
        </w:rPr>
        <w:t>on report from t</w:t>
      </w:r>
      <w:r w:rsidR="00CC7345">
        <w:rPr>
          <w:rFonts w:ascii="Garamond" w:hAnsi="Garamond" w:cs="Times New Roman"/>
          <w:bCs/>
        </w:rPr>
        <w:t>he Professional Standards Authority</w:t>
      </w:r>
      <w:r w:rsidR="002258A7">
        <w:rPr>
          <w:rFonts w:ascii="Garamond" w:hAnsi="Garamond" w:cs="Times New Roman"/>
          <w:bCs/>
        </w:rPr>
        <w:t>,</w:t>
      </w:r>
      <w:r w:rsidR="002258A7" w:rsidRPr="009321EF">
        <w:rPr>
          <w:rFonts w:ascii="Garamond" w:hAnsi="Garamond" w:cs="Times New Roman"/>
          <w:bCs/>
          <w:i/>
          <w:iCs/>
        </w:rPr>
        <w:t xml:space="preserve"> How is public confidence maintained when fitness to practise decisions are made?</w:t>
      </w:r>
      <w:r w:rsidR="002258A7">
        <w:rPr>
          <w:rFonts w:ascii="Garamond" w:hAnsi="Garamond" w:cs="Times New Roman"/>
          <w:bCs/>
        </w:rPr>
        <w:t>,</w:t>
      </w:r>
      <w:r w:rsidR="00CC7345">
        <w:rPr>
          <w:rFonts w:ascii="Garamond" w:hAnsi="Garamond" w:cs="Times New Roman"/>
          <w:bCs/>
        </w:rPr>
        <w:t xml:space="preserve"> </w:t>
      </w:r>
      <w:r w:rsidR="009E20F5">
        <w:rPr>
          <w:rFonts w:ascii="Garamond" w:hAnsi="Garamond" w:cs="Times New Roman"/>
          <w:bCs/>
        </w:rPr>
        <w:t>appear</w:t>
      </w:r>
      <w:r w:rsidR="004E2F6F">
        <w:rPr>
          <w:rFonts w:ascii="Garamond" w:hAnsi="Garamond" w:cs="Times New Roman"/>
          <w:bCs/>
        </w:rPr>
        <w:t>ed</w:t>
      </w:r>
      <w:r w:rsidR="009E20F5">
        <w:rPr>
          <w:rFonts w:ascii="Garamond" w:hAnsi="Garamond" w:cs="Times New Roman"/>
          <w:bCs/>
        </w:rPr>
        <w:t xml:space="preserve"> to </w:t>
      </w:r>
      <w:r w:rsidR="00CC7345">
        <w:rPr>
          <w:rFonts w:ascii="Garamond" w:hAnsi="Garamond" w:cs="Times New Roman"/>
          <w:bCs/>
        </w:rPr>
        <w:t>endorse this view</w:t>
      </w:r>
      <w:r w:rsidR="009E20F5">
        <w:rPr>
          <w:rFonts w:ascii="Garamond" w:hAnsi="Garamond" w:cs="Times New Roman"/>
          <w:bCs/>
        </w:rPr>
        <w:t xml:space="preserve">, noting divergence in the referencing of public confidence in different regulatory frameworks and a certain ‘lack of reasoning’ and </w:t>
      </w:r>
      <w:r w:rsidR="00853183">
        <w:rPr>
          <w:rFonts w:ascii="Garamond" w:hAnsi="Garamond" w:cs="Times New Roman"/>
          <w:bCs/>
        </w:rPr>
        <w:t xml:space="preserve">the use of </w:t>
      </w:r>
      <w:r w:rsidR="009E20F5">
        <w:rPr>
          <w:rFonts w:ascii="Garamond" w:hAnsi="Garamond" w:cs="Times New Roman"/>
          <w:bCs/>
        </w:rPr>
        <w:t xml:space="preserve">‘standard text’ </w:t>
      </w:r>
      <w:r w:rsidR="0083068A">
        <w:rPr>
          <w:rFonts w:ascii="Garamond" w:hAnsi="Garamond" w:cs="Times New Roman"/>
          <w:bCs/>
        </w:rPr>
        <w:t xml:space="preserve">in tribunal decisions </w:t>
      </w:r>
      <w:r w:rsidR="009E20F5">
        <w:rPr>
          <w:rFonts w:ascii="Garamond" w:hAnsi="Garamond" w:cs="Times New Roman"/>
          <w:bCs/>
        </w:rPr>
        <w:t>to indicate that public confidence had been considered.</w:t>
      </w:r>
      <w:r w:rsidR="009E20F5">
        <w:rPr>
          <w:rStyle w:val="FootnoteReference"/>
          <w:rFonts w:ascii="Garamond" w:hAnsi="Garamond" w:cs="Times New Roman"/>
          <w:bCs/>
        </w:rPr>
        <w:footnoteReference w:id="55"/>
      </w:r>
      <w:r w:rsidR="009E20F5">
        <w:rPr>
          <w:rFonts w:ascii="Garamond" w:hAnsi="Garamond" w:cs="Times New Roman"/>
          <w:bCs/>
        </w:rPr>
        <w:t xml:space="preserve"> </w:t>
      </w:r>
      <w:r w:rsidR="0098601C">
        <w:rPr>
          <w:rFonts w:ascii="Garamond" w:hAnsi="Garamond" w:cs="Times New Roman"/>
          <w:bCs/>
        </w:rPr>
        <w:t xml:space="preserve">Research commissioned </w:t>
      </w:r>
      <w:r w:rsidR="00573E0C">
        <w:rPr>
          <w:rFonts w:ascii="Garamond" w:hAnsi="Garamond" w:cs="Times New Roman"/>
          <w:bCs/>
        </w:rPr>
        <w:t xml:space="preserve">as part of </w:t>
      </w:r>
      <w:r w:rsidR="0098601C">
        <w:rPr>
          <w:rFonts w:ascii="Garamond" w:hAnsi="Garamond" w:cs="Times New Roman"/>
          <w:bCs/>
        </w:rPr>
        <w:t xml:space="preserve">the </w:t>
      </w:r>
      <w:r w:rsidR="0098601C" w:rsidRPr="009321EF">
        <w:rPr>
          <w:rFonts w:ascii="Garamond" w:hAnsi="Garamond" w:cs="Times New Roman"/>
          <w:bCs/>
          <w:i/>
          <w:iCs/>
        </w:rPr>
        <w:t xml:space="preserve">Hamilton </w:t>
      </w:r>
      <w:r w:rsidR="00573E0C" w:rsidRPr="009321EF">
        <w:rPr>
          <w:rFonts w:ascii="Garamond" w:hAnsi="Garamond" w:cs="Times New Roman"/>
          <w:bCs/>
          <w:i/>
          <w:iCs/>
        </w:rPr>
        <w:t>R</w:t>
      </w:r>
      <w:r w:rsidR="0098601C" w:rsidRPr="009321EF">
        <w:rPr>
          <w:rFonts w:ascii="Garamond" w:hAnsi="Garamond" w:cs="Times New Roman"/>
          <w:bCs/>
          <w:i/>
          <w:iCs/>
        </w:rPr>
        <w:t>eview</w:t>
      </w:r>
      <w:r w:rsidR="0098601C">
        <w:rPr>
          <w:rFonts w:ascii="Garamond" w:hAnsi="Garamond" w:cs="Times New Roman"/>
          <w:bCs/>
        </w:rPr>
        <w:t xml:space="preserve"> of </w:t>
      </w:r>
      <w:r w:rsidR="00573E0C">
        <w:rPr>
          <w:rFonts w:ascii="Garamond" w:hAnsi="Garamond" w:cs="Times New Roman"/>
          <w:bCs/>
        </w:rPr>
        <w:t xml:space="preserve">GNM and culpable homicide </w:t>
      </w:r>
      <w:r w:rsidR="00F54F8E">
        <w:rPr>
          <w:rFonts w:ascii="Garamond" w:hAnsi="Garamond" w:cs="Times New Roman"/>
          <w:bCs/>
        </w:rPr>
        <w:t xml:space="preserve">(commissioned by the GMC) </w:t>
      </w:r>
      <w:r w:rsidR="00573E0C">
        <w:rPr>
          <w:rFonts w:ascii="Garamond" w:hAnsi="Garamond" w:cs="Times New Roman"/>
          <w:bCs/>
        </w:rPr>
        <w:t>surveyed members of the public on issues relating to criminal conviction and public confidence.</w:t>
      </w:r>
      <w:r w:rsidR="00603346">
        <w:rPr>
          <w:rStyle w:val="FootnoteReference"/>
          <w:rFonts w:ascii="Garamond" w:hAnsi="Garamond" w:cs="Times New Roman"/>
          <w:bCs/>
        </w:rPr>
        <w:footnoteReference w:id="56"/>
      </w:r>
      <w:r w:rsidR="00573E0C">
        <w:rPr>
          <w:rFonts w:ascii="Garamond" w:hAnsi="Garamond" w:cs="Times New Roman"/>
          <w:bCs/>
        </w:rPr>
        <w:t xml:space="preserve"> </w:t>
      </w:r>
      <w:r w:rsidR="00853183">
        <w:rPr>
          <w:rFonts w:ascii="Garamond" w:hAnsi="Garamond" w:cs="Times New Roman"/>
          <w:bCs/>
        </w:rPr>
        <w:t xml:space="preserve">Specific </w:t>
      </w:r>
      <w:r w:rsidR="00A55C50">
        <w:rPr>
          <w:rFonts w:ascii="Garamond" w:hAnsi="Garamond" w:cs="Times New Roman"/>
          <w:bCs/>
        </w:rPr>
        <w:t>aspects</w:t>
      </w:r>
      <w:r w:rsidR="00853183">
        <w:rPr>
          <w:rFonts w:ascii="Garamond" w:hAnsi="Garamond" w:cs="Times New Roman"/>
          <w:bCs/>
        </w:rPr>
        <w:t xml:space="preserve"> of th</w:t>
      </w:r>
      <w:r w:rsidR="00F54F8E">
        <w:rPr>
          <w:rFonts w:ascii="Garamond" w:hAnsi="Garamond" w:cs="Times New Roman"/>
          <w:bCs/>
        </w:rPr>
        <w:t xml:space="preserve">e </w:t>
      </w:r>
      <w:r w:rsidR="00F54F8E" w:rsidRPr="009321EF">
        <w:rPr>
          <w:rFonts w:ascii="Garamond" w:hAnsi="Garamond" w:cs="Times New Roman"/>
          <w:bCs/>
          <w:i/>
          <w:iCs/>
        </w:rPr>
        <w:t>Hamilton Review</w:t>
      </w:r>
      <w:r w:rsidR="0083068A">
        <w:rPr>
          <w:rFonts w:ascii="Garamond" w:hAnsi="Garamond" w:cs="Times New Roman"/>
          <w:bCs/>
        </w:rPr>
        <w:t xml:space="preserve"> research appeared to suggest that public confidence </w:t>
      </w:r>
      <w:r w:rsidR="002258A7">
        <w:rPr>
          <w:rFonts w:ascii="Garamond" w:hAnsi="Garamond" w:cs="Times New Roman"/>
          <w:bCs/>
        </w:rPr>
        <w:t xml:space="preserve">in the profession </w:t>
      </w:r>
      <w:r w:rsidR="0083068A">
        <w:rPr>
          <w:rFonts w:ascii="Garamond" w:hAnsi="Garamond" w:cs="Times New Roman"/>
          <w:bCs/>
        </w:rPr>
        <w:t>was far more nuanced than the High Court judgment</w:t>
      </w:r>
      <w:r w:rsidR="00A67F77">
        <w:rPr>
          <w:rFonts w:ascii="Garamond" w:hAnsi="Garamond" w:cs="Times New Roman"/>
          <w:bCs/>
        </w:rPr>
        <w:t xml:space="preserve"> in the </w:t>
      </w:r>
      <w:proofErr w:type="spellStart"/>
      <w:r w:rsidR="00A67F77">
        <w:rPr>
          <w:rFonts w:ascii="Garamond" w:hAnsi="Garamond" w:cs="Times New Roman"/>
          <w:bCs/>
          <w:i/>
          <w:iCs/>
        </w:rPr>
        <w:t>Bawa-Garba</w:t>
      </w:r>
      <w:proofErr w:type="spellEnd"/>
      <w:r w:rsidR="00A67F77">
        <w:rPr>
          <w:rFonts w:ascii="Garamond" w:hAnsi="Garamond" w:cs="Times New Roman"/>
          <w:bCs/>
          <w:i/>
          <w:iCs/>
        </w:rPr>
        <w:t xml:space="preserve"> </w:t>
      </w:r>
      <w:r w:rsidR="00A67F77">
        <w:rPr>
          <w:rFonts w:ascii="Garamond" w:hAnsi="Garamond" w:cs="Times New Roman"/>
          <w:bCs/>
        </w:rPr>
        <w:t>case</w:t>
      </w:r>
      <w:r w:rsidR="0083068A">
        <w:rPr>
          <w:rFonts w:ascii="Garamond" w:hAnsi="Garamond" w:cs="Times New Roman"/>
          <w:bCs/>
        </w:rPr>
        <w:t xml:space="preserve"> </w:t>
      </w:r>
      <w:r w:rsidR="00C34FB1">
        <w:rPr>
          <w:rFonts w:ascii="Garamond" w:hAnsi="Garamond" w:cs="Times New Roman"/>
          <w:bCs/>
        </w:rPr>
        <w:t>had assumed</w:t>
      </w:r>
      <w:r w:rsidR="0083068A">
        <w:rPr>
          <w:rFonts w:ascii="Garamond" w:hAnsi="Garamond" w:cs="Times New Roman"/>
          <w:bCs/>
        </w:rPr>
        <w:t xml:space="preserve">. </w:t>
      </w:r>
      <w:r w:rsidR="004E2F6F">
        <w:rPr>
          <w:rFonts w:ascii="Garamond" w:hAnsi="Garamond" w:cs="Times New Roman"/>
          <w:bCs/>
        </w:rPr>
        <w:t>R</w:t>
      </w:r>
      <w:r w:rsidR="00853183">
        <w:rPr>
          <w:rFonts w:ascii="Garamond" w:hAnsi="Garamond" w:cs="Times New Roman"/>
          <w:bCs/>
        </w:rPr>
        <w:t xml:space="preserve">esearchers </w:t>
      </w:r>
      <w:r w:rsidR="0083068A">
        <w:rPr>
          <w:rFonts w:ascii="Garamond" w:hAnsi="Garamond" w:cs="Times New Roman"/>
          <w:bCs/>
        </w:rPr>
        <w:t>found that o</w:t>
      </w:r>
      <w:r w:rsidR="0083068A" w:rsidRPr="0083068A">
        <w:rPr>
          <w:rFonts w:ascii="Garamond" w:hAnsi="Garamond" w:cs="Times New Roman"/>
          <w:bCs/>
        </w:rPr>
        <w:t>nly 41</w:t>
      </w:r>
      <w:r w:rsidR="00DC0BB8">
        <w:rPr>
          <w:rFonts w:ascii="Garamond" w:hAnsi="Garamond" w:cs="Times New Roman"/>
          <w:bCs/>
        </w:rPr>
        <w:t xml:space="preserve"> per cent</w:t>
      </w:r>
      <w:r w:rsidR="0083068A" w:rsidRPr="0083068A">
        <w:rPr>
          <w:rFonts w:ascii="Garamond" w:hAnsi="Garamond" w:cs="Times New Roman"/>
          <w:bCs/>
        </w:rPr>
        <w:t xml:space="preserve"> of over 2,000 respondents would expect a doctor to be struck off after a GNM conviction which had resulted in a suspended sentence.</w:t>
      </w:r>
      <w:r w:rsidR="0083068A" w:rsidRPr="0083068A">
        <w:rPr>
          <w:rFonts w:ascii="Garamond" w:hAnsi="Garamond" w:cs="Times New Roman"/>
          <w:bCs/>
          <w:vertAlign w:val="superscript"/>
        </w:rPr>
        <w:footnoteReference w:id="57"/>
      </w:r>
      <w:r w:rsidR="0083068A">
        <w:rPr>
          <w:rFonts w:ascii="Garamond" w:hAnsi="Garamond" w:cs="Times New Roman"/>
          <w:bCs/>
        </w:rPr>
        <w:t xml:space="preserve"> This </w:t>
      </w:r>
      <w:r w:rsidR="00A67F77">
        <w:rPr>
          <w:rFonts w:ascii="Garamond" w:hAnsi="Garamond" w:cs="Times New Roman"/>
          <w:bCs/>
        </w:rPr>
        <w:t xml:space="preserve">finding suggests a number of possibilities, </w:t>
      </w:r>
      <w:r w:rsidR="00DC0BB8">
        <w:rPr>
          <w:rFonts w:ascii="Garamond" w:hAnsi="Garamond" w:cs="Times New Roman"/>
          <w:bCs/>
        </w:rPr>
        <w:t>and could</w:t>
      </w:r>
      <w:r w:rsidR="0086326E">
        <w:rPr>
          <w:rFonts w:ascii="Garamond" w:hAnsi="Garamond" w:cs="Times New Roman"/>
          <w:bCs/>
        </w:rPr>
        <w:t xml:space="preserve">, for example, </w:t>
      </w:r>
      <w:r w:rsidR="0083068A">
        <w:rPr>
          <w:rFonts w:ascii="Garamond" w:hAnsi="Garamond" w:cs="Times New Roman"/>
          <w:bCs/>
        </w:rPr>
        <w:t xml:space="preserve">be </w:t>
      </w:r>
      <w:r w:rsidR="00A67F77">
        <w:rPr>
          <w:rFonts w:ascii="Garamond" w:hAnsi="Garamond" w:cs="Times New Roman"/>
          <w:bCs/>
        </w:rPr>
        <w:t xml:space="preserve">construed </w:t>
      </w:r>
      <w:r w:rsidR="0083068A">
        <w:rPr>
          <w:rFonts w:ascii="Garamond" w:hAnsi="Garamond" w:cs="Times New Roman"/>
          <w:bCs/>
        </w:rPr>
        <w:t xml:space="preserve">as </w:t>
      </w:r>
      <w:r w:rsidR="00853183">
        <w:rPr>
          <w:rFonts w:ascii="Garamond" w:hAnsi="Garamond" w:cs="Times New Roman"/>
          <w:bCs/>
        </w:rPr>
        <w:t xml:space="preserve">a defence of the original </w:t>
      </w:r>
      <w:r w:rsidR="00C34FB1">
        <w:rPr>
          <w:rFonts w:ascii="Garamond" w:hAnsi="Garamond" w:cs="Times New Roman"/>
          <w:bCs/>
        </w:rPr>
        <w:t>MPTS decision and its expertise in</w:t>
      </w:r>
      <w:r w:rsidR="0083068A">
        <w:rPr>
          <w:rFonts w:ascii="Garamond" w:hAnsi="Garamond" w:cs="Times New Roman"/>
          <w:bCs/>
        </w:rPr>
        <w:t xml:space="preserve"> as</w:t>
      </w:r>
      <w:r w:rsidR="00C34FB1">
        <w:rPr>
          <w:rFonts w:ascii="Garamond" w:hAnsi="Garamond" w:cs="Times New Roman"/>
          <w:bCs/>
        </w:rPr>
        <w:t>sessing</w:t>
      </w:r>
      <w:r w:rsidR="00853183">
        <w:rPr>
          <w:rFonts w:ascii="Garamond" w:hAnsi="Garamond" w:cs="Times New Roman"/>
          <w:bCs/>
        </w:rPr>
        <w:t xml:space="preserve"> public confidence issues</w:t>
      </w:r>
      <w:r w:rsidR="0086326E">
        <w:rPr>
          <w:rFonts w:ascii="Garamond" w:hAnsi="Garamond" w:cs="Times New Roman"/>
          <w:bCs/>
        </w:rPr>
        <w:t xml:space="preserve">. </w:t>
      </w:r>
      <w:r w:rsidR="00102F76" w:rsidRPr="00102F76">
        <w:rPr>
          <w:rFonts w:ascii="Garamond" w:hAnsi="Garamond" w:cs="Times New Roman"/>
          <w:bCs/>
        </w:rPr>
        <w:t>Once again</w:t>
      </w:r>
      <w:r w:rsidR="002B7684">
        <w:rPr>
          <w:rFonts w:ascii="Garamond" w:hAnsi="Garamond" w:cs="Times New Roman"/>
          <w:bCs/>
        </w:rPr>
        <w:t>, however</w:t>
      </w:r>
      <w:r w:rsidR="00102F76" w:rsidRPr="00102F76">
        <w:rPr>
          <w:rFonts w:ascii="Garamond" w:hAnsi="Garamond" w:cs="Times New Roman"/>
          <w:bCs/>
        </w:rPr>
        <w:t xml:space="preserve">, the </w:t>
      </w:r>
      <w:r w:rsidR="00A55C50">
        <w:rPr>
          <w:rFonts w:ascii="Garamond" w:hAnsi="Garamond" w:cs="Times New Roman"/>
          <w:bCs/>
        </w:rPr>
        <w:t xml:space="preserve">broader </w:t>
      </w:r>
      <w:r w:rsidR="00102F76" w:rsidRPr="00102F76">
        <w:rPr>
          <w:rFonts w:ascii="Garamond" w:hAnsi="Garamond" w:cs="Times New Roman"/>
          <w:bCs/>
        </w:rPr>
        <w:t>implication</w:t>
      </w:r>
      <w:r w:rsidR="00A55C50">
        <w:rPr>
          <w:rFonts w:ascii="Garamond" w:hAnsi="Garamond" w:cs="Times New Roman"/>
          <w:bCs/>
        </w:rPr>
        <w:t>s</w:t>
      </w:r>
      <w:r w:rsidR="00102F76" w:rsidRPr="00102F76">
        <w:rPr>
          <w:rFonts w:ascii="Garamond" w:hAnsi="Garamond" w:cs="Times New Roman"/>
          <w:bCs/>
        </w:rPr>
        <w:t xml:space="preserve"> of conducting this research, and </w:t>
      </w:r>
      <w:r w:rsidR="00A55C50">
        <w:rPr>
          <w:rFonts w:ascii="Garamond" w:hAnsi="Garamond" w:cs="Times New Roman"/>
          <w:bCs/>
        </w:rPr>
        <w:t xml:space="preserve">of </w:t>
      </w:r>
      <w:r w:rsidR="00102F76" w:rsidRPr="00102F76">
        <w:rPr>
          <w:rFonts w:ascii="Garamond" w:hAnsi="Garamond" w:cs="Times New Roman"/>
          <w:bCs/>
        </w:rPr>
        <w:t xml:space="preserve">its findings, </w:t>
      </w:r>
      <w:r w:rsidR="00A55C50">
        <w:rPr>
          <w:rFonts w:ascii="Garamond" w:hAnsi="Garamond" w:cs="Times New Roman"/>
          <w:bCs/>
        </w:rPr>
        <w:t>are</w:t>
      </w:r>
      <w:r w:rsidR="00102F76" w:rsidRPr="00102F76">
        <w:rPr>
          <w:rFonts w:ascii="Garamond" w:hAnsi="Garamond" w:cs="Times New Roman"/>
          <w:bCs/>
        </w:rPr>
        <w:t xml:space="preserve"> that instinctual judgements are no longer satisfactory, and</w:t>
      </w:r>
      <w:r w:rsidR="002B7684">
        <w:rPr>
          <w:rFonts w:ascii="Garamond" w:hAnsi="Garamond" w:cs="Times New Roman"/>
          <w:bCs/>
        </w:rPr>
        <w:t xml:space="preserve"> that</w:t>
      </w:r>
      <w:r w:rsidR="00102F76" w:rsidRPr="00102F76">
        <w:rPr>
          <w:rFonts w:ascii="Garamond" w:hAnsi="Garamond" w:cs="Times New Roman"/>
          <w:bCs/>
        </w:rPr>
        <w:t xml:space="preserve"> the deployment of public confidence justifications needs further contextualisation, for example, a grounding in research on public opinion</w:t>
      </w:r>
      <w:r w:rsidR="00A55C50">
        <w:rPr>
          <w:rFonts w:ascii="Garamond" w:hAnsi="Garamond" w:cs="Times New Roman"/>
          <w:bCs/>
        </w:rPr>
        <w:t xml:space="preserve"> and patient perspectives</w:t>
      </w:r>
      <w:r w:rsidR="00760EF7" w:rsidRPr="00760EF7">
        <w:rPr>
          <w:rFonts w:ascii="Garamond" w:hAnsi="Garamond" w:cs="Times New Roman"/>
          <w:bCs/>
        </w:rPr>
        <w:t>.</w:t>
      </w:r>
      <w:r w:rsidR="00760EF7" w:rsidRPr="00760EF7">
        <w:rPr>
          <w:rFonts w:ascii="Garamond" w:hAnsi="Garamond" w:cs="Times New Roman"/>
          <w:bCs/>
          <w:vertAlign w:val="superscript"/>
        </w:rPr>
        <w:footnoteReference w:id="58"/>
      </w:r>
      <w:r w:rsidR="00760EF7" w:rsidRPr="00760EF7">
        <w:rPr>
          <w:rFonts w:ascii="Garamond" w:hAnsi="Garamond" w:cs="Times New Roman"/>
          <w:bCs/>
        </w:rPr>
        <w:t xml:space="preserve"> </w:t>
      </w:r>
      <w:r w:rsidR="00DC6F5A">
        <w:rPr>
          <w:rFonts w:ascii="Garamond" w:hAnsi="Garamond" w:cs="Times New Roman"/>
          <w:bCs/>
        </w:rPr>
        <w:t xml:space="preserve"> </w:t>
      </w:r>
    </w:p>
    <w:p w14:paraId="21D65626" w14:textId="77777777" w:rsidR="00760EF7" w:rsidRDefault="00760EF7" w:rsidP="0086326E">
      <w:pPr>
        <w:pStyle w:val="Normal1"/>
        <w:spacing w:line="480" w:lineRule="auto"/>
        <w:jc w:val="both"/>
        <w:rPr>
          <w:rFonts w:ascii="Garamond" w:hAnsi="Garamond" w:cs="Times New Roman"/>
          <w:bCs/>
        </w:rPr>
      </w:pPr>
    </w:p>
    <w:p w14:paraId="68B751F8" w14:textId="5BA516FB" w:rsidR="006D2B82" w:rsidRPr="009321EF" w:rsidRDefault="00557614" w:rsidP="002E0C51">
      <w:pPr>
        <w:pStyle w:val="Normal1"/>
        <w:spacing w:line="480" w:lineRule="auto"/>
        <w:jc w:val="both"/>
        <w:rPr>
          <w:rFonts w:ascii="Garamond" w:hAnsi="Garamond" w:cs="Times New Roman"/>
          <w:b/>
          <w:bCs/>
        </w:rPr>
      </w:pPr>
      <w:r>
        <w:rPr>
          <w:rFonts w:ascii="Garamond" w:hAnsi="Garamond" w:cs="Times New Roman"/>
          <w:b/>
          <w:bCs/>
        </w:rPr>
        <w:t>Public confidence beyond the realms of clinical competence</w:t>
      </w:r>
    </w:p>
    <w:p w14:paraId="00000017" w14:textId="77777777" w:rsidR="0022642D" w:rsidRPr="009321EF" w:rsidRDefault="0022642D" w:rsidP="00134155">
      <w:pPr>
        <w:pStyle w:val="Normal1"/>
        <w:spacing w:line="480" w:lineRule="auto"/>
        <w:jc w:val="both"/>
        <w:rPr>
          <w:rFonts w:ascii="Garamond" w:hAnsi="Garamond" w:cs="Times New Roman"/>
        </w:rPr>
      </w:pPr>
    </w:p>
    <w:p w14:paraId="2D7AF924" w14:textId="2E23EC3C" w:rsidR="00D33DA4" w:rsidRDefault="00663F8E" w:rsidP="009321EF">
      <w:pPr>
        <w:pStyle w:val="Normal1"/>
        <w:spacing w:line="480" w:lineRule="auto"/>
        <w:jc w:val="both"/>
        <w:rPr>
          <w:rFonts w:ascii="Garamond" w:hAnsi="Garamond" w:cs="Times New Roman"/>
        </w:rPr>
      </w:pPr>
      <w:r>
        <w:rPr>
          <w:rFonts w:ascii="Garamond" w:hAnsi="Garamond" w:cs="Times New Roman"/>
        </w:rPr>
        <w:t>A recalibration of the approach to assessing public confidence issues</w:t>
      </w:r>
      <w:r w:rsidR="00B9269A">
        <w:rPr>
          <w:rFonts w:ascii="Garamond" w:hAnsi="Garamond" w:cs="Times New Roman"/>
        </w:rPr>
        <w:t>,</w:t>
      </w:r>
      <w:r>
        <w:rPr>
          <w:rFonts w:ascii="Garamond" w:hAnsi="Garamond" w:cs="Times New Roman"/>
        </w:rPr>
        <w:t xml:space="preserve"> </w:t>
      </w:r>
      <w:r w:rsidR="00B9269A">
        <w:rPr>
          <w:rFonts w:ascii="Garamond" w:hAnsi="Garamond" w:cs="Times New Roman"/>
        </w:rPr>
        <w:t xml:space="preserve">with more emphasis on research into public confidence, </w:t>
      </w:r>
      <w:r w:rsidR="00F171FF">
        <w:rPr>
          <w:rFonts w:ascii="Garamond" w:hAnsi="Garamond" w:cs="Times New Roman"/>
        </w:rPr>
        <w:t>could</w:t>
      </w:r>
      <w:r>
        <w:rPr>
          <w:rFonts w:ascii="Garamond" w:hAnsi="Garamond" w:cs="Times New Roman"/>
        </w:rPr>
        <w:t xml:space="preserve"> lead to different outcomes and may in time address long</w:t>
      </w:r>
      <w:r w:rsidR="00B9269A">
        <w:rPr>
          <w:rFonts w:ascii="Garamond" w:hAnsi="Garamond" w:cs="Times New Roman"/>
        </w:rPr>
        <w:t>-</w:t>
      </w:r>
      <w:r>
        <w:rPr>
          <w:rFonts w:ascii="Garamond" w:hAnsi="Garamond" w:cs="Times New Roman"/>
        </w:rPr>
        <w:t xml:space="preserve">held concerns that regulatory action </w:t>
      </w:r>
      <w:r w:rsidR="003C6C35">
        <w:rPr>
          <w:rFonts w:ascii="Garamond" w:hAnsi="Garamond" w:cs="Times New Roman"/>
        </w:rPr>
        <w:t>too often</w:t>
      </w:r>
      <w:r>
        <w:rPr>
          <w:rFonts w:ascii="Garamond" w:hAnsi="Garamond" w:cs="Times New Roman"/>
        </w:rPr>
        <w:t xml:space="preserve"> extends into </w:t>
      </w:r>
      <w:r w:rsidR="003C6C35">
        <w:rPr>
          <w:rFonts w:ascii="Garamond" w:hAnsi="Garamond" w:cs="Times New Roman"/>
        </w:rPr>
        <w:t>conduct beyond</w:t>
      </w:r>
      <w:r>
        <w:rPr>
          <w:rFonts w:ascii="Garamond" w:hAnsi="Garamond" w:cs="Times New Roman"/>
        </w:rPr>
        <w:t xml:space="preserve"> the clinical sphere.</w:t>
      </w:r>
      <w:r w:rsidR="00CE6BCF">
        <w:rPr>
          <w:rFonts w:ascii="Garamond" w:hAnsi="Garamond" w:cs="Times New Roman"/>
        </w:rPr>
        <w:t xml:space="preserve"> </w:t>
      </w:r>
      <w:r w:rsidR="00CE6BCF" w:rsidRPr="00CE6BCF">
        <w:rPr>
          <w:rFonts w:ascii="Garamond" w:hAnsi="Garamond" w:cs="Times New Roman"/>
        </w:rPr>
        <w:t>Devaney and Holm, for example, have argued that professional regulation is still based on ‘the profession’s values’ and not to any ‘appreciable extent on what the public upon reflection might think about doctors’ private actions in their private lives.‘</w:t>
      </w:r>
      <w:r w:rsidR="00CE6BCF" w:rsidRPr="00CE6BCF">
        <w:rPr>
          <w:rFonts w:ascii="Garamond" w:hAnsi="Garamond" w:cs="Times New Roman"/>
          <w:vertAlign w:val="superscript"/>
        </w:rPr>
        <w:footnoteReference w:id="59"/>
      </w:r>
      <w:r w:rsidR="000F6A0C" w:rsidRPr="000F6A0C">
        <w:rPr>
          <w:rFonts w:asciiTheme="minorHAnsi" w:eastAsiaTheme="minorHAnsi" w:hAnsiTheme="minorHAnsi" w:cstheme="minorHAnsi"/>
          <w:sz w:val="22"/>
          <w:szCs w:val="22"/>
        </w:rPr>
        <w:t xml:space="preserve"> </w:t>
      </w:r>
      <w:r w:rsidR="000F6A0C" w:rsidRPr="000F6A0C">
        <w:rPr>
          <w:rFonts w:ascii="Garamond" w:hAnsi="Garamond" w:cs="Times New Roman"/>
        </w:rPr>
        <w:t xml:space="preserve">Woolley, writing about </w:t>
      </w:r>
      <w:r w:rsidR="00857514">
        <w:rPr>
          <w:rFonts w:ascii="Garamond" w:hAnsi="Garamond" w:cs="Times New Roman"/>
        </w:rPr>
        <w:t xml:space="preserve">disciplining </w:t>
      </w:r>
      <w:r w:rsidR="000F6A0C" w:rsidRPr="000F6A0C">
        <w:rPr>
          <w:rFonts w:ascii="Garamond" w:hAnsi="Garamond" w:cs="Times New Roman"/>
        </w:rPr>
        <w:t xml:space="preserve">lawyers in Canada, </w:t>
      </w:r>
      <w:r w:rsidR="002258A7">
        <w:rPr>
          <w:rFonts w:ascii="Garamond" w:hAnsi="Garamond" w:cs="Times New Roman"/>
        </w:rPr>
        <w:t xml:space="preserve">also </w:t>
      </w:r>
      <w:r w:rsidR="000F6A0C" w:rsidRPr="000F6A0C">
        <w:rPr>
          <w:rFonts w:ascii="Garamond" w:hAnsi="Garamond" w:cs="Times New Roman"/>
        </w:rPr>
        <w:t xml:space="preserve">questions the regulatory legitimacy of using professional disciplinary sanctions against conduct </w:t>
      </w:r>
      <w:proofErr w:type="spellStart"/>
      <w:r w:rsidR="000F6A0C" w:rsidRPr="000F6A0C">
        <w:rPr>
          <w:rFonts w:ascii="Garamond" w:hAnsi="Garamond" w:cs="Times New Roman"/>
        </w:rPr>
        <w:t>outwith</w:t>
      </w:r>
      <w:proofErr w:type="spellEnd"/>
      <w:r w:rsidR="000F6A0C" w:rsidRPr="000F6A0C">
        <w:rPr>
          <w:rFonts w:ascii="Garamond" w:hAnsi="Garamond" w:cs="Times New Roman"/>
        </w:rPr>
        <w:t xml:space="preserve"> professional practice. Her research uses behavioural psychology to suggest that</w:t>
      </w:r>
      <w:r w:rsidR="00B9269A">
        <w:rPr>
          <w:rFonts w:ascii="Garamond" w:hAnsi="Garamond" w:cs="Times New Roman"/>
        </w:rPr>
        <w:t>, contrary to regulatory assumptions,</w:t>
      </w:r>
      <w:r w:rsidR="000F6A0C" w:rsidRPr="000F6A0C">
        <w:rPr>
          <w:rFonts w:ascii="Garamond" w:hAnsi="Garamond" w:cs="Times New Roman"/>
        </w:rPr>
        <w:t xml:space="preserve"> dishonesty in a personal context provides no evidence that a solicitor is not fit to practise</w:t>
      </w:r>
      <w:r w:rsidR="002B7684">
        <w:rPr>
          <w:rFonts w:ascii="Garamond" w:hAnsi="Garamond" w:cs="Times New Roman"/>
        </w:rPr>
        <w:t>,</w:t>
      </w:r>
      <w:r w:rsidR="000F6A0C" w:rsidRPr="000F6A0C">
        <w:rPr>
          <w:rFonts w:ascii="Garamond" w:hAnsi="Garamond" w:cs="Times New Roman"/>
        </w:rPr>
        <w:t xml:space="preserve"> or that such conduct may spill over into the conduct of their professional affairs.</w:t>
      </w:r>
      <w:r w:rsidR="000F6A0C" w:rsidRPr="000F6A0C">
        <w:rPr>
          <w:rFonts w:ascii="Garamond" w:hAnsi="Garamond" w:cs="Times New Roman"/>
          <w:vertAlign w:val="superscript"/>
        </w:rPr>
        <w:footnoteReference w:id="60"/>
      </w:r>
      <w:r w:rsidR="000F5DDF">
        <w:rPr>
          <w:rFonts w:ascii="Garamond" w:hAnsi="Garamond" w:cs="Times New Roman"/>
        </w:rPr>
        <w:t xml:space="preserve"> </w:t>
      </w:r>
      <w:r w:rsidR="00FB231B">
        <w:rPr>
          <w:rFonts w:ascii="Garamond" w:hAnsi="Garamond" w:cs="Times New Roman"/>
        </w:rPr>
        <w:t>It seems that w</w:t>
      </w:r>
      <w:r w:rsidR="000F5DDF">
        <w:rPr>
          <w:rFonts w:ascii="Garamond" w:hAnsi="Garamond" w:cs="Times New Roman"/>
        </w:rPr>
        <w:t>e know little about whether dishonesty in private affairs leaches into professional life, and far less about whether the ‘informed and reasonable member of the public’ maintains such a distinction.</w:t>
      </w:r>
    </w:p>
    <w:p w14:paraId="150C38A9" w14:textId="77777777" w:rsidR="000F6A0C" w:rsidRPr="000F6A0C" w:rsidRDefault="000F6A0C" w:rsidP="000F6A0C">
      <w:pPr>
        <w:pStyle w:val="Normal1"/>
        <w:rPr>
          <w:rFonts w:ascii="Garamond" w:hAnsi="Garamond" w:cs="Times New Roman"/>
          <w:b/>
        </w:rPr>
      </w:pPr>
    </w:p>
    <w:p w14:paraId="67A003A9" w14:textId="332A949C" w:rsidR="00B234BC" w:rsidRDefault="00DF2343" w:rsidP="00556B2C">
      <w:pPr>
        <w:pStyle w:val="Normal1"/>
        <w:spacing w:line="480" w:lineRule="auto"/>
        <w:jc w:val="both"/>
        <w:rPr>
          <w:rFonts w:ascii="Garamond" w:hAnsi="Garamond" w:cs="Times New Roman"/>
        </w:rPr>
      </w:pPr>
      <w:r w:rsidRPr="00DF2343">
        <w:rPr>
          <w:rFonts w:ascii="Garamond" w:hAnsi="Garamond" w:cs="Times New Roman"/>
        </w:rPr>
        <w:t>A full examination of when non-clinical conduct might</w:t>
      </w:r>
      <w:r w:rsidR="003E3F27">
        <w:rPr>
          <w:rFonts w:ascii="Garamond" w:hAnsi="Garamond" w:cs="Times New Roman"/>
        </w:rPr>
        <w:t xml:space="preserve"> or should</w:t>
      </w:r>
      <w:r w:rsidRPr="00DF2343">
        <w:rPr>
          <w:rFonts w:ascii="Garamond" w:hAnsi="Garamond" w:cs="Times New Roman"/>
        </w:rPr>
        <w:t xml:space="preserve"> be relevant to fitness to practise is outside the scope of this commentary</w:t>
      </w:r>
      <w:r w:rsidR="002258A7">
        <w:rPr>
          <w:rFonts w:ascii="Garamond" w:hAnsi="Garamond" w:cs="Times New Roman"/>
        </w:rPr>
        <w:t>,</w:t>
      </w:r>
      <w:r w:rsidRPr="00DF2343">
        <w:rPr>
          <w:rFonts w:ascii="Garamond" w:hAnsi="Garamond" w:cs="Times New Roman"/>
        </w:rPr>
        <w:t xml:space="preserve"> bu</w:t>
      </w:r>
      <w:r w:rsidR="002258A7">
        <w:rPr>
          <w:rFonts w:ascii="Garamond" w:hAnsi="Garamond" w:cs="Times New Roman"/>
        </w:rPr>
        <w:t xml:space="preserve">t </w:t>
      </w:r>
      <w:r w:rsidR="00317E79">
        <w:rPr>
          <w:rFonts w:ascii="Garamond" w:hAnsi="Garamond" w:cs="Times New Roman"/>
        </w:rPr>
        <w:t>it</w:t>
      </w:r>
      <w:r w:rsidR="00B4211D" w:rsidRPr="009321EF">
        <w:rPr>
          <w:rFonts w:ascii="Garamond" w:hAnsi="Garamond" w:cs="Times New Roman"/>
        </w:rPr>
        <w:t xml:space="preserve"> is clear from the case law  that ‘maintaining public confidence’ as a rationale for </w:t>
      </w:r>
      <w:r w:rsidR="00102F76">
        <w:rPr>
          <w:rFonts w:ascii="Garamond" w:hAnsi="Garamond" w:cs="Times New Roman"/>
        </w:rPr>
        <w:t xml:space="preserve">imposing professional </w:t>
      </w:r>
      <w:r w:rsidR="00B4211D" w:rsidRPr="009321EF">
        <w:rPr>
          <w:rFonts w:ascii="Garamond" w:hAnsi="Garamond" w:cs="Times New Roman"/>
        </w:rPr>
        <w:t xml:space="preserve">sanctions looms large in cases involving </w:t>
      </w:r>
      <w:r w:rsidR="00B234BC">
        <w:rPr>
          <w:rFonts w:ascii="Garamond" w:hAnsi="Garamond" w:cs="Times New Roman"/>
        </w:rPr>
        <w:t xml:space="preserve">either proven </w:t>
      </w:r>
      <w:r w:rsidR="001E730F">
        <w:rPr>
          <w:rFonts w:ascii="Garamond" w:hAnsi="Garamond" w:cs="Times New Roman"/>
        </w:rPr>
        <w:t xml:space="preserve">dishonesty or </w:t>
      </w:r>
      <w:r w:rsidR="00B4211D" w:rsidRPr="009321EF">
        <w:rPr>
          <w:rFonts w:ascii="Garamond" w:hAnsi="Garamond" w:cs="Times New Roman"/>
        </w:rPr>
        <w:t>sexual misconduct.</w:t>
      </w:r>
      <w:r w:rsidR="00E051CC">
        <w:rPr>
          <w:rStyle w:val="FootnoteReference"/>
          <w:rFonts w:ascii="Garamond" w:hAnsi="Garamond" w:cs="Times New Roman"/>
        </w:rPr>
        <w:footnoteReference w:id="61"/>
      </w:r>
      <w:r w:rsidR="001E730F">
        <w:rPr>
          <w:rFonts w:ascii="Garamond" w:hAnsi="Garamond" w:cs="Times New Roman"/>
        </w:rPr>
        <w:t xml:space="preserve"> </w:t>
      </w:r>
      <w:r w:rsidR="00C2389D">
        <w:rPr>
          <w:rFonts w:ascii="Garamond" w:hAnsi="Garamond" w:cs="Times New Roman"/>
        </w:rPr>
        <w:t xml:space="preserve">Public confidence in the profession is regarded as at risk if the regulator does not </w:t>
      </w:r>
      <w:r w:rsidR="003E3F27">
        <w:rPr>
          <w:rFonts w:ascii="Garamond" w:hAnsi="Garamond" w:cs="Times New Roman"/>
        </w:rPr>
        <w:t>‘</w:t>
      </w:r>
      <w:r w:rsidR="001E730F">
        <w:rPr>
          <w:rFonts w:ascii="Garamond" w:hAnsi="Garamond" w:cs="Times New Roman"/>
        </w:rPr>
        <w:t>mark the seriousness</w:t>
      </w:r>
      <w:r w:rsidR="003E3F27">
        <w:rPr>
          <w:rFonts w:ascii="Garamond" w:hAnsi="Garamond" w:cs="Times New Roman"/>
        </w:rPr>
        <w:t>’</w:t>
      </w:r>
      <w:r w:rsidR="001E730F">
        <w:rPr>
          <w:rFonts w:ascii="Garamond" w:hAnsi="Garamond" w:cs="Times New Roman"/>
        </w:rPr>
        <w:t xml:space="preserve"> of th</w:t>
      </w:r>
      <w:r w:rsidR="00C2389D">
        <w:rPr>
          <w:rFonts w:ascii="Garamond" w:hAnsi="Garamond" w:cs="Times New Roman"/>
        </w:rPr>
        <w:t>ese types of</w:t>
      </w:r>
      <w:r w:rsidR="001E730F">
        <w:rPr>
          <w:rFonts w:ascii="Garamond" w:hAnsi="Garamond" w:cs="Times New Roman"/>
        </w:rPr>
        <w:t xml:space="preserve"> conduct</w:t>
      </w:r>
      <w:r w:rsidR="00556B2C">
        <w:rPr>
          <w:rFonts w:ascii="Garamond" w:hAnsi="Garamond" w:cs="Times New Roman"/>
        </w:rPr>
        <w:t xml:space="preserve"> by imposing a severe sanction</w:t>
      </w:r>
      <w:r w:rsidR="001E730F">
        <w:rPr>
          <w:rFonts w:ascii="Garamond" w:hAnsi="Garamond" w:cs="Times New Roman"/>
        </w:rPr>
        <w:t>.</w:t>
      </w:r>
      <w:r w:rsidR="001E730F">
        <w:rPr>
          <w:rStyle w:val="FootnoteReference"/>
          <w:rFonts w:ascii="Garamond" w:hAnsi="Garamond" w:cs="Times New Roman"/>
        </w:rPr>
        <w:footnoteReference w:id="62"/>
      </w:r>
      <w:r w:rsidR="00B4211D" w:rsidRPr="009321EF">
        <w:rPr>
          <w:rFonts w:ascii="Garamond" w:hAnsi="Garamond" w:cs="Times New Roman"/>
        </w:rPr>
        <w:t xml:space="preserve"> </w:t>
      </w:r>
      <w:r w:rsidR="007C26B9">
        <w:rPr>
          <w:rFonts w:ascii="Garamond" w:hAnsi="Garamond" w:cs="Times New Roman"/>
        </w:rPr>
        <w:t>Accordingly, i</w:t>
      </w:r>
      <w:r w:rsidR="00556B2C" w:rsidRPr="00556B2C">
        <w:rPr>
          <w:rFonts w:ascii="Garamond" w:hAnsi="Garamond" w:cs="Times New Roman"/>
        </w:rPr>
        <w:t>n cases of</w:t>
      </w:r>
      <w:r w:rsidR="00C91F4A">
        <w:rPr>
          <w:rFonts w:ascii="Garamond" w:hAnsi="Garamond" w:cs="Times New Roman"/>
        </w:rPr>
        <w:t xml:space="preserve"> dishonesty or</w:t>
      </w:r>
      <w:r w:rsidR="00556B2C" w:rsidRPr="00556B2C">
        <w:rPr>
          <w:rFonts w:ascii="Garamond" w:hAnsi="Garamond" w:cs="Times New Roman"/>
        </w:rPr>
        <w:t xml:space="preserve"> sexual misconduct, MPT</w:t>
      </w:r>
      <w:r w:rsidR="00C91F4A">
        <w:rPr>
          <w:rFonts w:ascii="Garamond" w:hAnsi="Garamond" w:cs="Times New Roman"/>
        </w:rPr>
        <w:t>S</w:t>
      </w:r>
      <w:r w:rsidR="00556B2C" w:rsidRPr="00556B2C">
        <w:rPr>
          <w:rFonts w:ascii="Garamond" w:hAnsi="Garamond" w:cs="Times New Roman"/>
        </w:rPr>
        <w:t xml:space="preserve"> and judicial rhetoric suggest a virtually ‘zero tolerance’ approach on public confidence grounds. </w:t>
      </w:r>
      <w:r w:rsidR="007C26B9">
        <w:rPr>
          <w:rFonts w:ascii="Garamond" w:hAnsi="Garamond" w:cs="Times New Roman"/>
        </w:rPr>
        <w:t>Thus, in</w:t>
      </w:r>
      <w:r w:rsidR="00556B2C" w:rsidRPr="00556B2C">
        <w:rPr>
          <w:rFonts w:ascii="Garamond" w:hAnsi="Garamond" w:cs="Times New Roman"/>
        </w:rPr>
        <w:t xml:space="preserve"> </w:t>
      </w:r>
      <w:r w:rsidR="00556B2C" w:rsidRPr="00556B2C">
        <w:rPr>
          <w:rFonts w:ascii="Garamond" w:hAnsi="Garamond" w:cs="Times New Roman"/>
          <w:i/>
          <w:iCs/>
        </w:rPr>
        <w:t xml:space="preserve">GMC v </w:t>
      </w:r>
      <w:r w:rsidR="00556B2C" w:rsidRPr="00556B2C">
        <w:rPr>
          <w:rFonts w:ascii="Garamond" w:hAnsi="Garamond" w:cs="Times New Roman"/>
          <w:i/>
          <w:iCs/>
        </w:rPr>
        <w:lastRenderedPageBreak/>
        <w:t xml:space="preserve">Chandra </w:t>
      </w:r>
      <w:r w:rsidR="00556B2C" w:rsidRPr="00556B2C">
        <w:rPr>
          <w:rFonts w:ascii="Garamond" w:hAnsi="Garamond" w:cs="Times New Roman"/>
        </w:rPr>
        <w:t xml:space="preserve">Lady Justice King </w:t>
      </w:r>
      <w:r w:rsidR="00556B2C">
        <w:rPr>
          <w:rFonts w:ascii="Garamond" w:hAnsi="Garamond" w:cs="Times New Roman"/>
        </w:rPr>
        <w:t xml:space="preserve">recently </w:t>
      </w:r>
      <w:r w:rsidR="00556B2C" w:rsidRPr="00556B2C">
        <w:rPr>
          <w:rFonts w:ascii="Garamond" w:hAnsi="Garamond" w:cs="Times New Roman"/>
        </w:rPr>
        <w:t>observed that there was little more fundamental to the heart of the doctor’s role as the patient’s entitlement to be entirely confident of their doctor’s sexual probity</w:t>
      </w:r>
      <w:r w:rsidR="00FB231B">
        <w:rPr>
          <w:rFonts w:ascii="Garamond" w:hAnsi="Garamond" w:cs="Times New Roman"/>
        </w:rPr>
        <w:t>,</w:t>
      </w:r>
      <w:r w:rsidR="00556B2C" w:rsidRPr="00556B2C">
        <w:rPr>
          <w:rFonts w:ascii="Garamond" w:hAnsi="Garamond" w:cs="Times New Roman"/>
          <w:vertAlign w:val="superscript"/>
        </w:rPr>
        <w:footnoteReference w:id="63"/>
      </w:r>
      <w:r w:rsidR="00556B2C">
        <w:rPr>
          <w:rFonts w:ascii="Garamond" w:hAnsi="Garamond" w:cs="Times New Roman"/>
        </w:rPr>
        <w:t xml:space="preserve"> and in </w:t>
      </w:r>
      <w:r w:rsidR="00556B2C">
        <w:rPr>
          <w:rFonts w:ascii="Garamond" w:hAnsi="Garamond" w:cs="Times New Roman"/>
          <w:i/>
          <w:iCs/>
        </w:rPr>
        <w:t xml:space="preserve">Singh v GMC </w:t>
      </w:r>
      <w:r w:rsidR="00556B2C">
        <w:rPr>
          <w:rFonts w:ascii="Garamond" w:hAnsi="Garamond" w:cs="Times New Roman"/>
        </w:rPr>
        <w:t>the court regarded the GMC as entitled to take the view that ‘there is no room for dishonest doctors.’</w:t>
      </w:r>
      <w:r w:rsidR="00556B2C">
        <w:rPr>
          <w:rStyle w:val="FootnoteReference"/>
          <w:rFonts w:ascii="Garamond" w:hAnsi="Garamond" w:cs="Times New Roman"/>
        </w:rPr>
        <w:footnoteReference w:id="64"/>
      </w:r>
      <w:r w:rsidR="00556B2C">
        <w:rPr>
          <w:rFonts w:ascii="Garamond" w:hAnsi="Garamond" w:cs="Times New Roman"/>
        </w:rPr>
        <w:t xml:space="preserve"> </w:t>
      </w:r>
    </w:p>
    <w:p w14:paraId="6008319F" w14:textId="77777777" w:rsidR="00B234BC" w:rsidRDefault="00B234BC" w:rsidP="00556B2C">
      <w:pPr>
        <w:pStyle w:val="Normal1"/>
        <w:spacing w:line="480" w:lineRule="auto"/>
        <w:jc w:val="both"/>
        <w:rPr>
          <w:rFonts w:ascii="Garamond" w:hAnsi="Garamond" w:cs="Times New Roman"/>
        </w:rPr>
      </w:pPr>
    </w:p>
    <w:p w14:paraId="22F98B10" w14:textId="73408852" w:rsidR="00B234BC" w:rsidRDefault="001B358C" w:rsidP="002E0C51">
      <w:pPr>
        <w:pStyle w:val="Normal1"/>
        <w:spacing w:line="480" w:lineRule="auto"/>
        <w:jc w:val="both"/>
        <w:rPr>
          <w:rFonts w:ascii="Garamond" w:hAnsi="Garamond" w:cs="Times New Roman"/>
          <w:highlight w:val="white"/>
        </w:rPr>
      </w:pPr>
      <w:r>
        <w:rPr>
          <w:rFonts w:ascii="Garamond" w:hAnsi="Garamond" w:cs="Times New Roman"/>
        </w:rPr>
        <w:t xml:space="preserve">It is </w:t>
      </w:r>
      <w:r w:rsidR="007C26B9">
        <w:rPr>
          <w:rFonts w:ascii="Garamond" w:hAnsi="Garamond" w:cs="Times New Roman"/>
        </w:rPr>
        <w:t xml:space="preserve">also </w:t>
      </w:r>
      <w:r>
        <w:rPr>
          <w:rFonts w:ascii="Garamond" w:hAnsi="Garamond" w:cs="Times New Roman"/>
        </w:rPr>
        <w:t xml:space="preserve">precisely in these cases </w:t>
      </w:r>
      <w:r w:rsidR="007B01B7">
        <w:rPr>
          <w:rFonts w:ascii="Garamond" w:hAnsi="Garamond" w:cs="Times New Roman"/>
        </w:rPr>
        <w:t xml:space="preserve">of dishonesty or sexual misconduct </w:t>
      </w:r>
      <w:r>
        <w:rPr>
          <w:rFonts w:ascii="Garamond" w:hAnsi="Garamond" w:cs="Times New Roman"/>
        </w:rPr>
        <w:t>that the doctor’s efforts to remediate and demonstrate that they pose very little risk of repeating their misconduct are of subdued significance</w:t>
      </w:r>
      <w:r w:rsidR="007B01B7">
        <w:rPr>
          <w:rFonts w:ascii="Garamond" w:hAnsi="Garamond" w:cs="Times New Roman"/>
        </w:rPr>
        <w:t xml:space="preserve"> when it comes to deciding the appropriate sanction</w:t>
      </w:r>
      <w:r>
        <w:rPr>
          <w:rFonts w:ascii="Garamond" w:hAnsi="Garamond" w:cs="Times New Roman"/>
        </w:rPr>
        <w:t xml:space="preserve">. </w:t>
      </w:r>
      <w:r w:rsidR="00B4211D" w:rsidRPr="009321EF">
        <w:rPr>
          <w:rFonts w:ascii="Garamond" w:hAnsi="Garamond" w:cs="Times New Roman"/>
        </w:rPr>
        <w:t xml:space="preserve">In </w:t>
      </w:r>
      <w:r w:rsidR="0022642D" w:rsidRPr="009321EF">
        <w:rPr>
          <w:rFonts w:ascii="Garamond" w:hAnsi="Garamond" w:cs="Times New Roman"/>
          <w:i/>
          <w:iCs/>
        </w:rPr>
        <w:t>Yeong v GMC</w:t>
      </w:r>
      <w:r>
        <w:rPr>
          <w:rFonts w:ascii="Garamond" w:hAnsi="Garamond" w:cs="Times New Roman"/>
          <w:i/>
          <w:iCs/>
        </w:rPr>
        <w:t xml:space="preserve">, </w:t>
      </w:r>
      <w:r>
        <w:rPr>
          <w:rFonts w:ascii="Garamond" w:hAnsi="Garamond" w:cs="Times New Roman"/>
        </w:rPr>
        <w:t>for example</w:t>
      </w:r>
      <w:r w:rsidR="00B4211D" w:rsidRPr="009321EF">
        <w:rPr>
          <w:rFonts w:ascii="Garamond" w:hAnsi="Garamond" w:cs="Times New Roman"/>
          <w:i/>
          <w:iCs/>
        </w:rPr>
        <w:t>,</w:t>
      </w:r>
      <w:r w:rsidR="0022642D" w:rsidRPr="009321EF">
        <w:rPr>
          <w:rStyle w:val="FootnoteReference"/>
          <w:rFonts w:ascii="Garamond" w:hAnsi="Garamond" w:cs="Times New Roman"/>
        </w:rPr>
        <w:footnoteReference w:id="65"/>
      </w:r>
      <w:r w:rsidR="0022642D" w:rsidRPr="009321EF">
        <w:rPr>
          <w:rFonts w:ascii="Garamond" w:hAnsi="Garamond" w:cs="Times New Roman"/>
          <w:highlight w:val="white"/>
        </w:rPr>
        <w:t xml:space="preserve"> </w:t>
      </w:r>
      <w:r w:rsidR="00B4211D" w:rsidRPr="009321EF">
        <w:rPr>
          <w:rFonts w:ascii="Garamond" w:hAnsi="Garamond" w:cs="Times New Roman"/>
          <w:highlight w:val="white"/>
        </w:rPr>
        <w:t>the defendant doctor</w:t>
      </w:r>
      <w:r w:rsidR="00626F2F" w:rsidRPr="009321EF">
        <w:rPr>
          <w:rFonts w:ascii="Garamond" w:hAnsi="Garamond" w:cs="Times New Roman"/>
          <w:highlight w:val="white"/>
        </w:rPr>
        <w:t xml:space="preserve"> </w:t>
      </w:r>
      <w:r w:rsidR="00B4211D" w:rsidRPr="009321EF">
        <w:rPr>
          <w:rFonts w:ascii="Garamond" w:hAnsi="Garamond" w:cs="Times New Roman"/>
          <w:highlight w:val="white"/>
        </w:rPr>
        <w:t xml:space="preserve">had been </w:t>
      </w:r>
      <w:r w:rsidR="0022642D" w:rsidRPr="009321EF">
        <w:rPr>
          <w:rFonts w:ascii="Garamond" w:hAnsi="Garamond" w:cs="Times New Roman"/>
          <w:highlight w:val="white"/>
        </w:rPr>
        <w:t xml:space="preserve">involved in a sexual relationship with a patient. </w:t>
      </w:r>
      <w:r w:rsidR="00F171FF">
        <w:rPr>
          <w:rFonts w:ascii="Garamond" w:hAnsi="Garamond" w:cs="Times New Roman"/>
          <w:highlight w:val="white"/>
        </w:rPr>
        <w:t>Dr Yeong</w:t>
      </w:r>
      <w:r w:rsidR="0022642D" w:rsidRPr="009321EF">
        <w:rPr>
          <w:rFonts w:ascii="Garamond" w:hAnsi="Garamond" w:cs="Times New Roman"/>
          <w:highlight w:val="white"/>
        </w:rPr>
        <w:t xml:space="preserve"> </w:t>
      </w:r>
      <w:r w:rsidR="004F0F80">
        <w:rPr>
          <w:rFonts w:ascii="Garamond" w:hAnsi="Garamond" w:cs="Times New Roman"/>
          <w:highlight w:val="white"/>
        </w:rPr>
        <w:t xml:space="preserve">pleaded for clemency on the basis </w:t>
      </w:r>
      <w:r w:rsidR="0022642D" w:rsidRPr="009321EF">
        <w:rPr>
          <w:rFonts w:ascii="Garamond" w:hAnsi="Garamond" w:cs="Times New Roman"/>
          <w:highlight w:val="white"/>
        </w:rPr>
        <w:t xml:space="preserve">that this behaviour was </w:t>
      </w:r>
      <w:r w:rsidR="00782947">
        <w:rPr>
          <w:rFonts w:ascii="Garamond" w:hAnsi="Garamond" w:cs="Times New Roman"/>
          <w:highlight w:val="white"/>
        </w:rPr>
        <w:t>un</w:t>
      </w:r>
      <w:r w:rsidR="0022642D" w:rsidRPr="009321EF">
        <w:rPr>
          <w:rFonts w:ascii="Garamond" w:hAnsi="Garamond" w:cs="Times New Roman"/>
          <w:highlight w:val="white"/>
        </w:rPr>
        <w:t>related to his clinical practice</w:t>
      </w:r>
      <w:r w:rsidR="004E2F6F">
        <w:rPr>
          <w:rFonts w:ascii="Garamond" w:hAnsi="Garamond" w:cs="Times New Roman"/>
          <w:highlight w:val="white"/>
        </w:rPr>
        <w:t>,</w:t>
      </w:r>
      <w:r w:rsidR="0022642D" w:rsidRPr="009321EF">
        <w:rPr>
          <w:rFonts w:ascii="Garamond" w:hAnsi="Garamond" w:cs="Times New Roman"/>
          <w:highlight w:val="white"/>
        </w:rPr>
        <w:t xml:space="preserve"> </w:t>
      </w:r>
      <w:r w:rsidR="002E02C8" w:rsidRPr="009321EF">
        <w:rPr>
          <w:rFonts w:ascii="Garamond" w:hAnsi="Garamond" w:cs="Times New Roman"/>
          <w:highlight w:val="white"/>
        </w:rPr>
        <w:t>bore</w:t>
      </w:r>
      <w:r w:rsidR="0022642D" w:rsidRPr="009321EF">
        <w:rPr>
          <w:rFonts w:ascii="Garamond" w:hAnsi="Garamond" w:cs="Times New Roman"/>
          <w:highlight w:val="white"/>
        </w:rPr>
        <w:t xml:space="preserve"> no relation to his ability to work as a doctor</w:t>
      </w:r>
      <w:r w:rsidR="00F73424">
        <w:rPr>
          <w:rFonts w:ascii="Garamond" w:hAnsi="Garamond" w:cs="Times New Roman"/>
          <w:highlight w:val="white"/>
        </w:rPr>
        <w:t>, there were suggestions that the patient in this unusual case had been the ‘dominant party’</w:t>
      </w:r>
      <w:r w:rsidR="00F73424">
        <w:rPr>
          <w:rStyle w:val="FootnoteReference"/>
          <w:rFonts w:ascii="Garamond" w:hAnsi="Garamond" w:cs="Times New Roman"/>
          <w:highlight w:val="white"/>
        </w:rPr>
        <w:footnoteReference w:id="66"/>
      </w:r>
      <w:r w:rsidR="004E2F6F">
        <w:rPr>
          <w:rFonts w:ascii="Garamond" w:hAnsi="Garamond" w:cs="Times New Roman"/>
          <w:highlight w:val="white"/>
        </w:rPr>
        <w:t xml:space="preserve"> and he had since taken steps to minimise the risk of this ever occurring again.</w:t>
      </w:r>
      <w:r w:rsidR="0022642D" w:rsidRPr="009321EF">
        <w:rPr>
          <w:rStyle w:val="FootnoteReference"/>
          <w:rFonts w:ascii="Garamond" w:hAnsi="Garamond" w:cs="Times New Roman"/>
          <w:highlight w:val="white"/>
        </w:rPr>
        <w:footnoteReference w:id="67"/>
      </w:r>
      <w:r w:rsidR="0022642D" w:rsidRPr="009321EF">
        <w:rPr>
          <w:rFonts w:ascii="Garamond" w:hAnsi="Garamond" w:cs="Times New Roman"/>
          <w:highlight w:val="white"/>
        </w:rPr>
        <w:t xml:space="preserve"> </w:t>
      </w:r>
      <w:r w:rsidR="008B6267">
        <w:rPr>
          <w:rFonts w:ascii="Garamond" w:hAnsi="Garamond" w:cs="Times New Roman"/>
          <w:highlight w:val="white"/>
        </w:rPr>
        <w:t>Dr Yeong’s appeal against suspension</w:t>
      </w:r>
      <w:r w:rsidR="008B6267" w:rsidRPr="008B6267">
        <w:rPr>
          <w:rFonts w:ascii="Garamond" w:hAnsi="Garamond" w:cs="Times New Roman"/>
          <w:highlight w:val="white"/>
          <w:vertAlign w:val="superscript"/>
        </w:rPr>
        <w:footnoteReference w:id="68"/>
      </w:r>
      <w:r w:rsidR="008B6267">
        <w:rPr>
          <w:rFonts w:ascii="Garamond" w:hAnsi="Garamond" w:cs="Times New Roman"/>
          <w:highlight w:val="white"/>
        </w:rPr>
        <w:t xml:space="preserve"> was unsuccessful; </w:t>
      </w:r>
      <w:r w:rsidR="0022642D" w:rsidRPr="009321EF">
        <w:rPr>
          <w:rFonts w:ascii="Garamond" w:hAnsi="Garamond" w:cs="Times New Roman"/>
          <w:highlight w:val="white"/>
        </w:rPr>
        <w:t xml:space="preserve">when </w:t>
      </w:r>
      <w:r w:rsidR="000A16E3" w:rsidRPr="009321EF">
        <w:rPr>
          <w:rFonts w:ascii="Garamond" w:hAnsi="Garamond" w:cs="Times New Roman"/>
          <w:highlight w:val="white"/>
        </w:rPr>
        <w:t>the misconduct took the form of violating a fundamental rule of the professional relationship and thereby undermining public confidence in the profession:</w:t>
      </w:r>
      <w:r w:rsidR="00B9269A">
        <w:rPr>
          <w:rFonts w:ascii="Garamond" w:hAnsi="Garamond" w:cs="Times New Roman"/>
          <w:highlight w:val="white"/>
        </w:rPr>
        <w:t xml:space="preserve"> </w:t>
      </w:r>
    </w:p>
    <w:p w14:paraId="18520CF5" w14:textId="77777777" w:rsidR="00B234BC" w:rsidRDefault="00B234BC" w:rsidP="002E0C51">
      <w:pPr>
        <w:pStyle w:val="Normal1"/>
        <w:spacing w:line="480" w:lineRule="auto"/>
        <w:jc w:val="both"/>
        <w:rPr>
          <w:rFonts w:ascii="Garamond" w:hAnsi="Garamond" w:cs="Times New Roman"/>
          <w:highlight w:val="white"/>
        </w:rPr>
      </w:pPr>
    </w:p>
    <w:p w14:paraId="71D105F2" w14:textId="3D4132B0" w:rsidR="00B234BC" w:rsidRDefault="00317E79" w:rsidP="00B234BC">
      <w:pPr>
        <w:pStyle w:val="Normal1"/>
        <w:spacing w:line="480" w:lineRule="auto"/>
        <w:ind w:left="397" w:right="397"/>
        <w:jc w:val="both"/>
        <w:rPr>
          <w:rFonts w:ascii="Garamond" w:hAnsi="Garamond" w:cs="Times New Roman"/>
          <w:highlight w:val="white"/>
        </w:rPr>
      </w:pPr>
      <w:r>
        <w:rPr>
          <w:rFonts w:ascii="Garamond" w:hAnsi="Garamond" w:cs="Times New Roman"/>
          <w:highlight w:val="white"/>
        </w:rPr>
        <w:t>‘</w:t>
      </w:r>
      <w:r w:rsidR="000A16E3" w:rsidRPr="009321EF">
        <w:rPr>
          <w:rFonts w:ascii="Garamond" w:hAnsi="Garamond" w:cs="Times New Roman"/>
          <w:highlight w:val="white"/>
        </w:rPr>
        <w:t>the efforts made by the </w:t>
      </w:r>
      <w:bookmarkStart w:id="5" w:name="disp246"/>
      <w:r w:rsidR="000A16E3" w:rsidRPr="009321EF">
        <w:rPr>
          <w:rFonts w:ascii="Garamond" w:hAnsi="Garamond" w:cs="Times New Roman"/>
          <w:highlight w:val="white"/>
        </w:rPr>
        <w:t>medical</w:t>
      </w:r>
      <w:bookmarkEnd w:id="5"/>
      <w:r w:rsidR="000A16E3" w:rsidRPr="009321EF">
        <w:rPr>
          <w:rFonts w:ascii="Garamond" w:hAnsi="Garamond" w:cs="Times New Roman"/>
          <w:highlight w:val="white"/>
        </w:rPr>
        <w:t xml:space="preserve"> practitioner in question to address his behaviour for the future may </w:t>
      </w:r>
      <w:r w:rsidR="000A16E3" w:rsidRPr="006C5233">
        <w:rPr>
          <w:rFonts w:ascii="Garamond" w:hAnsi="Garamond" w:cs="Times New Roman"/>
          <w:i/>
          <w:iCs/>
          <w:highlight w:val="white"/>
        </w:rPr>
        <w:t>carry </w:t>
      </w:r>
      <w:bookmarkStart w:id="6" w:name="disp247"/>
      <w:r w:rsidR="000A16E3" w:rsidRPr="006C5233">
        <w:rPr>
          <w:rFonts w:ascii="Garamond" w:hAnsi="Garamond" w:cs="Times New Roman"/>
          <w:i/>
          <w:iCs/>
          <w:highlight w:val="white"/>
        </w:rPr>
        <w:t>very</w:t>
      </w:r>
      <w:bookmarkEnd w:id="6"/>
      <w:r w:rsidR="000A16E3" w:rsidRPr="006C5233">
        <w:rPr>
          <w:rFonts w:ascii="Garamond" w:hAnsi="Garamond" w:cs="Times New Roman"/>
          <w:i/>
          <w:iCs/>
          <w:highlight w:val="white"/>
        </w:rPr>
        <w:t> much less weight</w:t>
      </w:r>
      <w:r w:rsidR="000A16E3" w:rsidRPr="009321EF">
        <w:rPr>
          <w:rFonts w:ascii="Garamond" w:hAnsi="Garamond" w:cs="Times New Roman"/>
          <w:highlight w:val="white"/>
        </w:rPr>
        <w:t xml:space="preserve"> than in a case where the misconduct consists of clinical errors or incompetence.’</w:t>
      </w:r>
      <w:r w:rsidR="0022642D" w:rsidRPr="009321EF">
        <w:rPr>
          <w:rStyle w:val="FootnoteReference"/>
          <w:rFonts w:ascii="Garamond" w:hAnsi="Garamond" w:cs="Times New Roman"/>
          <w:highlight w:val="white"/>
        </w:rPr>
        <w:footnoteReference w:id="69"/>
      </w:r>
      <w:r w:rsidR="00BF309F" w:rsidRPr="009321EF">
        <w:rPr>
          <w:rFonts w:ascii="Garamond" w:hAnsi="Garamond" w:cs="Times New Roman"/>
          <w:highlight w:val="white"/>
        </w:rPr>
        <w:t xml:space="preserve"> </w:t>
      </w:r>
    </w:p>
    <w:p w14:paraId="34E59155" w14:textId="77777777" w:rsidR="00B234BC" w:rsidRDefault="00B234BC" w:rsidP="002E0C51">
      <w:pPr>
        <w:pStyle w:val="Normal1"/>
        <w:spacing w:line="480" w:lineRule="auto"/>
        <w:jc w:val="both"/>
        <w:rPr>
          <w:rFonts w:ascii="Garamond" w:hAnsi="Garamond" w:cs="Times New Roman"/>
          <w:highlight w:val="white"/>
        </w:rPr>
      </w:pPr>
    </w:p>
    <w:p w14:paraId="3FBDD204" w14:textId="5F375269" w:rsidR="00FF36B9" w:rsidRDefault="004F0F80" w:rsidP="002E0C51">
      <w:pPr>
        <w:pStyle w:val="Normal1"/>
        <w:spacing w:line="480" w:lineRule="auto"/>
        <w:jc w:val="both"/>
        <w:rPr>
          <w:rFonts w:ascii="Garamond" w:hAnsi="Garamond" w:cs="Times New Roman"/>
          <w:highlight w:val="white"/>
        </w:rPr>
      </w:pPr>
      <w:r>
        <w:rPr>
          <w:rFonts w:ascii="Garamond" w:hAnsi="Garamond" w:cs="Times New Roman"/>
          <w:highlight w:val="white"/>
        </w:rPr>
        <w:lastRenderedPageBreak/>
        <w:t xml:space="preserve">If, as </w:t>
      </w:r>
      <w:r>
        <w:rPr>
          <w:rFonts w:ascii="Garamond" w:hAnsi="Garamond" w:cs="Times New Roman"/>
          <w:i/>
          <w:iCs/>
          <w:highlight w:val="white"/>
        </w:rPr>
        <w:t xml:space="preserve">Yeong </w:t>
      </w:r>
      <w:r>
        <w:rPr>
          <w:rFonts w:ascii="Garamond" w:hAnsi="Garamond" w:cs="Times New Roman"/>
          <w:highlight w:val="white"/>
        </w:rPr>
        <w:t>and other cases suggest, conduct which is deemed to impact public confidence</w:t>
      </w:r>
      <w:r w:rsidR="00B234BC">
        <w:rPr>
          <w:rFonts w:ascii="Garamond" w:hAnsi="Garamond" w:cs="Times New Roman"/>
          <w:highlight w:val="white"/>
        </w:rPr>
        <w:t xml:space="preserve"> renders</w:t>
      </w:r>
      <w:r w:rsidR="00E051CC">
        <w:rPr>
          <w:rFonts w:ascii="Garamond" w:hAnsi="Garamond" w:cs="Times New Roman"/>
          <w:highlight w:val="white"/>
        </w:rPr>
        <w:t xml:space="preserve"> </w:t>
      </w:r>
      <w:r w:rsidR="00B234BC">
        <w:rPr>
          <w:rFonts w:ascii="Garamond" w:hAnsi="Garamond" w:cs="Times New Roman"/>
          <w:highlight w:val="white"/>
        </w:rPr>
        <w:t xml:space="preserve">mitigating factors, such as doctors’ expressions of remorse and </w:t>
      </w:r>
      <w:r w:rsidR="00E051CC">
        <w:rPr>
          <w:rFonts w:ascii="Garamond" w:hAnsi="Garamond" w:cs="Times New Roman"/>
          <w:highlight w:val="white"/>
        </w:rPr>
        <w:t>efforts to remediate</w:t>
      </w:r>
      <w:r w:rsidR="00B234BC">
        <w:rPr>
          <w:rFonts w:ascii="Garamond" w:hAnsi="Garamond" w:cs="Times New Roman"/>
          <w:highlight w:val="white"/>
        </w:rPr>
        <w:t>,</w:t>
      </w:r>
      <w:r w:rsidR="00E051CC">
        <w:rPr>
          <w:rFonts w:ascii="Garamond" w:hAnsi="Garamond" w:cs="Times New Roman"/>
          <w:highlight w:val="white"/>
        </w:rPr>
        <w:t xml:space="preserve"> less potent, it </w:t>
      </w:r>
      <w:r w:rsidR="003E3F27">
        <w:rPr>
          <w:rFonts w:ascii="Garamond" w:hAnsi="Garamond" w:cs="Times New Roman"/>
          <w:highlight w:val="white"/>
        </w:rPr>
        <w:t>becomes</w:t>
      </w:r>
      <w:r w:rsidR="00E051CC">
        <w:rPr>
          <w:rFonts w:ascii="Garamond" w:hAnsi="Garamond" w:cs="Times New Roman"/>
          <w:highlight w:val="white"/>
        </w:rPr>
        <w:t xml:space="preserve"> even more important that there is transparency and fairness in the application of public confidence arguments. </w:t>
      </w:r>
    </w:p>
    <w:p w14:paraId="49185F7B" w14:textId="77777777" w:rsidR="00E051CC" w:rsidRPr="009321EF" w:rsidRDefault="00E051CC" w:rsidP="002E0C51">
      <w:pPr>
        <w:pStyle w:val="Normal1"/>
        <w:spacing w:line="480" w:lineRule="auto"/>
        <w:jc w:val="both"/>
        <w:rPr>
          <w:rFonts w:ascii="Garamond" w:hAnsi="Garamond" w:cs="Times New Roman"/>
          <w:highlight w:val="white"/>
        </w:rPr>
      </w:pPr>
    </w:p>
    <w:p w14:paraId="00000023" w14:textId="1E7D69FF" w:rsidR="0022642D" w:rsidRPr="009321EF" w:rsidRDefault="003E3F27" w:rsidP="002E0C51">
      <w:pPr>
        <w:pStyle w:val="Normal1"/>
        <w:spacing w:line="480" w:lineRule="auto"/>
        <w:jc w:val="both"/>
        <w:rPr>
          <w:rFonts w:ascii="Garamond" w:hAnsi="Garamond" w:cs="Times New Roman"/>
        </w:rPr>
      </w:pPr>
      <w:bookmarkStart w:id="7" w:name="_jv3c5l49w1h9" w:colFirst="0" w:colLast="0"/>
      <w:bookmarkStart w:id="8" w:name="_fq1140ye9rpn" w:colFirst="0" w:colLast="0"/>
      <w:bookmarkStart w:id="9" w:name="_s9b54wxjqwwh" w:colFirst="0" w:colLast="0"/>
      <w:bookmarkStart w:id="10" w:name="_op2hu7uprfoh" w:colFirst="0" w:colLast="0"/>
      <w:bookmarkStart w:id="11" w:name="_6irtxyab2f5r" w:colFirst="0" w:colLast="0"/>
      <w:bookmarkStart w:id="12" w:name="_dcpd063wfouq" w:colFirst="0" w:colLast="0"/>
      <w:bookmarkEnd w:id="7"/>
      <w:bookmarkEnd w:id="8"/>
      <w:bookmarkEnd w:id="9"/>
      <w:bookmarkEnd w:id="10"/>
      <w:bookmarkEnd w:id="11"/>
      <w:bookmarkEnd w:id="12"/>
      <w:r>
        <w:rPr>
          <w:rFonts w:ascii="Garamond" w:hAnsi="Garamond" w:cs="Times New Roman"/>
        </w:rPr>
        <w:t xml:space="preserve">Whilst breaching boundaries with a patient clearly </w:t>
      </w:r>
      <w:r w:rsidR="000A748B">
        <w:rPr>
          <w:rFonts w:ascii="Garamond" w:hAnsi="Garamond" w:cs="Times New Roman"/>
        </w:rPr>
        <w:t>compromises</w:t>
      </w:r>
      <w:r>
        <w:rPr>
          <w:rFonts w:ascii="Garamond" w:hAnsi="Garamond" w:cs="Times New Roman"/>
        </w:rPr>
        <w:t xml:space="preserve"> the therapeutic relationship, t</w:t>
      </w:r>
      <w:r w:rsidR="00515161" w:rsidRPr="009321EF">
        <w:rPr>
          <w:rFonts w:ascii="Garamond" w:hAnsi="Garamond" w:cs="Times New Roman"/>
        </w:rPr>
        <w:t>he issue of public confidence in the profession</w:t>
      </w:r>
      <w:r w:rsidR="00F171FF">
        <w:rPr>
          <w:rFonts w:ascii="Garamond" w:hAnsi="Garamond" w:cs="Times New Roman"/>
        </w:rPr>
        <w:t xml:space="preserve"> also</w:t>
      </w:r>
      <w:r w:rsidR="00EF1C42">
        <w:rPr>
          <w:rFonts w:ascii="Garamond" w:hAnsi="Garamond" w:cs="Times New Roman"/>
        </w:rPr>
        <w:t xml:space="preserve"> comes to the fore </w:t>
      </w:r>
      <w:r w:rsidR="00515161" w:rsidRPr="009321EF">
        <w:rPr>
          <w:rFonts w:ascii="Garamond" w:hAnsi="Garamond" w:cs="Times New Roman"/>
        </w:rPr>
        <w:t>in</w:t>
      </w:r>
      <w:r w:rsidR="001513AF">
        <w:rPr>
          <w:rFonts w:ascii="Garamond" w:hAnsi="Garamond" w:cs="Times New Roman"/>
        </w:rPr>
        <w:t xml:space="preserve"> </w:t>
      </w:r>
      <w:r w:rsidR="00515161" w:rsidRPr="009321EF">
        <w:rPr>
          <w:rFonts w:ascii="Garamond" w:hAnsi="Garamond" w:cs="Times New Roman"/>
        </w:rPr>
        <w:t xml:space="preserve">cases where the issue which has brought the doctor </w:t>
      </w:r>
      <w:r w:rsidR="00EF1C42">
        <w:rPr>
          <w:rFonts w:ascii="Garamond" w:hAnsi="Garamond" w:cs="Times New Roman"/>
        </w:rPr>
        <w:t xml:space="preserve">to the regulator’s attention </w:t>
      </w:r>
      <w:r w:rsidR="00515161" w:rsidRPr="009321EF">
        <w:rPr>
          <w:rFonts w:ascii="Garamond" w:hAnsi="Garamond" w:cs="Times New Roman"/>
        </w:rPr>
        <w:t xml:space="preserve">has no direct connection </w:t>
      </w:r>
      <w:r w:rsidR="00E0793E">
        <w:rPr>
          <w:rFonts w:ascii="Garamond" w:hAnsi="Garamond" w:cs="Times New Roman"/>
        </w:rPr>
        <w:t xml:space="preserve">at all </w:t>
      </w:r>
      <w:r w:rsidR="00515161" w:rsidRPr="009321EF">
        <w:rPr>
          <w:rFonts w:ascii="Garamond" w:hAnsi="Garamond" w:cs="Times New Roman"/>
        </w:rPr>
        <w:t>with their clinical practice. There are recent cases which have resulted in a significant period of suspension</w:t>
      </w:r>
      <w:r w:rsidR="00901B60" w:rsidRPr="009321EF">
        <w:rPr>
          <w:rFonts w:ascii="Garamond" w:hAnsi="Garamond" w:cs="Times New Roman"/>
        </w:rPr>
        <w:t>, specifically because of the need to protect public confidence</w:t>
      </w:r>
      <w:r w:rsidR="00E051CC">
        <w:rPr>
          <w:rFonts w:ascii="Garamond" w:hAnsi="Garamond" w:cs="Times New Roman"/>
        </w:rPr>
        <w:t xml:space="preserve"> in </w:t>
      </w:r>
      <w:r w:rsidR="00696FFD">
        <w:rPr>
          <w:rFonts w:ascii="Garamond" w:hAnsi="Garamond" w:cs="Times New Roman"/>
        </w:rPr>
        <w:t>instances</w:t>
      </w:r>
      <w:r w:rsidR="00E051CC">
        <w:rPr>
          <w:rFonts w:ascii="Garamond" w:hAnsi="Garamond" w:cs="Times New Roman"/>
        </w:rPr>
        <w:t xml:space="preserve"> of proven dishonesty</w:t>
      </w:r>
      <w:r w:rsidR="00515161" w:rsidRPr="009321EF">
        <w:rPr>
          <w:rFonts w:ascii="Garamond" w:hAnsi="Garamond" w:cs="Times New Roman"/>
        </w:rPr>
        <w:t>.</w:t>
      </w:r>
      <w:r w:rsidR="00901B60" w:rsidRPr="009321EF">
        <w:rPr>
          <w:rStyle w:val="FootnoteReference"/>
          <w:rFonts w:ascii="Garamond" w:hAnsi="Garamond" w:cs="Times New Roman"/>
        </w:rPr>
        <w:footnoteReference w:id="70"/>
      </w:r>
      <w:r w:rsidR="00515161" w:rsidRPr="009321EF">
        <w:rPr>
          <w:rFonts w:ascii="Garamond" w:hAnsi="Garamond" w:cs="Times New Roman"/>
        </w:rPr>
        <w:t xml:space="preserve"> The case of junior doct</w:t>
      </w:r>
      <w:r w:rsidR="007F43A2">
        <w:rPr>
          <w:rFonts w:ascii="Garamond" w:hAnsi="Garamond" w:cs="Times New Roman"/>
        </w:rPr>
        <w:t>or, Sharifa</w:t>
      </w:r>
      <w:r w:rsidR="00515161" w:rsidRPr="009321EF">
        <w:rPr>
          <w:rFonts w:ascii="Garamond" w:hAnsi="Garamond" w:cs="Times New Roman"/>
        </w:rPr>
        <w:t xml:space="preserve"> </w:t>
      </w:r>
      <w:proofErr w:type="spellStart"/>
      <w:r w:rsidR="00515161" w:rsidRPr="009321EF">
        <w:rPr>
          <w:rFonts w:ascii="Garamond" w:hAnsi="Garamond" w:cs="Times New Roman"/>
        </w:rPr>
        <w:t>Scerif</w:t>
      </w:r>
      <w:proofErr w:type="spellEnd"/>
      <w:r w:rsidR="007F43A2">
        <w:rPr>
          <w:rFonts w:ascii="Garamond" w:hAnsi="Garamond" w:cs="Times New Roman"/>
        </w:rPr>
        <w:t>,</w:t>
      </w:r>
      <w:r w:rsidR="00515161" w:rsidRPr="009321EF">
        <w:rPr>
          <w:rFonts w:ascii="Garamond" w:hAnsi="Garamond" w:cs="Times New Roman"/>
        </w:rPr>
        <w:t xml:space="preserve"> </w:t>
      </w:r>
      <w:r w:rsidR="00F171FF">
        <w:rPr>
          <w:rFonts w:ascii="Garamond" w:hAnsi="Garamond" w:cs="Times New Roman"/>
        </w:rPr>
        <w:t xml:space="preserve">for example, </w:t>
      </w:r>
      <w:r w:rsidR="00901B60" w:rsidRPr="009321EF">
        <w:rPr>
          <w:rFonts w:ascii="Garamond" w:hAnsi="Garamond" w:cs="Times New Roman"/>
        </w:rPr>
        <w:t xml:space="preserve">resulted in </w:t>
      </w:r>
      <w:r w:rsidR="00515161" w:rsidRPr="009321EF">
        <w:rPr>
          <w:rFonts w:ascii="Garamond" w:hAnsi="Garamond" w:cs="Times New Roman"/>
        </w:rPr>
        <w:t xml:space="preserve">an eight month suspension </w:t>
      </w:r>
      <w:r w:rsidR="00901B60" w:rsidRPr="009321EF">
        <w:rPr>
          <w:rFonts w:ascii="Garamond" w:hAnsi="Garamond" w:cs="Times New Roman"/>
        </w:rPr>
        <w:t xml:space="preserve">due to fare dodging on London </w:t>
      </w:r>
      <w:r w:rsidR="001D61F5">
        <w:rPr>
          <w:rFonts w:ascii="Garamond" w:hAnsi="Garamond" w:cs="Times New Roman"/>
        </w:rPr>
        <w:t>transport</w:t>
      </w:r>
      <w:r w:rsidR="00901B60" w:rsidRPr="009321EF">
        <w:rPr>
          <w:rFonts w:ascii="Garamond" w:hAnsi="Garamond" w:cs="Times New Roman"/>
        </w:rPr>
        <w:t xml:space="preserve"> by dishonestly using her sister’s ‘Freedom pass’.</w:t>
      </w:r>
      <w:r w:rsidR="00515161" w:rsidRPr="009321EF">
        <w:rPr>
          <w:rStyle w:val="FootnoteReference"/>
          <w:rFonts w:ascii="Garamond" w:hAnsi="Garamond" w:cs="Times New Roman"/>
        </w:rPr>
        <w:footnoteReference w:id="71"/>
      </w:r>
      <w:r w:rsidR="00515161" w:rsidRPr="009321EF">
        <w:rPr>
          <w:rFonts w:ascii="Garamond" w:hAnsi="Garamond" w:cs="Times New Roman"/>
        </w:rPr>
        <w:t xml:space="preserve"> </w:t>
      </w:r>
      <w:r w:rsidR="00080961" w:rsidRPr="009321EF">
        <w:rPr>
          <w:rFonts w:ascii="Garamond" w:hAnsi="Garamond" w:cs="Times New Roman"/>
        </w:rPr>
        <w:t>Th</w:t>
      </w:r>
      <w:r w:rsidR="00F171FF">
        <w:rPr>
          <w:rFonts w:ascii="Garamond" w:hAnsi="Garamond" w:cs="Times New Roman"/>
        </w:rPr>
        <w:t>is</w:t>
      </w:r>
      <w:r w:rsidR="00080961" w:rsidRPr="009321EF">
        <w:rPr>
          <w:rFonts w:ascii="Garamond" w:hAnsi="Garamond" w:cs="Times New Roman"/>
        </w:rPr>
        <w:t xml:space="preserve"> reach of ‘public confidence’ into </w:t>
      </w:r>
      <w:r w:rsidR="00B234BC">
        <w:rPr>
          <w:rFonts w:ascii="Garamond" w:hAnsi="Garamond" w:cs="Times New Roman"/>
        </w:rPr>
        <w:t>conduct</w:t>
      </w:r>
      <w:r w:rsidR="00080961" w:rsidRPr="009321EF">
        <w:rPr>
          <w:rFonts w:ascii="Garamond" w:hAnsi="Garamond" w:cs="Times New Roman"/>
        </w:rPr>
        <w:t xml:space="preserve"> unrelated to clinical performance or conduct towards patients is no</w:t>
      </w:r>
      <w:r w:rsidR="002C5C31">
        <w:rPr>
          <w:rFonts w:ascii="Garamond" w:hAnsi="Garamond" w:cs="Times New Roman"/>
        </w:rPr>
        <w:t>t</w:t>
      </w:r>
      <w:r w:rsidR="00080961" w:rsidRPr="009321EF">
        <w:rPr>
          <w:rFonts w:ascii="Garamond" w:hAnsi="Garamond" w:cs="Times New Roman"/>
        </w:rPr>
        <w:t xml:space="preserve"> new. </w:t>
      </w:r>
      <w:r w:rsidR="0022642D" w:rsidRPr="009321EF">
        <w:rPr>
          <w:rFonts w:ascii="Garamond" w:hAnsi="Garamond" w:cs="Times New Roman"/>
        </w:rPr>
        <w:t xml:space="preserve">In </w:t>
      </w:r>
      <w:proofErr w:type="spellStart"/>
      <w:r w:rsidR="0022642D" w:rsidRPr="009321EF">
        <w:rPr>
          <w:rFonts w:ascii="Garamond" w:hAnsi="Garamond" w:cs="Times New Roman"/>
          <w:i/>
          <w:iCs/>
        </w:rPr>
        <w:t>Fatnani</w:t>
      </w:r>
      <w:proofErr w:type="spellEnd"/>
      <w:r w:rsidR="0022642D" w:rsidRPr="009321EF">
        <w:rPr>
          <w:rFonts w:ascii="Garamond" w:hAnsi="Garamond" w:cs="Times New Roman"/>
          <w:i/>
          <w:iCs/>
        </w:rPr>
        <w:t xml:space="preserve">, </w:t>
      </w:r>
      <w:proofErr w:type="spellStart"/>
      <w:r w:rsidR="0022642D" w:rsidRPr="009321EF">
        <w:rPr>
          <w:rFonts w:ascii="Garamond" w:hAnsi="Garamond" w:cs="Times New Roman"/>
          <w:i/>
          <w:iCs/>
        </w:rPr>
        <w:t>Raschid</w:t>
      </w:r>
      <w:proofErr w:type="spellEnd"/>
      <w:r w:rsidR="0022642D" w:rsidRPr="009321EF">
        <w:rPr>
          <w:rFonts w:ascii="Garamond" w:hAnsi="Garamond" w:cs="Times New Roman"/>
          <w:i/>
          <w:iCs/>
        </w:rPr>
        <w:t xml:space="preserve"> v General Medical Council</w:t>
      </w:r>
      <w:r w:rsidR="0022642D" w:rsidRPr="009321EF">
        <w:rPr>
          <w:rFonts w:ascii="Garamond" w:hAnsi="Garamond" w:cs="Times New Roman"/>
        </w:rPr>
        <w:t xml:space="preserve"> a seventy-year old doctor was involved in a court case regarding</w:t>
      </w:r>
      <w:r w:rsidR="006B289A" w:rsidRPr="009321EF">
        <w:rPr>
          <w:rFonts w:ascii="Garamond" w:hAnsi="Garamond" w:cs="Times New Roman"/>
        </w:rPr>
        <w:t xml:space="preserve"> </w:t>
      </w:r>
      <w:r w:rsidR="0022642D" w:rsidRPr="009321EF">
        <w:rPr>
          <w:rFonts w:ascii="Garamond" w:hAnsi="Garamond" w:cs="Times New Roman"/>
        </w:rPr>
        <w:t>fraud which had been instigated by her daughter and to which the clinician denied having any knowledge</w:t>
      </w:r>
      <w:r w:rsidR="00080961" w:rsidRPr="009321EF">
        <w:rPr>
          <w:rFonts w:ascii="Garamond" w:hAnsi="Garamond" w:cs="Times New Roman"/>
        </w:rPr>
        <w:t>.</w:t>
      </w:r>
      <w:r w:rsidR="0022642D" w:rsidRPr="009321EF">
        <w:rPr>
          <w:rStyle w:val="FootnoteReference"/>
          <w:rFonts w:ascii="Garamond" w:hAnsi="Garamond" w:cs="Times New Roman"/>
        </w:rPr>
        <w:footnoteReference w:id="72"/>
      </w:r>
      <w:r w:rsidR="0022642D" w:rsidRPr="009321EF">
        <w:rPr>
          <w:rFonts w:ascii="Garamond" w:hAnsi="Garamond" w:cs="Times New Roman"/>
        </w:rPr>
        <w:t xml:space="preserve"> Despite having an unblemished medical career that spanned several decades and a conviction that was not related to her career or abilities as a doctor, the </w:t>
      </w:r>
      <w:r w:rsidR="00515161" w:rsidRPr="009321EF">
        <w:rPr>
          <w:rFonts w:ascii="Garamond" w:hAnsi="Garamond" w:cs="Times New Roman"/>
        </w:rPr>
        <w:t>regulatory body regarded</w:t>
      </w:r>
      <w:r w:rsidR="0022642D" w:rsidRPr="009321EF">
        <w:rPr>
          <w:rFonts w:ascii="Garamond" w:hAnsi="Garamond" w:cs="Times New Roman"/>
        </w:rPr>
        <w:t xml:space="preserve"> erasure </w:t>
      </w:r>
      <w:r w:rsidR="00B234BC">
        <w:rPr>
          <w:rFonts w:ascii="Garamond" w:hAnsi="Garamond" w:cs="Times New Roman"/>
        </w:rPr>
        <w:t xml:space="preserve">as necessary </w:t>
      </w:r>
      <w:r w:rsidR="0022642D" w:rsidRPr="009321EF">
        <w:rPr>
          <w:rFonts w:ascii="Garamond" w:hAnsi="Garamond" w:cs="Times New Roman"/>
        </w:rPr>
        <w:t>to maintain public confidence</w:t>
      </w:r>
      <w:r w:rsidR="0022642D" w:rsidRPr="009321EF">
        <w:rPr>
          <w:rStyle w:val="FootnoteReference"/>
          <w:rFonts w:ascii="Garamond" w:hAnsi="Garamond" w:cs="Times New Roman"/>
        </w:rPr>
        <w:footnoteReference w:id="73"/>
      </w:r>
      <w:r w:rsidR="0022642D" w:rsidRPr="009321EF">
        <w:rPr>
          <w:rFonts w:ascii="Garamond" w:hAnsi="Garamond" w:cs="Times New Roman"/>
        </w:rPr>
        <w:t xml:space="preserve">. </w:t>
      </w:r>
      <w:r w:rsidR="002817DF">
        <w:rPr>
          <w:rFonts w:ascii="Garamond" w:hAnsi="Garamond" w:cs="Times New Roman"/>
        </w:rPr>
        <w:t xml:space="preserve">Whilst </w:t>
      </w:r>
      <w:r w:rsidR="0022642D" w:rsidRPr="009321EF">
        <w:rPr>
          <w:rFonts w:ascii="Garamond" w:hAnsi="Garamond" w:cs="Times New Roman"/>
        </w:rPr>
        <w:t>Justice Collins disagreed</w:t>
      </w:r>
      <w:r w:rsidR="0093700E">
        <w:rPr>
          <w:rFonts w:ascii="Garamond" w:hAnsi="Garamond" w:cs="Times New Roman"/>
        </w:rPr>
        <w:t>, substituting</w:t>
      </w:r>
      <w:r w:rsidR="0022642D" w:rsidRPr="009321EF">
        <w:rPr>
          <w:rFonts w:ascii="Garamond" w:hAnsi="Garamond" w:cs="Times New Roman"/>
        </w:rPr>
        <w:t xml:space="preserve"> erasure </w:t>
      </w:r>
      <w:r w:rsidR="0093700E">
        <w:rPr>
          <w:rFonts w:ascii="Garamond" w:hAnsi="Garamond" w:cs="Times New Roman"/>
        </w:rPr>
        <w:t>with</w:t>
      </w:r>
      <w:r w:rsidR="00BF19C4">
        <w:rPr>
          <w:rFonts w:ascii="Garamond" w:hAnsi="Garamond" w:cs="Times New Roman"/>
        </w:rPr>
        <w:t xml:space="preserve"> a</w:t>
      </w:r>
      <w:r w:rsidR="0022642D" w:rsidRPr="009321EF">
        <w:rPr>
          <w:rFonts w:ascii="Garamond" w:hAnsi="Garamond" w:cs="Times New Roman"/>
        </w:rPr>
        <w:t xml:space="preserve"> 12</w:t>
      </w:r>
      <w:r w:rsidR="00BF19C4">
        <w:rPr>
          <w:rFonts w:ascii="Garamond" w:hAnsi="Garamond" w:cs="Times New Roman"/>
        </w:rPr>
        <w:t>-</w:t>
      </w:r>
      <w:r w:rsidR="0022642D" w:rsidRPr="009321EF">
        <w:rPr>
          <w:rFonts w:ascii="Garamond" w:hAnsi="Garamond" w:cs="Times New Roman"/>
        </w:rPr>
        <w:t>month suspension</w:t>
      </w:r>
      <w:r w:rsidR="002817DF">
        <w:rPr>
          <w:rFonts w:ascii="Garamond" w:hAnsi="Garamond" w:cs="Times New Roman"/>
        </w:rPr>
        <w:t>,</w:t>
      </w:r>
      <w:r w:rsidR="0022642D" w:rsidRPr="009321EF">
        <w:rPr>
          <w:rStyle w:val="FootnoteReference"/>
          <w:rFonts w:ascii="Garamond" w:hAnsi="Garamond" w:cs="Times New Roman"/>
        </w:rPr>
        <w:footnoteReference w:id="74"/>
      </w:r>
      <w:r w:rsidR="0022642D" w:rsidRPr="009321EF">
        <w:rPr>
          <w:rFonts w:ascii="Garamond" w:hAnsi="Garamond" w:cs="Times New Roman"/>
        </w:rPr>
        <w:t xml:space="preserve"> the GMC successfully appealed</w:t>
      </w:r>
      <w:r w:rsidR="002817DF">
        <w:rPr>
          <w:rFonts w:ascii="Garamond" w:hAnsi="Garamond" w:cs="Times New Roman"/>
        </w:rPr>
        <w:t>.</w:t>
      </w:r>
      <w:r w:rsidR="0022642D" w:rsidRPr="009321EF">
        <w:rPr>
          <w:rFonts w:ascii="Garamond" w:hAnsi="Garamond" w:cs="Times New Roman"/>
        </w:rPr>
        <w:t xml:space="preserve"> Lord Justice Laws</w:t>
      </w:r>
      <w:r w:rsidR="002817DF" w:rsidRPr="009321EF">
        <w:rPr>
          <w:rFonts w:ascii="Garamond" w:hAnsi="Garamond" w:cs="Times New Roman"/>
        </w:rPr>
        <w:t xml:space="preserve"> </w:t>
      </w:r>
      <w:r w:rsidR="0093700E" w:rsidRPr="00BF19C4">
        <w:rPr>
          <w:rFonts w:ascii="Garamond" w:hAnsi="Garamond" w:cs="Times New Roman"/>
        </w:rPr>
        <w:t>found that Justice Collins had overlooked two fundamental principles of this jurisdiction: ‘</w:t>
      </w:r>
      <w:bookmarkStart w:id="13" w:name="para26"/>
      <w:r w:rsidR="0093700E" w:rsidRPr="009321EF">
        <w:rPr>
          <w:rFonts w:ascii="Garamond" w:hAnsi="Garamond"/>
          <w:color w:val="000000"/>
        </w:rPr>
        <w:t xml:space="preserve">the preservation of public confidence in the profession and the need </w:t>
      </w:r>
      <w:r w:rsidR="0093700E" w:rsidRPr="009321EF">
        <w:rPr>
          <w:rFonts w:ascii="Garamond" w:hAnsi="Garamond"/>
          <w:i/>
          <w:iCs/>
          <w:color w:val="000000"/>
        </w:rPr>
        <w:t xml:space="preserve">in </w:t>
      </w:r>
      <w:r w:rsidR="0093700E" w:rsidRPr="009321EF">
        <w:rPr>
          <w:rFonts w:ascii="Garamond" w:hAnsi="Garamond"/>
          <w:i/>
          <w:iCs/>
          <w:color w:val="000000"/>
        </w:rPr>
        <w:lastRenderedPageBreak/>
        <w:t>consequence</w:t>
      </w:r>
      <w:r w:rsidR="0093700E" w:rsidRPr="009321EF">
        <w:rPr>
          <w:rFonts w:ascii="Garamond" w:hAnsi="Garamond"/>
          <w:color w:val="000000"/>
        </w:rPr>
        <w:t xml:space="preserve"> to give special place to the judgment of the specialist tribunal.</w:t>
      </w:r>
      <w:bookmarkEnd w:id="13"/>
      <w:r w:rsidR="0093700E" w:rsidRPr="009321EF">
        <w:rPr>
          <w:rFonts w:ascii="Garamond" w:hAnsi="Garamond"/>
          <w:color w:val="000000"/>
        </w:rPr>
        <w:t>‘</w:t>
      </w:r>
      <w:r w:rsidR="0093700E" w:rsidRPr="009321EF">
        <w:rPr>
          <w:rStyle w:val="FootnoteReference"/>
          <w:rFonts w:ascii="Garamond" w:hAnsi="Garamond"/>
          <w:color w:val="000000"/>
        </w:rPr>
        <w:footnoteReference w:id="75"/>
      </w:r>
      <w:r w:rsidR="0093700E" w:rsidRPr="009321EF">
        <w:rPr>
          <w:rFonts w:ascii="Garamond" w:hAnsi="Garamond"/>
          <w:color w:val="000000"/>
        </w:rPr>
        <w:t xml:space="preserve"> </w:t>
      </w:r>
      <w:r w:rsidR="00C51196">
        <w:rPr>
          <w:rFonts w:ascii="Garamond" w:hAnsi="Garamond"/>
          <w:color w:val="000000"/>
        </w:rPr>
        <w:t xml:space="preserve">This deeper </w:t>
      </w:r>
      <w:r>
        <w:rPr>
          <w:rFonts w:ascii="Garamond" w:hAnsi="Garamond"/>
          <w:color w:val="000000"/>
        </w:rPr>
        <w:t>shade</w:t>
      </w:r>
      <w:r w:rsidR="00C51196">
        <w:rPr>
          <w:rFonts w:ascii="Garamond" w:hAnsi="Garamond"/>
          <w:color w:val="000000"/>
        </w:rPr>
        <w:t xml:space="preserve"> of deference </w:t>
      </w:r>
      <w:r w:rsidR="00D97FBC">
        <w:rPr>
          <w:rFonts w:ascii="Garamond" w:hAnsi="Garamond"/>
          <w:color w:val="000000"/>
        </w:rPr>
        <w:t>apparently applied</w:t>
      </w:r>
      <w:r w:rsidR="00C51196">
        <w:rPr>
          <w:rFonts w:ascii="Garamond" w:hAnsi="Garamond"/>
          <w:color w:val="000000"/>
        </w:rPr>
        <w:t xml:space="preserve"> to issues of public confidence is problematic, f</w:t>
      </w:r>
      <w:r>
        <w:rPr>
          <w:rFonts w:ascii="Garamond" w:hAnsi="Garamond"/>
          <w:color w:val="000000"/>
        </w:rPr>
        <w:t>irst, because</w:t>
      </w:r>
      <w:r w:rsidR="00C51196">
        <w:rPr>
          <w:rFonts w:ascii="Garamond" w:hAnsi="Garamond"/>
          <w:color w:val="000000"/>
        </w:rPr>
        <w:t xml:space="preserve"> it </w:t>
      </w:r>
      <w:r>
        <w:rPr>
          <w:rFonts w:ascii="Garamond" w:hAnsi="Garamond"/>
          <w:color w:val="000000"/>
        </w:rPr>
        <w:t xml:space="preserve">suggests </w:t>
      </w:r>
      <w:r w:rsidR="00C51196">
        <w:rPr>
          <w:rFonts w:ascii="Garamond" w:hAnsi="Garamond"/>
          <w:color w:val="000000"/>
        </w:rPr>
        <w:t xml:space="preserve">that the further removed the conduct is from </w:t>
      </w:r>
      <w:r w:rsidR="0093700E" w:rsidRPr="009321EF">
        <w:rPr>
          <w:rFonts w:ascii="Garamond" w:hAnsi="Garamond"/>
          <w:color w:val="000000"/>
        </w:rPr>
        <w:t>the practi</w:t>
      </w:r>
      <w:r w:rsidR="00C51196">
        <w:rPr>
          <w:rFonts w:ascii="Garamond" w:hAnsi="Garamond"/>
          <w:color w:val="000000"/>
        </w:rPr>
        <w:t>c</w:t>
      </w:r>
      <w:r w:rsidR="0093700E" w:rsidRPr="009321EF">
        <w:rPr>
          <w:rFonts w:ascii="Garamond" w:hAnsi="Garamond"/>
          <w:color w:val="000000"/>
        </w:rPr>
        <w:t>e of medicine</w:t>
      </w:r>
      <w:r w:rsidR="006C5233">
        <w:rPr>
          <w:rFonts w:ascii="Garamond" w:hAnsi="Garamond"/>
          <w:color w:val="000000"/>
        </w:rPr>
        <w:t xml:space="preserve"> itself</w:t>
      </w:r>
      <w:r w:rsidR="0093700E" w:rsidRPr="009321EF">
        <w:rPr>
          <w:rFonts w:ascii="Garamond" w:hAnsi="Garamond"/>
          <w:color w:val="000000"/>
        </w:rPr>
        <w:t xml:space="preserve">, the </w:t>
      </w:r>
      <w:r w:rsidR="00C51196">
        <w:rPr>
          <w:rFonts w:ascii="Garamond" w:hAnsi="Garamond"/>
          <w:color w:val="000000"/>
        </w:rPr>
        <w:t xml:space="preserve">more remote the court’s power to interfere with the </w:t>
      </w:r>
      <w:r w:rsidR="0093700E" w:rsidRPr="009321EF">
        <w:rPr>
          <w:rFonts w:ascii="Garamond" w:hAnsi="Garamond"/>
          <w:color w:val="000000"/>
        </w:rPr>
        <w:t xml:space="preserve">discretion of the </w:t>
      </w:r>
      <w:r>
        <w:rPr>
          <w:rFonts w:ascii="Garamond" w:hAnsi="Garamond"/>
          <w:color w:val="000000"/>
        </w:rPr>
        <w:t xml:space="preserve">medical </w:t>
      </w:r>
      <w:r w:rsidR="0093700E" w:rsidRPr="009321EF">
        <w:rPr>
          <w:rFonts w:ascii="Garamond" w:hAnsi="Garamond"/>
          <w:color w:val="000000"/>
        </w:rPr>
        <w:t>tribunal</w:t>
      </w:r>
      <w:r w:rsidR="00C51196">
        <w:rPr>
          <w:rFonts w:ascii="Garamond" w:hAnsi="Garamond"/>
          <w:color w:val="000000"/>
        </w:rPr>
        <w:t xml:space="preserve">. </w:t>
      </w:r>
      <w:r>
        <w:rPr>
          <w:rFonts w:ascii="Garamond" w:hAnsi="Garamond"/>
          <w:color w:val="000000"/>
        </w:rPr>
        <w:t xml:space="preserve">Secondly, this supposedly extended deference on issues of public confidence seems to </w:t>
      </w:r>
      <w:r w:rsidR="006C5233">
        <w:rPr>
          <w:rFonts w:ascii="Garamond" w:hAnsi="Garamond"/>
          <w:color w:val="000000"/>
        </w:rPr>
        <w:t>be in tension with</w:t>
      </w:r>
      <w:r w:rsidR="00C51196">
        <w:rPr>
          <w:rFonts w:ascii="Garamond" w:hAnsi="Garamond"/>
          <w:color w:val="000000"/>
        </w:rPr>
        <w:t xml:space="preserve"> authorities which treat </w:t>
      </w:r>
      <w:r w:rsidR="006C5233">
        <w:rPr>
          <w:rFonts w:ascii="Garamond" w:hAnsi="Garamond"/>
          <w:color w:val="000000"/>
        </w:rPr>
        <w:t>appeals from sanction in ‘</w:t>
      </w:r>
      <w:r w:rsidR="00C51196">
        <w:rPr>
          <w:rFonts w:ascii="Garamond" w:hAnsi="Garamond"/>
          <w:color w:val="000000"/>
        </w:rPr>
        <w:t>non-clinical</w:t>
      </w:r>
      <w:r w:rsidR="006C5233">
        <w:rPr>
          <w:rFonts w:ascii="Garamond" w:hAnsi="Garamond"/>
          <w:color w:val="000000"/>
        </w:rPr>
        <w:t>’</w:t>
      </w:r>
      <w:r w:rsidR="00C51196">
        <w:rPr>
          <w:rFonts w:ascii="Garamond" w:hAnsi="Garamond"/>
          <w:color w:val="000000"/>
        </w:rPr>
        <w:t xml:space="preserve"> </w:t>
      </w:r>
      <w:r w:rsidR="006C5233">
        <w:rPr>
          <w:rFonts w:ascii="Garamond" w:hAnsi="Garamond"/>
          <w:color w:val="000000"/>
        </w:rPr>
        <w:t>fitness to practice cases</w:t>
      </w:r>
      <w:r w:rsidR="00C51196">
        <w:rPr>
          <w:rFonts w:ascii="Garamond" w:hAnsi="Garamond"/>
          <w:color w:val="000000"/>
        </w:rPr>
        <w:t xml:space="preserve"> as inviting a qualified or reduced level of deference by the courts</w:t>
      </w:r>
      <w:r w:rsidR="00696FFD">
        <w:rPr>
          <w:rFonts w:ascii="Garamond" w:hAnsi="Garamond"/>
          <w:color w:val="000000"/>
        </w:rPr>
        <w:t xml:space="preserve"> rather than a heightened one</w:t>
      </w:r>
      <w:r w:rsidR="00C51196">
        <w:rPr>
          <w:rFonts w:ascii="Garamond" w:hAnsi="Garamond"/>
          <w:color w:val="000000"/>
        </w:rPr>
        <w:t>.</w:t>
      </w:r>
      <w:r w:rsidR="00C51196">
        <w:rPr>
          <w:rStyle w:val="FootnoteReference"/>
          <w:rFonts w:ascii="Garamond" w:hAnsi="Garamond"/>
          <w:color w:val="000000"/>
        </w:rPr>
        <w:footnoteReference w:id="76"/>
      </w:r>
      <w:r w:rsidR="0093700E" w:rsidRPr="009321EF">
        <w:rPr>
          <w:rFonts w:ascii="Garamond" w:hAnsi="Garamond"/>
          <w:color w:val="000000"/>
        </w:rPr>
        <w:t xml:space="preserve"> </w:t>
      </w:r>
      <w:bookmarkStart w:id="14" w:name="_exx6wqh8k4in" w:colFirst="0" w:colLast="0"/>
      <w:bookmarkEnd w:id="14"/>
      <w:r w:rsidR="00696FFD">
        <w:rPr>
          <w:rFonts w:ascii="Garamond" w:hAnsi="Garamond"/>
          <w:color w:val="000000"/>
        </w:rPr>
        <w:t xml:space="preserve">These contradictions add further weight to the case for a review of public confidence reasoning. </w:t>
      </w:r>
    </w:p>
    <w:p w14:paraId="7AEE09A2" w14:textId="77777777" w:rsidR="00557614" w:rsidRPr="00BF19C4" w:rsidRDefault="00557614" w:rsidP="00E051CC">
      <w:pPr>
        <w:pStyle w:val="Normal1"/>
        <w:spacing w:line="480" w:lineRule="auto"/>
      </w:pPr>
      <w:bookmarkStart w:id="15" w:name="_wmmh2hsdadi0" w:colFirst="0" w:colLast="0"/>
      <w:bookmarkStart w:id="16" w:name="_a5r59x6hrg01" w:colFirst="0" w:colLast="0"/>
      <w:bookmarkEnd w:id="15"/>
      <w:bookmarkEnd w:id="16"/>
    </w:p>
    <w:p w14:paraId="741FB802" w14:textId="32E6CABC" w:rsidR="00557614" w:rsidRPr="009321EF" w:rsidRDefault="007D1D9B" w:rsidP="00E051CC">
      <w:pPr>
        <w:pStyle w:val="Normal1"/>
        <w:spacing w:line="480" w:lineRule="auto"/>
        <w:rPr>
          <w:bCs/>
        </w:rPr>
      </w:pPr>
      <w:r w:rsidRPr="009321EF">
        <w:rPr>
          <w:b/>
          <w:bCs/>
        </w:rPr>
        <w:t>Loose thinking: c</w:t>
      </w:r>
      <w:r w:rsidR="00557614" w:rsidRPr="009321EF">
        <w:rPr>
          <w:b/>
          <w:bCs/>
        </w:rPr>
        <w:t>onfidence in the profession</w:t>
      </w:r>
      <w:r w:rsidRPr="009321EF">
        <w:rPr>
          <w:b/>
          <w:bCs/>
        </w:rPr>
        <w:t xml:space="preserve">, protecting </w:t>
      </w:r>
      <w:r w:rsidR="007E2C72">
        <w:rPr>
          <w:b/>
          <w:bCs/>
        </w:rPr>
        <w:t>‘</w:t>
      </w:r>
      <w:r w:rsidRPr="009321EF">
        <w:rPr>
          <w:b/>
          <w:bCs/>
        </w:rPr>
        <w:t>reputation</w:t>
      </w:r>
      <w:r w:rsidR="007E2C72">
        <w:rPr>
          <w:b/>
          <w:bCs/>
        </w:rPr>
        <w:t>’</w:t>
      </w:r>
      <w:r w:rsidRPr="009321EF">
        <w:rPr>
          <w:b/>
          <w:bCs/>
        </w:rPr>
        <w:t xml:space="preserve"> or room for retribution</w:t>
      </w:r>
      <w:r w:rsidR="00557614" w:rsidRPr="009321EF">
        <w:rPr>
          <w:b/>
          <w:bCs/>
        </w:rPr>
        <w:t xml:space="preserve">? </w:t>
      </w:r>
    </w:p>
    <w:p w14:paraId="062B64E1" w14:textId="77777777" w:rsidR="00EF1C42" w:rsidRPr="009321EF" w:rsidRDefault="00EF1C42" w:rsidP="00E051CC">
      <w:pPr>
        <w:pStyle w:val="Normal1"/>
        <w:spacing w:line="480" w:lineRule="auto"/>
      </w:pPr>
    </w:p>
    <w:p w14:paraId="35984E47" w14:textId="77425938" w:rsidR="009054B8" w:rsidRDefault="004C37CC" w:rsidP="005F60A8">
      <w:pPr>
        <w:spacing w:line="480" w:lineRule="auto"/>
        <w:jc w:val="both"/>
        <w:rPr>
          <w:rFonts w:ascii="Garamond" w:hAnsi="Garamond" w:cs="Times New Roman"/>
        </w:rPr>
      </w:pPr>
      <w:r>
        <w:rPr>
          <w:rFonts w:ascii="Garamond" w:hAnsi="Garamond" w:cs="Times New Roman"/>
        </w:rPr>
        <w:t>Whilst it is not disputed that c</w:t>
      </w:r>
      <w:r w:rsidRPr="004C37CC">
        <w:rPr>
          <w:rFonts w:ascii="Garamond" w:hAnsi="Garamond" w:cs="Times New Roman"/>
        </w:rPr>
        <w:t>onfidence in clinician</w:t>
      </w:r>
      <w:r w:rsidR="00C63B50">
        <w:rPr>
          <w:rFonts w:ascii="Garamond" w:hAnsi="Garamond" w:cs="Times New Roman"/>
        </w:rPr>
        <w:t>s</w:t>
      </w:r>
      <w:r w:rsidRPr="004C37CC">
        <w:rPr>
          <w:rFonts w:ascii="Garamond" w:hAnsi="Garamond" w:cs="Times New Roman"/>
        </w:rPr>
        <w:t xml:space="preserve"> is a vital part of medicine and without it a doctor cannot do her job</w:t>
      </w:r>
      <w:r>
        <w:rPr>
          <w:rFonts w:ascii="Garamond" w:hAnsi="Garamond" w:cs="Times New Roman"/>
        </w:rPr>
        <w:t>,</w:t>
      </w:r>
      <w:r w:rsidRPr="004C37CC">
        <w:rPr>
          <w:rFonts w:ascii="Garamond" w:hAnsi="Garamond" w:cs="Times New Roman"/>
          <w:vertAlign w:val="superscript"/>
        </w:rPr>
        <w:footnoteReference w:id="77"/>
      </w:r>
      <w:r w:rsidRPr="004C37CC">
        <w:rPr>
          <w:rFonts w:ascii="Garamond" w:hAnsi="Garamond" w:cs="Times New Roman"/>
        </w:rPr>
        <w:t xml:space="preserve"> </w:t>
      </w:r>
      <w:r>
        <w:rPr>
          <w:rFonts w:ascii="Garamond" w:hAnsi="Garamond" w:cs="Times New Roman"/>
        </w:rPr>
        <w:t>t</w:t>
      </w:r>
      <w:r w:rsidR="006C439D" w:rsidRPr="00BF19C4">
        <w:rPr>
          <w:rFonts w:ascii="Garamond" w:hAnsi="Garamond" w:cs="Times New Roman"/>
        </w:rPr>
        <w:t xml:space="preserve">he judgment in </w:t>
      </w:r>
      <w:proofErr w:type="spellStart"/>
      <w:r w:rsidR="006C439D" w:rsidRPr="00BF19C4">
        <w:rPr>
          <w:rFonts w:ascii="Garamond" w:hAnsi="Garamond" w:cs="Times New Roman"/>
          <w:i/>
          <w:iCs/>
        </w:rPr>
        <w:t>Bawa-Garba</w:t>
      </w:r>
      <w:proofErr w:type="spellEnd"/>
      <w:r w:rsidR="006C439D" w:rsidRPr="00BF19C4">
        <w:rPr>
          <w:rFonts w:ascii="Garamond" w:hAnsi="Garamond" w:cs="Times New Roman"/>
          <w:i/>
          <w:iCs/>
        </w:rPr>
        <w:t xml:space="preserve"> </w:t>
      </w:r>
      <w:r w:rsidR="00AA2683">
        <w:rPr>
          <w:rFonts w:ascii="Garamond" w:hAnsi="Garamond" w:cs="Times New Roman"/>
        </w:rPr>
        <w:t>leaves</w:t>
      </w:r>
      <w:r w:rsidR="006C439D" w:rsidRPr="00BF19C4">
        <w:rPr>
          <w:rFonts w:ascii="Garamond" w:hAnsi="Garamond" w:cs="Times New Roman"/>
        </w:rPr>
        <w:t xml:space="preserve"> us no clearer on what the substantive content of </w:t>
      </w:r>
      <w:r w:rsidR="00C63B50">
        <w:rPr>
          <w:rFonts w:ascii="Garamond" w:hAnsi="Garamond" w:cs="Times New Roman"/>
        </w:rPr>
        <w:t xml:space="preserve">‘maintaining and </w:t>
      </w:r>
      <w:r w:rsidR="006C439D" w:rsidRPr="00BF19C4">
        <w:rPr>
          <w:rFonts w:ascii="Garamond" w:hAnsi="Garamond" w:cs="Times New Roman"/>
        </w:rPr>
        <w:t>promoting public confidence</w:t>
      </w:r>
      <w:r w:rsidR="00C63B50">
        <w:rPr>
          <w:rFonts w:ascii="Garamond" w:hAnsi="Garamond" w:cs="Times New Roman"/>
        </w:rPr>
        <w:t>’</w:t>
      </w:r>
      <w:r w:rsidR="006C439D" w:rsidRPr="00BF19C4">
        <w:rPr>
          <w:rFonts w:ascii="Garamond" w:hAnsi="Garamond" w:cs="Times New Roman"/>
        </w:rPr>
        <w:t xml:space="preserve"> is. </w:t>
      </w:r>
      <w:r w:rsidR="00AA2683">
        <w:rPr>
          <w:rFonts w:ascii="Garamond" w:hAnsi="Garamond" w:cs="Times New Roman"/>
        </w:rPr>
        <w:t>There are questions, for example, as to whether it can be equated with protecting the ‘</w:t>
      </w:r>
      <w:r w:rsidR="008411F9">
        <w:rPr>
          <w:rFonts w:ascii="Garamond" w:hAnsi="Garamond" w:cs="Times New Roman"/>
        </w:rPr>
        <w:t>reputation’ of the profession.</w:t>
      </w:r>
      <w:r w:rsidR="005F60A8">
        <w:rPr>
          <w:rFonts w:ascii="Garamond" w:hAnsi="Garamond" w:cs="Times New Roman"/>
        </w:rPr>
        <w:t xml:space="preserve"> </w:t>
      </w:r>
      <w:r w:rsidR="00696FFD">
        <w:rPr>
          <w:rFonts w:ascii="Garamond" w:hAnsi="Garamond" w:cs="Times New Roman"/>
        </w:rPr>
        <w:t>Consultation prior to t</w:t>
      </w:r>
      <w:r w:rsidR="005F60A8" w:rsidRPr="005F60A8">
        <w:rPr>
          <w:rFonts w:ascii="Garamond" w:hAnsi="Garamond" w:cs="Times New Roman"/>
        </w:rPr>
        <w:t xml:space="preserve">he </w:t>
      </w:r>
      <w:r w:rsidR="005F60A8">
        <w:rPr>
          <w:rFonts w:ascii="Garamond" w:hAnsi="Garamond" w:cs="Times New Roman"/>
        </w:rPr>
        <w:t>2015 reform</w:t>
      </w:r>
      <w:r w:rsidR="00696FFD">
        <w:rPr>
          <w:rFonts w:ascii="Garamond" w:hAnsi="Garamond" w:cs="Times New Roman"/>
        </w:rPr>
        <w:t>s</w:t>
      </w:r>
      <w:r w:rsidR="005F60A8">
        <w:rPr>
          <w:rFonts w:ascii="Garamond" w:hAnsi="Garamond" w:cs="Times New Roman"/>
        </w:rPr>
        <w:t xml:space="preserve"> </w:t>
      </w:r>
      <w:r w:rsidR="005F60A8" w:rsidRPr="005F60A8">
        <w:rPr>
          <w:rFonts w:ascii="Garamond" w:hAnsi="Garamond" w:cs="Times New Roman"/>
        </w:rPr>
        <w:t xml:space="preserve">provoked </w:t>
      </w:r>
      <w:r w:rsidR="000A748B">
        <w:rPr>
          <w:rFonts w:ascii="Garamond" w:hAnsi="Garamond" w:cs="Times New Roman"/>
        </w:rPr>
        <w:t>a prophetic warning</w:t>
      </w:r>
      <w:r w:rsidR="005F60A8" w:rsidRPr="005F60A8">
        <w:rPr>
          <w:rFonts w:ascii="Garamond" w:hAnsi="Garamond" w:cs="Times New Roman"/>
        </w:rPr>
        <w:t xml:space="preserve"> from the British Medical Association that over</w:t>
      </w:r>
      <w:r w:rsidR="000A748B">
        <w:rPr>
          <w:rFonts w:ascii="Garamond" w:hAnsi="Garamond" w:cs="Times New Roman"/>
        </w:rPr>
        <w:t>-</w:t>
      </w:r>
      <w:r w:rsidR="005F60A8" w:rsidRPr="005F60A8">
        <w:rPr>
          <w:rFonts w:ascii="Garamond" w:hAnsi="Garamond" w:cs="Times New Roman"/>
        </w:rPr>
        <w:t>emphasis</w:t>
      </w:r>
      <w:r w:rsidR="000A748B">
        <w:rPr>
          <w:rFonts w:ascii="Garamond" w:hAnsi="Garamond" w:cs="Times New Roman"/>
        </w:rPr>
        <w:t>ing</w:t>
      </w:r>
      <w:r w:rsidR="005F60A8" w:rsidRPr="005F60A8">
        <w:rPr>
          <w:rFonts w:ascii="Garamond" w:hAnsi="Garamond" w:cs="Times New Roman"/>
        </w:rPr>
        <w:t xml:space="preserve"> public confidence could result in competent clinicians being ‘punished’ for the sake of the profession’s reputation.</w:t>
      </w:r>
      <w:r w:rsidR="005F60A8" w:rsidRPr="005F60A8">
        <w:rPr>
          <w:rFonts w:ascii="Garamond" w:hAnsi="Garamond" w:cs="Times New Roman"/>
          <w:vertAlign w:val="superscript"/>
        </w:rPr>
        <w:footnoteReference w:id="78"/>
      </w:r>
      <w:r w:rsidR="005F60A8" w:rsidRPr="005F60A8">
        <w:rPr>
          <w:rFonts w:ascii="Garamond" w:hAnsi="Garamond" w:cs="Times New Roman"/>
        </w:rPr>
        <w:t xml:space="preserve"> </w:t>
      </w:r>
      <w:r w:rsidR="008411F9">
        <w:rPr>
          <w:rFonts w:ascii="Garamond" w:hAnsi="Garamond" w:cs="Times New Roman"/>
        </w:rPr>
        <w:t xml:space="preserve"> </w:t>
      </w:r>
      <w:r w:rsidR="0022642D" w:rsidRPr="009321EF">
        <w:rPr>
          <w:rFonts w:ascii="Garamond" w:hAnsi="Garamond" w:cs="Times New Roman"/>
        </w:rPr>
        <w:t xml:space="preserve">In </w:t>
      </w:r>
      <w:r w:rsidR="0022642D" w:rsidRPr="009321EF">
        <w:rPr>
          <w:rFonts w:ascii="Garamond" w:hAnsi="Garamond" w:cs="Times New Roman"/>
          <w:i/>
          <w:iCs/>
        </w:rPr>
        <w:t>Bolton v Law Society</w:t>
      </w:r>
      <w:r w:rsidR="0022642D" w:rsidRPr="009321EF">
        <w:rPr>
          <w:rFonts w:ascii="Garamond" w:hAnsi="Garamond" w:cs="Times New Roman"/>
        </w:rPr>
        <w:t xml:space="preserve">, a case </w:t>
      </w:r>
      <w:r w:rsidR="009054B8" w:rsidRPr="00BF19C4">
        <w:rPr>
          <w:rFonts w:ascii="Garamond" w:hAnsi="Garamond" w:cs="Times New Roman"/>
        </w:rPr>
        <w:t>concerned with the regulation of solicitor</w:t>
      </w:r>
      <w:r w:rsidR="008411F9">
        <w:rPr>
          <w:rFonts w:ascii="Garamond" w:hAnsi="Garamond" w:cs="Times New Roman"/>
        </w:rPr>
        <w:t>s</w:t>
      </w:r>
      <w:r w:rsidR="00AA2683">
        <w:rPr>
          <w:rFonts w:ascii="Garamond" w:hAnsi="Garamond" w:cs="Times New Roman"/>
        </w:rPr>
        <w:t>,</w:t>
      </w:r>
      <w:r w:rsidR="0022642D" w:rsidRPr="009321EF">
        <w:rPr>
          <w:rStyle w:val="FootnoteReference"/>
          <w:rFonts w:ascii="Garamond" w:hAnsi="Garamond" w:cs="Times New Roman"/>
        </w:rPr>
        <w:footnoteReference w:id="79"/>
      </w:r>
      <w:r w:rsidR="0022642D" w:rsidRPr="009321EF">
        <w:rPr>
          <w:rFonts w:ascii="Garamond" w:hAnsi="Garamond" w:cs="Times New Roman"/>
        </w:rPr>
        <w:t xml:space="preserve"> Sir Thomas Bingham </w:t>
      </w:r>
      <w:r w:rsidR="00A20AAE" w:rsidRPr="00BF19C4">
        <w:rPr>
          <w:rFonts w:ascii="Garamond" w:hAnsi="Garamond" w:cs="Times New Roman"/>
        </w:rPr>
        <w:t xml:space="preserve">had </w:t>
      </w:r>
      <w:r w:rsidR="0022642D" w:rsidRPr="009321EF">
        <w:rPr>
          <w:rFonts w:ascii="Garamond" w:hAnsi="Garamond" w:cs="Times New Roman"/>
        </w:rPr>
        <w:t>stated that when the p</w:t>
      </w:r>
      <w:r w:rsidR="00A20AAE" w:rsidRPr="00BF19C4">
        <w:rPr>
          <w:rFonts w:ascii="Garamond" w:hAnsi="Garamond" w:cs="Times New Roman"/>
        </w:rPr>
        <w:t xml:space="preserve">rofession’s </w:t>
      </w:r>
      <w:r w:rsidR="00BF19C4">
        <w:rPr>
          <w:rFonts w:ascii="Garamond" w:hAnsi="Garamond" w:cs="Times New Roman"/>
        </w:rPr>
        <w:t>'</w:t>
      </w:r>
      <w:r w:rsidR="00A20AAE" w:rsidRPr="00BF19C4">
        <w:rPr>
          <w:rFonts w:ascii="Garamond" w:hAnsi="Garamond" w:cs="Times New Roman"/>
        </w:rPr>
        <w:t>reputation</w:t>
      </w:r>
      <w:r w:rsidR="00BF19C4">
        <w:rPr>
          <w:rFonts w:ascii="Garamond" w:hAnsi="Garamond" w:cs="Times New Roman"/>
        </w:rPr>
        <w:t>’</w:t>
      </w:r>
      <w:r w:rsidR="0022642D" w:rsidRPr="009321EF">
        <w:rPr>
          <w:rFonts w:ascii="Garamond" w:hAnsi="Garamond" w:cs="Times New Roman"/>
        </w:rPr>
        <w:t xml:space="preserve"> was at risk, an individual could justifiably be expelled from the profession</w:t>
      </w:r>
      <w:r w:rsidR="00791C82">
        <w:rPr>
          <w:rFonts w:ascii="Garamond" w:hAnsi="Garamond" w:cs="Times New Roman"/>
        </w:rPr>
        <w:t xml:space="preserve"> and that the ‘most fundamental of all’ purposes of professional sanction</w:t>
      </w:r>
      <w:r w:rsidR="00791C82" w:rsidRPr="00791C82">
        <w:rPr>
          <w:rFonts w:ascii="Garamond" w:hAnsi="Garamond" w:cs="Times New Roman"/>
        </w:rPr>
        <w:t xml:space="preserve"> was to ‘</w:t>
      </w:r>
      <w:r w:rsidR="00791C82" w:rsidRPr="00791C82">
        <w:rPr>
          <w:rFonts w:ascii="Garamond" w:hAnsi="Garamond"/>
          <w:color w:val="000000"/>
        </w:rPr>
        <w:t xml:space="preserve">maintain the reputation of the </w:t>
      </w:r>
      <w:r w:rsidR="00791C82" w:rsidRPr="00791C82">
        <w:rPr>
          <w:rFonts w:ascii="Garamond" w:hAnsi="Garamond"/>
          <w:color w:val="000000"/>
        </w:rPr>
        <w:lastRenderedPageBreak/>
        <w:t>solicitors' profession as one in which every member, of whatever standing, may be trusted to the ends of the earth.’</w:t>
      </w:r>
      <w:r w:rsidR="0022642D" w:rsidRPr="009321EF">
        <w:rPr>
          <w:rStyle w:val="FootnoteReference"/>
          <w:rFonts w:ascii="Garamond" w:hAnsi="Garamond" w:cs="Times New Roman"/>
        </w:rPr>
        <w:footnoteReference w:id="80"/>
      </w:r>
      <w:r w:rsidR="0022642D" w:rsidRPr="009321EF">
        <w:rPr>
          <w:rFonts w:ascii="Garamond" w:hAnsi="Garamond" w:cs="Times New Roman"/>
        </w:rPr>
        <w:t xml:space="preserve"> </w:t>
      </w:r>
      <w:r w:rsidR="003C106F" w:rsidRPr="009321EF">
        <w:rPr>
          <w:rFonts w:ascii="Garamond" w:hAnsi="Garamond" w:cs="Times New Roman"/>
        </w:rPr>
        <w:t xml:space="preserve">Whilst </w:t>
      </w:r>
      <w:r w:rsidR="00D66C17" w:rsidRPr="009321EF">
        <w:rPr>
          <w:rFonts w:ascii="Garamond" w:hAnsi="Garamond" w:cs="Times New Roman"/>
        </w:rPr>
        <w:t xml:space="preserve">historically </w:t>
      </w:r>
      <w:r w:rsidR="003C106F" w:rsidRPr="009321EF">
        <w:rPr>
          <w:rFonts w:ascii="Garamond" w:hAnsi="Garamond" w:cs="Times New Roman"/>
        </w:rPr>
        <w:t xml:space="preserve">there was a lack of clarity in the case law over whether </w:t>
      </w:r>
      <w:r w:rsidR="00D66C17" w:rsidRPr="009321EF">
        <w:rPr>
          <w:rFonts w:ascii="Garamond" w:hAnsi="Garamond" w:cs="Times New Roman"/>
          <w:i/>
          <w:iCs/>
        </w:rPr>
        <w:t xml:space="preserve">Bolton </w:t>
      </w:r>
      <w:r w:rsidR="00D66C17" w:rsidRPr="009321EF">
        <w:rPr>
          <w:rFonts w:ascii="Garamond" w:hAnsi="Garamond" w:cs="Times New Roman"/>
        </w:rPr>
        <w:t>had application to the medical profession</w:t>
      </w:r>
      <w:r w:rsidR="00CF0577">
        <w:rPr>
          <w:rFonts w:ascii="Garamond" w:hAnsi="Garamond" w:cs="Times New Roman"/>
        </w:rPr>
        <w:t>,</w:t>
      </w:r>
      <w:r w:rsidR="00487427" w:rsidRPr="009321EF">
        <w:rPr>
          <w:rStyle w:val="FootnoteReference"/>
          <w:rFonts w:ascii="Garamond" w:hAnsi="Garamond" w:cs="Times New Roman"/>
        </w:rPr>
        <w:footnoteReference w:id="81"/>
      </w:r>
      <w:r w:rsidR="00D66C17" w:rsidRPr="009321EF">
        <w:rPr>
          <w:rFonts w:ascii="Garamond" w:hAnsi="Garamond" w:cs="Times New Roman"/>
        </w:rPr>
        <w:t xml:space="preserve"> the </w:t>
      </w:r>
      <w:r w:rsidR="00A07437">
        <w:rPr>
          <w:rFonts w:ascii="Garamond" w:hAnsi="Garamond" w:cs="Times New Roman"/>
        </w:rPr>
        <w:t xml:space="preserve">Court of Appeal in </w:t>
      </w:r>
      <w:proofErr w:type="spellStart"/>
      <w:r w:rsidR="00260708" w:rsidRPr="009321EF">
        <w:rPr>
          <w:rFonts w:ascii="Garamond" w:hAnsi="Garamond" w:cs="Times New Roman"/>
          <w:i/>
          <w:iCs/>
        </w:rPr>
        <w:t>Bawa</w:t>
      </w:r>
      <w:r w:rsidR="00766073" w:rsidRPr="009321EF">
        <w:rPr>
          <w:rFonts w:ascii="Garamond" w:hAnsi="Garamond" w:cs="Times New Roman"/>
          <w:i/>
          <w:iCs/>
        </w:rPr>
        <w:t>-Garba</w:t>
      </w:r>
      <w:proofErr w:type="spellEnd"/>
      <w:r w:rsidR="00283082">
        <w:rPr>
          <w:rFonts w:ascii="Garamond" w:hAnsi="Garamond" w:cs="Times New Roman"/>
          <w:i/>
          <w:iCs/>
        </w:rPr>
        <w:t>,</w:t>
      </w:r>
      <w:r w:rsidR="00A07437">
        <w:rPr>
          <w:rFonts w:ascii="Garamond" w:hAnsi="Garamond" w:cs="Times New Roman"/>
        </w:rPr>
        <w:t xml:space="preserve"> and </w:t>
      </w:r>
      <w:r w:rsidR="00283082">
        <w:rPr>
          <w:rFonts w:ascii="Garamond" w:hAnsi="Garamond" w:cs="Times New Roman"/>
        </w:rPr>
        <w:t>subsequently</w:t>
      </w:r>
      <w:r w:rsidR="00A07437">
        <w:rPr>
          <w:rFonts w:ascii="Garamond" w:hAnsi="Garamond" w:cs="Times New Roman"/>
        </w:rPr>
        <w:t xml:space="preserve"> in </w:t>
      </w:r>
      <w:r w:rsidR="00283082" w:rsidRPr="00283082">
        <w:rPr>
          <w:rFonts w:ascii="Garamond" w:hAnsi="Garamond" w:cs="Times New Roman"/>
          <w:i/>
          <w:iCs/>
        </w:rPr>
        <w:t xml:space="preserve">GMC v </w:t>
      </w:r>
      <w:r w:rsidR="00A07437">
        <w:rPr>
          <w:rFonts w:ascii="Garamond" w:hAnsi="Garamond" w:cs="Times New Roman"/>
          <w:i/>
          <w:iCs/>
        </w:rPr>
        <w:t>Chandra</w:t>
      </w:r>
      <w:r w:rsidR="00283082">
        <w:rPr>
          <w:rFonts w:ascii="Garamond" w:hAnsi="Garamond" w:cs="Times New Roman"/>
          <w:i/>
          <w:iCs/>
        </w:rPr>
        <w:t>,</w:t>
      </w:r>
      <w:r w:rsidR="00A07437">
        <w:rPr>
          <w:rFonts w:ascii="Garamond" w:hAnsi="Garamond" w:cs="Times New Roman"/>
          <w:i/>
          <w:iCs/>
        </w:rPr>
        <w:t xml:space="preserve"> </w:t>
      </w:r>
      <w:r w:rsidR="00D66C17" w:rsidRPr="009321EF">
        <w:rPr>
          <w:rFonts w:ascii="Garamond" w:hAnsi="Garamond" w:cs="Times New Roman"/>
        </w:rPr>
        <w:t>confirmed</w:t>
      </w:r>
      <w:r w:rsidR="00A07437">
        <w:rPr>
          <w:rFonts w:ascii="Garamond" w:hAnsi="Garamond" w:cs="Times New Roman"/>
        </w:rPr>
        <w:t xml:space="preserve"> that the ‘</w:t>
      </w:r>
      <w:r w:rsidR="00A07437" w:rsidRPr="008411F9">
        <w:rPr>
          <w:rFonts w:ascii="Garamond" w:hAnsi="Garamond" w:cs="Times New Roman"/>
          <w:i/>
          <w:iCs/>
        </w:rPr>
        <w:t>Bolton</w:t>
      </w:r>
      <w:r w:rsidR="00A07437">
        <w:rPr>
          <w:rFonts w:ascii="Garamond" w:hAnsi="Garamond" w:cs="Times New Roman"/>
        </w:rPr>
        <w:t xml:space="preserve"> principles’ applied ‘equally to doctors as solicitors</w:t>
      </w:r>
      <w:r w:rsidR="00791C82">
        <w:rPr>
          <w:rFonts w:ascii="Garamond" w:hAnsi="Garamond" w:cs="Times New Roman"/>
        </w:rPr>
        <w:t>.</w:t>
      </w:r>
      <w:r w:rsidR="00A07437">
        <w:rPr>
          <w:rFonts w:ascii="Garamond" w:hAnsi="Garamond" w:cs="Times New Roman"/>
        </w:rPr>
        <w:t>’</w:t>
      </w:r>
      <w:r w:rsidR="00D66C17" w:rsidRPr="009321EF">
        <w:rPr>
          <w:rStyle w:val="FootnoteReference"/>
          <w:rFonts w:ascii="Garamond" w:hAnsi="Garamond" w:cs="Times New Roman"/>
        </w:rPr>
        <w:footnoteReference w:id="82"/>
      </w:r>
      <w:r w:rsidR="00AA2683">
        <w:rPr>
          <w:rFonts w:ascii="Garamond" w:hAnsi="Garamond" w:cs="Times New Roman"/>
        </w:rPr>
        <w:t xml:space="preserve"> </w:t>
      </w:r>
      <w:r w:rsidR="00791C82">
        <w:rPr>
          <w:rFonts w:ascii="Garamond" w:hAnsi="Garamond" w:cs="Times New Roman"/>
        </w:rPr>
        <w:t>N</w:t>
      </w:r>
      <w:r w:rsidR="00AA2683">
        <w:rPr>
          <w:rFonts w:ascii="Garamond" w:hAnsi="Garamond" w:cs="Times New Roman"/>
        </w:rPr>
        <w:t xml:space="preserve">o comment was made about </w:t>
      </w:r>
      <w:r w:rsidR="00791C82">
        <w:rPr>
          <w:rFonts w:ascii="Garamond" w:hAnsi="Garamond" w:cs="Times New Roman"/>
        </w:rPr>
        <w:t xml:space="preserve">Lord Bingham’s use of </w:t>
      </w:r>
      <w:r w:rsidR="00AA2683">
        <w:rPr>
          <w:rFonts w:ascii="Garamond" w:hAnsi="Garamond" w:cs="Times New Roman"/>
        </w:rPr>
        <w:t>the language of ‘reputation</w:t>
      </w:r>
      <w:r w:rsidR="00791C82">
        <w:rPr>
          <w:rFonts w:ascii="Garamond" w:hAnsi="Garamond" w:cs="Times New Roman"/>
        </w:rPr>
        <w:t>,</w:t>
      </w:r>
      <w:r w:rsidR="00AA2683">
        <w:rPr>
          <w:rFonts w:ascii="Garamond" w:hAnsi="Garamond" w:cs="Times New Roman"/>
        </w:rPr>
        <w:t>’</w:t>
      </w:r>
      <w:r w:rsidR="00791C82">
        <w:rPr>
          <w:rFonts w:ascii="Garamond" w:hAnsi="Garamond" w:cs="Times New Roman"/>
          <w:i/>
          <w:iCs/>
        </w:rPr>
        <w:t xml:space="preserve"> </w:t>
      </w:r>
      <w:r w:rsidR="00791C82">
        <w:rPr>
          <w:rFonts w:ascii="Garamond" w:hAnsi="Garamond" w:cs="Times New Roman"/>
        </w:rPr>
        <w:t>which jars with the statutory language of ‘protecting the public’.</w:t>
      </w:r>
      <w:r w:rsidR="00791C82">
        <w:rPr>
          <w:rStyle w:val="FootnoteReference"/>
          <w:rFonts w:ascii="Garamond" w:hAnsi="Garamond" w:cs="Times New Roman"/>
        </w:rPr>
        <w:footnoteReference w:id="83"/>
      </w:r>
      <w:r w:rsidR="00791C82">
        <w:rPr>
          <w:rFonts w:ascii="Garamond" w:hAnsi="Garamond" w:cs="Times New Roman"/>
        </w:rPr>
        <w:t xml:space="preserve"> </w:t>
      </w:r>
      <w:r w:rsidR="00A20AAE">
        <w:rPr>
          <w:rFonts w:ascii="Garamond" w:hAnsi="Garamond" w:cs="Times New Roman"/>
        </w:rPr>
        <w:t xml:space="preserve">Tribunal decisions and judgments grappling with public confidence issues </w:t>
      </w:r>
      <w:r w:rsidR="00BF19C4">
        <w:rPr>
          <w:rFonts w:ascii="Garamond" w:hAnsi="Garamond" w:cs="Times New Roman"/>
        </w:rPr>
        <w:t xml:space="preserve">in fact </w:t>
      </w:r>
      <w:r w:rsidR="00A20AAE">
        <w:rPr>
          <w:rFonts w:ascii="Garamond" w:hAnsi="Garamond" w:cs="Times New Roman"/>
        </w:rPr>
        <w:t xml:space="preserve">routinely rely on </w:t>
      </w:r>
      <w:r w:rsidR="00BF19C4">
        <w:rPr>
          <w:rFonts w:ascii="Garamond" w:hAnsi="Garamond" w:cs="Times New Roman"/>
        </w:rPr>
        <w:t xml:space="preserve">Lord Bingham’s </w:t>
      </w:r>
      <w:r w:rsidR="00A20AAE">
        <w:rPr>
          <w:rFonts w:ascii="Garamond" w:hAnsi="Garamond" w:cs="Times New Roman"/>
        </w:rPr>
        <w:t xml:space="preserve">speech </w:t>
      </w:r>
      <w:r w:rsidR="00BF19C4">
        <w:rPr>
          <w:rFonts w:ascii="Garamond" w:hAnsi="Garamond" w:cs="Times New Roman"/>
        </w:rPr>
        <w:t>in</w:t>
      </w:r>
      <w:r w:rsidR="00A20AAE">
        <w:rPr>
          <w:rFonts w:ascii="Garamond" w:hAnsi="Garamond" w:cs="Times New Roman"/>
        </w:rPr>
        <w:t xml:space="preserve"> </w:t>
      </w:r>
      <w:r w:rsidR="00A20AAE">
        <w:rPr>
          <w:rFonts w:ascii="Garamond" w:hAnsi="Garamond" w:cs="Times New Roman"/>
          <w:i/>
          <w:iCs/>
        </w:rPr>
        <w:t>Bolton</w:t>
      </w:r>
      <w:r w:rsidR="00A20AAE">
        <w:rPr>
          <w:rFonts w:ascii="Garamond" w:hAnsi="Garamond" w:cs="Times New Roman"/>
        </w:rPr>
        <w:t xml:space="preserve">, </w:t>
      </w:r>
      <w:bookmarkStart w:id="17" w:name="_Hlk30081211"/>
      <w:r w:rsidR="00BF19C4">
        <w:rPr>
          <w:rFonts w:ascii="Garamond" w:hAnsi="Garamond" w:cs="Times New Roman"/>
        </w:rPr>
        <w:t xml:space="preserve">consequently </w:t>
      </w:r>
      <w:r w:rsidR="00772DB6" w:rsidRPr="00D50781">
        <w:rPr>
          <w:rFonts w:ascii="Garamond" w:hAnsi="Garamond" w:cs="Times New Roman"/>
        </w:rPr>
        <w:t>th</w:t>
      </w:r>
      <w:r w:rsidR="00772DB6">
        <w:rPr>
          <w:rFonts w:ascii="Garamond" w:hAnsi="Garamond" w:cs="Times New Roman"/>
        </w:rPr>
        <w:t>e</w:t>
      </w:r>
      <w:r w:rsidR="00772DB6" w:rsidRPr="00D50781">
        <w:rPr>
          <w:rFonts w:ascii="Garamond" w:hAnsi="Garamond" w:cs="Times New Roman"/>
        </w:rPr>
        <w:t xml:space="preserve"> language</w:t>
      </w:r>
      <w:r w:rsidR="00772DB6">
        <w:rPr>
          <w:rFonts w:ascii="Garamond" w:hAnsi="Garamond" w:cs="Times New Roman"/>
        </w:rPr>
        <w:t xml:space="preserve"> of the ‘profession’s reputation’</w:t>
      </w:r>
      <w:r w:rsidR="00772DB6" w:rsidRPr="00D50781">
        <w:rPr>
          <w:rFonts w:ascii="Garamond" w:hAnsi="Garamond" w:cs="Times New Roman"/>
        </w:rPr>
        <w:t xml:space="preserve"> </w:t>
      </w:r>
      <w:r w:rsidR="000A748B">
        <w:rPr>
          <w:rFonts w:ascii="Garamond" w:hAnsi="Garamond" w:cs="Times New Roman"/>
        </w:rPr>
        <w:t>appears</w:t>
      </w:r>
      <w:r w:rsidR="00CB384A">
        <w:rPr>
          <w:rFonts w:ascii="Garamond" w:hAnsi="Garamond" w:cs="Times New Roman"/>
        </w:rPr>
        <w:t xml:space="preserve"> </w:t>
      </w:r>
      <w:r w:rsidR="00772DB6" w:rsidRPr="00D50781">
        <w:rPr>
          <w:rFonts w:ascii="Garamond" w:hAnsi="Garamond" w:cs="Times New Roman"/>
        </w:rPr>
        <w:t xml:space="preserve">in </w:t>
      </w:r>
      <w:r w:rsidR="00C63B50">
        <w:rPr>
          <w:rFonts w:ascii="Garamond" w:hAnsi="Garamond" w:cs="Times New Roman"/>
        </w:rPr>
        <w:t xml:space="preserve">recent </w:t>
      </w:r>
      <w:r w:rsidR="00772DB6" w:rsidRPr="00D50781">
        <w:rPr>
          <w:rFonts w:ascii="Garamond" w:hAnsi="Garamond" w:cs="Times New Roman"/>
        </w:rPr>
        <w:t>appeal judgments</w:t>
      </w:r>
      <w:r w:rsidR="00186550">
        <w:rPr>
          <w:rFonts w:ascii="Garamond" w:hAnsi="Garamond" w:cs="Times New Roman"/>
        </w:rPr>
        <w:t>,</w:t>
      </w:r>
      <w:r w:rsidR="00772DB6" w:rsidRPr="00D50781">
        <w:rPr>
          <w:rStyle w:val="FootnoteReference"/>
          <w:rFonts w:ascii="Garamond" w:hAnsi="Garamond" w:cs="Times New Roman"/>
        </w:rPr>
        <w:footnoteReference w:id="84"/>
      </w:r>
      <w:r w:rsidR="00772DB6" w:rsidRPr="00D50781">
        <w:rPr>
          <w:rFonts w:ascii="Garamond" w:hAnsi="Garamond" w:cs="Times New Roman"/>
        </w:rPr>
        <w:t xml:space="preserve"> </w:t>
      </w:r>
      <w:bookmarkEnd w:id="17"/>
      <w:r w:rsidR="00772DB6" w:rsidRPr="00D50781">
        <w:rPr>
          <w:rFonts w:ascii="Garamond" w:hAnsi="Garamond" w:cs="Times New Roman"/>
        </w:rPr>
        <w:t>and is evident in key documents such as the</w:t>
      </w:r>
      <w:r w:rsidR="00772DB6">
        <w:rPr>
          <w:rFonts w:ascii="Garamond" w:hAnsi="Garamond" w:cs="Times New Roman"/>
        </w:rPr>
        <w:t xml:space="preserve"> MPTS </w:t>
      </w:r>
      <w:r w:rsidR="00772DB6" w:rsidRPr="009321EF">
        <w:rPr>
          <w:rFonts w:ascii="Garamond" w:hAnsi="Garamond" w:cs="Times New Roman"/>
          <w:i/>
          <w:iCs/>
        </w:rPr>
        <w:t>Sanctions Guidance</w:t>
      </w:r>
      <w:r w:rsidR="00CB384A">
        <w:rPr>
          <w:rFonts w:ascii="Garamond" w:hAnsi="Garamond" w:cs="Times New Roman"/>
        </w:rPr>
        <w:t xml:space="preserve"> which inform every MPTS decision.</w:t>
      </w:r>
      <w:r w:rsidR="00186550">
        <w:rPr>
          <w:rStyle w:val="FootnoteReference"/>
          <w:rFonts w:ascii="Garamond" w:hAnsi="Garamond" w:cs="Times New Roman"/>
        </w:rPr>
        <w:footnoteReference w:id="85"/>
      </w:r>
      <w:r w:rsidR="00772DB6">
        <w:rPr>
          <w:rFonts w:ascii="Garamond" w:hAnsi="Garamond" w:cs="Times New Roman"/>
        </w:rPr>
        <w:t xml:space="preserve"> B</w:t>
      </w:r>
      <w:r w:rsidR="00A20AAE">
        <w:rPr>
          <w:rFonts w:ascii="Garamond" w:hAnsi="Garamond" w:cs="Times New Roman"/>
        </w:rPr>
        <w:t>ut as the Professional Standards Authority’s research has pointed</w:t>
      </w:r>
      <w:r w:rsidR="00772DB6">
        <w:rPr>
          <w:rFonts w:ascii="Garamond" w:hAnsi="Garamond" w:cs="Times New Roman"/>
        </w:rPr>
        <w:t xml:space="preserve"> out</w:t>
      </w:r>
      <w:r w:rsidR="00A20AAE">
        <w:rPr>
          <w:rFonts w:ascii="Garamond" w:hAnsi="Garamond" w:cs="Times New Roman"/>
        </w:rPr>
        <w:t>, emphasis on the profession’s ‘reputation’ in this context are outmoded</w:t>
      </w:r>
      <w:r w:rsidR="009054B8">
        <w:rPr>
          <w:rStyle w:val="FootnoteReference"/>
          <w:rFonts w:ascii="Garamond" w:hAnsi="Garamond" w:cs="Times New Roman"/>
        </w:rPr>
        <w:footnoteReference w:id="86"/>
      </w:r>
      <w:r w:rsidR="00791C82">
        <w:rPr>
          <w:rFonts w:ascii="Garamond" w:hAnsi="Garamond" w:cs="Times New Roman"/>
        </w:rPr>
        <w:t xml:space="preserve"> - a further reason to review the operation of the public confidence m</w:t>
      </w:r>
      <w:r w:rsidR="00D13D2A">
        <w:rPr>
          <w:rFonts w:ascii="Garamond" w:hAnsi="Garamond" w:cs="Times New Roman"/>
        </w:rPr>
        <w:t>axim</w:t>
      </w:r>
      <w:r w:rsidR="00791C82">
        <w:rPr>
          <w:rFonts w:ascii="Garamond" w:hAnsi="Garamond" w:cs="Times New Roman"/>
        </w:rPr>
        <w:t>.</w:t>
      </w:r>
      <w:r w:rsidR="00E66149">
        <w:rPr>
          <w:rFonts w:ascii="Garamond" w:hAnsi="Garamond" w:cs="Times New Roman"/>
        </w:rPr>
        <w:t xml:space="preserve"> </w:t>
      </w:r>
    </w:p>
    <w:p w14:paraId="75B4E94C" w14:textId="262A68A3" w:rsidR="001513AF" w:rsidRPr="009321EF" w:rsidRDefault="001513AF" w:rsidP="00F44F30">
      <w:pPr>
        <w:spacing w:line="480" w:lineRule="auto"/>
        <w:jc w:val="both"/>
        <w:rPr>
          <w:rFonts w:ascii="Garamond" w:hAnsi="Garamond" w:cs="Times New Roman"/>
          <w:highlight w:val="yellow"/>
        </w:rPr>
      </w:pPr>
    </w:p>
    <w:p w14:paraId="34F66144" w14:textId="4F9157C2" w:rsidR="001513AF" w:rsidRPr="001513AF" w:rsidRDefault="001E0D01" w:rsidP="001513AF">
      <w:pPr>
        <w:spacing w:line="480" w:lineRule="auto"/>
        <w:jc w:val="both"/>
        <w:rPr>
          <w:rFonts w:ascii="Garamond" w:hAnsi="Garamond" w:cs="Times New Roman"/>
        </w:rPr>
      </w:pPr>
      <w:r w:rsidRPr="001E0D01">
        <w:rPr>
          <w:rFonts w:ascii="Garamond" w:hAnsi="Garamond" w:cs="Times New Roman"/>
        </w:rPr>
        <w:t>There are also questions regarding the extent to which decision making on the basis of public confidence feeds a perceived public need for</w:t>
      </w:r>
      <w:r w:rsidR="005C0D7B">
        <w:rPr>
          <w:rFonts w:ascii="Garamond" w:hAnsi="Garamond" w:cs="Times New Roman"/>
        </w:rPr>
        <w:t xml:space="preserve"> retribution</w:t>
      </w:r>
      <w:r w:rsidRPr="001E0D01">
        <w:rPr>
          <w:rFonts w:ascii="Garamond" w:hAnsi="Garamond" w:cs="Times New Roman"/>
        </w:rPr>
        <w:t xml:space="preserve">, and therefore helps to sustain blame culture in the world of professional regulation. </w:t>
      </w:r>
      <w:r w:rsidR="001513AF" w:rsidRPr="001E0D01">
        <w:rPr>
          <w:rFonts w:ascii="Garamond" w:hAnsi="Garamond" w:cs="Times New Roman"/>
        </w:rPr>
        <w:t>Th</w:t>
      </w:r>
      <w:r w:rsidR="00D13D2A">
        <w:rPr>
          <w:rFonts w:ascii="Garamond" w:hAnsi="Garamond" w:cs="Times New Roman"/>
        </w:rPr>
        <w:t>e</w:t>
      </w:r>
      <w:r w:rsidR="001513AF" w:rsidRPr="001E0D01">
        <w:rPr>
          <w:rFonts w:ascii="Garamond" w:hAnsi="Garamond" w:cs="Times New Roman"/>
        </w:rPr>
        <w:t xml:space="preserve"> </w:t>
      </w:r>
      <w:r w:rsidRPr="001E0D01">
        <w:rPr>
          <w:rFonts w:ascii="Garamond" w:hAnsi="Garamond" w:cs="Times New Roman"/>
        </w:rPr>
        <w:t xml:space="preserve">link with blame culture is made in an earlier case of </w:t>
      </w:r>
      <w:r w:rsidRPr="001E0D01">
        <w:rPr>
          <w:rFonts w:ascii="Garamond" w:hAnsi="Garamond" w:cs="Times New Roman"/>
          <w:i/>
          <w:iCs/>
        </w:rPr>
        <w:t>Bijl v General Medical Council</w:t>
      </w:r>
      <w:r w:rsidR="0089088E">
        <w:rPr>
          <w:rStyle w:val="FootnoteReference"/>
          <w:rFonts w:ascii="Garamond" w:hAnsi="Garamond" w:cs="Times New Roman"/>
          <w:i/>
          <w:iCs/>
        </w:rPr>
        <w:footnoteReference w:id="87"/>
      </w:r>
      <w:r w:rsidRPr="001E0D01">
        <w:rPr>
          <w:rFonts w:ascii="Garamond" w:hAnsi="Garamond" w:cs="Times New Roman"/>
          <w:i/>
          <w:iCs/>
        </w:rPr>
        <w:t xml:space="preserve">, </w:t>
      </w:r>
      <w:r w:rsidRPr="001E0D01">
        <w:rPr>
          <w:rFonts w:ascii="Garamond" w:hAnsi="Garamond" w:cs="Times New Roman"/>
        </w:rPr>
        <w:t xml:space="preserve">a case which was foregrounded in the </w:t>
      </w:r>
      <w:proofErr w:type="spellStart"/>
      <w:r w:rsidR="001513AF" w:rsidRPr="001E0D01">
        <w:rPr>
          <w:rFonts w:ascii="Garamond" w:hAnsi="Garamond" w:cs="Times New Roman"/>
          <w:i/>
          <w:iCs/>
        </w:rPr>
        <w:t>Bawa-Garba</w:t>
      </w:r>
      <w:proofErr w:type="spellEnd"/>
      <w:r w:rsidR="001513AF" w:rsidRPr="001E0D01">
        <w:rPr>
          <w:rFonts w:ascii="Garamond" w:hAnsi="Garamond" w:cs="Times New Roman"/>
        </w:rPr>
        <w:t xml:space="preserve"> judgment</w:t>
      </w:r>
      <w:r w:rsidRPr="001E0D01">
        <w:rPr>
          <w:rFonts w:ascii="Garamond" w:hAnsi="Garamond" w:cs="Times New Roman"/>
        </w:rPr>
        <w:t xml:space="preserve">. </w:t>
      </w:r>
      <w:r w:rsidR="001513AF" w:rsidRPr="001E0D01">
        <w:rPr>
          <w:rFonts w:ascii="Garamond" w:hAnsi="Garamond" w:cs="Times New Roman"/>
        </w:rPr>
        <w:t xml:space="preserve"> </w:t>
      </w:r>
      <w:r w:rsidR="001513AF" w:rsidRPr="009321EF">
        <w:rPr>
          <w:rFonts w:ascii="Garamond" w:hAnsi="Garamond" w:cs="Times New Roman"/>
          <w:i/>
          <w:iCs/>
        </w:rPr>
        <w:t>Bijl</w:t>
      </w:r>
      <w:r w:rsidR="001513AF">
        <w:rPr>
          <w:rFonts w:ascii="Garamond" w:hAnsi="Garamond" w:cs="Times New Roman"/>
        </w:rPr>
        <w:t xml:space="preserve"> </w:t>
      </w:r>
      <w:r w:rsidR="001513AF" w:rsidRPr="001513AF">
        <w:rPr>
          <w:rFonts w:ascii="Garamond" w:hAnsi="Garamond" w:cs="Times New Roman"/>
        </w:rPr>
        <w:t>resembles th</w:t>
      </w:r>
      <w:r w:rsidR="005A4CDD">
        <w:rPr>
          <w:rFonts w:ascii="Garamond" w:hAnsi="Garamond" w:cs="Times New Roman"/>
        </w:rPr>
        <w:t>e case</w:t>
      </w:r>
      <w:r w:rsidR="001513AF" w:rsidRPr="001513AF">
        <w:rPr>
          <w:rFonts w:ascii="Garamond" w:hAnsi="Garamond" w:cs="Times New Roman"/>
        </w:rPr>
        <w:t xml:space="preserve"> of </w:t>
      </w:r>
      <w:proofErr w:type="spellStart"/>
      <w:r w:rsidR="001513AF" w:rsidRPr="001513AF">
        <w:rPr>
          <w:rFonts w:ascii="Garamond" w:hAnsi="Garamond" w:cs="Times New Roman"/>
          <w:i/>
          <w:iCs/>
        </w:rPr>
        <w:t>Bawa-Garba</w:t>
      </w:r>
      <w:proofErr w:type="spellEnd"/>
      <w:r w:rsidR="001513AF" w:rsidRPr="001513AF">
        <w:rPr>
          <w:rFonts w:ascii="Garamond" w:hAnsi="Garamond" w:cs="Times New Roman"/>
          <w:i/>
          <w:iCs/>
        </w:rPr>
        <w:t xml:space="preserve"> </w:t>
      </w:r>
      <w:r w:rsidR="001513AF" w:rsidRPr="001513AF">
        <w:rPr>
          <w:rFonts w:ascii="Garamond" w:hAnsi="Garamond" w:cs="Times New Roman"/>
        </w:rPr>
        <w:t xml:space="preserve">in </w:t>
      </w:r>
      <w:proofErr w:type="gramStart"/>
      <w:r w:rsidR="001513AF" w:rsidRPr="001513AF">
        <w:rPr>
          <w:rFonts w:ascii="Garamond" w:hAnsi="Garamond" w:cs="Times New Roman"/>
        </w:rPr>
        <w:t>a number of</w:t>
      </w:r>
      <w:proofErr w:type="gramEnd"/>
      <w:r w:rsidR="001513AF" w:rsidRPr="001513AF">
        <w:rPr>
          <w:rFonts w:ascii="Garamond" w:hAnsi="Garamond" w:cs="Times New Roman"/>
        </w:rPr>
        <w:t xml:space="preserve"> respects, including the failings </w:t>
      </w:r>
      <w:r w:rsidR="00857514">
        <w:rPr>
          <w:rFonts w:ascii="Garamond" w:hAnsi="Garamond" w:cs="Times New Roman"/>
        </w:rPr>
        <w:t xml:space="preserve">relating to </w:t>
      </w:r>
      <w:r w:rsidR="001513AF" w:rsidRPr="001513AF">
        <w:rPr>
          <w:rFonts w:ascii="Garamond" w:hAnsi="Garamond" w:cs="Times New Roman"/>
        </w:rPr>
        <w:t xml:space="preserve">one patient, the patient dying, the doctor acknowledging their mistakes and </w:t>
      </w:r>
      <w:r w:rsidR="001513AF">
        <w:rPr>
          <w:rFonts w:ascii="Garamond" w:hAnsi="Garamond" w:cs="Times New Roman"/>
        </w:rPr>
        <w:t xml:space="preserve">not being regarded as a continuing risk to patients and </w:t>
      </w:r>
      <w:r w:rsidR="001513AF" w:rsidRPr="001513AF">
        <w:rPr>
          <w:rFonts w:ascii="Garamond" w:hAnsi="Garamond" w:cs="Times New Roman"/>
        </w:rPr>
        <w:t xml:space="preserve">having an otherwise unblemished career. </w:t>
      </w:r>
      <w:r w:rsidR="0089088E" w:rsidRPr="0089088E">
        <w:rPr>
          <w:rFonts w:ascii="Garamond" w:hAnsi="Garamond" w:cs="Times New Roman"/>
        </w:rPr>
        <w:t>T</w:t>
      </w:r>
      <w:r w:rsidR="001513AF" w:rsidRPr="001513AF">
        <w:rPr>
          <w:rFonts w:ascii="Garamond" w:hAnsi="Garamond" w:cs="Times New Roman"/>
        </w:rPr>
        <w:t xml:space="preserve">he clinician had been </w:t>
      </w:r>
      <w:r w:rsidR="001513AF" w:rsidRPr="001513AF">
        <w:rPr>
          <w:rFonts w:ascii="Garamond" w:hAnsi="Garamond" w:cs="Times New Roman"/>
        </w:rPr>
        <w:lastRenderedPageBreak/>
        <w:t>charged with continuing surgery for too long on a patient and then</w:t>
      </w:r>
      <w:r w:rsidR="001513AF">
        <w:rPr>
          <w:rFonts w:ascii="Garamond" w:hAnsi="Garamond" w:cs="Times New Roman"/>
        </w:rPr>
        <w:t xml:space="preserve"> leaving the hospital </w:t>
      </w:r>
      <w:r w:rsidR="001513AF" w:rsidRPr="001513AF">
        <w:rPr>
          <w:rFonts w:ascii="Garamond" w:hAnsi="Garamond" w:cs="Times New Roman"/>
        </w:rPr>
        <w:t xml:space="preserve">whilst her condition was still serious. There were concerns around public confidence in the context of a clinician </w:t>
      </w:r>
      <w:r w:rsidR="0089088E">
        <w:rPr>
          <w:rFonts w:ascii="Garamond" w:hAnsi="Garamond" w:cs="Times New Roman"/>
        </w:rPr>
        <w:t>departing from</w:t>
      </w:r>
      <w:r w:rsidR="001513AF" w:rsidRPr="001513AF">
        <w:rPr>
          <w:rFonts w:ascii="Garamond" w:hAnsi="Garamond" w:cs="Times New Roman"/>
        </w:rPr>
        <w:t xml:space="preserve"> professional standards, although the Board regarded </w:t>
      </w:r>
      <w:r w:rsidR="000A748B">
        <w:rPr>
          <w:rFonts w:ascii="Garamond" w:hAnsi="Garamond" w:cs="Times New Roman"/>
          <w:i/>
          <w:iCs/>
        </w:rPr>
        <w:t>Bijl</w:t>
      </w:r>
      <w:r w:rsidR="001513AF" w:rsidRPr="001513AF">
        <w:rPr>
          <w:rFonts w:ascii="Garamond" w:hAnsi="Garamond" w:cs="Times New Roman"/>
        </w:rPr>
        <w:t xml:space="preserve"> as a doctor who had committed an error of judgement and</w:t>
      </w:r>
      <w:r w:rsidR="000A748B">
        <w:rPr>
          <w:rFonts w:ascii="Garamond" w:hAnsi="Garamond" w:cs="Times New Roman"/>
        </w:rPr>
        <w:t xml:space="preserve"> who</w:t>
      </w:r>
      <w:r w:rsidR="001513AF" w:rsidRPr="001513AF">
        <w:rPr>
          <w:rFonts w:ascii="Garamond" w:hAnsi="Garamond" w:cs="Times New Roman"/>
        </w:rPr>
        <w:t xml:space="preserve"> was ‘clearly determined never to make that mistake again.’</w:t>
      </w:r>
      <w:r w:rsidR="001513AF" w:rsidRPr="001513AF">
        <w:rPr>
          <w:rFonts w:ascii="Garamond" w:hAnsi="Garamond" w:cs="Times New Roman"/>
          <w:vertAlign w:val="superscript"/>
        </w:rPr>
        <w:footnoteReference w:id="88"/>
      </w:r>
      <w:r w:rsidR="001513AF" w:rsidRPr="001513AF">
        <w:rPr>
          <w:rFonts w:ascii="Garamond" w:hAnsi="Garamond" w:cs="Times New Roman"/>
        </w:rPr>
        <w:t xml:space="preserve"> Lord Hoffman took </w:t>
      </w:r>
      <w:r w:rsidR="001513AF">
        <w:rPr>
          <w:rFonts w:ascii="Garamond" w:hAnsi="Garamond" w:cs="Times New Roman"/>
        </w:rPr>
        <w:t>his remorse</w:t>
      </w:r>
      <w:r w:rsidR="001513AF" w:rsidRPr="001513AF">
        <w:rPr>
          <w:rFonts w:ascii="Garamond" w:hAnsi="Garamond" w:cs="Times New Roman"/>
        </w:rPr>
        <w:t xml:space="preserve"> into account</w:t>
      </w:r>
      <w:r w:rsidR="001513AF">
        <w:rPr>
          <w:rFonts w:ascii="Garamond" w:hAnsi="Garamond" w:cs="Times New Roman"/>
        </w:rPr>
        <w:t>, saying</w:t>
      </w:r>
      <w:r w:rsidR="001513AF" w:rsidRPr="001513AF">
        <w:rPr>
          <w:rFonts w:ascii="Garamond" w:hAnsi="Garamond" w:cs="Times New Roman"/>
        </w:rPr>
        <w:t>:</w:t>
      </w:r>
      <w:r w:rsidR="001513AF">
        <w:rPr>
          <w:rFonts w:ascii="Garamond" w:hAnsi="Garamond" w:cs="Times New Roman"/>
        </w:rPr>
        <w:t xml:space="preserve"> </w:t>
      </w:r>
      <w:r w:rsidR="001513AF" w:rsidRPr="001513AF">
        <w:rPr>
          <w:rFonts w:ascii="Garamond" w:hAnsi="Garamond" w:cs="Times New Roman"/>
        </w:rPr>
        <w:t xml:space="preserve"> </w:t>
      </w:r>
    </w:p>
    <w:p w14:paraId="6AFE4FEF" w14:textId="77777777" w:rsidR="001513AF" w:rsidRPr="001513AF" w:rsidRDefault="001513AF" w:rsidP="001513AF">
      <w:pPr>
        <w:spacing w:line="480" w:lineRule="auto"/>
        <w:jc w:val="both"/>
        <w:rPr>
          <w:rFonts w:ascii="Garamond" w:hAnsi="Garamond" w:cs="Times New Roman"/>
        </w:rPr>
      </w:pPr>
    </w:p>
    <w:p w14:paraId="394D62AF" w14:textId="77777777" w:rsidR="001513AF" w:rsidRPr="001513AF" w:rsidRDefault="001513AF" w:rsidP="009321EF">
      <w:pPr>
        <w:spacing w:before="14" w:after="14" w:line="480" w:lineRule="auto"/>
        <w:ind w:left="397" w:right="397"/>
        <w:jc w:val="both"/>
        <w:rPr>
          <w:rFonts w:ascii="Garamond" w:hAnsi="Garamond" w:cs="Times New Roman"/>
        </w:rPr>
      </w:pPr>
      <w:bookmarkStart w:id="18" w:name="para13"/>
      <w:r w:rsidRPr="001513AF">
        <w:rPr>
          <w:rFonts w:ascii="Garamond" w:hAnsi="Garamond" w:cs="Times New Roman"/>
        </w:rPr>
        <w:t>’public confidence</w:t>
      </w:r>
      <w:r w:rsidRPr="001513AF">
        <w:rPr>
          <w:rFonts w:ascii="Garamond" w:hAnsi="Garamond" w:cs="Times New Roman"/>
          <w:b/>
          <w:bCs/>
        </w:rPr>
        <w:t xml:space="preserve"> </w:t>
      </w:r>
      <w:r w:rsidRPr="001513AF">
        <w:rPr>
          <w:rFonts w:ascii="Garamond" w:hAnsi="Garamond" w:cs="Times New Roman"/>
        </w:rPr>
        <w:t>in the profession …should not be carried to the extent of feeling it necessary to sacrifice the career of an otherwise competent and useful doctor who presents no danger to the public in order to satisfy a demand for blame and punishment.’</w:t>
      </w:r>
      <w:bookmarkEnd w:id="18"/>
      <w:r w:rsidRPr="001513AF">
        <w:rPr>
          <w:rFonts w:ascii="Garamond" w:hAnsi="Garamond" w:cs="Times New Roman"/>
          <w:vertAlign w:val="superscript"/>
        </w:rPr>
        <w:footnoteReference w:id="89"/>
      </w:r>
      <w:r w:rsidRPr="001513AF">
        <w:rPr>
          <w:rFonts w:ascii="Garamond" w:hAnsi="Garamond" w:cs="Times New Roman"/>
        </w:rPr>
        <w:t xml:space="preserve"> </w:t>
      </w:r>
    </w:p>
    <w:p w14:paraId="68CFABEA" w14:textId="77777777" w:rsidR="001513AF" w:rsidRPr="001513AF" w:rsidRDefault="001513AF" w:rsidP="001513AF">
      <w:pPr>
        <w:spacing w:line="480" w:lineRule="auto"/>
        <w:jc w:val="both"/>
        <w:rPr>
          <w:rFonts w:ascii="Garamond" w:hAnsi="Garamond" w:cs="Times New Roman"/>
        </w:rPr>
      </w:pPr>
    </w:p>
    <w:p w14:paraId="02030FC5" w14:textId="709CB865" w:rsidR="001513AF" w:rsidRPr="001513AF" w:rsidRDefault="001513AF" w:rsidP="001513AF">
      <w:pPr>
        <w:spacing w:line="480" w:lineRule="auto"/>
        <w:jc w:val="both"/>
        <w:rPr>
          <w:rFonts w:ascii="Garamond" w:hAnsi="Garamond" w:cs="Times New Roman"/>
        </w:rPr>
      </w:pPr>
      <w:r>
        <w:rPr>
          <w:rFonts w:ascii="Garamond" w:hAnsi="Garamond" w:cs="Times New Roman"/>
        </w:rPr>
        <w:t xml:space="preserve">Lord Hoffmann </w:t>
      </w:r>
      <w:r w:rsidRPr="001513AF">
        <w:rPr>
          <w:rFonts w:ascii="Garamond" w:hAnsi="Garamond" w:cs="Times New Roman"/>
        </w:rPr>
        <w:t xml:space="preserve">went on to highlight a </w:t>
      </w:r>
      <w:r w:rsidR="006D57DA">
        <w:rPr>
          <w:rFonts w:ascii="Garamond" w:hAnsi="Garamond" w:cs="Times New Roman"/>
        </w:rPr>
        <w:t xml:space="preserve">contemporary </w:t>
      </w:r>
      <w:r w:rsidRPr="001513AF">
        <w:rPr>
          <w:rFonts w:ascii="Garamond" w:hAnsi="Garamond" w:cs="Times New Roman"/>
        </w:rPr>
        <w:t>report</w:t>
      </w:r>
      <w:r>
        <w:rPr>
          <w:rFonts w:ascii="Garamond" w:hAnsi="Garamond" w:cs="Times New Roman"/>
        </w:rPr>
        <w:t xml:space="preserve"> which</w:t>
      </w:r>
      <w:r w:rsidRPr="001513AF">
        <w:rPr>
          <w:rFonts w:ascii="Garamond" w:hAnsi="Garamond" w:cs="Times New Roman"/>
        </w:rPr>
        <w:t xml:space="preserve"> urged a rejection of blame culture and a plea that honest f</w:t>
      </w:r>
      <w:r w:rsidRPr="00117D5F">
        <w:rPr>
          <w:rFonts w:ascii="Garamond" w:hAnsi="Garamond" w:cs="Times New Roman"/>
        </w:rPr>
        <w:t>ailures should not result in retribution and blame,</w:t>
      </w:r>
      <w:r w:rsidRPr="00117D5F">
        <w:rPr>
          <w:rFonts w:ascii="Garamond" w:hAnsi="Garamond" w:cs="Times New Roman"/>
          <w:vertAlign w:val="superscript"/>
        </w:rPr>
        <w:footnoteReference w:id="90"/>
      </w:r>
      <w:r w:rsidRPr="00117D5F">
        <w:rPr>
          <w:rFonts w:ascii="Garamond" w:hAnsi="Garamond" w:cs="Times New Roman"/>
        </w:rPr>
        <w:t xml:space="preserve"> themes which are even more </w:t>
      </w:r>
      <w:r w:rsidR="000A748B">
        <w:rPr>
          <w:rFonts w:ascii="Garamond" w:hAnsi="Garamond" w:cs="Times New Roman"/>
        </w:rPr>
        <w:t>pressing</w:t>
      </w:r>
      <w:r w:rsidRPr="00117D5F">
        <w:rPr>
          <w:rFonts w:ascii="Garamond" w:hAnsi="Garamond" w:cs="Times New Roman"/>
        </w:rPr>
        <w:t xml:space="preserve"> today.</w:t>
      </w:r>
      <w:r w:rsidRPr="00117D5F">
        <w:rPr>
          <w:rFonts w:ascii="Garamond" w:hAnsi="Garamond" w:cs="Times New Roman"/>
          <w:vertAlign w:val="superscript"/>
        </w:rPr>
        <w:footnoteReference w:id="91"/>
      </w:r>
      <w:r w:rsidRPr="001513AF">
        <w:rPr>
          <w:rFonts w:ascii="Garamond" w:hAnsi="Garamond" w:cs="Times New Roman"/>
        </w:rPr>
        <w:t xml:space="preserve"> </w:t>
      </w:r>
      <w:r w:rsidR="002D62D1">
        <w:rPr>
          <w:rFonts w:ascii="Garamond" w:hAnsi="Garamond" w:cs="Times New Roman"/>
        </w:rPr>
        <w:t xml:space="preserve"> It is therefore crucial to </w:t>
      </w:r>
      <w:r w:rsidR="00D97FBC">
        <w:rPr>
          <w:rFonts w:ascii="Garamond" w:hAnsi="Garamond" w:cs="Times New Roman"/>
        </w:rPr>
        <w:t xml:space="preserve">guard against </w:t>
      </w:r>
      <w:r w:rsidR="002D62D1">
        <w:rPr>
          <w:rFonts w:ascii="Garamond" w:hAnsi="Garamond" w:cs="Times New Roman"/>
        </w:rPr>
        <w:t xml:space="preserve">public confidence rhetoric </w:t>
      </w:r>
      <w:r w:rsidR="00D97FBC">
        <w:rPr>
          <w:rFonts w:ascii="Garamond" w:hAnsi="Garamond" w:cs="Times New Roman"/>
        </w:rPr>
        <w:t>being used to satisfy</w:t>
      </w:r>
      <w:r w:rsidR="007D2524">
        <w:rPr>
          <w:rFonts w:ascii="Garamond" w:hAnsi="Garamond" w:cs="Times New Roman"/>
        </w:rPr>
        <w:t xml:space="preserve"> perceived public </w:t>
      </w:r>
      <w:r w:rsidR="00D97FBC">
        <w:rPr>
          <w:rFonts w:ascii="Garamond" w:hAnsi="Garamond" w:cs="Times New Roman"/>
        </w:rPr>
        <w:t>appetite</w:t>
      </w:r>
      <w:r w:rsidR="007D2524">
        <w:rPr>
          <w:rFonts w:ascii="Garamond" w:hAnsi="Garamond" w:cs="Times New Roman"/>
        </w:rPr>
        <w:t xml:space="preserve"> for retribution</w:t>
      </w:r>
      <w:r w:rsidR="002D62D1">
        <w:rPr>
          <w:rFonts w:ascii="Garamond" w:hAnsi="Garamond" w:cs="Times New Roman"/>
        </w:rPr>
        <w:t xml:space="preserve"> </w:t>
      </w:r>
      <w:r w:rsidR="0089088E">
        <w:rPr>
          <w:rFonts w:ascii="Garamond" w:hAnsi="Garamond" w:cs="Times New Roman"/>
        </w:rPr>
        <w:t>(particularly in case</w:t>
      </w:r>
      <w:r w:rsidR="007D2524">
        <w:rPr>
          <w:rFonts w:ascii="Garamond" w:hAnsi="Garamond" w:cs="Times New Roman"/>
        </w:rPr>
        <w:t>s</w:t>
      </w:r>
      <w:r w:rsidR="0089088E">
        <w:rPr>
          <w:rFonts w:ascii="Garamond" w:hAnsi="Garamond" w:cs="Times New Roman"/>
        </w:rPr>
        <w:t xml:space="preserve"> where </w:t>
      </w:r>
      <w:r w:rsidR="007D2524">
        <w:rPr>
          <w:rFonts w:ascii="Garamond" w:hAnsi="Garamond" w:cs="Times New Roman"/>
        </w:rPr>
        <w:t xml:space="preserve">retributive </w:t>
      </w:r>
      <w:r w:rsidR="0089088E">
        <w:rPr>
          <w:rFonts w:ascii="Garamond" w:hAnsi="Garamond" w:cs="Times New Roman"/>
        </w:rPr>
        <w:t xml:space="preserve">criminal law sanctions have already been imposed), </w:t>
      </w:r>
    </w:p>
    <w:p w14:paraId="0000003F" w14:textId="4B84FAE0" w:rsidR="0022642D" w:rsidRPr="009321EF" w:rsidRDefault="0022642D" w:rsidP="009321EF">
      <w:pPr>
        <w:pStyle w:val="Heading1"/>
        <w:spacing w:line="480" w:lineRule="auto"/>
        <w:jc w:val="both"/>
        <w:rPr>
          <w:rFonts w:ascii="Garamond" w:hAnsi="Garamond" w:cs="Times New Roman"/>
          <w:color w:val="auto"/>
          <w:sz w:val="24"/>
          <w:szCs w:val="24"/>
        </w:rPr>
      </w:pPr>
      <w:bookmarkStart w:id="19" w:name="_7dedzoa0gltx" w:colFirst="0" w:colLast="0"/>
      <w:bookmarkStart w:id="20" w:name="_1ta82timh6g7" w:colFirst="0" w:colLast="0"/>
      <w:bookmarkStart w:id="21" w:name="_msbiiobs0f5j" w:colFirst="0" w:colLast="0"/>
      <w:bookmarkStart w:id="22" w:name="_6eldqdgesz2t" w:colFirst="0" w:colLast="0"/>
      <w:bookmarkEnd w:id="19"/>
      <w:bookmarkEnd w:id="20"/>
      <w:bookmarkEnd w:id="21"/>
      <w:bookmarkEnd w:id="22"/>
      <w:r w:rsidRPr="009321EF">
        <w:rPr>
          <w:rFonts w:ascii="Garamond" w:hAnsi="Garamond" w:cs="Times New Roman"/>
          <w:color w:val="auto"/>
          <w:sz w:val="24"/>
          <w:szCs w:val="24"/>
        </w:rPr>
        <w:t>C</w:t>
      </w:r>
      <w:r w:rsidR="00E942D8">
        <w:rPr>
          <w:rFonts w:ascii="Garamond" w:hAnsi="Garamond" w:cs="Times New Roman"/>
          <w:color w:val="auto"/>
          <w:sz w:val="24"/>
          <w:szCs w:val="24"/>
        </w:rPr>
        <w:t>onclusion</w:t>
      </w:r>
    </w:p>
    <w:p w14:paraId="61B6A333" w14:textId="77777777" w:rsidR="0022642D" w:rsidRPr="009321EF" w:rsidRDefault="0022642D" w:rsidP="009321EF">
      <w:pPr>
        <w:pStyle w:val="Normal1"/>
        <w:spacing w:line="480" w:lineRule="auto"/>
        <w:jc w:val="both"/>
        <w:rPr>
          <w:rFonts w:ascii="Garamond" w:hAnsi="Garamond" w:cs="Times New Roman"/>
        </w:rPr>
      </w:pPr>
    </w:p>
    <w:p w14:paraId="7024DEF9" w14:textId="35AC49D7" w:rsidR="00CB384A" w:rsidRDefault="00F6614B" w:rsidP="00072DBF">
      <w:pPr>
        <w:pStyle w:val="Normal1"/>
        <w:spacing w:line="480" w:lineRule="auto"/>
        <w:jc w:val="both"/>
        <w:rPr>
          <w:rFonts w:ascii="Garamond" w:hAnsi="Garamond" w:cs="Times New Roman"/>
        </w:rPr>
      </w:pPr>
      <w:r>
        <w:rPr>
          <w:rFonts w:ascii="Garamond" w:hAnsi="Garamond" w:cs="Times New Roman"/>
        </w:rPr>
        <w:t>It is not disputed that t</w:t>
      </w:r>
      <w:r w:rsidR="0022642D" w:rsidRPr="009321EF">
        <w:rPr>
          <w:rFonts w:ascii="Garamond" w:hAnsi="Garamond" w:cs="Times New Roman"/>
        </w:rPr>
        <w:t>rust and confidence in our doctors are important. Clinicians who</w:t>
      </w:r>
      <w:r w:rsidR="007D2524">
        <w:rPr>
          <w:rFonts w:ascii="Garamond" w:hAnsi="Garamond" w:cs="Times New Roman"/>
        </w:rPr>
        <w:t xml:space="preserve"> have</w:t>
      </w:r>
      <w:r w:rsidR="00B41656">
        <w:rPr>
          <w:rFonts w:ascii="Garamond" w:hAnsi="Garamond" w:cs="Times New Roman"/>
        </w:rPr>
        <w:t xml:space="preserve"> put patients at risk</w:t>
      </w:r>
      <w:r w:rsidR="0022642D" w:rsidRPr="009321EF">
        <w:rPr>
          <w:rFonts w:ascii="Garamond" w:hAnsi="Garamond" w:cs="Times New Roman"/>
        </w:rPr>
        <w:t xml:space="preserve"> </w:t>
      </w:r>
      <w:r w:rsidR="00B41656">
        <w:rPr>
          <w:rFonts w:ascii="Garamond" w:hAnsi="Garamond" w:cs="Times New Roman"/>
        </w:rPr>
        <w:t xml:space="preserve">and who are not open to learning from their mistakes </w:t>
      </w:r>
      <w:r w:rsidR="0022642D" w:rsidRPr="009321EF">
        <w:rPr>
          <w:rFonts w:ascii="Garamond" w:hAnsi="Garamond" w:cs="Times New Roman"/>
        </w:rPr>
        <w:t xml:space="preserve">should not </w:t>
      </w:r>
      <w:r w:rsidR="000A748B">
        <w:rPr>
          <w:rFonts w:ascii="Garamond" w:hAnsi="Garamond" w:cs="Times New Roman"/>
        </w:rPr>
        <w:t>remain</w:t>
      </w:r>
      <w:r w:rsidR="0022642D" w:rsidRPr="009321EF">
        <w:rPr>
          <w:rFonts w:ascii="Garamond" w:hAnsi="Garamond" w:cs="Times New Roman"/>
        </w:rPr>
        <w:t xml:space="preserve"> </w:t>
      </w:r>
      <w:r w:rsidR="00347ADF">
        <w:rPr>
          <w:rFonts w:ascii="Garamond" w:hAnsi="Garamond" w:cs="Times New Roman"/>
        </w:rPr>
        <w:t>in</w:t>
      </w:r>
      <w:r w:rsidR="0022642D" w:rsidRPr="009321EF">
        <w:rPr>
          <w:rFonts w:ascii="Garamond" w:hAnsi="Garamond" w:cs="Times New Roman"/>
        </w:rPr>
        <w:t xml:space="preserve"> practice</w:t>
      </w:r>
      <w:r w:rsidR="005D0448">
        <w:rPr>
          <w:rFonts w:ascii="Garamond" w:hAnsi="Garamond" w:cs="Times New Roman"/>
        </w:rPr>
        <w:t xml:space="preserve">, but the precise relationship between the use of regulatory powers to maintain confidence and the statutory </w:t>
      </w:r>
      <w:r w:rsidR="00A10474">
        <w:rPr>
          <w:rFonts w:ascii="Garamond" w:hAnsi="Garamond" w:cs="Times New Roman"/>
        </w:rPr>
        <w:t>‘</w:t>
      </w:r>
      <w:r w:rsidR="005D0448">
        <w:rPr>
          <w:rFonts w:ascii="Garamond" w:hAnsi="Garamond" w:cs="Times New Roman"/>
        </w:rPr>
        <w:t>public protection</w:t>
      </w:r>
      <w:r w:rsidR="00A10474">
        <w:rPr>
          <w:rFonts w:ascii="Garamond" w:hAnsi="Garamond" w:cs="Times New Roman"/>
        </w:rPr>
        <w:t>’</w:t>
      </w:r>
      <w:r w:rsidR="005D0448">
        <w:rPr>
          <w:rFonts w:ascii="Garamond" w:hAnsi="Garamond" w:cs="Times New Roman"/>
        </w:rPr>
        <w:t xml:space="preserve"> objective remain</w:t>
      </w:r>
      <w:r w:rsidR="00A10474">
        <w:rPr>
          <w:rFonts w:ascii="Garamond" w:hAnsi="Garamond" w:cs="Times New Roman"/>
        </w:rPr>
        <w:t>s indistinct</w:t>
      </w:r>
      <w:r w:rsidR="005D0448">
        <w:rPr>
          <w:rFonts w:ascii="Garamond" w:hAnsi="Garamond" w:cs="Times New Roman"/>
        </w:rPr>
        <w:t xml:space="preserve">. </w:t>
      </w:r>
      <w:r w:rsidR="00072DBF">
        <w:rPr>
          <w:rFonts w:ascii="Garamond" w:hAnsi="Garamond" w:cs="Times New Roman"/>
        </w:rPr>
        <w:t xml:space="preserve">Despite comments </w:t>
      </w:r>
      <w:r w:rsidR="0086326E" w:rsidRPr="00D50781">
        <w:rPr>
          <w:rFonts w:ascii="Garamond" w:hAnsi="Garamond" w:cs="Times New Roman"/>
        </w:rPr>
        <w:t xml:space="preserve">in the judgments </w:t>
      </w:r>
      <w:r w:rsidR="0086326E" w:rsidRPr="00D50781">
        <w:rPr>
          <w:rFonts w:ascii="Garamond" w:hAnsi="Garamond" w:cs="Times New Roman"/>
        </w:rPr>
        <w:lastRenderedPageBreak/>
        <w:t>about public confidence issues requiring ‘a fair impartial system’ and decision making according to ‘settled legal principle</w:t>
      </w:r>
      <w:r w:rsidR="00A66CE9">
        <w:rPr>
          <w:rFonts w:ascii="Garamond" w:hAnsi="Garamond" w:cs="Times New Roman"/>
        </w:rPr>
        <w:t>,</w:t>
      </w:r>
      <w:r w:rsidR="0086326E" w:rsidRPr="00D50781">
        <w:rPr>
          <w:rFonts w:ascii="Garamond" w:hAnsi="Garamond" w:cs="Times New Roman"/>
        </w:rPr>
        <w:t>’</w:t>
      </w:r>
      <w:r w:rsidR="0086326E" w:rsidRPr="002E0C51">
        <w:rPr>
          <w:rStyle w:val="FootnoteReference"/>
          <w:rFonts w:ascii="Garamond" w:hAnsi="Garamond" w:cs="Times New Roman"/>
        </w:rPr>
        <w:footnoteReference w:id="92"/>
      </w:r>
      <w:r w:rsidR="0086326E" w:rsidRPr="002E0C51">
        <w:rPr>
          <w:rFonts w:ascii="Garamond" w:hAnsi="Garamond" w:cs="Times New Roman"/>
        </w:rPr>
        <w:t xml:space="preserve"> it seems that at present these assessments are currently made on an instinctual and largely unprincipled basis.</w:t>
      </w:r>
      <w:r w:rsidR="0086326E">
        <w:rPr>
          <w:rFonts w:ascii="Garamond" w:hAnsi="Garamond" w:cs="Times New Roman"/>
        </w:rPr>
        <w:t xml:space="preserve"> </w:t>
      </w:r>
      <w:r w:rsidR="00134155" w:rsidRPr="00134155">
        <w:rPr>
          <w:rFonts w:ascii="Garamond" w:hAnsi="Garamond" w:cs="Times New Roman"/>
        </w:rPr>
        <w:t xml:space="preserve">The </w:t>
      </w:r>
      <w:proofErr w:type="spellStart"/>
      <w:r w:rsidR="00134155" w:rsidRPr="00134155">
        <w:rPr>
          <w:rFonts w:ascii="Garamond" w:hAnsi="Garamond" w:cs="Times New Roman"/>
          <w:i/>
          <w:iCs/>
        </w:rPr>
        <w:t>Bawa-Garba</w:t>
      </w:r>
      <w:proofErr w:type="spellEnd"/>
      <w:r w:rsidR="00134155" w:rsidRPr="00134155">
        <w:rPr>
          <w:rFonts w:ascii="Garamond" w:hAnsi="Garamond" w:cs="Times New Roman"/>
          <w:i/>
          <w:iCs/>
        </w:rPr>
        <w:t xml:space="preserve"> </w:t>
      </w:r>
      <w:r w:rsidR="00134155" w:rsidRPr="00134155">
        <w:rPr>
          <w:rFonts w:ascii="Garamond" w:hAnsi="Garamond" w:cs="Times New Roman"/>
        </w:rPr>
        <w:t>judgment did not break new ground by deferring to regulatory authority on matters of public confidence. Case law is saturated with statements affirming the general deference which courts should afford to MPTS decisions because of the expertise of panel members.</w:t>
      </w:r>
      <w:r w:rsidR="00134155" w:rsidRPr="00134155">
        <w:rPr>
          <w:rFonts w:ascii="Garamond" w:hAnsi="Garamond" w:cs="Times New Roman"/>
          <w:vertAlign w:val="superscript"/>
        </w:rPr>
        <w:footnoteReference w:id="93"/>
      </w:r>
      <w:r w:rsidR="007D2524">
        <w:rPr>
          <w:rFonts w:ascii="Garamond" w:hAnsi="Garamond" w:cs="Times New Roman"/>
        </w:rPr>
        <w:t xml:space="preserve"> </w:t>
      </w:r>
      <w:r w:rsidR="00D97FBC">
        <w:rPr>
          <w:rFonts w:ascii="Garamond" w:hAnsi="Garamond" w:cs="Times New Roman"/>
        </w:rPr>
        <w:t>But i</w:t>
      </w:r>
      <w:r w:rsidR="007D2524" w:rsidRPr="007D2524">
        <w:rPr>
          <w:rFonts w:ascii="Garamond" w:hAnsi="Garamond" w:cs="Times New Roman"/>
        </w:rPr>
        <w:t>n the authors’ view</w:t>
      </w:r>
      <w:r w:rsidR="00477C07">
        <w:rPr>
          <w:rFonts w:ascii="Garamond" w:hAnsi="Garamond" w:cs="Times New Roman"/>
        </w:rPr>
        <w:t>,</w:t>
      </w:r>
      <w:r w:rsidR="007D2524" w:rsidRPr="007D2524">
        <w:rPr>
          <w:rFonts w:ascii="Garamond" w:hAnsi="Garamond" w:cs="Times New Roman"/>
        </w:rPr>
        <w:t xml:space="preserve"> the </w:t>
      </w:r>
      <w:proofErr w:type="spellStart"/>
      <w:r w:rsidR="007D2524" w:rsidRPr="007D2524">
        <w:rPr>
          <w:rFonts w:ascii="Garamond" w:hAnsi="Garamond" w:cs="Times New Roman"/>
          <w:i/>
          <w:iCs/>
        </w:rPr>
        <w:t>Bawa-Garba</w:t>
      </w:r>
      <w:proofErr w:type="spellEnd"/>
      <w:r w:rsidR="007D2524" w:rsidRPr="007D2524">
        <w:rPr>
          <w:rFonts w:ascii="Garamond" w:hAnsi="Garamond" w:cs="Times New Roman"/>
        </w:rPr>
        <w:t xml:space="preserve"> litigation has exposed a</w:t>
      </w:r>
      <w:r w:rsidR="00477C07">
        <w:rPr>
          <w:rFonts w:ascii="Garamond" w:hAnsi="Garamond" w:cs="Times New Roman"/>
        </w:rPr>
        <w:t xml:space="preserve"> number of</w:t>
      </w:r>
      <w:r w:rsidR="007D2524" w:rsidRPr="007D2524">
        <w:rPr>
          <w:rFonts w:ascii="Garamond" w:hAnsi="Garamond" w:cs="Times New Roman"/>
        </w:rPr>
        <w:t xml:space="preserve"> fundamental problems with public confidence rhetoric in professional regulation; a time-honoured lack of transparency twinned with reliance on instinctual judgement</w:t>
      </w:r>
      <w:r w:rsidR="00D97FBC">
        <w:rPr>
          <w:rFonts w:ascii="Garamond" w:hAnsi="Garamond" w:cs="Times New Roman"/>
        </w:rPr>
        <w:t xml:space="preserve">, </w:t>
      </w:r>
      <w:r w:rsidR="007D2524" w:rsidRPr="007D2524">
        <w:rPr>
          <w:rFonts w:ascii="Garamond" w:hAnsi="Garamond" w:cs="Times New Roman"/>
        </w:rPr>
        <w:t>concerns that without the benefit of research, neither the courts nor the professional tribunal can credibly claim to have expertise in what the public thinks</w:t>
      </w:r>
      <w:r w:rsidR="00D97FBC">
        <w:rPr>
          <w:rFonts w:ascii="Garamond" w:hAnsi="Garamond" w:cs="Times New Roman"/>
        </w:rPr>
        <w:t xml:space="preserve"> and the fact that t</w:t>
      </w:r>
      <w:r w:rsidR="007D2524">
        <w:rPr>
          <w:rFonts w:ascii="Garamond" w:hAnsi="Garamond" w:cs="Times New Roman"/>
        </w:rPr>
        <w:t xml:space="preserve">he basis </w:t>
      </w:r>
      <w:r w:rsidR="00477C07">
        <w:rPr>
          <w:rFonts w:ascii="Garamond" w:hAnsi="Garamond" w:cs="Times New Roman"/>
        </w:rPr>
        <w:t>and justifications for</w:t>
      </w:r>
      <w:r w:rsidR="007D2524">
        <w:rPr>
          <w:rFonts w:ascii="Garamond" w:hAnsi="Garamond" w:cs="Times New Roman"/>
        </w:rPr>
        <w:t xml:space="preserve"> </w:t>
      </w:r>
      <w:r w:rsidR="00D97FBC">
        <w:rPr>
          <w:rFonts w:ascii="Garamond" w:hAnsi="Garamond" w:cs="Times New Roman"/>
        </w:rPr>
        <w:t xml:space="preserve">the courts’ </w:t>
      </w:r>
      <w:r w:rsidR="007D2524">
        <w:rPr>
          <w:rFonts w:ascii="Garamond" w:hAnsi="Garamond" w:cs="Times New Roman"/>
        </w:rPr>
        <w:t>heighten</w:t>
      </w:r>
      <w:r w:rsidR="004B5952">
        <w:rPr>
          <w:rFonts w:ascii="Garamond" w:hAnsi="Garamond" w:cs="Times New Roman"/>
        </w:rPr>
        <w:t>ed</w:t>
      </w:r>
      <w:r w:rsidR="007D2524">
        <w:rPr>
          <w:rFonts w:ascii="Garamond" w:hAnsi="Garamond" w:cs="Times New Roman"/>
        </w:rPr>
        <w:t xml:space="preserve"> deference on these particular issues </w:t>
      </w:r>
      <w:r w:rsidR="00477C07">
        <w:rPr>
          <w:rFonts w:ascii="Garamond" w:hAnsi="Garamond" w:cs="Times New Roman"/>
        </w:rPr>
        <w:t>remains</w:t>
      </w:r>
      <w:r w:rsidR="007D2524">
        <w:rPr>
          <w:rFonts w:ascii="Garamond" w:hAnsi="Garamond" w:cs="Times New Roman"/>
        </w:rPr>
        <w:t xml:space="preserve"> unclear</w:t>
      </w:r>
      <w:r w:rsidR="00D97FBC">
        <w:rPr>
          <w:rFonts w:ascii="Garamond" w:hAnsi="Garamond" w:cs="Times New Roman"/>
        </w:rPr>
        <w:t xml:space="preserve">. </w:t>
      </w:r>
      <w:proofErr w:type="gramStart"/>
      <w:r w:rsidR="00D97FBC">
        <w:rPr>
          <w:rFonts w:ascii="Garamond" w:hAnsi="Garamond" w:cs="Times New Roman"/>
        </w:rPr>
        <w:t>A</w:t>
      </w:r>
      <w:r w:rsidR="00477C07">
        <w:rPr>
          <w:rFonts w:ascii="Garamond" w:hAnsi="Garamond" w:cs="Times New Roman"/>
        </w:rPr>
        <w:t>ll of</w:t>
      </w:r>
      <w:proofErr w:type="gramEnd"/>
      <w:r w:rsidR="00477C07">
        <w:rPr>
          <w:rFonts w:ascii="Garamond" w:hAnsi="Garamond" w:cs="Times New Roman"/>
        </w:rPr>
        <w:t xml:space="preserve"> </w:t>
      </w:r>
      <w:r w:rsidR="00D97FBC">
        <w:rPr>
          <w:rFonts w:ascii="Garamond" w:hAnsi="Garamond" w:cs="Times New Roman"/>
        </w:rPr>
        <w:t>these</w:t>
      </w:r>
      <w:r w:rsidR="00477C07">
        <w:rPr>
          <w:rFonts w:ascii="Garamond" w:hAnsi="Garamond" w:cs="Times New Roman"/>
        </w:rPr>
        <w:t xml:space="preserve"> </w:t>
      </w:r>
      <w:r w:rsidR="00857514">
        <w:rPr>
          <w:rFonts w:ascii="Garamond" w:hAnsi="Garamond" w:cs="Times New Roman"/>
        </w:rPr>
        <w:t xml:space="preserve">factors </w:t>
      </w:r>
      <w:r w:rsidR="00477C07">
        <w:rPr>
          <w:rFonts w:ascii="Garamond" w:hAnsi="Garamond" w:cs="Times New Roman"/>
        </w:rPr>
        <w:t xml:space="preserve">signal that a review of the mechanics of public confidence decision making </w:t>
      </w:r>
      <w:r w:rsidR="00857514">
        <w:rPr>
          <w:rFonts w:ascii="Garamond" w:hAnsi="Garamond" w:cs="Times New Roman"/>
        </w:rPr>
        <w:t xml:space="preserve">on the part of regulators </w:t>
      </w:r>
      <w:r w:rsidR="00477C07">
        <w:rPr>
          <w:rFonts w:ascii="Garamond" w:hAnsi="Garamond" w:cs="Times New Roman"/>
        </w:rPr>
        <w:t>is</w:t>
      </w:r>
      <w:r w:rsidR="00857514">
        <w:rPr>
          <w:rFonts w:ascii="Garamond" w:hAnsi="Garamond" w:cs="Times New Roman"/>
        </w:rPr>
        <w:t xml:space="preserve"> long</w:t>
      </w:r>
      <w:r w:rsidR="00477C07">
        <w:rPr>
          <w:rFonts w:ascii="Garamond" w:hAnsi="Garamond" w:cs="Times New Roman"/>
        </w:rPr>
        <w:t xml:space="preserve"> overdue</w:t>
      </w:r>
      <w:r w:rsidR="007D2524">
        <w:rPr>
          <w:rFonts w:ascii="Garamond" w:hAnsi="Garamond" w:cs="Times New Roman"/>
        </w:rPr>
        <w:t xml:space="preserve">. </w:t>
      </w:r>
    </w:p>
    <w:p w14:paraId="78437E31" w14:textId="77777777" w:rsidR="00CB384A" w:rsidRDefault="00CB384A" w:rsidP="00072DBF">
      <w:pPr>
        <w:pStyle w:val="Normal1"/>
        <w:spacing w:line="480" w:lineRule="auto"/>
        <w:jc w:val="both"/>
        <w:rPr>
          <w:rFonts w:ascii="Garamond" w:hAnsi="Garamond" w:cs="Times New Roman"/>
        </w:rPr>
      </w:pPr>
    </w:p>
    <w:p w14:paraId="2DFDDC5A" w14:textId="5F4E9614" w:rsidR="00A9152F" w:rsidRPr="009321EF" w:rsidRDefault="00587CB1" w:rsidP="009321EF">
      <w:pPr>
        <w:pStyle w:val="Normal1"/>
        <w:spacing w:line="480" w:lineRule="auto"/>
        <w:jc w:val="both"/>
        <w:rPr>
          <w:rFonts w:ascii="Garamond" w:hAnsi="Garamond" w:cs="Times New Roman"/>
        </w:rPr>
      </w:pPr>
      <w:r w:rsidRPr="009321EF">
        <w:rPr>
          <w:rFonts w:ascii="Garamond" w:hAnsi="Garamond" w:cs="Times New Roman"/>
        </w:rPr>
        <w:t>The Author</w:t>
      </w:r>
      <w:r w:rsidR="007477D2" w:rsidRPr="009321EF">
        <w:rPr>
          <w:rFonts w:ascii="Garamond" w:hAnsi="Garamond" w:cs="Times New Roman"/>
        </w:rPr>
        <w:t>s</w:t>
      </w:r>
      <w:r w:rsidRPr="009321EF">
        <w:rPr>
          <w:rFonts w:ascii="Garamond" w:hAnsi="Garamond" w:cs="Times New Roman"/>
        </w:rPr>
        <w:t xml:space="preserve"> declare that the</w:t>
      </w:r>
      <w:r w:rsidR="007477D2" w:rsidRPr="009321EF">
        <w:rPr>
          <w:rFonts w:ascii="Garamond" w:hAnsi="Garamond" w:cs="Times New Roman"/>
        </w:rPr>
        <w:t>y have</w:t>
      </w:r>
      <w:r w:rsidRPr="009321EF">
        <w:rPr>
          <w:rFonts w:ascii="Garamond" w:hAnsi="Garamond" w:cs="Times New Roman"/>
        </w:rPr>
        <w:t xml:space="preserve"> no conflict of interest.</w:t>
      </w:r>
    </w:p>
    <w:p w14:paraId="692527E6" w14:textId="517893EC" w:rsidR="00473CF3" w:rsidRPr="009321EF" w:rsidRDefault="00473CF3" w:rsidP="009321EF">
      <w:pPr>
        <w:pStyle w:val="Normal1"/>
        <w:spacing w:line="480" w:lineRule="auto"/>
        <w:jc w:val="both"/>
        <w:rPr>
          <w:rFonts w:ascii="Garamond" w:hAnsi="Garamond" w:cs="Times New Roman"/>
        </w:rPr>
      </w:pPr>
    </w:p>
    <w:p w14:paraId="19CF97C2" w14:textId="4BFDAAD8" w:rsidR="00473CF3" w:rsidRPr="009321EF" w:rsidRDefault="00473CF3" w:rsidP="009321EF">
      <w:pPr>
        <w:pStyle w:val="Normal1"/>
        <w:spacing w:line="480" w:lineRule="auto"/>
        <w:jc w:val="both"/>
        <w:rPr>
          <w:rFonts w:ascii="Garamond" w:hAnsi="Garamond" w:cs="Times New Roman"/>
        </w:rPr>
      </w:pPr>
    </w:p>
    <w:p w14:paraId="7BF85394" w14:textId="77777777" w:rsidR="00A9152F" w:rsidRPr="009321EF" w:rsidRDefault="00A9152F" w:rsidP="009321EF">
      <w:pPr>
        <w:pStyle w:val="Normal1"/>
        <w:spacing w:line="480" w:lineRule="auto"/>
        <w:jc w:val="both"/>
        <w:rPr>
          <w:rFonts w:ascii="Garamond" w:hAnsi="Garamond" w:cs="Times New Roman"/>
        </w:rPr>
      </w:pPr>
    </w:p>
    <w:sectPr w:rsidR="00A9152F" w:rsidRPr="009321EF" w:rsidSect="009321EF">
      <w:footerReference w:type="default" r:id="rId8"/>
      <w:endnotePr>
        <w:numFmt w:val="decimal"/>
      </w:endnotePr>
      <w:pgSz w:w="11900" w:h="16840" w:code="9"/>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7D1D" w14:textId="77777777" w:rsidR="00BD6F9A" w:rsidRDefault="00BD6F9A" w:rsidP="002931A3">
      <w:r>
        <w:separator/>
      </w:r>
    </w:p>
  </w:endnote>
  <w:endnote w:type="continuationSeparator" w:id="0">
    <w:p w14:paraId="4986C1BC" w14:textId="77777777" w:rsidR="00BD6F9A" w:rsidRDefault="00BD6F9A" w:rsidP="0029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122046"/>
      <w:docPartObj>
        <w:docPartGallery w:val="Page Numbers (Bottom of Page)"/>
        <w:docPartUnique/>
      </w:docPartObj>
    </w:sdtPr>
    <w:sdtEndPr>
      <w:rPr>
        <w:noProof/>
      </w:rPr>
    </w:sdtEndPr>
    <w:sdtContent>
      <w:p w14:paraId="5F59B90E" w14:textId="49B9BEF5" w:rsidR="00DC6F5A" w:rsidRDefault="00DC6F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4177D" w14:textId="77777777" w:rsidR="00DC6F5A" w:rsidRDefault="00DC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3658" w14:textId="77777777" w:rsidR="00BD6F9A" w:rsidRDefault="00BD6F9A" w:rsidP="002931A3">
      <w:r>
        <w:separator/>
      </w:r>
    </w:p>
  </w:footnote>
  <w:footnote w:type="continuationSeparator" w:id="0">
    <w:p w14:paraId="40842BE3" w14:textId="77777777" w:rsidR="00BD6F9A" w:rsidRDefault="00BD6F9A" w:rsidP="002931A3">
      <w:r>
        <w:continuationSeparator/>
      </w:r>
    </w:p>
  </w:footnote>
  <w:footnote w:id="1">
    <w:p w14:paraId="6E249D65" w14:textId="27C1351B" w:rsidR="00DC6F5A" w:rsidRPr="00477C07" w:rsidRDefault="00DC6F5A" w:rsidP="007907C8">
      <w:pPr>
        <w:pStyle w:val="FootnoteText"/>
        <w:rPr>
          <w:rFonts w:ascii="Garamond" w:hAnsi="Garamond"/>
          <w:sz w:val="18"/>
          <w:szCs w:val="18"/>
        </w:rPr>
      </w:pPr>
      <w:r w:rsidRPr="009321EF">
        <w:rPr>
          <w:rStyle w:val="FootnoteReference"/>
          <w:rFonts w:ascii="Garamond" w:hAnsi="Garamond"/>
          <w:sz w:val="20"/>
          <w:szCs w:val="20"/>
        </w:rPr>
        <w:footnoteRef/>
      </w:r>
      <w:r w:rsidRPr="009321EF">
        <w:rPr>
          <w:rFonts w:ascii="Garamond" w:hAnsi="Garamond"/>
          <w:sz w:val="20"/>
          <w:szCs w:val="20"/>
        </w:rPr>
        <w:t xml:space="preserve"> N. Williams, </w:t>
      </w:r>
      <w:r w:rsidRPr="009321EF">
        <w:rPr>
          <w:rFonts w:ascii="Garamond" w:hAnsi="Garamond"/>
          <w:i/>
          <w:iCs/>
          <w:sz w:val="20"/>
          <w:szCs w:val="20"/>
        </w:rPr>
        <w:t>Gross negligence manslaughter in healthcare: t</w:t>
      </w:r>
      <w:r w:rsidRPr="00477C07">
        <w:rPr>
          <w:rFonts w:ascii="Garamond" w:hAnsi="Garamond"/>
          <w:i/>
          <w:iCs/>
          <w:sz w:val="18"/>
          <w:szCs w:val="18"/>
        </w:rPr>
        <w:t xml:space="preserve">he report of a rapid policy review </w:t>
      </w:r>
      <w:r w:rsidRPr="00477C07">
        <w:rPr>
          <w:rFonts w:ascii="Garamond" w:hAnsi="Garamond"/>
          <w:sz w:val="18"/>
          <w:szCs w:val="18"/>
        </w:rPr>
        <w:t xml:space="preserve">(June 2018) (‘the Williams Review'). Available at </w:t>
      </w:r>
      <w:hyperlink r:id="rId1" w:history="1">
        <w:r w:rsidRPr="00477C07">
          <w:rPr>
            <w:rStyle w:val="Hyperlink"/>
            <w:rFonts w:ascii="Garamond" w:hAnsi="Garamond"/>
            <w:sz w:val="18"/>
            <w:szCs w:val="18"/>
          </w:rPr>
          <w:t>https://www.gov.uk/government/publications/williams-review-into-gross-negligence-manslaughter-in-healthcare</w:t>
        </w:r>
      </w:hyperlink>
      <w:r w:rsidRPr="00477C07">
        <w:rPr>
          <w:rFonts w:ascii="Garamond" w:hAnsi="Garamond"/>
          <w:sz w:val="18"/>
          <w:szCs w:val="18"/>
        </w:rPr>
        <w:t xml:space="preserve"> - last accessed 24/1/20.</w:t>
      </w:r>
    </w:p>
  </w:footnote>
  <w:footnote w:id="2">
    <w:p w14:paraId="39D3D866" w14:textId="5607B862"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See s.1(1A) Medical Act 1983 set out below, but </w:t>
      </w:r>
      <w:r w:rsidR="006D612C" w:rsidRPr="00477C07">
        <w:rPr>
          <w:rFonts w:ascii="Garamond" w:hAnsi="Garamond"/>
          <w:sz w:val="18"/>
          <w:szCs w:val="18"/>
        </w:rPr>
        <w:t>similar provisions exist in Australia (see e.g.</w:t>
      </w:r>
      <w:r w:rsidRPr="00477C07">
        <w:rPr>
          <w:rFonts w:ascii="Garamond" w:hAnsi="Garamond"/>
          <w:sz w:val="18"/>
          <w:szCs w:val="18"/>
        </w:rPr>
        <w:t xml:space="preserve"> </w:t>
      </w:r>
      <w:r w:rsidRPr="00477C07">
        <w:rPr>
          <w:rFonts w:ascii="Garamond" w:hAnsi="Garamond"/>
          <w:i/>
          <w:iCs/>
          <w:sz w:val="18"/>
          <w:szCs w:val="18"/>
        </w:rPr>
        <w:t xml:space="preserve">Craig v The Medical Board of South Australia </w:t>
      </w:r>
      <w:r w:rsidRPr="00477C07">
        <w:rPr>
          <w:rFonts w:ascii="Garamond" w:hAnsi="Garamond"/>
          <w:sz w:val="18"/>
          <w:szCs w:val="18"/>
        </w:rPr>
        <w:t xml:space="preserve">[2001] SASC 169; </w:t>
      </w:r>
      <w:r w:rsidR="006D612C" w:rsidRPr="00477C07">
        <w:rPr>
          <w:rFonts w:ascii="Garamond" w:hAnsi="Garamond"/>
          <w:sz w:val="18"/>
          <w:szCs w:val="18"/>
        </w:rPr>
        <w:t xml:space="preserve">Canada (see e.g. </w:t>
      </w:r>
      <w:r w:rsidR="006D612C" w:rsidRPr="00477C07">
        <w:rPr>
          <w:rFonts w:ascii="Garamond" w:hAnsi="Garamond"/>
          <w:i/>
          <w:iCs/>
          <w:sz w:val="18"/>
          <w:szCs w:val="18"/>
        </w:rPr>
        <w:t xml:space="preserve">College of Physicians and Surgeons of Ontario v </w:t>
      </w:r>
      <w:r w:rsidR="006D612C" w:rsidRPr="00477C07">
        <w:rPr>
          <w:rFonts w:ascii="Garamond" w:hAnsi="Garamond"/>
          <w:i/>
          <w:iCs/>
          <w:sz w:val="18"/>
          <w:szCs w:val="18"/>
        </w:rPr>
        <w:t xml:space="preserve">Minnes </w:t>
      </w:r>
      <w:r w:rsidR="006D612C" w:rsidRPr="00477C07">
        <w:rPr>
          <w:rFonts w:ascii="Garamond" w:hAnsi="Garamond"/>
          <w:sz w:val="18"/>
          <w:szCs w:val="18"/>
        </w:rPr>
        <w:t>[2016] ONSC 1186, although note a different articulation of the objective as to ‘maintain public confidence</w:t>
      </w:r>
      <w:r w:rsidR="006D612C" w:rsidRPr="00477C07">
        <w:rPr>
          <w:rFonts w:ascii="Garamond" w:hAnsi="Garamond"/>
          <w:i/>
          <w:iCs/>
          <w:sz w:val="18"/>
          <w:szCs w:val="18"/>
        </w:rPr>
        <w:t xml:space="preserve"> in the system of self-regulation</w:t>
      </w:r>
      <w:r w:rsidR="006D612C" w:rsidRPr="00477C07">
        <w:rPr>
          <w:rFonts w:ascii="Garamond" w:hAnsi="Garamond"/>
          <w:sz w:val="18"/>
          <w:szCs w:val="18"/>
        </w:rPr>
        <w:t xml:space="preserve"> of the medical profession.’ At [18] (emphasis added).</w:t>
      </w:r>
    </w:p>
  </w:footnote>
  <w:footnote w:id="3">
    <w:p w14:paraId="0DB717F7" w14:textId="6332E008" w:rsidR="00DC6F5A" w:rsidRPr="00477C07" w:rsidRDefault="00DC6F5A" w:rsidP="007907C8">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How is public confidence maintained when fitness to practise decisions are made?</w:t>
      </w:r>
      <w:r w:rsidRPr="00477C07">
        <w:rPr>
          <w:rFonts w:ascii="Garamond" w:hAnsi="Garamond"/>
          <w:sz w:val="18"/>
          <w:szCs w:val="18"/>
        </w:rPr>
        <w:t xml:space="preserve"> (Advice to the Secretary of State – Professional Standards Authority, 2019), 4.13, relying on </w:t>
      </w:r>
      <w:r w:rsidRPr="00477C07">
        <w:rPr>
          <w:rFonts w:ascii="Garamond" w:hAnsi="Garamond"/>
          <w:i/>
          <w:iCs/>
          <w:sz w:val="18"/>
          <w:szCs w:val="18"/>
        </w:rPr>
        <w:t xml:space="preserve">GMC v Cohen </w:t>
      </w:r>
      <w:r w:rsidRPr="00477C07">
        <w:rPr>
          <w:rFonts w:ascii="Garamond" w:hAnsi="Garamond"/>
          <w:sz w:val="18"/>
          <w:szCs w:val="18"/>
        </w:rPr>
        <w:t xml:space="preserve">[2008] EWHC 581. Available at </w:t>
      </w:r>
      <w:hyperlink r:id="rId2" w:history="1">
        <w:r w:rsidRPr="00477C07">
          <w:rPr>
            <w:rStyle w:val="Hyperlink"/>
            <w:rFonts w:ascii="Garamond" w:hAnsi="Garamond"/>
            <w:sz w:val="18"/>
            <w:szCs w:val="18"/>
          </w:rPr>
          <w:t>https://www.professionalstandards.org.uk/publications/detail/how-is-public-confidence-maintained-when-fitness-to-practise-decisions-are-made</w:t>
        </w:r>
      </w:hyperlink>
      <w:r w:rsidRPr="00477C07">
        <w:rPr>
          <w:rFonts w:ascii="Garamond" w:hAnsi="Garamond"/>
          <w:sz w:val="18"/>
          <w:szCs w:val="18"/>
        </w:rPr>
        <w:t xml:space="preserve"> - last accessed 24/1/20.</w:t>
      </w:r>
    </w:p>
  </w:footnote>
  <w:footnote w:id="4">
    <w:p w14:paraId="441F2457" w14:textId="237F5D17" w:rsidR="00DC6F5A" w:rsidRPr="00477C07" w:rsidRDefault="00DC6F5A" w:rsidP="007907C8">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BMA Response to Williams Review -Aug2018; https://www.gponline.com/gmc-public-confidence-duty-risks-trial-media-doctors/article/1490583</w:t>
      </w:r>
      <w:r w:rsidR="006D612C" w:rsidRPr="00477C07">
        <w:rPr>
          <w:rFonts w:ascii="Garamond" w:hAnsi="Garamond"/>
          <w:sz w:val="18"/>
          <w:szCs w:val="18"/>
        </w:rPr>
        <w:t>.</w:t>
      </w:r>
    </w:p>
  </w:footnote>
  <w:footnote w:id="5">
    <w:p w14:paraId="79C1EDA0" w14:textId="77777777" w:rsidR="00DC6F5A" w:rsidRPr="00477C07" w:rsidRDefault="00DC6F5A" w:rsidP="007907C8">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Ahmed v GMC</w:t>
      </w:r>
      <w:r w:rsidRPr="00477C07">
        <w:rPr>
          <w:rFonts w:ascii="Garamond" w:hAnsi="Garamond"/>
          <w:sz w:val="18"/>
          <w:szCs w:val="18"/>
        </w:rPr>
        <w:t xml:space="preserve"> [2019] EWHC 2173 at [9]; relying on </w:t>
      </w:r>
      <w:r w:rsidRPr="00477C07">
        <w:rPr>
          <w:rFonts w:ascii="Garamond" w:hAnsi="Garamond"/>
          <w:i/>
          <w:iCs/>
          <w:sz w:val="18"/>
          <w:szCs w:val="18"/>
        </w:rPr>
        <w:t>Fatnani &amp; Raschid v General Medical Council</w:t>
      </w:r>
      <w:r w:rsidRPr="00477C07">
        <w:rPr>
          <w:rFonts w:ascii="Garamond" w:hAnsi="Garamond"/>
          <w:sz w:val="18"/>
          <w:szCs w:val="18"/>
        </w:rPr>
        <w:t> </w:t>
      </w:r>
      <w:hyperlink r:id="rId3" w:tooltip="Link to BAILII version" w:history="1">
        <w:r w:rsidRPr="00477C07">
          <w:rPr>
            <w:rStyle w:val="Hyperlink"/>
            <w:rFonts w:ascii="Garamond" w:hAnsi="Garamond"/>
            <w:color w:val="auto"/>
            <w:sz w:val="18"/>
            <w:szCs w:val="18"/>
            <w:u w:val="none"/>
          </w:rPr>
          <w:t>[2007] EWCA Civ 46</w:t>
        </w:r>
      </w:hyperlink>
      <w:r w:rsidRPr="00477C07">
        <w:rPr>
          <w:rFonts w:ascii="Garamond" w:hAnsi="Garamond"/>
          <w:sz w:val="18"/>
          <w:szCs w:val="18"/>
        </w:rPr>
        <w:t xml:space="preserve"> at [19].</w:t>
      </w:r>
    </w:p>
  </w:footnote>
  <w:footnote w:id="6">
    <w:p w14:paraId="1FC61308" w14:textId="428D3DF0" w:rsidR="00DC6F5A" w:rsidRPr="00477C07" w:rsidRDefault="00DC6F5A" w:rsidP="007907C8">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P. Case, ’Putting Public Confidence First</w:t>
      </w:r>
      <w:r w:rsidRPr="00477C07">
        <w:rPr>
          <w:rFonts w:ascii="Garamond" w:hAnsi="Garamond" w:cs="Arial"/>
          <w:sz w:val="18"/>
          <w:szCs w:val="18"/>
          <w:shd w:val="clear" w:color="auto" w:fill="F2F2F2" w:themeFill="background1" w:themeFillShade="F2"/>
        </w:rPr>
        <w:t>:</w:t>
      </w:r>
      <w:r w:rsidRPr="00477C07">
        <w:rPr>
          <w:rFonts w:ascii="Garamond" w:hAnsi="Garamond" w:cs="Arial"/>
          <w:sz w:val="18"/>
          <w:szCs w:val="18"/>
          <w:shd w:val="clear" w:color="auto" w:fill="FFFFFF" w:themeFill="background1"/>
        </w:rPr>
        <w:t xml:space="preserve"> Doctors, Precautionary Suspension and the General Medical Council.’ (2011) 19(3) </w:t>
      </w:r>
      <w:r w:rsidRPr="00477C07">
        <w:rPr>
          <w:rFonts w:ascii="Garamond" w:hAnsi="Garamond" w:cs="Arial"/>
          <w:i/>
          <w:sz w:val="18"/>
          <w:szCs w:val="18"/>
          <w:shd w:val="clear" w:color="auto" w:fill="FFFFFF" w:themeFill="background1"/>
        </w:rPr>
        <w:t xml:space="preserve">Medical Law Review </w:t>
      </w:r>
      <w:r w:rsidRPr="00477C07">
        <w:rPr>
          <w:rFonts w:ascii="Garamond" w:hAnsi="Garamond" w:cs="Arial"/>
          <w:sz w:val="18"/>
          <w:szCs w:val="18"/>
          <w:shd w:val="clear" w:color="auto" w:fill="FFFFFF" w:themeFill="background1"/>
        </w:rPr>
        <w:t>339</w:t>
      </w:r>
      <w:r w:rsidRPr="00477C07">
        <w:rPr>
          <w:rFonts w:ascii="Garamond" w:hAnsi="Garamond"/>
          <w:sz w:val="18"/>
          <w:szCs w:val="18"/>
          <w:shd w:val="clear" w:color="auto" w:fill="FFFFFF" w:themeFill="background1"/>
        </w:rPr>
        <w:t xml:space="preserve">: and reference to MPTS Sanctions Guidance on ‘erasure’ in </w:t>
      </w:r>
      <w:r w:rsidRPr="00477C07">
        <w:rPr>
          <w:rFonts w:ascii="Garamond" w:hAnsi="Garamond"/>
          <w:i/>
          <w:iCs/>
          <w:sz w:val="18"/>
          <w:szCs w:val="18"/>
          <w:shd w:val="clear" w:color="auto" w:fill="FFFFFF" w:themeFill="background1"/>
        </w:rPr>
        <w:t xml:space="preserve">Bawa-Garba v GMC </w:t>
      </w:r>
      <w:r w:rsidRPr="00477C07">
        <w:rPr>
          <w:rFonts w:ascii="Garamond" w:hAnsi="Garamond"/>
          <w:sz w:val="18"/>
          <w:szCs w:val="18"/>
          <w:shd w:val="clear" w:color="auto" w:fill="FFFFFF" w:themeFill="background1"/>
        </w:rPr>
        <w:t>[2018] EWCA Civ 1879 a</w:t>
      </w:r>
      <w:r w:rsidRPr="00477C07">
        <w:rPr>
          <w:rFonts w:ascii="Garamond" w:hAnsi="Garamond"/>
          <w:sz w:val="18"/>
          <w:szCs w:val="18"/>
        </w:rPr>
        <w:t>t [29].</w:t>
      </w:r>
    </w:p>
  </w:footnote>
  <w:footnote w:id="7">
    <w:p w14:paraId="657F6F5E" w14:textId="75EDD793" w:rsidR="00DC6F5A" w:rsidRPr="00477C07" w:rsidRDefault="00DC6F5A" w:rsidP="00336770">
      <w:pPr>
        <w:rPr>
          <w:rFonts w:ascii="Garamond" w:eastAsia="Times New Roman" w:hAnsi="Garamond" w:cs="Times New Roman"/>
          <w:sz w:val="18"/>
          <w:szCs w:val="18"/>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S</w:t>
      </w:r>
      <w:r w:rsidR="00EF228C" w:rsidRPr="00477C07">
        <w:rPr>
          <w:rFonts w:ascii="Garamond" w:hAnsi="Garamond" w:cs="Times New Roman"/>
          <w:sz w:val="18"/>
          <w:szCs w:val="18"/>
        </w:rPr>
        <w:t>.</w:t>
      </w:r>
      <w:r w:rsidRPr="00477C07">
        <w:rPr>
          <w:rFonts w:ascii="Garamond" w:hAnsi="Garamond" w:cs="Times New Roman"/>
          <w:sz w:val="18"/>
          <w:szCs w:val="18"/>
        </w:rPr>
        <w:t xml:space="preserve"> </w:t>
      </w:r>
      <w:r w:rsidRPr="00477C07">
        <w:rPr>
          <w:rFonts w:ascii="Garamond" w:hAnsi="Garamond" w:cs="Times New Roman"/>
          <w:sz w:val="18"/>
          <w:szCs w:val="18"/>
        </w:rPr>
        <w:t>Lintern, ‘Jeremy Hunt to strip General Medical Council of Powers’ (</w:t>
      </w:r>
      <w:r w:rsidRPr="00477C07">
        <w:rPr>
          <w:rFonts w:ascii="Garamond" w:hAnsi="Garamond" w:cs="Times New Roman"/>
          <w:i/>
          <w:sz w:val="18"/>
          <w:szCs w:val="18"/>
        </w:rPr>
        <w:t xml:space="preserve">Health Service Journal </w:t>
      </w:r>
      <w:r w:rsidRPr="00477C07">
        <w:rPr>
          <w:rFonts w:ascii="Garamond" w:hAnsi="Garamond" w:cs="Times New Roman"/>
          <w:sz w:val="18"/>
          <w:szCs w:val="18"/>
        </w:rPr>
        <w:t>11</w:t>
      </w:r>
      <w:r w:rsidRPr="00477C07">
        <w:rPr>
          <w:rFonts w:ascii="Garamond" w:hAnsi="Garamond" w:cs="Times New Roman"/>
          <w:sz w:val="18"/>
          <w:szCs w:val="18"/>
          <w:vertAlign w:val="superscript"/>
        </w:rPr>
        <w:t>th</w:t>
      </w:r>
      <w:r w:rsidRPr="00477C07">
        <w:rPr>
          <w:rFonts w:ascii="Garamond" w:hAnsi="Garamond" w:cs="Times New Roman"/>
          <w:sz w:val="18"/>
          <w:szCs w:val="18"/>
        </w:rPr>
        <w:t xml:space="preserve"> June 2018) &lt;</w:t>
      </w:r>
      <w:r w:rsidRPr="00477C07">
        <w:rPr>
          <w:rFonts w:ascii="Garamond" w:eastAsia="Times New Roman" w:hAnsi="Garamond" w:cs="Times New Roman"/>
          <w:sz w:val="18"/>
          <w:szCs w:val="18"/>
        </w:rPr>
        <w:t xml:space="preserve"> </w:t>
      </w:r>
      <w:hyperlink r:id="rId4" w:history="1">
        <w:r w:rsidRPr="00477C07">
          <w:rPr>
            <w:rFonts w:ascii="Garamond" w:eastAsia="Times New Roman" w:hAnsi="Garamond" w:cs="Times New Roman"/>
            <w:sz w:val="18"/>
            <w:szCs w:val="18"/>
          </w:rPr>
          <w:t>https://www.hsj.co.uk/policy-and-regulation/jeremy-hunt-to-strip-general-medical-council-of-powers/7022626.article</w:t>
        </w:r>
      </w:hyperlink>
      <w:r w:rsidRPr="00477C07">
        <w:rPr>
          <w:rFonts w:ascii="Garamond" w:eastAsia="Times New Roman" w:hAnsi="Garamond" w:cs="Times New Roman"/>
          <w:sz w:val="18"/>
          <w:szCs w:val="18"/>
        </w:rPr>
        <w:t xml:space="preserve">&gt; </w:t>
      </w:r>
      <w:r w:rsidR="00EF228C" w:rsidRPr="00477C07">
        <w:rPr>
          <w:rFonts w:ascii="Garamond" w:eastAsia="Times New Roman" w:hAnsi="Garamond" w:cs="Times New Roman"/>
          <w:sz w:val="18"/>
          <w:szCs w:val="18"/>
        </w:rPr>
        <w:t xml:space="preserve">last </w:t>
      </w:r>
      <w:r w:rsidRPr="00477C07">
        <w:rPr>
          <w:rFonts w:ascii="Garamond" w:eastAsia="Times New Roman" w:hAnsi="Garamond" w:cs="Times New Roman"/>
          <w:sz w:val="18"/>
          <w:szCs w:val="18"/>
        </w:rPr>
        <w:t xml:space="preserve">accessed </w:t>
      </w:r>
      <w:r w:rsidR="00EF228C" w:rsidRPr="00477C07">
        <w:rPr>
          <w:rFonts w:ascii="Garamond" w:eastAsia="Times New Roman" w:hAnsi="Garamond" w:cs="Times New Roman"/>
          <w:sz w:val="18"/>
          <w:szCs w:val="18"/>
        </w:rPr>
        <w:t>24</w:t>
      </w:r>
      <w:r w:rsidR="00EF228C" w:rsidRPr="00477C07">
        <w:rPr>
          <w:rFonts w:ascii="Garamond" w:eastAsia="Times New Roman" w:hAnsi="Garamond" w:cs="Times New Roman"/>
          <w:sz w:val="18"/>
          <w:szCs w:val="18"/>
          <w:vertAlign w:val="superscript"/>
        </w:rPr>
        <w:t>th</w:t>
      </w:r>
      <w:r w:rsidR="00EF228C" w:rsidRPr="00477C07">
        <w:rPr>
          <w:rFonts w:ascii="Garamond" w:eastAsia="Times New Roman" w:hAnsi="Garamond" w:cs="Times New Roman"/>
          <w:sz w:val="18"/>
          <w:szCs w:val="18"/>
        </w:rPr>
        <w:t xml:space="preserve"> January</w:t>
      </w:r>
      <w:r w:rsidRPr="00477C07">
        <w:rPr>
          <w:rFonts w:ascii="Garamond" w:eastAsia="Times New Roman" w:hAnsi="Garamond" w:cs="Times New Roman"/>
          <w:sz w:val="18"/>
          <w:szCs w:val="18"/>
        </w:rPr>
        <w:t xml:space="preserve"> 20</w:t>
      </w:r>
      <w:r w:rsidR="00E377A5" w:rsidRPr="00477C07">
        <w:rPr>
          <w:rFonts w:ascii="Garamond" w:eastAsia="Times New Roman" w:hAnsi="Garamond" w:cs="Times New Roman"/>
          <w:sz w:val="18"/>
          <w:szCs w:val="18"/>
        </w:rPr>
        <w:t>20</w:t>
      </w:r>
      <w:r w:rsidRPr="00477C07">
        <w:rPr>
          <w:rFonts w:ascii="Garamond" w:eastAsia="Times New Roman" w:hAnsi="Garamond" w:cs="Times New Roman"/>
          <w:sz w:val="18"/>
          <w:szCs w:val="18"/>
        </w:rPr>
        <w:t>.</w:t>
      </w:r>
    </w:p>
  </w:footnote>
  <w:footnote w:id="8">
    <w:p w14:paraId="4C554ED0" w14:textId="77777777" w:rsidR="00DC6F5A" w:rsidRPr="00477C07" w:rsidRDefault="00DC6F5A" w:rsidP="00CE0116">
      <w:pPr>
        <w:pStyle w:val="FootnoteText"/>
        <w:shd w:val="clear" w:color="auto" w:fill="FFFFFF" w:themeFill="background1"/>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References to the need to promote public confidence in the profession are common in the application of professional sanctions against healthcare professions generally, but also other professions, to include teachers, social workers, opticians, dentists and lawyers.</w:t>
      </w:r>
    </w:p>
  </w:footnote>
  <w:footnote w:id="9">
    <w:p w14:paraId="7FBD54BB" w14:textId="77777777" w:rsidR="00DC6F5A" w:rsidRPr="00477C07" w:rsidRDefault="00DC6F5A" w:rsidP="00CE0116">
      <w:pPr>
        <w:pStyle w:val="FootnoteText"/>
        <w:shd w:val="clear" w:color="auto" w:fill="FFFFFF" w:themeFill="background1"/>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These amendments were introduced by the </w:t>
      </w:r>
      <w:r w:rsidRPr="00477C07">
        <w:rPr>
          <w:rFonts w:ascii="Garamond" w:hAnsi="Garamond"/>
          <w:i/>
          <w:iCs/>
          <w:sz w:val="18"/>
          <w:szCs w:val="18"/>
        </w:rPr>
        <w:t xml:space="preserve">General Medical Council (Fitness to Practise and Over-arching Objective) and the Professional Standards Authority for Health and Social Care (References to Court) Order 2015 </w:t>
      </w:r>
      <w:r w:rsidRPr="00477C07">
        <w:rPr>
          <w:rFonts w:ascii="Garamond" w:hAnsi="Garamond"/>
          <w:sz w:val="18"/>
          <w:szCs w:val="18"/>
        </w:rPr>
        <w:t xml:space="preserve">(2015/794). </w:t>
      </w:r>
    </w:p>
  </w:footnote>
  <w:footnote w:id="10">
    <w:p w14:paraId="1D688711" w14:textId="77777777" w:rsidR="00DC6F5A" w:rsidRPr="00477C07" w:rsidRDefault="00DC6F5A" w:rsidP="00CE0116">
      <w:pPr>
        <w:pStyle w:val="FootnoteText"/>
        <w:shd w:val="clear" w:color="auto" w:fill="FFFFFF" w:themeFill="background1"/>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This Act was amended in 2015 with the intention, described by Earl Howe, then health minister, to strengthen the powers of the GMC. In the House of Lords debate of these reforms, the need to promote and maintain public confidence was stressed, although ‘maintaining public confidence’ was considered only to be relevant in so far as it was in pursuit of ‘the protection of the public’: Hansard HL vol 760 cols 257-259 (17</w:t>
      </w:r>
      <w:r w:rsidRPr="00477C07">
        <w:rPr>
          <w:rFonts w:ascii="Garamond" w:hAnsi="Garamond"/>
          <w:sz w:val="18"/>
          <w:szCs w:val="18"/>
          <w:vertAlign w:val="superscript"/>
        </w:rPr>
        <w:t>th</w:t>
      </w:r>
      <w:r w:rsidRPr="00477C07">
        <w:rPr>
          <w:rFonts w:ascii="Garamond" w:hAnsi="Garamond"/>
          <w:sz w:val="18"/>
          <w:szCs w:val="18"/>
        </w:rPr>
        <w:t xml:space="preserve"> March 2015), at 258.</w:t>
      </w:r>
    </w:p>
  </w:footnote>
  <w:footnote w:id="11">
    <w:p w14:paraId="39D16D8E" w14:textId="7BA70E63"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lang w:val="en-US"/>
        </w:rPr>
        <w:t xml:space="preserve">Bawa-Garba v GMC </w:t>
      </w:r>
      <w:r w:rsidRPr="00477C07">
        <w:rPr>
          <w:rFonts w:ascii="Garamond" w:hAnsi="Garamond" w:cs="Times New Roman"/>
          <w:sz w:val="18"/>
          <w:szCs w:val="18"/>
          <w:lang w:val="en-US"/>
        </w:rPr>
        <w:t>[2018] EWCA Civ 1879.</w:t>
      </w:r>
    </w:p>
  </w:footnote>
  <w:footnote w:id="12">
    <w:p w14:paraId="3CAC15F0" w14:textId="6BEFA389"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A commonly used formulation of the threshold required for liability in GNM.</w:t>
      </w:r>
    </w:p>
  </w:footnote>
  <w:footnote w:id="13">
    <w:p w14:paraId="314AA4F1" w14:textId="43845E50" w:rsidR="00DC6F5A" w:rsidRPr="00477C07" w:rsidRDefault="00DC6F5A" w:rsidP="0022642D">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sz w:val="18"/>
          <w:szCs w:val="18"/>
        </w:rPr>
        <w:t xml:space="preserve">Bawa-Garba v The Queen </w:t>
      </w:r>
      <w:r w:rsidRPr="00477C07">
        <w:rPr>
          <w:rFonts w:ascii="Garamond" w:hAnsi="Garamond"/>
          <w:sz w:val="18"/>
          <w:szCs w:val="18"/>
        </w:rPr>
        <w:t>[2016] EWCA Crim 1841.</w:t>
      </w:r>
    </w:p>
  </w:footnote>
  <w:footnote w:id="14">
    <w:p w14:paraId="74ACA44A" w14:textId="10B69050"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M. Brazier and A. </w:t>
      </w:r>
      <w:r w:rsidRPr="00477C07">
        <w:rPr>
          <w:rFonts w:ascii="Garamond" w:hAnsi="Garamond"/>
          <w:sz w:val="18"/>
          <w:szCs w:val="18"/>
        </w:rPr>
        <w:t>Alghrani, ‘Fatal medical malpractice and criminal liability’ (2009) 2 PN 51 at 67.</w:t>
      </w:r>
    </w:p>
  </w:footnote>
  <w:footnote w:id="15">
    <w:p w14:paraId="6461E705" w14:textId="095E6CFE"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bookmarkStart w:id="2" w:name="_Hlk22636683"/>
      <w:r w:rsidRPr="00477C07">
        <w:rPr>
          <w:rFonts w:ascii="Garamond" w:hAnsi="Garamond"/>
          <w:sz w:val="18"/>
          <w:szCs w:val="18"/>
        </w:rPr>
        <w:t>O. Quick,</w:t>
      </w:r>
      <w:r w:rsidRPr="00477C07">
        <w:rPr>
          <w:rFonts w:ascii="Garamond" w:hAnsi="Garamond"/>
          <w:i/>
          <w:sz w:val="18"/>
          <w:szCs w:val="18"/>
        </w:rPr>
        <w:t xml:space="preserve"> Regulating Patient Safety: the end of Professional Dominance</w:t>
      </w:r>
      <w:r w:rsidRPr="00477C07">
        <w:rPr>
          <w:rFonts w:ascii="Garamond" w:hAnsi="Garamond"/>
          <w:sz w:val="18"/>
          <w:szCs w:val="18"/>
        </w:rPr>
        <w:t xml:space="preserve"> (CUP, 2017)</w:t>
      </w:r>
      <w:bookmarkEnd w:id="2"/>
      <w:r w:rsidRPr="00477C07">
        <w:rPr>
          <w:rFonts w:ascii="Garamond" w:hAnsi="Garamond"/>
          <w:sz w:val="18"/>
          <w:szCs w:val="18"/>
        </w:rPr>
        <w:t xml:space="preserve"> at 112.</w:t>
      </w:r>
    </w:p>
  </w:footnote>
  <w:footnote w:id="16">
    <w:p w14:paraId="358862CE" w14:textId="07A8B846" w:rsidR="00DC6F5A" w:rsidRPr="00477C07" w:rsidRDefault="00DC6F5A" w:rsidP="008E611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R. Foster, ‘The Case of </w:t>
      </w:r>
      <w:r w:rsidRPr="00477C07">
        <w:rPr>
          <w:rFonts w:ascii="Garamond" w:hAnsi="Garamond"/>
          <w:i/>
          <w:iCs/>
          <w:sz w:val="18"/>
          <w:szCs w:val="18"/>
        </w:rPr>
        <w:t>Dr </w:t>
      </w:r>
      <w:r w:rsidRPr="00477C07">
        <w:rPr>
          <w:rFonts w:ascii="Garamond" w:hAnsi="Garamond"/>
          <w:i/>
          <w:iCs/>
          <w:sz w:val="18"/>
          <w:szCs w:val="18"/>
        </w:rPr>
        <w:t>Bawa-Garba </w:t>
      </w:r>
      <w:r w:rsidRPr="00477C07">
        <w:rPr>
          <w:rFonts w:ascii="Garamond" w:hAnsi="Garamond"/>
          <w:sz w:val="18"/>
          <w:szCs w:val="18"/>
        </w:rPr>
        <w:t xml:space="preserve">and the Tension between Fitness to Practise, the Criminal Law and the Supervisory Jurisdiction of the Court’ (2018) 23(4) </w:t>
      </w:r>
      <w:r w:rsidRPr="00477C07">
        <w:rPr>
          <w:rFonts w:ascii="Garamond" w:hAnsi="Garamond"/>
          <w:i/>
          <w:iCs/>
          <w:sz w:val="18"/>
          <w:szCs w:val="18"/>
        </w:rPr>
        <w:t xml:space="preserve">Judicial Review </w:t>
      </w:r>
      <w:r w:rsidRPr="00477C07">
        <w:rPr>
          <w:rFonts w:ascii="Garamond" w:hAnsi="Garamond"/>
          <w:sz w:val="18"/>
          <w:szCs w:val="18"/>
        </w:rPr>
        <w:t>259</w:t>
      </w:r>
      <w:r w:rsidRPr="00477C07">
        <w:rPr>
          <w:rFonts w:ascii="Garamond" w:hAnsi="Garamond"/>
          <w:i/>
          <w:iCs/>
          <w:sz w:val="18"/>
          <w:szCs w:val="18"/>
        </w:rPr>
        <w:t>.</w:t>
      </w:r>
    </w:p>
  </w:footnote>
  <w:footnote w:id="17">
    <w:p w14:paraId="76F28624" w14:textId="32FD4379"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hyperlink r:id="rId5" w:history="1">
        <w:r w:rsidR="00E377A5" w:rsidRPr="00477C07">
          <w:rPr>
            <w:rStyle w:val="Hyperlink"/>
            <w:rFonts w:ascii="Garamond" w:hAnsi="Garamond"/>
            <w:sz w:val="18"/>
            <w:szCs w:val="18"/>
          </w:rPr>
          <w:t>https://thesecretbarrister.com/2018/01/31/some-thoughts-on-dr-bawa-garba-and-our-faith-in-the-jury-system/</w:t>
        </w:r>
      </w:hyperlink>
      <w:r w:rsidRPr="00477C07">
        <w:rPr>
          <w:rFonts w:ascii="Garamond" w:hAnsi="Garamond"/>
          <w:sz w:val="18"/>
          <w:szCs w:val="18"/>
        </w:rPr>
        <w:t>.</w:t>
      </w:r>
      <w:r w:rsidR="00E377A5" w:rsidRPr="00477C07">
        <w:rPr>
          <w:rFonts w:ascii="Garamond" w:hAnsi="Garamond"/>
          <w:sz w:val="18"/>
          <w:szCs w:val="18"/>
        </w:rPr>
        <w:t xml:space="preserve"> – last accessed 24</w:t>
      </w:r>
      <w:r w:rsidR="00E377A5" w:rsidRPr="00477C07">
        <w:rPr>
          <w:rFonts w:ascii="Garamond" w:hAnsi="Garamond"/>
          <w:sz w:val="18"/>
          <w:szCs w:val="18"/>
          <w:vertAlign w:val="superscript"/>
        </w:rPr>
        <w:t>th</w:t>
      </w:r>
      <w:r w:rsidR="00E377A5" w:rsidRPr="00477C07">
        <w:rPr>
          <w:rFonts w:ascii="Garamond" w:hAnsi="Garamond"/>
          <w:sz w:val="18"/>
          <w:szCs w:val="18"/>
        </w:rPr>
        <w:t xml:space="preserve"> January 2020.</w:t>
      </w:r>
    </w:p>
  </w:footnote>
  <w:footnote w:id="18">
    <w:p w14:paraId="14BC06D1" w14:textId="74FC2395" w:rsidR="005B19D3" w:rsidRPr="00477C07" w:rsidRDefault="005B19D3">
      <w:pPr>
        <w:pStyle w:val="FootnoteText"/>
        <w:rPr>
          <w:rFonts w:ascii="Garamond" w:hAnsi="Garamond"/>
          <w:b/>
          <w:bCs/>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See E. Gasper, ‘Promoting Honesty and Truthfulness When Things Go Wrong During Care Delivery for Sick Children’ (2018) 41(2) </w:t>
      </w:r>
      <w:r w:rsidRPr="00477C07">
        <w:rPr>
          <w:rFonts w:ascii="Garamond" w:hAnsi="Garamond"/>
          <w:i/>
          <w:iCs/>
          <w:sz w:val="18"/>
          <w:szCs w:val="18"/>
        </w:rPr>
        <w:t xml:space="preserve">Comprehensive Child and Adolescent Nursing </w:t>
      </w:r>
      <w:r w:rsidRPr="00477C07">
        <w:rPr>
          <w:rFonts w:ascii="Garamond" w:hAnsi="Garamond"/>
          <w:sz w:val="18"/>
          <w:szCs w:val="18"/>
        </w:rPr>
        <w:t>83 at 85.</w:t>
      </w:r>
    </w:p>
  </w:footnote>
  <w:footnote w:id="19">
    <w:p w14:paraId="74AE0B29" w14:textId="6437A9BB" w:rsidR="005B0BE9" w:rsidRPr="00477C07" w:rsidRDefault="005B0BE9">
      <w:pPr>
        <w:pStyle w:val="FootnoteText"/>
        <w:rPr>
          <w:rFonts w:ascii="Garamond" w:hAnsi="Garamond"/>
          <w:sz w:val="18"/>
          <w:szCs w:val="18"/>
        </w:rPr>
      </w:pPr>
      <w:r w:rsidRPr="00477C07">
        <w:rPr>
          <w:rStyle w:val="FootnoteReference"/>
          <w:rFonts w:ascii="Garamond" w:hAnsi="Garamond"/>
          <w:b/>
          <w:bCs/>
          <w:sz w:val="18"/>
          <w:szCs w:val="18"/>
        </w:rPr>
        <w:footnoteRef/>
      </w:r>
      <w:r w:rsidRPr="00477C07">
        <w:rPr>
          <w:rFonts w:ascii="Garamond" w:hAnsi="Garamond"/>
          <w:b/>
          <w:bCs/>
          <w:sz w:val="18"/>
          <w:szCs w:val="18"/>
        </w:rPr>
        <w:t xml:space="preserve"> </w:t>
      </w:r>
      <w:r w:rsidRPr="00477C07">
        <w:rPr>
          <w:rFonts w:ascii="Garamond" w:hAnsi="Garamond"/>
          <w:i/>
          <w:iCs/>
          <w:sz w:val="18"/>
          <w:szCs w:val="18"/>
        </w:rPr>
        <w:t xml:space="preserve">Williams Review, </w:t>
      </w:r>
      <w:r w:rsidRPr="00477C07">
        <w:rPr>
          <w:rFonts w:ascii="Garamond" w:hAnsi="Garamond"/>
          <w:sz w:val="18"/>
          <w:szCs w:val="18"/>
        </w:rPr>
        <w:t>above at n.1.</w:t>
      </w:r>
    </w:p>
  </w:footnote>
  <w:footnote w:id="20">
    <w:p w14:paraId="7669A0E1" w14:textId="38497506"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For </w:t>
      </w:r>
      <w:r w:rsidR="00E377A5" w:rsidRPr="00477C07">
        <w:rPr>
          <w:rFonts w:ascii="Garamond" w:hAnsi="Garamond"/>
          <w:sz w:val="18"/>
          <w:szCs w:val="18"/>
        </w:rPr>
        <w:t xml:space="preserve">further </w:t>
      </w:r>
      <w:r w:rsidRPr="00477C07">
        <w:rPr>
          <w:rFonts w:ascii="Garamond" w:hAnsi="Garamond"/>
          <w:sz w:val="18"/>
          <w:szCs w:val="18"/>
        </w:rPr>
        <w:t>detail on interim orders, see s.41A Medical Act 1983</w:t>
      </w:r>
      <w:r w:rsidR="008713E9" w:rsidRPr="00477C07">
        <w:rPr>
          <w:rFonts w:ascii="Garamond" w:hAnsi="Garamond"/>
          <w:sz w:val="18"/>
          <w:szCs w:val="18"/>
        </w:rPr>
        <w:t xml:space="preserve"> and Case above at n.6</w:t>
      </w:r>
      <w:r w:rsidRPr="00477C07">
        <w:rPr>
          <w:rFonts w:ascii="Garamond" w:hAnsi="Garamond"/>
          <w:sz w:val="18"/>
          <w:szCs w:val="18"/>
        </w:rPr>
        <w:t xml:space="preserve">. </w:t>
      </w:r>
    </w:p>
  </w:footnote>
  <w:footnote w:id="21">
    <w:p w14:paraId="363AB21B" w14:textId="77777777" w:rsidR="00E377A5" w:rsidRPr="00477C07" w:rsidRDefault="00E377A5" w:rsidP="00E377A5">
      <w:pPr>
        <w:rPr>
          <w:rFonts w:ascii="Garamond" w:eastAsia="Times New Roman" w:hAnsi="Garamond" w:cs="Times New Roman"/>
          <w:sz w:val="18"/>
          <w:szCs w:val="18"/>
        </w:rPr>
      </w:pPr>
      <w:r w:rsidRPr="00477C07">
        <w:rPr>
          <w:rStyle w:val="FootnoteReference"/>
          <w:rFonts w:ascii="Garamond" w:hAnsi="Garamond" w:cs="Times New Roman"/>
          <w:sz w:val="18"/>
          <w:szCs w:val="18"/>
        </w:rPr>
        <w:footnoteRef/>
      </w:r>
      <w:r w:rsidRPr="00477C07">
        <w:rPr>
          <w:rFonts w:ascii="Garamond" w:hAnsi="Garamond" w:cs="Times New Roman"/>
          <w:i/>
          <w:iCs/>
          <w:sz w:val="18"/>
          <w:szCs w:val="18"/>
        </w:rPr>
        <w:t xml:space="preserve"> </w:t>
      </w:r>
      <w:r w:rsidRPr="00477C07">
        <w:rPr>
          <w:rFonts w:ascii="Garamond" w:hAnsi="Garamond" w:cs="Times New Roman"/>
          <w:i/>
          <w:iCs/>
          <w:sz w:val="18"/>
          <w:szCs w:val="18"/>
          <w:lang w:val="en-US"/>
        </w:rPr>
        <w:t xml:space="preserve">Dr. </w:t>
      </w:r>
      <w:r w:rsidRPr="00477C07">
        <w:rPr>
          <w:rFonts w:ascii="Garamond" w:hAnsi="Garamond" w:cs="Times New Roman"/>
          <w:i/>
          <w:iCs/>
          <w:sz w:val="18"/>
          <w:szCs w:val="18"/>
          <w:lang w:val="en-US"/>
        </w:rPr>
        <w:t>Bawa-Garba v General Medical Council</w:t>
      </w:r>
      <w:r w:rsidRPr="00477C07">
        <w:rPr>
          <w:rFonts w:ascii="Garamond" w:hAnsi="Garamond" w:cs="Times New Roman"/>
          <w:sz w:val="18"/>
          <w:szCs w:val="18"/>
          <w:lang w:val="en-US"/>
        </w:rPr>
        <w:t xml:space="preserve"> </w:t>
      </w:r>
      <w:r w:rsidRPr="00477C07">
        <w:rPr>
          <w:rFonts w:ascii="Garamond" w:eastAsia="Times New Roman" w:hAnsi="Garamond" w:cs="Times New Roman"/>
          <w:sz w:val="18"/>
          <w:szCs w:val="18"/>
        </w:rPr>
        <w:t>[2015] EWHC 1277 (QB)</w:t>
      </w:r>
    </w:p>
    <w:p w14:paraId="04CF829D" w14:textId="77777777" w:rsidR="00E377A5" w:rsidRPr="00477C07" w:rsidRDefault="00E377A5" w:rsidP="00E377A5">
      <w:pPr>
        <w:pStyle w:val="FootnoteText"/>
        <w:rPr>
          <w:rFonts w:ascii="Garamond" w:hAnsi="Garamond"/>
          <w:sz w:val="18"/>
          <w:szCs w:val="18"/>
          <w:lang w:val="en-US"/>
        </w:rPr>
      </w:pPr>
      <w:r w:rsidRPr="00477C07">
        <w:rPr>
          <w:rFonts w:ascii="Garamond" w:hAnsi="Garamond" w:cs="Times New Roman"/>
          <w:sz w:val="18"/>
          <w:szCs w:val="18"/>
          <w:lang w:val="en-US"/>
        </w:rPr>
        <w:t xml:space="preserve"> [92].</w:t>
      </w:r>
    </w:p>
  </w:footnote>
  <w:footnote w:id="22">
    <w:p w14:paraId="512C5961" w14:textId="77777777" w:rsidR="001E1220" w:rsidRPr="00477C07" w:rsidRDefault="001E1220" w:rsidP="001E1220">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Minutes of fitness to practise hearing - July 2017 available through the GMC register, at gmc-uk.org.</w:t>
      </w:r>
    </w:p>
  </w:footnote>
  <w:footnote w:id="23">
    <w:p w14:paraId="178A55E6" w14:textId="438BC111" w:rsidR="00DC6F5A" w:rsidRPr="00477C07" w:rsidRDefault="00DC6F5A" w:rsidP="00565E82">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Sanctions are listed at s. 35C Medical Act 1983. Note that a warning can be given in the absence of a finding of ‘impairment’.</w:t>
      </w:r>
    </w:p>
  </w:footnote>
  <w:footnote w:id="24">
    <w:p w14:paraId="69B3D285" w14:textId="3B47EA85"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MPTS decision, June 2017, para [32].</w:t>
      </w:r>
    </w:p>
  </w:footnote>
  <w:footnote w:id="25">
    <w:p w14:paraId="6087AB69" w14:textId="36488F68"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S.40A Medical Act 1983. The GMC’s relationship with the MPTS is an anomaly, explicable only by reference to growing concern that the GMC’s role in investigating and adjudicating in fitness to practise cases had involved it acting as ‘judge and jury’, hence the decision was taken to establish the MPTS as a separate arm of the GMC, although existing within the GMC: J. Chamberlain, Malpractice, Criminality and Medical Regulation’ (2017) 25(1) </w:t>
      </w:r>
      <w:r w:rsidRPr="00477C07">
        <w:rPr>
          <w:rFonts w:ascii="Garamond" w:hAnsi="Garamond"/>
          <w:i/>
          <w:sz w:val="18"/>
          <w:szCs w:val="18"/>
        </w:rPr>
        <w:t xml:space="preserve">Medical Law Review </w:t>
      </w:r>
      <w:r w:rsidRPr="00477C07">
        <w:rPr>
          <w:rFonts w:ascii="Garamond" w:hAnsi="Garamond"/>
          <w:sz w:val="18"/>
          <w:szCs w:val="18"/>
        </w:rPr>
        <w:t>1 at 19.</w:t>
      </w:r>
    </w:p>
  </w:footnote>
  <w:footnote w:id="26">
    <w:p w14:paraId="68E5E68C" w14:textId="0997025C"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s.40A Medical Act 1983. </w:t>
      </w:r>
    </w:p>
  </w:footnote>
  <w:footnote w:id="27">
    <w:p w14:paraId="2331A4C0" w14:textId="246B9C3D" w:rsidR="00DC6F5A" w:rsidRPr="00477C07" w:rsidRDefault="00DC6F5A" w:rsidP="00B61E14">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[2018] EWHC 76. </w:t>
      </w:r>
    </w:p>
  </w:footnote>
  <w:footnote w:id="28">
    <w:p w14:paraId="49175947" w14:textId="0C7EE022"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477C07">
        <w:rPr>
          <w:rFonts w:ascii="Garamond" w:hAnsi="Garamond"/>
          <w:sz w:val="18"/>
          <w:szCs w:val="18"/>
        </w:rPr>
        <w:t>Above</w:t>
      </w:r>
      <w:r w:rsidRPr="00477C07">
        <w:rPr>
          <w:rFonts w:ascii="Garamond" w:hAnsi="Garamond"/>
          <w:sz w:val="18"/>
          <w:szCs w:val="18"/>
        </w:rPr>
        <w:t>.</w:t>
      </w:r>
    </w:p>
  </w:footnote>
  <w:footnote w:id="29">
    <w:p w14:paraId="4FA08200" w14:textId="23FC1A72" w:rsidR="00DC6F5A" w:rsidRPr="00477C07" w:rsidRDefault="00DC6F5A" w:rsidP="00E1000C">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477C07">
        <w:rPr>
          <w:rFonts w:ascii="Garamond" w:hAnsi="Garamond"/>
          <w:sz w:val="18"/>
          <w:szCs w:val="18"/>
        </w:rPr>
        <w:t xml:space="preserve">Above </w:t>
      </w:r>
      <w:r w:rsidRPr="00477C07">
        <w:rPr>
          <w:rFonts w:ascii="Garamond" w:hAnsi="Garamond"/>
          <w:sz w:val="18"/>
          <w:szCs w:val="18"/>
        </w:rPr>
        <w:t xml:space="preserve">at [38]. </w:t>
      </w:r>
    </w:p>
  </w:footnote>
  <w:footnote w:id="30">
    <w:p w14:paraId="0614A298" w14:textId="7C91777F"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[2018] EWHC 76 at [53] and see </w:t>
      </w:r>
      <w:r w:rsidRPr="00477C07">
        <w:rPr>
          <w:rFonts w:ascii="Garamond" w:hAnsi="Garamond" w:cs="Times New Roman"/>
          <w:sz w:val="18"/>
          <w:szCs w:val="18"/>
          <w:lang w:val="en-US"/>
        </w:rPr>
        <w:t xml:space="preserve">E Stuart-Cole, ‘Medical Manslaughter: The Effect of Lay Findings of (Criminal) Gross Negligence on Professional Tribunals: </w:t>
      </w:r>
      <w:r w:rsidRPr="00477C07">
        <w:rPr>
          <w:rFonts w:ascii="Garamond" w:hAnsi="Garamond" w:cs="Times New Roman"/>
          <w:i/>
          <w:iCs/>
          <w:sz w:val="18"/>
          <w:szCs w:val="18"/>
          <w:lang w:val="en-US"/>
        </w:rPr>
        <w:t xml:space="preserve">General Medical Council v Dr </w:t>
      </w:r>
      <w:r w:rsidRPr="00477C07">
        <w:rPr>
          <w:rFonts w:ascii="Garamond" w:hAnsi="Garamond" w:cs="Times New Roman"/>
          <w:i/>
          <w:iCs/>
          <w:sz w:val="18"/>
          <w:szCs w:val="18"/>
          <w:lang w:val="en-US"/>
        </w:rPr>
        <w:t>Bawa-Garba</w:t>
      </w:r>
      <w:r w:rsidRPr="00477C07">
        <w:rPr>
          <w:rFonts w:ascii="Garamond" w:hAnsi="Garamond" w:cs="Times New Roman"/>
          <w:sz w:val="18"/>
          <w:szCs w:val="18"/>
          <w:lang w:val="en-US"/>
        </w:rPr>
        <w:t xml:space="preserve"> [2018] EWHC 76’ (2018) 82 JCL, 19</w:t>
      </w:r>
      <w:r w:rsidR="00E46B79" w:rsidRPr="00477C07">
        <w:rPr>
          <w:rFonts w:ascii="Garamond" w:hAnsi="Garamond" w:cs="Times New Roman"/>
          <w:sz w:val="18"/>
          <w:szCs w:val="18"/>
          <w:lang w:val="en-US"/>
        </w:rPr>
        <w:t>7</w:t>
      </w:r>
      <w:r w:rsidRPr="00477C07">
        <w:rPr>
          <w:rFonts w:ascii="Garamond" w:hAnsi="Garamond" w:cs="Times New Roman"/>
          <w:sz w:val="18"/>
          <w:szCs w:val="18"/>
          <w:lang w:val="en-US"/>
        </w:rPr>
        <w:t>.</w:t>
      </w:r>
    </w:p>
  </w:footnote>
  <w:footnote w:id="31">
    <w:p w14:paraId="014C3706" w14:textId="78046F15"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[2018] EWCA </w:t>
      </w:r>
      <w:r w:rsidRPr="00477C07">
        <w:rPr>
          <w:rFonts w:ascii="Garamond" w:hAnsi="Garamond"/>
          <w:sz w:val="18"/>
          <w:szCs w:val="18"/>
        </w:rPr>
        <w:t>Civ 1879.</w:t>
      </w:r>
    </w:p>
  </w:footnote>
  <w:footnote w:id="32">
    <w:p w14:paraId="54CC7B90" w14:textId="592153DE" w:rsidR="00DC6F5A" w:rsidRPr="00477C07" w:rsidRDefault="00DC6F5A" w:rsidP="00B45A7D">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477C07">
        <w:rPr>
          <w:rFonts w:ascii="Garamond" w:hAnsi="Garamond"/>
          <w:sz w:val="18"/>
          <w:szCs w:val="18"/>
        </w:rPr>
        <w:t xml:space="preserve">Above </w:t>
      </w:r>
      <w:r w:rsidRPr="00477C07">
        <w:rPr>
          <w:rFonts w:ascii="Garamond" w:hAnsi="Garamond"/>
          <w:sz w:val="18"/>
          <w:szCs w:val="18"/>
        </w:rPr>
        <w:t xml:space="preserve">at [88]-[89]. </w:t>
      </w:r>
    </w:p>
  </w:footnote>
  <w:footnote w:id="33">
    <w:p w14:paraId="6D19300D" w14:textId="3941288C"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Minutes of MPTS decision, 9</w:t>
      </w:r>
      <w:r w:rsidRPr="00477C07">
        <w:rPr>
          <w:rFonts w:ascii="Garamond" w:hAnsi="Garamond"/>
          <w:sz w:val="18"/>
          <w:szCs w:val="18"/>
          <w:vertAlign w:val="superscript"/>
        </w:rPr>
        <w:t>th</w:t>
      </w:r>
      <w:r w:rsidRPr="00477C07">
        <w:rPr>
          <w:rFonts w:ascii="Garamond" w:hAnsi="Garamond"/>
          <w:sz w:val="18"/>
          <w:szCs w:val="18"/>
        </w:rPr>
        <w:t xml:space="preserve"> April 2019 (accessible at https://www.mpts-uk.org/-/media/mpts-rod-files/dr-hadiza-bawa-garba-09-april-2019.pdf), applying </w:t>
      </w:r>
      <w:r w:rsidRPr="00477C07">
        <w:rPr>
          <w:rFonts w:ascii="Garamond" w:hAnsi="Garamond"/>
          <w:i/>
          <w:iCs/>
          <w:sz w:val="18"/>
          <w:szCs w:val="18"/>
        </w:rPr>
        <w:t>Bijl v GMC</w:t>
      </w:r>
      <w:r w:rsidRPr="00477C07">
        <w:rPr>
          <w:rFonts w:ascii="Garamond" w:hAnsi="Garamond"/>
          <w:sz w:val="18"/>
          <w:szCs w:val="18"/>
        </w:rPr>
        <w:t xml:space="preserve"> [2001] UKPC 41. </w:t>
      </w:r>
    </w:p>
  </w:footnote>
  <w:footnote w:id="34">
    <w:p w14:paraId="3D816DCA" w14:textId="77777777" w:rsidR="00DC6F5A" w:rsidRPr="00477C07" w:rsidRDefault="00DC6F5A" w:rsidP="00243AAE">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L. Hamilton, </w:t>
      </w:r>
      <w:r w:rsidRPr="00477C07">
        <w:rPr>
          <w:rFonts w:ascii="Garamond" w:hAnsi="Garamond"/>
          <w:i/>
          <w:iCs/>
          <w:sz w:val="18"/>
          <w:szCs w:val="18"/>
        </w:rPr>
        <w:t xml:space="preserve">Independent Review of Gross Negligence Manslaughter and Culpable Homicide </w:t>
      </w:r>
      <w:r w:rsidRPr="00477C07">
        <w:rPr>
          <w:rFonts w:ascii="Garamond" w:hAnsi="Garamond"/>
          <w:sz w:val="18"/>
          <w:szCs w:val="18"/>
        </w:rPr>
        <w:t>(2019), at 3.</w:t>
      </w:r>
    </w:p>
  </w:footnote>
  <w:footnote w:id="35">
    <w:p w14:paraId="07DCDB72" w14:textId="4FAA5B06" w:rsidR="00DC6F5A" w:rsidRPr="00477C07" w:rsidRDefault="00DC6F5A" w:rsidP="002B7493">
      <w:pPr>
        <w:rPr>
          <w:rFonts w:ascii="Garamond" w:eastAsia="Times New Roman" w:hAnsi="Garamond" w:cs="Times New Roman"/>
          <w:sz w:val="18"/>
          <w:szCs w:val="18"/>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D Cohen, ‘The </w:t>
      </w:r>
      <w:r w:rsidRPr="00477C07">
        <w:rPr>
          <w:rFonts w:ascii="Garamond" w:hAnsi="Garamond" w:cs="Times New Roman"/>
          <w:sz w:val="18"/>
          <w:szCs w:val="18"/>
        </w:rPr>
        <w:t>Bawa-Garba case, the GMC, and a “tragic circle”’ (</w:t>
      </w:r>
      <w:r w:rsidRPr="00477C07">
        <w:rPr>
          <w:rFonts w:ascii="Garamond" w:hAnsi="Garamond" w:cs="Times New Roman"/>
          <w:i/>
          <w:sz w:val="18"/>
          <w:szCs w:val="18"/>
        </w:rPr>
        <w:t xml:space="preserve">The BMJ Opinion, </w:t>
      </w:r>
      <w:r w:rsidRPr="00477C07">
        <w:rPr>
          <w:rFonts w:ascii="Garamond" w:hAnsi="Garamond" w:cs="Times New Roman"/>
          <w:sz w:val="18"/>
          <w:szCs w:val="18"/>
        </w:rPr>
        <w:t>13</w:t>
      </w:r>
      <w:r w:rsidRPr="00477C07">
        <w:rPr>
          <w:rFonts w:ascii="Garamond" w:hAnsi="Garamond" w:cs="Times New Roman"/>
          <w:sz w:val="18"/>
          <w:szCs w:val="18"/>
          <w:vertAlign w:val="superscript"/>
        </w:rPr>
        <w:t>th</w:t>
      </w:r>
      <w:r w:rsidRPr="00477C07">
        <w:rPr>
          <w:rFonts w:ascii="Garamond" w:hAnsi="Garamond" w:cs="Times New Roman"/>
          <w:sz w:val="18"/>
          <w:szCs w:val="18"/>
        </w:rPr>
        <w:t xml:space="preserve"> December 2017) &lt;</w:t>
      </w:r>
      <w:r w:rsidRPr="00477C07">
        <w:rPr>
          <w:rFonts w:ascii="Garamond" w:eastAsia="Times New Roman" w:hAnsi="Garamond" w:cs="Times New Roman"/>
          <w:sz w:val="18"/>
          <w:szCs w:val="18"/>
        </w:rPr>
        <w:t xml:space="preserve"> </w:t>
      </w:r>
      <w:hyperlink r:id="rId6" w:history="1">
        <w:r w:rsidRPr="00477C07">
          <w:rPr>
            <w:rFonts w:ascii="Garamond" w:eastAsia="Times New Roman" w:hAnsi="Garamond" w:cs="Times New Roman"/>
            <w:sz w:val="18"/>
            <w:szCs w:val="18"/>
          </w:rPr>
          <w:t>https://blogs.bmj.com/bmj/2017/12/13/deborah-cohen-the-bawa-garba-case-the-gmc-and-a-tragic-circle/</w:t>
        </w:r>
      </w:hyperlink>
    </w:p>
    <w:p w14:paraId="0A22B116" w14:textId="5572E45F" w:rsidR="00DC6F5A" w:rsidRPr="00477C07" w:rsidRDefault="00DC6F5A">
      <w:pPr>
        <w:pStyle w:val="FootnoteText"/>
        <w:rPr>
          <w:rFonts w:ascii="Garamond" w:hAnsi="Garamond" w:cs="Times New Roman"/>
          <w:sz w:val="18"/>
          <w:szCs w:val="18"/>
          <w:lang w:val="en-US"/>
        </w:rPr>
      </w:pPr>
      <w:r w:rsidRPr="00477C07">
        <w:rPr>
          <w:rFonts w:ascii="Garamond" w:hAnsi="Garamond" w:cs="Times New Roman"/>
          <w:sz w:val="18"/>
          <w:szCs w:val="18"/>
        </w:rPr>
        <w:t>&gt; accessed 1</w:t>
      </w:r>
      <w:r w:rsidRPr="00477C07">
        <w:rPr>
          <w:rFonts w:ascii="Garamond" w:hAnsi="Garamond" w:cs="Times New Roman"/>
          <w:sz w:val="18"/>
          <w:szCs w:val="18"/>
          <w:vertAlign w:val="superscript"/>
        </w:rPr>
        <w:t>st</w:t>
      </w:r>
      <w:r w:rsidRPr="00477C07">
        <w:rPr>
          <w:rFonts w:ascii="Garamond" w:hAnsi="Garamond" w:cs="Times New Roman"/>
          <w:sz w:val="18"/>
          <w:szCs w:val="18"/>
        </w:rPr>
        <w:t xml:space="preserve"> June 2019. </w:t>
      </w:r>
    </w:p>
  </w:footnote>
  <w:footnote w:id="36">
    <w:p w14:paraId="43E4F8D0" w14:textId="56D289A4"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It is frequently said that punishment is not a function of the fitness to practise regime, albeit that sanctions may sometimes be experienced as punitive: e.g. </w:t>
      </w:r>
      <w:r w:rsidRPr="00477C07">
        <w:rPr>
          <w:rFonts w:ascii="Garamond" w:hAnsi="Garamond"/>
          <w:i/>
          <w:iCs/>
          <w:sz w:val="18"/>
          <w:szCs w:val="18"/>
        </w:rPr>
        <w:t xml:space="preserve">Sadler v GMC </w:t>
      </w:r>
      <w:r w:rsidRPr="00477C07">
        <w:rPr>
          <w:rFonts w:ascii="Garamond" w:hAnsi="Garamond"/>
          <w:sz w:val="18"/>
          <w:szCs w:val="18"/>
        </w:rPr>
        <w:t>[2003] UKPC 59 at 17.</w:t>
      </w:r>
    </w:p>
  </w:footnote>
  <w:footnote w:id="37">
    <w:p w14:paraId="606BAFF9" w14:textId="3D2B9509"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J. Chamberlain, Malpractice, Criminality and Medical Regulation’ (2017) 25(1) </w:t>
      </w:r>
      <w:r w:rsidRPr="00477C07">
        <w:rPr>
          <w:rFonts w:ascii="Garamond" w:hAnsi="Garamond"/>
          <w:i/>
          <w:sz w:val="18"/>
          <w:szCs w:val="18"/>
        </w:rPr>
        <w:t xml:space="preserve">Medical Law Review </w:t>
      </w:r>
      <w:r w:rsidRPr="00477C07">
        <w:rPr>
          <w:rFonts w:ascii="Garamond" w:hAnsi="Garamond"/>
          <w:sz w:val="18"/>
          <w:szCs w:val="18"/>
        </w:rPr>
        <w:t xml:space="preserve">1 at 9. </w:t>
      </w:r>
    </w:p>
  </w:footnote>
  <w:footnote w:id="38">
    <w:p w14:paraId="123729B2" w14:textId="3E8BEC48"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G. McGivern and M. Fisher, ‘Medical regulation: spectacular transparency and the blame business.’ Special Issue. (2010) 24(6) Journal of Health Organisation and Management. 597.</w:t>
      </w:r>
    </w:p>
  </w:footnote>
  <w:footnote w:id="39">
    <w:p w14:paraId="57063932" w14:textId="4C982DF9"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Characterised by austerity, staff shortages, bed shortages and rising demand.  </w:t>
      </w:r>
    </w:p>
  </w:footnote>
  <w:footnote w:id="40">
    <w:p w14:paraId="04D52564" w14:textId="09D2E546" w:rsidR="00DC6F5A" w:rsidRPr="00477C07" w:rsidRDefault="00DC6F5A" w:rsidP="009321EF">
      <w:pPr>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P Krishan, ‘Dr </w:t>
      </w:r>
      <w:r w:rsidRPr="00477C07">
        <w:rPr>
          <w:rFonts w:ascii="Garamond" w:hAnsi="Garamond" w:cs="Times New Roman"/>
          <w:sz w:val="18"/>
          <w:szCs w:val="18"/>
        </w:rPr>
        <w:t>Bawa-Garba could have been any one of us’ (</w:t>
      </w:r>
      <w:r w:rsidRPr="00477C07">
        <w:rPr>
          <w:rFonts w:ascii="Garamond" w:hAnsi="Garamond" w:cs="Times New Roman"/>
          <w:i/>
          <w:sz w:val="18"/>
          <w:szCs w:val="18"/>
        </w:rPr>
        <w:t xml:space="preserve">PULSE, </w:t>
      </w:r>
      <w:r w:rsidRPr="00477C07">
        <w:rPr>
          <w:rFonts w:ascii="Garamond" w:hAnsi="Garamond" w:cs="Times New Roman"/>
          <w:sz w:val="18"/>
          <w:szCs w:val="18"/>
        </w:rPr>
        <w:t>29</w:t>
      </w:r>
      <w:r w:rsidRPr="00477C07">
        <w:rPr>
          <w:rFonts w:ascii="Garamond" w:hAnsi="Garamond" w:cs="Times New Roman"/>
          <w:sz w:val="18"/>
          <w:szCs w:val="18"/>
          <w:vertAlign w:val="superscript"/>
        </w:rPr>
        <w:t>th</w:t>
      </w:r>
      <w:r w:rsidRPr="00477C07">
        <w:rPr>
          <w:rFonts w:ascii="Garamond" w:hAnsi="Garamond" w:cs="Times New Roman"/>
          <w:sz w:val="18"/>
          <w:szCs w:val="18"/>
        </w:rPr>
        <w:t xml:space="preserve"> January 2018) &lt;</w:t>
      </w:r>
      <w:r w:rsidRPr="00477C07">
        <w:rPr>
          <w:rFonts w:ascii="Garamond" w:eastAsia="Times New Roman" w:hAnsi="Garamond" w:cs="Times New Roman"/>
          <w:sz w:val="18"/>
          <w:szCs w:val="18"/>
        </w:rPr>
        <w:t xml:space="preserve"> </w:t>
      </w:r>
      <w:hyperlink r:id="rId7" w:history="1">
        <w:r w:rsidRPr="00477C07">
          <w:rPr>
            <w:rFonts w:ascii="Garamond" w:eastAsia="Times New Roman" w:hAnsi="Garamond" w:cs="Times New Roman"/>
            <w:sz w:val="18"/>
            <w:szCs w:val="18"/>
          </w:rPr>
          <w:t>http://www.pulsetoday.co.uk/news/gp-topics/legal/dr-bawa-garba-could-have-been-any-one-of-us/20036066.article</w:t>
        </w:r>
      </w:hyperlink>
      <w:r w:rsidRPr="00477C07">
        <w:rPr>
          <w:rFonts w:ascii="Garamond" w:eastAsia="Times New Roman" w:hAnsi="Garamond" w:cs="Times New Roman"/>
          <w:sz w:val="18"/>
          <w:szCs w:val="18"/>
        </w:rPr>
        <w:t xml:space="preserve">&gt; accessed </w:t>
      </w:r>
      <w:r w:rsidR="00876DE3">
        <w:rPr>
          <w:rFonts w:ascii="Garamond" w:eastAsia="Times New Roman" w:hAnsi="Garamond" w:cs="Times New Roman"/>
          <w:sz w:val="18"/>
          <w:szCs w:val="18"/>
        </w:rPr>
        <w:t>24</w:t>
      </w:r>
      <w:r w:rsidR="00876DE3" w:rsidRPr="00876DE3">
        <w:rPr>
          <w:rFonts w:ascii="Garamond" w:eastAsia="Times New Roman" w:hAnsi="Garamond" w:cs="Times New Roman"/>
          <w:sz w:val="18"/>
          <w:szCs w:val="18"/>
          <w:vertAlign w:val="superscript"/>
        </w:rPr>
        <w:t>th</w:t>
      </w:r>
      <w:r w:rsidR="00876DE3">
        <w:rPr>
          <w:rFonts w:ascii="Garamond" w:eastAsia="Times New Roman" w:hAnsi="Garamond" w:cs="Times New Roman"/>
          <w:sz w:val="18"/>
          <w:szCs w:val="18"/>
        </w:rPr>
        <w:t xml:space="preserve"> January 2020</w:t>
      </w:r>
      <w:r w:rsidRPr="00477C07">
        <w:rPr>
          <w:rFonts w:ascii="Garamond" w:eastAsia="Times New Roman" w:hAnsi="Garamond" w:cs="Times New Roman"/>
          <w:sz w:val="18"/>
          <w:szCs w:val="18"/>
        </w:rPr>
        <w:t>.</w:t>
      </w:r>
      <w:r w:rsidRPr="00477C07">
        <w:rPr>
          <w:rFonts w:ascii="Garamond" w:hAnsi="Garamond" w:cs="Times New Roman"/>
          <w:sz w:val="18"/>
          <w:szCs w:val="18"/>
        </w:rPr>
        <w:t xml:space="preserve"> </w:t>
      </w:r>
    </w:p>
  </w:footnote>
  <w:footnote w:id="41">
    <w:p w14:paraId="5E621EBB" w14:textId="77777777" w:rsidR="00DC6F5A" w:rsidRPr="00477C07" w:rsidRDefault="00DC6F5A" w:rsidP="001B09CD">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‘BMA declares it has no confidence in the GMC.’ </w:t>
      </w:r>
      <w:r w:rsidRPr="00477C07">
        <w:rPr>
          <w:rFonts w:ascii="Garamond" w:hAnsi="Garamond"/>
          <w:i/>
          <w:iCs/>
          <w:sz w:val="18"/>
          <w:szCs w:val="18"/>
        </w:rPr>
        <w:t xml:space="preserve">Pulse, </w:t>
      </w:r>
      <w:r w:rsidRPr="00477C07">
        <w:rPr>
          <w:rFonts w:ascii="Garamond" w:hAnsi="Garamond"/>
          <w:sz w:val="18"/>
          <w:szCs w:val="18"/>
        </w:rPr>
        <w:t>27</w:t>
      </w:r>
      <w:r w:rsidRPr="00477C07">
        <w:rPr>
          <w:rFonts w:ascii="Garamond" w:hAnsi="Garamond"/>
          <w:sz w:val="18"/>
          <w:szCs w:val="18"/>
          <w:vertAlign w:val="superscript"/>
        </w:rPr>
        <w:t>th</w:t>
      </w:r>
      <w:r w:rsidRPr="00477C07">
        <w:rPr>
          <w:rFonts w:ascii="Garamond" w:hAnsi="Garamond"/>
          <w:sz w:val="18"/>
          <w:szCs w:val="18"/>
        </w:rPr>
        <w:t xml:space="preserve"> June 2018.</w:t>
      </w:r>
    </w:p>
  </w:footnote>
  <w:footnote w:id="42">
    <w:p w14:paraId="78FC1159" w14:textId="237C92EE"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N. Williams, </w:t>
      </w:r>
      <w:r w:rsidRPr="00477C07">
        <w:rPr>
          <w:rFonts w:ascii="Garamond" w:hAnsi="Garamond"/>
          <w:i/>
          <w:iCs/>
          <w:sz w:val="18"/>
          <w:szCs w:val="18"/>
        </w:rPr>
        <w:t xml:space="preserve">Gross negligence manslaughter in healthcare: the report of a rapid policy review </w:t>
      </w:r>
      <w:r w:rsidRPr="00477C07">
        <w:rPr>
          <w:rFonts w:ascii="Garamond" w:hAnsi="Garamond"/>
          <w:sz w:val="18"/>
          <w:szCs w:val="18"/>
        </w:rPr>
        <w:t>(June 2018), p.50/Recommendation 6. The power to launch public interest appeals is in any event a duplicate of that which is vested in the Professional Standards Authority: s.29(4) of the NHS Reform and Health Care Professions Act 2002.</w:t>
      </w:r>
    </w:p>
  </w:footnote>
  <w:footnote w:id="43">
    <w:p w14:paraId="6DCE4DDB" w14:textId="3C3B787D" w:rsidR="00DC6F5A" w:rsidRPr="00477C07" w:rsidRDefault="00DC6F5A" w:rsidP="009321EF">
      <w:pPr>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sz w:val="18"/>
          <w:szCs w:val="18"/>
          <w:lang w:val="en-US"/>
        </w:rPr>
        <w:t>N Hodson, ‘Convicting a doctor of gross negligence manslaughter without striking them off damages public confidence in the profession’ (</w:t>
      </w:r>
      <w:r w:rsidRPr="00477C07">
        <w:rPr>
          <w:rFonts w:ascii="Garamond" w:hAnsi="Garamond" w:cs="Times New Roman"/>
          <w:i/>
          <w:sz w:val="18"/>
          <w:szCs w:val="18"/>
          <w:lang w:val="en-US"/>
        </w:rPr>
        <w:t xml:space="preserve">Blog, Journal of Medical Ethics, </w:t>
      </w:r>
      <w:r w:rsidRPr="00477C07">
        <w:rPr>
          <w:rFonts w:ascii="Garamond" w:hAnsi="Garamond" w:cs="Times New Roman"/>
          <w:sz w:val="18"/>
          <w:szCs w:val="18"/>
          <w:lang w:val="en-US"/>
        </w:rPr>
        <w:t>13</w:t>
      </w:r>
      <w:r w:rsidRPr="00477C07">
        <w:rPr>
          <w:rFonts w:ascii="Garamond" w:hAnsi="Garamond" w:cs="Times New Roman"/>
          <w:sz w:val="18"/>
          <w:szCs w:val="18"/>
          <w:vertAlign w:val="superscript"/>
          <w:lang w:val="en-US"/>
        </w:rPr>
        <w:t>th</w:t>
      </w:r>
      <w:r w:rsidRPr="00477C07">
        <w:rPr>
          <w:rFonts w:ascii="Garamond" w:hAnsi="Garamond" w:cs="Times New Roman"/>
          <w:sz w:val="18"/>
          <w:szCs w:val="18"/>
          <w:lang w:val="en-US"/>
        </w:rPr>
        <w:t xml:space="preserve"> January 2019) &lt;</w:t>
      </w:r>
      <w:r w:rsidRPr="00477C07">
        <w:rPr>
          <w:rFonts w:ascii="Garamond" w:eastAsia="Times New Roman" w:hAnsi="Garamond" w:cs="Times New Roman"/>
          <w:sz w:val="18"/>
          <w:szCs w:val="18"/>
        </w:rPr>
        <w:t xml:space="preserve"> </w:t>
      </w:r>
      <w:hyperlink r:id="rId8" w:history="1">
        <w:r w:rsidRPr="00477C07">
          <w:rPr>
            <w:rFonts w:ascii="Garamond" w:eastAsia="Times New Roman" w:hAnsi="Garamond" w:cs="Times New Roman"/>
            <w:sz w:val="18"/>
            <w:szCs w:val="18"/>
          </w:rPr>
          <w:t>https://blogs.bmj.com/medical-ethics/2019/01/13/convicting-a-doctor-of-gross-negligence-manslaughter-without-striking-them-off-damages-public-confidence-in-the-profession/</w:t>
        </w:r>
      </w:hyperlink>
      <w:r w:rsidRPr="00477C07">
        <w:rPr>
          <w:rFonts w:ascii="Garamond" w:eastAsia="Times New Roman" w:hAnsi="Garamond" w:cs="Times New Roman"/>
          <w:sz w:val="18"/>
          <w:szCs w:val="18"/>
        </w:rPr>
        <w:t>&gt; accessed 25</w:t>
      </w:r>
      <w:r w:rsidRPr="00477C07">
        <w:rPr>
          <w:rFonts w:ascii="Garamond" w:eastAsia="Times New Roman" w:hAnsi="Garamond" w:cs="Times New Roman"/>
          <w:sz w:val="18"/>
          <w:szCs w:val="18"/>
          <w:vertAlign w:val="superscript"/>
        </w:rPr>
        <w:t>th</w:t>
      </w:r>
      <w:r w:rsidRPr="00477C07">
        <w:rPr>
          <w:rFonts w:ascii="Garamond" w:eastAsia="Times New Roman" w:hAnsi="Garamond" w:cs="Times New Roman"/>
          <w:sz w:val="18"/>
          <w:szCs w:val="18"/>
        </w:rPr>
        <w:t xml:space="preserve"> May 2019.</w:t>
      </w:r>
    </w:p>
  </w:footnote>
  <w:footnote w:id="44">
    <w:p w14:paraId="5F4E394B" w14:textId="491D3341"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See e.g. </w:t>
      </w:r>
      <w:r w:rsidRPr="00477C07">
        <w:rPr>
          <w:rFonts w:ascii="Garamond" w:hAnsi="Garamond"/>
          <w:i/>
          <w:iCs/>
          <w:sz w:val="18"/>
          <w:szCs w:val="18"/>
        </w:rPr>
        <w:t xml:space="preserve">Hasan v GMC </w:t>
      </w:r>
      <w:r w:rsidRPr="00477C07">
        <w:rPr>
          <w:rFonts w:ascii="Garamond" w:hAnsi="Garamond"/>
          <w:sz w:val="18"/>
          <w:szCs w:val="18"/>
        </w:rPr>
        <w:t>[2003] UKPC 5 at [10], but repeated in countless cases.</w:t>
      </w:r>
    </w:p>
  </w:footnote>
  <w:footnote w:id="45">
    <w:p w14:paraId="655FD8D6" w14:textId="23C5C4C5" w:rsidR="00DC6F5A" w:rsidRPr="00477C07" w:rsidRDefault="00DC6F5A" w:rsidP="00DC43AE">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[2018] EWCA </w:t>
      </w:r>
      <w:r w:rsidRPr="00477C07">
        <w:rPr>
          <w:rFonts w:ascii="Garamond" w:hAnsi="Garamond"/>
          <w:sz w:val="18"/>
          <w:szCs w:val="18"/>
        </w:rPr>
        <w:t xml:space="preserve">Civ 1879 at [76]. </w:t>
      </w:r>
    </w:p>
  </w:footnote>
  <w:footnote w:id="46">
    <w:p w14:paraId="55570C92" w14:textId="55512295"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 Ost, ‘</w:t>
      </w:r>
      <w:r w:rsidRPr="00477C07">
        <w:rPr>
          <w:rFonts w:ascii="Garamond" w:hAnsi="Garamond"/>
          <w:sz w:val="18"/>
          <w:szCs w:val="18"/>
          <w:lang w:val="en"/>
        </w:rPr>
        <w:t xml:space="preserve">Drs Bramhall and </w:t>
      </w:r>
      <w:r w:rsidRPr="00477C07">
        <w:rPr>
          <w:rFonts w:ascii="Garamond" w:hAnsi="Garamond"/>
          <w:sz w:val="18"/>
          <w:szCs w:val="18"/>
          <w:lang w:val="en"/>
        </w:rPr>
        <w:t xml:space="preserve">Bawa-Garba and the rightful domain of the criminal law’ </w:t>
      </w:r>
      <w:r w:rsidRPr="00477C07">
        <w:rPr>
          <w:rFonts w:ascii="Garamond" w:hAnsi="Garamond"/>
          <w:sz w:val="18"/>
          <w:szCs w:val="18"/>
        </w:rPr>
        <w:t>(2019) 45(1) JME 151 at 153.</w:t>
      </w:r>
    </w:p>
  </w:footnote>
  <w:footnote w:id="47">
    <w:p w14:paraId="4A57D204" w14:textId="4EE17E83" w:rsidR="00DC6F5A" w:rsidRPr="00477C07" w:rsidRDefault="00DC6F5A" w:rsidP="00E5073D">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Bawa-Garba v GMC </w:t>
      </w:r>
      <w:r w:rsidRPr="00477C07">
        <w:rPr>
          <w:rFonts w:ascii="Garamond" w:hAnsi="Garamond"/>
          <w:sz w:val="18"/>
          <w:szCs w:val="18"/>
        </w:rPr>
        <w:t>[2018] EWCA Civ 1879 at [61].</w:t>
      </w:r>
    </w:p>
  </w:footnote>
  <w:footnote w:id="48">
    <w:p w14:paraId="7EA1E6F4" w14:textId="02495C90" w:rsidR="00DC6F5A" w:rsidRPr="00D67CF6"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Bolam v Friern Hospital Management Committee </w:t>
      </w:r>
      <w:r w:rsidRPr="00477C07">
        <w:rPr>
          <w:rFonts w:ascii="Garamond" w:hAnsi="Garamond"/>
          <w:sz w:val="18"/>
          <w:szCs w:val="18"/>
        </w:rPr>
        <w:t>[1957] 1 WLR 582</w:t>
      </w:r>
      <w:r w:rsidR="005B0BE9" w:rsidRPr="00477C07">
        <w:rPr>
          <w:rFonts w:ascii="Garamond" w:hAnsi="Garamond"/>
          <w:sz w:val="18"/>
          <w:szCs w:val="18"/>
        </w:rPr>
        <w:t>. For a summary of the criticisms of the test,</w:t>
      </w:r>
      <w:r w:rsidR="005B0BE9" w:rsidRPr="00477C07">
        <w:rPr>
          <w:rFonts w:ascii="Garamond" w:hAnsi="Garamond"/>
          <w:i/>
          <w:iCs/>
          <w:sz w:val="18"/>
          <w:szCs w:val="18"/>
        </w:rPr>
        <w:t xml:space="preserve"> </w:t>
      </w:r>
      <w:r w:rsidR="005B0BE9" w:rsidRPr="00477C07">
        <w:rPr>
          <w:rFonts w:ascii="Garamond" w:hAnsi="Garamond"/>
          <w:sz w:val="18"/>
          <w:szCs w:val="18"/>
        </w:rPr>
        <w:t xml:space="preserve">see R. Mulheron, ‘Trumping </w:t>
      </w:r>
      <w:r w:rsidR="005B0BE9" w:rsidRPr="00477C07">
        <w:rPr>
          <w:rFonts w:ascii="Garamond" w:hAnsi="Garamond"/>
          <w:i/>
          <w:iCs/>
          <w:sz w:val="18"/>
          <w:szCs w:val="18"/>
        </w:rPr>
        <w:t>Bolam</w:t>
      </w:r>
      <w:r w:rsidR="005B0BE9" w:rsidRPr="00477C07">
        <w:rPr>
          <w:rFonts w:ascii="Garamond" w:hAnsi="Garamond"/>
          <w:sz w:val="18"/>
          <w:szCs w:val="18"/>
        </w:rPr>
        <w:t xml:space="preserve">: A Critical Legal Analysis of </w:t>
      </w:r>
      <w:r w:rsidR="005B0BE9" w:rsidRPr="00477C07">
        <w:rPr>
          <w:rFonts w:ascii="Garamond" w:hAnsi="Garamond"/>
          <w:i/>
          <w:iCs/>
          <w:sz w:val="18"/>
          <w:szCs w:val="18"/>
        </w:rPr>
        <w:t>Bolitho</w:t>
      </w:r>
      <w:r w:rsidR="005B0BE9" w:rsidRPr="00477C07">
        <w:rPr>
          <w:rFonts w:ascii="Garamond" w:hAnsi="Garamond"/>
          <w:sz w:val="18"/>
          <w:szCs w:val="18"/>
        </w:rPr>
        <w:t>’ [2010] CLJ 609, 611-612</w:t>
      </w:r>
      <w:r w:rsidRPr="00477C07">
        <w:rPr>
          <w:rFonts w:ascii="Garamond" w:hAnsi="Garamond"/>
          <w:sz w:val="18"/>
          <w:szCs w:val="18"/>
        </w:rPr>
        <w:t>.</w:t>
      </w:r>
    </w:p>
  </w:footnote>
  <w:footnote w:id="49">
    <w:p w14:paraId="4369FAB6" w14:textId="06C74349" w:rsidR="00D67CF6" w:rsidRPr="00D67CF6" w:rsidRDefault="00D67CF6">
      <w:pPr>
        <w:pStyle w:val="FootnoteText"/>
        <w:rPr>
          <w:rFonts w:ascii="Garamond" w:hAnsi="Garamond"/>
          <w:sz w:val="18"/>
          <w:szCs w:val="18"/>
        </w:rPr>
      </w:pPr>
      <w:r w:rsidRPr="00D67CF6">
        <w:rPr>
          <w:rStyle w:val="FootnoteReference"/>
          <w:rFonts w:ascii="Garamond" w:hAnsi="Garamond"/>
          <w:sz w:val="18"/>
          <w:szCs w:val="18"/>
        </w:rPr>
        <w:footnoteRef/>
      </w:r>
      <w:r w:rsidRPr="00D67CF6">
        <w:rPr>
          <w:rFonts w:ascii="Garamond" w:hAnsi="Garamond"/>
          <w:sz w:val="18"/>
          <w:szCs w:val="18"/>
        </w:rPr>
        <w:t xml:space="preserve"> C. Foster, ‘The rebirth of medical paternalism: An NHS Trust v Y’ (2019) 45 JME 3 at 3.</w:t>
      </w:r>
    </w:p>
  </w:footnote>
  <w:footnote w:id="50">
    <w:p w14:paraId="6840E460" w14:textId="7D9E5D33" w:rsidR="00DC6F5A" w:rsidRPr="00D67CF6" w:rsidRDefault="00DC6F5A" w:rsidP="00853183">
      <w:pPr>
        <w:pStyle w:val="FootnoteText"/>
        <w:rPr>
          <w:rFonts w:ascii="Garamond" w:hAnsi="Garamond"/>
          <w:sz w:val="18"/>
          <w:szCs w:val="18"/>
        </w:rPr>
      </w:pPr>
      <w:r w:rsidRPr="00D67CF6">
        <w:rPr>
          <w:rStyle w:val="FootnoteReference"/>
          <w:rFonts w:ascii="Garamond" w:hAnsi="Garamond"/>
          <w:sz w:val="18"/>
          <w:szCs w:val="18"/>
        </w:rPr>
        <w:footnoteRef/>
      </w:r>
      <w:r w:rsidRPr="00D67CF6">
        <w:rPr>
          <w:rFonts w:ascii="Garamond" w:hAnsi="Garamond"/>
          <w:sz w:val="18"/>
          <w:szCs w:val="18"/>
        </w:rPr>
        <w:t xml:space="preserve"> [2018] EWCA </w:t>
      </w:r>
      <w:r w:rsidRPr="00D67CF6">
        <w:rPr>
          <w:rFonts w:ascii="Garamond" w:hAnsi="Garamond"/>
          <w:sz w:val="18"/>
          <w:szCs w:val="18"/>
        </w:rPr>
        <w:t xml:space="preserve">Civ 1879 at [96], citing </w:t>
      </w:r>
      <w:r w:rsidRPr="00D67CF6">
        <w:rPr>
          <w:rFonts w:ascii="Garamond" w:hAnsi="Garamond"/>
          <w:i/>
          <w:iCs/>
          <w:sz w:val="18"/>
          <w:szCs w:val="18"/>
        </w:rPr>
        <w:t xml:space="preserve">Giele v General Medical Council </w:t>
      </w:r>
      <w:r w:rsidRPr="00D67CF6">
        <w:rPr>
          <w:rFonts w:ascii="Garamond" w:hAnsi="Garamond"/>
          <w:sz w:val="18"/>
          <w:szCs w:val="18"/>
        </w:rPr>
        <w:t xml:space="preserve">[2005] EWHC 2143 (Admin) [2006] 1 WLR 942 at [33]. </w:t>
      </w:r>
    </w:p>
  </w:footnote>
  <w:footnote w:id="51">
    <w:p w14:paraId="1C86295E" w14:textId="77777777" w:rsidR="00DC6F5A" w:rsidRPr="00477C07" w:rsidRDefault="00DC6F5A" w:rsidP="00853183">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Ibid., citing </w:t>
      </w:r>
      <w:r w:rsidRPr="00477C07">
        <w:rPr>
          <w:rFonts w:ascii="Garamond" w:hAnsi="Garamond"/>
          <w:i/>
          <w:iCs/>
          <w:sz w:val="18"/>
          <w:szCs w:val="18"/>
        </w:rPr>
        <w:t>Wallace v Secretary of State for Education</w:t>
      </w:r>
      <w:r w:rsidRPr="00477C07">
        <w:rPr>
          <w:rFonts w:ascii="Garamond" w:hAnsi="Garamond"/>
          <w:sz w:val="18"/>
          <w:szCs w:val="18"/>
        </w:rPr>
        <w:t xml:space="preserve"> [2017] EWHC 109 (Admin), [2017] PTSR 675 (at [92] and [96(v)]).</w:t>
      </w:r>
    </w:p>
  </w:footnote>
  <w:footnote w:id="52">
    <w:p w14:paraId="61EDC39A" w14:textId="77777777" w:rsidR="00DC6F5A" w:rsidRPr="00477C07" w:rsidRDefault="00DC6F5A" w:rsidP="00853183">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Hamilton Review </w:t>
      </w:r>
      <w:r w:rsidRPr="00477C07">
        <w:rPr>
          <w:rFonts w:ascii="Garamond" w:hAnsi="Garamond"/>
          <w:sz w:val="18"/>
          <w:szCs w:val="18"/>
        </w:rPr>
        <w:t xml:space="preserve">at 167. </w:t>
      </w:r>
    </w:p>
  </w:footnote>
  <w:footnote w:id="53">
    <w:p w14:paraId="185A2CE5" w14:textId="1C38C8EF" w:rsidR="00DC6F5A" w:rsidRPr="00477C07" w:rsidRDefault="00DC6F5A" w:rsidP="004814B8">
      <w:pPr>
        <w:pStyle w:val="FootnoteText"/>
        <w:rPr>
          <w:rFonts w:ascii="Garamond" w:hAnsi="Garamond"/>
          <w:sz w:val="18"/>
          <w:szCs w:val="18"/>
        </w:rPr>
      </w:pPr>
      <w:r w:rsidRPr="00477C07">
        <w:rPr>
          <w:rFonts w:ascii="Garamond" w:hAnsi="Garamond"/>
          <w:sz w:val="18"/>
          <w:szCs w:val="18"/>
          <w:vertAlign w:val="superscript"/>
        </w:rPr>
        <w:footnoteRef/>
      </w:r>
      <w:r w:rsidRPr="00477C07">
        <w:rPr>
          <w:rFonts w:ascii="Garamond" w:hAnsi="Garamond"/>
          <w:sz w:val="18"/>
          <w:szCs w:val="18"/>
        </w:rPr>
        <w:t xml:space="preserve"> R. Foster, ‘The Case of Dr </w:t>
      </w:r>
      <w:r w:rsidRPr="00477C07">
        <w:rPr>
          <w:rFonts w:ascii="Garamond" w:hAnsi="Garamond"/>
          <w:sz w:val="18"/>
          <w:szCs w:val="18"/>
        </w:rPr>
        <w:t xml:space="preserve">Bawa-Garba and the Tension between Fitness to Practise, the Criminal Law and the Supervisory Jurisdiction of the Court’ (2018) 23(4) </w:t>
      </w:r>
      <w:r w:rsidRPr="00477C07">
        <w:rPr>
          <w:rFonts w:ascii="Garamond" w:hAnsi="Garamond"/>
          <w:i/>
          <w:iCs/>
          <w:sz w:val="18"/>
          <w:szCs w:val="18"/>
        </w:rPr>
        <w:t xml:space="preserve">Judicial Review </w:t>
      </w:r>
      <w:r w:rsidRPr="00477C07">
        <w:rPr>
          <w:rFonts w:ascii="Garamond" w:hAnsi="Garamond"/>
          <w:sz w:val="18"/>
          <w:szCs w:val="18"/>
        </w:rPr>
        <w:t>259</w:t>
      </w:r>
      <w:r w:rsidRPr="00477C07">
        <w:rPr>
          <w:rFonts w:ascii="Garamond" w:hAnsi="Garamond"/>
          <w:i/>
          <w:iCs/>
          <w:sz w:val="18"/>
          <w:szCs w:val="18"/>
        </w:rPr>
        <w:t>.</w:t>
      </w:r>
    </w:p>
  </w:footnote>
  <w:footnote w:id="54">
    <w:p w14:paraId="5ADF30D8" w14:textId="543EEEB7" w:rsidR="00DC6F5A" w:rsidRPr="00477C07" w:rsidRDefault="00DC6F5A" w:rsidP="00CC7345">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sz w:val="18"/>
          <w:szCs w:val="18"/>
          <w:lang w:val="en-US"/>
        </w:rPr>
        <w:t xml:space="preserve">Department of Health and Social Care, </w:t>
      </w:r>
      <w:r w:rsidRPr="00477C07">
        <w:rPr>
          <w:rFonts w:ascii="Garamond" w:hAnsi="Garamond" w:cs="Times New Roman"/>
          <w:i/>
          <w:iCs/>
          <w:sz w:val="18"/>
          <w:szCs w:val="18"/>
          <w:lang w:val="en-US"/>
        </w:rPr>
        <w:t xml:space="preserve">Williams review into gross negligence manslaughter in healthcare </w:t>
      </w:r>
      <w:r w:rsidRPr="00477C07">
        <w:rPr>
          <w:rFonts w:ascii="Garamond" w:hAnsi="Garamond" w:cs="Times New Roman"/>
          <w:sz w:val="18"/>
          <w:szCs w:val="18"/>
          <w:lang w:val="en-US"/>
        </w:rPr>
        <w:t xml:space="preserve">(2018) [12.5] and </w:t>
      </w:r>
      <w:r w:rsidRPr="00477C07">
        <w:rPr>
          <w:rFonts w:ascii="Garamond" w:hAnsi="Garamond" w:cs="Times New Roman"/>
          <w:i/>
          <w:iCs/>
          <w:sz w:val="18"/>
          <w:szCs w:val="18"/>
          <w:lang w:val="en-US"/>
        </w:rPr>
        <w:t xml:space="preserve">Recommendations, </w:t>
      </w:r>
      <w:r w:rsidRPr="00477C07">
        <w:rPr>
          <w:rFonts w:ascii="Garamond" w:hAnsi="Garamond" w:cs="Times New Roman"/>
          <w:sz w:val="18"/>
          <w:szCs w:val="18"/>
          <w:lang w:val="en-US"/>
        </w:rPr>
        <w:t>p.42.</w:t>
      </w:r>
    </w:p>
  </w:footnote>
  <w:footnote w:id="55">
    <w:p w14:paraId="3ACC2C2E" w14:textId="4BC18C72"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How is public confidence maintained when fitness to practise decisions are made?</w:t>
      </w:r>
      <w:r w:rsidRPr="00477C07">
        <w:rPr>
          <w:rFonts w:ascii="Garamond" w:hAnsi="Garamond"/>
          <w:sz w:val="18"/>
          <w:szCs w:val="18"/>
        </w:rPr>
        <w:t xml:space="preserve"> (Advice to the Secretary of State – Professional Standards Authority, 2019) at 7.12.</w:t>
      </w:r>
    </w:p>
  </w:footnote>
  <w:footnote w:id="56">
    <w:p w14:paraId="4B47FE1F" w14:textId="7FB7CE5A"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Independent Review of Gross Negligence Manslaughter and Culpable Homicide </w:t>
      </w:r>
      <w:r w:rsidRPr="00477C07">
        <w:rPr>
          <w:rFonts w:ascii="Garamond" w:hAnsi="Garamond"/>
          <w:sz w:val="18"/>
          <w:szCs w:val="18"/>
        </w:rPr>
        <w:t xml:space="preserve">(Leslie Hamilton, 2019). Available at </w:t>
      </w:r>
      <w:hyperlink r:id="rId9" w:history="1">
        <w:r w:rsidRPr="00477C07">
          <w:rPr>
            <w:rStyle w:val="Hyperlink"/>
            <w:rFonts w:ascii="Garamond" w:hAnsi="Garamond"/>
            <w:sz w:val="18"/>
            <w:szCs w:val="18"/>
          </w:rPr>
          <w:t>https://www.gmc-uk.org/-/media/documents/independent-review-of-gross-negligence-manslaughter-and-culpable-homicide---final-report_pd-78716610.pdf</w:t>
        </w:r>
      </w:hyperlink>
      <w:r w:rsidRPr="00477C07">
        <w:rPr>
          <w:rFonts w:ascii="Garamond" w:hAnsi="Garamond"/>
          <w:sz w:val="18"/>
          <w:szCs w:val="18"/>
        </w:rPr>
        <w:t xml:space="preserve"> - last accessed 24/1/20.</w:t>
      </w:r>
    </w:p>
  </w:footnote>
  <w:footnote w:id="57">
    <w:p w14:paraId="2F03AEC5" w14:textId="369A57BA" w:rsidR="00DC6F5A" w:rsidRPr="00477C07" w:rsidRDefault="00DC6F5A" w:rsidP="0083068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Promoting and maintaining public confidence in the medical profession: Full research report for the GMC</w:t>
      </w:r>
      <w:r w:rsidRPr="00477C07">
        <w:rPr>
          <w:rFonts w:ascii="Garamond" w:hAnsi="Garamond"/>
          <w:sz w:val="18"/>
          <w:szCs w:val="18"/>
        </w:rPr>
        <w:t xml:space="preserve"> (2019) at p.7 – this was the report of the research with the public commissioned as part of the Hamilton Review.</w:t>
      </w:r>
    </w:p>
  </w:footnote>
  <w:footnote w:id="58">
    <w:p w14:paraId="0720FBE0" w14:textId="67246387" w:rsidR="00DC6F5A" w:rsidRPr="00477C07" w:rsidRDefault="00DC6F5A" w:rsidP="00760EF7">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102F76" w:rsidRPr="00477C07">
        <w:rPr>
          <w:rFonts w:ascii="Garamond" w:hAnsi="Garamond"/>
          <w:sz w:val="18"/>
          <w:szCs w:val="18"/>
        </w:rPr>
        <w:t xml:space="preserve">Earlier research commissioned by the Professional Standards Authority into dishonesty has suggested a divergence of views as to what ‘public confidence’ requires between the profession itself and the public, with the profession and the public being more sceptical of the concept of public confidence than the regulator: </w:t>
      </w:r>
      <w:r w:rsidRPr="00477C07">
        <w:rPr>
          <w:rFonts w:ascii="Garamond" w:hAnsi="Garamond"/>
          <w:i/>
          <w:iCs/>
          <w:sz w:val="18"/>
          <w:szCs w:val="18"/>
        </w:rPr>
        <w:t xml:space="preserve">Dishonest behaviour by Health and Care Professionals </w:t>
      </w:r>
      <w:r w:rsidRPr="00477C07">
        <w:rPr>
          <w:rFonts w:ascii="Garamond" w:hAnsi="Garamond"/>
          <w:sz w:val="18"/>
          <w:szCs w:val="18"/>
        </w:rPr>
        <w:t>(</w:t>
      </w:r>
      <w:r w:rsidRPr="00477C07">
        <w:rPr>
          <w:rFonts w:ascii="Garamond" w:hAnsi="Garamond"/>
          <w:sz w:val="18"/>
          <w:szCs w:val="18"/>
        </w:rPr>
        <w:t xml:space="preserve">Policis, 2016) at 7. </w:t>
      </w:r>
    </w:p>
  </w:footnote>
  <w:footnote w:id="59">
    <w:p w14:paraId="1362D7E3" w14:textId="76847381" w:rsidR="00DC6F5A" w:rsidRPr="00477C07" w:rsidRDefault="00DC6F5A" w:rsidP="00CE6BCF">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 Devaney and S. Holm, The Transmutation of Deference in Medicine: An </w:t>
      </w:r>
      <w:r w:rsidRPr="00477C07">
        <w:rPr>
          <w:rFonts w:ascii="Garamond" w:hAnsi="Garamond"/>
          <w:sz w:val="18"/>
          <w:szCs w:val="18"/>
        </w:rPr>
        <w:t>Ethico Legal Perspective.’ (2018) 26(2) Med L Rev 202 at 223.</w:t>
      </w:r>
    </w:p>
  </w:footnote>
  <w:footnote w:id="60">
    <w:p w14:paraId="00FD3192" w14:textId="067AA121" w:rsidR="00DC6F5A" w:rsidRPr="00477C07" w:rsidRDefault="00DC6F5A" w:rsidP="000F6A0C">
      <w:pPr>
        <w:pStyle w:val="FootnoteText"/>
        <w:rPr>
          <w:rFonts w:ascii="Garamond" w:hAnsi="Garamond" w:cstheme="minorHAnsi"/>
          <w:sz w:val="18"/>
          <w:szCs w:val="18"/>
        </w:rPr>
      </w:pPr>
      <w:r w:rsidRPr="00477C07">
        <w:rPr>
          <w:rStyle w:val="FootnoteReference"/>
          <w:rFonts w:ascii="Garamond" w:hAnsi="Garamond" w:cstheme="minorHAnsi"/>
          <w:sz w:val="18"/>
          <w:szCs w:val="18"/>
        </w:rPr>
        <w:footnoteRef/>
      </w:r>
      <w:r w:rsidRPr="00477C07">
        <w:rPr>
          <w:rFonts w:ascii="Garamond" w:hAnsi="Garamond" w:cstheme="minorHAnsi"/>
          <w:sz w:val="18"/>
          <w:szCs w:val="18"/>
        </w:rPr>
        <w:t xml:space="preserve"> See A. Woolley, ‘Regulatory Legitimacy and Legal Ethics: Regulating lawyers for personal misconduct’ chapter in R. Mortenson et al (eds) </w:t>
      </w:r>
      <w:r w:rsidRPr="00477C07">
        <w:rPr>
          <w:rFonts w:ascii="Garamond" w:hAnsi="Garamond" w:cstheme="minorHAnsi"/>
          <w:i/>
          <w:sz w:val="18"/>
          <w:szCs w:val="18"/>
        </w:rPr>
        <w:t xml:space="preserve">Alternative Perspectives on Lawyers and Legal Ethics. </w:t>
      </w:r>
      <w:r w:rsidRPr="00477C07">
        <w:rPr>
          <w:rFonts w:ascii="Garamond" w:hAnsi="Garamond" w:cstheme="minorHAnsi"/>
          <w:sz w:val="18"/>
          <w:szCs w:val="18"/>
        </w:rPr>
        <w:t>(Routledge, 2011) at 5-7.</w:t>
      </w:r>
    </w:p>
  </w:footnote>
  <w:footnote w:id="61">
    <w:p w14:paraId="00B30EF4" w14:textId="3FFE63C4"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Pillai v GMC </w:t>
      </w:r>
      <w:r w:rsidRPr="00477C07">
        <w:rPr>
          <w:rFonts w:ascii="Garamond" w:hAnsi="Garamond"/>
          <w:sz w:val="18"/>
          <w:szCs w:val="18"/>
        </w:rPr>
        <w:t xml:space="preserve">[2009] EWHC 1048 at [27] ‘in cases of dishonesty the balance ordinarily can be expected to fall down on the side of maintaining public confidence by a severe sanction </w:t>
      </w:r>
      <w:r w:rsidRPr="00477C07">
        <w:rPr>
          <w:rFonts w:ascii="Garamond" w:hAnsi="Garamond"/>
          <w:color w:val="000000"/>
          <w:sz w:val="18"/>
          <w:szCs w:val="18"/>
        </w:rPr>
        <w:t>against the practitioner concerned. Indeed, that sanction will often and perfectly properly be the sanction of erasure, even in the case of a one-off instance of dishonesty.</w:t>
      </w:r>
      <w:r w:rsidRPr="00477C07">
        <w:rPr>
          <w:rFonts w:ascii="Garamond" w:hAnsi="Garamond"/>
          <w:sz w:val="18"/>
          <w:szCs w:val="18"/>
        </w:rPr>
        <w:t>’</w:t>
      </w:r>
    </w:p>
  </w:footnote>
  <w:footnote w:id="62">
    <w:p w14:paraId="043143BB" w14:textId="624396DC"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Nkomo v GMC </w:t>
      </w:r>
      <w:r w:rsidRPr="00477C07">
        <w:rPr>
          <w:rFonts w:ascii="Garamond" w:hAnsi="Garamond"/>
          <w:sz w:val="18"/>
          <w:szCs w:val="18"/>
        </w:rPr>
        <w:t>[2019] EWHC 2625 at [14] – dishonesty by way of a conviction for fraud in avoiding child maintenance payments.</w:t>
      </w:r>
    </w:p>
  </w:footnote>
  <w:footnote w:id="63">
    <w:p w14:paraId="78F75410" w14:textId="3AA2B539" w:rsidR="00DC6F5A" w:rsidRPr="00477C07" w:rsidRDefault="00DC6F5A" w:rsidP="00556B2C">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477C07">
        <w:rPr>
          <w:rFonts w:ascii="Garamond" w:hAnsi="Garamond"/>
          <w:sz w:val="18"/>
          <w:szCs w:val="18"/>
        </w:rPr>
        <w:t xml:space="preserve">[2018] EWCA </w:t>
      </w:r>
      <w:r w:rsidR="00477C07">
        <w:rPr>
          <w:rFonts w:ascii="Garamond" w:hAnsi="Garamond"/>
          <w:sz w:val="18"/>
          <w:szCs w:val="18"/>
        </w:rPr>
        <w:t xml:space="preserve">Civ 1898: </w:t>
      </w:r>
      <w:r w:rsidRPr="00477C07">
        <w:rPr>
          <w:rFonts w:ascii="Garamond" w:hAnsi="Garamond"/>
          <w:sz w:val="18"/>
          <w:szCs w:val="18"/>
        </w:rPr>
        <w:t>‘If a member of the public submits him or herself to a physical or mental examination or consultation by a doctor, he or she is ordinarily entitled to expect that that doctor is a person whose trustworthiness and sexual integrity is not and never has been, seriously in question.’ At [79].</w:t>
      </w:r>
    </w:p>
  </w:footnote>
  <w:footnote w:id="64">
    <w:p w14:paraId="442B4BCA" w14:textId="1C906CC6"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Singh v GMC </w:t>
      </w:r>
      <w:r w:rsidRPr="00477C07">
        <w:rPr>
          <w:rFonts w:ascii="Garamond" w:hAnsi="Garamond"/>
          <w:sz w:val="18"/>
          <w:szCs w:val="18"/>
        </w:rPr>
        <w:t>[1998] UKPC 23 at [7].</w:t>
      </w:r>
    </w:p>
  </w:footnote>
  <w:footnote w:id="65">
    <w:p w14:paraId="78ACF841" w14:textId="5F62B40D"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rPr>
        <w:t xml:space="preserve">Yeong v GMC </w:t>
      </w:r>
      <w:r w:rsidRPr="00477C07">
        <w:rPr>
          <w:rFonts w:ascii="Garamond" w:hAnsi="Garamond" w:cs="Times New Roman"/>
          <w:sz w:val="18"/>
          <w:szCs w:val="18"/>
        </w:rPr>
        <w:t xml:space="preserve">[2009] </w:t>
      </w:r>
      <w:r w:rsidRPr="00477C07">
        <w:rPr>
          <w:rFonts w:ascii="Garamond" w:hAnsi="Garamond" w:cs="Times New Roman"/>
          <w:sz w:val="18"/>
          <w:szCs w:val="18"/>
          <w:highlight w:val="white"/>
        </w:rPr>
        <w:t>EWHC 1923.</w:t>
      </w:r>
    </w:p>
  </w:footnote>
  <w:footnote w:id="66">
    <w:p w14:paraId="2888C1ED" w14:textId="7CC334AC"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Having harassed the doctor and extorted significant amounts of money from him, at [</w:t>
      </w:r>
      <w:r w:rsidRPr="00477C07">
        <w:rPr>
          <w:rFonts w:ascii="Garamond" w:hAnsi="Garamond"/>
          <w:sz w:val="18"/>
          <w:szCs w:val="18"/>
        </w:rPr>
        <w:t>]..</w:t>
      </w:r>
    </w:p>
  </w:footnote>
  <w:footnote w:id="67">
    <w:p w14:paraId="0D45E82D" w14:textId="31983133"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rPr>
        <w:t xml:space="preserve"> </w:t>
      </w:r>
      <w:r w:rsidRPr="00477C07">
        <w:rPr>
          <w:rFonts w:ascii="Garamond" w:hAnsi="Garamond" w:cs="Times New Roman"/>
          <w:sz w:val="18"/>
          <w:szCs w:val="18"/>
        </w:rPr>
        <w:t>[2009] EWHC 1923 at [12].</w:t>
      </w:r>
    </w:p>
  </w:footnote>
  <w:footnote w:id="68">
    <w:p w14:paraId="2DBBD461" w14:textId="5D6F960F" w:rsidR="00DC6F5A" w:rsidRPr="00477C07" w:rsidRDefault="00DC6F5A" w:rsidP="008B6267">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rPr>
        <w:t xml:space="preserve"> </w:t>
      </w:r>
      <w:r w:rsidR="00960710" w:rsidRPr="00477C07">
        <w:rPr>
          <w:rFonts w:ascii="Garamond" w:hAnsi="Garamond" w:cs="Times New Roman"/>
          <w:sz w:val="18"/>
          <w:szCs w:val="18"/>
        </w:rPr>
        <w:t>Above</w:t>
      </w:r>
      <w:r w:rsidRPr="00477C07">
        <w:rPr>
          <w:rFonts w:ascii="Garamond" w:hAnsi="Garamond" w:cs="Times New Roman"/>
          <w:sz w:val="18"/>
          <w:szCs w:val="18"/>
        </w:rPr>
        <w:t xml:space="preserve"> at</w:t>
      </w:r>
      <w:r w:rsidRPr="00477C07">
        <w:rPr>
          <w:rFonts w:ascii="Garamond" w:hAnsi="Garamond" w:cs="Times New Roman"/>
          <w:sz w:val="18"/>
          <w:szCs w:val="18"/>
          <w:lang w:val="en-US"/>
        </w:rPr>
        <w:t xml:space="preserve"> [27].</w:t>
      </w:r>
    </w:p>
  </w:footnote>
  <w:footnote w:id="69">
    <w:p w14:paraId="76163157" w14:textId="71D876F2"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rPr>
        <w:t xml:space="preserve"> </w:t>
      </w:r>
      <w:r w:rsidR="00960710" w:rsidRPr="00477C07">
        <w:rPr>
          <w:rFonts w:ascii="Garamond" w:hAnsi="Garamond" w:cs="Times New Roman"/>
          <w:sz w:val="18"/>
          <w:szCs w:val="18"/>
        </w:rPr>
        <w:t>Above</w:t>
      </w:r>
      <w:r w:rsidRPr="00477C07">
        <w:rPr>
          <w:rFonts w:ascii="Garamond" w:hAnsi="Garamond" w:cs="Times New Roman"/>
          <w:sz w:val="18"/>
          <w:szCs w:val="18"/>
          <w:lang w:val="en-US"/>
        </w:rPr>
        <w:t xml:space="preserve"> at [48]-[50] (emphasis added).</w:t>
      </w:r>
    </w:p>
  </w:footnote>
  <w:footnote w:id="70">
    <w:p w14:paraId="75788260" w14:textId="7E7B5305"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hyperlink r:id="rId10" w:history="1">
        <w:r w:rsidRPr="00477C07">
          <w:rPr>
            <w:rStyle w:val="Hyperlink"/>
            <w:rFonts w:ascii="Garamond" w:hAnsi="Garamond"/>
            <w:color w:val="auto"/>
            <w:sz w:val="18"/>
            <w:szCs w:val="18"/>
            <w:u w:val="none"/>
          </w:rPr>
          <w:t>https://www.mpts-uk.org/-/media/mpts-rod-files/dr-sharifa-scerif-01-nov-19.pdf</w:t>
        </w:r>
      </w:hyperlink>
      <w:r w:rsidRPr="00477C07">
        <w:rPr>
          <w:rFonts w:ascii="Garamond" w:hAnsi="Garamond"/>
          <w:sz w:val="18"/>
          <w:szCs w:val="18"/>
        </w:rPr>
        <w:t>, para [29].</w:t>
      </w:r>
    </w:p>
  </w:footnote>
  <w:footnote w:id="71">
    <w:p w14:paraId="08AC401A" w14:textId="0EF73143"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It is worth noting, however, that very similar ‘misconduct’ is far more likely to result in a striking off in the legal profession. See the case of Adam </w:t>
      </w:r>
      <w:r w:rsidRPr="00477C07">
        <w:rPr>
          <w:rFonts w:ascii="Garamond" w:hAnsi="Garamond"/>
          <w:sz w:val="18"/>
          <w:szCs w:val="18"/>
        </w:rPr>
        <w:t>Kemeney (2019) - https://www.lawgazette.co.uk/news/solicitor-banned-for-evading-650-in-train-fares/5069062.article.</w:t>
      </w:r>
    </w:p>
  </w:footnote>
  <w:footnote w:id="72">
    <w:p w14:paraId="6123CDF3" w14:textId="2D7E9760"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lang w:val="en-US"/>
        </w:rPr>
        <w:t xml:space="preserve">Fatnani, Raschid v General Medical Council </w:t>
      </w:r>
      <w:r w:rsidRPr="00477C07">
        <w:rPr>
          <w:rFonts w:ascii="Garamond" w:hAnsi="Garamond" w:cs="Times New Roman"/>
          <w:sz w:val="18"/>
          <w:szCs w:val="18"/>
          <w:lang w:val="en-US"/>
        </w:rPr>
        <w:t>[2007] EWCA Civ 46.</w:t>
      </w:r>
    </w:p>
  </w:footnote>
  <w:footnote w:id="73">
    <w:p w14:paraId="0E96BD67" w14:textId="531CF873"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sz w:val="18"/>
          <w:szCs w:val="18"/>
          <w:lang w:val="en-US"/>
        </w:rPr>
        <w:t>[2007] EWCA Civ 46 at [9].</w:t>
      </w:r>
    </w:p>
  </w:footnote>
  <w:footnote w:id="74">
    <w:p w14:paraId="4240E41D" w14:textId="3FC6676B"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00565131">
        <w:rPr>
          <w:rFonts w:ascii="Garamond" w:hAnsi="Garamond" w:cs="Times New Roman"/>
          <w:sz w:val="18"/>
          <w:szCs w:val="18"/>
        </w:rPr>
        <w:t>Above</w:t>
      </w:r>
      <w:r w:rsidRPr="00477C07">
        <w:rPr>
          <w:rFonts w:ascii="Garamond" w:hAnsi="Garamond" w:cs="Times New Roman"/>
          <w:sz w:val="18"/>
          <w:szCs w:val="18"/>
          <w:lang w:val="en-US"/>
        </w:rPr>
        <w:t xml:space="preserve"> at [33].</w:t>
      </w:r>
    </w:p>
  </w:footnote>
  <w:footnote w:id="75">
    <w:p w14:paraId="004D1F32" w14:textId="4FE2B331"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565131">
        <w:rPr>
          <w:rFonts w:ascii="Garamond" w:hAnsi="Garamond"/>
          <w:sz w:val="18"/>
          <w:szCs w:val="18"/>
        </w:rPr>
        <w:t>Above at</w:t>
      </w:r>
      <w:r w:rsidRPr="00477C07">
        <w:rPr>
          <w:rFonts w:ascii="Garamond" w:hAnsi="Garamond" w:cs="Times New Roman"/>
          <w:sz w:val="18"/>
          <w:szCs w:val="18"/>
          <w:lang w:val="en-US"/>
        </w:rPr>
        <w:t xml:space="preserve"> [26] (emphasis added); confirmation that special deference is due to the tribunal on matters of public confidence appears in </w:t>
      </w:r>
      <w:r w:rsidRPr="00477C07">
        <w:rPr>
          <w:rFonts w:ascii="Garamond" w:hAnsi="Garamond" w:cs="Times New Roman"/>
          <w:i/>
          <w:iCs/>
          <w:sz w:val="18"/>
          <w:szCs w:val="18"/>
          <w:lang w:val="en-US"/>
        </w:rPr>
        <w:t xml:space="preserve">Yassin v GMC </w:t>
      </w:r>
      <w:r w:rsidRPr="00477C07">
        <w:rPr>
          <w:rFonts w:ascii="Garamond" w:hAnsi="Garamond" w:cs="Times New Roman"/>
          <w:sz w:val="18"/>
          <w:szCs w:val="18"/>
          <w:lang w:val="en-US"/>
        </w:rPr>
        <w:t>[2015] EWHC 2955 at [32].</w:t>
      </w:r>
    </w:p>
  </w:footnote>
  <w:footnote w:id="76">
    <w:p w14:paraId="0C35AA8F" w14:textId="48361E5B" w:rsidR="00DC6F5A" w:rsidRPr="00477C07" w:rsidRDefault="00DC6F5A">
      <w:pPr>
        <w:pStyle w:val="FootnoteText"/>
        <w:rPr>
          <w:rFonts w:ascii="Garamond" w:hAnsi="Garamond"/>
          <w:i/>
          <w:iCs/>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E.g., see </w:t>
      </w:r>
      <w:r w:rsidRPr="00477C07">
        <w:rPr>
          <w:rFonts w:ascii="Garamond" w:hAnsi="Garamond"/>
          <w:i/>
          <w:iCs/>
          <w:sz w:val="18"/>
          <w:szCs w:val="18"/>
        </w:rPr>
        <w:t>Meadow v GMC</w:t>
      </w:r>
      <w:r w:rsidRPr="00477C07">
        <w:rPr>
          <w:rFonts w:ascii="Garamond" w:hAnsi="Garamond"/>
          <w:sz w:val="18"/>
          <w:szCs w:val="18"/>
        </w:rPr>
        <w:t xml:space="preserve"> [2006] EWCA </w:t>
      </w:r>
      <w:r w:rsidRPr="00477C07">
        <w:rPr>
          <w:rFonts w:ascii="Garamond" w:hAnsi="Garamond"/>
          <w:sz w:val="18"/>
          <w:szCs w:val="18"/>
        </w:rPr>
        <w:t xml:space="preserve">Civ 1390 at [280] (non-clinical performance as an expert witness); </w:t>
      </w:r>
      <w:r w:rsidRPr="00477C07">
        <w:rPr>
          <w:rFonts w:ascii="Garamond" w:hAnsi="Garamond"/>
          <w:i/>
          <w:iCs/>
          <w:sz w:val="18"/>
          <w:szCs w:val="18"/>
        </w:rPr>
        <w:t xml:space="preserve">Shamsian v GMC </w:t>
      </w:r>
      <w:r w:rsidRPr="00477C07">
        <w:rPr>
          <w:rFonts w:ascii="Garamond" w:hAnsi="Garamond"/>
          <w:sz w:val="18"/>
          <w:szCs w:val="18"/>
        </w:rPr>
        <w:t xml:space="preserve">[2011] EWHC 2885 </w:t>
      </w:r>
      <w:r w:rsidR="00075CDE" w:rsidRPr="00477C07">
        <w:rPr>
          <w:rFonts w:ascii="Garamond" w:hAnsi="Garamond"/>
          <w:sz w:val="18"/>
          <w:szCs w:val="18"/>
        </w:rPr>
        <w:t xml:space="preserve">and </w:t>
      </w:r>
      <w:r w:rsidR="00075CDE" w:rsidRPr="00477C07">
        <w:rPr>
          <w:rFonts w:ascii="Garamond" w:hAnsi="Garamond"/>
          <w:i/>
          <w:iCs/>
          <w:sz w:val="18"/>
          <w:szCs w:val="18"/>
        </w:rPr>
        <w:t xml:space="preserve">R (on the application of Khan) v GMC </w:t>
      </w:r>
      <w:r w:rsidR="00075CDE" w:rsidRPr="00477C07">
        <w:rPr>
          <w:rFonts w:ascii="Garamond" w:hAnsi="Garamond"/>
          <w:sz w:val="18"/>
          <w:szCs w:val="18"/>
        </w:rPr>
        <w:t xml:space="preserve">[2008] 3509 at [78] </w:t>
      </w:r>
      <w:r w:rsidRPr="00477C07">
        <w:rPr>
          <w:rFonts w:ascii="Garamond" w:hAnsi="Garamond"/>
          <w:sz w:val="18"/>
          <w:szCs w:val="18"/>
        </w:rPr>
        <w:t xml:space="preserve">(dishonesty). </w:t>
      </w:r>
    </w:p>
  </w:footnote>
  <w:footnote w:id="77">
    <w:p w14:paraId="0F74AA23" w14:textId="77777777" w:rsidR="00DC6F5A" w:rsidRPr="00477C07" w:rsidRDefault="00DC6F5A" w:rsidP="00696FFD">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lang w:val="en-US"/>
        </w:rPr>
        <w:t>Makki v General Medical Council</w:t>
      </w:r>
      <w:r w:rsidRPr="00477C07">
        <w:rPr>
          <w:rFonts w:ascii="Garamond" w:hAnsi="Garamond" w:cs="Times New Roman"/>
          <w:sz w:val="18"/>
          <w:szCs w:val="18"/>
          <w:lang w:val="en-US"/>
        </w:rPr>
        <w:t xml:space="preserve"> </w:t>
      </w:r>
      <w:r w:rsidRPr="00477C07">
        <w:rPr>
          <w:rFonts w:ascii="Garamond" w:hAnsi="Garamond" w:cs="Times New Roman"/>
          <w:sz w:val="18"/>
          <w:szCs w:val="18"/>
        </w:rPr>
        <w:t>[2009] EWHC 3180 at [43].</w:t>
      </w:r>
    </w:p>
  </w:footnote>
  <w:footnote w:id="78">
    <w:p w14:paraId="672CAFEC" w14:textId="77777777" w:rsidR="005F60A8" w:rsidRPr="00477C07" w:rsidRDefault="005F60A8" w:rsidP="00696FFD">
      <w:pPr>
        <w:pStyle w:val="Heading1"/>
        <w:shd w:val="clear" w:color="auto" w:fill="FFFFFF"/>
        <w:spacing w:before="0"/>
        <w:textAlignment w:val="baseline"/>
        <w:rPr>
          <w:rFonts w:ascii="Garamond" w:hAnsi="Garamond" w:cs="Times New Roman"/>
          <w:b w:val="0"/>
          <w:color w:val="auto"/>
          <w:sz w:val="18"/>
          <w:szCs w:val="18"/>
          <w:lang w:val="en-US"/>
        </w:rPr>
      </w:pPr>
      <w:r w:rsidRPr="00477C07">
        <w:rPr>
          <w:rStyle w:val="FootnoteReference"/>
          <w:rFonts w:ascii="Garamond" w:hAnsi="Garamond" w:cs="Times New Roman"/>
          <w:b w:val="0"/>
          <w:color w:val="auto"/>
          <w:sz w:val="18"/>
          <w:szCs w:val="18"/>
        </w:rPr>
        <w:footnoteRef/>
      </w:r>
      <w:r w:rsidRPr="00477C07">
        <w:rPr>
          <w:rFonts w:ascii="Garamond" w:hAnsi="Garamond" w:cs="Times New Roman"/>
          <w:b w:val="0"/>
          <w:color w:val="auto"/>
          <w:sz w:val="18"/>
          <w:szCs w:val="18"/>
        </w:rPr>
        <w:t xml:space="preserve"> </w:t>
      </w:r>
      <w:r w:rsidRPr="00477C07">
        <w:rPr>
          <w:rFonts w:ascii="Garamond" w:hAnsi="Garamond" w:cs="Times New Roman"/>
          <w:b w:val="0"/>
          <w:color w:val="auto"/>
          <w:sz w:val="18"/>
          <w:szCs w:val="18"/>
          <w:lang w:val="en-US"/>
        </w:rPr>
        <w:t xml:space="preserve">Op. cit., col 261 and see A. </w:t>
      </w:r>
      <w:r w:rsidRPr="00477C07">
        <w:rPr>
          <w:rFonts w:ascii="Garamond" w:hAnsi="Garamond" w:cs="Times New Roman"/>
          <w:b w:val="0"/>
          <w:color w:val="auto"/>
          <w:sz w:val="18"/>
          <w:szCs w:val="18"/>
          <w:lang w:val="en-US"/>
        </w:rPr>
        <w:t>Rimmer, ‘</w:t>
      </w:r>
      <w:r w:rsidRPr="00477C07">
        <w:rPr>
          <w:rFonts w:ascii="Garamond" w:hAnsi="Garamond"/>
          <w:b w:val="0"/>
          <w:color w:val="auto"/>
          <w:sz w:val="18"/>
          <w:szCs w:val="18"/>
        </w:rPr>
        <w:t xml:space="preserve">Doctors could face “trial by media” under new GMC sanctions, BMA warns’ </w:t>
      </w:r>
      <w:r w:rsidRPr="00477C07">
        <w:rPr>
          <w:rStyle w:val="highwire-cite-journal"/>
          <w:rFonts w:ascii="Garamond" w:hAnsi="Garamond"/>
          <w:b w:val="0"/>
          <w:i/>
          <w:iCs/>
          <w:color w:val="auto"/>
          <w:sz w:val="18"/>
          <w:szCs w:val="18"/>
          <w:bdr w:val="none" w:sz="0" w:space="0" w:color="auto" w:frame="1"/>
          <w:shd w:val="clear" w:color="auto" w:fill="FFFFFF"/>
        </w:rPr>
        <w:t>BMJ</w:t>
      </w:r>
      <w:r w:rsidRPr="00477C07">
        <w:rPr>
          <w:rFonts w:ascii="Garamond" w:hAnsi="Garamond"/>
          <w:b w:val="0"/>
          <w:color w:val="auto"/>
          <w:sz w:val="18"/>
          <w:szCs w:val="18"/>
          <w:shd w:val="clear" w:color="auto" w:fill="FFFFFF"/>
        </w:rPr>
        <w:t> </w:t>
      </w:r>
      <w:r w:rsidRPr="00477C07">
        <w:rPr>
          <w:rStyle w:val="highwire-cite-published-year"/>
          <w:rFonts w:ascii="Garamond" w:hAnsi="Garamond"/>
          <w:b w:val="0"/>
          <w:color w:val="auto"/>
          <w:sz w:val="18"/>
          <w:szCs w:val="18"/>
          <w:bdr w:val="none" w:sz="0" w:space="0" w:color="auto" w:frame="1"/>
          <w:shd w:val="clear" w:color="auto" w:fill="FFFFFF"/>
        </w:rPr>
        <w:t>2014</w:t>
      </w:r>
      <w:r w:rsidRPr="00477C07">
        <w:rPr>
          <w:rFonts w:ascii="Garamond" w:hAnsi="Garamond"/>
          <w:b w:val="0"/>
          <w:color w:val="auto"/>
          <w:sz w:val="18"/>
          <w:szCs w:val="18"/>
          <w:shd w:val="clear" w:color="auto" w:fill="FFFFFF"/>
        </w:rPr>
        <w:t>; </w:t>
      </w:r>
      <w:r w:rsidRPr="00477C07">
        <w:rPr>
          <w:rStyle w:val="highwire-cite-volume-issue"/>
          <w:rFonts w:ascii="Garamond" w:hAnsi="Garamond"/>
          <w:b w:val="0"/>
          <w:color w:val="auto"/>
          <w:sz w:val="18"/>
          <w:szCs w:val="18"/>
          <w:bdr w:val="none" w:sz="0" w:space="0" w:color="auto" w:frame="1"/>
          <w:shd w:val="clear" w:color="auto" w:fill="FFFFFF"/>
        </w:rPr>
        <w:t>349</w:t>
      </w:r>
      <w:r w:rsidRPr="00477C07">
        <w:rPr>
          <w:rFonts w:ascii="Garamond" w:hAnsi="Garamond" w:cs="Times New Roman"/>
          <w:b w:val="0"/>
          <w:color w:val="auto"/>
          <w:sz w:val="18"/>
          <w:szCs w:val="18"/>
          <w:lang w:val="en-US"/>
        </w:rPr>
        <w:t>.</w:t>
      </w:r>
    </w:p>
  </w:footnote>
  <w:footnote w:id="79">
    <w:p w14:paraId="5667DDF9" w14:textId="444163BD" w:rsidR="00DC6F5A" w:rsidRPr="00477C07" w:rsidRDefault="00DC6F5A" w:rsidP="00696FFD">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rPr>
        <w:t>Bolton v Law Society</w:t>
      </w:r>
      <w:r w:rsidRPr="00477C07">
        <w:rPr>
          <w:rFonts w:ascii="Garamond" w:hAnsi="Garamond" w:cs="Times New Roman"/>
          <w:sz w:val="18"/>
          <w:szCs w:val="18"/>
        </w:rPr>
        <w:t xml:space="preserve"> [1994] 1 WLR 512. </w:t>
      </w:r>
    </w:p>
  </w:footnote>
  <w:footnote w:id="80">
    <w:p w14:paraId="0DC49717" w14:textId="522136BE" w:rsidR="00DC6F5A" w:rsidRPr="00477C07" w:rsidRDefault="00DC6F5A">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00565131">
        <w:rPr>
          <w:rFonts w:ascii="Garamond" w:hAnsi="Garamond" w:cs="Times New Roman"/>
          <w:sz w:val="18"/>
          <w:szCs w:val="18"/>
        </w:rPr>
        <w:t>Above</w:t>
      </w:r>
      <w:r w:rsidRPr="00477C07">
        <w:rPr>
          <w:rFonts w:ascii="Garamond" w:hAnsi="Garamond" w:cs="Times New Roman"/>
          <w:sz w:val="18"/>
          <w:szCs w:val="18"/>
        </w:rPr>
        <w:t xml:space="preserve"> at </w:t>
      </w:r>
      <w:r w:rsidRPr="00477C07">
        <w:rPr>
          <w:rFonts w:ascii="Garamond" w:hAnsi="Garamond" w:cs="Times New Roman"/>
          <w:sz w:val="18"/>
          <w:szCs w:val="18"/>
          <w:lang w:val="en-US"/>
        </w:rPr>
        <w:t>518.</w:t>
      </w:r>
    </w:p>
  </w:footnote>
  <w:footnote w:id="81">
    <w:p w14:paraId="5B6144A3" w14:textId="20EC2A81" w:rsidR="00DC6F5A" w:rsidRPr="00477C07" w:rsidRDefault="00DC6F5A" w:rsidP="009321EF">
      <w:pPr>
        <w:shd w:val="clear" w:color="auto" w:fill="FFFFFF" w:themeFill="background1"/>
        <w:rPr>
          <w:rFonts w:ascii="Garamond" w:hAnsi="Garamond"/>
          <w:sz w:val="18"/>
          <w:szCs w:val="18"/>
        </w:rPr>
      </w:pPr>
      <w:r w:rsidRPr="00477C07">
        <w:rPr>
          <w:rStyle w:val="cit-fpage"/>
          <w:rFonts w:ascii="Garamond" w:hAnsi="Garamond"/>
          <w:sz w:val="18"/>
          <w:szCs w:val="18"/>
        </w:rPr>
        <w:footnoteRef/>
      </w:r>
      <w:r w:rsidRPr="00477C07">
        <w:rPr>
          <w:rFonts w:ascii="Garamond" w:hAnsi="Garamond"/>
          <w:sz w:val="18"/>
          <w:szCs w:val="18"/>
        </w:rPr>
        <w:t xml:space="preserve"> P. Case, </w:t>
      </w:r>
      <w:r w:rsidRPr="00477C07">
        <w:rPr>
          <w:rFonts w:ascii="Garamond" w:hAnsi="Garamond" w:cs="Lucida Sans Unicode"/>
          <w:sz w:val="18"/>
          <w:szCs w:val="18"/>
          <w:shd w:val="clear" w:color="auto" w:fill="FFFFFF"/>
        </w:rPr>
        <w:t>‘</w:t>
      </w:r>
      <w:r w:rsidRPr="00477C07">
        <w:rPr>
          <w:rStyle w:val="cit-article-title"/>
          <w:rFonts w:ascii="Garamond" w:hAnsi="Garamond" w:cs="Lucida Sans Unicode"/>
          <w:sz w:val="18"/>
          <w:szCs w:val="18"/>
          <w:bdr w:val="none" w:sz="0" w:space="0" w:color="auto" w:frame="1"/>
          <w:shd w:val="clear" w:color="auto" w:fill="FFFFFF"/>
        </w:rPr>
        <w:t>Doctoring Confidence and Soliciting Trust: Models of Professional Discipline in Law and Medicine</w:t>
      </w:r>
      <w:r w:rsidRPr="00477C07">
        <w:rPr>
          <w:rFonts w:ascii="Garamond" w:hAnsi="Garamond" w:cs="Lucida Sans Unicode"/>
          <w:sz w:val="18"/>
          <w:szCs w:val="18"/>
          <w:shd w:val="clear" w:color="auto" w:fill="FFFFFF"/>
        </w:rPr>
        <w:t xml:space="preserve">’ </w:t>
      </w:r>
      <w:r w:rsidRPr="00477C07">
        <w:rPr>
          <w:rStyle w:val="apple-converted-space"/>
          <w:rFonts w:ascii="Garamond" w:hAnsi="Garamond" w:cs="Lucida Sans Unicode"/>
          <w:sz w:val="18"/>
          <w:szCs w:val="18"/>
          <w:shd w:val="clear" w:color="auto" w:fill="FFFFFF"/>
        </w:rPr>
        <w:t xml:space="preserve">(2013) </w:t>
      </w:r>
      <w:r w:rsidRPr="00477C07">
        <w:rPr>
          <w:rFonts w:ascii="Garamond" w:hAnsi="Garamond"/>
          <w:i/>
          <w:sz w:val="18"/>
          <w:szCs w:val="18"/>
        </w:rPr>
        <w:t>Journal of Professional Negligence</w:t>
      </w:r>
      <w:r w:rsidRPr="00477C07">
        <w:rPr>
          <w:rStyle w:val="apple-converted-space"/>
          <w:rFonts w:ascii="Garamond" w:hAnsi="Garamond" w:cs="Lucida Sans Unicode"/>
          <w:sz w:val="18"/>
          <w:szCs w:val="18"/>
          <w:shd w:val="clear" w:color="auto" w:fill="FFFFFF"/>
        </w:rPr>
        <w:t> </w:t>
      </w:r>
      <w:r w:rsidRPr="00477C07">
        <w:rPr>
          <w:rStyle w:val="cit-fpage"/>
          <w:rFonts w:ascii="Garamond" w:hAnsi="Garamond" w:cs="Lucida Sans Unicode"/>
          <w:sz w:val="18"/>
          <w:szCs w:val="18"/>
          <w:bdr w:val="none" w:sz="0" w:space="0" w:color="auto" w:frame="1"/>
          <w:shd w:val="clear" w:color="auto" w:fill="FFFFFF"/>
        </w:rPr>
        <w:t>87.</w:t>
      </w:r>
    </w:p>
  </w:footnote>
  <w:footnote w:id="82">
    <w:p w14:paraId="2F135D98" w14:textId="28A1BCA5"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[2018] EWCA </w:t>
      </w:r>
      <w:r w:rsidRPr="00477C07">
        <w:rPr>
          <w:rFonts w:ascii="Garamond" w:hAnsi="Garamond"/>
          <w:sz w:val="18"/>
          <w:szCs w:val="18"/>
        </w:rPr>
        <w:t xml:space="preserve">Civ 1879 at [84] and </w:t>
      </w:r>
      <w:r w:rsidRPr="00477C07">
        <w:rPr>
          <w:rFonts w:ascii="Garamond" w:hAnsi="Garamond"/>
          <w:i/>
          <w:iCs/>
          <w:sz w:val="18"/>
          <w:szCs w:val="18"/>
        </w:rPr>
        <w:t xml:space="preserve">GMC v Chandra </w:t>
      </w:r>
      <w:r w:rsidRPr="00477C07">
        <w:rPr>
          <w:rFonts w:ascii="Garamond" w:hAnsi="Garamond"/>
          <w:sz w:val="18"/>
          <w:szCs w:val="18"/>
        </w:rPr>
        <w:t>[2018] EWCA Civ 1898 at [59].</w:t>
      </w:r>
    </w:p>
  </w:footnote>
  <w:footnote w:id="83">
    <w:p w14:paraId="2083538F" w14:textId="5F3DF701" w:rsidR="00791C82" w:rsidRPr="00477C07" w:rsidRDefault="00791C82">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See s.1(1A) and s.1(1B) of the Medical Act</w:t>
      </w:r>
      <w:r w:rsidR="00565131">
        <w:rPr>
          <w:rFonts w:ascii="Garamond" w:hAnsi="Garamond"/>
          <w:sz w:val="18"/>
          <w:szCs w:val="18"/>
        </w:rPr>
        <w:t xml:space="preserve"> </w:t>
      </w:r>
      <w:r w:rsidRPr="00477C07">
        <w:rPr>
          <w:rFonts w:ascii="Garamond" w:hAnsi="Garamond"/>
          <w:sz w:val="18"/>
          <w:szCs w:val="18"/>
        </w:rPr>
        <w:t xml:space="preserve">1983 above. </w:t>
      </w:r>
    </w:p>
  </w:footnote>
  <w:footnote w:id="84">
    <w:p w14:paraId="48FB4CFA" w14:textId="14C8C627" w:rsidR="00DC6F5A" w:rsidRPr="00477C07" w:rsidRDefault="00DC6F5A" w:rsidP="00772DB6">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E.g. in the </w:t>
      </w:r>
      <w:r w:rsidRPr="00477C07">
        <w:rPr>
          <w:rFonts w:ascii="Garamond" w:hAnsi="Garamond"/>
          <w:i/>
          <w:iCs/>
          <w:sz w:val="18"/>
          <w:szCs w:val="18"/>
        </w:rPr>
        <w:t>Bawa-Garba</w:t>
      </w:r>
      <w:r w:rsidRPr="00477C07">
        <w:rPr>
          <w:rFonts w:ascii="Garamond" w:hAnsi="Garamond"/>
          <w:sz w:val="18"/>
          <w:szCs w:val="18"/>
        </w:rPr>
        <w:t xml:space="preserve"> case itself: [2018] EWCA Civ 1879 at [84]. </w:t>
      </w:r>
    </w:p>
  </w:footnote>
  <w:footnote w:id="85">
    <w:p w14:paraId="0FBE39AF" w14:textId="6B19AC1A"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Appearing three times in the </w:t>
      </w:r>
      <w:r w:rsidRPr="00477C07">
        <w:rPr>
          <w:rFonts w:ascii="Garamond" w:hAnsi="Garamond"/>
          <w:i/>
          <w:iCs/>
          <w:sz w:val="18"/>
          <w:szCs w:val="18"/>
        </w:rPr>
        <w:t xml:space="preserve">Sanctions Guidance </w:t>
      </w:r>
      <w:r w:rsidRPr="00477C07">
        <w:rPr>
          <w:rFonts w:ascii="Garamond" w:hAnsi="Garamond"/>
          <w:sz w:val="18"/>
          <w:szCs w:val="18"/>
        </w:rPr>
        <w:t xml:space="preserve">(updated November 2019) for example, para 17. Available at </w:t>
      </w:r>
      <w:hyperlink r:id="rId11" w:history="1">
        <w:r w:rsidRPr="00477C07">
          <w:rPr>
            <w:rStyle w:val="Hyperlink"/>
            <w:rFonts w:ascii="Garamond" w:hAnsi="Garamond"/>
            <w:sz w:val="18"/>
            <w:szCs w:val="18"/>
          </w:rPr>
          <w:t>https://www.mpts-uk.org/-/media/mpts-documents/dc4198-sanctions-guidance--november-2019_pdf-80152538.pdf</w:t>
        </w:r>
      </w:hyperlink>
      <w:r w:rsidRPr="00477C07">
        <w:rPr>
          <w:rFonts w:ascii="Garamond" w:hAnsi="Garamond"/>
          <w:sz w:val="18"/>
          <w:szCs w:val="18"/>
        </w:rPr>
        <w:t xml:space="preserve"> - last accessed 24/1/20.</w:t>
      </w:r>
    </w:p>
  </w:footnote>
  <w:footnote w:id="86">
    <w:p w14:paraId="12AAB508" w14:textId="57874C77" w:rsidR="00DC6F5A" w:rsidRPr="00477C07" w:rsidRDefault="00DC6F5A">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How is public confidence maintained when fitness to practise decisions are made? </w:t>
      </w:r>
      <w:r w:rsidRPr="00477C07">
        <w:rPr>
          <w:rFonts w:ascii="Garamond" w:hAnsi="Garamond"/>
          <w:sz w:val="18"/>
          <w:szCs w:val="18"/>
        </w:rPr>
        <w:t>(Advice to the Secretary of State (Professional Standards Authority, 2019).</w:t>
      </w:r>
    </w:p>
  </w:footnote>
  <w:footnote w:id="87">
    <w:p w14:paraId="01B5884C" w14:textId="77777777" w:rsidR="0089088E" w:rsidRPr="00477C07" w:rsidRDefault="0089088E" w:rsidP="0089088E">
      <w:pPr>
        <w:pStyle w:val="FootnoteText"/>
        <w:rPr>
          <w:rFonts w:ascii="Garamond" w:hAnsi="Garamond"/>
          <w:sz w:val="18"/>
          <w:szCs w:val="18"/>
          <w:lang w:val="en-US"/>
        </w:rPr>
      </w:pPr>
      <w:r w:rsidRPr="00477C07">
        <w:rPr>
          <w:rStyle w:val="FootnoteReference"/>
          <w:rFonts w:ascii="Garamond" w:hAnsi="Garamond"/>
          <w:sz w:val="18"/>
          <w:szCs w:val="18"/>
        </w:rPr>
        <w:footnoteRef/>
      </w:r>
      <w:r w:rsidRPr="00477C07">
        <w:rPr>
          <w:rFonts w:ascii="Garamond" w:hAnsi="Garamond"/>
          <w:sz w:val="18"/>
          <w:szCs w:val="18"/>
        </w:rPr>
        <w:t xml:space="preserve"> [2001] UKPC 41.</w:t>
      </w:r>
    </w:p>
    <w:p w14:paraId="474A722D" w14:textId="2C3A8C0D" w:rsidR="0089088E" w:rsidRPr="00477C07" w:rsidRDefault="0089088E">
      <w:pPr>
        <w:pStyle w:val="FootnoteText"/>
        <w:rPr>
          <w:rFonts w:ascii="Garamond" w:hAnsi="Garamond"/>
          <w:sz w:val="18"/>
          <w:szCs w:val="18"/>
        </w:rPr>
      </w:pPr>
    </w:p>
  </w:footnote>
  <w:footnote w:id="88">
    <w:p w14:paraId="461E2A9E" w14:textId="77777777" w:rsidR="00DC6F5A" w:rsidRPr="00477C07" w:rsidRDefault="00DC6F5A" w:rsidP="001513AF">
      <w:pPr>
        <w:pStyle w:val="FootnoteText"/>
        <w:rPr>
          <w:rFonts w:ascii="Garamond" w:hAnsi="Garamond" w:cs="Times New Roman"/>
          <w:sz w:val="18"/>
          <w:szCs w:val="18"/>
          <w:lang w:val="en-US"/>
        </w:rPr>
      </w:pPr>
      <w:r w:rsidRPr="00477C07">
        <w:rPr>
          <w:rStyle w:val="FootnoteReference"/>
          <w:rFonts w:ascii="Garamond" w:hAnsi="Garamond" w:cs="Times New Roman"/>
          <w:sz w:val="18"/>
          <w:szCs w:val="18"/>
        </w:rPr>
        <w:footnoteRef/>
      </w:r>
      <w:r w:rsidRPr="00477C07">
        <w:rPr>
          <w:rFonts w:ascii="Garamond" w:hAnsi="Garamond" w:cs="Times New Roman"/>
          <w:sz w:val="18"/>
          <w:szCs w:val="18"/>
        </w:rPr>
        <w:t xml:space="preserve"> </w:t>
      </w:r>
      <w:r w:rsidRPr="00477C07">
        <w:rPr>
          <w:rFonts w:ascii="Garamond" w:hAnsi="Garamond" w:cs="Times New Roman"/>
          <w:i/>
          <w:iCs/>
          <w:sz w:val="18"/>
          <w:szCs w:val="18"/>
          <w:lang w:val="en-US"/>
        </w:rPr>
        <w:t>Bijl v General Medical Council</w:t>
      </w:r>
      <w:r w:rsidRPr="00477C07">
        <w:rPr>
          <w:rFonts w:ascii="Garamond" w:hAnsi="Garamond" w:cs="Times New Roman"/>
          <w:sz w:val="18"/>
          <w:szCs w:val="18"/>
          <w:lang w:val="en-US"/>
        </w:rPr>
        <w:t xml:space="preserve"> </w:t>
      </w:r>
      <w:r w:rsidRPr="00477C07">
        <w:rPr>
          <w:rFonts w:ascii="Garamond" w:hAnsi="Garamond" w:cs="Times New Roman"/>
          <w:sz w:val="18"/>
          <w:szCs w:val="18"/>
        </w:rPr>
        <w:t>[2001] UKPC 41.</w:t>
      </w:r>
    </w:p>
  </w:footnote>
  <w:footnote w:id="89">
    <w:p w14:paraId="0E55CBDD" w14:textId="4CB9B4AB" w:rsidR="00DC6F5A" w:rsidRPr="00477C07" w:rsidRDefault="00DC6F5A" w:rsidP="001513AF">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005C5A24">
        <w:rPr>
          <w:rFonts w:ascii="Garamond" w:hAnsi="Garamond"/>
          <w:sz w:val="18"/>
          <w:szCs w:val="18"/>
        </w:rPr>
        <w:t xml:space="preserve">Above </w:t>
      </w:r>
      <w:r w:rsidRPr="00477C07">
        <w:rPr>
          <w:rFonts w:ascii="Garamond" w:hAnsi="Garamond"/>
          <w:sz w:val="18"/>
          <w:szCs w:val="18"/>
        </w:rPr>
        <w:t xml:space="preserve">at [13]. </w:t>
      </w:r>
    </w:p>
  </w:footnote>
  <w:footnote w:id="90">
    <w:p w14:paraId="0C7A964F" w14:textId="77777777" w:rsidR="00DC6F5A" w:rsidRPr="00477C07" w:rsidRDefault="00DC6F5A" w:rsidP="001513AF">
      <w:pPr>
        <w:pStyle w:val="FootnoteText"/>
        <w:rPr>
          <w:rFonts w:ascii="Garamond" w:hAnsi="Garamond"/>
          <w:sz w:val="18"/>
          <w:szCs w:val="18"/>
        </w:rPr>
      </w:pPr>
      <w:r w:rsidRPr="00477C07">
        <w:rPr>
          <w:rStyle w:val="FootnoteReference"/>
          <w:rFonts w:ascii="Garamond" w:hAnsi="Garamond"/>
          <w:sz w:val="18"/>
          <w:szCs w:val="18"/>
        </w:rPr>
        <w:footnoteRef/>
      </w:r>
      <w:r w:rsidRPr="00477C07">
        <w:rPr>
          <w:rFonts w:ascii="Garamond" w:hAnsi="Garamond"/>
          <w:sz w:val="18"/>
          <w:szCs w:val="18"/>
        </w:rPr>
        <w:t xml:space="preserve"> </w:t>
      </w:r>
      <w:r w:rsidRPr="00477C07">
        <w:rPr>
          <w:rFonts w:ascii="Garamond" w:hAnsi="Garamond"/>
          <w:i/>
          <w:iCs/>
          <w:sz w:val="18"/>
          <w:szCs w:val="18"/>
        </w:rPr>
        <w:t xml:space="preserve">A Commitment to Quality: A Quest for Excellence – Statement on behalf of the Government, the Medical Profession and the NHS </w:t>
      </w:r>
      <w:r w:rsidRPr="00477C07">
        <w:rPr>
          <w:rFonts w:ascii="Garamond" w:hAnsi="Garamond"/>
          <w:sz w:val="18"/>
          <w:szCs w:val="18"/>
        </w:rPr>
        <w:t xml:space="preserve">(2001). </w:t>
      </w:r>
    </w:p>
  </w:footnote>
  <w:footnote w:id="91">
    <w:p w14:paraId="55E510F1" w14:textId="77777777" w:rsidR="00DC6F5A" w:rsidRPr="009321EF" w:rsidRDefault="00DC6F5A" w:rsidP="001513AF">
      <w:pPr>
        <w:pStyle w:val="FootnoteText"/>
        <w:rPr>
          <w:rFonts w:ascii="Garamond" w:hAnsi="Garamond"/>
          <w:sz w:val="20"/>
          <w:szCs w:val="20"/>
        </w:rPr>
      </w:pPr>
      <w:r w:rsidRPr="00477C07">
        <w:rPr>
          <w:rStyle w:val="FootnoteReference"/>
          <w:rFonts w:ascii="Garamond" w:hAnsi="Garamond"/>
          <w:sz w:val="18"/>
          <w:szCs w:val="18"/>
        </w:rPr>
        <w:footnoteRef/>
      </w:r>
      <w:r w:rsidRPr="00477C07">
        <w:rPr>
          <w:rFonts w:ascii="Garamond" w:hAnsi="Garamond"/>
          <w:sz w:val="18"/>
          <w:szCs w:val="18"/>
        </w:rPr>
        <w:t xml:space="preserve"> J. Wise, ‘Survey of UK doctors highlights blame culture within the NHS’ (2018) BMJ 362 (referencing the </w:t>
      </w:r>
      <w:r w:rsidRPr="00477C07">
        <w:rPr>
          <w:rFonts w:ascii="Garamond" w:hAnsi="Garamond"/>
          <w:i/>
          <w:iCs/>
          <w:sz w:val="18"/>
          <w:szCs w:val="18"/>
        </w:rPr>
        <w:t xml:space="preserve">Caring Supporting Collaborative </w:t>
      </w:r>
      <w:r w:rsidRPr="00477C07">
        <w:rPr>
          <w:rFonts w:ascii="Garamond" w:hAnsi="Garamond"/>
          <w:sz w:val="18"/>
          <w:szCs w:val="18"/>
        </w:rPr>
        <w:t xml:space="preserve">(2018) report commissioned by the BMA and more recently, the widely acclaimed report commissioned by the GMC by M. West &amp; D. </w:t>
      </w:r>
      <w:r w:rsidRPr="00477C07">
        <w:rPr>
          <w:rFonts w:ascii="Garamond" w:hAnsi="Garamond"/>
          <w:sz w:val="18"/>
          <w:szCs w:val="18"/>
        </w:rPr>
        <w:t xml:space="preserve">Coia, </w:t>
      </w:r>
      <w:r w:rsidRPr="00477C07">
        <w:rPr>
          <w:rFonts w:ascii="Garamond" w:hAnsi="Garamond"/>
          <w:i/>
          <w:iCs/>
          <w:sz w:val="18"/>
          <w:szCs w:val="18"/>
        </w:rPr>
        <w:t xml:space="preserve">Caring for Doctors, Caring for Patients </w:t>
      </w:r>
      <w:r w:rsidRPr="00477C07">
        <w:rPr>
          <w:rFonts w:ascii="Garamond" w:hAnsi="Garamond"/>
          <w:sz w:val="18"/>
          <w:szCs w:val="18"/>
        </w:rPr>
        <w:t>(2019) which emphasises throughout the need to shift the focus from blame to learning.</w:t>
      </w:r>
    </w:p>
  </w:footnote>
  <w:footnote w:id="92">
    <w:p w14:paraId="0634E701" w14:textId="6B4DFA9F" w:rsidR="00DC6F5A" w:rsidRPr="00F6614B" w:rsidRDefault="00DC6F5A" w:rsidP="0086326E">
      <w:pPr>
        <w:pStyle w:val="FootnoteText"/>
        <w:rPr>
          <w:rFonts w:ascii="Garamond" w:hAnsi="Garamond"/>
          <w:sz w:val="20"/>
          <w:szCs w:val="20"/>
        </w:rPr>
      </w:pPr>
      <w:r w:rsidRPr="00F6614B">
        <w:rPr>
          <w:rStyle w:val="FootnoteReference"/>
          <w:rFonts w:ascii="Garamond" w:hAnsi="Garamond"/>
          <w:sz w:val="20"/>
          <w:szCs w:val="20"/>
        </w:rPr>
        <w:footnoteRef/>
      </w:r>
      <w:r w:rsidRPr="00F6614B">
        <w:rPr>
          <w:rFonts w:ascii="Garamond" w:hAnsi="Garamond"/>
          <w:sz w:val="20"/>
          <w:szCs w:val="20"/>
        </w:rPr>
        <w:t xml:space="preserve"> Both</w:t>
      </w:r>
      <w:r w:rsidR="00F61E62">
        <w:rPr>
          <w:rFonts w:ascii="Garamond" w:hAnsi="Garamond"/>
          <w:sz w:val="20"/>
          <w:szCs w:val="20"/>
        </w:rPr>
        <w:t xml:space="preserve"> in</w:t>
      </w:r>
      <w:r w:rsidRPr="00F6614B">
        <w:rPr>
          <w:rFonts w:ascii="Garamond" w:hAnsi="Garamond"/>
          <w:sz w:val="20"/>
          <w:szCs w:val="20"/>
        </w:rPr>
        <w:t xml:space="preserve"> </w:t>
      </w:r>
      <w:r w:rsidR="00565131">
        <w:rPr>
          <w:rFonts w:ascii="Garamond" w:hAnsi="Garamond"/>
          <w:i/>
          <w:iCs/>
          <w:sz w:val="20"/>
          <w:szCs w:val="20"/>
        </w:rPr>
        <w:t xml:space="preserve">Bawa-Garba </w:t>
      </w:r>
      <w:r>
        <w:rPr>
          <w:rFonts w:ascii="Garamond" w:hAnsi="Garamond"/>
          <w:sz w:val="20"/>
          <w:szCs w:val="20"/>
        </w:rPr>
        <w:t>[2018] EWHC 76</w:t>
      </w:r>
      <w:r w:rsidRPr="00F6614B">
        <w:rPr>
          <w:rFonts w:ascii="Garamond" w:hAnsi="Garamond"/>
          <w:sz w:val="20"/>
          <w:szCs w:val="20"/>
        </w:rPr>
        <w:t xml:space="preserve"> at [33].</w:t>
      </w:r>
    </w:p>
  </w:footnote>
  <w:footnote w:id="93">
    <w:p w14:paraId="156D269E" w14:textId="68721043" w:rsidR="00DC6F5A" w:rsidRPr="00F6614B" w:rsidRDefault="00DC6F5A" w:rsidP="00134155">
      <w:pPr>
        <w:pStyle w:val="FootnoteText"/>
        <w:rPr>
          <w:rFonts w:ascii="Garamond" w:hAnsi="Garamond"/>
          <w:sz w:val="20"/>
          <w:szCs w:val="20"/>
        </w:rPr>
      </w:pPr>
      <w:r w:rsidRPr="00F6614B">
        <w:rPr>
          <w:rStyle w:val="FootnoteReference"/>
          <w:rFonts w:ascii="Garamond" w:hAnsi="Garamond"/>
          <w:sz w:val="20"/>
          <w:szCs w:val="20"/>
        </w:rPr>
        <w:footnoteRef/>
      </w:r>
      <w:r w:rsidRPr="00F6614B">
        <w:rPr>
          <w:rFonts w:ascii="Garamond" w:hAnsi="Garamond"/>
          <w:sz w:val="20"/>
          <w:szCs w:val="20"/>
        </w:rPr>
        <w:t xml:space="preserve"> E.g.</w:t>
      </w:r>
      <w:r w:rsidR="005C5A24">
        <w:rPr>
          <w:rFonts w:ascii="Garamond" w:hAnsi="Garamond"/>
          <w:sz w:val="20"/>
          <w:szCs w:val="20"/>
        </w:rPr>
        <w:t>,</w:t>
      </w:r>
      <w:r w:rsidRPr="00F6614B">
        <w:rPr>
          <w:rFonts w:ascii="Garamond" w:hAnsi="Garamond"/>
          <w:sz w:val="20"/>
          <w:szCs w:val="20"/>
        </w:rPr>
        <w:t xml:space="preserve"> see </w:t>
      </w:r>
      <w:r w:rsidRPr="00701228">
        <w:rPr>
          <w:rFonts w:ascii="Garamond" w:hAnsi="Garamond"/>
          <w:i/>
          <w:iCs/>
          <w:sz w:val="20"/>
          <w:szCs w:val="20"/>
        </w:rPr>
        <w:t xml:space="preserve">Council for the Regulation of Healthcare Professionals v General Medical Council and Southall </w:t>
      </w:r>
      <w:r w:rsidRPr="00F6614B">
        <w:rPr>
          <w:rFonts w:ascii="Garamond" w:hAnsi="Garamond"/>
          <w:sz w:val="20"/>
          <w:szCs w:val="20"/>
        </w:rPr>
        <w:t>[2005] EWHC 579 (Admin) at [11], and</w:t>
      </w:r>
      <w:r w:rsidRPr="00701228">
        <w:rPr>
          <w:rFonts w:ascii="Garamond" w:hAnsi="Garamond"/>
          <w:i/>
          <w:iCs/>
          <w:sz w:val="20"/>
          <w:szCs w:val="20"/>
        </w:rPr>
        <w:t xml:space="preserve"> Khan v General Pharmaceutical Council</w:t>
      </w:r>
      <w:r w:rsidRPr="00F6614B">
        <w:rPr>
          <w:rFonts w:ascii="Garamond" w:hAnsi="Garamond"/>
          <w:sz w:val="20"/>
          <w:szCs w:val="20"/>
        </w:rPr>
        <w:t xml:space="preserve"> [2017] 1 WLR 169 at </w:t>
      </w:r>
      <w:r w:rsidR="005C5A24">
        <w:rPr>
          <w:rFonts w:ascii="Garamond" w:hAnsi="Garamond"/>
          <w:sz w:val="20"/>
          <w:szCs w:val="20"/>
        </w:rPr>
        <w:t>[</w:t>
      </w:r>
      <w:r w:rsidRPr="00F6614B">
        <w:rPr>
          <w:rFonts w:ascii="Garamond" w:hAnsi="Garamond"/>
          <w:sz w:val="20"/>
          <w:szCs w:val="20"/>
        </w:rPr>
        <w:t>36</w:t>
      </w:r>
      <w:r w:rsidR="005C5A24">
        <w:rPr>
          <w:rFonts w:ascii="Garamond" w:hAnsi="Garamond"/>
          <w:sz w:val="20"/>
          <w:szCs w:val="20"/>
        </w:rPr>
        <w:t>]</w:t>
      </w:r>
      <w:r w:rsidRPr="00F6614B">
        <w:rPr>
          <w:rFonts w:ascii="Garamond" w:hAnsi="Garamond"/>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A63"/>
    <w:multiLevelType w:val="hybridMultilevel"/>
    <w:tmpl w:val="26725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5888"/>
    <w:multiLevelType w:val="hybridMultilevel"/>
    <w:tmpl w:val="5AB2BB5E"/>
    <w:lvl w:ilvl="0" w:tplc="7C5A1586">
      <w:start w:val="1"/>
      <w:numFmt w:val="bullet"/>
      <w:lvlText w:val=" "/>
      <w:lvlJc w:val="left"/>
      <w:pPr>
        <w:tabs>
          <w:tab w:val="num" w:pos="720"/>
        </w:tabs>
        <w:ind w:left="720" w:hanging="360"/>
      </w:pPr>
      <w:rPr>
        <w:rFonts w:ascii="Tw Cen MT" w:hAnsi="Tw Cen MT" w:hint="default"/>
      </w:rPr>
    </w:lvl>
    <w:lvl w:ilvl="1" w:tplc="FA927972" w:tentative="1">
      <w:start w:val="1"/>
      <w:numFmt w:val="bullet"/>
      <w:lvlText w:val=" "/>
      <w:lvlJc w:val="left"/>
      <w:pPr>
        <w:tabs>
          <w:tab w:val="num" w:pos="1440"/>
        </w:tabs>
        <w:ind w:left="1440" w:hanging="360"/>
      </w:pPr>
      <w:rPr>
        <w:rFonts w:ascii="Tw Cen MT" w:hAnsi="Tw Cen MT" w:hint="default"/>
      </w:rPr>
    </w:lvl>
    <w:lvl w:ilvl="2" w:tplc="91A2A12C" w:tentative="1">
      <w:start w:val="1"/>
      <w:numFmt w:val="bullet"/>
      <w:lvlText w:val=" "/>
      <w:lvlJc w:val="left"/>
      <w:pPr>
        <w:tabs>
          <w:tab w:val="num" w:pos="2160"/>
        </w:tabs>
        <w:ind w:left="2160" w:hanging="360"/>
      </w:pPr>
      <w:rPr>
        <w:rFonts w:ascii="Tw Cen MT" w:hAnsi="Tw Cen MT" w:hint="default"/>
      </w:rPr>
    </w:lvl>
    <w:lvl w:ilvl="3" w:tplc="B822A0E8" w:tentative="1">
      <w:start w:val="1"/>
      <w:numFmt w:val="bullet"/>
      <w:lvlText w:val=" "/>
      <w:lvlJc w:val="left"/>
      <w:pPr>
        <w:tabs>
          <w:tab w:val="num" w:pos="2880"/>
        </w:tabs>
        <w:ind w:left="2880" w:hanging="360"/>
      </w:pPr>
      <w:rPr>
        <w:rFonts w:ascii="Tw Cen MT" w:hAnsi="Tw Cen MT" w:hint="default"/>
      </w:rPr>
    </w:lvl>
    <w:lvl w:ilvl="4" w:tplc="4D704B50" w:tentative="1">
      <w:start w:val="1"/>
      <w:numFmt w:val="bullet"/>
      <w:lvlText w:val=" "/>
      <w:lvlJc w:val="left"/>
      <w:pPr>
        <w:tabs>
          <w:tab w:val="num" w:pos="3600"/>
        </w:tabs>
        <w:ind w:left="3600" w:hanging="360"/>
      </w:pPr>
      <w:rPr>
        <w:rFonts w:ascii="Tw Cen MT" w:hAnsi="Tw Cen MT" w:hint="default"/>
      </w:rPr>
    </w:lvl>
    <w:lvl w:ilvl="5" w:tplc="8D5C8602" w:tentative="1">
      <w:start w:val="1"/>
      <w:numFmt w:val="bullet"/>
      <w:lvlText w:val=" "/>
      <w:lvlJc w:val="left"/>
      <w:pPr>
        <w:tabs>
          <w:tab w:val="num" w:pos="4320"/>
        </w:tabs>
        <w:ind w:left="4320" w:hanging="360"/>
      </w:pPr>
      <w:rPr>
        <w:rFonts w:ascii="Tw Cen MT" w:hAnsi="Tw Cen MT" w:hint="default"/>
      </w:rPr>
    </w:lvl>
    <w:lvl w:ilvl="6" w:tplc="9E8851C6" w:tentative="1">
      <w:start w:val="1"/>
      <w:numFmt w:val="bullet"/>
      <w:lvlText w:val=" "/>
      <w:lvlJc w:val="left"/>
      <w:pPr>
        <w:tabs>
          <w:tab w:val="num" w:pos="5040"/>
        </w:tabs>
        <w:ind w:left="5040" w:hanging="360"/>
      </w:pPr>
      <w:rPr>
        <w:rFonts w:ascii="Tw Cen MT" w:hAnsi="Tw Cen MT" w:hint="default"/>
      </w:rPr>
    </w:lvl>
    <w:lvl w:ilvl="7" w:tplc="8BB6379E" w:tentative="1">
      <w:start w:val="1"/>
      <w:numFmt w:val="bullet"/>
      <w:lvlText w:val=" "/>
      <w:lvlJc w:val="left"/>
      <w:pPr>
        <w:tabs>
          <w:tab w:val="num" w:pos="5760"/>
        </w:tabs>
        <w:ind w:left="5760" w:hanging="360"/>
      </w:pPr>
      <w:rPr>
        <w:rFonts w:ascii="Tw Cen MT" w:hAnsi="Tw Cen MT" w:hint="default"/>
      </w:rPr>
    </w:lvl>
    <w:lvl w:ilvl="8" w:tplc="1416F514"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29C9442F"/>
    <w:multiLevelType w:val="hybridMultilevel"/>
    <w:tmpl w:val="FE24428A"/>
    <w:lvl w:ilvl="0" w:tplc="0B08B4DA">
      <w:start w:val="1"/>
      <w:numFmt w:val="bullet"/>
      <w:lvlText w:val=" "/>
      <w:lvlJc w:val="left"/>
      <w:pPr>
        <w:tabs>
          <w:tab w:val="num" w:pos="720"/>
        </w:tabs>
        <w:ind w:left="720" w:hanging="360"/>
      </w:pPr>
      <w:rPr>
        <w:rFonts w:ascii="Tw Cen MT" w:hAnsi="Tw Cen MT" w:hint="default"/>
      </w:rPr>
    </w:lvl>
    <w:lvl w:ilvl="1" w:tplc="A7423008" w:tentative="1">
      <w:start w:val="1"/>
      <w:numFmt w:val="bullet"/>
      <w:lvlText w:val=" "/>
      <w:lvlJc w:val="left"/>
      <w:pPr>
        <w:tabs>
          <w:tab w:val="num" w:pos="1440"/>
        </w:tabs>
        <w:ind w:left="1440" w:hanging="360"/>
      </w:pPr>
      <w:rPr>
        <w:rFonts w:ascii="Tw Cen MT" w:hAnsi="Tw Cen MT" w:hint="default"/>
      </w:rPr>
    </w:lvl>
    <w:lvl w:ilvl="2" w:tplc="2202140C" w:tentative="1">
      <w:start w:val="1"/>
      <w:numFmt w:val="bullet"/>
      <w:lvlText w:val=" "/>
      <w:lvlJc w:val="left"/>
      <w:pPr>
        <w:tabs>
          <w:tab w:val="num" w:pos="2160"/>
        </w:tabs>
        <w:ind w:left="2160" w:hanging="360"/>
      </w:pPr>
      <w:rPr>
        <w:rFonts w:ascii="Tw Cen MT" w:hAnsi="Tw Cen MT" w:hint="default"/>
      </w:rPr>
    </w:lvl>
    <w:lvl w:ilvl="3" w:tplc="66B6D15C" w:tentative="1">
      <w:start w:val="1"/>
      <w:numFmt w:val="bullet"/>
      <w:lvlText w:val=" "/>
      <w:lvlJc w:val="left"/>
      <w:pPr>
        <w:tabs>
          <w:tab w:val="num" w:pos="2880"/>
        </w:tabs>
        <w:ind w:left="2880" w:hanging="360"/>
      </w:pPr>
      <w:rPr>
        <w:rFonts w:ascii="Tw Cen MT" w:hAnsi="Tw Cen MT" w:hint="default"/>
      </w:rPr>
    </w:lvl>
    <w:lvl w:ilvl="4" w:tplc="678E39C2" w:tentative="1">
      <w:start w:val="1"/>
      <w:numFmt w:val="bullet"/>
      <w:lvlText w:val=" "/>
      <w:lvlJc w:val="left"/>
      <w:pPr>
        <w:tabs>
          <w:tab w:val="num" w:pos="3600"/>
        </w:tabs>
        <w:ind w:left="3600" w:hanging="360"/>
      </w:pPr>
      <w:rPr>
        <w:rFonts w:ascii="Tw Cen MT" w:hAnsi="Tw Cen MT" w:hint="default"/>
      </w:rPr>
    </w:lvl>
    <w:lvl w:ilvl="5" w:tplc="4F446646" w:tentative="1">
      <w:start w:val="1"/>
      <w:numFmt w:val="bullet"/>
      <w:lvlText w:val=" "/>
      <w:lvlJc w:val="left"/>
      <w:pPr>
        <w:tabs>
          <w:tab w:val="num" w:pos="4320"/>
        </w:tabs>
        <w:ind w:left="4320" w:hanging="360"/>
      </w:pPr>
      <w:rPr>
        <w:rFonts w:ascii="Tw Cen MT" w:hAnsi="Tw Cen MT" w:hint="default"/>
      </w:rPr>
    </w:lvl>
    <w:lvl w:ilvl="6" w:tplc="057835E4" w:tentative="1">
      <w:start w:val="1"/>
      <w:numFmt w:val="bullet"/>
      <w:lvlText w:val=" "/>
      <w:lvlJc w:val="left"/>
      <w:pPr>
        <w:tabs>
          <w:tab w:val="num" w:pos="5040"/>
        </w:tabs>
        <w:ind w:left="5040" w:hanging="360"/>
      </w:pPr>
      <w:rPr>
        <w:rFonts w:ascii="Tw Cen MT" w:hAnsi="Tw Cen MT" w:hint="default"/>
      </w:rPr>
    </w:lvl>
    <w:lvl w:ilvl="7" w:tplc="EB40BD6C" w:tentative="1">
      <w:start w:val="1"/>
      <w:numFmt w:val="bullet"/>
      <w:lvlText w:val=" "/>
      <w:lvlJc w:val="left"/>
      <w:pPr>
        <w:tabs>
          <w:tab w:val="num" w:pos="5760"/>
        </w:tabs>
        <w:ind w:left="5760" w:hanging="360"/>
      </w:pPr>
      <w:rPr>
        <w:rFonts w:ascii="Tw Cen MT" w:hAnsi="Tw Cen MT" w:hint="default"/>
      </w:rPr>
    </w:lvl>
    <w:lvl w:ilvl="8" w:tplc="7F5A143A"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32FC1E45"/>
    <w:multiLevelType w:val="hybridMultilevel"/>
    <w:tmpl w:val="E692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649C7"/>
    <w:multiLevelType w:val="hybridMultilevel"/>
    <w:tmpl w:val="379E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445E9"/>
    <w:multiLevelType w:val="hybridMultilevel"/>
    <w:tmpl w:val="F4A4CE8A"/>
    <w:lvl w:ilvl="0" w:tplc="D76039B2">
      <w:start w:val="1"/>
      <w:numFmt w:val="lowerRoman"/>
      <w:lvlText w:val="%1)"/>
      <w:lvlJc w:val="left"/>
      <w:pPr>
        <w:ind w:left="2520" w:hanging="720"/>
      </w:pPr>
      <w:rPr>
        <w:rFonts w:eastAsiaTheme="minorEastAsia" w:cstheme="minorBidi" w:hint="default"/>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7CC203F"/>
    <w:multiLevelType w:val="hybridMultilevel"/>
    <w:tmpl w:val="8BEC4A98"/>
    <w:lvl w:ilvl="0" w:tplc="1AFC8F7A">
      <w:start w:val="1"/>
      <w:numFmt w:val="bullet"/>
      <w:lvlText w:val=""/>
      <w:lvlJc w:val="left"/>
      <w:pPr>
        <w:tabs>
          <w:tab w:val="num" w:pos="720"/>
        </w:tabs>
        <w:ind w:left="720" w:hanging="360"/>
      </w:pPr>
      <w:rPr>
        <w:rFonts w:ascii="Wingdings" w:hAnsi="Wingdings" w:hint="default"/>
      </w:rPr>
    </w:lvl>
    <w:lvl w:ilvl="1" w:tplc="C8260C5C" w:tentative="1">
      <w:start w:val="1"/>
      <w:numFmt w:val="bullet"/>
      <w:lvlText w:val=""/>
      <w:lvlJc w:val="left"/>
      <w:pPr>
        <w:tabs>
          <w:tab w:val="num" w:pos="1440"/>
        </w:tabs>
        <w:ind w:left="1440" w:hanging="360"/>
      </w:pPr>
      <w:rPr>
        <w:rFonts w:ascii="Wingdings" w:hAnsi="Wingdings" w:hint="default"/>
      </w:rPr>
    </w:lvl>
    <w:lvl w:ilvl="2" w:tplc="AB3EDFFE" w:tentative="1">
      <w:start w:val="1"/>
      <w:numFmt w:val="bullet"/>
      <w:lvlText w:val=""/>
      <w:lvlJc w:val="left"/>
      <w:pPr>
        <w:tabs>
          <w:tab w:val="num" w:pos="2160"/>
        </w:tabs>
        <w:ind w:left="2160" w:hanging="360"/>
      </w:pPr>
      <w:rPr>
        <w:rFonts w:ascii="Wingdings" w:hAnsi="Wingdings" w:hint="default"/>
      </w:rPr>
    </w:lvl>
    <w:lvl w:ilvl="3" w:tplc="B198CA46" w:tentative="1">
      <w:start w:val="1"/>
      <w:numFmt w:val="bullet"/>
      <w:lvlText w:val=""/>
      <w:lvlJc w:val="left"/>
      <w:pPr>
        <w:tabs>
          <w:tab w:val="num" w:pos="2880"/>
        </w:tabs>
        <w:ind w:left="2880" w:hanging="360"/>
      </w:pPr>
      <w:rPr>
        <w:rFonts w:ascii="Wingdings" w:hAnsi="Wingdings" w:hint="default"/>
      </w:rPr>
    </w:lvl>
    <w:lvl w:ilvl="4" w:tplc="5EF68E98" w:tentative="1">
      <w:start w:val="1"/>
      <w:numFmt w:val="bullet"/>
      <w:lvlText w:val=""/>
      <w:lvlJc w:val="left"/>
      <w:pPr>
        <w:tabs>
          <w:tab w:val="num" w:pos="3600"/>
        </w:tabs>
        <w:ind w:left="3600" w:hanging="360"/>
      </w:pPr>
      <w:rPr>
        <w:rFonts w:ascii="Wingdings" w:hAnsi="Wingdings" w:hint="default"/>
      </w:rPr>
    </w:lvl>
    <w:lvl w:ilvl="5" w:tplc="EED4D964" w:tentative="1">
      <w:start w:val="1"/>
      <w:numFmt w:val="bullet"/>
      <w:lvlText w:val=""/>
      <w:lvlJc w:val="left"/>
      <w:pPr>
        <w:tabs>
          <w:tab w:val="num" w:pos="4320"/>
        </w:tabs>
        <w:ind w:left="4320" w:hanging="360"/>
      </w:pPr>
      <w:rPr>
        <w:rFonts w:ascii="Wingdings" w:hAnsi="Wingdings" w:hint="default"/>
      </w:rPr>
    </w:lvl>
    <w:lvl w:ilvl="6" w:tplc="7F0690DA" w:tentative="1">
      <w:start w:val="1"/>
      <w:numFmt w:val="bullet"/>
      <w:lvlText w:val=""/>
      <w:lvlJc w:val="left"/>
      <w:pPr>
        <w:tabs>
          <w:tab w:val="num" w:pos="5040"/>
        </w:tabs>
        <w:ind w:left="5040" w:hanging="360"/>
      </w:pPr>
      <w:rPr>
        <w:rFonts w:ascii="Wingdings" w:hAnsi="Wingdings" w:hint="default"/>
      </w:rPr>
    </w:lvl>
    <w:lvl w:ilvl="7" w:tplc="6A34E03E" w:tentative="1">
      <w:start w:val="1"/>
      <w:numFmt w:val="bullet"/>
      <w:lvlText w:val=""/>
      <w:lvlJc w:val="left"/>
      <w:pPr>
        <w:tabs>
          <w:tab w:val="num" w:pos="5760"/>
        </w:tabs>
        <w:ind w:left="5760" w:hanging="360"/>
      </w:pPr>
      <w:rPr>
        <w:rFonts w:ascii="Wingdings" w:hAnsi="Wingdings" w:hint="default"/>
      </w:rPr>
    </w:lvl>
    <w:lvl w:ilvl="8" w:tplc="2C9606A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2C"/>
    <w:rsid w:val="00004144"/>
    <w:rsid w:val="000055EB"/>
    <w:rsid w:val="00007BDE"/>
    <w:rsid w:val="00011773"/>
    <w:rsid w:val="00012DD9"/>
    <w:rsid w:val="00021D4E"/>
    <w:rsid w:val="00025267"/>
    <w:rsid w:val="00026B1B"/>
    <w:rsid w:val="0003261A"/>
    <w:rsid w:val="00034468"/>
    <w:rsid w:val="00041E65"/>
    <w:rsid w:val="00042B0D"/>
    <w:rsid w:val="00047A77"/>
    <w:rsid w:val="00051109"/>
    <w:rsid w:val="00051A25"/>
    <w:rsid w:val="00051DC3"/>
    <w:rsid w:val="0005517F"/>
    <w:rsid w:val="00055AF7"/>
    <w:rsid w:val="00055C77"/>
    <w:rsid w:val="00063A2E"/>
    <w:rsid w:val="00063DF3"/>
    <w:rsid w:val="00065268"/>
    <w:rsid w:val="000711A8"/>
    <w:rsid w:val="00072DBF"/>
    <w:rsid w:val="00074F51"/>
    <w:rsid w:val="00075CDE"/>
    <w:rsid w:val="0007625A"/>
    <w:rsid w:val="00080961"/>
    <w:rsid w:val="00085F3B"/>
    <w:rsid w:val="00092DF8"/>
    <w:rsid w:val="00095D42"/>
    <w:rsid w:val="000A16E3"/>
    <w:rsid w:val="000A4CCA"/>
    <w:rsid w:val="000A748B"/>
    <w:rsid w:val="000B376A"/>
    <w:rsid w:val="000C17CC"/>
    <w:rsid w:val="000C1E74"/>
    <w:rsid w:val="000D5450"/>
    <w:rsid w:val="000E2CBA"/>
    <w:rsid w:val="000E2D76"/>
    <w:rsid w:val="000E3ECD"/>
    <w:rsid w:val="000F5DDF"/>
    <w:rsid w:val="000F6A0C"/>
    <w:rsid w:val="00102F76"/>
    <w:rsid w:val="00103276"/>
    <w:rsid w:val="00104968"/>
    <w:rsid w:val="0011135E"/>
    <w:rsid w:val="001161DA"/>
    <w:rsid w:val="00117D5F"/>
    <w:rsid w:val="00130D71"/>
    <w:rsid w:val="00130FA4"/>
    <w:rsid w:val="00132207"/>
    <w:rsid w:val="00134155"/>
    <w:rsid w:val="00134998"/>
    <w:rsid w:val="00140BB9"/>
    <w:rsid w:val="00142B47"/>
    <w:rsid w:val="001513AF"/>
    <w:rsid w:val="00151BD9"/>
    <w:rsid w:val="00152F2E"/>
    <w:rsid w:val="00155A92"/>
    <w:rsid w:val="00164758"/>
    <w:rsid w:val="00165E74"/>
    <w:rsid w:val="00177EEF"/>
    <w:rsid w:val="001803EA"/>
    <w:rsid w:val="001810C0"/>
    <w:rsid w:val="0018195F"/>
    <w:rsid w:val="00182A47"/>
    <w:rsid w:val="001833CD"/>
    <w:rsid w:val="00183640"/>
    <w:rsid w:val="00184F8A"/>
    <w:rsid w:val="0018591A"/>
    <w:rsid w:val="00186550"/>
    <w:rsid w:val="001902E9"/>
    <w:rsid w:val="0019520B"/>
    <w:rsid w:val="00196B19"/>
    <w:rsid w:val="001A04A6"/>
    <w:rsid w:val="001A40EA"/>
    <w:rsid w:val="001A7C27"/>
    <w:rsid w:val="001B09CD"/>
    <w:rsid w:val="001B2276"/>
    <w:rsid w:val="001B358C"/>
    <w:rsid w:val="001B3A3C"/>
    <w:rsid w:val="001B4585"/>
    <w:rsid w:val="001C5B92"/>
    <w:rsid w:val="001D4387"/>
    <w:rsid w:val="001D61F5"/>
    <w:rsid w:val="001D7FD5"/>
    <w:rsid w:val="001E0D01"/>
    <w:rsid w:val="001E1220"/>
    <w:rsid w:val="001E730F"/>
    <w:rsid w:val="001F0A59"/>
    <w:rsid w:val="001F1304"/>
    <w:rsid w:val="001F14B5"/>
    <w:rsid w:val="001F30EC"/>
    <w:rsid w:val="001F5D27"/>
    <w:rsid w:val="001F7607"/>
    <w:rsid w:val="00200411"/>
    <w:rsid w:val="002017AF"/>
    <w:rsid w:val="00201AAD"/>
    <w:rsid w:val="00204201"/>
    <w:rsid w:val="00214775"/>
    <w:rsid w:val="00220C4F"/>
    <w:rsid w:val="002258A7"/>
    <w:rsid w:val="0022591B"/>
    <w:rsid w:val="0022642D"/>
    <w:rsid w:val="0022791B"/>
    <w:rsid w:val="0022798B"/>
    <w:rsid w:val="00230996"/>
    <w:rsid w:val="00235651"/>
    <w:rsid w:val="00242D11"/>
    <w:rsid w:val="00243AAE"/>
    <w:rsid w:val="00247048"/>
    <w:rsid w:val="002555E4"/>
    <w:rsid w:val="00256022"/>
    <w:rsid w:val="00256AAB"/>
    <w:rsid w:val="00260708"/>
    <w:rsid w:val="00266168"/>
    <w:rsid w:val="0026695F"/>
    <w:rsid w:val="002709AF"/>
    <w:rsid w:val="00272EF0"/>
    <w:rsid w:val="00281601"/>
    <w:rsid w:val="002817DF"/>
    <w:rsid w:val="00283082"/>
    <w:rsid w:val="0028435D"/>
    <w:rsid w:val="00290704"/>
    <w:rsid w:val="002931A3"/>
    <w:rsid w:val="0029354C"/>
    <w:rsid w:val="0029367B"/>
    <w:rsid w:val="002A0D80"/>
    <w:rsid w:val="002B4EDA"/>
    <w:rsid w:val="002B7493"/>
    <w:rsid w:val="002B7684"/>
    <w:rsid w:val="002C13F9"/>
    <w:rsid w:val="002C2BC1"/>
    <w:rsid w:val="002C5C31"/>
    <w:rsid w:val="002D0276"/>
    <w:rsid w:val="002D18DE"/>
    <w:rsid w:val="002D3D06"/>
    <w:rsid w:val="002D47A1"/>
    <w:rsid w:val="002D62D1"/>
    <w:rsid w:val="002D691D"/>
    <w:rsid w:val="002E02C8"/>
    <w:rsid w:val="002E0C51"/>
    <w:rsid w:val="002E1CFF"/>
    <w:rsid w:val="002E29D4"/>
    <w:rsid w:val="002F2FA5"/>
    <w:rsid w:val="002F582A"/>
    <w:rsid w:val="002F66FE"/>
    <w:rsid w:val="003012F1"/>
    <w:rsid w:val="00306176"/>
    <w:rsid w:val="00306880"/>
    <w:rsid w:val="00307CC1"/>
    <w:rsid w:val="00312900"/>
    <w:rsid w:val="003141DB"/>
    <w:rsid w:val="003147AF"/>
    <w:rsid w:val="00317E79"/>
    <w:rsid w:val="00320046"/>
    <w:rsid w:val="00320C56"/>
    <w:rsid w:val="00330EB8"/>
    <w:rsid w:val="00331CA5"/>
    <w:rsid w:val="00334941"/>
    <w:rsid w:val="00334A1E"/>
    <w:rsid w:val="0033582B"/>
    <w:rsid w:val="00336770"/>
    <w:rsid w:val="00340A8B"/>
    <w:rsid w:val="0034364E"/>
    <w:rsid w:val="003468EC"/>
    <w:rsid w:val="00347ADF"/>
    <w:rsid w:val="00347CBE"/>
    <w:rsid w:val="00360FCF"/>
    <w:rsid w:val="00361DE9"/>
    <w:rsid w:val="003628E0"/>
    <w:rsid w:val="003730CF"/>
    <w:rsid w:val="00384299"/>
    <w:rsid w:val="0039548C"/>
    <w:rsid w:val="003B5C50"/>
    <w:rsid w:val="003C0F84"/>
    <w:rsid w:val="003C106F"/>
    <w:rsid w:val="003C322B"/>
    <w:rsid w:val="003C4F3F"/>
    <w:rsid w:val="003C67F9"/>
    <w:rsid w:val="003C6C35"/>
    <w:rsid w:val="003C6EA6"/>
    <w:rsid w:val="003D0DDE"/>
    <w:rsid w:val="003D10A1"/>
    <w:rsid w:val="003D2C62"/>
    <w:rsid w:val="003D3B84"/>
    <w:rsid w:val="003D7097"/>
    <w:rsid w:val="003E102F"/>
    <w:rsid w:val="003E3F27"/>
    <w:rsid w:val="003E4285"/>
    <w:rsid w:val="003E497F"/>
    <w:rsid w:val="003E6151"/>
    <w:rsid w:val="003F2E36"/>
    <w:rsid w:val="003F6DC4"/>
    <w:rsid w:val="003F7512"/>
    <w:rsid w:val="004030C0"/>
    <w:rsid w:val="00405700"/>
    <w:rsid w:val="00405EFE"/>
    <w:rsid w:val="00410925"/>
    <w:rsid w:val="00426554"/>
    <w:rsid w:val="00427B7D"/>
    <w:rsid w:val="00435E2C"/>
    <w:rsid w:val="0044156C"/>
    <w:rsid w:val="00456263"/>
    <w:rsid w:val="004618C2"/>
    <w:rsid w:val="004627E5"/>
    <w:rsid w:val="00471B20"/>
    <w:rsid w:val="00473CF3"/>
    <w:rsid w:val="004746E5"/>
    <w:rsid w:val="00475886"/>
    <w:rsid w:val="00477C07"/>
    <w:rsid w:val="004814B8"/>
    <w:rsid w:val="00481EDE"/>
    <w:rsid w:val="00485132"/>
    <w:rsid w:val="004857B3"/>
    <w:rsid w:val="00487427"/>
    <w:rsid w:val="004906D3"/>
    <w:rsid w:val="00490E3F"/>
    <w:rsid w:val="00493110"/>
    <w:rsid w:val="0049408F"/>
    <w:rsid w:val="00495E31"/>
    <w:rsid w:val="004A11D4"/>
    <w:rsid w:val="004A58BF"/>
    <w:rsid w:val="004A63DC"/>
    <w:rsid w:val="004A6EE2"/>
    <w:rsid w:val="004B10B8"/>
    <w:rsid w:val="004B16F9"/>
    <w:rsid w:val="004B3713"/>
    <w:rsid w:val="004B41D6"/>
    <w:rsid w:val="004B5952"/>
    <w:rsid w:val="004B71A7"/>
    <w:rsid w:val="004C00A8"/>
    <w:rsid w:val="004C37CC"/>
    <w:rsid w:val="004C45BB"/>
    <w:rsid w:val="004D3FED"/>
    <w:rsid w:val="004D45EB"/>
    <w:rsid w:val="004D4A42"/>
    <w:rsid w:val="004E0C08"/>
    <w:rsid w:val="004E1E52"/>
    <w:rsid w:val="004E2CF0"/>
    <w:rsid w:val="004E2F6F"/>
    <w:rsid w:val="004E37EB"/>
    <w:rsid w:val="004E4E91"/>
    <w:rsid w:val="004F0F80"/>
    <w:rsid w:val="004F5F12"/>
    <w:rsid w:val="004F6D16"/>
    <w:rsid w:val="00511394"/>
    <w:rsid w:val="005116FE"/>
    <w:rsid w:val="00513EA4"/>
    <w:rsid w:val="005142D1"/>
    <w:rsid w:val="00515161"/>
    <w:rsid w:val="00516EDB"/>
    <w:rsid w:val="00522113"/>
    <w:rsid w:val="0052284C"/>
    <w:rsid w:val="005238CF"/>
    <w:rsid w:val="00523D21"/>
    <w:rsid w:val="00535591"/>
    <w:rsid w:val="00540BAE"/>
    <w:rsid w:val="005413FA"/>
    <w:rsid w:val="005415D2"/>
    <w:rsid w:val="00544C70"/>
    <w:rsid w:val="00544E15"/>
    <w:rsid w:val="005455B0"/>
    <w:rsid w:val="0055036A"/>
    <w:rsid w:val="00550E21"/>
    <w:rsid w:val="005515AE"/>
    <w:rsid w:val="005557F6"/>
    <w:rsid w:val="00556B2C"/>
    <w:rsid w:val="00557614"/>
    <w:rsid w:val="00561874"/>
    <w:rsid w:val="00564C13"/>
    <w:rsid w:val="00565131"/>
    <w:rsid w:val="00565E82"/>
    <w:rsid w:val="00570626"/>
    <w:rsid w:val="00570B07"/>
    <w:rsid w:val="00572027"/>
    <w:rsid w:val="00573A29"/>
    <w:rsid w:val="00573E0C"/>
    <w:rsid w:val="00576159"/>
    <w:rsid w:val="00587CB1"/>
    <w:rsid w:val="005902D7"/>
    <w:rsid w:val="0059574A"/>
    <w:rsid w:val="005A12E8"/>
    <w:rsid w:val="005A4CDD"/>
    <w:rsid w:val="005A55F6"/>
    <w:rsid w:val="005A6FF5"/>
    <w:rsid w:val="005B0BE9"/>
    <w:rsid w:val="005B19D3"/>
    <w:rsid w:val="005B3029"/>
    <w:rsid w:val="005B4B7C"/>
    <w:rsid w:val="005C06CD"/>
    <w:rsid w:val="005C0D7B"/>
    <w:rsid w:val="005C28BC"/>
    <w:rsid w:val="005C2AD5"/>
    <w:rsid w:val="005C5A24"/>
    <w:rsid w:val="005D0448"/>
    <w:rsid w:val="005D17F0"/>
    <w:rsid w:val="005D228B"/>
    <w:rsid w:val="005D60C4"/>
    <w:rsid w:val="005F128E"/>
    <w:rsid w:val="005F378A"/>
    <w:rsid w:val="005F60A8"/>
    <w:rsid w:val="0060268C"/>
    <w:rsid w:val="00603346"/>
    <w:rsid w:val="00605393"/>
    <w:rsid w:val="00606D65"/>
    <w:rsid w:val="006163E0"/>
    <w:rsid w:val="00622F9C"/>
    <w:rsid w:val="00623B84"/>
    <w:rsid w:val="00624BF2"/>
    <w:rsid w:val="00626F2F"/>
    <w:rsid w:val="006304C4"/>
    <w:rsid w:val="00632CED"/>
    <w:rsid w:val="00634D8F"/>
    <w:rsid w:val="00635552"/>
    <w:rsid w:val="00637BF9"/>
    <w:rsid w:val="00640633"/>
    <w:rsid w:val="00641FD6"/>
    <w:rsid w:val="00647431"/>
    <w:rsid w:val="0065645D"/>
    <w:rsid w:val="00663B7C"/>
    <w:rsid w:val="00663F8E"/>
    <w:rsid w:val="006668A4"/>
    <w:rsid w:val="00672EA0"/>
    <w:rsid w:val="00674452"/>
    <w:rsid w:val="00682146"/>
    <w:rsid w:val="0068703A"/>
    <w:rsid w:val="0069194B"/>
    <w:rsid w:val="006927C5"/>
    <w:rsid w:val="00696FFD"/>
    <w:rsid w:val="006A0A75"/>
    <w:rsid w:val="006A1124"/>
    <w:rsid w:val="006A7C0F"/>
    <w:rsid w:val="006B032C"/>
    <w:rsid w:val="006B289A"/>
    <w:rsid w:val="006B4AAE"/>
    <w:rsid w:val="006B59B8"/>
    <w:rsid w:val="006B6AFA"/>
    <w:rsid w:val="006C3B32"/>
    <w:rsid w:val="006C439D"/>
    <w:rsid w:val="006C443E"/>
    <w:rsid w:val="006C5233"/>
    <w:rsid w:val="006D10FC"/>
    <w:rsid w:val="006D1841"/>
    <w:rsid w:val="006D2B82"/>
    <w:rsid w:val="006D3331"/>
    <w:rsid w:val="006D57DA"/>
    <w:rsid w:val="006D5B5D"/>
    <w:rsid w:val="006D612C"/>
    <w:rsid w:val="006E4F0C"/>
    <w:rsid w:val="006F097E"/>
    <w:rsid w:val="006F0A99"/>
    <w:rsid w:val="006F2F61"/>
    <w:rsid w:val="006F3245"/>
    <w:rsid w:val="006F39A3"/>
    <w:rsid w:val="006F6608"/>
    <w:rsid w:val="006F7105"/>
    <w:rsid w:val="00703DCB"/>
    <w:rsid w:val="00705AE2"/>
    <w:rsid w:val="00713008"/>
    <w:rsid w:val="00714496"/>
    <w:rsid w:val="00716F3E"/>
    <w:rsid w:val="007172C9"/>
    <w:rsid w:val="007231BC"/>
    <w:rsid w:val="007277C6"/>
    <w:rsid w:val="0073266D"/>
    <w:rsid w:val="00732D27"/>
    <w:rsid w:val="00736DE0"/>
    <w:rsid w:val="00741278"/>
    <w:rsid w:val="007429FC"/>
    <w:rsid w:val="007477D2"/>
    <w:rsid w:val="00751351"/>
    <w:rsid w:val="00751A85"/>
    <w:rsid w:val="00752C36"/>
    <w:rsid w:val="0075582F"/>
    <w:rsid w:val="0075642A"/>
    <w:rsid w:val="00760EF7"/>
    <w:rsid w:val="00765FA4"/>
    <w:rsid w:val="00766073"/>
    <w:rsid w:val="00772DB6"/>
    <w:rsid w:val="00777423"/>
    <w:rsid w:val="00782947"/>
    <w:rsid w:val="00784B69"/>
    <w:rsid w:val="007868CC"/>
    <w:rsid w:val="0078737D"/>
    <w:rsid w:val="007907C8"/>
    <w:rsid w:val="00790F8C"/>
    <w:rsid w:val="00791033"/>
    <w:rsid w:val="00791C82"/>
    <w:rsid w:val="00795E79"/>
    <w:rsid w:val="007A70DF"/>
    <w:rsid w:val="007B01B7"/>
    <w:rsid w:val="007B2BFC"/>
    <w:rsid w:val="007C26B9"/>
    <w:rsid w:val="007C4B22"/>
    <w:rsid w:val="007C6AC2"/>
    <w:rsid w:val="007D1D9B"/>
    <w:rsid w:val="007D2524"/>
    <w:rsid w:val="007D3245"/>
    <w:rsid w:val="007D5461"/>
    <w:rsid w:val="007D6A22"/>
    <w:rsid w:val="007D6CB5"/>
    <w:rsid w:val="007E0340"/>
    <w:rsid w:val="007E2C72"/>
    <w:rsid w:val="007E50A4"/>
    <w:rsid w:val="007E6722"/>
    <w:rsid w:val="007E75A3"/>
    <w:rsid w:val="007F1042"/>
    <w:rsid w:val="007F43A2"/>
    <w:rsid w:val="007F478D"/>
    <w:rsid w:val="0080070A"/>
    <w:rsid w:val="008020D9"/>
    <w:rsid w:val="00804A08"/>
    <w:rsid w:val="0081038D"/>
    <w:rsid w:val="008139C2"/>
    <w:rsid w:val="00817C51"/>
    <w:rsid w:val="00822E84"/>
    <w:rsid w:val="00824FCC"/>
    <w:rsid w:val="00827B9B"/>
    <w:rsid w:val="0083068A"/>
    <w:rsid w:val="00833059"/>
    <w:rsid w:val="008338F8"/>
    <w:rsid w:val="008411F9"/>
    <w:rsid w:val="008421B3"/>
    <w:rsid w:val="00842372"/>
    <w:rsid w:val="0084289F"/>
    <w:rsid w:val="00853183"/>
    <w:rsid w:val="00854F7F"/>
    <w:rsid w:val="00855D91"/>
    <w:rsid w:val="00856451"/>
    <w:rsid w:val="00857514"/>
    <w:rsid w:val="00860243"/>
    <w:rsid w:val="00862E9B"/>
    <w:rsid w:val="008630B6"/>
    <w:rsid w:val="0086326E"/>
    <w:rsid w:val="008713E9"/>
    <w:rsid w:val="00874CA0"/>
    <w:rsid w:val="00876DE3"/>
    <w:rsid w:val="00884EB5"/>
    <w:rsid w:val="00886052"/>
    <w:rsid w:val="00886F98"/>
    <w:rsid w:val="0089088E"/>
    <w:rsid w:val="0089183E"/>
    <w:rsid w:val="00893239"/>
    <w:rsid w:val="008938AC"/>
    <w:rsid w:val="00893E8C"/>
    <w:rsid w:val="008B140D"/>
    <w:rsid w:val="008B6267"/>
    <w:rsid w:val="008C305A"/>
    <w:rsid w:val="008C3335"/>
    <w:rsid w:val="008C5C8E"/>
    <w:rsid w:val="008D5682"/>
    <w:rsid w:val="008E08F8"/>
    <w:rsid w:val="008E5933"/>
    <w:rsid w:val="008E605C"/>
    <w:rsid w:val="008E611A"/>
    <w:rsid w:val="008F0BBA"/>
    <w:rsid w:val="008F5EA6"/>
    <w:rsid w:val="009010FC"/>
    <w:rsid w:val="00901B60"/>
    <w:rsid w:val="00902FCA"/>
    <w:rsid w:val="00903EAB"/>
    <w:rsid w:val="009054B8"/>
    <w:rsid w:val="00911FEA"/>
    <w:rsid w:val="0091412C"/>
    <w:rsid w:val="00915E34"/>
    <w:rsid w:val="00916911"/>
    <w:rsid w:val="00926524"/>
    <w:rsid w:val="009321EF"/>
    <w:rsid w:val="009361D7"/>
    <w:rsid w:val="00936607"/>
    <w:rsid w:val="0093700E"/>
    <w:rsid w:val="009409B6"/>
    <w:rsid w:val="009520CD"/>
    <w:rsid w:val="00956435"/>
    <w:rsid w:val="00957224"/>
    <w:rsid w:val="0096027E"/>
    <w:rsid w:val="00960710"/>
    <w:rsid w:val="00964195"/>
    <w:rsid w:val="00964DBB"/>
    <w:rsid w:val="0097187F"/>
    <w:rsid w:val="009729F1"/>
    <w:rsid w:val="009760F5"/>
    <w:rsid w:val="00976C3E"/>
    <w:rsid w:val="00985742"/>
    <w:rsid w:val="009857E9"/>
    <w:rsid w:val="0098601C"/>
    <w:rsid w:val="00990ECE"/>
    <w:rsid w:val="009A13AA"/>
    <w:rsid w:val="009A1F98"/>
    <w:rsid w:val="009A282C"/>
    <w:rsid w:val="009A2C08"/>
    <w:rsid w:val="009A7DFE"/>
    <w:rsid w:val="009B3882"/>
    <w:rsid w:val="009B4CD2"/>
    <w:rsid w:val="009C0379"/>
    <w:rsid w:val="009C130B"/>
    <w:rsid w:val="009C32F1"/>
    <w:rsid w:val="009C6903"/>
    <w:rsid w:val="009C732C"/>
    <w:rsid w:val="009C7545"/>
    <w:rsid w:val="009D0F1D"/>
    <w:rsid w:val="009D45E0"/>
    <w:rsid w:val="009E20F5"/>
    <w:rsid w:val="009E6BDB"/>
    <w:rsid w:val="009E6F71"/>
    <w:rsid w:val="009F2374"/>
    <w:rsid w:val="009F44FE"/>
    <w:rsid w:val="00A00637"/>
    <w:rsid w:val="00A07426"/>
    <w:rsid w:val="00A07437"/>
    <w:rsid w:val="00A1022D"/>
    <w:rsid w:val="00A10474"/>
    <w:rsid w:val="00A120EF"/>
    <w:rsid w:val="00A131E0"/>
    <w:rsid w:val="00A13634"/>
    <w:rsid w:val="00A167F5"/>
    <w:rsid w:val="00A20AAE"/>
    <w:rsid w:val="00A2389D"/>
    <w:rsid w:val="00A23959"/>
    <w:rsid w:val="00A314B2"/>
    <w:rsid w:val="00A32A55"/>
    <w:rsid w:val="00A40454"/>
    <w:rsid w:val="00A47F2E"/>
    <w:rsid w:val="00A51CC0"/>
    <w:rsid w:val="00A549A7"/>
    <w:rsid w:val="00A55C50"/>
    <w:rsid w:val="00A66CCD"/>
    <w:rsid w:val="00A66CE9"/>
    <w:rsid w:val="00A67F77"/>
    <w:rsid w:val="00A71870"/>
    <w:rsid w:val="00A72848"/>
    <w:rsid w:val="00A82CB4"/>
    <w:rsid w:val="00A84BBF"/>
    <w:rsid w:val="00A85382"/>
    <w:rsid w:val="00A877D2"/>
    <w:rsid w:val="00A9152F"/>
    <w:rsid w:val="00A96325"/>
    <w:rsid w:val="00AA24BB"/>
    <w:rsid w:val="00AA2683"/>
    <w:rsid w:val="00AA2DF4"/>
    <w:rsid w:val="00AA3DF1"/>
    <w:rsid w:val="00AA3F64"/>
    <w:rsid w:val="00AB0796"/>
    <w:rsid w:val="00AB15A1"/>
    <w:rsid w:val="00AB3532"/>
    <w:rsid w:val="00AB435A"/>
    <w:rsid w:val="00AC6462"/>
    <w:rsid w:val="00AC70A1"/>
    <w:rsid w:val="00AD0A72"/>
    <w:rsid w:val="00AD5C88"/>
    <w:rsid w:val="00AE712A"/>
    <w:rsid w:val="00AF12D8"/>
    <w:rsid w:val="00AF47EA"/>
    <w:rsid w:val="00AF51D7"/>
    <w:rsid w:val="00B0188F"/>
    <w:rsid w:val="00B1581C"/>
    <w:rsid w:val="00B15BB9"/>
    <w:rsid w:val="00B17307"/>
    <w:rsid w:val="00B2147D"/>
    <w:rsid w:val="00B234BC"/>
    <w:rsid w:val="00B240FE"/>
    <w:rsid w:val="00B26AEE"/>
    <w:rsid w:val="00B2713A"/>
    <w:rsid w:val="00B27BE8"/>
    <w:rsid w:val="00B404FB"/>
    <w:rsid w:val="00B40B2E"/>
    <w:rsid w:val="00B41656"/>
    <w:rsid w:val="00B4211D"/>
    <w:rsid w:val="00B42C53"/>
    <w:rsid w:val="00B45A7D"/>
    <w:rsid w:val="00B4747D"/>
    <w:rsid w:val="00B54E64"/>
    <w:rsid w:val="00B57AAE"/>
    <w:rsid w:val="00B604C8"/>
    <w:rsid w:val="00B60786"/>
    <w:rsid w:val="00B60816"/>
    <w:rsid w:val="00B60B2F"/>
    <w:rsid w:val="00B61E14"/>
    <w:rsid w:val="00B65726"/>
    <w:rsid w:val="00B82803"/>
    <w:rsid w:val="00B87DB1"/>
    <w:rsid w:val="00B90B56"/>
    <w:rsid w:val="00B9269A"/>
    <w:rsid w:val="00B97E3E"/>
    <w:rsid w:val="00BA21BF"/>
    <w:rsid w:val="00BA2F51"/>
    <w:rsid w:val="00BA70FC"/>
    <w:rsid w:val="00BB39F4"/>
    <w:rsid w:val="00BC106A"/>
    <w:rsid w:val="00BC24CE"/>
    <w:rsid w:val="00BC44A2"/>
    <w:rsid w:val="00BC46B3"/>
    <w:rsid w:val="00BD10AB"/>
    <w:rsid w:val="00BD422E"/>
    <w:rsid w:val="00BD6F9A"/>
    <w:rsid w:val="00BE52E0"/>
    <w:rsid w:val="00BE610D"/>
    <w:rsid w:val="00BF19C4"/>
    <w:rsid w:val="00BF309F"/>
    <w:rsid w:val="00BF7EFE"/>
    <w:rsid w:val="00BF7F20"/>
    <w:rsid w:val="00C00DA7"/>
    <w:rsid w:val="00C02441"/>
    <w:rsid w:val="00C03C81"/>
    <w:rsid w:val="00C05E38"/>
    <w:rsid w:val="00C103D8"/>
    <w:rsid w:val="00C10793"/>
    <w:rsid w:val="00C145ED"/>
    <w:rsid w:val="00C20181"/>
    <w:rsid w:val="00C21F08"/>
    <w:rsid w:val="00C2389D"/>
    <w:rsid w:val="00C268B1"/>
    <w:rsid w:val="00C31ADB"/>
    <w:rsid w:val="00C32326"/>
    <w:rsid w:val="00C34FB1"/>
    <w:rsid w:val="00C36B82"/>
    <w:rsid w:val="00C5114D"/>
    <w:rsid w:val="00C51196"/>
    <w:rsid w:val="00C52943"/>
    <w:rsid w:val="00C56FA1"/>
    <w:rsid w:val="00C61FC8"/>
    <w:rsid w:val="00C63B50"/>
    <w:rsid w:val="00C64522"/>
    <w:rsid w:val="00C67903"/>
    <w:rsid w:val="00C70A3C"/>
    <w:rsid w:val="00C71064"/>
    <w:rsid w:val="00C73C95"/>
    <w:rsid w:val="00C91F4A"/>
    <w:rsid w:val="00C95A6E"/>
    <w:rsid w:val="00C97909"/>
    <w:rsid w:val="00CA51C7"/>
    <w:rsid w:val="00CA756B"/>
    <w:rsid w:val="00CB384A"/>
    <w:rsid w:val="00CC7345"/>
    <w:rsid w:val="00CD2E9C"/>
    <w:rsid w:val="00CE0116"/>
    <w:rsid w:val="00CE211A"/>
    <w:rsid w:val="00CE6BCF"/>
    <w:rsid w:val="00CE6BEB"/>
    <w:rsid w:val="00CE72F8"/>
    <w:rsid w:val="00CF0577"/>
    <w:rsid w:val="00CF6A7F"/>
    <w:rsid w:val="00CF743F"/>
    <w:rsid w:val="00D1365E"/>
    <w:rsid w:val="00D13D2A"/>
    <w:rsid w:val="00D22FA0"/>
    <w:rsid w:val="00D23421"/>
    <w:rsid w:val="00D276D2"/>
    <w:rsid w:val="00D27F30"/>
    <w:rsid w:val="00D33DA4"/>
    <w:rsid w:val="00D36C23"/>
    <w:rsid w:val="00D37EEB"/>
    <w:rsid w:val="00D42B2B"/>
    <w:rsid w:val="00D506A9"/>
    <w:rsid w:val="00D55C31"/>
    <w:rsid w:val="00D567CF"/>
    <w:rsid w:val="00D607AB"/>
    <w:rsid w:val="00D64F48"/>
    <w:rsid w:val="00D66C17"/>
    <w:rsid w:val="00D67CF6"/>
    <w:rsid w:val="00D90183"/>
    <w:rsid w:val="00D91BE2"/>
    <w:rsid w:val="00D93708"/>
    <w:rsid w:val="00D94872"/>
    <w:rsid w:val="00D97FBC"/>
    <w:rsid w:val="00DB08F5"/>
    <w:rsid w:val="00DB4DF8"/>
    <w:rsid w:val="00DB5251"/>
    <w:rsid w:val="00DC0BB8"/>
    <w:rsid w:val="00DC43AE"/>
    <w:rsid w:val="00DC4F6C"/>
    <w:rsid w:val="00DC6D5A"/>
    <w:rsid w:val="00DC6F5A"/>
    <w:rsid w:val="00DD11CE"/>
    <w:rsid w:val="00DD260B"/>
    <w:rsid w:val="00DD4A8E"/>
    <w:rsid w:val="00DD639C"/>
    <w:rsid w:val="00DE55D7"/>
    <w:rsid w:val="00DE674B"/>
    <w:rsid w:val="00DE7B58"/>
    <w:rsid w:val="00DF2343"/>
    <w:rsid w:val="00DF46AE"/>
    <w:rsid w:val="00E04AA1"/>
    <w:rsid w:val="00E051CC"/>
    <w:rsid w:val="00E07100"/>
    <w:rsid w:val="00E0793E"/>
    <w:rsid w:val="00E07F01"/>
    <w:rsid w:val="00E1000C"/>
    <w:rsid w:val="00E128F9"/>
    <w:rsid w:val="00E13F08"/>
    <w:rsid w:val="00E2042D"/>
    <w:rsid w:val="00E27203"/>
    <w:rsid w:val="00E30771"/>
    <w:rsid w:val="00E328C4"/>
    <w:rsid w:val="00E377A5"/>
    <w:rsid w:val="00E45E91"/>
    <w:rsid w:val="00E46B79"/>
    <w:rsid w:val="00E5073D"/>
    <w:rsid w:val="00E54C37"/>
    <w:rsid w:val="00E55052"/>
    <w:rsid w:val="00E62E23"/>
    <w:rsid w:val="00E64D01"/>
    <w:rsid w:val="00E66149"/>
    <w:rsid w:val="00E70722"/>
    <w:rsid w:val="00E7156C"/>
    <w:rsid w:val="00E7620F"/>
    <w:rsid w:val="00E76AA8"/>
    <w:rsid w:val="00E77D28"/>
    <w:rsid w:val="00E861A5"/>
    <w:rsid w:val="00E90561"/>
    <w:rsid w:val="00E92C7A"/>
    <w:rsid w:val="00E93075"/>
    <w:rsid w:val="00E942D8"/>
    <w:rsid w:val="00EA2FDE"/>
    <w:rsid w:val="00EA53F0"/>
    <w:rsid w:val="00EB700B"/>
    <w:rsid w:val="00EC05F8"/>
    <w:rsid w:val="00EC71FC"/>
    <w:rsid w:val="00ED4909"/>
    <w:rsid w:val="00EE13A7"/>
    <w:rsid w:val="00EF1C42"/>
    <w:rsid w:val="00EF228C"/>
    <w:rsid w:val="00EF25FD"/>
    <w:rsid w:val="00EF5084"/>
    <w:rsid w:val="00EF69BD"/>
    <w:rsid w:val="00EF6AC7"/>
    <w:rsid w:val="00F026EC"/>
    <w:rsid w:val="00F02CC9"/>
    <w:rsid w:val="00F10B4D"/>
    <w:rsid w:val="00F11EFF"/>
    <w:rsid w:val="00F13BDB"/>
    <w:rsid w:val="00F14C79"/>
    <w:rsid w:val="00F171FF"/>
    <w:rsid w:val="00F21E55"/>
    <w:rsid w:val="00F22375"/>
    <w:rsid w:val="00F223CC"/>
    <w:rsid w:val="00F22ADD"/>
    <w:rsid w:val="00F24058"/>
    <w:rsid w:val="00F25EED"/>
    <w:rsid w:val="00F27593"/>
    <w:rsid w:val="00F3157D"/>
    <w:rsid w:val="00F3462E"/>
    <w:rsid w:val="00F426F3"/>
    <w:rsid w:val="00F42A0B"/>
    <w:rsid w:val="00F44F30"/>
    <w:rsid w:val="00F464B7"/>
    <w:rsid w:val="00F51696"/>
    <w:rsid w:val="00F5228E"/>
    <w:rsid w:val="00F54F8E"/>
    <w:rsid w:val="00F56055"/>
    <w:rsid w:val="00F61E62"/>
    <w:rsid w:val="00F6614B"/>
    <w:rsid w:val="00F66A25"/>
    <w:rsid w:val="00F676B8"/>
    <w:rsid w:val="00F73424"/>
    <w:rsid w:val="00F74999"/>
    <w:rsid w:val="00F75E98"/>
    <w:rsid w:val="00F7708D"/>
    <w:rsid w:val="00F810AF"/>
    <w:rsid w:val="00F8337D"/>
    <w:rsid w:val="00F8789A"/>
    <w:rsid w:val="00F90FA8"/>
    <w:rsid w:val="00FA43E8"/>
    <w:rsid w:val="00FA4CF0"/>
    <w:rsid w:val="00FA5656"/>
    <w:rsid w:val="00FB126C"/>
    <w:rsid w:val="00FB20C7"/>
    <w:rsid w:val="00FB231B"/>
    <w:rsid w:val="00FB3924"/>
    <w:rsid w:val="00FB7E32"/>
    <w:rsid w:val="00FC11F6"/>
    <w:rsid w:val="00FC130C"/>
    <w:rsid w:val="00FC25AD"/>
    <w:rsid w:val="00FC2D43"/>
    <w:rsid w:val="00FD0691"/>
    <w:rsid w:val="00FD67D8"/>
    <w:rsid w:val="00FE05C9"/>
    <w:rsid w:val="00FE1456"/>
    <w:rsid w:val="00FE6ED5"/>
    <w:rsid w:val="00FF05DD"/>
    <w:rsid w:val="00FF3100"/>
    <w:rsid w:val="00FF36B9"/>
    <w:rsid w:val="00FF3CBB"/>
    <w:rsid w:val="00FF5AAA"/>
    <w:rsid w:val="00FF6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65258"/>
  <w15:docId w15:val="{D17D5419-D9E5-4030-8C22-C8C8338A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spacing w:before="100" w:after="100"/>
      <w:outlineLvl w:val="2"/>
    </w:pPr>
    <w:rPr>
      <w:rFonts w:ascii="Times" w:eastAsia="Times" w:hAnsi="Times" w:cs="Times"/>
      <w:b/>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2931A3"/>
  </w:style>
  <w:style w:type="character" w:customStyle="1" w:styleId="FootnoteTextChar">
    <w:name w:val="Footnote Text Char"/>
    <w:basedOn w:val="DefaultParagraphFont"/>
    <w:link w:val="FootnoteText"/>
    <w:uiPriority w:val="99"/>
    <w:rsid w:val="002931A3"/>
  </w:style>
  <w:style w:type="character" w:styleId="FootnoteReference">
    <w:name w:val="footnote reference"/>
    <w:basedOn w:val="DefaultParagraphFont"/>
    <w:unhideWhenUsed/>
    <w:rsid w:val="002931A3"/>
    <w:rPr>
      <w:vertAlign w:val="superscript"/>
    </w:rPr>
  </w:style>
  <w:style w:type="character" w:styleId="Hyperlink">
    <w:name w:val="Hyperlink"/>
    <w:basedOn w:val="DefaultParagraphFont"/>
    <w:uiPriority w:val="99"/>
    <w:unhideWhenUsed/>
    <w:rsid w:val="002B7493"/>
    <w:rPr>
      <w:color w:val="0000FF"/>
      <w:u w:val="single"/>
    </w:rPr>
  </w:style>
  <w:style w:type="paragraph" w:styleId="EndnoteText">
    <w:name w:val="endnote text"/>
    <w:basedOn w:val="Normal"/>
    <w:link w:val="EndnoteTextChar"/>
    <w:uiPriority w:val="99"/>
    <w:unhideWhenUsed/>
    <w:rsid w:val="008E605C"/>
  </w:style>
  <w:style w:type="character" w:customStyle="1" w:styleId="EndnoteTextChar">
    <w:name w:val="Endnote Text Char"/>
    <w:basedOn w:val="DefaultParagraphFont"/>
    <w:link w:val="EndnoteText"/>
    <w:uiPriority w:val="99"/>
    <w:rsid w:val="008E605C"/>
  </w:style>
  <w:style w:type="character" w:styleId="EndnoteReference">
    <w:name w:val="endnote reference"/>
    <w:basedOn w:val="DefaultParagraphFont"/>
    <w:uiPriority w:val="99"/>
    <w:unhideWhenUsed/>
    <w:rsid w:val="008E605C"/>
    <w:rPr>
      <w:vertAlign w:val="superscript"/>
    </w:rPr>
  </w:style>
  <w:style w:type="character" w:styleId="CommentReference">
    <w:name w:val="annotation reference"/>
    <w:basedOn w:val="DefaultParagraphFont"/>
    <w:uiPriority w:val="99"/>
    <w:semiHidden/>
    <w:unhideWhenUsed/>
    <w:rsid w:val="004F5F12"/>
    <w:rPr>
      <w:sz w:val="16"/>
      <w:szCs w:val="16"/>
    </w:rPr>
  </w:style>
  <w:style w:type="paragraph" w:styleId="CommentText">
    <w:name w:val="annotation text"/>
    <w:basedOn w:val="Normal"/>
    <w:link w:val="CommentTextChar"/>
    <w:uiPriority w:val="99"/>
    <w:semiHidden/>
    <w:unhideWhenUsed/>
    <w:rsid w:val="004F5F12"/>
    <w:rPr>
      <w:sz w:val="20"/>
      <w:szCs w:val="20"/>
    </w:rPr>
  </w:style>
  <w:style w:type="character" w:customStyle="1" w:styleId="CommentTextChar">
    <w:name w:val="Comment Text Char"/>
    <w:basedOn w:val="DefaultParagraphFont"/>
    <w:link w:val="CommentText"/>
    <w:uiPriority w:val="99"/>
    <w:semiHidden/>
    <w:rsid w:val="004F5F12"/>
    <w:rPr>
      <w:sz w:val="20"/>
      <w:szCs w:val="20"/>
    </w:rPr>
  </w:style>
  <w:style w:type="paragraph" w:styleId="CommentSubject">
    <w:name w:val="annotation subject"/>
    <w:basedOn w:val="CommentText"/>
    <w:next w:val="CommentText"/>
    <w:link w:val="CommentSubjectChar"/>
    <w:uiPriority w:val="99"/>
    <w:semiHidden/>
    <w:unhideWhenUsed/>
    <w:rsid w:val="004F5F12"/>
    <w:rPr>
      <w:b/>
      <w:bCs/>
    </w:rPr>
  </w:style>
  <w:style w:type="character" w:customStyle="1" w:styleId="CommentSubjectChar">
    <w:name w:val="Comment Subject Char"/>
    <w:basedOn w:val="CommentTextChar"/>
    <w:link w:val="CommentSubject"/>
    <w:uiPriority w:val="99"/>
    <w:semiHidden/>
    <w:rsid w:val="004F5F12"/>
    <w:rPr>
      <w:b/>
      <w:bCs/>
      <w:sz w:val="20"/>
      <w:szCs w:val="20"/>
    </w:rPr>
  </w:style>
  <w:style w:type="paragraph" w:styleId="BalloonText">
    <w:name w:val="Balloon Text"/>
    <w:basedOn w:val="Normal"/>
    <w:link w:val="BalloonTextChar"/>
    <w:uiPriority w:val="99"/>
    <w:semiHidden/>
    <w:unhideWhenUsed/>
    <w:rsid w:val="004F5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12"/>
    <w:rPr>
      <w:rFonts w:ascii="Segoe UI" w:hAnsi="Segoe UI" w:cs="Segoe UI"/>
      <w:sz w:val="18"/>
      <w:szCs w:val="18"/>
    </w:rPr>
  </w:style>
  <w:style w:type="paragraph" w:styleId="ListParagraph">
    <w:name w:val="List Paragraph"/>
    <w:basedOn w:val="Normal"/>
    <w:uiPriority w:val="34"/>
    <w:qFormat/>
    <w:rsid w:val="00065268"/>
    <w:pPr>
      <w:spacing w:after="200" w:line="276" w:lineRule="auto"/>
      <w:ind w:left="720"/>
      <w:contextualSpacing/>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6B289A"/>
    <w:rPr>
      <w:color w:val="605E5C"/>
      <w:shd w:val="clear" w:color="auto" w:fill="E1DFDD"/>
    </w:rPr>
  </w:style>
  <w:style w:type="character" w:customStyle="1" w:styleId="highwire-cite-journal">
    <w:name w:val="highwire-cite-journal"/>
    <w:basedOn w:val="DefaultParagraphFont"/>
    <w:rsid w:val="00AC6462"/>
  </w:style>
  <w:style w:type="character" w:customStyle="1" w:styleId="highwire-cite-published-year">
    <w:name w:val="highwire-cite-published-year"/>
    <w:basedOn w:val="DefaultParagraphFont"/>
    <w:rsid w:val="00AC6462"/>
  </w:style>
  <w:style w:type="character" w:customStyle="1" w:styleId="highwire-cite-volume-issue">
    <w:name w:val="highwire-cite-volume-issue"/>
    <w:basedOn w:val="DefaultParagraphFont"/>
    <w:rsid w:val="00AC6462"/>
  </w:style>
  <w:style w:type="paragraph" w:styleId="Header">
    <w:name w:val="header"/>
    <w:basedOn w:val="Normal"/>
    <w:link w:val="HeaderChar"/>
    <w:uiPriority w:val="99"/>
    <w:unhideWhenUsed/>
    <w:rsid w:val="001161DA"/>
    <w:pPr>
      <w:tabs>
        <w:tab w:val="center" w:pos="4513"/>
        <w:tab w:val="right" w:pos="9026"/>
      </w:tabs>
    </w:pPr>
  </w:style>
  <w:style w:type="character" w:customStyle="1" w:styleId="HeaderChar">
    <w:name w:val="Header Char"/>
    <w:basedOn w:val="DefaultParagraphFont"/>
    <w:link w:val="Header"/>
    <w:uiPriority w:val="99"/>
    <w:rsid w:val="001161DA"/>
  </w:style>
  <w:style w:type="paragraph" w:styleId="Footer">
    <w:name w:val="footer"/>
    <w:basedOn w:val="Normal"/>
    <w:link w:val="FooterChar"/>
    <w:uiPriority w:val="99"/>
    <w:unhideWhenUsed/>
    <w:rsid w:val="001161DA"/>
    <w:pPr>
      <w:tabs>
        <w:tab w:val="center" w:pos="4513"/>
        <w:tab w:val="right" w:pos="9026"/>
      </w:tabs>
    </w:pPr>
  </w:style>
  <w:style w:type="character" w:customStyle="1" w:styleId="FooterChar">
    <w:name w:val="Footer Char"/>
    <w:basedOn w:val="DefaultParagraphFont"/>
    <w:link w:val="Footer"/>
    <w:uiPriority w:val="99"/>
    <w:rsid w:val="001161DA"/>
  </w:style>
  <w:style w:type="paragraph" w:styleId="Revision">
    <w:name w:val="Revision"/>
    <w:hidden/>
    <w:uiPriority w:val="99"/>
    <w:semiHidden/>
    <w:rsid w:val="002C5C31"/>
  </w:style>
  <w:style w:type="character" w:customStyle="1" w:styleId="apple-converted-space">
    <w:name w:val="apple-converted-space"/>
    <w:basedOn w:val="DefaultParagraphFont"/>
    <w:rsid w:val="004E1E52"/>
  </w:style>
  <w:style w:type="character" w:customStyle="1" w:styleId="cit-article-title">
    <w:name w:val="cit-article-title"/>
    <w:basedOn w:val="DefaultParagraphFont"/>
    <w:rsid w:val="004E1E52"/>
  </w:style>
  <w:style w:type="character" w:customStyle="1" w:styleId="cit-fpage">
    <w:name w:val="cit-fpage"/>
    <w:basedOn w:val="DefaultParagraphFont"/>
    <w:rsid w:val="004E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303">
      <w:bodyDiv w:val="1"/>
      <w:marLeft w:val="0"/>
      <w:marRight w:val="0"/>
      <w:marTop w:val="0"/>
      <w:marBottom w:val="0"/>
      <w:divBdr>
        <w:top w:val="none" w:sz="0" w:space="0" w:color="auto"/>
        <w:left w:val="none" w:sz="0" w:space="0" w:color="auto"/>
        <w:bottom w:val="none" w:sz="0" w:space="0" w:color="auto"/>
        <w:right w:val="none" w:sz="0" w:space="0" w:color="auto"/>
      </w:divBdr>
    </w:div>
    <w:div w:id="85541856">
      <w:bodyDiv w:val="1"/>
      <w:marLeft w:val="0"/>
      <w:marRight w:val="0"/>
      <w:marTop w:val="0"/>
      <w:marBottom w:val="0"/>
      <w:divBdr>
        <w:top w:val="none" w:sz="0" w:space="0" w:color="auto"/>
        <w:left w:val="none" w:sz="0" w:space="0" w:color="auto"/>
        <w:bottom w:val="none" w:sz="0" w:space="0" w:color="auto"/>
        <w:right w:val="none" w:sz="0" w:space="0" w:color="auto"/>
      </w:divBdr>
    </w:div>
    <w:div w:id="134494140">
      <w:bodyDiv w:val="1"/>
      <w:marLeft w:val="0"/>
      <w:marRight w:val="0"/>
      <w:marTop w:val="0"/>
      <w:marBottom w:val="0"/>
      <w:divBdr>
        <w:top w:val="none" w:sz="0" w:space="0" w:color="auto"/>
        <w:left w:val="none" w:sz="0" w:space="0" w:color="auto"/>
        <w:bottom w:val="none" w:sz="0" w:space="0" w:color="auto"/>
        <w:right w:val="none" w:sz="0" w:space="0" w:color="auto"/>
      </w:divBdr>
    </w:div>
    <w:div w:id="223681876">
      <w:bodyDiv w:val="1"/>
      <w:marLeft w:val="0"/>
      <w:marRight w:val="0"/>
      <w:marTop w:val="0"/>
      <w:marBottom w:val="0"/>
      <w:divBdr>
        <w:top w:val="none" w:sz="0" w:space="0" w:color="auto"/>
        <w:left w:val="none" w:sz="0" w:space="0" w:color="auto"/>
        <w:bottom w:val="none" w:sz="0" w:space="0" w:color="auto"/>
        <w:right w:val="none" w:sz="0" w:space="0" w:color="auto"/>
      </w:divBdr>
    </w:div>
    <w:div w:id="225605045">
      <w:bodyDiv w:val="1"/>
      <w:marLeft w:val="0"/>
      <w:marRight w:val="0"/>
      <w:marTop w:val="0"/>
      <w:marBottom w:val="0"/>
      <w:divBdr>
        <w:top w:val="none" w:sz="0" w:space="0" w:color="auto"/>
        <w:left w:val="none" w:sz="0" w:space="0" w:color="auto"/>
        <w:bottom w:val="none" w:sz="0" w:space="0" w:color="auto"/>
        <w:right w:val="none" w:sz="0" w:space="0" w:color="auto"/>
      </w:divBdr>
    </w:div>
    <w:div w:id="364789593">
      <w:bodyDiv w:val="1"/>
      <w:marLeft w:val="0"/>
      <w:marRight w:val="0"/>
      <w:marTop w:val="0"/>
      <w:marBottom w:val="0"/>
      <w:divBdr>
        <w:top w:val="none" w:sz="0" w:space="0" w:color="auto"/>
        <w:left w:val="none" w:sz="0" w:space="0" w:color="auto"/>
        <w:bottom w:val="none" w:sz="0" w:space="0" w:color="auto"/>
        <w:right w:val="none" w:sz="0" w:space="0" w:color="auto"/>
      </w:divBdr>
    </w:div>
    <w:div w:id="392310529">
      <w:bodyDiv w:val="1"/>
      <w:marLeft w:val="0"/>
      <w:marRight w:val="0"/>
      <w:marTop w:val="0"/>
      <w:marBottom w:val="0"/>
      <w:divBdr>
        <w:top w:val="none" w:sz="0" w:space="0" w:color="auto"/>
        <w:left w:val="none" w:sz="0" w:space="0" w:color="auto"/>
        <w:bottom w:val="none" w:sz="0" w:space="0" w:color="auto"/>
        <w:right w:val="none" w:sz="0" w:space="0" w:color="auto"/>
      </w:divBdr>
      <w:divsChild>
        <w:div w:id="1764958512">
          <w:marLeft w:val="144"/>
          <w:marRight w:val="0"/>
          <w:marTop w:val="240"/>
          <w:marBottom w:val="40"/>
          <w:divBdr>
            <w:top w:val="none" w:sz="0" w:space="0" w:color="auto"/>
            <w:left w:val="none" w:sz="0" w:space="0" w:color="auto"/>
            <w:bottom w:val="none" w:sz="0" w:space="0" w:color="auto"/>
            <w:right w:val="none" w:sz="0" w:space="0" w:color="auto"/>
          </w:divBdr>
        </w:div>
        <w:div w:id="711341968">
          <w:marLeft w:val="144"/>
          <w:marRight w:val="0"/>
          <w:marTop w:val="240"/>
          <w:marBottom w:val="40"/>
          <w:divBdr>
            <w:top w:val="none" w:sz="0" w:space="0" w:color="auto"/>
            <w:left w:val="none" w:sz="0" w:space="0" w:color="auto"/>
            <w:bottom w:val="none" w:sz="0" w:space="0" w:color="auto"/>
            <w:right w:val="none" w:sz="0" w:space="0" w:color="auto"/>
          </w:divBdr>
        </w:div>
      </w:divsChild>
    </w:div>
    <w:div w:id="462889566">
      <w:bodyDiv w:val="1"/>
      <w:marLeft w:val="0"/>
      <w:marRight w:val="0"/>
      <w:marTop w:val="0"/>
      <w:marBottom w:val="0"/>
      <w:divBdr>
        <w:top w:val="none" w:sz="0" w:space="0" w:color="auto"/>
        <w:left w:val="none" w:sz="0" w:space="0" w:color="auto"/>
        <w:bottom w:val="none" w:sz="0" w:space="0" w:color="auto"/>
        <w:right w:val="none" w:sz="0" w:space="0" w:color="auto"/>
      </w:divBdr>
    </w:div>
    <w:div w:id="668406707">
      <w:bodyDiv w:val="1"/>
      <w:marLeft w:val="0"/>
      <w:marRight w:val="0"/>
      <w:marTop w:val="0"/>
      <w:marBottom w:val="0"/>
      <w:divBdr>
        <w:top w:val="none" w:sz="0" w:space="0" w:color="auto"/>
        <w:left w:val="none" w:sz="0" w:space="0" w:color="auto"/>
        <w:bottom w:val="none" w:sz="0" w:space="0" w:color="auto"/>
        <w:right w:val="none" w:sz="0" w:space="0" w:color="auto"/>
      </w:divBdr>
    </w:div>
    <w:div w:id="879320301">
      <w:bodyDiv w:val="1"/>
      <w:marLeft w:val="0"/>
      <w:marRight w:val="0"/>
      <w:marTop w:val="0"/>
      <w:marBottom w:val="0"/>
      <w:divBdr>
        <w:top w:val="none" w:sz="0" w:space="0" w:color="auto"/>
        <w:left w:val="none" w:sz="0" w:space="0" w:color="auto"/>
        <w:bottom w:val="none" w:sz="0" w:space="0" w:color="auto"/>
        <w:right w:val="none" w:sz="0" w:space="0" w:color="auto"/>
      </w:divBdr>
    </w:div>
    <w:div w:id="880942642">
      <w:bodyDiv w:val="1"/>
      <w:marLeft w:val="0"/>
      <w:marRight w:val="0"/>
      <w:marTop w:val="0"/>
      <w:marBottom w:val="0"/>
      <w:divBdr>
        <w:top w:val="none" w:sz="0" w:space="0" w:color="auto"/>
        <w:left w:val="none" w:sz="0" w:space="0" w:color="auto"/>
        <w:bottom w:val="none" w:sz="0" w:space="0" w:color="auto"/>
        <w:right w:val="none" w:sz="0" w:space="0" w:color="auto"/>
      </w:divBdr>
    </w:div>
    <w:div w:id="910385476">
      <w:bodyDiv w:val="1"/>
      <w:marLeft w:val="0"/>
      <w:marRight w:val="0"/>
      <w:marTop w:val="0"/>
      <w:marBottom w:val="0"/>
      <w:divBdr>
        <w:top w:val="none" w:sz="0" w:space="0" w:color="auto"/>
        <w:left w:val="none" w:sz="0" w:space="0" w:color="auto"/>
        <w:bottom w:val="none" w:sz="0" w:space="0" w:color="auto"/>
        <w:right w:val="none" w:sz="0" w:space="0" w:color="auto"/>
      </w:divBdr>
    </w:div>
    <w:div w:id="1167787136">
      <w:bodyDiv w:val="1"/>
      <w:marLeft w:val="0"/>
      <w:marRight w:val="0"/>
      <w:marTop w:val="0"/>
      <w:marBottom w:val="0"/>
      <w:divBdr>
        <w:top w:val="none" w:sz="0" w:space="0" w:color="auto"/>
        <w:left w:val="none" w:sz="0" w:space="0" w:color="auto"/>
        <w:bottom w:val="none" w:sz="0" w:space="0" w:color="auto"/>
        <w:right w:val="none" w:sz="0" w:space="0" w:color="auto"/>
      </w:divBdr>
    </w:div>
    <w:div w:id="1231816095">
      <w:bodyDiv w:val="1"/>
      <w:marLeft w:val="0"/>
      <w:marRight w:val="0"/>
      <w:marTop w:val="0"/>
      <w:marBottom w:val="0"/>
      <w:divBdr>
        <w:top w:val="none" w:sz="0" w:space="0" w:color="auto"/>
        <w:left w:val="none" w:sz="0" w:space="0" w:color="auto"/>
        <w:bottom w:val="none" w:sz="0" w:space="0" w:color="auto"/>
        <w:right w:val="none" w:sz="0" w:space="0" w:color="auto"/>
      </w:divBdr>
      <w:divsChild>
        <w:div w:id="906382369">
          <w:marLeft w:val="144"/>
          <w:marRight w:val="0"/>
          <w:marTop w:val="240"/>
          <w:marBottom w:val="40"/>
          <w:divBdr>
            <w:top w:val="none" w:sz="0" w:space="0" w:color="auto"/>
            <w:left w:val="none" w:sz="0" w:space="0" w:color="auto"/>
            <w:bottom w:val="none" w:sz="0" w:space="0" w:color="auto"/>
            <w:right w:val="none" w:sz="0" w:space="0" w:color="auto"/>
          </w:divBdr>
        </w:div>
        <w:div w:id="1575429646">
          <w:marLeft w:val="144"/>
          <w:marRight w:val="0"/>
          <w:marTop w:val="240"/>
          <w:marBottom w:val="40"/>
          <w:divBdr>
            <w:top w:val="none" w:sz="0" w:space="0" w:color="auto"/>
            <w:left w:val="none" w:sz="0" w:space="0" w:color="auto"/>
            <w:bottom w:val="none" w:sz="0" w:space="0" w:color="auto"/>
            <w:right w:val="none" w:sz="0" w:space="0" w:color="auto"/>
          </w:divBdr>
        </w:div>
        <w:div w:id="476533218">
          <w:marLeft w:val="144"/>
          <w:marRight w:val="0"/>
          <w:marTop w:val="240"/>
          <w:marBottom w:val="40"/>
          <w:divBdr>
            <w:top w:val="none" w:sz="0" w:space="0" w:color="auto"/>
            <w:left w:val="none" w:sz="0" w:space="0" w:color="auto"/>
            <w:bottom w:val="none" w:sz="0" w:space="0" w:color="auto"/>
            <w:right w:val="none" w:sz="0" w:space="0" w:color="auto"/>
          </w:divBdr>
        </w:div>
        <w:div w:id="621035496">
          <w:marLeft w:val="144"/>
          <w:marRight w:val="0"/>
          <w:marTop w:val="240"/>
          <w:marBottom w:val="40"/>
          <w:divBdr>
            <w:top w:val="none" w:sz="0" w:space="0" w:color="auto"/>
            <w:left w:val="none" w:sz="0" w:space="0" w:color="auto"/>
            <w:bottom w:val="none" w:sz="0" w:space="0" w:color="auto"/>
            <w:right w:val="none" w:sz="0" w:space="0" w:color="auto"/>
          </w:divBdr>
        </w:div>
      </w:divsChild>
    </w:div>
    <w:div w:id="1235622584">
      <w:bodyDiv w:val="1"/>
      <w:marLeft w:val="0"/>
      <w:marRight w:val="0"/>
      <w:marTop w:val="0"/>
      <w:marBottom w:val="0"/>
      <w:divBdr>
        <w:top w:val="none" w:sz="0" w:space="0" w:color="auto"/>
        <w:left w:val="none" w:sz="0" w:space="0" w:color="auto"/>
        <w:bottom w:val="none" w:sz="0" w:space="0" w:color="auto"/>
        <w:right w:val="none" w:sz="0" w:space="0" w:color="auto"/>
      </w:divBdr>
      <w:divsChild>
        <w:div w:id="966012035">
          <w:marLeft w:val="144"/>
          <w:marRight w:val="0"/>
          <w:marTop w:val="240"/>
          <w:marBottom w:val="40"/>
          <w:divBdr>
            <w:top w:val="none" w:sz="0" w:space="0" w:color="auto"/>
            <w:left w:val="none" w:sz="0" w:space="0" w:color="auto"/>
            <w:bottom w:val="none" w:sz="0" w:space="0" w:color="auto"/>
            <w:right w:val="none" w:sz="0" w:space="0" w:color="auto"/>
          </w:divBdr>
        </w:div>
        <w:div w:id="1549687079">
          <w:marLeft w:val="144"/>
          <w:marRight w:val="0"/>
          <w:marTop w:val="240"/>
          <w:marBottom w:val="40"/>
          <w:divBdr>
            <w:top w:val="none" w:sz="0" w:space="0" w:color="auto"/>
            <w:left w:val="none" w:sz="0" w:space="0" w:color="auto"/>
            <w:bottom w:val="none" w:sz="0" w:space="0" w:color="auto"/>
            <w:right w:val="none" w:sz="0" w:space="0" w:color="auto"/>
          </w:divBdr>
        </w:div>
      </w:divsChild>
    </w:div>
    <w:div w:id="1254556607">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28248158">
      <w:bodyDiv w:val="1"/>
      <w:marLeft w:val="0"/>
      <w:marRight w:val="0"/>
      <w:marTop w:val="0"/>
      <w:marBottom w:val="0"/>
      <w:divBdr>
        <w:top w:val="none" w:sz="0" w:space="0" w:color="auto"/>
        <w:left w:val="none" w:sz="0" w:space="0" w:color="auto"/>
        <w:bottom w:val="none" w:sz="0" w:space="0" w:color="auto"/>
        <w:right w:val="none" w:sz="0" w:space="0" w:color="auto"/>
      </w:divBdr>
    </w:div>
    <w:div w:id="1568495586">
      <w:bodyDiv w:val="1"/>
      <w:marLeft w:val="0"/>
      <w:marRight w:val="0"/>
      <w:marTop w:val="0"/>
      <w:marBottom w:val="0"/>
      <w:divBdr>
        <w:top w:val="none" w:sz="0" w:space="0" w:color="auto"/>
        <w:left w:val="none" w:sz="0" w:space="0" w:color="auto"/>
        <w:bottom w:val="none" w:sz="0" w:space="0" w:color="auto"/>
        <w:right w:val="none" w:sz="0" w:space="0" w:color="auto"/>
      </w:divBdr>
    </w:div>
    <w:div w:id="1764178808">
      <w:bodyDiv w:val="1"/>
      <w:marLeft w:val="0"/>
      <w:marRight w:val="0"/>
      <w:marTop w:val="0"/>
      <w:marBottom w:val="0"/>
      <w:divBdr>
        <w:top w:val="none" w:sz="0" w:space="0" w:color="auto"/>
        <w:left w:val="none" w:sz="0" w:space="0" w:color="auto"/>
        <w:bottom w:val="none" w:sz="0" w:space="0" w:color="auto"/>
        <w:right w:val="none" w:sz="0" w:space="0" w:color="auto"/>
      </w:divBdr>
    </w:div>
    <w:div w:id="1854412123">
      <w:bodyDiv w:val="1"/>
      <w:marLeft w:val="0"/>
      <w:marRight w:val="0"/>
      <w:marTop w:val="0"/>
      <w:marBottom w:val="0"/>
      <w:divBdr>
        <w:top w:val="none" w:sz="0" w:space="0" w:color="auto"/>
        <w:left w:val="none" w:sz="0" w:space="0" w:color="auto"/>
        <w:bottom w:val="none" w:sz="0" w:space="0" w:color="auto"/>
        <w:right w:val="none" w:sz="0" w:space="0" w:color="auto"/>
      </w:divBdr>
    </w:div>
    <w:div w:id="2004776195">
      <w:bodyDiv w:val="1"/>
      <w:marLeft w:val="0"/>
      <w:marRight w:val="0"/>
      <w:marTop w:val="0"/>
      <w:marBottom w:val="0"/>
      <w:divBdr>
        <w:top w:val="none" w:sz="0" w:space="0" w:color="auto"/>
        <w:left w:val="none" w:sz="0" w:space="0" w:color="auto"/>
        <w:bottom w:val="none" w:sz="0" w:space="0" w:color="auto"/>
        <w:right w:val="none" w:sz="0" w:space="0" w:color="auto"/>
      </w:divBdr>
    </w:div>
    <w:div w:id="20889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logs.bmj.com/medical-ethics/2019/01/13/convicting-a-doctor-of-gross-negligence-manslaughter-without-striking-them-off-damages-public-confidence-in-the-profession/" TargetMode="External"/><Relationship Id="rId3" Type="http://schemas.openxmlformats.org/officeDocument/2006/relationships/hyperlink" Target="https://www.bailii.org/ew/cases/EWCA/Civ/2007/46.html" TargetMode="External"/><Relationship Id="rId7" Type="http://schemas.openxmlformats.org/officeDocument/2006/relationships/hyperlink" Target="http://www.pulsetoday.co.uk/news/gp-topics/legal/dr-bawa-garba-could-have-been-any-one-of-us/20036066.article" TargetMode="External"/><Relationship Id="rId2" Type="http://schemas.openxmlformats.org/officeDocument/2006/relationships/hyperlink" Target="https://www.professionalstandards.org.uk/publications/detail/how-is-public-confidence-maintained-when-fitness-to-practise-decisions-are-made" TargetMode="External"/><Relationship Id="rId1" Type="http://schemas.openxmlformats.org/officeDocument/2006/relationships/hyperlink" Target="https://www.gov.uk/government/publications/williams-review-into-gross-negligence-manslaughter-in-healthcare" TargetMode="External"/><Relationship Id="rId6" Type="http://schemas.openxmlformats.org/officeDocument/2006/relationships/hyperlink" Target="https://blogs.bmj.com/bmj/2017/12/13/deborah-cohen-the-bawa-garba-case-the-gmc-and-a-tragic-circle/" TargetMode="External"/><Relationship Id="rId11" Type="http://schemas.openxmlformats.org/officeDocument/2006/relationships/hyperlink" Target="https://www.mpts-uk.org/-/media/mpts-documents/dc4198-sanctions-guidance--november-2019_pdf-80152538.pdf" TargetMode="External"/><Relationship Id="rId5" Type="http://schemas.openxmlformats.org/officeDocument/2006/relationships/hyperlink" Target="https://thesecretbarrister.com/2018/01/31/some-thoughts-on-dr-bawa-garba-and-our-faith-in-the-jury-system/" TargetMode="External"/><Relationship Id="rId10" Type="http://schemas.openxmlformats.org/officeDocument/2006/relationships/hyperlink" Target="https://www.mpts-uk.org/-/media/mpts-rod-files/dr-sharifa-scerif-01-nov-19.pdf" TargetMode="External"/><Relationship Id="rId4" Type="http://schemas.openxmlformats.org/officeDocument/2006/relationships/hyperlink" Target="https://www.hsj.co.uk/policy-and-regulation/jeremy-hunt-to-strip-general-medical-council-of-powers/7022626.article" TargetMode="External"/><Relationship Id="rId9" Type="http://schemas.openxmlformats.org/officeDocument/2006/relationships/hyperlink" Target="https://www.gmc-uk.org/-/media/documents/independent-review-of-gross-negligence-manslaughter-and-culpable-homicide---final-report_pd-787166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6711-697B-479A-999E-8A2574FA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4500</Words>
  <Characters>25652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Case</dc:creator>
  <cp:lastModifiedBy>Paula Case</cp:lastModifiedBy>
  <cp:revision>2</cp:revision>
  <dcterms:created xsi:type="dcterms:W3CDTF">2020-03-23T09:45:00Z</dcterms:created>
  <dcterms:modified xsi:type="dcterms:W3CDTF">2020-03-23T09:45:00Z</dcterms:modified>
</cp:coreProperties>
</file>