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FB9B" w14:textId="0A115B22" w:rsidR="001D64B4" w:rsidRDefault="001D64B4" w:rsidP="00793B46">
      <w:pPr>
        <w:ind w:firstLine="0"/>
        <w:jc w:val="center"/>
        <w:rPr>
          <w:rFonts w:ascii="Times New Roman" w:hAnsi="Times New Roman" w:cs="Times New Roman"/>
          <w:b/>
          <w:bCs/>
          <w:sz w:val="28"/>
          <w:szCs w:val="28"/>
        </w:rPr>
      </w:pPr>
      <w:r>
        <w:rPr>
          <w:rFonts w:ascii="Times New Roman" w:hAnsi="Times New Roman" w:cs="Times New Roman"/>
          <w:b/>
          <w:bCs/>
          <w:sz w:val="28"/>
          <w:szCs w:val="28"/>
        </w:rPr>
        <w:t>Psychiatric Injury</w:t>
      </w:r>
      <w:r w:rsidR="00380875">
        <w:rPr>
          <w:rFonts w:ascii="Times New Roman" w:hAnsi="Times New Roman" w:cs="Times New Roman"/>
          <w:b/>
          <w:bCs/>
          <w:sz w:val="28"/>
          <w:szCs w:val="28"/>
        </w:rPr>
        <w:t xml:space="preserve"> </w:t>
      </w:r>
      <w:r>
        <w:rPr>
          <w:rFonts w:ascii="Times New Roman" w:hAnsi="Times New Roman" w:cs="Times New Roman"/>
          <w:b/>
          <w:bCs/>
          <w:sz w:val="28"/>
          <w:szCs w:val="28"/>
        </w:rPr>
        <w:t xml:space="preserve">and the </w:t>
      </w:r>
      <w:r w:rsidR="008568B8">
        <w:rPr>
          <w:rFonts w:ascii="Times New Roman" w:hAnsi="Times New Roman" w:cs="Times New Roman"/>
          <w:b/>
          <w:bCs/>
          <w:sz w:val="28"/>
          <w:szCs w:val="28"/>
        </w:rPr>
        <w:t>UN</w:t>
      </w:r>
      <w:r>
        <w:rPr>
          <w:rFonts w:ascii="Times New Roman" w:hAnsi="Times New Roman" w:cs="Times New Roman"/>
          <w:b/>
          <w:bCs/>
          <w:sz w:val="28"/>
          <w:szCs w:val="28"/>
        </w:rPr>
        <w:t xml:space="preserve"> Convention on the Rights of Persons with Disabilities</w:t>
      </w:r>
    </w:p>
    <w:p w14:paraId="529255F4" w14:textId="1ECDE8E1" w:rsidR="001D64B4" w:rsidRPr="007A6BCE" w:rsidRDefault="00F73629" w:rsidP="00793B46">
      <w:pPr>
        <w:tabs>
          <w:tab w:val="center" w:pos="4513"/>
          <w:tab w:val="left" w:pos="5622"/>
        </w:tabs>
        <w:ind w:firstLine="0"/>
        <w:jc w:val="center"/>
        <w:rPr>
          <w:rFonts w:ascii="Times New Roman" w:hAnsi="Times New Roman" w:cs="Times New Roman"/>
          <w:sz w:val="28"/>
          <w:szCs w:val="28"/>
        </w:rPr>
      </w:pPr>
      <w:r>
        <w:rPr>
          <w:rFonts w:ascii="Times New Roman" w:hAnsi="Times New Roman" w:cs="Times New Roman"/>
          <w:sz w:val="28"/>
          <w:szCs w:val="28"/>
        </w:rPr>
        <w:t>JB Fanning</w:t>
      </w:r>
      <w:r w:rsidR="007A6BCE" w:rsidRPr="007A6BCE">
        <w:rPr>
          <w:rStyle w:val="FootnoteReference"/>
          <w:rFonts w:cs="Times New Roman"/>
          <w:sz w:val="28"/>
          <w:szCs w:val="28"/>
        </w:rPr>
        <w:footnoteReference w:id="1"/>
      </w:r>
    </w:p>
    <w:p w14:paraId="330BBC5E" w14:textId="3ECAC9CE" w:rsidR="00A4007B" w:rsidRPr="00AE0DCA" w:rsidRDefault="00A4007B" w:rsidP="00407DFF">
      <w:pPr>
        <w:pBdr>
          <w:top w:val="single" w:sz="4" w:space="1" w:color="auto"/>
          <w:left w:val="single" w:sz="4" w:space="4" w:color="auto"/>
          <w:bottom w:val="single" w:sz="4" w:space="9" w:color="auto"/>
          <w:right w:val="single" w:sz="4" w:space="4" w:color="auto"/>
        </w:pBdr>
        <w:tabs>
          <w:tab w:val="center" w:pos="4513"/>
          <w:tab w:val="left" w:pos="5622"/>
        </w:tabs>
        <w:spacing w:line="240" w:lineRule="auto"/>
        <w:ind w:firstLine="0"/>
        <w:jc w:val="center"/>
        <w:rPr>
          <w:rFonts w:ascii="Times New Roman" w:hAnsi="Times New Roman" w:cs="Times New Roman"/>
          <w:b/>
          <w:bCs/>
          <w:i/>
          <w:iCs/>
          <w:sz w:val="24"/>
          <w:szCs w:val="24"/>
        </w:rPr>
      </w:pPr>
      <w:r w:rsidRPr="00AE0DCA">
        <w:rPr>
          <w:rFonts w:ascii="Times New Roman" w:hAnsi="Times New Roman" w:cs="Times New Roman"/>
          <w:b/>
          <w:bCs/>
          <w:i/>
          <w:iCs/>
          <w:sz w:val="24"/>
          <w:szCs w:val="24"/>
        </w:rPr>
        <w:t>Abstract</w:t>
      </w:r>
    </w:p>
    <w:p w14:paraId="53D88E53" w14:textId="5918C8B6" w:rsidR="00A4007B" w:rsidRPr="00A4007B" w:rsidRDefault="00A4007B" w:rsidP="00407DFF">
      <w:pPr>
        <w:pBdr>
          <w:top w:val="single" w:sz="4" w:space="1" w:color="auto"/>
          <w:left w:val="single" w:sz="4" w:space="4" w:color="auto"/>
          <w:bottom w:val="single" w:sz="4" w:space="9" w:color="auto"/>
          <w:right w:val="single" w:sz="4" w:space="4" w:color="auto"/>
        </w:pBdr>
        <w:spacing w:line="240" w:lineRule="auto"/>
        <w:ind w:firstLine="0"/>
        <w:rPr>
          <w:rFonts w:ascii="Times New Roman" w:hAnsi="Times New Roman" w:cs="Times New Roman"/>
          <w:bCs/>
          <w:i/>
          <w:iCs/>
          <w:sz w:val="24"/>
          <w:szCs w:val="24"/>
        </w:rPr>
      </w:pPr>
      <w:r w:rsidRPr="00A4007B">
        <w:rPr>
          <w:rFonts w:ascii="Times New Roman" w:hAnsi="Times New Roman" w:cs="Times New Roman"/>
          <w:bCs/>
          <w:i/>
          <w:iCs/>
          <w:sz w:val="24"/>
          <w:szCs w:val="24"/>
        </w:rPr>
        <w:t xml:space="preserve">The rules by which a claimant establishes whether a defendant owed her/him a duty of care vary depending on the type of injury she/he has suffered. In cases involving physical injuries, the rules are relatively straightforward; in psychiatric injury cases, </w:t>
      </w:r>
      <w:r w:rsidRPr="00A4007B">
        <w:rPr>
          <w:rFonts w:ascii="Times New Roman" w:hAnsi="Times New Roman" w:cs="Times New Roman"/>
          <w:i/>
          <w:iCs/>
          <w:sz w:val="24"/>
          <w:szCs w:val="24"/>
        </w:rPr>
        <w:t>the claimant</w:t>
      </w:r>
      <w:r w:rsidRPr="00A4007B">
        <w:rPr>
          <w:rFonts w:ascii="Times New Roman" w:hAnsi="Times New Roman" w:cs="Times New Roman"/>
          <w:bCs/>
          <w:i/>
          <w:iCs/>
          <w:sz w:val="24"/>
          <w:szCs w:val="24"/>
        </w:rPr>
        <w:t xml:space="preserve"> must go to greater lengths to establish a duty. It is therefore harder for claimants with psychiatric injuries to recover damages from the careless defendants who wronged them. This discriminatory effect has long been a subject of criticism.</w:t>
      </w:r>
    </w:p>
    <w:p w14:paraId="1BE42A91" w14:textId="27FB2D4A" w:rsidR="00A4007B" w:rsidRPr="00A4007B" w:rsidRDefault="00A4007B" w:rsidP="00407DFF">
      <w:pPr>
        <w:pBdr>
          <w:top w:val="single" w:sz="4" w:space="1" w:color="auto"/>
          <w:left w:val="single" w:sz="4" w:space="4" w:color="auto"/>
          <w:bottom w:val="single" w:sz="4" w:space="9" w:color="auto"/>
          <w:right w:val="single" w:sz="4" w:space="4" w:color="auto"/>
        </w:pBdr>
        <w:spacing w:line="240" w:lineRule="auto"/>
        <w:ind w:firstLine="0"/>
        <w:rPr>
          <w:rFonts w:ascii="Times New Roman" w:hAnsi="Times New Roman" w:cs="Times New Roman"/>
          <w:bCs/>
          <w:i/>
          <w:iCs/>
          <w:sz w:val="24"/>
          <w:szCs w:val="24"/>
        </w:rPr>
      </w:pPr>
      <w:r w:rsidRPr="00A4007B">
        <w:rPr>
          <w:rFonts w:ascii="Times New Roman" w:hAnsi="Times New Roman" w:cs="Times New Roman"/>
          <w:bCs/>
          <w:i/>
          <w:iCs/>
          <w:sz w:val="24"/>
          <w:szCs w:val="24"/>
        </w:rPr>
        <w:t xml:space="preserve">This paper employs the United Nations Convention on the Rights of Persons with Disabilities (CRPD) to add another voice to the critical chorus. The CRPD, which the UK has ratified, prohibits discrimination on the basis of psychosocial disability; </w:t>
      </w:r>
      <w:r w:rsidR="001E5961">
        <w:rPr>
          <w:rFonts w:ascii="Times New Roman" w:hAnsi="Times New Roman" w:cs="Times New Roman"/>
          <w:bCs/>
          <w:i/>
          <w:iCs/>
          <w:sz w:val="24"/>
          <w:szCs w:val="24"/>
        </w:rPr>
        <w:t>that is,</w:t>
      </w:r>
      <w:r w:rsidRPr="00A4007B">
        <w:rPr>
          <w:rFonts w:ascii="Times New Roman" w:hAnsi="Times New Roman" w:cs="Times New Roman"/>
          <w:bCs/>
          <w:i/>
          <w:iCs/>
          <w:sz w:val="24"/>
          <w:szCs w:val="24"/>
        </w:rPr>
        <w:t xml:space="preserve"> mental impairment. Since the special rules are engaged by, and applicable to, such disabilities, the law of negligence conflicts with the CRPD. This paper concludes that the CRPD strengthens the case for reform.</w:t>
      </w:r>
    </w:p>
    <w:p w14:paraId="764C6ACD" w14:textId="77777777" w:rsidR="007A6BCE" w:rsidRDefault="007A6BCE" w:rsidP="00793B46">
      <w:pPr>
        <w:tabs>
          <w:tab w:val="center" w:pos="4513"/>
          <w:tab w:val="left" w:pos="5622"/>
        </w:tabs>
        <w:ind w:firstLine="0"/>
        <w:jc w:val="center"/>
        <w:rPr>
          <w:rFonts w:ascii="Times New Roman" w:hAnsi="Times New Roman" w:cs="Times New Roman"/>
          <w:b/>
          <w:bCs/>
          <w:sz w:val="28"/>
          <w:szCs w:val="28"/>
        </w:rPr>
        <w:sectPr w:rsidR="007A6BCE" w:rsidSect="00470292">
          <w:headerReference w:type="default" r:id="rId8"/>
          <w:footerReference w:type="default" r:id="rId9"/>
          <w:footnotePr>
            <w:numFmt w:val="chicago"/>
            <w:numRestart w:val="eachSect"/>
          </w:footnotePr>
          <w:pgSz w:w="11906" w:h="16838"/>
          <w:pgMar w:top="1440" w:right="1440" w:bottom="1440" w:left="1440" w:header="709" w:footer="709" w:gutter="0"/>
          <w:cols w:space="708"/>
          <w:docGrid w:linePitch="360"/>
        </w:sectPr>
      </w:pPr>
    </w:p>
    <w:p w14:paraId="04ACBC68" w14:textId="4D7ECB66" w:rsidR="007A6BCE" w:rsidRDefault="007A6BCE">
      <w:pPr>
        <w:rPr>
          <w:rFonts w:ascii="Times New Roman" w:hAnsi="Times New Roman" w:cs="Times New Roman"/>
          <w:b/>
          <w:bCs/>
          <w:sz w:val="28"/>
          <w:szCs w:val="28"/>
        </w:rPr>
      </w:pPr>
      <w:r>
        <w:rPr>
          <w:rFonts w:ascii="Times New Roman" w:hAnsi="Times New Roman" w:cs="Times New Roman"/>
          <w:b/>
          <w:bCs/>
          <w:sz w:val="28"/>
          <w:szCs w:val="28"/>
        </w:rPr>
        <w:br w:type="page"/>
      </w:r>
    </w:p>
    <w:p w14:paraId="4ECC04F5" w14:textId="3077C038" w:rsidR="00F035BE" w:rsidRPr="00E35BC1" w:rsidRDefault="00F70FFC" w:rsidP="00E35BC1">
      <w:pPr>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68BA81D9" w14:textId="0181629F" w:rsidR="00B71EDC" w:rsidRDefault="000659F0" w:rsidP="00C84449">
      <w:pPr>
        <w:ind w:firstLine="0"/>
        <w:rPr>
          <w:rFonts w:ascii="Times New Roman" w:hAnsi="Times New Roman" w:cs="Times New Roman"/>
          <w:sz w:val="24"/>
          <w:szCs w:val="24"/>
        </w:rPr>
      </w:pPr>
      <w:r>
        <w:rPr>
          <w:rFonts w:ascii="Times New Roman" w:hAnsi="Times New Roman" w:cs="Times New Roman"/>
          <w:sz w:val="24"/>
          <w:szCs w:val="24"/>
        </w:rPr>
        <w:t>The</w:t>
      </w:r>
      <w:r w:rsidR="00F81A33">
        <w:rPr>
          <w:rFonts w:ascii="Times New Roman" w:hAnsi="Times New Roman" w:cs="Times New Roman"/>
          <w:sz w:val="24"/>
          <w:szCs w:val="24"/>
        </w:rPr>
        <w:t xml:space="preserve"> rules governing the</w:t>
      </w:r>
      <w:r>
        <w:rPr>
          <w:rFonts w:ascii="Times New Roman" w:hAnsi="Times New Roman" w:cs="Times New Roman"/>
          <w:sz w:val="24"/>
          <w:szCs w:val="24"/>
        </w:rPr>
        <w:t xml:space="preserve"> </w:t>
      </w:r>
      <w:r w:rsidR="003F1611">
        <w:rPr>
          <w:rFonts w:ascii="Times New Roman" w:hAnsi="Times New Roman" w:cs="Times New Roman"/>
          <w:sz w:val="24"/>
          <w:szCs w:val="24"/>
        </w:rPr>
        <w:t>duty</w:t>
      </w:r>
      <w:r w:rsidR="00D037D6">
        <w:rPr>
          <w:rFonts w:ascii="Times New Roman" w:hAnsi="Times New Roman" w:cs="Times New Roman"/>
          <w:sz w:val="24"/>
          <w:szCs w:val="24"/>
        </w:rPr>
        <w:t xml:space="preserve"> of care</w:t>
      </w:r>
      <w:r w:rsidR="00813A5F">
        <w:rPr>
          <w:rFonts w:ascii="Times New Roman" w:hAnsi="Times New Roman" w:cs="Times New Roman"/>
          <w:sz w:val="24"/>
          <w:szCs w:val="24"/>
        </w:rPr>
        <w:t xml:space="preserve"> in psychiatric injury cases</w:t>
      </w:r>
      <w:r w:rsidR="00D037D6">
        <w:rPr>
          <w:rFonts w:ascii="Times New Roman" w:hAnsi="Times New Roman" w:cs="Times New Roman"/>
          <w:sz w:val="24"/>
          <w:szCs w:val="24"/>
        </w:rPr>
        <w:t xml:space="preserve"> </w:t>
      </w:r>
      <w:r w:rsidR="000D43A1">
        <w:rPr>
          <w:rFonts w:ascii="Times New Roman" w:hAnsi="Times New Roman" w:cs="Times New Roman"/>
          <w:sz w:val="24"/>
          <w:szCs w:val="24"/>
        </w:rPr>
        <w:t>are</w:t>
      </w:r>
      <w:r w:rsidR="00813A5F">
        <w:rPr>
          <w:rFonts w:ascii="Times New Roman" w:hAnsi="Times New Roman" w:cs="Times New Roman"/>
          <w:sz w:val="24"/>
          <w:szCs w:val="24"/>
        </w:rPr>
        <w:t xml:space="preserve"> controversial</w:t>
      </w:r>
      <w:r w:rsidR="003B0AA8">
        <w:rPr>
          <w:rFonts w:ascii="Times New Roman" w:hAnsi="Times New Roman" w:cs="Times New Roman"/>
          <w:sz w:val="24"/>
          <w:szCs w:val="24"/>
        </w:rPr>
        <w:t>.</w:t>
      </w:r>
      <w:r w:rsidR="003F1611">
        <w:rPr>
          <w:rFonts w:ascii="Times New Roman" w:hAnsi="Times New Roman" w:cs="Times New Roman"/>
          <w:sz w:val="24"/>
          <w:szCs w:val="24"/>
        </w:rPr>
        <w:t xml:space="preserve"> </w:t>
      </w:r>
      <w:r w:rsidR="00C41DAA">
        <w:rPr>
          <w:rFonts w:ascii="Times New Roman" w:hAnsi="Times New Roman" w:cs="Times New Roman"/>
          <w:sz w:val="24"/>
          <w:szCs w:val="24"/>
        </w:rPr>
        <w:t xml:space="preserve">In </w:t>
      </w:r>
      <w:r w:rsidR="00C41DAA">
        <w:rPr>
          <w:rFonts w:ascii="Times New Roman" w:hAnsi="Times New Roman" w:cs="Times New Roman"/>
          <w:i/>
          <w:iCs/>
          <w:sz w:val="24"/>
          <w:szCs w:val="24"/>
        </w:rPr>
        <w:t>Alcock v Chief Constable of South Yorkshire Police</w:t>
      </w:r>
      <w:r w:rsidR="00C41DAA">
        <w:rPr>
          <w:rFonts w:ascii="Times New Roman" w:hAnsi="Times New Roman" w:cs="Times New Roman"/>
          <w:sz w:val="24"/>
          <w:szCs w:val="24"/>
        </w:rPr>
        <w:t>,</w:t>
      </w:r>
      <w:bookmarkStart w:id="0" w:name="_Ref26460990"/>
      <w:r w:rsidR="00C41DAA">
        <w:rPr>
          <w:rStyle w:val="FootnoteReference"/>
          <w:rFonts w:cs="Times New Roman"/>
          <w:sz w:val="24"/>
          <w:szCs w:val="24"/>
        </w:rPr>
        <w:footnoteReference w:id="2"/>
      </w:r>
      <w:bookmarkEnd w:id="0"/>
      <w:r w:rsidR="00081AE6">
        <w:rPr>
          <w:rFonts w:ascii="Times New Roman" w:hAnsi="Times New Roman" w:cs="Times New Roman"/>
          <w:sz w:val="24"/>
          <w:szCs w:val="24"/>
        </w:rPr>
        <w:t xml:space="preserve"> Lord Oliver </w:t>
      </w:r>
      <w:r w:rsidR="00E73B91">
        <w:rPr>
          <w:rFonts w:ascii="Times New Roman" w:hAnsi="Times New Roman" w:cs="Times New Roman"/>
          <w:sz w:val="24"/>
          <w:szCs w:val="24"/>
        </w:rPr>
        <w:t>said that the</w:t>
      </w:r>
      <w:r w:rsidR="00FC185C">
        <w:rPr>
          <w:rFonts w:ascii="Times New Roman" w:hAnsi="Times New Roman" w:cs="Times New Roman"/>
          <w:sz w:val="24"/>
          <w:szCs w:val="24"/>
        </w:rPr>
        <w:t>y</w:t>
      </w:r>
      <w:r w:rsidR="005911E9">
        <w:rPr>
          <w:rFonts w:ascii="Times New Roman" w:hAnsi="Times New Roman" w:cs="Times New Roman"/>
          <w:sz w:val="24"/>
          <w:szCs w:val="24"/>
        </w:rPr>
        <w:t xml:space="preserve"> are</w:t>
      </w:r>
      <w:r w:rsidR="00E73B91">
        <w:rPr>
          <w:rFonts w:ascii="Times New Roman" w:hAnsi="Times New Roman" w:cs="Times New Roman"/>
          <w:sz w:val="24"/>
          <w:szCs w:val="24"/>
        </w:rPr>
        <w:t xml:space="preserve"> </w:t>
      </w:r>
      <w:r w:rsidR="00554631">
        <w:rPr>
          <w:rFonts w:ascii="Times New Roman" w:hAnsi="Times New Roman" w:cs="Times New Roman"/>
          <w:sz w:val="24"/>
          <w:szCs w:val="24"/>
        </w:rPr>
        <w:t>not</w:t>
      </w:r>
      <w:r w:rsidR="00E73B91">
        <w:rPr>
          <w:rFonts w:ascii="Times New Roman" w:hAnsi="Times New Roman" w:cs="Times New Roman"/>
          <w:sz w:val="24"/>
          <w:szCs w:val="24"/>
        </w:rPr>
        <w:t xml:space="preserve"> ‘logically defensible’</w:t>
      </w:r>
      <w:r w:rsidR="00C514A7">
        <w:rPr>
          <w:rFonts w:ascii="Times New Roman" w:hAnsi="Times New Roman" w:cs="Times New Roman"/>
          <w:sz w:val="24"/>
          <w:szCs w:val="24"/>
        </w:rPr>
        <w:t>;</w:t>
      </w:r>
      <w:r w:rsidR="00E73B91">
        <w:rPr>
          <w:rStyle w:val="FootnoteReference"/>
          <w:rFonts w:cs="Times New Roman"/>
          <w:sz w:val="24"/>
          <w:szCs w:val="24"/>
        </w:rPr>
        <w:footnoteReference w:id="3"/>
      </w:r>
      <w:r w:rsidR="00784915">
        <w:rPr>
          <w:rFonts w:ascii="Times New Roman" w:hAnsi="Times New Roman" w:cs="Times New Roman"/>
          <w:sz w:val="24"/>
          <w:szCs w:val="24"/>
        </w:rPr>
        <w:t xml:space="preserve"> </w:t>
      </w:r>
      <w:r w:rsidR="00C107C5">
        <w:rPr>
          <w:rFonts w:ascii="Times New Roman" w:hAnsi="Times New Roman" w:cs="Times New Roman"/>
          <w:sz w:val="24"/>
          <w:szCs w:val="24"/>
        </w:rPr>
        <w:t xml:space="preserve">in </w:t>
      </w:r>
      <w:r w:rsidR="00C107C5">
        <w:rPr>
          <w:rFonts w:ascii="Times New Roman" w:hAnsi="Times New Roman" w:cs="Times New Roman"/>
          <w:i/>
          <w:iCs/>
          <w:sz w:val="24"/>
          <w:szCs w:val="24"/>
        </w:rPr>
        <w:t>White v Chief Co</w:t>
      </w:r>
      <w:r w:rsidR="00C83C4B">
        <w:rPr>
          <w:rFonts w:ascii="Times New Roman" w:hAnsi="Times New Roman" w:cs="Times New Roman"/>
          <w:i/>
          <w:iCs/>
          <w:sz w:val="24"/>
          <w:szCs w:val="24"/>
        </w:rPr>
        <w:t>n</w:t>
      </w:r>
      <w:r w:rsidR="005639CC">
        <w:rPr>
          <w:rFonts w:ascii="Times New Roman" w:hAnsi="Times New Roman" w:cs="Times New Roman"/>
          <w:i/>
          <w:iCs/>
          <w:sz w:val="24"/>
          <w:szCs w:val="24"/>
        </w:rPr>
        <w:t>sta</w:t>
      </w:r>
      <w:r w:rsidR="00C107C5">
        <w:rPr>
          <w:rFonts w:ascii="Times New Roman" w:hAnsi="Times New Roman" w:cs="Times New Roman"/>
          <w:i/>
          <w:iCs/>
          <w:sz w:val="24"/>
          <w:szCs w:val="24"/>
        </w:rPr>
        <w:t>ble of South Yorkshire Police</w:t>
      </w:r>
      <w:r w:rsidR="00C107C5">
        <w:rPr>
          <w:rFonts w:ascii="Times New Roman" w:hAnsi="Times New Roman" w:cs="Times New Roman"/>
          <w:sz w:val="24"/>
          <w:szCs w:val="24"/>
        </w:rPr>
        <w:t>,</w:t>
      </w:r>
      <w:bookmarkStart w:id="1" w:name="_Ref26460891"/>
      <w:r w:rsidR="00C107C5">
        <w:rPr>
          <w:rStyle w:val="FootnoteReference"/>
          <w:rFonts w:cs="Times New Roman"/>
          <w:szCs w:val="24"/>
        </w:rPr>
        <w:footnoteReference w:id="4"/>
      </w:r>
      <w:bookmarkEnd w:id="1"/>
      <w:r w:rsidR="00C107C5">
        <w:rPr>
          <w:rFonts w:ascii="Times New Roman" w:hAnsi="Times New Roman" w:cs="Times New Roman"/>
          <w:sz w:val="24"/>
          <w:szCs w:val="24"/>
        </w:rPr>
        <w:t xml:space="preserve"> Lord </w:t>
      </w:r>
      <w:r w:rsidR="0020181E">
        <w:rPr>
          <w:rFonts w:ascii="Times New Roman" w:hAnsi="Times New Roman" w:cs="Times New Roman"/>
          <w:sz w:val="24"/>
          <w:szCs w:val="24"/>
        </w:rPr>
        <w:t>Hoffmann</w:t>
      </w:r>
      <w:r w:rsidR="00C107C5">
        <w:rPr>
          <w:rFonts w:ascii="Times New Roman" w:hAnsi="Times New Roman" w:cs="Times New Roman"/>
          <w:sz w:val="24"/>
          <w:szCs w:val="24"/>
        </w:rPr>
        <w:t xml:space="preserve"> lamented that the</w:t>
      </w:r>
      <w:r w:rsidR="005911E9">
        <w:rPr>
          <w:rFonts w:ascii="Times New Roman" w:hAnsi="Times New Roman" w:cs="Times New Roman"/>
          <w:sz w:val="24"/>
          <w:szCs w:val="24"/>
        </w:rPr>
        <w:t>y</w:t>
      </w:r>
      <w:r w:rsidR="00C107C5">
        <w:rPr>
          <w:rFonts w:ascii="Times New Roman" w:hAnsi="Times New Roman" w:cs="Times New Roman"/>
          <w:sz w:val="24"/>
          <w:szCs w:val="24"/>
        </w:rPr>
        <w:t xml:space="preserve"> </w:t>
      </w:r>
      <w:r w:rsidR="00CF77CA">
        <w:rPr>
          <w:rFonts w:ascii="Times New Roman" w:hAnsi="Times New Roman" w:cs="Times New Roman"/>
          <w:sz w:val="24"/>
          <w:szCs w:val="24"/>
        </w:rPr>
        <w:t>are</w:t>
      </w:r>
      <w:r w:rsidR="00B87DEF">
        <w:rPr>
          <w:rFonts w:ascii="Times New Roman" w:hAnsi="Times New Roman" w:cs="Times New Roman"/>
          <w:sz w:val="24"/>
          <w:szCs w:val="24"/>
        </w:rPr>
        <w:t xml:space="preserve"> not</w:t>
      </w:r>
      <w:r w:rsidR="00C107C5">
        <w:rPr>
          <w:rFonts w:ascii="Times New Roman" w:hAnsi="Times New Roman" w:cs="Times New Roman"/>
          <w:sz w:val="24"/>
          <w:szCs w:val="24"/>
        </w:rPr>
        <w:t xml:space="preserve"> ‘founded upon principle’.</w:t>
      </w:r>
      <w:r w:rsidR="00C107C5">
        <w:rPr>
          <w:rStyle w:val="FootnoteReference"/>
          <w:rFonts w:cs="Times New Roman"/>
          <w:szCs w:val="24"/>
        </w:rPr>
        <w:footnoteReference w:id="5"/>
      </w:r>
      <w:r w:rsidR="00981550">
        <w:rPr>
          <w:rFonts w:ascii="Times New Roman" w:hAnsi="Times New Roman" w:cs="Times New Roman"/>
          <w:sz w:val="24"/>
          <w:szCs w:val="24"/>
        </w:rPr>
        <w:t xml:space="preserve"> Academic criticism has been</w:t>
      </w:r>
      <w:r w:rsidR="007611C8">
        <w:rPr>
          <w:rFonts w:ascii="Times New Roman" w:hAnsi="Times New Roman" w:cs="Times New Roman"/>
          <w:sz w:val="24"/>
          <w:szCs w:val="24"/>
        </w:rPr>
        <w:t xml:space="preserve"> even more</w:t>
      </w:r>
      <w:r w:rsidR="00981550">
        <w:rPr>
          <w:rFonts w:ascii="Times New Roman" w:hAnsi="Times New Roman" w:cs="Times New Roman"/>
          <w:sz w:val="24"/>
          <w:szCs w:val="24"/>
        </w:rPr>
        <w:t xml:space="preserve"> scathing:</w:t>
      </w:r>
      <w:r w:rsidR="00C61002">
        <w:rPr>
          <w:rFonts w:ascii="Times New Roman" w:hAnsi="Times New Roman" w:cs="Times New Roman"/>
          <w:sz w:val="24"/>
          <w:szCs w:val="24"/>
        </w:rPr>
        <w:t xml:space="preserve"> the</w:t>
      </w:r>
      <w:r w:rsidR="00B31E4D">
        <w:rPr>
          <w:rFonts w:ascii="Times New Roman" w:hAnsi="Times New Roman" w:cs="Times New Roman"/>
          <w:sz w:val="24"/>
          <w:szCs w:val="24"/>
        </w:rPr>
        <w:t xml:space="preserve"> rules</w:t>
      </w:r>
      <w:r w:rsidR="00C61002">
        <w:rPr>
          <w:rFonts w:ascii="Times New Roman" w:hAnsi="Times New Roman" w:cs="Times New Roman"/>
          <w:sz w:val="24"/>
          <w:szCs w:val="24"/>
        </w:rPr>
        <w:t xml:space="preserve"> </w:t>
      </w:r>
      <w:r w:rsidR="001E425B">
        <w:rPr>
          <w:rFonts w:ascii="Times New Roman" w:hAnsi="Times New Roman" w:cs="Times New Roman"/>
          <w:sz w:val="24"/>
          <w:szCs w:val="24"/>
        </w:rPr>
        <w:t>are</w:t>
      </w:r>
      <w:r w:rsidR="00C61002">
        <w:rPr>
          <w:rFonts w:ascii="Times New Roman" w:hAnsi="Times New Roman" w:cs="Times New Roman"/>
          <w:sz w:val="24"/>
          <w:szCs w:val="24"/>
        </w:rPr>
        <w:t xml:space="preserve"> </w:t>
      </w:r>
      <w:r w:rsidR="002B3B31">
        <w:rPr>
          <w:rFonts w:ascii="Times New Roman" w:hAnsi="Times New Roman" w:cs="Times New Roman"/>
          <w:sz w:val="24"/>
          <w:szCs w:val="24"/>
        </w:rPr>
        <w:t>‘invidious’,</w:t>
      </w:r>
      <w:bookmarkStart w:id="2" w:name="_Ref31039214"/>
      <w:r w:rsidR="00383536">
        <w:rPr>
          <w:rStyle w:val="FootnoteReference"/>
          <w:rFonts w:cs="Times New Roman"/>
          <w:szCs w:val="24"/>
        </w:rPr>
        <w:footnoteReference w:id="6"/>
      </w:r>
      <w:bookmarkEnd w:id="2"/>
      <w:r w:rsidR="00DE04F3">
        <w:rPr>
          <w:rFonts w:ascii="Times New Roman" w:hAnsi="Times New Roman" w:cs="Times New Roman"/>
          <w:sz w:val="24"/>
          <w:szCs w:val="24"/>
        </w:rPr>
        <w:t xml:space="preserve"> ‘irrational’</w:t>
      </w:r>
      <w:bookmarkStart w:id="3" w:name="_Ref31648882"/>
      <w:r w:rsidR="00401C70">
        <w:rPr>
          <w:rStyle w:val="FootnoteReference"/>
          <w:rFonts w:cs="Times New Roman"/>
          <w:szCs w:val="24"/>
        </w:rPr>
        <w:footnoteReference w:id="7"/>
      </w:r>
      <w:bookmarkEnd w:id="3"/>
      <w:r w:rsidR="00DE04F3">
        <w:rPr>
          <w:rFonts w:ascii="Times New Roman" w:hAnsi="Times New Roman" w:cs="Times New Roman"/>
          <w:sz w:val="24"/>
          <w:szCs w:val="24"/>
        </w:rPr>
        <w:t xml:space="preserve">, </w:t>
      </w:r>
      <w:r w:rsidR="00392EB0">
        <w:rPr>
          <w:rFonts w:ascii="Times New Roman" w:hAnsi="Times New Roman" w:cs="Times New Roman"/>
          <w:sz w:val="24"/>
          <w:szCs w:val="24"/>
        </w:rPr>
        <w:t>‘arbitrary’,</w:t>
      </w:r>
      <w:r w:rsidR="00E91D4B">
        <w:rPr>
          <w:rStyle w:val="FootnoteReference"/>
          <w:rFonts w:cs="Times New Roman"/>
          <w:szCs w:val="24"/>
        </w:rPr>
        <w:footnoteReference w:id="8"/>
      </w:r>
      <w:r w:rsidR="00392EB0">
        <w:rPr>
          <w:rFonts w:ascii="Times New Roman" w:hAnsi="Times New Roman" w:cs="Times New Roman"/>
          <w:sz w:val="24"/>
          <w:szCs w:val="24"/>
        </w:rPr>
        <w:t xml:space="preserve"> ‘illogical’</w:t>
      </w:r>
      <w:r w:rsidR="00D173C4">
        <w:rPr>
          <w:rFonts w:ascii="Times New Roman" w:hAnsi="Times New Roman" w:cs="Times New Roman"/>
          <w:sz w:val="24"/>
          <w:szCs w:val="24"/>
        </w:rPr>
        <w:t>,</w:t>
      </w:r>
      <w:bookmarkStart w:id="4" w:name="_Ref31204352"/>
      <w:r w:rsidR="007925E7">
        <w:rPr>
          <w:rStyle w:val="FootnoteReference"/>
          <w:rFonts w:cs="Times New Roman"/>
          <w:szCs w:val="24"/>
        </w:rPr>
        <w:footnoteReference w:id="9"/>
      </w:r>
      <w:bookmarkEnd w:id="4"/>
      <w:r w:rsidR="00D173C4">
        <w:rPr>
          <w:rFonts w:ascii="Times New Roman" w:hAnsi="Times New Roman" w:cs="Times New Roman"/>
          <w:sz w:val="24"/>
          <w:szCs w:val="24"/>
        </w:rPr>
        <w:t xml:space="preserve"> ‘ignoble’,</w:t>
      </w:r>
      <w:r w:rsidR="00B71B2F">
        <w:rPr>
          <w:rStyle w:val="FootnoteReference"/>
          <w:rFonts w:cs="Times New Roman"/>
          <w:szCs w:val="24"/>
        </w:rPr>
        <w:footnoteReference w:id="10"/>
      </w:r>
      <w:r w:rsidR="00B31E4D">
        <w:rPr>
          <w:rFonts w:ascii="Times New Roman" w:hAnsi="Times New Roman" w:cs="Times New Roman"/>
          <w:sz w:val="24"/>
          <w:szCs w:val="24"/>
        </w:rPr>
        <w:t xml:space="preserve"> ‘</w:t>
      </w:r>
      <w:r w:rsidR="00444648">
        <w:rPr>
          <w:rFonts w:ascii="Times New Roman" w:hAnsi="Times New Roman" w:cs="Times New Roman"/>
          <w:sz w:val="24"/>
          <w:szCs w:val="24"/>
        </w:rPr>
        <w:t xml:space="preserve">a </w:t>
      </w:r>
      <w:r w:rsidR="00B31E4D">
        <w:rPr>
          <w:rFonts w:ascii="Times New Roman" w:hAnsi="Times New Roman" w:cs="Times New Roman"/>
          <w:sz w:val="24"/>
          <w:szCs w:val="24"/>
        </w:rPr>
        <w:t>pervers</w:t>
      </w:r>
      <w:r w:rsidR="00444648">
        <w:rPr>
          <w:rFonts w:ascii="Times New Roman" w:hAnsi="Times New Roman" w:cs="Times New Roman"/>
          <w:sz w:val="24"/>
          <w:szCs w:val="24"/>
        </w:rPr>
        <w:t>ion</w:t>
      </w:r>
      <w:r w:rsidR="00B31E4D">
        <w:rPr>
          <w:rFonts w:ascii="Times New Roman" w:hAnsi="Times New Roman" w:cs="Times New Roman"/>
          <w:sz w:val="24"/>
          <w:szCs w:val="24"/>
        </w:rPr>
        <w:t>’,</w:t>
      </w:r>
      <w:bookmarkStart w:id="5" w:name="_Ref31648948"/>
      <w:r w:rsidR="00444648">
        <w:rPr>
          <w:rStyle w:val="FootnoteReference"/>
          <w:rFonts w:cs="Times New Roman"/>
          <w:szCs w:val="24"/>
        </w:rPr>
        <w:footnoteReference w:id="11"/>
      </w:r>
      <w:bookmarkEnd w:id="5"/>
      <w:r w:rsidR="00D173C4">
        <w:rPr>
          <w:rFonts w:ascii="Times New Roman" w:hAnsi="Times New Roman" w:cs="Times New Roman"/>
          <w:sz w:val="24"/>
          <w:szCs w:val="24"/>
        </w:rPr>
        <w:t xml:space="preserve"> </w:t>
      </w:r>
      <w:r w:rsidR="00491166">
        <w:rPr>
          <w:rFonts w:ascii="Times New Roman" w:hAnsi="Times New Roman" w:cs="Times New Roman"/>
          <w:sz w:val="24"/>
          <w:szCs w:val="24"/>
        </w:rPr>
        <w:t>‘indecorous’</w:t>
      </w:r>
      <w:r w:rsidR="001F1CF6">
        <w:rPr>
          <w:rFonts w:ascii="Times New Roman" w:hAnsi="Times New Roman" w:cs="Times New Roman"/>
          <w:sz w:val="24"/>
          <w:szCs w:val="24"/>
        </w:rPr>
        <w:t>,</w:t>
      </w:r>
      <w:r w:rsidR="00756ACA">
        <w:rPr>
          <w:rStyle w:val="FootnoteReference"/>
          <w:rFonts w:cs="Times New Roman"/>
          <w:szCs w:val="24"/>
        </w:rPr>
        <w:footnoteReference w:id="12"/>
      </w:r>
      <w:r w:rsidR="001F1CF6">
        <w:rPr>
          <w:rFonts w:ascii="Times New Roman" w:hAnsi="Times New Roman" w:cs="Times New Roman"/>
          <w:sz w:val="24"/>
          <w:szCs w:val="24"/>
        </w:rPr>
        <w:t xml:space="preserve"> ‘dreadful’,</w:t>
      </w:r>
      <w:r w:rsidR="00331706">
        <w:rPr>
          <w:rStyle w:val="FootnoteReference"/>
          <w:rFonts w:cs="Times New Roman"/>
          <w:szCs w:val="24"/>
        </w:rPr>
        <w:footnoteReference w:id="13"/>
      </w:r>
      <w:r w:rsidR="001F1CF6">
        <w:rPr>
          <w:rFonts w:ascii="Times New Roman" w:hAnsi="Times New Roman" w:cs="Times New Roman"/>
          <w:sz w:val="24"/>
          <w:szCs w:val="24"/>
        </w:rPr>
        <w:t xml:space="preserve"> ‘inconsistent’</w:t>
      </w:r>
      <w:r w:rsidR="00C936A1">
        <w:rPr>
          <w:rFonts w:ascii="Times New Roman" w:hAnsi="Times New Roman" w:cs="Times New Roman"/>
          <w:sz w:val="24"/>
          <w:szCs w:val="24"/>
        </w:rPr>
        <w:t>,</w:t>
      </w:r>
      <w:bookmarkStart w:id="6" w:name="_Ref31291783"/>
      <w:r w:rsidR="00F05934">
        <w:rPr>
          <w:rStyle w:val="FootnoteReference"/>
          <w:rFonts w:cs="Times New Roman"/>
          <w:szCs w:val="24"/>
        </w:rPr>
        <w:footnoteReference w:id="14"/>
      </w:r>
      <w:bookmarkEnd w:id="6"/>
      <w:r w:rsidR="00C936A1">
        <w:rPr>
          <w:rFonts w:ascii="Times New Roman" w:hAnsi="Times New Roman" w:cs="Times New Roman"/>
          <w:sz w:val="24"/>
          <w:szCs w:val="24"/>
        </w:rPr>
        <w:t xml:space="preserve"> ‘bewildering’</w:t>
      </w:r>
      <w:bookmarkStart w:id="7" w:name="_Ref31038105"/>
      <w:r w:rsidR="0080439D">
        <w:rPr>
          <w:rStyle w:val="FootnoteReference"/>
          <w:rFonts w:cs="Times New Roman"/>
          <w:szCs w:val="24"/>
        </w:rPr>
        <w:footnoteReference w:id="15"/>
      </w:r>
      <w:bookmarkEnd w:id="7"/>
      <w:r w:rsidR="001F1CF6">
        <w:rPr>
          <w:rFonts w:ascii="Times New Roman" w:hAnsi="Times New Roman" w:cs="Times New Roman"/>
          <w:sz w:val="24"/>
          <w:szCs w:val="24"/>
        </w:rPr>
        <w:t xml:space="preserve"> and ‘silly’</w:t>
      </w:r>
      <w:bookmarkStart w:id="8" w:name="_Ref31653286"/>
      <w:r w:rsidR="002F7101">
        <w:rPr>
          <w:rStyle w:val="FootnoteReference"/>
          <w:rFonts w:cs="Times New Roman"/>
          <w:szCs w:val="24"/>
        </w:rPr>
        <w:footnoteReference w:id="16"/>
      </w:r>
      <w:bookmarkEnd w:id="8"/>
      <w:r w:rsidR="001E425B">
        <w:rPr>
          <w:rFonts w:ascii="Times New Roman" w:hAnsi="Times New Roman" w:cs="Times New Roman"/>
          <w:sz w:val="24"/>
          <w:szCs w:val="24"/>
        </w:rPr>
        <w:t xml:space="preserve"> and</w:t>
      </w:r>
      <w:r w:rsidR="00B31E4D">
        <w:rPr>
          <w:rFonts w:ascii="Times New Roman" w:hAnsi="Times New Roman" w:cs="Times New Roman"/>
          <w:sz w:val="24"/>
          <w:szCs w:val="24"/>
        </w:rPr>
        <w:t xml:space="preserve"> the</w:t>
      </w:r>
      <w:r w:rsidR="00E34AD4">
        <w:rPr>
          <w:rFonts w:ascii="Times New Roman" w:hAnsi="Times New Roman" w:cs="Times New Roman"/>
          <w:sz w:val="24"/>
          <w:szCs w:val="24"/>
        </w:rPr>
        <w:t xml:space="preserve"> law </w:t>
      </w:r>
      <w:r w:rsidR="00C60720">
        <w:rPr>
          <w:rFonts w:ascii="Times New Roman" w:hAnsi="Times New Roman" w:cs="Times New Roman"/>
          <w:sz w:val="24"/>
          <w:szCs w:val="24"/>
        </w:rPr>
        <w:t>i</w:t>
      </w:r>
      <w:r w:rsidR="00086E87">
        <w:rPr>
          <w:rFonts w:ascii="Times New Roman" w:hAnsi="Times New Roman" w:cs="Times New Roman"/>
          <w:sz w:val="24"/>
          <w:szCs w:val="24"/>
        </w:rPr>
        <w:t xml:space="preserve">s </w:t>
      </w:r>
      <w:r w:rsidR="00B31E4D">
        <w:rPr>
          <w:rFonts w:ascii="Times New Roman" w:hAnsi="Times New Roman" w:cs="Times New Roman"/>
          <w:sz w:val="24"/>
          <w:szCs w:val="24"/>
        </w:rPr>
        <w:t>‘in disarray’</w:t>
      </w:r>
      <w:r w:rsidR="00F63FAD">
        <w:rPr>
          <w:rFonts w:ascii="Times New Roman" w:hAnsi="Times New Roman" w:cs="Times New Roman"/>
          <w:sz w:val="24"/>
          <w:szCs w:val="24"/>
        </w:rPr>
        <w:t>,</w:t>
      </w:r>
      <w:bookmarkStart w:id="9" w:name="_Ref31653325"/>
      <w:r w:rsidR="003D1607">
        <w:rPr>
          <w:rStyle w:val="FootnoteReference"/>
          <w:rFonts w:cs="Times New Roman"/>
          <w:szCs w:val="24"/>
        </w:rPr>
        <w:footnoteReference w:id="17"/>
      </w:r>
      <w:bookmarkEnd w:id="9"/>
      <w:r w:rsidR="0075481A">
        <w:rPr>
          <w:rFonts w:ascii="Times New Roman" w:hAnsi="Times New Roman" w:cs="Times New Roman"/>
          <w:sz w:val="24"/>
          <w:szCs w:val="24"/>
        </w:rPr>
        <w:t xml:space="preserve"> </w:t>
      </w:r>
      <w:r w:rsidR="008841DE">
        <w:rPr>
          <w:rFonts w:ascii="Times New Roman" w:hAnsi="Times New Roman" w:cs="Times New Roman"/>
          <w:sz w:val="24"/>
          <w:szCs w:val="24"/>
        </w:rPr>
        <w:t>a ‘lottery’</w:t>
      </w:r>
      <w:r w:rsidR="00010AB3">
        <w:rPr>
          <w:rStyle w:val="FootnoteReference"/>
          <w:rFonts w:cs="Times New Roman"/>
          <w:szCs w:val="24"/>
        </w:rPr>
        <w:footnoteReference w:id="18"/>
      </w:r>
      <w:r w:rsidR="00B31E4D">
        <w:rPr>
          <w:rFonts w:ascii="Times New Roman" w:hAnsi="Times New Roman" w:cs="Times New Roman"/>
          <w:sz w:val="24"/>
          <w:szCs w:val="24"/>
        </w:rPr>
        <w:t xml:space="preserve"> and</w:t>
      </w:r>
      <w:r w:rsidR="00E34AD4">
        <w:rPr>
          <w:rFonts w:ascii="Times New Roman" w:hAnsi="Times New Roman" w:cs="Times New Roman"/>
          <w:sz w:val="24"/>
          <w:szCs w:val="24"/>
        </w:rPr>
        <w:t xml:space="preserve"> even</w:t>
      </w:r>
      <w:r w:rsidR="001C0AE0">
        <w:rPr>
          <w:rFonts w:ascii="Times New Roman" w:hAnsi="Times New Roman" w:cs="Times New Roman"/>
          <w:sz w:val="24"/>
          <w:szCs w:val="24"/>
        </w:rPr>
        <w:t xml:space="preserve"> a</w:t>
      </w:r>
      <w:r w:rsidR="00E34AD4">
        <w:rPr>
          <w:rFonts w:ascii="Times New Roman" w:hAnsi="Times New Roman" w:cs="Times New Roman"/>
          <w:sz w:val="24"/>
          <w:szCs w:val="24"/>
        </w:rPr>
        <w:t xml:space="preserve"> ‘cancer’.</w:t>
      </w:r>
      <w:bookmarkStart w:id="10" w:name="_Ref30604256"/>
      <w:r w:rsidR="002D13A3">
        <w:rPr>
          <w:rStyle w:val="FootnoteReference"/>
          <w:rFonts w:cs="Times New Roman"/>
          <w:szCs w:val="24"/>
        </w:rPr>
        <w:footnoteReference w:id="19"/>
      </w:r>
      <w:bookmarkEnd w:id="10"/>
    </w:p>
    <w:p w14:paraId="2820F8B1" w14:textId="4380BF43" w:rsidR="00634E98" w:rsidRDefault="00A66518" w:rsidP="00C84449">
      <w:pPr>
        <w:rPr>
          <w:rFonts w:ascii="Times New Roman" w:hAnsi="Times New Roman" w:cs="Times New Roman"/>
          <w:sz w:val="24"/>
          <w:szCs w:val="24"/>
        </w:rPr>
      </w:pPr>
      <w:r>
        <w:rPr>
          <w:rFonts w:ascii="Times New Roman" w:hAnsi="Times New Roman" w:cs="Times New Roman"/>
          <w:sz w:val="24"/>
          <w:szCs w:val="24"/>
        </w:rPr>
        <w:t>Much of t</w:t>
      </w:r>
      <w:r w:rsidR="00F03F9F">
        <w:rPr>
          <w:rFonts w:ascii="Times New Roman" w:hAnsi="Times New Roman" w:cs="Times New Roman"/>
          <w:sz w:val="24"/>
          <w:szCs w:val="24"/>
        </w:rPr>
        <w:t>he</w:t>
      </w:r>
      <w:r w:rsidR="002D2C83">
        <w:rPr>
          <w:rFonts w:ascii="Times New Roman" w:hAnsi="Times New Roman" w:cs="Times New Roman"/>
          <w:sz w:val="24"/>
          <w:szCs w:val="24"/>
        </w:rPr>
        <w:t xml:space="preserve"> controversy boils down to</w:t>
      </w:r>
      <w:r w:rsidR="00F03F9F">
        <w:rPr>
          <w:rFonts w:ascii="Times New Roman" w:hAnsi="Times New Roman" w:cs="Times New Roman"/>
          <w:sz w:val="24"/>
          <w:szCs w:val="24"/>
        </w:rPr>
        <w:t xml:space="preserve"> </w:t>
      </w:r>
      <w:r w:rsidR="005775D9">
        <w:rPr>
          <w:rFonts w:ascii="Times New Roman" w:hAnsi="Times New Roman" w:cs="Times New Roman"/>
          <w:sz w:val="24"/>
          <w:szCs w:val="24"/>
        </w:rPr>
        <w:t>a</w:t>
      </w:r>
      <w:r w:rsidR="008B3C29">
        <w:rPr>
          <w:rFonts w:ascii="Times New Roman" w:hAnsi="Times New Roman" w:cs="Times New Roman"/>
          <w:sz w:val="24"/>
          <w:szCs w:val="24"/>
        </w:rPr>
        <w:t xml:space="preserve"> spurious</w:t>
      </w:r>
      <w:r w:rsidR="005775D9">
        <w:rPr>
          <w:rFonts w:ascii="Times New Roman" w:hAnsi="Times New Roman" w:cs="Times New Roman"/>
          <w:sz w:val="24"/>
          <w:szCs w:val="24"/>
        </w:rPr>
        <w:t xml:space="preserve"> distinction</w:t>
      </w:r>
      <w:r w:rsidR="00F63C26">
        <w:rPr>
          <w:rFonts w:ascii="Times New Roman" w:hAnsi="Times New Roman" w:cs="Times New Roman"/>
          <w:sz w:val="24"/>
          <w:szCs w:val="24"/>
        </w:rPr>
        <w:t xml:space="preserve"> </w:t>
      </w:r>
      <w:r w:rsidR="00FF602F">
        <w:rPr>
          <w:rFonts w:ascii="Times New Roman" w:hAnsi="Times New Roman" w:cs="Times New Roman"/>
          <w:sz w:val="24"/>
          <w:szCs w:val="24"/>
        </w:rPr>
        <w:t>between physical and mental injuries</w:t>
      </w:r>
      <w:r w:rsidR="00E60C5B">
        <w:rPr>
          <w:rFonts w:ascii="Times New Roman" w:hAnsi="Times New Roman" w:cs="Times New Roman"/>
          <w:sz w:val="24"/>
          <w:szCs w:val="24"/>
        </w:rPr>
        <w:t xml:space="preserve"> </w:t>
      </w:r>
      <w:r w:rsidR="0031492F">
        <w:rPr>
          <w:rFonts w:ascii="Times New Roman" w:hAnsi="Times New Roman" w:cs="Times New Roman"/>
          <w:sz w:val="24"/>
          <w:szCs w:val="24"/>
        </w:rPr>
        <w:t>within</w:t>
      </w:r>
      <w:r w:rsidR="00F63C26">
        <w:rPr>
          <w:rFonts w:ascii="Times New Roman" w:hAnsi="Times New Roman" w:cs="Times New Roman"/>
          <w:sz w:val="24"/>
          <w:szCs w:val="24"/>
        </w:rPr>
        <w:t xml:space="preserve"> </w:t>
      </w:r>
      <w:r w:rsidR="00EB48E4">
        <w:rPr>
          <w:rFonts w:ascii="Times New Roman" w:hAnsi="Times New Roman" w:cs="Times New Roman"/>
          <w:sz w:val="24"/>
          <w:szCs w:val="24"/>
        </w:rPr>
        <w:t>tort</w:t>
      </w:r>
      <w:r w:rsidR="00F63C26">
        <w:rPr>
          <w:rFonts w:ascii="Times New Roman" w:hAnsi="Times New Roman" w:cs="Times New Roman"/>
          <w:sz w:val="24"/>
          <w:szCs w:val="24"/>
        </w:rPr>
        <w:t xml:space="preserve"> law’s conception of duty</w:t>
      </w:r>
      <w:r w:rsidR="00144698">
        <w:rPr>
          <w:rFonts w:ascii="Times New Roman" w:hAnsi="Times New Roman" w:cs="Times New Roman"/>
          <w:sz w:val="24"/>
          <w:szCs w:val="24"/>
        </w:rPr>
        <w:t>.</w:t>
      </w:r>
      <w:r w:rsidR="0046632B">
        <w:rPr>
          <w:rFonts w:ascii="Times New Roman" w:hAnsi="Times New Roman" w:cs="Times New Roman"/>
          <w:sz w:val="24"/>
          <w:szCs w:val="24"/>
        </w:rPr>
        <w:t xml:space="preserve"> </w:t>
      </w:r>
      <w:r w:rsidR="00144698">
        <w:rPr>
          <w:rFonts w:ascii="Times New Roman" w:hAnsi="Times New Roman" w:cs="Times New Roman"/>
          <w:sz w:val="24"/>
          <w:szCs w:val="24"/>
        </w:rPr>
        <w:t>W</w:t>
      </w:r>
      <w:r w:rsidR="0046632B">
        <w:rPr>
          <w:rFonts w:ascii="Times New Roman" w:hAnsi="Times New Roman" w:cs="Times New Roman"/>
          <w:sz w:val="24"/>
          <w:szCs w:val="24"/>
        </w:rPr>
        <w:t>hile it is trite that a defendant</w:t>
      </w:r>
      <w:r w:rsidR="004C0108">
        <w:rPr>
          <w:rFonts w:ascii="Times New Roman" w:hAnsi="Times New Roman" w:cs="Times New Roman"/>
          <w:sz w:val="24"/>
          <w:szCs w:val="24"/>
        </w:rPr>
        <w:t xml:space="preserve"> </w:t>
      </w:r>
      <w:r w:rsidR="00F323F6">
        <w:rPr>
          <w:rFonts w:ascii="Times New Roman" w:hAnsi="Times New Roman" w:cs="Times New Roman"/>
          <w:sz w:val="24"/>
          <w:szCs w:val="24"/>
        </w:rPr>
        <w:t xml:space="preserve">ordinarily </w:t>
      </w:r>
      <w:r w:rsidR="00EB4311">
        <w:rPr>
          <w:rFonts w:ascii="Times New Roman" w:hAnsi="Times New Roman" w:cs="Times New Roman"/>
          <w:sz w:val="24"/>
          <w:szCs w:val="24"/>
        </w:rPr>
        <w:t>owe</w:t>
      </w:r>
      <w:r w:rsidR="00F323F6">
        <w:rPr>
          <w:rFonts w:ascii="Times New Roman" w:hAnsi="Times New Roman" w:cs="Times New Roman"/>
          <w:sz w:val="24"/>
          <w:szCs w:val="24"/>
        </w:rPr>
        <w:t>s</w:t>
      </w:r>
      <w:r w:rsidR="00EB4311">
        <w:rPr>
          <w:rFonts w:ascii="Times New Roman" w:hAnsi="Times New Roman" w:cs="Times New Roman"/>
          <w:sz w:val="24"/>
          <w:szCs w:val="24"/>
        </w:rPr>
        <w:t xml:space="preserve"> a duty </w:t>
      </w:r>
      <w:r w:rsidR="00010820">
        <w:rPr>
          <w:rFonts w:ascii="Times New Roman" w:hAnsi="Times New Roman" w:cs="Times New Roman"/>
          <w:sz w:val="24"/>
          <w:szCs w:val="24"/>
        </w:rPr>
        <w:t xml:space="preserve">to protect </w:t>
      </w:r>
      <w:r w:rsidR="00050487">
        <w:rPr>
          <w:rFonts w:ascii="Times New Roman" w:hAnsi="Times New Roman" w:cs="Times New Roman"/>
          <w:sz w:val="24"/>
          <w:szCs w:val="24"/>
        </w:rPr>
        <w:t xml:space="preserve">others from </w:t>
      </w:r>
      <w:r w:rsidR="000D3EFD">
        <w:rPr>
          <w:rFonts w:ascii="Times New Roman" w:hAnsi="Times New Roman" w:cs="Times New Roman"/>
          <w:sz w:val="24"/>
          <w:szCs w:val="24"/>
        </w:rPr>
        <w:t xml:space="preserve">the </w:t>
      </w:r>
      <w:r w:rsidR="00471899">
        <w:rPr>
          <w:rFonts w:ascii="Times New Roman" w:hAnsi="Times New Roman" w:cs="Times New Roman"/>
          <w:sz w:val="24"/>
          <w:szCs w:val="24"/>
        </w:rPr>
        <w:t>reasonably</w:t>
      </w:r>
      <w:r w:rsidR="00050487">
        <w:rPr>
          <w:rFonts w:ascii="Times New Roman" w:hAnsi="Times New Roman" w:cs="Times New Roman"/>
          <w:sz w:val="24"/>
          <w:szCs w:val="24"/>
        </w:rPr>
        <w:t xml:space="preserve"> foreseeable risk of</w:t>
      </w:r>
      <w:r w:rsidR="00025AB7">
        <w:rPr>
          <w:rFonts w:ascii="Times New Roman" w:hAnsi="Times New Roman" w:cs="Times New Roman"/>
          <w:sz w:val="24"/>
          <w:szCs w:val="24"/>
        </w:rPr>
        <w:t xml:space="preserve"> </w:t>
      </w:r>
      <w:r w:rsidR="00025AB7" w:rsidRPr="00B71EDC">
        <w:rPr>
          <w:rFonts w:ascii="Times New Roman" w:hAnsi="Times New Roman" w:cs="Times New Roman"/>
          <w:i/>
          <w:iCs/>
          <w:sz w:val="24"/>
          <w:szCs w:val="24"/>
        </w:rPr>
        <w:t>physical</w:t>
      </w:r>
      <w:r w:rsidR="00050487">
        <w:rPr>
          <w:rFonts w:ascii="Times New Roman" w:hAnsi="Times New Roman" w:cs="Times New Roman"/>
          <w:sz w:val="24"/>
          <w:szCs w:val="24"/>
        </w:rPr>
        <w:t xml:space="preserve"> injury</w:t>
      </w:r>
      <w:r w:rsidR="00F323F6">
        <w:rPr>
          <w:rFonts w:ascii="Times New Roman" w:hAnsi="Times New Roman" w:cs="Times New Roman"/>
          <w:sz w:val="24"/>
          <w:szCs w:val="24"/>
        </w:rPr>
        <w:t xml:space="preserve"> he has created</w:t>
      </w:r>
      <w:r w:rsidR="00025AB7">
        <w:rPr>
          <w:rFonts w:ascii="Times New Roman" w:hAnsi="Times New Roman" w:cs="Times New Roman"/>
          <w:sz w:val="24"/>
          <w:szCs w:val="24"/>
        </w:rPr>
        <w:t>,</w:t>
      </w:r>
      <w:r w:rsidR="00350439">
        <w:rPr>
          <w:rStyle w:val="FootnoteReference"/>
          <w:rFonts w:cs="Times New Roman"/>
          <w:szCs w:val="24"/>
        </w:rPr>
        <w:footnoteReference w:id="20"/>
      </w:r>
      <w:r w:rsidR="00025AB7">
        <w:rPr>
          <w:rFonts w:ascii="Times New Roman" w:hAnsi="Times New Roman" w:cs="Times New Roman"/>
          <w:sz w:val="24"/>
          <w:szCs w:val="24"/>
        </w:rPr>
        <w:t xml:space="preserve"> the same </w:t>
      </w:r>
      <w:r w:rsidR="004C0108">
        <w:rPr>
          <w:rFonts w:ascii="Times New Roman" w:hAnsi="Times New Roman" w:cs="Times New Roman"/>
          <w:sz w:val="24"/>
          <w:szCs w:val="24"/>
        </w:rPr>
        <w:t xml:space="preserve">straightforward </w:t>
      </w:r>
      <w:r w:rsidR="00025AB7">
        <w:rPr>
          <w:rFonts w:ascii="Times New Roman" w:hAnsi="Times New Roman" w:cs="Times New Roman"/>
          <w:sz w:val="24"/>
          <w:szCs w:val="24"/>
        </w:rPr>
        <w:t>obligation does not arise where there is a risk</w:t>
      </w:r>
      <w:r w:rsidR="00835EFB">
        <w:rPr>
          <w:rFonts w:ascii="Times New Roman" w:hAnsi="Times New Roman" w:cs="Times New Roman"/>
          <w:sz w:val="24"/>
          <w:szCs w:val="24"/>
        </w:rPr>
        <w:t xml:space="preserve"> only</w:t>
      </w:r>
      <w:r w:rsidR="00025AB7">
        <w:rPr>
          <w:rFonts w:ascii="Times New Roman" w:hAnsi="Times New Roman" w:cs="Times New Roman"/>
          <w:sz w:val="24"/>
          <w:szCs w:val="24"/>
        </w:rPr>
        <w:t xml:space="preserve"> of </w:t>
      </w:r>
      <w:r w:rsidR="00025AB7" w:rsidRPr="00525B6C">
        <w:rPr>
          <w:rFonts w:ascii="Times New Roman" w:hAnsi="Times New Roman" w:cs="Times New Roman"/>
          <w:i/>
          <w:iCs/>
          <w:sz w:val="24"/>
          <w:szCs w:val="24"/>
        </w:rPr>
        <w:t>psychiatric</w:t>
      </w:r>
      <w:r w:rsidR="00025AB7">
        <w:rPr>
          <w:rFonts w:ascii="Times New Roman" w:hAnsi="Times New Roman" w:cs="Times New Roman"/>
          <w:sz w:val="24"/>
          <w:szCs w:val="24"/>
        </w:rPr>
        <w:t xml:space="preserve"> injury.</w:t>
      </w:r>
      <w:r w:rsidR="00417F3D">
        <w:rPr>
          <w:rFonts w:ascii="Times New Roman" w:hAnsi="Times New Roman" w:cs="Times New Roman"/>
          <w:sz w:val="24"/>
          <w:szCs w:val="24"/>
        </w:rPr>
        <w:t xml:space="preserve"> In</w:t>
      </w:r>
      <w:r w:rsidR="00674A14">
        <w:rPr>
          <w:rFonts w:ascii="Times New Roman" w:hAnsi="Times New Roman" w:cs="Times New Roman"/>
          <w:sz w:val="24"/>
          <w:szCs w:val="24"/>
        </w:rPr>
        <w:t xml:space="preserve"> those cases,</w:t>
      </w:r>
      <w:r w:rsidR="00887161">
        <w:rPr>
          <w:rFonts w:ascii="Times New Roman" w:hAnsi="Times New Roman" w:cs="Times New Roman"/>
          <w:sz w:val="24"/>
          <w:szCs w:val="24"/>
        </w:rPr>
        <w:t xml:space="preserve"> </w:t>
      </w:r>
      <w:r w:rsidR="00F902CF">
        <w:rPr>
          <w:rFonts w:ascii="Times New Roman" w:hAnsi="Times New Roman" w:cs="Times New Roman"/>
          <w:sz w:val="24"/>
          <w:szCs w:val="24"/>
        </w:rPr>
        <w:t>the claimant</w:t>
      </w:r>
      <w:r w:rsidR="00887161">
        <w:rPr>
          <w:rFonts w:ascii="Times New Roman" w:hAnsi="Times New Roman" w:cs="Times New Roman"/>
          <w:sz w:val="24"/>
          <w:szCs w:val="24"/>
        </w:rPr>
        <w:t xml:space="preserve"> must go to greater lengths</w:t>
      </w:r>
      <w:r w:rsidR="00F902CF">
        <w:rPr>
          <w:rFonts w:ascii="Times New Roman" w:hAnsi="Times New Roman" w:cs="Times New Roman"/>
          <w:sz w:val="24"/>
          <w:szCs w:val="24"/>
        </w:rPr>
        <w:t xml:space="preserve"> to prove that </w:t>
      </w:r>
      <w:r w:rsidR="000A1815">
        <w:rPr>
          <w:rFonts w:ascii="Times New Roman" w:hAnsi="Times New Roman" w:cs="Times New Roman"/>
          <w:sz w:val="24"/>
          <w:szCs w:val="24"/>
        </w:rPr>
        <w:t xml:space="preserve">the defendant owed </w:t>
      </w:r>
      <w:r w:rsidR="000A1815">
        <w:rPr>
          <w:rFonts w:ascii="Times New Roman" w:hAnsi="Times New Roman" w:cs="Times New Roman"/>
          <w:sz w:val="24"/>
          <w:szCs w:val="24"/>
        </w:rPr>
        <w:lastRenderedPageBreak/>
        <w:t>him a duty</w:t>
      </w:r>
      <w:r w:rsidR="003523F4">
        <w:rPr>
          <w:rFonts w:ascii="Times New Roman" w:hAnsi="Times New Roman" w:cs="Times New Roman"/>
          <w:sz w:val="24"/>
          <w:szCs w:val="24"/>
        </w:rPr>
        <w:t>.</w:t>
      </w:r>
      <w:r w:rsidR="006240B5">
        <w:rPr>
          <w:rFonts w:ascii="Times New Roman" w:hAnsi="Times New Roman" w:cs="Times New Roman"/>
          <w:sz w:val="24"/>
          <w:szCs w:val="24"/>
        </w:rPr>
        <w:t xml:space="preserve"> </w:t>
      </w:r>
      <w:r w:rsidR="00041F54">
        <w:rPr>
          <w:rFonts w:ascii="Times New Roman" w:hAnsi="Times New Roman" w:cs="Times New Roman"/>
          <w:sz w:val="24"/>
          <w:szCs w:val="24"/>
        </w:rPr>
        <w:t xml:space="preserve">It is therefore harder </w:t>
      </w:r>
      <w:r w:rsidR="009E35DA">
        <w:rPr>
          <w:rFonts w:ascii="Times New Roman" w:hAnsi="Times New Roman" w:cs="Times New Roman"/>
          <w:sz w:val="24"/>
          <w:szCs w:val="24"/>
        </w:rPr>
        <w:t xml:space="preserve">for </w:t>
      </w:r>
      <w:r w:rsidR="00041F54">
        <w:rPr>
          <w:rFonts w:ascii="Times New Roman" w:hAnsi="Times New Roman" w:cs="Times New Roman"/>
          <w:sz w:val="24"/>
          <w:szCs w:val="24"/>
        </w:rPr>
        <w:t>claimants</w:t>
      </w:r>
      <w:r w:rsidR="009E35DA">
        <w:rPr>
          <w:rFonts w:ascii="Times New Roman" w:hAnsi="Times New Roman" w:cs="Times New Roman"/>
          <w:sz w:val="24"/>
          <w:szCs w:val="24"/>
        </w:rPr>
        <w:t xml:space="preserve"> who suffer</w:t>
      </w:r>
      <w:r w:rsidR="001B6C3B">
        <w:rPr>
          <w:rFonts w:ascii="Times New Roman" w:hAnsi="Times New Roman" w:cs="Times New Roman"/>
          <w:sz w:val="24"/>
          <w:szCs w:val="24"/>
        </w:rPr>
        <w:t xml:space="preserve"> </w:t>
      </w:r>
      <w:r w:rsidR="00D62E0F">
        <w:rPr>
          <w:rFonts w:ascii="Times New Roman" w:hAnsi="Times New Roman" w:cs="Times New Roman"/>
          <w:sz w:val="24"/>
          <w:szCs w:val="24"/>
        </w:rPr>
        <w:t>only</w:t>
      </w:r>
      <w:r w:rsidR="009E35DA">
        <w:rPr>
          <w:rFonts w:ascii="Times New Roman" w:hAnsi="Times New Roman" w:cs="Times New Roman"/>
          <w:sz w:val="24"/>
          <w:szCs w:val="24"/>
        </w:rPr>
        <w:t xml:space="preserve"> </w:t>
      </w:r>
      <w:r w:rsidR="000A1739">
        <w:rPr>
          <w:rFonts w:ascii="Times New Roman" w:hAnsi="Times New Roman" w:cs="Times New Roman"/>
          <w:sz w:val="24"/>
          <w:szCs w:val="24"/>
        </w:rPr>
        <w:t>psychiatric</w:t>
      </w:r>
      <w:r w:rsidR="002D5B9F">
        <w:rPr>
          <w:rFonts w:ascii="Times New Roman" w:hAnsi="Times New Roman" w:cs="Times New Roman"/>
          <w:sz w:val="24"/>
          <w:szCs w:val="24"/>
        </w:rPr>
        <w:t xml:space="preserve"> </w:t>
      </w:r>
      <w:r w:rsidR="009E7DFA">
        <w:rPr>
          <w:rFonts w:ascii="Times New Roman" w:hAnsi="Times New Roman" w:cs="Times New Roman"/>
          <w:sz w:val="24"/>
          <w:szCs w:val="24"/>
        </w:rPr>
        <w:t>injury</w:t>
      </w:r>
      <w:r w:rsidR="009E35DA">
        <w:rPr>
          <w:rFonts w:ascii="Times New Roman" w:hAnsi="Times New Roman" w:cs="Times New Roman"/>
          <w:sz w:val="24"/>
          <w:szCs w:val="24"/>
        </w:rPr>
        <w:t xml:space="preserve"> </w:t>
      </w:r>
      <w:r w:rsidR="009C1355">
        <w:rPr>
          <w:rFonts w:ascii="Times New Roman" w:hAnsi="Times New Roman" w:cs="Times New Roman"/>
          <w:sz w:val="24"/>
          <w:szCs w:val="24"/>
        </w:rPr>
        <w:t>to recover compensation.</w:t>
      </w:r>
      <w:r w:rsidR="002D5B9F">
        <w:rPr>
          <w:rFonts w:ascii="Times New Roman" w:hAnsi="Times New Roman" w:cs="Times New Roman"/>
          <w:sz w:val="24"/>
          <w:szCs w:val="24"/>
        </w:rPr>
        <w:t xml:space="preserve"> </w:t>
      </w:r>
      <w:r w:rsidR="0080223F">
        <w:rPr>
          <w:rFonts w:ascii="Times New Roman" w:hAnsi="Times New Roman" w:cs="Times New Roman"/>
          <w:sz w:val="24"/>
          <w:szCs w:val="24"/>
        </w:rPr>
        <w:t>T</w:t>
      </w:r>
      <w:r w:rsidR="007D33C5">
        <w:rPr>
          <w:rFonts w:ascii="Times New Roman" w:hAnsi="Times New Roman" w:cs="Times New Roman"/>
          <w:sz w:val="24"/>
          <w:szCs w:val="24"/>
        </w:rPr>
        <w:t>h</w:t>
      </w:r>
      <w:r w:rsidR="00B23E8C">
        <w:rPr>
          <w:rFonts w:ascii="Times New Roman" w:hAnsi="Times New Roman" w:cs="Times New Roman"/>
          <w:sz w:val="24"/>
          <w:szCs w:val="24"/>
        </w:rPr>
        <w:t xml:space="preserve">is differential treatment </w:t>
      </w:r>
      <w:r w:rsidR="002347AC">
        <w:rPr>
          <w:rFonts w:ascii="Times New Roman" w:hAnsi="Times New Roman" w:cs="Times New Roman"/>
          <w:sz w:val="24"/>
          <w:szCs w:val="24"/>
        </w:rPr>
        <w:t>is</w:t>
      </w:r>
      <w:r w:rsidR="007D33C5">
        <w:rPr>
          <w:rFonts w:ascii="Times New Roman" w:hAnsi="Times New Roman" w:cs="Times New Roman"/>
          <w:sz w:val="24"/>
          <w:szCs w:val="24"/>
        </w:rPr>
        <w:t xml:space="preserve"> to blame for the critical chorus which has</w:t>
      </w:r>
      <w:r w:rsidR="00FE46B1">
        <w:rPr>
          <w:rFonts w:ascii="Times New Roman" w:hAnsi="Times New Roman" w:cs="Times New Roman"/>
          <w:sz w:val="24"/>
          <w:szCs w:val="24"/>
        </w:rPr>
        <w:t xml:space="preserve"> grown </w:t>
      </w:r>
      <w:r w:rsidR="005B6F93">
        <w:rPr>
          <w:rFonts w:ascii="Times New Roman" w:hAnsi="Times New Roman" w:cs="Times New Roman"/>
          <w:sz w:val="24"/>
          <w:szCs w:val="24"/>
        </w:rPr>
        <w:t xml:space="preserve">louder </w:t>
      </w:r>
      <w:r w:rsidR="00634E98">
        <w:rPr>
          <w:rFonts w:ascii="Times New Roman" w:hAnsi="Times New Roman" w:cs="Times New Roman"/>
          <w:sz w:val="24"/>
          <w:szCs w:val="24"/>
        </w:rPr>
        <w:t>over the last 40 years.</w:t>
      </w:r>
    </w:p>
    <w:p w14:paraId="656FC7A1" w14:textId="6FD9B775" w:rsidR="00E155E6" w:rsidRDefault="00EE2686" w:rsidP="00C84449">
      <w:pPr>
        <w:rPr>
          <w:rFonts w:ascii="Times New Roman" w:hAnsi="Times New Roman" w:cs="Times New Roman"/>
          <w:sz w:val="24"/>
          <w:szCs w:val="24"/>
        </w:rPr>
      </w:pPr>
      <w:r>
        <w:rPr>
          <w:rFonts w:ascii="Times New Roman" w:hAnsi="Times New Roman" w:cs="Times New Roman"/>
          <w:sz w:val="24"/>
          <w:szCs w:val="24"/>
        </w:rPr>
        <w:t xml:space="preserve">This </w:t>
      </w:r>
      <w:r w:rsidR="00887161">
        <w:rPr>
          <w:rFonts w:ascii="Times New Roman" w:hAnsi="Times New Roman" w:cs="Times New Roman"/>
          <w:sz w:val="24"/>
          <w:szCs w:val="24"/>
        </w:rPr>
        <w:t>article</w:t>
      </w:r>
      <w:r>
        <w:rPr>
          <w:rFonts w:ascii="Times New Roman" w:hAnsi="Times New Roman" w:cs="Times New Roman"/>
          <w:sz w:val="24"/>
          <w:szCs w:val="24"/>
        </w:rPr>
        <w:t xml:space="preserve"> adds another voice to that chorus</w:t>
      </w:r>
      <w:r w:rsidR="00C242D4">
        <w:rPr>
          <w:rFonts w:ascii="Times New Roman" w:hAnsi="Times New Roman" w:cs="Times New Roman"/>
          <w:sz w:val="24"/>
          <w:szCs w:val="24"/>
        </w:rPr>
        <w:t xml:space="preserve"> </w:t>
      </w:r>
      <w:r w:rsidR="00242070">
        <w:rPr>
          <w:rFonts w:ascii="Times New Roman" w:hAnsi="Times New Roman" w:cs="Times New Roman"/>
          <w:sz w:val="24"/>
          <w:szCs w:val="24"/>
        </w:rPr>
        <w:t xml:space="preserve">by refracting </w:t>
      </w:r>
      <w:r w:rsidR="00214E40" w:rsidRPr="00E472E7">
        <w:rPr>
          <w:rFonts w:ascii="Times New Roman" w:hAnsi="Times New Roman" w:cs="Times New Roman"/>
          <w:sz w:val="24"/>
          <w:szCs w:val="24"/>
        </w:rPr>
        <w:t>the</w:t>
      </w:r>
      <w:r w:rsidR="00F549AA">
        <w:rPr>
          <w:rFonts w:ascii="Times New Roman" w:hAnsi="Times New Roman" w:cs="Times New Roman"/>
          <w:sz w:val="24"/>
          <w:szCs w:val="24"/>
        </w:rPr>
        <w:t xml:space="preserve"> </w:t>
      </w:r>
      <w:r w:rsidR="00214E40">
        <w:rPr>
          <w:rFonts w:ascii="Times New Roman" w:hAnsi="Times New Roman" w:cs="Times New Roman"/>
          <w:sz w:val="24"/>
          <w:szCs w:val="24"/>
        </w:rPr>
        <w:t>rules</w:t>
      </w:r>
      <w:r w:rsidR="00226ACE">
        <w:rPr>
          <w:rFonts w:ascii="Times New Roman" w:hAnsi="Times New Roman" w:cs="Times New Roman"/>
          <w:sz w:val="24"/>
          <w:szCs w:val="24"/>
        </w:rPr>
        <w:t xml:space="preserve"> governing duty in psychiatric injury cases</w:t>
      </w:r>
      <w:r w:rsidR="00D77C40">
        <w:rPr>
          <w:rFonts w:ascii="Times New Roman" w:hAnsi="Times New Roman" w:cs="Times New Roman"/>
          <w:sz w:val="24"/>
          <w:szCs w:val="24"/>
        </w:rPr>
        <w:t xml:space="preserve"> </w:t>
      </w:r>
      <w:r w:rsidR="00F549AA">
        <w:rPr>
          <w:rFonts w:ascii="Times New Roman" w:hAnsi="Times New Roman" w:cs="Times New Roman"/>
          <w:sz w:val="24"/>
          <w:szCs w:val="24"/>
        </w:rPr>
        <w:t>through the prism of the United Nations</w:t>
      </w:r>
      <w:r w:rsidR="009E7DFA">
        <w:rPr>
          <w:rFonts w:ascii="Times New Roman" w:hAnsi="Times New Roman" w:cs="Times New Roman"/>
          <w:sz w:val="24"/>
          <w:szCs w:val="24"/>
        </w:rPr>
        <w:t xml:space="preserve"> (UN)</w:t>
      </w:r>
      <w:r w:rsidR="00F549AA">
        <w:rPr>
          <w:rFonts w:ascii="Times New Roman" w:hAnsi="Times New Roman" w:cs="Times New Roman"/>
          <w:sz w:val="24"/>
          <w:szCs w:val="24"/>
        </w:rPr>
        <w:t xml:space="preserve"> Convention on the Rights of Persons with Disabilities (CRPD)</w:t>
      </w:r>
      <w:r w:rsidR="00144FE6">
        <w:rPr>
          <w:rFonts w:ascii="Times New Roman" w:hAnsi="Times New Roman" w:cs="Times New Roman"/>
          <w:sz w:val="24"/>
          <w:szCs w:val="24"/>
        </w:rPr>
        <w:t>,</w:t>
      </w:r>
      <w:r w:rsidR="005B6F93">
        <w:rPr>
          <w:rStyle w:val="FootnoteReference"/>
          <w:rFonts w:cs="Times New Roman"/>
          <w:szCs w:val="24"/>
        </w:rPr>
        <w:footnoteReference w:id="21"/>
      </w:r>
      <w:r w:rsidR="00144FE6">
        <w:rPr>
          <w:rFonts w:ascii="Times New Roman" w:hAnsi="Times New Roman" w:cs="Times New Roman"/>
          <w:sz w:val="24"/>
          <w:szCs w:val="24"/>
        </w:rPr>
        <w:t xml:space="preserve"> which the United Kingdom (UK) has signed and ratified.</w:t>
      </w:r>
      <w:r w:rsidR="004C2077">
        <w:rPr>
          <w:rFonts w:ascii="Times New Roman" w:hAnsi="Times New Roman" w:cs="Times New Roman"/>
          <w:sz w:val="24"/>
          <w:szCs w:val="24"/>
        </w:rPr>
        <w:t xml:space="preserve"> </w:t>
      </w:r>
      <w:r w:rsidR="00161285">
        <w:rPr>
          <w:rFonts w:ascii="Times New Roman" w:hAnsi="Times New Roman" w:cs="Times New Roman"/>
          <w:sz w:val="24"/>
          <w:szCs w:val="24"/>
        </w:rPr>
        <w:t xml:space="preserve">The </w:t>
      </w:r>
      <w:r w:rsidR="004C2077">
        <w:rPr>
          <w:rFonts w:ascii="Times New Roman" w:hAnsi="Times New Roman" w:cs="Times New Roman"/>
          <w:sz w:val="24"/>
          <w:szCs w:val="24"/>
        </w:rPr>
        <w:t>CRPD</w:t>
      </w:r>
      <w:r w:rsidR="00C552B7">
        <w:rPr>
          <w:rFonts w:ascii="Times New Roman" w:hAnsi="Times New Roman" w:cs="Times New Roman"/>
          <w:sz w:val="24"/>
          <w:szCs w:val="24"/>
        </w:rPr>
        <w:t xml:space="preserve"> pro</w:t>
      </w:r>
      <w:r w:rsidR="00543C5F">
        <w:rPr>
          <w:rFonts w:ascii="Times New Roman" w:hAnsi="Times New Roman" w:cs="Times New Roman"/>
          <w:sz w:val="24"/>
          <w:szCs w:val="24"/>
        </w:rPr>
        <w:t xml:space="preserve">hibits </w:t>
      </w:r>
      <w:r w:rsidR="00C552B7">
        <w:rPr>
          <w:rFonts w:ascii="Times New Roman" w:hAnsi="Times New Roman" w:cs="Times New Roman"/>
          <w:sz w:val="24"/>
          <w:szCs w:val="24"/>
        </w:rPr>
        <w:t xml:space="preserve">the </w:t>
      </w:r>
      <w:r w:rsidR="003371E4">
        <w:rPr>
          <w:rFonts w:ascii="Times New Roman" w:hAnsi="Times New Roman" w:cs="Times New Roman"/>
          <w:sz w:val="24"/>
          <w:szCs w:val="24"/>
        </w:rPr>
        <w:t>use of disability as the justification for differential treatment</w:t>
      </w:r>
      <w:r w:rsidR="00543C5F">
        <w:rPr>
          <w:rFonts w:ascii="Times New Roman" w:hAnsi="Times New Roman" w:cs="Times New Roman"/>
          <w:sz w:val="24"/>
          <w:szCs w:val="24"/>
        </w:rPr>
        <w:t>; to do so is to</w:t>
      </w:r>
      <w:r w:rsidR="003371E4">
        <w:rPr>
          <w:rFonts w:ascii="Times New Roman" w:hAnsi="Times New Roman" w:cs="Times New Roman"/>
          <w:sz w:val="24"/>
          <w:szCs w:val="24"/>
        </w:rPr>
        <w:t xml:space="preserve"> contravene the human rights of persons with disabilities.</w:t>
      </w:r>
      <w:bookmarkStart w:id="11" w:name="_Ref26790760"/>
      <w:r w:rsidR="00C552B7">
        <w:rPr>
          <w:rStyle w:val="FootnoteReference"/>
          <w:rFonts w:cs="Times New Roman"/>
          <w:szCs w:val="24"/>
        </w:rPr>
        <w:footnoteReference w:id="22"/>
      </w:r>
      <w:bookmarkEnd w:id="11"/>
      <w:r w:rsidR="00251A0A">
        <w:rPr>
          <w:rFonts w:ascii="Times New Roman" w:hAnsi="Times New Roman" w:cs="Times New Roman"/>
          <w:sz w:val="24"/>
          <w:szCs w:val="24"/>
        </w:rPr>
        <w:t xml:space="preserve"> </w:t>
      </w:r>
      <w:r w:rsidR="00C428C0">
        <w:rPr>
          <w:rFonts w:ascii="Times New Roman" w:hAnsi="Times New Roman" w:cs="Times New Roman"/>
          <w:sz w:val="24"/>
          <w:szCs w:val="24"/>
        </w:rPr>
        <w:t>In light</w:t>
      </w:r>
      <w:r w:rsidR="00251A0A">
        <w:rPr>
          <w:rFonts w:ascii="Times New Roman" w:hAnsi="Times New Roman" w:cs="Times New Roman"/>
          <w:sz w:val="24"/>
          <w:szCs w:val="24"/>
        </w:rPr>
        <w:t xml:space="preserve"> of this, Bartlett says that </w:t>
      </w:r>
      <w:r w:rsidR="00994D48">
        <w:rPr>
          <w:rFonts w:ascii="Times New Roman" w:hAnsi="Times New Roman" w:cs="Times New Roman"/>
          <w:sz w:val="24"/>
          <w:szCs w:val="24"/>
        </w:rPr>
        <w:t>it is difficult to see how</w:t>
      </w:r>
      <w:r w:rsidR="009C1069">
        <w:rPr>
          <w:rFonts w:ascii="Times New Roman" w:hAnsi="Times New Roman" w:cs="Times New Roman"/>
          <w:sz w:val="24"/>
          <w:szCs w:val="24"/>
        </w:rPr>
        <w:t xml:space="preserve"> an entire suite of </w:t>
      </w:r>
      <w:r w:rsidR="00251A0A">
        <w:rPr>
          <w:rFonts w:ascii="Times New Roman" w:hAnsi="Times New Roman" w:cs="Times New Roman"/>
          <w:sz w:val="24"/>
          <w:szCs w:val="24"/>
        </w:rPr>
        <w:t>laws pertaining to</w:t>
      </w:r>
      <w:r w:rsidR="00994D48">
        <w:rPr>
          <w:rFonts w:ascii="Times New Roman" w:hAnsi="Times New Roman" w:cs="Times New Roman"/>
          <w:sz w:val="24"/>
          <w:szCs w:val="24"/>
        </w:rPr>
        <w:t xml:space="preserve"> mental health and capacity </w:t>
      </w:r>
      <w:r w:rsidR="009C1069">
        <w:rPr>
          <w:rFonts w:ascii="Times New Roman" w:hAnsi="Times New Roman" w:cs="Times New Roman"/>
          <w:sz w:val="24"/>
          <w:szCs w:val="24"/>
        </w:rPr>
        <w:t>is</w:t>
      </w:r>
      <w:r w:rsidR="00D6138B">
        <w:rPr>
          <w:rFonts w:ascii="Times New Roman" w:hAnsi="Times New Roman" w:cs="Times New Roman"/>
          <w:sz w:val="24"/>
          <w:szCs w:val="24"/>
        </w:rPr>
        <w:t xml:space="preserve"> even </w:t>
      </w:r>
      <w:r w:rsidR="00C552B7">
        <w:rPr>
          <w:rFonts w:ascii="Times New Roman" w:hAnsi="Times New Roman" w:cs="Times New Roman"/>
          <w:sz w:val="24"/>
          <w:szCs w:val="24"/>
        </w:rPr>
        <w:t>‘remotely compliant’ with the CRPD.</w:t>
      </w:r>
      <w:r w:rsidR="00C552B7">
        <w:rPr>
          <w:rStyle w:val="FootnoteReference"/>
          <w:rFonts w:cs="Times New Roman"/>
          <w:szCs w:val="24"/>
        </w:rPr>
        <w:footnoteReference w:id="23"/>
      </w:r>
      <w:r w:rsidR="00397C1A">
        <w:rPr>
          <w:rFonts w:ascii="Times New Roman" w:hAnsi="Times New Roman" w:cs="Times New Roman"/>
          <w:sz w:val="24"/>
          <w:szCs w:val="24"/>
        </w:rPr>
        <w:t xml:space="preserve"> The core</w:t>
      </w:r>
      <w:r w:rsidR="00F50A33">
        <w:rPr>
          <w:rFonts w:ascii="Times New Roman" w:hAnsi="Times New Roman" w:cs="Times New Roman"/>
          <w:sz w:val="24"/>
          <w:szCs w:val="24"/>
        </w:rPr>
        <w:t xml:space="preserve"> claim of this paper is that</w:t>
      </w:r>
      <w:r w:rsidR="00611600">
        <w:rPr>
          <w:rFonts w:ascii="Times New Roman" w:hAnsi="Times New Roman" w:cs="Times New Roman"/>
          <w:sz w:val="24"/>
          <w:szCs w:val="24"/>
        </w:rPr>
        <w:t xml:space="preserve"> the same can be said</w:t>
      </w:r>
      <w:r w:rsidR="00F50A33">
        <w:rPr>
          <w:rFonts w:ascii="Times New Roman" w:hAnsi="Times New Roman" w:cs="Times New Roman"/>
          <w:sz w:val="24"/>
          <w:szCs w:val="24"/>
        </w:rPr>
        <w:t xml:space="preserve"> </w:t>
      </w:r>
      <w:r w:rsidR="00867130">
        <w:rPr>
          <w:rFonts w:ascii="Times New Roman" w:hAnsi="Times New Roman" w:cs="Times New Roman"/>
          <w:sz w:val="24"/>
          <w:szCs w:val="24"/>
        </w:rPr>
        <w:t>about the</w:t>
      </w:r>
      <w:r w:rsidR="00263224">
        <w:rPr>
          <w:rFonts w:ascii="Times New Roman" w:hAnsi="Times New Roman" w:cs="Times New Roman"/>
          <w:sz w:val="24"/>
          <w:szCs w:val="24"/>
        </w:rPr>
        <w:t xml:space="preserve"> special</w:t>
      </w:r>
      <w:r w:rsidR="00867130">
        <w:rPr>
          <w:rFonts w:ascii="Times New Roman" w:hAnsi="Times New Roman" w:cs="Times New Roman"/>
          <w:sz w:val="24"/>
          <w:szCs w:val="24"/>
        </w:rPr>
        <w:t xml:space="preserve"> rules</w:t>
      </w:r>
      <w:r w:rsidR="00263224">
        <w:rPr>
          <w:rFonts w:ascii="Times New Roman" w:hAnsi="Times New Roman" w:cs="Times New Roman"/>
          <w:sz w:val="24"/>
          <w:szCs w:val="24"/>
        </w:rPr>
        <w:t xml:space="preserve"> </w:t>
      </w:r>
      <w:r w:rsidR="00277AD6">
        <w:rPr>
          <w:rFonts w:ascii="Times New Roman" w:hAnsi="Times New Roman" w:cs="Times New Roman"/>
          <w:sz w:val="24"/>
          <w:szCs w:val="24"/>
        </w:rPr>
        <w:t xml:space="preserve">which apply in </w:t>
      </w:r>
      <w:r w:rsidR="00263224">
        <w:rPr>
          <w:rFonts w:ascii="Times New Roman" w:hAnsi="Times New Roman" w:cs="Times New Roman"/>
          <w:sz w:val="24"/>
          <w:szCs w:val="24"/>
        </w:rPr>
        <w:t>psychiatric injury cases</w:t>
      </w:r>
      <w:r w:rsidR="00E155E6">
        <w:rPr>
          <w:rFonts w:ascii="Times New Roman" w:hAnsi="Times New Roman" w:cs="Times New Roman"/>
          <w:sz w:val="24"/>
          <w:szCs w:val="24"/>
        </w:rPr>
        <w:t>.</w:t>
      </w:r>
      <w:r w:rsidR="00476FDB">
        <w:rPr>
          <w:rFonts w:ascii="Times New Roman" w:hAnsi="Times New Roman" w:cs="Times New Roman"/>
          <w:sz w:val="24"/>
          <w:szCs w:val="24"/>
        </w:rPr>
        <w:t xml:space="preserve"> Because the presence of a ‘recognisable psychiatric illness’</w:t>
      </w:r>
      <w:bookmarkStart w:id="12" w:name="_Ref31737681"/>
      <w:r w:rsidR="00476FDB">
        <w:rPr>
          <w:rStyle w:val="FootnoteReference"/>
          <w:rFonts w:cs="Times New Roman"/>
          <w:szCs w:val="24"/>
        </w:rPr>
        <w:footnoteReference w:id="24"/>
      </w:r>
      <w:bookmarkEnd w:id="12"/>
      <w:r w:rsidR="0080223F">
        <w:rPr>
          <w:rFonts w:ascii="Times New Roman" w:hAnsi="Times New Roman" w:cs="Times New Roman"/>
          <w:sz w:val="24"/>
          <w:szCs w:val="24"/>
        </w:rPr>
        <w:t xml:space="preserve"> (</w:t>
      </w:r>
      <w:r w:rsidR="005911E9">
        <w:rPr>
          <w:rFonts w:ascii="Times New Roman" w:hAnsi="Times New Roman" w:cs="Times New Roman"/>
          <w:sz w:val="24"/>
          <w:szCs w:val="24"/>
        </w:rPr>
        <w:t>i.e.</w:t>
      </w:r>
      <w:r w:rsidR="001E5961">
        <w:rPr>
          <w:rFonts w:ascii="Times New Roman" w:hAnsi="Times New Roman" w:cs="Times New Roman"/>
          <w:sz w:val="24"/>
          <w:szCs w:val="24"/>
        </w:rPr>
        <w:t>,</w:t>
      </w:r>
      <w:r w:rsidR="0080223F">
        <w:rPr>
          <w:rFonts w:ascii="Times New Roman" w:hAnsi="Times New Roman" w:cs="Times New Roman"/>
          <w:sz w:val="24"/>
          <w:szCs w:val="24"/>
        </w:rPr>
        <w:t xml:space="preserve"> a mental </w:t>
      </w:r>
      <w:r w:rsidR="005911E9">
        <w:rPr>
          <w:rFonts w:ascii="Times New Roman" w:hAnsi="Times New Roman" w:cs="Times New Roman"/>
          <w:sz w:val="24"/>
          <w:szCs w:val="24"/>
        </w:rPr>
        <w:t>impairment</w:t>
      </w:r>
      <w:r w:rsidR="0080223F">
        <w:rPr>
          <w:rFonts w:ascii="Times New Roman" w:hAnsi="Times New Roman" w:cs="Times New Roman"/>
          <w:sz w:val="24"/>
          <w:szCs w:val="24"/>
        </w:rPr>
        <w:t>)</w:t>
      </w:r>
      <w:r w:rsidR="00611600">
        <w:rPr>
          <w:rFonts w:ascii="Times New Roman" w:hAnsi="Times New Roman" w:cs="Times New Roman"/>
          <w:sz w:val="24"/>
          <w:szCs w:val="24"/>
        </w:rPr>
        <w:t xml:space="preserve"> </w:t>
      </w:r>
      <w:r w:rsidR="00543C5F">
        <w:rPr>
          <w:rFonts w:ascii="Times New Roman" w:hAnsi="Times New Roman" w:cs="Times New Roman"/>
          <w:sz w:val="24"/>
          <w:szCs w:val="24"/>
        </w:rPr>
        <w:t>provides</w:t>
      </w:r>
      <w:r w:rsidR="00476FDB">
        <w:rPr>
          <w:rFonts w:ascii="Times New Roman" w:hAnsi="Times New Roman" w:cs="Times New Roman"/>
          <w:sz w:val="24"/>
          <w:szCs w:val="24"/>
        </w:rPr>
        <w:t xml:space="preserve"> the occasion</w:t>
      </w:r>
      <w:r w:rsidR="00277AD6">
        <w:rPr>
          <w:rFonts w:ascii="Times New Roman" w:hAnsi="Times New Roman" w:cs="Times New Roman"/>
          <w:sz w:val="24"/>
          <w:szCs w:val="24"/>
        </w:rPr>
        <w:t xml:space="preserve"> for differential</w:t>
      </w:r>
      <w:r w:rsidR="0085447F">
        <w:rPr>
          <w:rFonts w:ascii="Times New Roman" w:hAnsi="Times New Roman" w:cs="Times New Roman"/>
          <w:sz w:val="24"/>
          <w:szCs w:val="24"/>
        </w:rPr>
        <w:t xml:space="preserve"> legal</w:t>
      </w:r>
      <w:r w:rsidR="00277AD6">
        <w:rPr>
          <w:rFonts w:ascii="Times New Roman" w:hAnsi="Times New Roman" w:cs="Times New Roman"/>
          <w:sz w:val="24"/>
          <w:szCs w:val="24"/>
        </w:rPr>
        <w:t xml:space="preserve"> treatment</w:t>
      </w:r>
      <w:r w:rsidR="00263224">
        <w:rPr>
          <w:rFonts w:ascii="Times New Roman" w:hAnsi="Times New Roman" w:cs="Times New Roman"/>
          <w:sz w:val="24"/>
          <w:szCs w:val="24"/>
        </w:rPr>
        <w:t xml:space="preserve">, </w:t>
      </w:r>
      <w:r w:rsidR="00476FDB">
        <w:rPr>
          <w:rFonts w:ascii="Times New Roman" w:hAnsi="Times New Roman" w:cs="Times New Roman"/>
          <w:sz w:val="24"/>
          <w:szCs w:val="24"/>
        </w:rPr>
        <w:t>the common law rules</w:t>
      </w:r>
      <w:r w:rsidR="00263224">
        <w:rPr>
          <w:rFonts w:ascii="Times New Roman" w:hAnsi="Times New Roman" w:cs="Times New Roman"/>
          <w:sz w:val="24"/>
          <w:szCs w:val="24"/>
        </w:rPr>
        <w:t xml:space="preserve"> </w:t>
      </w:r>
      <w:r w:rsidR="00476FDB">
        <w:rPr>
          <w:rFonts w:ascii="Times New Roman" w:hAnsi="Times New Roman" w:cs="Times New Roman"/>
          <w:sz w:val="24"/>
          <w:szCs w:val="24"/>
        </w:rPr>
        <w:t>discriminat</w:t>
      </w:r>
      <w:r w:rsidR="00263224">
        <w:rPr>
          <w:rFonts w:ascii="Times New Roman" w:hAnsi="Times New Roman" w:cs="Times New Roman"/>
          <w:sz w:val="24"/>
          <w:szCs w:val="24"/>
        </w:rPr>
        <w:t>e</w:t>
      </w:r>
      <w:r w:rsidR="00476FDB">
        <w:rPr>
          <w:rFonts w:ascii="Times New Roman" w:hAnsi="Times New Roman" w:cs="Times New Roman"/>
          <w:sz w:val="24"/>
          <w:szCs w:val="24"/>
        </w:rPr>
        <w:t xml:space="preserve"> against</w:t>
      </w:r>
      <w:r w:rsidR="00263224">
        <w:rPr>
          <w:rFonts w:ascii="Times New Roman" w:hAnsi="Times New Roman" w:cs="Times New Roman"/>
          <w:sz w:val="24"/>
          <w:szCs w:val="24"/>
        </w:rPr>
        <w:t xml:space="preserve"> persons with disabilities</w:t>
      </w:r>
      <w:r w:rsidR="00476FDB">
        <w:rPr>
          <w:rFonts w:ascii="Times New Roman" w:hAnsi="Times New Roman" w:cs="Times New Roman"/>
          <w:sz w:val="24"/>
          <w:szCs w:val="24"/>
        </w:rPr>
        <w:t>. Since the UK has signalled its consent to be bound by the CRPD,</w:t>
      </w:r>
      <w:r w:rsidR="00476FDB">
        <w:rPr>
          <w:rStyle w:val="FootnoteReference"/>
          <w:rFonts w:cs="Times New Roman"/>
          <w:szCs w:val="24"/>
        </w:rPr>
        <w:footnoteReference w:id="25"/>
      </w:r>
      <w:r w:rsidR="00476FDB">
        <w:rPr>
          <w:rFonts w:ascii="Times New Roman" w:hAnsi="Times New Roman" w:cs="Times New Roman"/>
          <w:sz w:val="24"/>
          <w:szCs w:val="24"/>
        </w:rPr>
        <w:t xml:space="preserve"> it is under a general obligation to modify or abolish the rules in favour of a disability-neutral alternative.</w:t>
      </w:r>
      <w:r w:rsidR="00735F51">
        <w:rPr>
          <w:rStyle w:val="FootnoteReference"/>
          <w:rFonts w:cs="Times New Roman"/>
          <w:szCs w:val="24"/>
        </w:rPr>
        <w:footnoteReference w:id="26"/>
      </w:r>
      <w:r w:rsidR="00611600">
        <w:rPr>
          <w:rFonts w:ascii="Times New Roman" w:hAnsi="Times New Roman" w:cs="Times New Roman"/>
          <w:sz w:val="24"/>
          <w:szCs w:val="24"/>
        </w:rPr>
        <w:t xml:space="preserve"> The CRPD</w:t>
      </w:r>
      <w:r w:rsidR="005A05B5">
        <w:rPr>
          <w:rFonts w:ascii="Times New Roman" w:hAnsi="Times New Roman" w:cs="Times New Roman"/>
          <w:sz w:val="24"/>
          <w:szCs w:val="24"/>
        </w:rPr>
        <w:t xml:space="preserve"> therefore</w:t>
      </w:r>
      <w:r w:rsidR="00611600">
        <w:rPr>
          <w:rFonts w:ascii="Times New Roman" w:hAnsi="Times New Roman" w:cs="Times New Roman"/>
          <w:sz w:val="24"/>
          <w:szCs w:val="24"/>
        </w:rPr>
        <w:t xml:space="preserve"> strengthens the case for reform in this vexed area.</w:t>
      </w:r>
    </w:p>
    <w:p w14:paraId="5A7459E5" w14:textId="6C969357" w:rsidR="001B0C7B" w:rsidRDefault="00850FA0">
      <w:pPr>
        <w:rPr>
          <w:rFonts w:ascii="Times New Roman" w:hAnsi="Times New Roman" w:cs="Times New Roman"/>
          <w:sz w:val="24"/>
          <w:szCs w:val="24"/>
        </w:rPr>
      </w:pPr>
      <w:r>
        <w:rPr>
          <w:rFonts w:ascii="Times New Roman" w:hAnsi="Times New Roman" w:cs="Times New Roman"/>
          <w:sz w:val="24"/>
          <w:szCs w:val="24"/>
        </w:rPr>
        <w:t>Th</w:t>
      </w:r>
      <w:r w:rsidR="0074032F">
        <w:rPr>
          <w:rFonts w:ascii="Times New Roman" w:hAnsi="Times New Roman" w:cs="Times New Roman"/>
          <w:sz w:val="24"/>
          <w:szCs w:val="24"/>
        </w:rPr>
        <w:t>is</w:t>
      </w:r>
      <w:r w:rsidR="003E6DF9">
        <w:rPr>
          <w:rFonts w:ascii="Times New Roman" w:hAnsi="Times New Roman" w:cs="Times New Roman"/>
          <w:sz w:val="24"/>
          <w:szCs w:val="24"/>
        </w:rPr>
        <w:t xml:space="preserve"> paper</w:t>
      </w:r>
      <w:r w:rsidR="00005A59">
        <w:rPr>
          <w:rFonts w:ascii="Times New Roman" w:hAnsi="Times New Roman" w:cs="Times New Roman"/>
          <w:sz w:val="24"/>
          <w:szCs w:val="24"/>
        </w:rPr>
        <w:t xml:space="preserve"> advances an original argument by using the CRPD to </w:t>
      </w:r>
      <w:r w:rsidR="00CF6C95">
        <w:rPr>
          <w:rFonts w:ascii="Times New Roman" w:hAnsi="Times New Roman" w:cs="Times New Roman"/>
          <w:sz w:val="24"/>
          <w:szCs w:val="24"/>
        </w:rPr>
        <w:t>augment</w:t>
      </w:r>
      <w:r w:rsidR="003C012E">
        <w:rPr>
          <w:rFonts w:ascii="Times New Roman" w:hAnsi="Times New Roman" w:cs="Times New Roman"/>
          <w:sz w:val="24"/>
          <w:szCs w:val="24"/>
        </w:rPr>
        <w:t xml:space="preserve"> the</w:t>
      </w:r>
      <w:r w:rsidR="00CF6C95">
        <w:rPr>
          <w:rFonts w:ascii="Times New Roman" w:hAnsi="Times New Roman" w:cs="Times New Roman"/>
          <w:sz w:val="24"/>
          <w:szCs w:val="24"/>
        </w:rPr>
        <w:t xml:space="preserve"> existing critiques of the</w:t>
      </w:r>
      <w:r w:rsidR="001A50B2">
        <w:rPr>
          <w:rFonts w:ascii="Times New Roman" w:hAnsi="Times New Roman" w:cs="Times New Roman"/>
          <w:sz w:val="24"/>
          <w:szCs w:val="24"/>
        </w:rPr>
        <w:t xml:space="preserve"> special</w:t>
      </w:r>
      <w:r w:rsidR="00CF6C95">
        <w:rPr>
          <w:rFonts w:ascii="Times New Roman" w:hAnsi="Times New Roman" w:cs="Times New Roman"/>
          <w:sz w:val="24"/>
          <w:szCs w:val="24"/>
        </w:rPr>
        <w:t xml:space="preserve"> </w:t>
      </w:r>
      <w:r w:rsidR="00CA0368">
        <w:rPr>
          <w:rFonts w:ascii="Times New Roman" w:hAnsi="Times New Roman" w:cs="Times New Roman"/>
          <w:sz w:val="24"/>
          <w:szCs w:val="24"/>
        </w:rPr>
        <w:t>rules.</w:t>
      </w:r>
      <w:r w:rsidR="00CF0613">
        <w:rPr>
          <w:rFonts w:ascii="Times New Roman" w:hAnsi="Times New Roman" w:cs="Times New Roman"/>
          <w:sz w:val="24"/>
          <w:szCs w:val="24"/>
        </w:rPr>
        <w:t xml:space="preserve"> It also </w:t>
      </w:r>
      <w:r w:rsidR="0068532F">
        <w:rPr>
          <w:rFonts w:ascii="Times New Roman" w:hAnsi="Times New Roman" w:cs="Times New Roman"/>
          <w:sz w:val="24"/>
          <w:szCs w:val="24"/>
        </w:rPr>
        <w:t>demonstrates how</w:t>
      </w:r>
      <w:r w:rsidR="00552E95">
        <w:rPr>
          <w:rFonts w:ascii="Times New Roman" w:hAnsi="Times New Roman" w:cs="Times New Roman"/>
          <w:sz w:val="24"/>
          <w:szCs w:val="24"/>
        </w:rPr>
        <w:t xml:space="preserve"> Article 17 of</w:t>
      </w:r>
      <w:r w:rsidR="00CF08E2">
        <w:rPr>
          <w:rFonts w:ascii="Times New Roman" w:hAnsi="Times New Roman" w:cs="Times New Roman"/>
          <w:sz w:val="24"/>
          <w:szCs w:val="24"/>
        </w:rPr>
        <w:t xml:space="preserve"> the CRPD might buttress tort law’s corrective function </w:t>
      </w:r>
      <w:r w:rsidR="00B17A8B">
        <w:rPr>
          <w:rFonts w:ascii="Times New Roman" w:hAnsi="Times New Roman" w:cs="Times New Roman"/>
          <w:sz w:val="24"/>
          <w:szCs w:val="24"/>
        </w:rPr>
        <w:t>by</w:t>
      </w:r>
      <w:r w:rsidR="00526ED7">
        <w:rPr>
          <w:rFonts w:ascii="Times New Roman" w:hAnsi="Times New Roman" w:cs="Times New Roman"/>
          <w:sz w:val="24"/>
          <w:szCs w:val="24"/>
        </w:rPr>
        <w:t xml:space="preserve"> </w:t>
      </w:r>
      <w:r w:rsidR="00120412">
        <w:rPr>
          <w:rFonts w:ascii="Times New Roman" w:hAnsi="Times New Roman" w:cs="Times New Roman"/>
          <w:sz w:val="24"/>
          <w:szCs w:val="24"/>
        </w:rPr>
        <w:t>expressing the same</w:t>
      </w:r>
      <w:r w:rsidR="00526ED7">
        <w:rPr>
          <w:rFonts w:ascii="Times New Roman" w:hAnsi="Times New Roman" w:cs="Times New Roman"/>
          <w:sz w:val="24"/>
          <w:szCs w:val="24"/>
        </w:rPr>
        <w:t xml:space="preserve"> right to integrity</w:t>
      </w:r>
      <w:r w:rsidR="00120412">
        <w:rPr>
          <w:rFonts w:ascii="Times New Roman" w:hAnsi="Times New Roman" w:cs="Times New Roman"/>
          <w:sz w:val="24"/>
          <w:szCs w:val="24"/>
        </w:rPr>
        <w:t xml:space="preserve"> which the duty concept arguably exists to protect.</w:t>
      </w:r>
      <w:r w:rsidR="00382AA9">
        <w:rPr>
          <w:rFonts w:ascii="Times New Roman" w:hAnsi="Times New Roman" w:cs="Times New Roman"/>
          <w:sz w:val="24"/>
          <w:szCs w:val="24"/>
        </w:rPr>
        <w:t xml:space="preserve"> In doing so, it adds</w:t>
      </w:r>
      <w:r w:rsidR="00897FC0">
        <w:rPr>
          <w:rFonts w:ascii="Times New Roman" w:hAnsi="Times New Roman" w:cs="Times New Roman"/>
          <w:sz w:val="24"/>
          <w:szCs w:val="24"/>
        </w:rPr>
        <w:t xml:space="preserve"> further</w:t>
      </w:r>
      <w:r w:rsidR="00F14DE1">
        <w:rPr>
          <w:rFonts w:ascii="Times New Roman" w:hAnsi="Times New Roman" w:cs="Times New Roman"/>
          <w:sz w:val="24"/>
          <w:szCs w:val="24"/>
        </w:rPr>
        <w:t xml:space="preserve"> heft to</w:t>
      </w:r>
      <w:r w:rsidR="00703065">
        <w:rPr>
          <w:rFonts w:ascii="Times New Roman" w:hAnsi="Times New Roman" w:cs="Times New Roman"/>
          <w:sz w:val="24"/>
          <w:szCs w:val="24"/>
        </w:rPr>
        <w:t xml:space="preserve"> a rights-based framing of </w:t>
      </w:r>
      <w:r w:rsidR="0029358D">
        <w:rPr>
          <w:rFonts w:ascii="Times New Roman" w:hAnsi="Times New Roman" w:cs="Times New Roman"/>
          <w:sz w:val="24"/>
          <w:szCs w:val="24"/>
        </w:rPr>
        <w:t>tort law</w:t>
      </w:r>
      <w:r w:rsidR="00703065">
        <w:rPr>
          <w:rFonts w:ascii="Times New Roman" w:hAnsi="Times New Roman" w:cs="Times New Roman"/>
          <w:sz w:val="24"/>
          <w:szCs w:val="24"/>
        </w:rPr>
        <w:t>.</w:t>
      </w:r>
      <w:r w:rsidR="00FC185C">
        <w:rPr>
          <w:rFonts w:ascii="Times New Roman" w:hAnsi="Times New Roman" w:cs="Times New Roman"/>
          <w:sz w:val="24"/>
          <w:szCs w:val="24"/>
        </w:rPr>
        <w:t xml:space="preserve"> </w:t>
      </w:r>
      <w:r w:rsidR="00FB1014">
        <w:rPr>
          <w:rFonts w:ascii="Times New Roman" w:hAnsi="Times New Roman" w:cs="Times New Roman"/>
          <w:sz w:val="24"/>
          <w:szCs w:val="24"/>
        </w:rPr>
        <w:t>The analysis that follows</w:t>
      </w:r>
      <w:r w:rsidR="00F925FA">
        <w:rPr>
          <w:rFonts w:ascii="Times New Roman" w:hAnsi="Times New Roman" w:cs="Times New Roman"/>
          <w:sz w:val="24"/>
          <w:szCs w:val="24"/>
        </w:rPr>
        <w:t xml:space="preserve"> is divided into three parts.</w:t>
      </w:r>
      <w:r w:rsidR="00FB1014">
        <w:rPr>
          <w:rFonts w:ascii="Times New Roman" w:hAnsi="Times New Roman" w:cs="Times New Roman"/>
          <w:sz w:val="24"/>
          <w:szCs w:val="24"/>
        </w:rPr>
        <w:t xml:space="preserve"> </w:t>
      </w:r>
      <w:r w:rsidR="00A476CB">
        <w:rPr>
          <w:rFonts w:ascii="Times New Roman" w:hAnsi="Times New Roman" w:cs="Times New Roman"/>
          <w:sz w:val="24"/>
          <w:szCs w:val="24"/>
        </w:rPr>
        <w:t xml:space="preserve">Part </w:t>
      </w:r>
      <w:r w:rsidR="00CF7A0C">
        <w:rPr>
          <w:rFonts w:ascii="Times New Roman" w:hAnsi="Times New Roman" w:cs="Times New Roman"/>
          <w:sz w:val="24"/>
          <w:szCs w:val="24"/>
        </w:rPr>
        <w:t>1</w:t>
      </w:r>
      <w:r w:rsidR="00FB1014">
        <w:rPr>
          <w:rFonts w:ascii="Times New Roman" w:hAnsi="Times New Roman" w:cs="Times New Roman"/>
          <w:sz w:val="24"/>
          <w:szCs w:val="24"/>
        </w:rPr>
        <w:t xml:space="preserve"> </w:t>
      </w:r>
      <w:r w:rsidR="00476FDB">
        <w:rPr>
          <w:rFonts w:ascii="Times New Roman" w:hAnsi="Times New Roman" w:cs="Times New Roman"/>
          <w:sz w:val="24"/>
          <w:szCs w:val="24"/>
        </w:rPr>
        <w:t xml:space="preserve">provides </w:t>
      </w:r>
      <w:r w:rsidR="00F925FA">
        <w:rPr>
          <w:rFonts w:ascii="Times New Roman" w:hAnsi="Times New Roman" w:cs="Times New Roman"/>
          <w:sz w:val="24"/>
          <w:szCs w:val="24"/>
        </w:rPr>
        <w:t>background to the CRPD</w:t>
      </w:r>
      <w:r w:rsidR="000675C3">
        <w:rPr>
          <w:rFonts w:ascii="Times New Roman" w:hAnsi="Times New Roman" w:cs="Times New Roman"/>
          <w:sz w:val="24"/>
          <w:szCs w:val="24"/>
        </w:rPr>
        <w:t xml:space="preserve"> </w:t>
      </w:r>
      <w:r w:rsidR="000675C3">
        <w:rPr>
          <w:rFonts w:ascii="Times New Roman" w:hAnsi="Times New Roman" w:cs="Times New Roman"/>
          <w:sz w:val="24"/>
          <w:szCs w:val="24"/>
        </w:rPr>
        <w:lastRenderedPageBreak/>
        <w:t xml:space="preserve">and introduces </w:t>
      </w:r>
      <w:r w:rsidR="00476FDB">
        <w:rPr>
          <w:rFonts w:ascii="Times New Roman" w:hAnsi="Times New Roman" w:cs="Times New Roman"/>
          <w:sz w:val="24"/>
          <w:szCs w:val="24"/>
        </w:rPr>
        <w:t>its</w:t>
      </w:r>
      <w:r w:rsidR="00E41806">
        <w:rPr>
          <w:rFonts w:ascii="Times New Roman" w:hAnsi="Times New Roman" w:cs="Times New Roman"/>
          <w:sz w:val="24"/>
          <w:szCs w:val="24"/>
        </w:rPr>
        <w:t xml:space="preserve"> </w:t>
      </w:r>
      <w:r w:rsidR="004B5EF3">
        <w:rPr>
          <w:rFonts w:ascii="Times New Roman" w:hAnsi="Times New Roman" w:cs="Times New Roman"/>
          <w:sz w:val="24"/>
          <w:szCs w:val="24"/>
        </w:rPr>
        <w:t>‘social model’</w:t>
      </w:r>
      <w:r w:rsidR="002325B9">
        <w:rPr>
          <w:rFonts w:ascii="Times New Roman" w:hAnsi="Times New Roman" w:cs="Times New Roman"/>
          <w:sz w:val="24"/>
          <w:szCs w:val="24"/>
        </w:rPr>
        <w:t xml:space="preserve"> of disability.</w:t>
      </w:r>
      <w:r w:rsidR="009C6EFF">
        <w:rPr>
          <w:rFonts w:ascii="Times New Roman" w:hAnsi="Times New Roman" w:cs="Times New Roman"/>
          <w:sz w:val="24"/>
          <w:szCs w:val="24"/>
        </w:rPr>
        <w:t xml:space="preserve"> </w:t>
      </w:r>
      <w:r w:rsidR="005947BC">
        <w:rPr>
          <w:rFonts w:ascii="Times New Roman" w:hAnsi="Times New Roman" w:cs="Times New Roman"/>
          <w:sz w:val="24"/>
          <w:szCs w:val="24"/>
        </w:rPr>
        <w:t>It</w:t>
      </w:r>
      <w:r w:rsidR="002325B9">
        <w:rPr>
          <w:rFonts w:ascii="Times New Roman" w:hAnsi="Times New Roman" w:cs="Times New Roman"/>
          <w:sz w:val="24"/>
          <w:szCs w:val="24"/>
        </w:rPr>
        <w:t xml:space="preserve"> also discusses </w:t>
      </w:r>
      <w:r w:rsidR="004B3F1D">
        <w:rPr>
          <w:rFonts w:ascii="Times New Roman" w:hAnsi="Times New Roman" w:cs="Times New Roman"/>
          <w:sz w:val="24"/>
          <w:szCs w:val="24"/>
        </w:rPr>
        <w:t>the</w:t>
      </w:r>
      <w:r w:rsidR="00FF5530">
        <w:rPr>
          <w:rFonts w:ascii="Times New Roman" w:hAnsi="Times New Roman" w:cs="Times New Roman"/>
          <w:sz w:val="24"/>
          <w:szCs w:val="24"/>
        </w:rPr>
        <w:t xml:space="preserve"> Convention’s relevant content</w:t>
      </w:r>
      <w:r w:rsidR="00215F6E">
        <w:rPr>
          <w:rFonts w:ascii="Times New Roman" w:hAnsi="Times New Roman" w:cs="Times New Roman"/>
          <w:sz w:val="24"/>
          <w:szCs w:val="24"/>
        </w:rPr>
        <w:t>s</w:t>
      </w:r>
      <w:r w:rsidR="00FF5530">
        <w:rPr>
          <w:rFonts w:ascii="Times New Roman" w:hAnsi="Times New Roman" w:cs="Times New Roman"/>
          <w:sz w:val="24"/>
          <w:szCs w:val="24"/>
        </w:rPr>
        <w:t xml:space="preserve"> and </w:t>
      </w:r>
      <w:r w:rsidR="00BD07B5">
        <w:rPr>
          <w:rFonts w:ascii="Times New Roman" w:hAnsi="Times New Roman" w:cs="Times New Roman"/>
          <w:sz w:val="24"/>
          <w:szCs w:val="24"/>
        </w:rPr>
        <w:t xml:space="preserve">general implications for English law. </w:t>
      </w:r>
      <w:r w:rsidR="00A476CB">
        <w:rPr>
          <w:rFonts w:ascii="Times New Roman" w:hAnsi="Times New Roman" w:cs="Times New Roman"/>
          <w:sz w:val="24"/>
          <w:szCs w:val="24"/>
        </w:rPr>
        <w:t xml:space="preserve">Part </w:t>
      </w:r>
      <w:r w:rsidR="00CF7A0C">
        <w:rPr>
          <w:rFonts w:ascii="Times New Roman" w:hAnsi="Times New Roman" w:cs="Times New Roman"/>
          <w:sz w:val="24"/>
          <w:szCs w:val="24"/>
        </w:rPr>
        <w:t>2</w:t>
      </w:r>
      <w:r w:rsidR="0053044A">
        <w:rPr>
          <w:rFonts w:ascii="Times New Roman" w:hAnsi="Times New Roman" w:cs="Times New Roman"/>
          <w:sz w:val="24"/>
          <w:szCs w:val="24"/>
        </w:rPr>
        <w:t xml:space="preserve"> </w:t>
      </w:r>
      <w:r w:rsidR="004E3BF9">
        <w:rPr>
          <w:rFonts w:ascii="Times New Roman" w:hAnsi="Times New Roman" w:cs="Times New Roman"/>
          <w:sz w:val="24"/>
          <w:szCs w:val="24"/>
        </w:rPr>
        <w:t>refracts</w:t>
      </w:r>
      <w:r w:rsidR="00B55F72">
        <w:rPr>
          <w:rFonts w:ascii="Times New Roman" w:hAnsi="Times New Roman" w:cs="Times New Roman"/>
          <w:sz w:val="24"/>
          <w:szCs w:val="24"/>
        </w:rPr>
        <w:t xml:space="preserve"> the </w:t>
      </w:r>
      <w:r w:rsidR="003F01EC">
        <w:rPr>
          <w:rFonts w:ascii="Times New Roman" w:hAnsi="Times New Roman" w:cs="Times New Roman"/>
          <w:sz w:val="24"/>
          <w:szCs w:val="24"/>
        </w:rPr>
        <w:t xml:space="preserve">special </w:t>
      </w:r>
      <w:r w:rsidR="00B55F72">
        <w:rPr>
          <w:rFonts w:ascii="Times New Roman" w:hAnsi="Times New Roman" w:cs="Times New Roman"/>
          <w:sz w:val="24"/>
          <w:szCs w:val="24"/>
        </w:rPr>
        <w:t>rules</w:t>
      </w:r>
      <w:r w:rsidR="004E3BF9">
        <w:rPr>
          <w:rFonts w:ascii="Times New Roman" w:hAnsi="Times New Roman" w:cs="Times New Roman"/>
          <w:sz w:val="24"/>
          <w:szCs w:val="24"/>
        </w:rPr>
        <w:t xml:space="preserve"> through the </w:t>
      </w:r>
      <w:r w:rsidR="00B55F72">
        <w:rPr>
          <w:rFonts w:ascii="Times New Roman" w:hAnsi="Times New Roman" w:cs="Times New Roman"/>
          <w:sz w:val="24"/>
          <w:szCs w:val="24"/>
        </w:rPr>
        <w:t>CRPD</w:t>
      </w:r>
      <w:r w:rsidR="004E3BF9">
        <w:rPr>
          <w:rFonts w:ascii="Times New Roman" w:hAnsi="Times New Roman" w:cs="Times New Roman"/>
          <w:sz w:val="24"/>
          <w:szCs w:val="24"/>
        </w:rPr>
        <w:t>’s prism</w:t>
      </w:r>
      <w:r w:rsidR="00B55F72">
        <w:rPr>
          <w:rFonts w:ascii="Times New Roman" w:hAnsi="Times New Roman" w:cs="Times New Roman"/>
          <w:sz w:val="24"/>
          <w:szCs w:val="24"/>
        </w:rPr>
        <w:t>.</w:t>
      </w:r>
      <w:r w:rsidR="00D42CCC">
        <w:rPr>
          <w:rFonts w:ascii="Times New Roman" w:hAnsi="Times New Roman" w:cs="Times New Roman"/>
          <w:sz w:val="24"/>
          <w:szCs w:val="24"/>
        </w:rPr>
        <w:t xml:space="preserve"> I</w:t>
      </w:r>
      <w:r w:rsidR="00BD07B5">
        <w:rPr>
          <w:rFonts w:ascii="Times New Roman" w:hAnsi="Times New Roman" w:cs="Times New Roman"/>
          <w:sz w:val="24"/>
          <w:szCs w:val="24"/>
        </w:rPr>
        <w:t>t shows that there is no reason why the</w:t>
      </w:r>
      <w:r w:rsidR="00FC185C">
        <w:rPr>
          <w:rFonts w:ascii="Times New Roman" w:hAnsi="Times New Roman" w:cs="Times New Roman"/>
          <w:sz w:val="24"/>
          <w:szCs w:val="24"/>
        </w:rPr>
        <w:t>y</w:t>
      </w:r>
      <w:r w:rsidR="00BD07B5">
        <w:rPr>
          <w:rFonts w:ascii="Times New Roman" w:hAnsi="Times New Roman" w:cs="Times New Roman"/>
          <w:sz w:val="24"/>
          <w:szCs w:val="24"/>
        </w:rPr>
        <w:t xml:space="preserve"> should not fall within the CRPD’s remit</w:t>
      </w:r>
      <w:r w:rsidR="00CB33B1">
        <w:rPr>
          <w:rFonts w:ascii="Times New Roman" w:hAnsi="Times New Roman" w:cs="Times New Roman"/>
          <w:sz w:val="24"/>
          <w:szCs w:val="24"/>
        </w:rPr>
        <w:t>.</w:t>
      </w:r>
      <w:r w:rsidR="00215F6E">
        <w:rPr>
          <w:rFonts w:ascii="Times New Roman" w:hAnsi="Times New Roman" w:cs="Times New Roman"/>
          <w:sz w:val="24"/>
          <w:szCs w:val="24"/>
        </w:rPr>
        <w:t xml:space="preserve"> </w:t>
      </w:r>
      <w:r w:rsidR="0031492F">
        <w:rPr>
          <w:rFonts w:ascii="Times New Roman" w:hAnsi="Times New Roman" w:cs="Times New Roman"/>
          <w:sz w:val="24"/>
          <w:szCs w:val="24"/>
        </w:rPr>
        <w:t>Consequently</w:t>
      </w:r>
      <w:r w:rsidR="00215F6E">
        <w:rPr>
          <w:rFonts w:ascii="Times New Roman" w:hAnsi="Times New Roman" w:cs="Times New Roman"/>
          <w:sz w:val="24"/>
          <w:szCs w:val="24"/>
        </w:rPr>
        <w:t xml:space="preserve">, the special rules </w:t>
      </w:r>
      <w:r w:rsidR="00940F14">
        <w:rPr>
          <w:rFonts w:ascii="Times New Roman" w:hAnsi="Times New Roman" w:cs="Times New Roman"/>
          <w:sz w:val="24"/>
          <w:szCs w:val="24"/>
        </w:rPr>
        <w:t>constitute</w:t>
      </w:r>
      <w:r w:rsidR="00303023">
        <w:rPr>
          <w:rFonts w:ascii="Times New Roman" w:hAnsi="Times New Roman" w:cs="Times New Roman"/>
          <w:sz w:val="24"/>
          <w:szCs w:val="24"/>
        </w:rPr>
        <w:t xml:space="preserve"> </w:t>
      </w:r>
      <w:r w:rsidR="00C41CDD">
        <w:rPr>
          <w:rFonts w:ascii="Times New Roman" w:hAnsi="Times New Roman" w:cs="Times New Roman"/>
          <w:sz w:val="24"/>
          <w:szCs w:val="24"/>
        </w:rPr>
        <w:t>a</w:t>
      </w:r>
      <w:r w:rsidR="00CF7A0C">
        <w:rPr>
          <w:rFonts w:ascii="Times New Roman" w:hAnsi="Times New Roman" w:cs="Times New Roman"/>
          <w:sz w:val="24"/>
          <w:szCs w:val="24"/>
        </w:rPr>
        <w:t>nother</w:t>
      </w:r>
      <w:r w:rsidR="00CE2FB0">
        <w:rPr>
          <w:rFonts w:ascii="Times New Roman" w:hAnsi="Times New Roman" w:cs="Times New Roman"/>
          <w:sz w:val="24"/>
          <w:szCs w:val="24"/>
        </w:rPr>
        <w:t xml:space="preserve"> ‘flashpoint’ between</w:t>
      </w:r>
      <w:r w:rsidR="00BC7AA4">
        <w:rPr>
          <w:rFonts w:ascii="Times New Roman" w:hAnsi="Times New Roman" w:cs="Times New Roman"/>
          <w:sz w:val="24"/>
          <w:szCs w:val="24"/>
        </w:rPr>
        <w:t xml:space="preserve"> </w:t>
      </w:r>
      <w:r w:rsidR="00E35774">
        <w:rPr>
          <w:rFonts w:ascii="Times New Roman" w:hAnsi="Times New Roman" w:cs="Times New Roman"/>
          <w:sz w:val="24"/>
          <w:szCs w:val="24"/>
        </w:rPr>
        <w:t>English</w:t>
      </w:r>
      <w:r w:rsidR="00BC7AA4">
        <w:rPr>
          <w:rFonts w:ascii="Times New Roman" w:hAnsi="Times New Roman" w:cs="Times New Roman"/>
          <w:sz w:val="24"/>
          <w:szCs w:val="24"/>
        </w:rPr>
        <w:t xml:space="preserve"> law and the CRPD.</w:t>
      </w:r>
      <w:r w:rsidR="00C41CDD">
        <w:rPr>
          <w:rStyle w:val="FootnoteReference"/>
          <w:rFonts w:cs="Times New Roman"/>
          <w:szCs w:val="24"/>
        </w:rPr>
        <w:footnoteReference w:id="27"/>
      </w:r>
      <w:r w:rsidR="00CE7052">
        <w:rPr>
          <w:rFonts w:ascii="Times New Roman" w:hAnsi="Times New Roman" w:cs="Times New Roman"/>
          <w:sz w:val="24"/>
          <w:szCs w:val="24"/>
        </w:rPr>
        <w:t xml:space="preserve"> </w:t>
      </w:r>
      <w:r w:rsidR="00A476CB">
        <w:rPr>
          <w:rFonts w:ascii="Times New Roman" w:hAnsi="Times New Roman" w:cs="Times New Roman"/>
          <w:sz w:val="24"/>
          <w:szCs w:val="24"/>
        </w:rPr>
        <w:t xml:space="preserve">Part </w:t>
      </w:r>
      <w:r w:rsidR="00CF7A0C">
        <w:rPr>
          <w:rFonts w:ascii="Times New Roman" w:hAnsi="Times New Roman" w:cs="Times New Roman"/>
          <w:sz w:val="24"/>
          <w:szCs w:val="24"/>
        </w:rPr>
        <w:t>3</w:t>
      </w:r>
      <w:r w:rsidR="00CE7052">
        <w:rPr>
          <w:rFonts w:ascii="Times New Roman" w:hAnsi="Times New Roman" w:cs="Times New Roman"/>
          <w:sz w:val="24"/>
          <w:szCs w:val="24"/>
        </w:rPr>
        <w:t xml:space="preserve"> </w:t>
      </w:r>
      <w:r w:rsidR="00BC7AA4">
        <w:rPr>
          <w:rFonts w:ascii="Times New Roman" w:hAnsi="Times New Roman" w:cs="Times New Roman"/>
          <w:sz w:val="24"/>
          <w:szCs w:val="24"/>
        </w:rPr>
        <w:t>evaluates how we might</w:t>
      </w:r>
      <w:r w:rsidR="003F01EC">
        <w:rPr>
          <w:rFonts w:ascii="Times New Roman" w:hAnsi="Times New Roman" w:cs="Times New Roman"/>
          <w:sz w:val="24"/>
          <w:szCs w:val="24"/>
        </w:rPr>
        <w:t xml:space="preserve"> address this incompatibility.</w:t>
      </w:r>
      <w:r w:rsidR="00022C53">
        <w:rPr>
          <w:rFonts w:ascii="Times New Roman" w:hAnsi="Times New Roman" w:cs="Times New Roman"/>
          <w:sz w:val="24"/>
          <w:szCs w:val="24"/>
        </w:rPr>
        <w:t xml:space="preserve"> </w:t>
      </w:r>
      <w:r w:rsidR="00CE7052">
        <w:rPr>
          <w:rFonts w:ascii="Times New Roman" w:hAnsi="Times New Roman" w:cs="Times New Roman"/>
          <w:sz w:val="24"/>
          <w:szCs w:val="24"/>
        </w:rPr>
        <w:t>Criticism</w:t>
      </w:r>
      <w:r w:rsidR="00986397">
        <w:rPr>
          <w:rFonts w:ascii="Times New Roman" w:hAnsi="Times New Roman" w:cs="Times New Roman"/>
          <w:sz w:val="24"/>
          <w:szCs w:val="24"/>
        </w:rPr>
        <w:t xml:space="preserve"> of the</w:t>
      </w:r>
      <w:r w:rsidR="00067739">
        <w:rPr>
          <w:rFonts w:ascii="Times New Roman" w:hAnsi="Times New Roman" w:cs="Times New Roman"/>
          <w:sz w:val="24"/>
          <w:szCs w:val="24"/>
        </w:rPr>
        <w:t xml:space="preserve"> </w:t>
      </w:r>
      <w:r w:rsidR="00986397">
        <w:rPr>
          <w:rFonts w:ascii="Times New Roman" w:hAnsi="Times New Roman" w:cs="Times New Roman"/>
          <w:sz w:val="24"/>
          <w:szCs w:val="24"/>
        </w:rPr>
        <w:t>rules is</w:t>
      </w:r>
      <w:r w:rsidR="009D7478">
        <w:rPr>
          <w:rFonts w:ascii="Times New Roman" w:hAnsi="Times New Roman" w:cs="Times New Roman"/>
          <w:sz w:val="24"/>
          <w:szCs w:val="24"/>
        </w:rPr>
        <w:t xml:space="preserve"> nothing new</w:t>
      </w:r>
      <w:r w:rsidR="00986397">
        <w:rPr>
          <w:rFonts w:ascii="Times New Roman" w:hAnsi="Times New Roman" w:cs="Times New Roman"/>
          <w:sz w:val="24"/>
          <w:szCs w:val="24"/>
        </w:rPr>
        <w:t>. However,</w:t>
      </w:r>
      <w:r w:rsidR="00DB042A">
        <w:rPr>
          <w:rFonts w:ascii="Times New Roman" w:hAnsi="Times New Roman" w:cs="Times New Roman"/>
          <w:sz w:val="24"/>
          <w:szCs w:val="24"/>
        </w:rPr>
        <w:t xml:space="preserve"> few </w:t>
      </w:r>
      <w:r w:rsidR="003F01EC">
        <w:rPr>
          <w:rFonts w:ascii="Times New Roman" w:hAnsi="Times New Roman" w:cs="Times New Roman"/>
          <w:sz w:val="24"/>
          <w:szCs w:val="24"/>
        </w:rPr>
        <w:t>existing</w:t>
      </w:r>
      <w:r w:rsidR="00C32A4A">
        <w:rPr>
          <w:rFonts w:ascii="Times New Roman" w:hAnsi="Times New Roman" w:cs="Times New Roman"/>
          <w:sz w:val="24"/>
          <w:szCs w:val="24"/>
        </w:rPr>
        <w:t xml:space="preserve"> reform</w:t>
      </w:r>
      <w:r w:rsidR="00DB042A">
        <w:rPr>
          <w:rFonts w:ascii="Times New Roman" w:hAnsi="Times New Roman" w:cs="Times New Roman"/>
          <w:sz w:val="24"/>
          <w:szCs w:val="24"/>
        </w:rPr>
        <w:t xml:space="preserve"> proposals </w:t>
      </w:r>
      <w:r w:rsidR="00A41F2E">
        <w:rPr>
          <w:rFonts w:ascii="Times New Roman" w:hAnsi="Times New Roman" w:cs="Times New Roman"/>
          <w:sz w:val="24"/>
          <w:szCs w:val="24"/>
        </w:rPr>
        <w:t>would satisfy the</w:t>
      </w:r>
      <w:r w:rsidR="00067739">
        <w:rPr>
          <w:rFonts w:ascii="Times New Roman" w:hAnsi="Times New Roman" w:cs="Times New Roman"/>
          <w:sz w:val="24"/>
          <w:szCs w:val="24"/>
        </w:rPr>
        <w:t xml:space="preserve"> CRPD’s</w:t>
      </w:r>
      <w:r w:rsidR="00806B79">
        <w:rPr>
          <w:rFonts w:ascii="Times New Roman" w:hAnsi="Times New Roman" w:cs="Times New Roman"/>
          <w:sz w:val="24"/>
          <w:szCs w:val="24"/>
        </w:rPr>
        <w:t xml:space="preserve"> </w:t>
      </w:r>
      <w:r w:rsidR="00A41F2E">
        <w:rPr>
          <w:rFonts w:ascii="Times New Roman" w:hAnsi="Times New Roman" w:cs="Times New Roman"/>
          <w:sz w:val="24"/>
          <w:szCs w:val="24"/>
        </w:rPr>
        <w:t>requirement of disability-neutrality</w:t>
      </w:r>
      <w:r w:rsidR="00457644">
        <w:rPr>
          <w:rFonts w:ascii="Times New Roman" w:hAnsi="Times New Roman" w:cs="Times New Roman"/>
          <w:sz w:val="24"/>
          <w:szCs w:val="24"/>
        </w:rPr>
        <w:t xml:space="preserve">. </w:t>
      </w:r>
      <w:r w:rsidR="00336C1A">
        <w:rPr>
          <w:rFonts w:ascii="Times New Roman" w:hAnsi="Times New Roman" w:cs="Times New Roman"/>
          <w:sz w:val="24"/>
          <w:szCs w:val="24"/>
        </w:rPr>
        <w:t>T</w:t>
      </w:r>
      <w:r w:rsidR="00C24911">
        <w:rPr>
          <w:rFonts w:ascii="Times New Roman" w:hAnsi="Times New Roman" w:cs="Times New Roman"/>
          <w:sz w:val="24"/>
          <w:szCs w:val="24"/>
        </w:rPr>
        <w:t>he</w:t>
      </w:r>
      <w:r w:rsidR="00CE0E16">
        <w:rPr>
          <w:rFonts w:ascii="Times New Roman" w:hAnsi="Times New Roman" w:cs="Times New Roman"/>
          <w:sz w:val="24"/>
          <w:szCs w:val="24"/>
        </w:rPr>
        <w:t xml:space="preserve"> scope for reform</w:t>
      </w:r>
      <w:r w:rsidR="00C17DAB">
        <w:rPr>
          <w:rFonts w:ascii="Times New Roman" w:hAnsi="Times New Roman" w:cs="Times New Roman"/>
          <w:sz w:val="24"/>
          <w:szCs w:val="24"/>
        </w:rPr>
        <w:t xml:space="preserve"> is </w:t>
      </w:r>
      <w:r w:rsidR="00336C1A">
        <w:rPr>
          <w:rFonts w:ascii="Times New Roman" w:hAnsi="Times New Roman" w:cs="Times New Roman"/>
          <w:sz w:val="24"/>
          <w:szCs w:val="24"/>
        </w:rPr>
        <w:t xml:space="preserve">therefore </w:t>
      </w:r>
      <w:r w:rsidR="00C17DAB">
        <w:rPr>
          <w:rFonts w:ascii="Times New Roman" w:hAnsi="Times New Roman" w:cs="Times New Roman"/>
          <w:sz w:val="24"/>
          <w:szCs w:val="24"/>
        </w:rPr>
        <w:t>much narrower</w:t>
      </w:r>
      <w:r w:rsidR="00CE0E16">
        <w:rPr>
          <w:rFonts w:ascii="Times New Roman" w:hAnsi="Times New Roman" w:cs="Times New Roman"/>
          <w:sz w:val="24"/>
          <w:szCs w:val="24"/>
        </w:rPr>
        <w:t xml:space="preserve"> </w:t>
      </w:r>
      <w:r w:rsidR="00DF3B39">
        <w:rPr>
          <w:rFonts w:ascii="Times New Roman" w:hAnsi="Times New Roman" w:cs="Times New Roman"/>
          <w:sz w:val="24"/>
          <w:szCs w:val="24"/>
        </w:rPr>
        <w:t>than many</w:t>
      </w:r>
      <w:r w:rsidR="00C17DAB">
        <w:rPr>
          <w:rFonts w:ascii="Times New Roman" w:hAnsi="Times New Roman" w:cs="Times New Roman"/>
          <w:sz w:val="24"/>
          <w:szCs w:val="24"/>
        </w:rPr>
        <w:t xml:space="preserve"> </w:t>
      </w:r>
      <w:r w:rsidR="00DF3B39">
        <w:rPr>
          <w:rFonts w:ascii="Times New Roman" w:hAnsi="Times New Roman" w:cs="Times New Roman"/>
          <w:sz w:val="24"/>
          <w:szCs w:val="24"/>
        </w:rPr>
        <w:t>previous blueprints have implied.</w:t>
      </w:r>
      <w:r w:rsidR="00C17DAB">
        <w:rPr>
          <w:rFonts w:ascii="Times New Roman" w:hAnsi="Times New Roman" w:cs="Times New Roman"/>
          <w:sz w:val="24"/>
          <w:szCs w:val="24"/>
        </w:rPr>
        <w:t xml:space="preserve"> </w:t>
      </w:r>
      <w:r w:rsidR="00FA346D">
        <w:rPr>
          <w:rFonts w:ascii="Times New Roman" w:hAnsi="Times New Roman" w:cs="Times New Roman"/>
          <w:sz w:val="24"/>
          <w:szCs w:val="24"/>
        </w:rPr>
        <w:t>T</w:t>
      </w:r>
      <w:r w:rsidR="00397D15">
        <w:rPr>
          <w:rFonts w:ascii="Times New Roman" w:hAnsi="Times New Roman" w:cs="Times New Roman"/>
          <w:sz w:val="24"/>
          <w:szCs w:val="24"/>
        </w:rPr>
        <w:t>he only</w:t>
      </w:r>
      <w:r w:rsidR="00C32A4A">
        <w:rPr>
          <w:rFonts w:ascii="Times New Roman" w:hAnsi="Times New Roman" w:cs="Times New Roman"/>
          <w:sz w:val="24"/>
          <w:szCs w:val="24"/>
        </w:rPr>
        <w:t xml:space="preserve"> plausible</w:t>
      </w:r>
      <w:r w:rsidR="00397D15">
        <w:rPr>
          <w:rFonts w:ascii="Times New Roman" w:hAnsi="Times New Roman" w:cs="Times New Roman"/>
          <w:sz w:val="24"/>
          <w:szCs w:val="24"/>
        </w:rPr>
        <w:t xml:space="preserve"> solution is a ‘reasonable foreseeability’</w:t>
      </w:r>
      <w:r w:rsidR="00013A3F">
        <w:rPr>
          <w:rFonts w:ascii="Times New Roman" w:hAnsi="Times New Roman" w:cs="Times New Roman"/>
          <w:sz w:val="24"/>
          <w:szCs w:val="24"/>
        </w:rPr>
        <w:t xml:space="preserve"> test</w:t>
      </w:r>
      <w:r w:rsidR="00277AD6">
        <w:rPr>
          <w:rFonts w:ascii="Times New Roman" w:hAnsi="Times New Roman" w:cs="Times New Roman"/>
          <w:sz w:val="24"/>
          <w:szCs w:val="24"/>
        </w:rPr>
        <w:t xml:space="preserve"> predicated on </w:t>
      </w:r>
      <w:r w:rsidR="0026069C">
        <w:rPr>
          <w:rFonts w:ascii="Times New Roman" w:hAnsi="Times New Roman" w:cs="Times New Roman"/>
          <w:sz w:val="24"/>
          <w:szCs w:val="24"/>
        </w:rPr>
        <w:t xml:space="preserve">a disability-neutral </w:t>
      </w:r>
      <w:r w:rsidR="00451533">
        <w:rPr>
          <w:rFonts w:ascii="Times New Roman" w:hAnsi="Times New Roman" w:cs="Times New Roman"/>
          <w:sz w:val="24"/>
          <w:szCs w:val="24"/>
        </w:rPr>
        <w:t>damage concept.</w:t>
      </w:r>
    </w:p>
    <w:p w14:paraId="7AB9CDD2" w14:textId="3D4A66B0" w:rsidR="002F4B21" w:rsidRDefault="001B0C7B" w:rsidP="00C84449">
      <w:pPr>
        <w:rPr>
          <w:rFonts w:ascii="Times New Roman" w:hAnsi="Times New Roman" w:cs="Times New Roman"/>
          <w:sz w:val="24"/>
          <w:szCs w:val="24"/>
        </w:rPr>
      </w:pPr>
      <w:r>
        <w:rPr>
          <w:rFonts w:ascii="Times New Roman" w:hAnsi="Times New Roman" w:cs="Times New Roman"/>
          <w:sz w:val="24"/>
          <w:szCs w:val="24"/>
        </w:rPr>
        <w:t>Before embarking on this analysis, it is worth making a few preliminary points. First,</w:t>
      </w:r>
      <w:r w:rsidR="00873114">
        <w:rPr>
          <w:rFonts w:ascii="Times New Roman" w:hAnsi="Times New Roman" w:cs="Times New Roman"/>
          <w:sz w:val="24"/>
          <w:szCs w:val="24"/>
        </w:rPr>
        <w:t xml:space="preserve"> the</w:t>
      </w:r>
      <w:r w:rsidR="00F85DD3">
        <w:rPr>
          <w:rFonts w:ascii="Times New Roman" w:hAnsi="Times New Roman" w:cs="Times New Roman"/>
          <w:sz w:val="24"/>
          <w:szCs w:val="24"/>
        </w:rPr>
        <w:t xml:space="preserve">re is no settled </w:t>
      </w:r>
      <w:r w:rsidR="00777DAA">
        <w:rPr>
          <w:rFonts w:ascii="Times New Roman" w:hAnsi="Times New Roman" w:cs="Times New Roman"/>
          <w:sz w:val="24"/>
          <w:szCs w:val="24"/>
        </w:rPr>
        <w:t>nomenclature</w:t>
      </w:r>
      <w:r w:rsidR="003950C6">
        <w:rPr>
          <w:rFonts w:ascii="Times New Roman" w:hAnsi="Times New Roman" w:cs="Times New Roman"/>
          <w:sz w:val="24"/>
          <w:szCs w:val="24"/>
        </w:rPr>
        <w:t xml:space="preserve"> </w:t>
      </w:r>
      <w:r w:rsidR="00F85DD3">
        <w:rPr>
          <w:rFonts w:ascii="Times New Roman" w:hAnsi="Times New Roman" w:cs="Times New Roman"/>
          <w:sz w:val="24"/>
          <w:szCs w:val="24"/>
        </w:rPr>
        <w:t>which</w:t>
      </w:r>
      <w:r w:rsidR="003950C6">
        <w:rPr>
          <w:rFonts w:ascii="Times New Roman" w:hAnsi="Times New Roman" w:cs="Times New Roman"/>
          <w:sz w:val="24"/>
          <w:szCs w:val="24"/>
        </w:rPr>
        <w:t xml:space="preserve"> d</w:t>
      </w:r>
      <w:r w:rsidR="00110D76">
        <w:rPr>
          <w:rFonts w:ascii="Times New Roman" w:hAnsi="Times New Roman" w:cs="Times New Roman"/>
          <w:sz w:val="24"/>
          <w:szCs w:val="24"/>
        </w:rPr>
        <w:t>escribe</w:t>
      </w:r>
      <w:r w:rsidR="00F85DD3">
        <w:rPr>
          <w:rFonts w:ascii="Times New Roman" w:hAnsi="Times New Roman" w:cs="Times New Roman"/>
          <w:sz w:val="24"/>
          <w:szCs w:val="24"/>
        </w:rPr>
        <w:t>s</w:t>
      </w:r>
      <w:r w:rsidR="00110D76">
        <w:rPr>
          <w:rFonts w:ascii="Times New Roman" w:hAnsi="Times New Roman" w:cs="Times New Roman"/>
          <w:sz w:val="24"/>
          <w:szCs w:val="24"/>
        </w:rPr>
        <w:t xml:space="preserve"> the damage that is the subject of this paper.</w:t>
      </w:r>
      <w:r w:rsidR="00210E82">
        <w:rPr>
          <w:rFonts w:ascii="Times New Roman" w:hAnsi="Times New Roman" w:cs="Times New Roman"/>
          <w:sz w:val="24"/>
          <w:szCs w:val="24"/>
        </w:rPr>
        <w:t xml:space="preserve"> The traditional label</w:t>
      </w:r>
      <w:r w:rsidR="0096078D">
        <w:rPr>
          <w:rFonts w:ascii="Times New Roman" w:hAnsi="Times New Roman" w:cs="Times New Roman"/>
          <w:sz w:val="24"/>
          <w:szCs w:val="24"/>
        </w:rPr>
        <w:t>,</w:t>
      </w:r>
      <w:r w:rsidR="00210E82">
        <w:rPr>
          <w:rFonts w:ascii="Times New Roman" w:hAnsi="Times New Roman" w:cs="Times New Roman"/>
          <w:sz w:val="24"/>
          <w:szCs w:val="24"/>
        </w:rPr>
        <w:t xml:space="preserve"> ‘nervous shock’</w:t>
      </w:r>
      <w:r w:rsidR="0096078D">
        <w:rPr>
          <w:rFonts w:ascii="Times New Roman" w:hAnsi="Times New Roman" w:cs="Times New Roman"/>
          <w:sz w:val="24"/>
          <w:szCs w:val="24"/>
        </w:rPr>
        <w:t xml:space="preserve">, is inadequate: </w:t>
      </w:r>
      <w:r w:rsidR="00F85DD3">
        <w:rPr>
          <w:rFonts w:ascii="Times New Roman" w:hAnsi="Times New Roman" w:cs="Times New Roman"/>
          <w:sz w:val="24"/>
          <w:szCs w:val="24"/>
        </w:rPr>
        <w:t>it</w:t>
      </w:r>
      <w:r w:rsidR="009121E8">
        <w:rPr>
          <w:rFonts w:ascii="Times New Roman" w:hAnsi="Times New Roman" w:cs="Times New Roman"/>
          <w:sz w:val="24"/>
          <w:szCs w:val="24"/>
        </w:rPr>
        <w:t xml:space="preserve"> evoke</w:t>
      </w:r>
      <w:r w:rsidR="00F85DD3">
        <w:rPr>
          <w:rFonts w:ascii="Times New Roman" w:hAnsi="Times New Roman" w:cs="Times New Roman"/>
          <w:sz w:val="24"/>
          <w:szCs w:val="24"/>
        </w:rPr>
        <w:t>s</w:t>
      </w:r>
      <w:r w:rsidR="009121E8">
        <w:rPr>
          <w:rFonts w:ascii="Times New Roman" w:hAnsi="Times New Roman" w:cs="Times New Roman"/>
          <w:sz w:val="24"/>
          <w:szCs w:val="24"/>
        </w:rPr>
        <w:t xml:space="preserve"> </w:t>
      </w:r>
      <w:r w:rsidR="00524621">
        <w:rPr>
          <w:rFonts w:ascii="Times New Roman" w:hAnsi="Times New Roman" w:cs="Times New Roman"/>
          <w:sz w:val="24"/>
          <w:szCs w:val="24"/>
        </w:rPr>
        <w:t>nervous Victorians reaching for the smelling salts</w:t>
      </w:r>
      <w:r w:rsidR="00F85DD3">
        <w:rPr>
          <w:rFonts w:ascii="Times New Roman" w:hAnsi="Times New Roman" w:cs="Times New Roman"/>
          <w:sz w:val="24"/>
          <w:szCs w:val="24"/>
        </w:rPr>
        <w:t xml:space="preserve"> and lacks </w:t>
      </w:r>
      <w:r w:rsidR="00524621">
        <w:rPr>
          <w:rFonts w:ascii="Times New Roman" w:hAnsi="Times New Roman" w:cs="Times New Roman"/>
          <w:sz w:val="24"/>
          <w:szCs w:val="24"/>
        </w:rPr>
        <w:t>scientificity.</w:t>
      </w:r>
      <w:bookmarkStart w:id="14" w:name="_Ref31128782"/>
      <w:r w:rsidR="00524621">
        <w:rPr>
          <w:rStyle w:val="FootnoteReference"/>
          <w:rFonts w:cs="Times New Roman"/>
          <w:szCs w:val="24"/>
        </w:rPr>
        <w:footnoteReference w:id="28"/>
      </w:r>
      <w:bookmarkEnd w:id="14"/>
      <w:r w:rsidR="001F198A">
        <w:rPr>
          <w:rFonts w:ascii="Times New Roman" w:hAnsi="Times New Roman" w:cs="Times New Roman"/>
          <w:sz w:val="24"/>
          <w:szCs w:val="24"/>
        </w:rPr>
        <w:t xml:space="preserve"> It is also misleading:</w:t>
      </w:r>
      <w:r w:rsidR="00F85DD3">
        <w:rPr>
          <w:rFonts w:ascii="Times New Roman" w:hAnsi="Times New Roman" w:cs="Times New Roman"/>
          <w:sz w:val="24"/>
          <w:szCs w:val="24"/>
        </w:rPr>
        <w:t xml:space="preserve"> in many cases, ‘nervous shock’ was the </w:t>
      </w:r>
      <w:r w:rsidR="0020372A" w:rsidRPr="00C34D23">
        <w:rPr>
          <w:rFonts w:ascii="Times New Roman" w:hAnsi="Times New Roman" w:cs="Times New Roman"/>
          <w:sz w:val="24"/>
          <w:szCs w:val="24"/>
        </w:rPr>
        <w:t>mode</w:t>
      </w:r>
      <w:r w:rsidR="00F85DD3">
        <w:rPr>
          <w:rFonts w:ascii="Times New Roman" w:hAnsi="Times New Roman" w:cs="Times New Roman"/>
          <w:sz w:val="24"/>
          <w:szCs w:val="24"/>
        </w:rPr>
        <w:t xml:space="preserve"> </w:t>
      </w:r>
      <w:r w:rsidR="0020372A">
        <w:rPr>
          <w:rFonts w:ascii="Times New Roman" w:hAnsi="Times New Roman" w:cs="Times New Roman"/>
          <w:sz w:val="24"/>
          <w:szCs w:val="24"/>
        </w:rPr>
        <w:t>by</w:t>
      </w:r>
      <w:r w:rsidR="00F85DD3">
        <w:rPr>
          <w:rFonts w:ascii="Times New Roman" w:hAnsi="Times New Roman" w:cs="Times New Roman"/>
          <w:sz w:val="24"/>
          <w:szCs w:val="24"/>
        </w:rPr>
        <w:t xml:space="preserve"> which physical injury occurred, rather than</w:t>
      </w:r>
      <w:r w:rsidR="00455485">
        <w:rPr>
          <w:rFonts w:ascii="Times New Roman" w:hAnsi="Times New Roman" w:cs="Times New Roman"/>
          <w:sz w:val="24"/>
          <w:szCs w:val="24"/>
        </w:rPr>
        <w:t xml:space="preserve"> the</w:t>
      </w:r>
      <w:r w:rsidR="00F85DD3">
        <w:rPr>
          <w:rFonts w:ascii="Times New Roman" w:hAnsi="Times New Roman" w:cs="Times New Roman"/>
          <w:sz w:val="24"/>
          <w:szCs w:val="24"/>
        </w:rPr>
        <w:t xml:space="preserve"> damage itself.</w:t>
      </w:r>
      <w:r w:rsidR="00E77AA0">
        <w:rPr>
          <w:rFonts w:ascii="Times New Roman" w:hAnsi="Times New Roman" w:cs="Times New Roman"/>
          <w:sz w:val="24"/>
          <w:szCs w:val="24"/>
        </w:rPr>
        <w:t xml:space="preserve"> The author prefers</w:t>
      </w:r>
      <w:r w:rsidR="001F198A">
        <w:rPr>
          <w:rFonts w:ascii="Times New Roman" w:hAnsi="Times New Roman" w:cs="Times New Roman"/>
          <w:sz w:val="24"/>
          <w:szCs w:val="24"/>
        </w:rPr>
        <w:t xml:space="preserve"> </w:t>
      </w:r>
      <w:r w:rsidR="00886B4F">
        <w:rPr>
          <w:rFonts w:ascii="Times New Roman" w:hAnsi="Times New Roman" w:cs="Times New Roman"/>
          <w:sz w:val="24"/>
          <w:szCs w:val="24"/>
        </w:rPr>
        <w:t>‘psychiatric injury’</w:t>
      </w:r>
      <w:r w:rsidR="003F01EC">
        <w:rPr>
          <w:rFonts w:ascii="Times New Roman" w:hAnsi="Times New Roman" w:cs="Times New Roman"/>
          <w:sz w:val="24"/>
          <w:szCs w:val="24"/>
        </w:rPr>
        <w:t xml:space="preserve"> or ‘mental harm’</w:t>
      </w:r>
      <w:r w:rsidR="00D41509">
        <w:rPr>
          <w:rFonts w:ascii="Times New Roman" w:hAnsi="Times New Roman" w:cs="Times New Roman"/>
          <w:sz w:val="24"/>
          <w:szCs w:val="24"/>
        </w:rPr>
        <w:t xml:space="preserve"> and use</w:t>
      </w:r>
      <w:r w:rsidR="0067499D">
        <w:rPr>
          <w:rFonts w:ascii="Times New Roman" w:hAnsi="Times New Roman" w:cs="Times New Roman"/>
          <w:sz w:val="24"/>
          <w:szCs w:val="24"/>
        </w:rPr>
        <w:t>s</w:t>
      </w:r>
      <w:r w:rsidR="00D41509">
        <w:rPr>
          <w:rFonts w:ascii="Times New Roman" w:hAnsi="Times New Roman" w:cs="Times New Roman"/>
          <w:sz w:val="24"/>
          <w:szCs w:val="24"/>
        </w:rPr>
        <w:t xml:space="preserve"> them to refer to the adverse psychological consequences of a defendant’s negligence</w:t>
      </w:r>
      <w:r w:rsidR="00524621">
        <w:rPr>
          <w:rFonts w:ascii="Times New Roman" w:hAnsi="Times New Roman" w:cs="Times New Roman"/>
          <w:sz w:val="24"/>
          <w:szCs w:val="24"/>
        </w:rPr>
        <w:t xml:space="preserve">. </w:t>
      </w:r>
      <w:r w:rsidR="00E77AA0">
        <w:rPr>
          <w:rFonts w:ascii="Times New Roman" w:hAnsi="Times New Roman" w:cs="Times New Roman"/>
          <w:sz w:val="24"/>
          <w:szCs w:val="24"/>
        </w:rPr>
        <w:t>I</w:t>
      </w:r>
      <w:r w:rsidR="00C048A2">
        <w:rPr>
          <w:rFonts w:ascii="Times New Roman" w:hAnsi="Times New Roman" w:cs="Times New Roman"/>
          <w:sz w:val="24"/>
          <w:szCs w:val="24"/>
        </w:rPr>
        <w:t xml:space="preserve"> also use</w:t>
      </w:r>
      <w:r w:rsidR="00524621">
        <w:rPr>
          <w:rFonts w:ascii="Times New Roman" w:hAnsi="Times New Roman" w:cs="Times New Roman"/>
          <w:sz w:val="24"/>
          <w:szCs w:val="24"/>
        </w:rPr>
        <w:t xml:space="preserve"> ‘psychosocial disability’</w:t>
      </w:r>
      <w:r w:rsidR="0050020D">
        <w:rPr>
          <w:rFonts w:ascii="Times New Roman" w:hAnsi="Times New Roman" w:cs="Times New Roman"/>
          <w:sz w:val="24"/>
          <w:szCs w:val="24"/>
        </w:rPr>
        <w:t>,</w:t>
      </w:r>
      <w:r w:rsidR="00D41509">
        <w:rPr>
          <w:rFonts w:ascii="Times New Roman" w:hAnsi="Times New Roman" w:cs="Times New Roman"/>
          <w:sz w:val="24"/>
          <w:szCs w:val="24"/>
        </w:rPr>
        <w:t xml:space="preserve"> which may be an appropriate label</w:t>
      </w:r>
      <w:r w:rsidR="009D2FB2">
        <w:rPr>
          <w:rFonts w:ascii="Times New Roman" w:hAnsi="Times New Roman" w:cs="Times New Roman"/>
          <w:sz w:val="24"/>
          <w:szCs w:val="24"/>
        </w:rPr>
        <w:t xml:space="preserve"> </w:t>
      </w:r>
      <w:r w:rsidR="009279B7">
        <w:rPr>
          <w:rFonts w:ascii="Times New Roman" w:hAnsi="Times New Roman" w:cs="Times New Roman"/>
          <w:sz w:val="24"/>
          <w:szCs w:val="24"/>
        </w:rPr>
        <w:t>for a post-CRPD era</w:t>
      </w:r>
      <w:r w:rsidR="00D41509">
        <w:rPr>
          <w:rFonts w:ascii="Times New Roman" w:hAnsi="Times New Roman" w:cs="Times New Roman"/>
          <w:sz w:val="24"/>
          <w:szCs w:val="24"/>
        </w:rPr>
        <w:t>.</w:t>
      </w:r>
      <w:r w:rsidR="00C924A4">
        <w:rPr>
          <w:rFonts w:ascii="Times New Roman" w:hAnsi="Times New Roman" w:cs="Times New Roman"/>
          <w:sz w:val="24"/>
          <w:szCs w:val="24"/>
        </w:rPr>
        <w:t xml:space="preserve"> </w:t>
      </w:r>
      <w:r w:rsidR="0050020D">
        <w:rPr>
          <w:rFonts w:ascii="Times New Roman" w:hAnsi="Times New Roman" w:cs="Times New Roman"/>
          <w:sz w:val="24"/>
          <w:szCs w:val="24"/>
        </w:rPr>
        <w:t>Second,</w:t>
      </w:r>
      <w:r w:rsidR="005D2F26">
        <w:rPr>
          <w:rFonts w:ascii="Times New Roman" w:hAnsi="Times New Roman" w:cs="Times New Roman"/>
          <w:sz w:val="24"/>
          <w:szCs w:val="24"/>
        </w:rPr>
        <w:t xml:space="preserve"> although </w:t>
      </w:r>
      <w:r w:rsidR="009A54CF">
        <w:rPr>
          <w:rFonts w:ascii="Times New Roman" w:hAnsi="Times New Roman" w:cs="Times New Roman"/>
          <w:sz w:val="24"/>
          <w:szCs w:val="24"/>
        </w:rPr>
        <w:t>its</w:t>
      </w:r>
      <w:r w:rsidR="005D2F26">
        <w:rPr>
          <w:rFonts w:ascii="Times New Roman" w:hAnsi="Times New Roman" w:cs="Times New Roman"/>
          <w:sz w:val="24"/>
          <w:szCs w:val="24"/>
        </w:rPr>
        <w:t xml:space="preserve"> </w:t>
      </w:r>
      <w:r w:rsidR="00C924A4">
        <w:rPr>
          <w:rFonts w:ascii="Times New Roman" w:hAnsi="Times New Roman" w:cs="Times New Roman"/>
          <w:sz w:val="24"/>
          <w:szCs w:val="24"/>
        </w:rPr>
        <w:t xml:space="preserve">primary focus is </w:t>
      </w:r>
      <w:r w:rsidR="0046042A">
        <w:rPr>
          <w:rFonts w:ascii="Times New Roman" w:hAnsi="Times New Roman" w:cs="Times New Roman"/>
          <w:sz w:val="24"/>
          <w:szCs w:val="24"/>
        </w:rPr>
        <w:t xml:space="preserve">English </w:t>
      </w:r>
      <w:r w:rsidR="00513E77">
        <w:rPr>
          <w:rFonts w:ascii="Times New Roman" w:hAnsi="Times New Roman" w:cs="Times New Roman"/>
          <w:sz w:val="24"/>
          <w:szCs w:val="24"/>
        </w:rPr>
        <w:t>law</w:t>
      </w:r>
      <w:r w:rsidR="00C924A4">
        <w:rPr>
          <w:rFonts w:ascii="Times New Roman" w:hAnsi="Times New Roman" w:cs="Times New Roman"/>
          <w:sz w:val="24"/>
          <w:szCs w:val="24"/>
        </w:rPr>
        <w:t>,</w:t>
      </w:r>
      <w:r w:rsidR="00DA2F15">
        <w:rPr>
          <w:rFonts w:ascii="Times New Roman" w:hAnsi="Times New Roman" w:cs="Times New Roman"/>
          <w:sz w:val="24"/>
          <w:szCs w:val="24"/>
        </w:rPr>
        <w:t xml:space="preserve"> this</w:t>
      </w:r>
      <w:r w:rsidR="005D2F26">
        <w:rPr>
          <w:rFonts w:ascii="Times New Roman" w:hAnsi="Times New Roman" w:cs="Times New Roman"/>
          <w:sz w:val="24"/>
          <w:szCs w:val="24"/>
        </w:rPr>
        <w:t xml:space="preserve"> is not to say that this paper</w:t>
      </w:r>
      <w:r w:rsidR="00277AD6">
        <w:rPr>
          <w:rFonts w:ascii="Times New Roman" w:hAnsi="Times New Roman" w:cs="Times New Roman"/>
          <w:sz w:val="24"/>
          <w:szCs w:val="24"/>
        </w:rPr>
        <w:t xml:space="preserve"> lack</w:t>
      </w:r>
      <w:r w:rsidR="009A54CF">
        <w:rPr>
          <w:rFonts w:ascii="Times New Roman" w:hAnsi="Times New Roman" w:cs="Times New Roman"/>
          <w:sz w:val="24"/>
          <w:szCs w:val="24"/>
        </w:rPr>
        <w:t>s</w:t>
      </w:r>
      <w:r w:rsidR="005D2F26">
        <w:rPr>
          <w:rFonts w:ascii="Times New Roman" w:hAnsi="Times New Roman" w:cs="Times New Roman"/>
          <w:sz w:val="24"/>
          <w:szCs w:val="24"/>
        </w:rPr>
        <w:t xml:space="preserve"> wider relevance</w:t>
      </w:r>
      <w:r w:rsidR="002B0AF0">
        <w:rPr>
          <w:rFonts w:ascii="Times New Roman" w:hAnsi="Times New Roman" w:cs="Times New Roman"/>
          <w:sz w:val="24"/>
          <w:szCs w:val="24"/>
        </w:rPr>
        <w:t xml:space="preserve">. </w:t>
      </w:r>
      <w:r w:rsidR="005D2F26">
        <w:rPr>
          <w:rFonts w:ascii="Times New Roman" w:hAnsi="Times New Roman" w:cs="Times New Roman"/>
          <w:sz w:val="24"/>
          <w:szCs w:val="24"/>
        </w:rPr>
        <w:t>It</w:t>
      </w:r>
      <w:r w:rsidR="002B0AF0">
        <w:rPr>
          <w:rFonts w:ascii="Times New Roman" w:hAnsi="Times New Roman" w:cs="Times New Roman"/>
          <w:sz w:val="24"/>
          <w:szCs w:val="24"/>
        </w:rPr>
        <w:t xml:space="preserve"> refer</w:t>
      </w:r>
      <w:r w:rsidR="00AB38F0">
        <w:rPr>
          <w:rFonts w:ascii="Times New Roman" w:hAnsi="Times New Roman" w:cs="Times New Roman"/>
          <w:sz w:val="24"/>
          <w:szCs w:val="24"/>
        </w:rPr>
        <w:t>s</w:t>
      </w:r>
      <w:r w:rsidR="002B0AF0">
        <w:rPr>
          <w:rFonts w:ascii="Times New Roman" w:hAnsi="Times New Roman" w:cs="Times New Roman"/>
          <w:sz w:val="24"/>
          <w:szCs w:val="24"/>
        </w:rPr>
        <w:t xml:space="preserve"> to</w:t>
      </w:r>
      <w:r w:rsidR="00AB38F0">
        <w:rPr>
          <w:rFonts w:ascii="Times New Roman" w:hAnsi="Times New Roman" w:cs="Times New Roman"/>
          <w:sz w:val="24"/>
          <w:szCs w:val="24"/>
        </w:rPr>
        <w:t xml:space="preserve"> </w:t>
      </w:r>
      <w:r w:rsidR="002B0AF0">
        <w:rPr>
          <w:rFonts w:ascii="Times New Roman" w:hAnsi="Times New Roman" w:cs="Times New Roman"/>
          <w:sz w:val="24"/>
          <w:szCs w:val="24"/>
        </w:rPr>
        <w:t xml:space="preserve">cases from </w:t>
      </w:r>
      <w:r w:rsidR="00AB38F0">
        <w:rPr>
          <w:rFonts w:ascii="Times New Roman" w:hAnsi="Times New Roman" w:cs="Times New Roman"/>
          <w:sz w:val="24"/>
          <w:szCs w:val="24"/>
        </w:rPr>
        <w:t>several common law jurisdictions (Canada, New Zealand, Australia</w:t>
      </w:r>
      <w:r w:rsidR="00513E77">
        <w:rPr>
          <w:rFonts w:ascii="Times New Roman" w:hAnsi="Times New Roman" w:cs="Times New Roman"/>
          <w:sz w:val="24"/>
          <w:szCs w:val="24"/>
        </w:rPr>
        <w:t xml:space="preserve"> and</w:t>
      </w:r>
      <w:r w:rsidR="00AB38F0">
        <w:rPr>
          <w:rFonts w:ascii="Times New Roman" w:hAnsi="Times New Roman" w:cs="Times New Roman"/>
          <w:sz w:val="24"/>
          <w:szCs w:val="24"/>
        </w:rPr>
        <w:t xml:space="preserve"> South Africa)</w:t>
      </w:r>
      <w:r w:rsidR="005D2F26">
        <w:rPr>
          <w:rFonts w:ascii="Times New Roman" w:hAnsi="Times New Roman" w:cs="Times New Roman"/>
          <w:sz w:val="24"/>
          <w:szCs w:val="24"/>
        </w:rPr>
        <w:t xml:space="preserve">, all of which </w:t>
      </w:r>
      <w:r w:rsidR="00AB38F0">
        <w:rPr>
          <w:rFonts w:ascii="Times New Roman" w:hAnsi="Times New Roman" w:cs="Times New Roman"/>
          <w:sz w:val="24"/>
          <w:szCs w:val="24"/>
        </w:rPr>
        <w:t>have</w:t>
      </w:r>
      <w:r w:rsidR="00513E77">
        <w:rPr>
          <w:rFonts w:ascii="Times New Roman" w:hAnsi="Times New Roman" w:cs="Times New Roman"/>
          <w:sz w:val="24"/>
          <w:szCs w:val="24"/>
        </w:rPr>
        <w:t xml:space="preserve"> </w:t>
      </w:r>
      <w:r w:rsidR="00AB38F0">
        <w:rPr>
          <w:rFonts w:ascii="Times New Roman" w:hAnsi="Times New Roman" w:cs="Times New Roman"/>
          <w:sz w:val="24"/>
          <w:szCs w:val="24"/>
        </w:rPr>
        <w:t>signed and ratified the CRPD and are bound by it in</w:t>
      </w:r>
      <w:r w:rsidR="00B74F8A">
        <w:rPr>
          <w:rFonts w:ascii="Times New Roman" w:hAnsi="Times New Roman" w:cs="Times New Roman"/>
          <w:sz w:val="24"/>
          <w:szCs w:val="24"/>
        </w:rPr>
        <w:t xml:space="preserve"> </w:t>
      </w:r>
      <w:r w:rsidR="00AB38F0">
        <w:rPr>
          <w:rFonts w:ascii="Times New Roman" w:hAnsi="Times New Roman" w:cs="Times New Roman"/>
          <w:sz w:val="24"/>
          <w:szCs w:val="24"/>
        </w:rPr>
        <w:t>the same way</w:t>
      </w:r>
      <w:r w:rsidR="00C10B73">
        <w:rPr>
          <w:rFonts w:ascii="Times New Roman" w:hAnsi="Times New Roman" w:cs="Times New Roman"/>
          <w:sz w:val="24"/>
          <w:szCs w:val="24"/>
        </w:rPr>
        <w:t xml:space="preserve"> as the UK</w:t>
      </w:r>
      <w:r w:rsidR="00AB38F0">
        <w:rPr>
          <w:rFonts w:ascii="Times New Roman" w:hAnsi="Times New Roman" w:cs="Times New Roman"/>
          <w:sz w:val="24"/>
          <w:szCs w:val="24"/>
        </w:rPr>
        <w:t>.</w:t>
      </w:r>
      <w:r w:rsidR="00513E77">
        <w:rPr>
          <w:rFonts w:ascii="Times New Roman" w:hAnsi="Times New Roman" w:cs="Times New Roman"/>
          <w:sz w:val="24"/>
          <w:szCs w:val="24"/>
        </w:rPr>
        <w:t xml:space="preserve"> </w:t>
      </w:r>
      <w:r w:rsidR="00375528">
        <w:rPr>
          <w:rFonts w:ascii="Times New Roman" w:hAnsi="Times New Roman" w:cs="Times New Roman"/>
          <w:sz w:val="24"/>
          <w:szCs w:val="24"/>
        </w:rPr>
        <w:t>T</w:t>
      </w:r>
      <w:r w:rsidR="005864D4">
        <w:rPr>
          <w:rFonts w:ascii="Times New Roman" w:hAnsi="Times New Roman" w:cs="Times New Roman"/>
          <w:sz w:val="24"/>
          <w:szCs w:val="24"/>
        </w:rPr>
        <w:t>he CRPD</w:t>
      </w:r>
      <w:r w:rsidR="0067499D">
        <w:rPr>
          <w:rFonts w:ascii="Times New Roman" w:hAnsi="Times New Roman" w:cs="Times New Roman"/>
          <w:sz w:val="24"/>
          <w:szCs w:val="24"/>
        </w:rPr>
        <w:t xml:space="preserve"> </w:t>
      </w:r>
      <w:r w:rsidR="0031492F">
        <w:rPr>
          <w:rFonts w:ascii="Times New Roman" w:hAnsi="Times New Roman" w:cs="Times New Roman"/>
          <w:sz w:val="24"/>
          <w:szCs w:val="24"/>
        </w:rPr>
        <w:t>is</w:t>
      </w:r>
      <w:r w:rsidR="00375528">
        <w:rPr>
          <w:rFonts w:ascii="Times New Roman" w:hAnsi="Times New Roman" w:cs="Times New Roman"/>
          <w:sz w:val="24"/>
          <w:szCs w:val="24"/>
        </w:rPr>
        <w:t xml:space="preserve"> therefore</w:t>
      </w:r>
      <w:r w:rsidR="00277AD6">
        <w:rPr>
          <w:rFonts w:ascii="Times New Roman" w:hAnsi="Times New Roman" w:cs="Times New Roman"/>
          <w:sz w:val="24"/>
          <w:szCs w:val="24"/>
        </w:rPr>
        <w:t xml:space="preserve"> likely</w:t>
      </w:r>
      <w:r w:rsidR="0031492F">
        <w:rPr>
          <w:rFonts w:ascii="Times New Roman" w:hAnsi="Times New Roman" w:cs="Times New Roman"/>
          <w:sz w:val="24"/>
          <w:szCs w:val="24"/>
        </w:rPr>
        <w:t xml:space="preserve"> to</w:t>
      </w:r>
      <w:r w:rsidR="00375528">
        <w:rPr>
          <w:rFonts w:ascii="Times New Roman" w:hAnsi="Times New Roman" w:cs="Times New Roman"/>
          <w:sz w:val="24"/>
          <w:szCs w:val="24"/>
        </w:rPr>
        <w:t xml:space="preserve"> have</w:t>
      </w:r>
      <w:r w:rsidR="005864D4">
        <w:rPr>
          <w:rFonts w:ascii="Times New Roman" w:hAnsi="Times New Roman" w:cs="Times New Roman"/>
          <w:sz w:val="24"/>
          <w:szCs w:val="24"/>
        </w:rPr>
        <w:t xml:space="preserve"> implications </w:t>
      </w:r>
      <w:r w:rsidR="00375528">
        <w:rPr>
          <w:rFonts w:ascii="Times New Roman" w:hAnsi="Times New Roman" w:cs="Times New Roman"/>
          <w:sz w:val="24"/>
          <w:szCs w:val="24"/>
        </w:rPr>
        <w:t>across the</w:t>
      </w:r>
      <w:r w:rsidR="005864D4">
        <w:rPr>
          <w:rFonts w:ascii="Times New Roman" w:hAnsi="Times New Roman" w:cs="Times New Roman"/>
          <w:sz w:val="24"/>
          <w:szCs w:val="24"/>
        </w:rPr>
        <w:t xml:space="preserve"> common law world.</w:t>
      </w:r>
      <w:r w:rsidR="008A37BE">
        <w:rPr>
          <w:rFonts w:ascii="Times New Roman" w:hAnsi="Times New Roman" w:cs="Times New Roman"/>
          <w:sz w:val="24"/>
          <w:szCs w:val="24"/>
        </w:rPr>
        <w:t xml:space="preserve"> </w:t>
      </w:r>
      <w:r w:rsidR="00FA486C">
        <w:rPr>
          <w:rFonts w:ascii="Times New Roman" w:hAnsi="Times New Roman" w:cs="Times New Roman"/>
          <w:sz w:val="24"/>
          <w:szCs w:val="24"/>
        </w:rPr>
        <w:t>Finally,</w:t>
      </w:r>
      <w:r w:rsidR="005708CA">
        <w:rPr>
          <w:rFonts w:ascii="Times New Roman" w:hAnsi="Times New Roman" w:cs="Times New Roman"/>
          <w:sz w:val="24"/>
          <w:szCs w:val="24"/>
        </w:rPr>
        <w:t xml:space="preserve"> limited space</w:t>
      </w:r>
      <w:r w:rsidR="00FA486C">
        <w:rPr>
          <w:rFonts w:ascii="Times New Roman" w:hAnsi="Times New Roman" w:cs="Times New Roman"/>
          <w:sz w:val="24"/>
          <w:szCs w:val="24"/>
        </w:rPr>
        <w:t xml:space="preserve"> preclude</w:t>
      </w:r>
      <w:r w:rsidR="005708CA">
        <w:rPr>
          <w:rFonts w:ascii="Times New Roman" w:hAnsi="Times New Roman" w:cs="Times New Roman"/>
          <w:sz w:val="24"/>
          <w:szCs w:val="24"/>
        </w:rPr>
        <w:t>s</w:t>
      </w:r>
      <w:r w:rsidR="00FA486C">
        <w:rPr>
          <w:rFonts w:ascii="Times New Roman" w:hAnsi="Times New Roman" w:cs="Times New Roman"/>
          <w:sz w:val="24"/>
          <w:szCs w:val="24"/>
        </w:rPr>
        <w:t xml:space="preserve"> discussion of the ‘occupational stress’ cases</w:t>
      </w:r>
      <w:r w:rsidR="004D0A4B">
        <w:rPr>
          <w:rFonts w:ascii="Times New Roman" w:hAnsi="Times New Roman" w:cs="Times New Roman"/>
          <w:sz w:val="24"/>
          <w:szCs w:val="24"/>
        </w:rPr>
        <w:t xml:space="preserve">. </w:t>
      </w:r>
      <w:r w:rsidR="00DD0174">
        <w:rPr>
          <w:rFonts w:ascii="Times New Roman" w:hAnsi="Times New Roman" w:cs="Times New Roman"/>
          <w:sz w:val="24"/>
          <w:szCs w:val="24"/>
        </w:rPr>
        <w:t xml:space="preserve">The </w:t>
      </w:r>
      <w:r w:rsidR="008E749A">
        <w:rPr>
          <w:rFonts w:ascii="Times New Roman" w:hAnsi="Times New Roman" w:cs="Times New Roman"/>
          <w:sz w:val="24"/>
          <w:szCs w:val="24"/>
        </w:rPr>
        <w:t>duty which a defendant</w:t>
      </w:r>
      <w:r w:rsidR="009848D3">
        <w:rPr>
          <w:rFonts w:ascii="Times New Roman" w:hAnsi="Times New Roman" w:cs="Times New Roman"/>
          <w:sz w:val="24"/>
          <w:szCs w:val="24"/>
        </w:rPr>
        <w:t>-</w:t>
      </w:r>
      <w:r w:rsidR="008E749A">
        <w:rPr>
          <w:rFonts w:ascii="Times New Roman" w:hAnsi="Times New Roman" w:cs="Times New Roman"/>
          <w:sz w:val="24"/>
          <w:szCs w:val="24"/>
        </w:rPr>
        <w:t xml:space="preserve">employer owes her </w:t>
      </w:r>
      <w:r w:rsidR="008E749A">
        <w:rPr>
          <w:rFonts w:ascii="Times New Roman" w:hAnsi="Times New Roman" w:cs="Times New Roman"/>
          <w:sz w:val="24"/>
          <w:szCs w:val="24"/>
        </w:rPr>
        <w:lastRenderedPageBreak/>
        <w:t xml:space="preserve">employees </w:t>
      </w:r>
      <w:r w:rsidR="00FC185C">
        <w:rPr>
          <w:rFonts w:ascii="Times New Roman" w:hAnsi="Times New Roman" w:cs="Times New Roman"/>
          <w:sz w:val="24"/>
          <w:szCs w:val="24"/>
        </w:rPr>
        <w:t>requires her</w:t>
      </w:r>
      <w:r w:rsidR="009E0FE8">
        <w:rPr>
          <w:rFonts w:ascii="Times New Roman" w:hAnsi="Times New Roman" w:cs="Times New Roman"/>
          <w:sz w:val="24"/>
          <w:szCs w:val="24"/>
        </w:rPr>
        <w:t xml:space="preserve"> to provide a reasonably safe system of work.</w:t>
      </w:r>
      <w:r w:rsidR="00412FC8">
        <w:rPr>
          <w:rStyle w:val="FootnoteReference"/>
          <w:rFonts w:cs="Times New Roman"/>
          <w:szCs w:val="24"/>
        </w:rPr>
        <w:footnoteReference w:id="29"/>
      </w:r>
      <w:r w:rsidR="00E76510">
        <w:rPr>
          <w:rFonts w:ascii="Times New Roman" w:hAnsi="Times New Roman" w:cs="Times New Roman"/>
          <w:sz w:val="24"/>
          <w:szCs w:val="24"/>
        </w:rPr>
        <w:t xml:space="preserve"> It does not turn on the presen</w:t>
      </w:r>
      <w:r w:rsidR="003248DA">
        <w:rPr>
          <w:rFonts w:ascii="Times New Roman" w:hAnsi="Times New Roman" w:cs="Times New Roman"/>
          <w:sz w:val="24"/>
          <w:szCs w:val="24"/>
        </w:rPr>
        <w:t>ce of disability</w:t>
      </w:r>
      <w:r w:rsidR="00515643">
        <w:rPr>
          <w:rFonts w:ascii="Times New Roman" w:hAnsi="Times New Roman" w:cs="Times New Roman"/>
          <w:sz w:val="24"/>
          <w:szCs w:val="24"/>
        </w:rPr>
        <w:t xml:space="preserve"> and therefore has no relevant dis</w:t>
      </w:r>
      <w:r w:rsidR="005708CA">
        <w:rPr>
          <w:rFonts w:ascii="Times New Roman" w:hAnsi="Times New Roman" w:cs="Times New Roman"/>
          <w:sz w:val="24"/>
          <w:szCs w:val="24"/>
        </w:rPr>
        <w:t>criminatory effect.</w:t>
      </w:r>
    </w:p>
    <w:p w14:paraId="610D1CF1" w14:textId="77777777" w:rsidR="00A72C74" w:rsidRDefault="00AF6028" w:rsidP="00915471">
      <w:pPr>
        <w:tabs>
          <w:tab w:val="left" w:pos="3631"/>
          <w:tab w:val="center" w:pos="4513"/>
        </w:tabs>
        <w:rPr>
          <w:rFonts w:ascii="Times New Roman" w:hAnsi="Times New Roman" w:cs="Times New Roman"/>
          <w:b/>
          <w:sz w:val="28"/>
          <w:szCs w:val="28"/>
        </w:rPr>
      </w:pPr>
      <w:r>
        <w:rPr>
          <w:rFonts w:ascii="Times New Roman" w:hAnsi="Times New Roman" w:cs="Times New Roman"/>
          <w:b/>
          <w:sz w:val="28"/>
          <w:szCs w:val="28"/>
        </w:rPr>
        <w:tab/>
      </w:r>
    </w:p>
    <w:p w14:paraId="09B0F506" w14:textId="77777777" w:rsidR="00A72C74" w:rsidRDefault="00A72C74">
      <w:pPr>
        <w:rPr>
          <w:rFonts w:ascii="Times New Roman" w:hAnsi="Times New Roman" w:cs="Times New Roman"/>
          <w:b/>
          <w:sz w:val="28"/>
          <w:szCs w:val="28"/>
        </w:rPr>
      </w:pPr>
      <w:r>
        <w:rPr>
          <w:rFonts w:ascii="Times New Roman" w:hAnsi="Times New Roman" w:cs="Times New Roman"/>
          <w:b/>
          <w:sz w:val="28"/>
          <w:szCs w:val="28"/>
        </w:rPr>
        <w:br w:type="page"/>
      </w:r>
    </w:p>
    <w:p w14:paraId="22F7A596" w14:textId="6A525124" w:rsidR="00430DAE" w:rsidRPr="000619DE" w:rsidRDefault="000619DE" w:rsidP="000619DE">
      <w:pPr>
        <w:tabs>
          <w:tab w:val="left" w:pos="3631"/>
          <w:tab w:val="center" w:pos="4513"/>
        </w:tabs>
        <w:ind w:firstLine="0"/>
        <w:jc w:val="center"/>
        <w:rPr>
          <w:rFonts w:ascii="Times New Roman" w:hAnsi="Times New Roman" w:cs="Times New Roman"/>
          <w:b/>
          <w:sz w:val="24"/>
          <w:szCs w:val="24"/>
        </w:rPr>
      </w:pPr>
      <w:r w:rsidRPr="000619DE">
        <w:rPr>
          <w:rFonts w:ascii="Times New Roman" w:hAnsi="Times New Roman" w:cs="Times New Roman"/>
          <w:b/>
          <w:sz w:val="24"/>
          <w:szCs w:val="24"/>
        </w:rPr>
        <w:lastRenderedPageBreak/>
        <w:t xml:space="preserve">PART </w:t>
      </w:r>
      <w:r w:rsidR="00EE6597">
        <w:rPr>
          <w:rFonts w:ascii="Times New Roman" w:hAnsi="Times New Roman" w:cs="Times New Roman"/>
          <w:b/>
          <w:sz w:val="24"/>
          <w:szCs w:val="24"/>
        </w:rPr>
        <w:t>1</w:t>
      </w:r>
      <w:r w:rsidRPr="000619DE">
        <w:rPr>
          <w:rFonts w:ascii="Times New Roman" w:hAnsi="Times New Roman" w:cs="Times New Roman"/>
          <w:b/>
          <w:sz w:val="24"/>
          <w:szCs w:val="24"/>
        </w:rPr>
        <w:t xml:space="preserve">: </w:t>
      </w:r>
      <w:r w:rsidR="000E6986" w:rsidRPr="000619DE">
        <w:rPr>
          <w:rFonts w:ascii="Times New Roman" w:hAnsi="Times New Roman" w:cs="Times New Roman"/>
          <w:b/>
          <w:sz w:val="24"/>
          <w:szCs w:val="24"/>
        </w:rPr>
        <w:t>THE CRPD: BACKGROUND, CONTENT AND IMPLICATIONS</w:t>
      </w:r>
    </w:p>
    <w:p w14:paraId="208DEF57" w14:textId="37FB8F30" w:rsidR="00E4203F" w:rsidRPr="000E6986" w:rsidRDefault="00673C78" w:rsidP="000E6986">
      <w:pPr>
        <w:pStyle w:val="ListParagraph"/>
        <w:numPr>
          <w:ilvl w:val="0"/>
          <w:numId w:val="36"/>
        </w:numPr>
        <w:rPr>
          <w:rFonts w:ascii="Times New Roman" w:hAnsi="Times New Roman" w:cs="Times New Roman"/>
          <w:i/>
          <w:iCs/>
          <w:sz w:val="24"/>
          <w:szCs w:val="24"/>
        </w:rPr>
      </w:pPr>
      <w:r w:rsidRPr="000E6986">
        <w:rPr>
          <w:rFonts w:ascii="Times New Roman" w:hAnsi="Times New Roman" w:cs="Times New Roman"/>
          <w:i/>
          <w:iCs/>
          <w:sz w:val="24"/>
          <w:szCs w:val="24"/>
        </w:rPr>
        <w:t>Background</w:t>
      </w:r>
    </w:p>
    <w:p w14:paraId="5E9CFC02" w14:textId="709ACC9E" w:rsidR="00E4203F" w:rsidRPr="003E1E06" w:rsidRDefault="00246332" w:rsidP="003E1E06">
      <w:pPr>
        <w:pStyle w:val="ListParagraph"/>
        <w:numPr>
          <w:ilvl w:val="0"/>
          <w:numId w:val="37"/>
        </w:numPr>
        <w:rPr>
          <w:rFonts w:ascii="Times New Roman" w:hAnsi="Times New Roman" w:cs="Times New Roman"/>
          <w:sz w:val="24"/>
          <w:szCs w:val="24"/>
        </w:rPr>
      </w:pPr>
      <w:r w:rsidRPr="003E1E06">
        <w:rPr>
          <w:rFonts w:ascii="Times New Roman" w:hAnsi="Times New Roman" w:cs="Times New Roman"/>
          <w:sz w:val="24"/>
          <w:szCs w:val="24"/>
        </w:rPr>
        <w:t>The p</w:t>
      </w:r>
      <w:r w:rsidR="00E4203F" w:rsidRPr="003E1E06">
        <w:rPr>
          <w:rFonts w:ascii="Times New Roman" w:hAnsi="Times New Roman" w:cs="Times New Roman"/>
          <w:sz w:val="24"/>
          <w:szCs w:val="24"/>
        </w:rPr>
        <w:t>rovenance of the CRPD</w:t>
      </w:r>
    </w:p>
    <w:p w14:paraId="0A4C2811" w14:textId="39344425" w:rsidR="005B6E5C" w:rsidRDefault="00F55878" w:rsidP="00C84449">
      <w:pPr>
        <w:ind w:firstLine="0"/>
        <w:rPr>
          <w:rFonts w:ascii="Times New Roman" w:hAnsi="Times New Roman" w:cs="Times New Roman"/>
          <w:sz w:val="24"/>
          <w:szCs w:val="24"/>
        </w:rPr>
      </w:pPr>
      <w:r w:rsidRPr="000D0357">
        <w:rPr>
          <w:rFonts w:ascii="Times New Roman" w:hAnsi="Times New Roman" w:cs="Times New Roman"/>
          <w:sz w:val="24"/>
          <w:szCs w:val="24"/>
        </w:rPr>
        <w:t>The</w:t>
      </w:r>
      <w:r w:rsidR="00F54BB3">
        <w:rPr>
          <w:rFonts w:ascii="Times New Roman" w:hAnsi="Times New Roman" w:cs="Times New Roman"/>
          <w:sz w:val="24"/>
          <w:szCs w:val="24"/>
        </w:rPr>
        <w:t xml:space="preserve"> UN General Assembly adopted the</w:t>
      </w:r>
      <w:r w:rsidRPr="000D0357">
        <w:rPr>
          <w:rFonts w:ascii="Times New Roman" w:hAnsi="Times New Roman" w:cs="Times New Roman"/>
          <w:sz w:val="24"/>
          <w:szCs w:val="24"/>
        </w:rPr>
        <w:t xml:space="preserve"> CRPD </w:t>
      </w:r>
      <w:r>
        <w:rPr>
          <w:rFonts w:ascii="Times New Roman" w:hAnsi="Times New Roman" w:cs="Times New Roman"/>
          <w:sz w:val="24"/>
          <w:szCs w:val="24"/>
        </w:rPr>
        <w:t>on 13 December 2006.</w:t>
      </w:r>
      <w:r w:rsidR="00750A44">
        <w:rPr>
          <w:rFonts w:ascii="Times New Roman" w:hAnsi="Times New Roman" w:cs="Times New Roman"/>
          <w:sz w:val="24"/>
          <w:szCs w:val="24"/>
        </w:rPr>
        <w:t xml:space="preserve"> It</w:t>
      </w:r>
      <w:r w:rsidR="001F45C3">
        <w:rPr>
          <w:rFonts w:ascii="Times New Roman" w:hAnsi="Times New Roman" w:cs="Times New Roman"/>
          <w:sz w:val="24"/>
          <w:szCs w:val="24"/>
        </w:rPr>
        <w:t xml:space="preserve"> </w:t>
      </w:r>
      <w:r w:rsidR="00750A44">
        <w:rPr>
          <w:rFonts w:ascii="Times New Roman" w:hAnsi="Times New Roman" w:cs="Times New Roman"/>
          <w:sz w:val="24"/>
          <w:szCs w:val="24"/>
        </w:rPr>
        <w:t xml:space="preserve">was the </w:t>
      </w:r>
      <w:r w:rsidR="00C01A5E">
        <w:rPr>
          <w:rFonts w:ascii="Times New Roman" w:hAnsi="Times New Roman" w:cs="Times New Roman"/>
          <w:sz w:val="24"/>
          <w:szCs w:val="24"/>
        </w:rPr>
        <w:t>first human rights treaty of the 21</w:t>
      </w:r>
      <w:r w:rsidR="00C01A5E" w:rsidRPr="00606E0A">
        <w:rPr>
          <w:rFonts w:ascii="Times New Roman" w:hAnsi="Times New Roman" w:cs="Times New Roman"/>
          <w:sz w:val="24"/>
          <w:szCs w:val="24"/>
          <w:vertAlign w:val="superscript"/>
        </w:rPr>
        <w:t>st</w:t>
      </w:r>
      <w:r w:rsidR="00C01A5E">
        <w:rPr>
          <w:rFonts w:ascii="Times New Roman" w:hAnsi="Times New Roman" w:cs="Times New Roman"/>
          <w:sz w:val="24"/>
          <w:szCs w:val="24"/>
        </w:rPr>
        <w:t xml:space="preserve"> Century</w:t>
      </w:r>
      <w:r w:rsidR="00E27815">
        <w:rPr>
          <w:rFonts w:ascii="Times New Roman" w:hAnsi="Times New Roman" w:cs="Times New Roman"/>
          <w:sz w:val="24"/>
          <w:szCs w:val="24"/>
        </w:rPr>
        <w:t xml:space="preserve"> and</w:t>
      </w:r>
      <w:r w:rsidR="00C01A5E">
        <w:rPr>
          <w:rFonts w:ascii="Times New Roman" w:hAnsi="Times New Roman" w:cs="Times New Roman"/>
          <w:sz w:val="24"/>
          <w:szCs w:val="24"/>
        </w:rPr>
        <w:t xml:space="preserve"> </w:t>
      </w:r>
      <w:r w:rsidR="00750A44">
        <w:rPr>
          <w:rFonts w:ascii="Times New Roman" w:hAnsi="Times New Roman" w:cs="Times New Roman"/>
          <w:sz w:val="24"/>
          <w:szCs w:val="24"/>
        </w:rPr>
        <w:t>the fastest-negotiated in history</w:t>
      </w:r>
      <w:r w:rsidR="00A62EE7">
        <w:rPr>
          <w:rFonts w:ascii="Times New Roman" w:hAnsi="Times New Roman" w:cs="Times New Roman"/>
          <w:sz w:val="24"/>
          <w:szCs w:val="24"/>
        </w:rPr>
        <w:t>.</w:t>
      </w:r>
      <w:r w:rsidR="002E3BA9">
        <w:rPr>
          <w:rStyle w:val="FootnoteReference"/>
          <w:rFonts w:cs="Times New Roman"/>
          <w:szCs w:val="24"/>
        </w:rPr>
        <w:footnoteReference w:id="30"/>
      </w:r>
      <w:r w:rsidR="002C29BC">
        <w:rPr>
          <w:rFonts w:ascii="Times New Roman" w:hAnsi="Times New Roman" w:cs="Times New Roman"/>
          <w:sz w:val="24"/>
          <w:szCs w:val="24"/>
        </w:rPr>
        <w:t xml:space="preserve"> </w:t>
      </w:r>
      <w:r w:rsidR="00300B87">
        <w:rPr>
          <w:rFonts w:ascii="Times New Roman" w:hAnsi="Times New Roman" w:cs="Times New Roman"/>
          <w:sz w:val="24"/>
          <w:szCs w:val="24"/>
        </w:rPr>
        <w:t>When it opened for signature on 30 March 2007, a record-breaking 82 countries became signatories</w:t>
      </w:r>
      <w:r w:rsidR="00FA0592">
        <w:rPr>
          <w:rFonts w:ascii="Times New Roman" w:hAnsi="Times New Roman" w:cs="Times New Roman"/>
          <w:sz w:val="24"/>
          <w:szCs w:val="24"/>
        </w:rPr>
        <w:t>.</w:t>
      </w:r>
      <w:r w:rsidR="00780787">
        <w:rPr>
          <w:rStyle w:val="FootnoteReference"/>
          <w:rFonts w:cs="Times New Roman"/>
          <w:szCs w:val="24"/>
        </w:rPr>
        <w:footnoteReference w:id="31"/>
      </w:r>
      <w:r w:rsidR="00121F4E">
        <w:rPr>
          <w:rFonts w:ascii="Times New Roman" w:hAnsi="Times New Roman" w:cs="Times New Roman"/>
          <w:sz w:val="24"/>
          <w:szCs w:val="24"/>
        </w:rPr>
        <w:t xml:space="preserve"> To date, the CRPD has</w:t>
      </w:r>
      <w:r w:rsidR="00AD4F1D">
        <w:rPr>
          <w:rFonts w:ascii="Times New Roman" w:hAnsi="Times New Roman" w:cs="Times New Roman"/>
          <w:sz w:val="24"/>
          <w:szCs w:val="24"/>
        </w:rPr>
        <w:t xml:space="preserve"> </w:t>
      </w:r>
      <w:r w:rsidR="00121F4E">
        <w:rPr>
          <w:rFonts w:ascii="Times New Roman" w:hAnsi="Times New Roman" w:cs="Times New Roman"/>
          <w:sz w:val="24"/>
          <w:szCs w:val="24"/>
        </w:rPr>
        <w:t>1</w:t>
      </w:r>
      <w:r w:rsidR="00DB1B7F">
        <w:rPr>
          <w:rFonts w:ascii="Times New Roman" w:hAnsi="Times New Roman" w:cs="Times New Roman"/>
          <w:sz w:val="24"/>
          <w:szCs w:val="24"/>
        </w:rPr>
        <w:t>8</w:t>
      </w:r>
      <w:r w:rsidR="00841724">
        <w:rPr>
          <w:rFonts w:ascii="Times New Roman" w:hAnsi="Times New Roman" w:cs="Times New Roman"/>
          <w:sz w:val="24"/>
          <w:szCs w:val="24"/>
        </w:rPr>
        <w:t>1</w:t>
      </w:r>
      <w:r w:rsidR="00DB1B7F">
        <w:rPr>
          <w:rFonts w:ascii="Times New Roman" w:hAnsi="Times New Roman" w:cs="Times New Roman"/>
          <w:sz w:val="24"/>
          <w:szCs w:val="24"/>
        </w:rPr>
        <w:t xml:space="preserve"> State Parties </w:t>
      </w:r>
      <w:r w:rsidR="00324A7D">
        <w:rPr>
          <w:rFonts w:ascii="Times New Roman" w:hAnsi="Times New Roman" w:cs="Times New Roman"/>
          <w:sz w:val="24"/>
          <w:szCs w:val="24"/>
        </w:rPr>
        <w:t xml:space="preserve">(including </w:t>
      </w:r>
      <w:r w:rsidR="00DA763B">
        <w:rPr>
          <w:rFonts w:ascii="Times New Roman" w:hAnsi="Times New Roman" w:cs="Times New Roman"/>
          <w:sz w:val="24"/>
          <w:szCs w:val="24"/>
        </w:rPr>
        <w:t xml:space="preserve">almost </w:t>
      </w:r>
      <w:r w:rsidR="00324A7D">
        <w:rPr>
          <w:rFonts w:ascii="Times New Roman" w:hAnsi="Times New Roman" w:cs="Times New Roman"/>
          <w:sz w:val="24"/>
          <w:szCs w:val="24"/>
        </w:rPr>
        <w:t>every common law jurisdiction</w:t>
      </w:r>
      <w:r w:rsidR="00DB4F25">
        <w:rPr>
          <w:rStyle w:val="FootnoteReference"/>
          <w:rFonts w:cs="Times New Roman"/>
          <w:szCs w:val="24"/>
        </w:rPr>
        <w:footnoteReference w:id="32"/>
      </w:r>
      <w:r w:rsidR="00DB4F25">
        <w:rPr>
          <w:rFonts w:ascii="Times New Roman" w:hAnsi="Times New Roman" w:cs="Times New Roman"/>
          <w:sz w:val="24"/>
          <w:szCs w:val="24"/>
        </w:rPr>
        <w:t>)</w:t>
      </w:r>
      <w:r w:rsidR="00FA0592">
        <w:rPr>
          <w:rFonts w:ascii="Times New Roman" w:hAnsi="Times New Roman" w:cs="Times New Roman"/>
          <w:sz w:val="24"/>
          <w:szCs w:val="24"/>
        </w:rPr>
        <w:t xml:space="preserve"> and</w:t>
      </w:r>
      <w:r w:rsidR="00841724">
        <w:rPr>
          <w:rFonts w:ascii="Times New Roman" w:hAnsi="Times New Roman" w:cs="Times New Roman"/>
          <w:sz w:val="24"/>
          <w:szCs w:val="24"/>
        </w:rPr>
        <w:t xml:space="preserve"> 96</w:t>
      </w:r>
      <w:r w:rsidR="00303B82">
        <w:rPr>
          <w:rFonts w:ascii="Times New Roman" w:hAnsi="Times New Roman" w:cs="Times New Roman"/>
          <w:sz w:val="24"/>
          <w:szCs w:val="24"/>
        </w:rPr>
        <w:t xml:space="preserve"> jurisdictions</w:t>
      </w:r>
      <w:r w:rsidR="00841724">
        <w:rPr>
          <w:rFonts w:ascii="Times New Roman" w:hAnsi="Times New Roman" w:cs="Times New Roman"/>
          <w:sz w:val="24"/>
          <w:szCs w:val="24"/>
        </w:rPr>
        <w:t xml:space="preserve"> have ratified its Optional Protocol,</w:t>
      </w:r>
      <w:bookmarkStart w:id="15" w:name="_Ref27067383"/>
      <w:r w:rsidR="00CA7A51">
        <w:rPr>
          <w:rStyle w:val="FootnoteReference"/>
          <w:rFonts w:cs="Times New Roman"/>
          <w:szCs w:val="24"/>
        </w:rPr>
        <w:footnoteReference w:id="33"/>
      </w:r>
      <w:bookmarkEnd w:id="15"/>
      <w:r w:rsidR="00841724">
        <w:rPr>
          <w:rFonts w:ascii="Times New Roman" w:hAnsi="Times New Roman" w:cs="Times New Roman"/>
          <w:sz w:val="24"/>
          <w:szCs w:val="24"/>
        </w:rPr>
        <w:t xml:space="preserve"> </w:t>
      </w:r>
      <w:r w:rsidR="00E05C75">
        <w:rPr>
          <w:rFonts w:ascii="Times New Roman" w:hAnsi="Times New Roman" w:cs="Times New Roman"/>
          <w:sz w:val="24"/>
          <w:szCs w:val="24"/>
        </w:rPr>
        <w:t xml:space="preserve">which </w:t>
      </w:r>
      <w:r w:rsidR="00050E18">
        <w:rPr>
          <w:rFonts w:ascii="Times New Roman" w:hAnsi="Times New Roman" w:cs="Times New Roman"/>
          <w:sz w:val="24"/>
          <w:szCs w:val="24"/>
        </w:rPr>
        <w:t>creates</w:t>
      </w:r>
      <w:r w:rsidR="00E05C75">
        <w:rPr>
          <w:rFonts w:ascii="Times New Roman" w:hAnsi="Times New Roman" w:cs="Times New Roman"/>
          <w:sz w:val="24"/>
          <w:szCs w:val="24"/>
        </w:rPr>
        <w:t xml:space="preserve"> </w:t>
      </w:r>
      <w:r w:rsidR="007C6340">
        <w:rPr>
          <w:rFonts w:ascii="Times New Roman" w:hAnsi="Times New Roman" w:cs="Times New Roman"/>
          <w:sz w:val="24"/>
          <w:szCs w:val="24"/>
        </w:rPr>
        <w:t>a</w:t>
      </w:r>
      <w:r w:rsidR="00E05C75">
        <w:rPr>
          <w:rFonts w:ascii="Times New Roman" w:hAnsi="Times New Roman" w:cs="Times New Roman"/>
          <w:sz w:val="24"/>
          <w:szCs w:val="24"/>
        </w:rPr>
        <w:t xml:space="preserve"> monitoring and enforcement</w:t>
      </w:r>
      <w:r w:rsidR="00532885">
        <w:rPr>
          <w:rFonts w:ascii="Times New Roman" w:hAnsi="Times New Roman" w:cs="Times New Roman"/>
          <w:sz w:val="24"/>
          <w:szCs w:val="24"/>
        </w:rPr>
        <w:t xml:space="preserve"> mechanism </w:t>
      </w:r>
      <w:r w:rsidR="00050E18">
        <w:rPr>
          <w:rFonts w:ascii="Times New Roman" w:hAnsi="Times New Roman" w:cs="Times New Roman"/>
          <w:sz w:val="24"/>
          <w:szCs w:val="24"/>
        </w:rPr>
        <w:t>under</w:t>
      </w:r>
      <w:r w:rsidR="00532885">
        <w:rPr>
          <w:rFonts w:ascii="Times New Roman" w:hAnsi="Times New Roman" w:cs="Times New Roman"/>
          <w:sz w:val="24"/>
          <w:szCs w:val="24"/>
        </w:rPr>
        <w:t xml:space="preserve"> the </w:t>
      </w:r>
      <w:r w:rsidR="00303B82">
        <w:rPr>
          <w:rFonts w:ascii="Times New Roman" w:hAnsi="Times New Roman" w:cs="Times New Roman"/>
          <w:sz w:val="24"/>
          <w:szCs w:val="24"/>
        </w:rPr>
        <w:t>CRPD</w:t>
      </w:r>
      <w:r w:rsidR="00CA7A51">
        <w:rPr>
          <w:rFonts w:ascii="Times New Roman" w:hAnsi="Times New Roman" w:cs="Times New Roman"/>
          <w:sz w:val="24"/>
          <w:szCs w:val="24"/>
        </w:rPr>
        <w:t xml:space="preserve"> Committee</w:t>
      </w:r>
      <w:r w:rsidR="00532885">
        <w:rPr>
          <w:rFonts w:ascii="Times New Roman" w:hAnsi="Times New Roman" w:cs="Times New Roman"/>
          <w:sz w:val="24"/>
          <w:szCs w:val="24"/>
        </w:rPr>
        <w:t>.</w:t>
      </w:r>
      <w:r w:rsidR="007F4BC6">
        <w:rPr>
          <w:rFonts w:ascii="Times New Roman" w:hAnsi="Times New Roman" w:cs="Times New Roman"/>
          <w:sz w:val="24"/>
          <w:szCs w:val="24"/>
        </w:rPr>
        <w:t xml:space="preserve"> The UK</w:t>
      </w:r>
      <w:r w:rsidR="003A10D7">
        <w:rPr>
          <w:rFonts w:ascii="Times New Roman" w:hAnsi="Times New Roman" w:cs="Times New Roman"/>
          <w:sz w:val="24"/>
          <w:szCs w:val="24"/>
        </w:rPr>
        <w:t xml:space="preserve"> was </w:t>
      </w:r>
      <w:r w:rsidR="003C7791">
        <w:rPr>
          <w:rFonts w:ascii="Times New Roman" w:hAnsi="Times New Roman" w:cs="Times New Roman"/>
          <w:sz w:val="24"/>
          <w:szCs w:val="24"/>
        </w:rPr>
        <w:t>among</w:t>
      </w:r>
      <w:r w:rsidR="00144834">
        <w:rPr>
          <w:rFonts w:ascii="Times New Roman" w:hAnsi="Times New Roman" w:cs="Times New Roman"/>
          <w:sz w:val="24"/>
          <w:szCs w:val="24"/>
        </w:rPr>
        <w:t xml:space="preserve"> the first 82 </w:t>
      </w:r>
      <w:r w:rsidR="003A10D7">
        <w:rPr>
          <w:rFonts w:ascii="Times New Roman" w:hAnsi="Times New Roman" w:cs="Times New Roman"/>
          <w:sz w:val="24"/>
          <w:szCs w:val="24"/>
        </w:rPr>
        <w:t>countries to sign the CRPD and</w:t>
      </w:r>
      <w:r w:rsidR="00121F4E">
        <w:rPr>
          <w:rFonts w:ascii="Times New Roman" w:hAnsi="Times New Roman" w:cs="Times New Roman"/>
          <w:sz w:val="24"/>
          <w:szCs w:val="24"/>
        </w:rPr>
        <w:t xml:space="preserve"> later ratified it</w:t>
      </w:r>
      <w:r w:rsidR="00144834">
        <w:rPr>
          <w:rFonts w:ascii="Times New Roman" w:hAnsi="Times New Roman" w:cs="Times New Roman"/>
          <w:sz w:val="24"/>
          <w:szCs w:val="24"/>
        </w:rPr>
        <w:t xml:space="preserve"> </w:t>
      </w:r>
      <w:r w:rsidR="003A10D7">
        <w:rPr>
          <w:rFonts w:ascii="Times New Roman" w:hAnsi="Times New Roman" w:cs="Times New Roman"/>
          <w:sz w:val="24"/>
          <w:szCs w:val="24"/>
        </w:rPr>
        <w:t>on 8 June 2009. It also signed and ratified the Optional Protocol</w:t>
      </w:r>
      <w:r w:rsidR="00F54BB3">
        <w:rPr>
          <w:rFonts w:ascii="Times New Roman" w:hAnsi="Times New Roman" w:cs="Times New Roman"/>
          <w:sz w:val="24"/>
          <w:szCs w:val="24"/>
        </w:rPr>
        <w:t xml:space="preserve"> in 2009</w:t>
      </w:r>
      <w:r w:rsidR="00BF3B89">
        <w:rPr>
          <w:rFonts w:ascii="Times New Roman" w:hAnsi="Times New Roman" w:cs="Times New Roman"/>
          <w:sz w:val="24"/>
          <w:szCs w:val="24"/>
        </w:rPr>
        <w:t>.</w:t>
      </w:r>
    </w:p>
    <w:p w14:paraId="2BC9F33D" w14:textId="62A0EA6F" w:rsidR="00B06F0E" w:rsidRDefault="00574871" w:rsidP="00C84449">
      <w:pPr>
        <w:rPr>
          <w:rFonts w:ascii="Times New Roman" w:hAnsi="Times New Roman" w:cs="Times New Roman"/>
          <w:sz w:val="24"/>
          <w:szCs w:val="24"/>
        </w:rPr>
      </w:pPr>
      <w:r>
        <w:rPr>
          <w:rFonts w:ascii="Times New Roman" w:hAnsi="Times New Roman" w:cs="Times New Roman"/>
          <w:sz w:val="24"/>
          <w:szCs w:val="24"/>
        </w:rPr>
        <w:t>Bef</w:t>
      </w:r>
      <w:r w:rsidR="005C329E">
        <w:rPr>
          <w:rFonts w:ascii="Times New Roman" w:hAnsi="Times New Roman" w:cs="Times New Roman"/>
          <w:sz w:val="24"/>
          <w:szCs w:val="24"/>
        </w:rPr>
        <w:t>o</w:t>
      </w:r>
      <w:r>
        <w:rPr>
          <w:rFonts w:ascii="Times New Roman" w:hAnsi="Times New Roman" w:cs="Times New Roman"/>
          <w:sz w:val="24"/>
          <w:szCs w:val="24"/>
        </w:rPr>
        <w:t>re</w:t>
      </w:r>
      <w:r w:rsidR="005C329E">
        <w:rPr>
          <w:rFonts w:ascii="Times New Roman" w:hAnsi="Times New Roman" w:cs="Times New Roman"/>
          <w:sz w:val="24"/>
          <w:szCs w:val="24"/>
        </w:rPr>
        <w:t xml:space="preserve"> the CRPD, </w:t>
      </w:r>
      <w:r w:rsidR="00121F4E">
        <w:rPr>
          <w:rFonts w:ascii="Times New Roman" w:hAnsi="Times New Roman" w:cs="Times New Roman"/>
          <w:sz w:val="24"/>
          <w:szCs w:val="24"/>
        </w:rPr>
        <w:t>no</w:t>
      </w:r>
      <w:r w:rsidR="00D52FDE">
        <w:rPr>
          <w:rFonts w:ascii="Times New Roman" w:hAnsi="Times New Roman" w:cs="Times New Roman"/>
          <w:sz w:val="24"/>
          <w:szCs w:val="24"/>
        </w:rPr>
        <w:t xml:space="preserve"> human rights</w:t>
      </w:r>
      <w:r w:rsidR="00B75DAF">
        <w:rPr>
          <w:rFonts w:ascii="Times New Roman" w:hAnsi="Times New Roman" w:cs="Times New Roman"/>
          <w:sz w:val="24"/>
          <w:szCs w:val="24"/>
        </w:rPr>
        <w:t xml:space="preserve"> </w:t>
      </w:r>
      <w:r w:rsidR="00F54BB3">
        <w:rPr>
          <w:rFonts w:ascii="Times New Roman" w:hAnsi="Times New Roman" w:cs="Times New Roman"/>
          <w:sz w:val="24"/>
          <w:szCs w:val="24"/>
        </w:rPr>
        <w:t xml:space="preserve">treaty </w:t>
      </w:r>
      <w:r w:rsidR="00D52FDE">
        <w:rPr>
          <w:rFonts w:ascii="Times New Roman" w:hAnsi="Times New Roman" w:cs="Times New Roman"/>
          <w:sz w:val="24"/>
          <w:szCs w:val="24"/>
        </w:rPr>
        <w:t>applied specifically to disabled people.</w:t>
      </w:r>
      <w:bookmarkStart w:id="16" w:name="_Ref26544551"/>
      <w:r w:rsidR="00B2535C">
        <w:rPr>
          <w:rStyle w:val="FootnoteReference"/>
          <w:rFonts w:cs="Times New Roman"/>
          <w:szCs w:val="24"/>
        </w:rPr>
        <w:footnoteReference w:id="34"/>
      </w:r>
      <w:bookmarkEnd w:id="16"/>
      <w:r w:rsidR="00930837">
        <w:rPr>
          <w:rFonts w:ascii="Times New Roman" w:hAnsi="Times New Roman" w:cs="Times New Roman"/>
          <w:sz w:val="24"/>
          <w:szCs w:val="24"/>
        </w:rPr>
        <w:t xml:space="preserve"> </w:t>
      </w:r>
      <w:r w:rsidR="00F54BB3">
        <w:rPr>
          <w:rFonts w:ascii="Times New Roman" w:hAnsi="Times New Roman" w:cs="Times New Roman"/>
          <w:sz w:val="24"/>
          <w:szCs w:val="24"/>
        </w:rPr>
        <w:t xml:space="preserve">Any </w:t>
      </w:r>
      <w:r w:rsidR="00121F4E">
        <w:rPr>
          <w:rFonts w:ascii="Times New Roman" w:hAnsi="Times New Roman" w:cs="Times New Roman"/>
          <w:sz w:val="24"/>
          <w:szCs w:val="24"/>
        </w:rPr>
        <w:t xml:space="preserve">provision </w:t>
      </w:r>
      <w:r w:rsidR="00B2535C">
        <w:rPr>
          <w:rFonts w:ascii="Times New Roman" w:hAnsi="Times New Roman" w:cs="Times New Roman"/>
          <w:sz w:val="24"/>
          <w:szCs w:val="24"/>
        </w:rPr>
        <w:t>that did exist</w:t>
      </w:r>
      <w:r w:rsidR="0042207D">
        <w:rPr>
          <w:rFonts w:ascii="Times New Roman" w:hAnsi="Times New Roman" w:cs="Times New Roman"/>
          <w:sz w:val="24"/>
          <w:szCs w:val="24"/>
        </w:rPr>
        <w:t xml:space="preserve"> </w:t>
      </w:r>
      <w:r w:rsidR="00FE56E0">
        <w:rPr>
          <w:rFonts w:ascii="Times New Roman" w:hAnsi="Times New Roman" w:cs="Times New Roman"/>
          <w:sz w:val="24"/>
          <w:szCs w:val="24"/>
        </w:rPr>
        <w:t xml:space="preserve">appeared </w:t>
      </w:r>
      <w:r w:rsidR="00F13916">
        <w:rPr>
          <w:rFonts w:ascii="Times New Roman" w:hAnsi="Times New Roman" w:cs="Times New Roman"/>
          <w:sz w:val="24"/>
          <w:szCs w:val="24"/>
        </w:rPr>
        <w:t>in non-binding UN General Assembly resolutions</w:t>
      </w:r>
      <w:r w:rsidR="004B3255">
        <w:rPr>
          <w:rStyle w:val="FootnoteReference"/>
          <w:rFonts w:cs="Times New Roman"/>
          <w:szCs w:val="24"/>
        </w:rPr>
        <w:footnoteReference w:id="35"/>
      </w:r>
      <w:r w:rsidR="004F4684">
        <w:rPr>
          <w:rFonts w:ascii="Times New Roman" w:hAnsi="Times New Roman" w:cs="Times New Roman"/>
          <w:sz w:val="24"/>
          <w:szCs w:val="24"/>
        </w:rPr>
        <w:t xml:space="preserve"> and</w:t>
      </w:r>
      <w:r w:rsidR="00C84BE7">
        <w:rPr>
          <w:rFonts w:ascii="Times New Roman" w:hAnsi="Times New Roman" w:cs="Times New Roman"/>
          <w:sz w:val="24"/>
          <w:szCs w:val="24"/>
        </w:rPr>
        <w:t xml:space="preserve"> </w:t>
      </w:r>
      <w:r w:rsidR="00FD7B8B">
        <w:rPr>
          <w:rFonts w:ascii="Times New Roman" w:hAnsi="Times New Roman" w:cs="Times New Roman"/>
          <w:sz w:val="24"/>
          <w:szCs w:val="24"/>
        </w:rPr>
        <w:t>took no</w:t>
      </w:r>
      <w:r w:rsidR="00616385">
        <w:rPr>
          <w:rFonts w:ascii="Times New Roman" w:hAnsi="Times New Roman" w:cs="Times New Roman"/>
          <w:sz w:val="24"/>
          <w:szCs w:val="24"/>
        </w:rPr>
        <w:t xml:space="preserve"> account of ‘the irreducibility of the experience’ of persons with disabilities.</w:t>
      </w:r>
      <w:bookmarkStart w:id="17" w:name="_Ref26796444"/>
      <w:r w:rsidR="00E01165">
        <w:rPr>
          <w:rStyle w:val="FootnoteReference"/>
          <w:rFonts w:cs="Times New Roman"/>
          <w:szCs w:val="24"/>
        </w:rPr>
        <w:footnoteReference w:id="36"/>
      </w:r>
      <w:bookmarkEnd w:id="17"/>
      <w:r w:rsidR="009B205A">
        <w:rPr>
          <w:rFonts w:ascii="Times New Roman" w:hAnsi="Times New Roman" w:cs="Times New Roman"/>
          <w:sz w:val="24"/>
          <w:szCs w:val="24"/>
        </w:rPr>
        <w:t xml:space="preserve"> </w:t>
      </w:r>
      <w:r w:rsidR="00725504">
        <w:rPr>
          <w:rFonts w:ascii="Times New Roman" w:hAnsi="Times New Roman" w:cs="Times New Roman"/>
          <w:sz w:val="24"/>
          <w:szCs w:val="24"/>
        </w:rPr>
        <w:t xml:space="preserve">The </w:t>
      </w:r>
      <w:r w:rsidR="000564CA">
        <w:rPr>
          <w:rFonts w:ascii="Times New Roman" w:hAnsi="Times New Roman" w:cs="Times New Roman"/>
          <w:sz w:val="24"/>
          <w:szCs w:val="24"/>
        </w:rPr>
        <w:t>CRPD heralded</w:t>
      </w:r>
      <w:r w:rsidR="00737A46">
        <w:rPr>
          <w:rFonts w:ascii="Times New Roman" w:hAnsi="Times New Roman" w:cs="Times New Roman"/>
          <w:sz w:val="24"/>
          <w:szCs w:val="24"/>
        </w:rPr>
        <w:t xml:space="preserve"> </w:t>
      </w:r>
      <w:r w:rsidR="00E85FD7">
        <w:rPr>
          <w:rFonts w:ascii="Times New Roman" w:hAnsi="Times New Roman" w:cs="Times New Roman"/>
          <w:sz w:val="24"/>
          <w:szCs w:val="24"/>
        </w:rPr>
        <w:t xml:space="preserve">a </w:t>
      </w:r>
      <w:r w:rsidR="00B82A1E">
        <w:rPr>
          <w:rFonts w:ascii="Times New Roman" w:hAnsi="Times New Roman" w:cs="Times New Roman"/>
          <w:sz w:val="24"/>
          <w:szCs w:val="24"/>
        </w:rPr>
        <w:t xml:space="preserve">new </w:t>
      </w:r>
      <w:r w:rsidR="005E6E41">
        <w:rPr>
          <w:rFonts w:ascii="Times New Roman" w:hAnsi="Times New Roman" w:cs="Times New Roman"/>
          <w:sz w:val="24"/>
          <w:szCs w:val="24"/>
        </w:rPr>
        <w:t>approach</w:t>
      </w:r>
      <w:r w:rsidR="00083EB0">
        <w:rPr>
          <w:rFonts w:ascii="Times New Roman" w:hAnsi="Times New Roman" w:cs="Times New Roman"/>
          <w:sz w:val="24"/>
          <w:szCs w:val="24"/>
        </w:rPr>
        <w:t xml:space="preserve"> </w:t>
      </w:r>
      <w:r w:rsidR="00F54BB3">
        <w:rPr>
          <w:rFonts w:ascii="Times New Roman" w:hAnsi="Times New Roman" w:cs="Times New Roman"/>
          <w:sz w:val="24"/>
          <w:szCs w:val="24"/>
        </w:rPr>
        <w:t xml:space="preserve">by </w:t>
      </w:r>
      <w:r w:rsidR="00083EB0">
        <w:rPr>
          <w:rFonts w:ascii="Times New Roman" w:hAnsi="Times New Roman" w:cs="Times New Roman"/>
          <w:sz w:val="24"/>
          <w:szCs w:val="24"/>
        </w:rPr>
        <w:t>explicitly reconceiv</w:t>
      </w:r>
      <w:r w:rsidR="00F54BB3">
        <w:rPr>
          <w:rFonts w:ascii="Times New Roman" w:hAnsi="Times New Roman" w:cs="Times New Roman"/>
          <w:sz w:val="24"/>
          <w:szCs w:val="24"/>
        </w:rPr>
        <w:t>ing</w:t>
      </w:r>
      <w:r w:rsidR="00083EB0">
        <w:rPr>
          <w:rFonts w:ascii="Times New Roman" w:hAnsi="Times New Roman" w:cs="Times New Roman"/>
          <w:sz w:val="24"/>
          <w:szCs w:val="24"/>
        </w:rPr>
        <w:t xml:space="preserve"> people with disabilities as ‘rights holders’</w:t>
      </w:r>
      <w:r w:rsidR="00231711">
        <w:rPr>
          <w:rStyle w:val="FootnoteReference"/>
          <w:rFonts w:cs="Times New Roman"/>
          <w:szCs w:val="24"/>
        </w:rPr>
        <w:footnoteReference w:id="37"/>
      </w:r>
      <w:r w:rsidR="00C0513F">
        <w:rPr>
          <w:rFonts w:ascii="Times New Roman" w:hAnsi="Times New Roman" w:cs="Times New Roman"/>
          <w:sz w:val="24"/>
          <w:szCs w:val="24"/>
        </w:rPr>
        <w:t xml:space="preserve"> and</w:t>
      </w:r>
      <w:r w:rsidR="00231711">
        <w:rPr>
          <w:rFonts w:ascii="Times New Roman" w:hAnsi="Times New Roman" w:cs="Times New Roman"/>
          <w:sz w:val="24"/>
          <w:szCs w:val="24"/>
        </w:rPr>
        <w:t xml:space="preserve"> extend</w:t>
      </w:r>
      <w:r w:rsidR="00F54BB3">
        <w:rPr>
          <w:rFonts w:ascii="Times New Roman" w:hAnsi="Times New Roman" w:cs="Times New Roman"/>
          <w:sz w:val="24"/>
          <w:szCs w:val="24"/>
        </w:rPr>
        <w:t>ing</w:t>
      </w:r>
      <w:r w:rsidR="00231711">
        <w:rPr>
          <w:rFonts w:ascii="Times New Roman" w:hAnsi="Times New Roman" w:cs="Times New Roman"/>
          <w:sz w:val="24"/>
          <w:szCs w:val="24"/>
        </w:rPr>
        <w:t xml:space="preserve"> human rights protections to the 15 per cent of the global population </w:t>
      </w:r>
      <w:r w:rsidR="00587579">
        <w:rPr>
          <w:rFonts w:ascii="Times New Roman" w:hAnsi="Times New Roman" w:cs="Times New Roman"/>
          <w:sz w:val="24"/>
          <w:szCs w:val="24"/>
        </w:rPr>
        <w:t>living</w:t>
      </w:r>
      <w:r w:rsidR="00231711">
        <w:rPr>
          <w:rFonts w:ascii="Times New Roman" w:hAnsi="Times New Roman" w:cs="Times New Roman"/>
          <w:sz w:val="24"/>
          <w:szCs w:val="24"/>
        </w:rPr>
        <w:t xml:space="preserve"> with disability.</w:t>
      </w:r>
      <w:r w:rsidR="008A1FB9">
        <w:rPr>
          <w:rStyle w:val="FootnoteReference"/>
          <w:rFonts w:cs="Times New Roman"/>
          <w:szCs w:val="24"/>
        </w:rPr>
        <w:footnoteReference w:id="38"/>
      </w:r>
    </w:p>
    <w:p w14:paraId="5598DD52" w14:textId="18240640" w:rsidR="0095398B" w:rsidRDefault="00F54BB3" w:rsidP="00C84449">
      <w:pPr>
        <w:rPr>
          <w:rFonts w:ascii="Times New Roman" w:hAnsi="Times New Roman" w:cs="Times New Roman"/>
          <w:sz w:val="24"/>
          <w:szCs w:val="24"/>
        </w:rPr>
      </w:pPr>
      <w:r>
        <w:rPr>
          <w:rFonts w:ascii="Times New Roman" w:hAnsi="Times New Roman" w:cs="Times New Roman"/>
          <w:sz w:val="24"/>
          <w:szCs w:val="24"/>
        </w:rPr>
        <w:lastRenderedPageBreak/>
        <w:t>T</w:t>
      </w:r>
      <w:r w:rsidR="001B1E6A">
        <w:rPr>
          <w:rFonts w:ascii="Times New Roman" w:hAnsi="Times New Roman" w:cs="Times New Roman"/>
          <w:sz w:val="24"/>
          <w:szCs w:val="24"/>
        </w:rPr>
        <w:t>o counter</w:t>
      </w:r>
      <w:r w:rsidR="00D71888">
        <w:rPr>
          <w:rFonts w:ascii="Times New Roman" w:hAnsi="Times New Roman" w:cs="Times New Roman"/>
          <w:sz w:val="24"/>
          <w:szCs w:val="24"/>
        </w:rPr>
        <w:t xml:space="preserve"> the paternalistic tendency </w:t>
      </w:r>
      <w:r w:rsidR="00DE0E98">
        <w:rPr>
          <w:rFonts w:ascii="Times New Roman" w:hAnsi="Times New Roman" w:cs="Times New Roman"/>
          <w:sz w:val="24"/>
          <w:szCs w:val="24"/>
        </w:rPr>
        <w:t xml:space="preserve">which had </w:t>
      </w:r>
      <w:r w:rsidR="003E477B">
        <w:rPr>
          <w:rFonts w:ascii="Times New Roman" w:hAnsi="Times New Roman" w:cs="Times New Roman"/>
          <w:sz w:val="24"/>
          <w:szCs w:val="24"/>
        </w:rPr>
        <w:t xml:space="preserve">traditionally </w:t>
      </w:r>
      <w:r w:rsidR="00DE0E98">
        <w:rPr>
          <w:rFonts w:ascii="Times New Roman" w:hAnsi="Times New Roman" w:cs="Times New Roman"/>
          <w:sz w:val="24"/>
          <w:szCs w:val="24"/>
        </w:rPr>
        <w:t>excluded</w:t>
      </w:r>
      <w:r w:rsidR="00737CFA">
        <w:rPr>
          <w:rFonts w:ascii="Times New Roman" w:hAnsi="Times New Roman" w:cs="Times New Roman"/>
          <w:sz w:val="24"/>
          <w:szCs w:val="24"/>
        </w:rPr>
        <w:t xml:space="preserve"> </w:t>
      </w:r>
      <w:r w:rsidR="0023638F">
        <w:rPr>
          <w:rFonts w:ascii="Times New Roman" w:hAnsi="Times New Roman" w:cs="Times New Roman"/>
          <w:sz w:val="24"/>
          <w:szCs w:val="24"/>
        </w:rPr>
        <w:t>disabled people</w:t>
      </w:r>
      <w:r w:rsidR="00BA5B9C">
        <w:rPr>
          <w:rFonts w:ascii="Times New Roman" w:hAnsi="Times New Roman" w:cs="Times New Roman"/>
          <w:sz w:val="24"/>
          <w:szCs w:val="24"/>
        </w:rPr>
        <w:t>,</w:t>
      </w:r>
      <w:r w:rsidR="00156256">
        <w:rPr>
          <w:rFonts w:ascii="Times New Roman" w:hAnsi="Times New Roman" w:cs="Times New Roman"/>
          <w:sz w:val="24"/>
          <w:szCs w:val="24"/>
        </w:rPr>
        <w:t xml:space="preserve"> the </w:t>
      </w:r>
      <w:r w:rsidR="004D7D7A">
        <w:rPr>
          <w:rFonts w:ascii="Times New Roman" w:hAnsi="Times New Roman" w:cs="Times New Roman"/>
          <w:sz w:val="24"/>
          <w:szCs w:val="24"/>
        </w:rPr>
        <w:t>UN</w:t>
      </w:r>
      <w:r w:rsidR="002865E0">
        <w:rPr>
          <w:rFonts w:ascii="Times New Roman" w:hAnsi="Times New Roman" w:cs="Times New Roman"/>
          <w:sz w:val="24"/>
          <w:szCs w:val="24"/>
        </w:rPr>
        <w:t xml:space="preserve"> </w:t>
      </w:r>
      <w:r w:rsidR="004C3031">
        <w:rPr>
          <w:rFonts w:ascii="Times New Roman" w:hAnsi="Times New Roman" w:cs="Times New Roman"/>
          <w:sz w:val="24"/>
          <w:szCs w:val="24"/>
        </w:rPr>
        <w:t xml:space="preserve">invited </w:t>
      </w:r>
      <w:r w:rsidR="00C85A8B">
        <w:rPr>
          <w:rFonts w:ascii="Times New Roman" w:hAnsi="Times New Roman" w:cs="Times New Roman"/>
          <w:sz w:val="24"/>
          <w:szCs w:val="24"/>
        </w:rPr>
        <w:t>civil society organisations</w:t>
      </w:r>
      <w:r w:rsidR="004C3031">
        <w:rPr>
          <w:rFonts w:ascii="Times New Roman" w:hAnsi="Times New Roman" w:cs="Times New Roman"/>
          <w:sz w:val="24"/>
          <w:szCs w:val="24"/>
        </w:rPr>
        <w:t xml:space="preserve"> to </w:t>
      </w:r>
      <w:r>
        <w:rPr>
          <w:rFonts w:ascii="Times New Roman" w:hAnsi="Times New Roman" w:cs="Times New Roman"/>
          <w:sz w:val="24"/>
          <w:szCs w:val="24"/>
        </w:rPr>
        <w:t>help</w:t>
      </w:r>
      <w:r w:rsidR="00196916">
        <w:rPr>
          <w:rFonts w:ascii="Times New Roman" w:hAnsi="Times New Roman" w:cs="Times New Roman"/>
          <w:sz w:val="24"/>
          <w:szCs w:val="24"/>
        </w:rPr>
        <w:t xml:space="preserve"> </w:t>
      </w:r>
      <w:r w:rsidR="0023638F">
        <w:rPr>
          <w:rFonts w:ascii="Times New Roman" w:hAnsi="Times New Roman" w:cs="Times New Roman"/>
          <w:sz w:val="24"/>
          <w:szCs w:val="24"/>
        </w:rPr>
        <w:t>fram</w:t>
      </w:r>
      <w:r>
        <w:rPr>
          <w:rFonts w:ascii="Times New Roman" w:hAnsi="Times New Roman" w:cs="Times New Roman"/>
          <w:sz w:val="24"/>
          <w:szCs w:val="24"/>
        </w:rPr>
        <w:t>e</w:t>
      </w:r>
      <w:r w:rsidR="004C3031">
        <w:rPr>
          <w:rFonts w:ascii="Times New Roman" w:hAnsi="Times New Roman" w:cs="Times New Roman"/>
          <w:sz w:val="24"/>
          <w:szCs w:val="24"/>
        </w:rPr>
        <w:t xml:space="preserve"> </w:t>
      </w:r>
      <w:r w:rsidR="00927A5A">
        <w:rPr>
          <w:rFonts w:ascii="Times New Roman" w:hAnsi="Times New Roman" w:cs="Times New Roman"/>
          <w:sz w:val="24"/>
          <w:szCs w:val="24"/>
        </w:rPr>
        <w:t>the CRPD.</w:t>
      </w:r>
      <w:r w:rsidR="00EA09E8">
        <w:rPr>
          <w:rFonts w:ascii="Times New Roman" w:hAnsi="Times New Roman" w:cs="Times New Roman"/>
          <w:sz w:val="24"/>
          <w:szCs w:val="24"/>
        </w:rPr>
        <w:t xml:space="preserve"> </w:t>
      </w:r>
      <w:r w:rsidR="00927A5A">
        <w:rPr>
          <w:rFonts w:ascii="Times New Roman" w:hAnsi="Times New Roman" w:cs="Times New Roman"/>
          <w:sz w:val="24"/>
          <w:szCs w:val="24"/>
        </w:rPr>
        <w:t>A</w:t>
      </w:r>
      <w:r w:rsidR="00B2355C">
        <w:rPr>
          <w:rFonts w:ascii="Times New Roman" w:hAnsi="Times New Roman" w:cs="Times New Roman"/>
          <w:sz w:val="24"/>
          <w:szCs w:val="24"/>
        </w:rPr>
        <w:t>round 800</w:t>
      </w:r>
      <w:r w:rsidR="00927A5A">
        <w:rPr>
          <w:rFonts w:ascii="Times New Roman" w:hAnsi="Times New Roman" w:cs="Times New Roman"/>
          <w:sz w:val="24"/>
          <w:szCs w:val="24"/>
        </w:rPr>
        <w:t xml:space="preserve"> </w:t>
      </w:r>
      <w:r w:rsidR="00B2355C">
        <w:rPr>
          <w:rFonts w:ascii="Times New Roman" w:hAnsi="Times New Roman" w:cs="Times New Roman"/>
          <w:sz w:val="24"/>
          <w:szCs w:val="24"/>
        </w:rPr>
        <w:t>groups formed the ‘International Disability Caucus’</w:t>
      </w:r>
      <w:r w:rsidR="00C475A8">
        <w:rPr>
          <w:rFonts w:ascii="Times New Roman" w:hAnsi="Times New Roman" w:cs="Times New Roman"/>
          <w:sz w:val="24"/>
          <w:szCs w:val="24"/>
        </w:rPr>
        <w:t xml:space="preserve"> (IDC)</w:t>
      </w:r>
      <w:r w:rsidR="00196B3A">
        <w:rPr>
          <w:rFonts w:ascii="Times New Roman" w:hAnsi="Times New Roman" w:cs="Times New Roman"/>
          <w:sz w:val="24"/>
          <w:szCs w:val="24"/>
        </w:rPr>
        <w:t xml:space="preserve"> </w:t>
      </w:r>
      <w:r w:rsidR="00927A5A">
        <w:rPr>
          <w:rFonts w:ascii="Times New Roman" w:hAnsi="Times New Roman" w:cs="Times New Roman"/>
          <w:sz w:val="24"/>
          <w:szCs w:val="24"/>
        </w:rPr>
        <w:t xml:space="preserve">and </w:t>
      </w:r>
      <w:r w:rsidR="0040558C">
        <w:rPr>
          <w:rFonts w:ascii="Times New Roman" w:hAnsi="Times New Roman" w:cs="Times New Roman"/>
          <w:sz w:val="24"/>
          <w:szCs w:val="24"/>
        </w:rPr>
        <w:t>carried</w:t>
      </w:r>
      <w:r w:rsidR="004C3031">
        <w:rPr>
          <w:rFonts w:ascii="Times New Roman" w:hAnsi="Times New Roman" w:cs="Times New Roman"/>
          <w:sz w:val="24"/>
          <w:szCs w:val="24"/>
        </w:rPr>
        <w:t xml:space="preserve"> out</w:t>
      </w:r>
      <w:r w:rsidR="00927A5A">
        <w:rPr>
          <w:rFonts w:ascii="Times New Roman" w:hAnsi="Times New Roman" w:cs="Times New Roman"/>
          <w:sz w:val="24"/>
          <w:szCs w:val="24"/>
        </w:rPr>
        <w:t xml:space="preserve"> ‘considerable campaigning and awareness-raising work’</w:t>
      </w:r>
      <w:r w:rsidR="00E9784D">
        <w:rPr>
          <w:rFonts w:ascii="Times New Roman" w:hAnsi="Times New Roman" w:cs="Times New Roman"/>
          <w:sz w:val="24"/>
          <w:szCs w:val="24"/>
        </w:rPr>
        <w:t>.</w:t>
      </w:r>
      <w:r w:rsidR="00D07A2D">
        <w:rPr>
          <w:rStyle w:val="FootnoteReference"/>
          <w:rFonts w:cs="Times New Roman"/>
          <w:szCs w:val="24"/>
        </w:rPr>
        <w:footnoteReference w:id="39"/>
      </w:r>
      <w:r w:rsidR="00D50992">
        <w:rPr>
          <w:rFonts w:ascii="Times New Roman" w:hAnsi="Times New Roman" w:cs="Times New Roman"/>
          <w:sz w:val="24"/>
          <w:szCs w:val="24"/>
        </w:rPr>
        <w:t xml:space="preserve"> </w:t>
      </w:r>
      <w:r w:rsidR="00886684">
        <w:rPr>
          <w:rFonts w:ascii="Times New Roman" w:hAnsi="Times New Roman" w:cs="Times New Roman"/>
          <w:sz w:val="24"/>
          <w:szCs w:val="24"/>
        </w:rPr>
        <w:t>The slogan ‘nothing about us without us’ informed the entire course of the CRPD’s negotiations</w:t>
      </w:r>
      <w:r w:rsidR="00222A79">
        <w:rPr>
          <w:rFonts w:ascii="Times New Roman" w:hAnsi="Times New Roman" w:cs="Times New Roman"/>
          <w:sz w:val="24"/>
          <w:szCs w:val="24"/>
        </w:rPr>
        <w:t>.</w:t>
      </w:r>
      <w:r w:rsidR="00886684">
        <w:rPr>
          <w:rFonts w:ascii="Times New Roman" w:hAnsi="Times New Roman" w:cs="Times New Roman"/>
          <w:sz w:val="24"/>
          <w:szCs w:val="24"/>
        </w:rPr>
        <w:t xml:space="preserve"> </w:t>
      </w:r>
      <w:r w:rsidR="00D50992">
        <w:rPr>
          <w:rFonts w:ascii="Times New Roman" w:hAnsi="Times New Roman" w:cs="Times New Roman"/>
          <w:sz w:val="24"/>
          <w:szCs w:val="24"/>
        </w:rPr>
        <w:t>As a result</w:t>
      </w:r>
      <w:r w:rsidR="00222A79">
        <w:rPr>
          <w:rFonts w:ascii="Times New Roman" w:hAnsi="Times New Roman" w:cs="Times New Roman"/>
          <w:sz w:val="24"/>
          <w:szCs w:val="24"/>
        </w:rPr>
        <w:t>,</w:t>
      </w:r>
      <w:r w:rsidR="00D50992">
        <w:rPr>
          <w:rFonts w:ascii="Times New Roman" w:hAnsi="Times New Roman" w:cs="Times New Roman"/>
          <w:sz w:val="24"/>
          <w:szCs w:val="24"/>
        </w:rPr>
        <w:t xml:space="preserve"> the CRPD reflects the radical participatory environment in which it was conceived</w:t>
      </w:r>
      <w:r w:rsidR="00BA436C">
        <w:rPr>
          <w:rFonts w:ascii="Times New Roman" w:hAnsi="Times New Roman" w:cs="Times New Roman"/>
          <w:sz w:val="24"/>
          <w:szCs w:val="24"/>
        </w:rPr>
        <w:t>.</w:t>
      </w:r>
      <w:r w:rsidR="00C727EC">
        <w:rPr>
          <w:rFonts w:ascii="Times New Roman" w:hAnsi="Times New Roman" w:cs="Times New Roman"/>
          <w:sz w:val="24"/>
          <w:szCs w:val="24"/>
        </w:rPr>
        <w:t xml:space="preserve"> Its ‘</w:t>
      </w:r>
      <w:r w:rsidR="005B4D50">
        <w:rPr>
          <w:rFonts w:ascii="Times New Roman" w:hAnsi="Times New Roman" w:cs="Times New Roman"/>
          <w:sz w:val="24"/>
          <w:szCs w:val="24"/>
        </w:rPr>
        <w:t xml:space="preserve">social’ </w:t>
      </w:r>
      <w:r w:rsidR="00C727EC">
        <w:rPr>
          <w:rFonts w:ascii="Times New Roman" w:hAnsi="Times New Roman" w:cs="Times New Roman"/>
          <w:sz w:val="24"/>
          <w:szCs w:val="24"/>
        </w:rPr>
        <w:t xml:space="preserve">conception of disability and </w:t>
      </w:r>
      <w:r w:rsidR="005B4D50">
        <w:rPr>
          <w:rFonts w:ascii="Times New Roman" w:hAnsi="Times New Roman" w:cs="Times New Roman"/>
          <w:sz w:val="24"/>
          <w:szCs w:val="24"/>
        </w:rPr>
        <w:t>the</w:t>
      </w:r>
      <w:r w:rsidR="00C727EC">
        <w:rPr>
          <w:rFonts w:ascii="Times New Roman" w:hAnsi="Times New Roman" w:cs="Times New Roman"/>
          <w:sz w:val="24"/>
          <w:szCs w:val="24"/>
        </w:rPr>
        <w:t xml:space="preserve"> principles of ‘non-discrimination’ and ‘equality’ bear the clearest imprint </w:t>
      </w:r>
      <w:r w:rsidR="002D7023">
        <w:rPr>
          <w:rFonts w:ascii="Times New Roman" w:hAnsi="Times New Roman" w:cs="Times New Roman"/>
          <w:sz w:val="24"/>
          <w:szCs w:val="24"/>
        </w:rPr>
        <w:t>of the</w:t>
      </w:r>
      <w:r w:rsidR="007845F3">
        <w:rPr>
          <w:rFonts w:ascii="Times New Roman" w:hAnsi="Times New Roman" w:cs="Times New Roman"/>
          <w:sz w:val="24"/>
          <w:szCs w:val="24"/>
        </w:rPr>
        <w:t xml:space="preserve"> IDC’s</w:t>
      </w:r>
      <w:r w:rsidR="005B4D50">
        <w:rPr>
          <w:rFonts w:ascii="Times New Roman" w:hAnsi="Times New Roman" w:cs="Times New Roman"/>
          <w:sz w:val="24"/>
          <w:szCs w:val="24"/>
        </w:rPr>
        <w:t xml:space="preserve"> impact.</w:t>
      </w:r>
    </w:p>
    <w:p w14:paraId="32D57C6A" w14:textId="4A3B79A4" w:rsidR="005F14A5" w:rsidRPr="008C717A" w:rsidRDefault="001E591D" w:rsidP="008C717A">
      <w:pPr>
        <w:pStyle w:val="ListParagraph"/>
        <w:numPr>
          <w:ilvl w:val="0"/>
          <w:numId w:val="37"/>
        </w:numPr>
        <w:rPr>
          <w:rFonts w:ascii="Times New Roman" w:hAnsi="Times New Roman" w:cs="Times New Roman"/>
          <w:sz w:val="24"/>
          <w:szCs w:val="24"/>
        </w:rPr>
      </w:pPr>
      <w:r w:rsidRPr="008C717A">
        <w:rPr>
          <w:rFonts w:ascii="Times New Roman" w:hAnsi="Times New Roman" w:cs="Times New Roman"/>
          <w:sz w:val="24"/>
          <w:szCs w:val="24"/>
        </w:rPr>
        <w:t xml:space="preserve">The ‘social model’ </w:t>
      </w:r>
      <w:r w:rsidR="00951865" w:rsidRPr="008C717A">
        <w:rPr>
          <w:rFonts w:ascii="Times New Roman" w:hAnsi="Times New Roman" w:cs="Times New Roman"/>
          <w:sz w:val="24"/>
          <w:szCs w:val="24"/>
        </w:rPr>
        <w:t>of disability</w:t>
      </w:r>
    </w:p>
    <w:p w14:paraId="4486CE8D" w14:textId="1BDBDB4E" w:rsidR="00422515" w:rsidRDefault="002B7D8E" w:rsidP="00C84449">
      <w:pPr>
        <w:ind w:firstLine="0"/>
        <w:rPr>
          <w:rFonts w:ascii="Times New Roman" w:hAnsi="Times New Roman" w:cs="Times New Roman"/>
          <w:sz w:val="24"/>
          <w:szCs w:val="24"/>
        </w:rPr>
      </w:pPr>
      <w:r>
        <w:rPr>
          <w:rFonts w:ascii="Times New Roman" w:hAnsi="Times New Roman" w:cs="Times New Roman"/>
          <w:sz w:val="24"/>
          <w:szCs w:val="24"/>
        </w:rPr>
        <w:t>The</w:t>
      </w:r>
      <w:r w:rsidR="00E924AF">
        <w:rPr>
          <w:rFonts w:ascii="Times New Roman" w:hAnsi="Times New Roman" w:cs="Times New Roman"/>
          <w:sz w:val="24"/>
          <w:szCs w:val="24"/>
        </w:rPr>
        <w:t xml:space="preserve"> ‘social model’ </w:t>
      </w:r>
      <w:r w:rsidR="0039645C">
        <w:rPr>
          <w:rFonts w:ascii="Times New Roman" w:hAnsi="Times New Roman" w:cs="Times New Roman"/>
          <w:sz w:val="24"/>
          <w:szCs w:val="24"/>
        </w:rPr>
        <w:t>locates disab</w:t>
      </w:r>
      <w:r w:rsidR="00E77CBB">
        <w:rPr>
          <w:rFonts w:ascii="Times New Roman" w:hAnsi="Times New Roman" w:cs="Times New Roman"/>
          <w:sz w:val="24"/>
          <w:szCs w:val="24"/>
        </w:rPr>
        <w:t>i</w:t>
      </w:r>
      <w:r w:rsidR="0039645C">
        <w:rPr>
          <w:rFonts w:ascii="Times New Roman" w:hAnsi="Times New Roman" w:cs="Times New Roman"/>
          <w:sz w:val="24"/>
          <w:szCs w:val="24"/>
        </w:rPr>
        <w:t>l</w:t>
      </w:r>
      <w:r w:rsidR="00E77CBB">
        <w:rPr>
          <w:rFonts w:ascii="Times New Roman" w:hAnsi="Times New Roman" w:cs="Times New Roman"/>
          <w:sz w:val="24"/>
          <w:szCs w:val="24"/>
        </w:rPr>
        <w:t>ities</w:t>
      </w:r>
      <w:r w:rsidR="0039645C">
        <w:rPr>
          <w:rFonts w:ascii="Times New Roman" w:hAnsi="Times New Roman" w:cs="Times New Roman"/>
          <w:sz w:val="24"/>
          <w:szCs w:val="24"/>
        </w:rPr>
        <w:t xml:space="preserve"> </w:t>
      </w:r>
      <w:r w:rsidR="004D0B9D">
        <w:rPr>
          <w:rFonts w:ascii="Times New Roman" w:hAnsi="Times New Roman" w:cs="Times New Roman"/>
          <w:sz w:val="24"/>
          <w:szCs w:val="24"/>
        </w:rPr>
        <w:t>‘</w:t>
      </w:r>
      <w:r w:rsidR="0039645C">
        <w:rPr>
          <w:rFonts w:ascii="Times New Roman" w:hAnsi="Times New Roman" w:cs="Times New Roman"/>
          <w:sz w:val="24"/>
          <w:szCs w:val="24"/>
        </w:rPr>
        <w:t>within the social organisation and discriminatory attitudes of society’.</w:t>
      </w:r>
      <w:r w:rsidR="004975E5">
        <w:rPr>
          <w:rStyle w:val="FootnoteReference"/>
          <w:rFonts w:cs="Times New Roman"/>
          <w:szCs w:val="24"/>
        </w:rPr>
        <w:footnoteReference w:id="40"/>
      </w:r>
      <w:r w:rsidR="00134489">
        <w:rPr>
          <w:rFonts w:ascii="Times New Roman" w:hAnsi="Times New Roman" w:cs="Times New Roman"/>
          <w:sz w:val="24"/>
          <w:szCs w:val="24"/>
        </w:rPr>
        <w:t xml:space="preserve"> </w:t>
      </w:r>
      <w:r w:rsidR="00D82734">
        <w:rPr>
          <w:rFonts w:ascii="Times New Roman" w:hAnsi="Times New Roman" w:cs="Times New Roman"/>
          <w:sz w:val="24"/>
          <w:szCs w:val="24"/>
        </w:rPr>
        <w:t xml:space="preserve">It </w:t>
      </w:r>
      <w:r w:rsidR="00134489">
        <w:rPr>
          <w:rFonts w:ascii="Times New Roman" w:hAnsi="Times New Roman" w:cs="Times New Roman"/>
          <w:sz w:val="24"/>
          <w:szCs w:val="24"/>
        </w:rPr>
        <w:t xml:space="preserve">is distinct from </w:t>
      </w:r>
      <w:r w:rsidR="00862408">
        <w:rPr>
          <w:rFonts w:ascii="Times New Roman" w:hAnsi="Times New Roman" w:cs="Times New Roman"/>
          <w:sz w:val="24"/>
          <w:szCs w:val="24"/>
        </w:rPr>
        <w:t>the ‘medical</w:t>
      </w:r>
      <w:r w:rsidR="006D4084">
        <w:rPr>
          <w:rFonts w:ascii="Times New Roman" w:hAnsi="Times New Roman" w:cs="Times New Roman"/>
          <w:sz w:val="24"/>
          <w:szCs w:val="24"/>
        </w:rPr>
        <w:t>’ model, which locate</w:t>
      </w:r>
      <w:r w:rsidR="00D82734">
        <w:rPr>
          <w:rFonts w:ascii="Times New Roman" w:hAnsi="Times New Roman" w:cs="Times New Roman"/>
          <w:sz w:val="24"/>
          <w:szCs w:val="24"/>
        </w:rPr>
        <w:t>s</w:t>
      </w:r>
      <w:r w:rsidR="006D4084">
        <w:rPr>
          <w:rFonts w:ascii="Times New Roman" w:hAnsi="Times New Roman" w:cs="Times New Roman"/>
          <w:sz w:val="24"/>
          <w:szCs w:val="24"/>
        </w:rPr>
        <w:t xml:space="preserve"> disability within individuals.</w:t>
      </w:r>
      <w:r w:rsidR="003F5C39">
        <w:rPr>
          <w:rStyle w:val="FootnoteReference"/>
          <w:rFonts w:cs="Times New Roman"/>
          <w:szCs w:val="24"/>
        </w:rPr>
        <w:footnoteReference w:id="41"/>
      </w:r>
      <w:r w:rsidR="00150079">
        <w:rPr>
          <w:rFonts w:ascii="Times New Roman" w:hAnsi="Times New Roman" w:cs="Times New Roman"/>
          <w:sz w:val="24"/>
          <w:szCs w:val="24"/>
        </w:rPr>
        <w:t xml:space="preserve"> </w:t>
      </w:r>
      <w:r w:rsidR="00032638">
        <w:rPr>
          <w:rFonts w:ascii="Times New Roman" w:hAnsi="Times New Roman" w:cs="Times New Roman"/>
          <w:sz w:val="24"/>
          <w:szCs w:val="24"/>
        </w:rPr>
        <w:t xml:space="preserve">The social model </w:t>
      </w:r>
      <w:r w:rsidR="00C24D21">
        <w:rPr>
          <w:rFonts w:ascii="Times New Roman" w:hAnsi="Times New Roman" w:cs="Times New Roman"/>
          <w:sz w:val="24"/>
          <w:szCs w:val="24"/>
        </w:rPr>
        <w:t>assumes</w:t>
      </w:r>
      <w:r w:rsidR="000D3D43">
        <w:rPr>
          <w:rFonts w:ascii="Times New Roman" w:hAnsi="Times New Roman" w:cs="Times New Roman"/>
          <w:sz w:val="24"/>
          <w:szCs w:val="24"/>
        </w:rPr>
        <w:t xml:space="preserve"> that</w:t>
      </w:r>
      <w:r w:rsidR="00032638">
        <w:rPr>
          <w:rFonts w:ascii="Times New Roman" w:hAnsi="Times New Roman" w:cs="Times New Roman"/>
          <w:sz w:val="24"/>
          <w:szCs w:val="24"/>
        </w:rPr>
        <w:t xml:space="preserve"> society </w:t>
      </w:r>
      <w:r w:rsidR="00D82734">
        <w:rPr>
          <w:rFonts w:ascii="Times New Roman" w:hAnsi="Times New Roman" w:cs="Times New Roman"/>
          <w:sz w:val="24"/>
          <w:szCs w:val="24"/>
        </w:rPr>
        <w:t>must</w:t>
      </w:r>
      <w:r w:rsidR="00032638">
        <w:rPr>
          <w:rFonts w:ascii="Times New Roman" w:hAnsi="Times New Roman" w:cs="Times New Roman"/>
          <w:sz w:val="24"/>
          <w:szCs w:val="24"/>
        </w:rPr>
        <w:t xml:space="preserve"> adapt to the needs of individuals, not the other way round.</w:t>
      </w:r>
      <w:r w:rsidR="000E6B29">
        <w:rPr>
          <w:rStyle w:val="FootnoteReference"/>
          <w:rFonts w:cs="Times New Roman"/>
          <w:szCs w:val="24"/>
        </w:rPr>
        <w:footnoteReference w:id="42"/>
      </w:r>
      <w:r w:rsidR="002712EE">
        <w:rPr>
          <w:rFonts w:ascii="Times New Roman" w:hAnsi="Times New Roman" w:cs="Times New Roman"/>
          <w:sz w:val="24"/>
          <w:szCs w:val="24"/>
        </w:rPr>
        <w:t xml:space="preserve"> </w:t>
      </w:r>
      <w:r w:rsidR="00E32211">
        <w:rPr>
          <w:rFonts w:ascii="Times New Roman" w:hAnsi="Times New Roman" w:cs="Times New Roman"/>
          <w:sz w:val="24"/>
          <w:szCs w:val="24"/>
        </w:rPr>
        <w:t>From this perspective, d</w:t>
      </w:r>
      <w:r w:rsidR="00DA331F">
        <w:rPr>
          <w:rFonts w:ascii="Times New Roman" w:hAnsi="Times New Roman" w:cs="Times New Roman"/>
          <w:sz w:val="24"/>
          <w:szCs w:val="24"/>
        </w:rPr>
        <w:t xml:space="preserve">isability is not something which a person suffers </w:t>
      </w:r>
      <w:r w:rsidR="008164B3">
        <w:rPr>
          <w:rFonts w:ascii="Times New Roman" w:hAnsi="Times New Roman" w:cs="Times New Roman"/>
          <w:sz w:val="24"/>
          <w:szCs w:val="24"/>
        </w:rPr>
        <w:t>as a consequence of a</w:t>
      </w:r>
      <w:r w:rsidR="00D82734">
        <w:rPr>
          <w:rFonts w:ascii="Times New Roman" w:hAnsi="Times New Roman" w:cs="Times New Roman"/>
          <w:sz w:val="24"/>
          <w:szCs w:val="24"/>
        </w:rPr>
        <w:t>n</w:t>
      </w:r>
      <w:r w:rsidR="008164B3">
        <w:rPr>
          <w:rFonts w:ascii="Times New Roman" w:hAnsi="Times New Roman" w:cs="Times New Roman"/>
          <w:sz w:val="24"/>
          <w:szCs w:val="24"/>
        </w:rPr>
        <w:t xml:space="preserve"> impairment; rather, it is ‘experienced as oppression by social structures and practices’.</w:t>
      </w:r>
      <w:bookmarkStart w:id="18" w:name="_Ref26797678"/>
      <w:r w:rsidR="007034BB">
        <w:rPr>
          <w:rStyle w:val="FootnoteReference"/>
          <w:rFonts w:cs="Times New Roman"/>
          <w:szCs w:val="24"/>
        </w:rPr>
        <w:footnoteReference w:id="43"/>
      </w:r>
      <w:bookmarkEnd w:id="18"/>
      <w:r w:rsidR="00D061E0">
        <w:rPr>
          <w:rFonts w:ascii="Times New Roman" w:hAnsi="Times New Roman" w:cs="Times New Roman"/>
          <w:sz w:val="24"/>
          <w:szCs w:val="24"/>
        </w:rPr>
        <w:t xml:space="preserve"> </w:t>
      </w:r>
      <w:r w:rsidR="00426BF8">
        <w:rPr>
          <w:rFonts w:ascii="Times New Roman" w:hAnsi="Times New Roman" w:cs="Times New Roman"/>
          <w:sz w:val="24"/>
          <w:szCs w:val="24"/>
        </w:rPr>
        <w:t xml:space="preserve">The </w:t>
      </w:r>
      <w:r w:rsidR="00E15F0A">
        <w:rPr>
          <w:rFonts w:ascii="Times New Roman" w:hAnsi="Times New Roman" w:cs="Times New Roman"/>
          <w:sz w:val="24"/>
          <w:szCs w:val="24"/>
        </w:rPr>
        <w:t>social model therefore</w:t>
      </w:r>
      <w:r w:rsidR="004E1E12">
        <w:rPr>
          <w:rFonts w:ascii="Times New Roman" w:hAnsi="Times New Roman" w:cs="Times New Roman"/>
          <w:sz w:val="24"/>
          <w:szCs w:val="24"/>
        </w:rPr>
        <w:t xml:space="preserve"> represents a ‘radical modification of the social norm’</w:t>
      </w:r>
      <w:r w:rsidR="005B58F2">
        <w:rPr>
          <w:rFonts w:ascii="Times New Roman" w:hAnsi="Times New Roman" w:cs="Times New Roman"/>
          <w:sz w:val="24"/>
          <w:szCs w:val="24"/>
        </w:rPr>
        <w:t>.</w:t>
      </w:r>
      <w:r w:rsidR="004E1E12">
        <w:rPr>
          <w:rStyle w:val="FootnoteReference"/>
          <w:rFonts w:cs="Times New Roman"/>
          <w:szCs w:val="24"/>
        </w:rPr>
        <w:footnoteReference w:id="44"/>
      </w:r>
    </w:p>
    <w:p w14:paraId="648B9445" w14:textId="33D3ABDD" w:rsidR="00DB4FA3" w:rsidRDefault="003C6310" w:rsidP="00C84449">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Article 1 states that the CRPD’s purpose is to ‘promote, protect and ensure the full and equal enjoyment of all human rights by all persons with disabilities’</w:t>
      </w:r>
      <w:r w:rsidR="00573318">
        <w:rPr>
          <w:rFonts w:ascii="Times New Roman" w:hAnsi="Times New Roman" w:cs="Times New Roman"/>
          <w:sz w:val="24"/>
          <w:szCs w:val="24"/>
        </w:rPr>
        <w:t>.</w:t>
      </w:r>
      <w:r w:rsidR="0092394B">
        <w:rPr>
          <w:rFonts w:ascii="Times New Roman" w:hAnsi="Times New Roman" w:cs="Times New Roman"/>
          <w:sz w:val="24"/>
          <w:szCs w:val="24"/>
        </w:rPr>
        <w:t xml:space="preserve"> Its language is unequivocal</w:t>
      </w:r>
      <w:r w:rsidR="00EC44AD">
        <w:rPr>
          <w:rFonts w:ascii="Times New Roman" w:hAnsi="Times New Roman" w:cs="Times New Roman"/>
          <w:sz w:val="24"/>
          <w:szCs w:val="24"/>
        </w:rPr>
        <w:t>.</w:t>
      </w:r>
      <w:r w:rsidR="00C71B38">
        <w:rPr>
          <w:rFonts w:ascii="Times New Roman" w:hAnsi="Times New Roman" w:cs="Times New Roman"/>
          <w:sz w:val="24"/>
          <w:szCs w:val="24"/>
        </w:rPr>
        <w:t xml:space="preserve"> To that end, </w:t>
      </w:r>
      <w:r w:rsidR="00265495">
        <w:rPr>
          <w:rFonts w:ascii="Times New Roman" w:hAnsi="Times New Roman" w:cs="Times New Roman"/>
          <w:sz w:val="24"/>
          <w:szCs w:val="24"/>
        </w:rPr>
        <w:t xml:space="preserve">Article 5 </w:t>
      </w:r>
      <w:r w:rsidR="00882870">
        <w:rPr>
          <w:rFonts w:ascii="Times New Roman" w:hAnsi="Times New Roman" w:cs="Times New Roman"/>
          <w:sz w:val="24"/>
          <w:szCs w:val="24"/>
        </w:rPr>
        <w:t>requires States Parties to</w:t>
      </w:r>
      <w:r w:rsidR="00265495">
        <w:rPr>
          <w:rFonts w:ascii="Times New Roman" w:hAnsi="Times New Roman" w:cs="Times New Roman"/>
          <w:sz w:val="24"/>
          <w:szCs w:val="24"/>
        </w:rPr>
        <w:t xml:space="preserve"> (1</w:t>
      </w:r>
      <w:r w:rsidR="00371745">
        <w:rPr>
          <w:rFonts w:ascii="Times New Roman" w:hAnsi="Times New Roman" w:cs="Times New Roman"/>
          <w:sz w:val="24"/>
          <w:szCs w:val="24"/>
        </w:rPr>
        <w:t>)</w:t>
      </w:r>
      <w:r w:rsidR="00882870">
        <w:rPr>
          <w:rFonts w:ascii="Times New Roman" w:hAnsi="Times New Roman" w:cs="Times New Roman"/>
          <w:sz w:val="24"/>
          <w:szCs w:val="24"/>
        </w:rPr>
        <w:t xml:space="preserve"> recognise that ‘all persons are equal before and under the law</w:t>
      </w:r>
      <w:r w:rsidR="00D82734">
        <w:rPr>
          <w:rFonts w:ascii="Times New Roman" w:hAnsi="Times New Roman" w:cs="Times New Roman"/>
          <w:sz w:val="24"/>
          <w:szCs w:val="24"/>
        </w:rPr>
        <w:t>’</w:t>
      </w:r>
      <w:r w:rsidR="00882870">
        <w:rPr>
          <w:rFonts w:ascii="Times New Roman" w:hAnsi="Times New Roman" w:cs="Times New Roman"/>
          <w:sz w:val="24"/>
          <w:szCs w:val="24"/>
        </w:rPr>
        <w:t xml:space="preserve"> and entitled </w:t>
      </w:r>
      <w:r w:rsidR="00882870" w:rsidRPr="00371745">
        <w:rPr>
          <w:rFonts w:ascii="Times New Roman" w:hAnsi="Times New Roman" w:cs="Times New Roman"/>
          <w:sz w:val="24"/>
          <w:szCs w:val="24"/>
        </w:rPr>
        <w:t>without discrimination</w:t>
      </w:r>
      <w:r w:rsidR="00882870">
        <w:rPr>
          <w:rFonts w:ascii="Times New Roman" w:hAnsi="Times New Roman" w:cs="Times New Roman"/>
          <w:i/>
          <w:sz w:val="24"/>
          <w:szCs w:val="24"/>
        </w:rPr>
        <w:t xml:space="preserve"> </w:t>
      </w:r>
      <w:r w:rsidR="00882870">
        <w:rPr>
          <w:rFonts w:ascii="Times New Roman" w:hAnsi="Times New Roman" w:cs="Times New Roman"/>
          <w:sz w:val="24"/>
          <w:szCs w:val="24"/>
        </w:rPr>
        <w:t>to</w:t>
      </w:r>
      <w:r w:rsidR="00D82734">
        <w:rPr>
          <w:rFonts w:ascii="Times New Roman" w:hAnsi="Times New Roman" w:cs="Times New Roman"/>
          <w:sz w:val="24"/>
          <w:szCs w:val="24"/>
        </w:rPr>
        <w:t xml:space="preserve"> its</w:t>
      </w:r>
      <w:r w:rsidR="00882870">
        <w:rPr>
          <w:rFonts w:ascii="Times New Roman" w:hAnsi="Times New Roman" w:cs="Times New Roman"/>
          <w:sz w:val="24"/>
          <w:szCs w:val="24"/>
        </w:rPr>
        <w:t xml:space="preserve"> equal protection and benefit</w:t>
      </w:r>
      <w:r w:rsidR="00A973D7">
        <w:rPr>
          <w:rFonts w:ascii="Times New Roman" w:hAnsi="Times New Roman" w:cs="Times New Roman"/>
          <w:sz w:val="24"/>
          <w:szCs w:val="24"/>
        </w:rPr>
        <w:t>,</w:t>
      </w:r>
      <w:r w:rsidR="00882870">
        <w:rPr>
          <w:rStyle w:val="FootnoteReference"/>
          <w:rFonts w:cs="Times New Roman"/>
          <w:szCs w:val="24"/>
        </w:rPr>
        <w:footnoteReference w:id="45"/>
      </w:r>
      <w:r w:rsidR="002A2D77">
        <w:rPr>
          <w:rFonts w:ascii="Times New Roman" w:hAnsi="Times New Roman" w:cs="Times New Roman"/>
          <w:sz w:val="24"/>
          <w:szCs w:val="24"/>
        </w:rPr>
        <w:t xml:space="preserve"> and</w:t>
      </w:r>
      <w:r w:rsidR="00265495">
        <w:rPr>
          <w:rFonts w:ascii="Times New Roman" w:hAnsi="Times New Roman" w:cs="Times New Roman"/>
          <w:sz w:val="24"/>
          <w:szCs w:val="24"/>
        </w:rPr>
        <w:t xml:space="preserve"> (2</w:t>
      </w:r>
      <w:r w:rsidR="00A973D7">
        <w:rPr>
          <w:rFonts w:ascii="Times New Roman" w:hAnsi="Times New Roman" w:cs="Times New Roman"/>
          <w:sz w:val="24"/>
          <w:szCs w:val="24"/>
        </w:rPr>
        <w:t>)</w:t>
      </w:r>
      <w:r w:rsidR="002A2D77">
        <w:rPr>
          <w:rFonts w:ascii="Times New Roman" w:hAnsi="Times New Roman" w:cs="Times New Roman"/>
          <w:sz w:val="24"/>
          <w:szCs w:val="24"/>
        </w:rPr>
        <w:t xml:space="preserve"> prohibit ‘all discrimination on the basis of disability’.</w:t>
      </w:r>
      <w:r w:rsidR="00393CFA">
        <w:rPr>
          <w:rStyle w:val="FootnoteReference"/>
          <w:rFonts w:cs="Times New Roman"/>
          <w:szCs w:val="24"/>
        </w:rPr>
        <w:footnoteReference w:id="46"/>
      </w:r>
      <w:r w:rsidR="00882B60">
        <w:rPr>
          <w:rFonts w:ascii="Times New Roman" w:hAnsi="Times New Roman" w:cs="Times New Roman"/>
          <w:sz w:val="24"/>
          <w:szCs w:val="24"/>
        </w:rPr>
        <w:t xml:space="preserve"> </w:t>
      </w:r>
      <w:r w:rsidR="00C17E31">
        <w:rPr>
          <w:rFonts w:ascii="Times New Roman" w:hAnsi="Times New Roman" w:cs="Times New Roman"/>
          <w:sz w:val="24"/>
          <w:szCs w:val="24"/>
        </w:rPr>
        <w:t>The concepts of</w:t>
      </w:r>
      <w:r w:rsidR="000B25F0">
        <w:rPr>
          <w:rFonts w:ascii="Times New Roman" w:hAnsi="Times New Roman" w:cs="Times New Roman"/>
          <w:sz w:val="24"/>
          <w:szCs w:val="24"/>
        </w:rPr>
        <w:t xml:space="preserve"> </w:t>
      </w:r>
      <w:r w:rsidR="000B25F0">
        <w:rPr>
          <w:rFonts w:ascii="Times New Roman" w:hAnsi="Times New Roman" w:cs="Times New Roman"/>
          <w:sz w:val="24"/>
          <w:szCs w:val="24"/>
        </w:rPr>
        <w:lastRenderedPageBreak/>
        <w:t>‘equality’</w:t>
      </w:r>
      <w:r w:rsidR="00C17E31">
        <w:rPr>
          <w:rFonts w:ascii="Times New Roman" w:hAnsi="Times New Roman" w:cs="Times New Roman"/>
          <w:sz w:val="24"/>
          <w:szCs w:val="24"/>
        </w:rPr>
        <w:t xml:space="preserve"> and</w:t>
      </w:r>
      <w:r w:rsidR="000B25F0">
        <w:rPr>
          <w:rFonts w:ascii="Times New Roman" w:hAnsi="Times New Roman" w:cs="Times New Roman"/>
          <w:sz w:val="24"/>
          <w:szCs w:val="24"/>
        </w:rPr>
        <w:t xml:space="preserve"> ‘non-discrimination’</w:t>
      </w:r>
      <w:r w:rsidR="00C17E31">
        <w:rPr>
          <w:rFonts w:ascii="Times New Roman" w:hAnsi="Times New Roman" w:cs="Times New Roman"/>
          <w:sz w:val="24"/>
          <w:szCs w:val="24"/>
        </w:rPr>
        <w:t xml:space="preserve"> </w:t>
      </w:r>
      <w:r w:rsidR="00694E34">
        <w:rPr>
          <w:rFonts w:ascii="Times New Roman" w:hAnsi="Times New Roman" w:cs="Times New Roman"/>
          <w:sz w:val="24"/>
          <w:szCs w:val="24"/>
        </w:rPr>
        <w:t xml:space="preserve">are </w:t>
      </w:r>
      <w:r w:rsidR="00C17E31">
        <w:rPr>
          <w:rFonts w:ascii="Times New Roman" w:hAnsi="Times New Roman" w:cs="Times New Roman"/>
          <w:sz w:val="24"/>
          <w:szCs w:val="24"/>
        </w:rPr>
        <w:t xml:space="preserve">therefore </w:t>
      </w:r>
      <w:r w:rsidR="004801B4">
        <w:rPr>
          <w:rFonts w:ascii="Times New Roman" w:hAnsi="Times New Roman" w:cs="Times New Roman"/>
          <w:sz w:val="24"/>
          <w:szCs w:val="24"/>
        </w:rPr>
        <w:t xml:space="preserve">fundamental </w:t>
      </w:r>
      <w:r w:rsidR="0062260F">
        <w:rPr>
          <w:rFonts w:ascii="Times New Roman" w:hAnsi="Times New Roman" w:cs="Times New Roman"/>
          <w:sz w:val="24"/>
          <w:szCs w:val="24"/>
        </w:rPr>
        <w:t xml:space="preserve">and </w:t>
      </w:r>
      <w:r w:rsidR="005E495E">
        <w:rPr>
          <w:rFonts w:ascii="Times New Roman" w:hAnsi="Times New Roman" w:cs="Times New Roman"/>
          <w:sz w:val="24"/>
          <w:szCs w:val="24"/>
        </w:rPr>
        <w:t>‘</w:t>
      </w:r>
      <w:r w:rsidR="0062260F">
        <w:rPr>
          <w:rFonts w:ascii="Times New Roman" w:hAnsi="Times New Roman" w:cs="Times New Roman"/>
          <w:sz w:val="24"/>
          <w:szCs w:val="24"/>
        </w:rPr>
        <w:t>permeate the whole Convention</w:t>
      </w:r>
      <w:r w:rsidR="005E495E">
        <w:rPr>
          <w:rFonts w:ascii="Times New Roman" w:hAnsi="Times New Roman" w:cs="Times New Roman"/>
          <w:sz w:val="24"/>
          <w:szCs w:val="24"/>
        </w:rPr>
        <w:t>’</w:t>
      </w:r>
      <w:r w:rsidR="008C1B20">
        <w:rPr>
          <w:rFonts w:ascii="Times New Roman" w:hAnsi="Times New Roman" w:cs="Times New Roman"/>
          <w:sz w:val="24"/>
          <w:szCs w:val="24"/>
        </w:rPr>
        <w:t>.</w:t>
      </w:r>
      <w:r w:rsidR="00583ABB">
        <w:rPr>
          <w:rStyle w:val="FootnoteReference"/>
          <w:rFonts w:cs="Times New Roman"/>
          <w:szCs w:val="24"/>
        </w:rPr>
        <w:footnoteReference w:id="47"/>
      </w:r>
    </w:p>
    <w:p w14:paraId="7EEB6718" w14:textId="709B0099" w:rsidR="00500431" w:rsidRDefault="00DB4FA3" w:rsidP="00C84449">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 xml:space="preserve">It is difficult to dispute that </w:t>
      </w:r>
      <w:r w:rsidR="006A3BB7">
        <w:rPr>
          <w:rFonts w:ascii="Times New Roman" w:hAnsi="Times New Roman" w:cs="Times New Roman"/>
          <w:sz w:val="24"/>
          <w:szCs w:val="24"/>
        </w:rPr>
        <w:t>the CRPD</w:t>
      </w:r>
      <w:r w:rsidR="00CF1816">
        <w:rPr>
          <w:rFonts w:ascii="Times New Roman" w:hAnsi="Times New Roman" w:cs="Times New Roman"/>
          <w:sz w:val="24"/>
          <w:szCs w:val="24"/>
        </w:rPr>
        <w:t xml:space="preserve"> </w:t>
      </w:r>
      <w:r w:rsidR="0097369B">
        <w:rPr>
          <w:rFonts w:ascii="Times New Roman" w:hAnsi="Times New Roman" w:cs="Times New Roman"/>
          <w:sz w:val="24"/>
          <w:szCs w:val="24"/>
        </w:rPr>
        <w:t>ushered in</w:t>
      </w:r>
      <w:r w:rsidR="00CF1816">
        <w:rPr>
          <w:rFonts w:ascii="Times New Roman" w:hAnsi="Times New Roman" w:cs="Times New Roman"/>
          <w:sz w:val="24"/>
          <w:szCs w:val="24"/>
        </w:rPr>
        <w:t xml:space="preserve"> a ‘new era’</w:t>
      </w:r>
      <w:r w:rsidR="000D61AE">
        <w:rPr>
          <w:rFonts w:ascii="Times New Roman" w:hAnsi="Times New Roman" w:cs="Times New Roman"/>
          <w:sz w:val="24"/>
          <w:szCs w:val="24"/>
        </w:rPr>
        <w:t>.</w:t>
      </w:r>
      <w:r w:rsidR="0070060C">
        <w:rPr>
          <w:rStyle w:val="FootnoteReference"/>
          <w:rFonts w:cs="Times New Roman"/>
          <w:szCs w:val="24"/>
        </w:rPr>
        <w:footnoteReference w:id="48"/>
      </w:r>
      <w:r w:rsidR="009F45CA">
        <w:rPr>
          <w:rFonts w:ascii="Times New Roman" w:hAnsi="Times New Roman" w:cs="Times New Roman"/>
          <w:sz w:val="24"/>
          <w:szCs w:val="24"/>
        </w:rPr>
        <w:t xml:space="preserve"> </w:t>
      </w:r>
      <w:r w:rsidR="00692673">
        <w:rPr>
          <w:rFonts w:ascii="Times New Roman" w:hAnsi="Times New Roman" w:cs="Times New Roman"/>
          <w:sz w:val="24"/>
          <w:szCs w:val="24"/>
        </w:rPr>
        <w:t>Its</w:t>
      </w:r>
      <w:r w:rsidR="009B14E5">
        <w:rPr>
          <w:rFonts w:ascii="Times New Roman" w:hAnsi="Times New Roman" w:cs="Times New Roman"/>
          <w:sz w:val="24"/>
          <w:szCs w:val="24"/>
        </w:rPr>
        <w:t xml:space="preserve"> ‘universalist approach</w:t>
      </w:r>
      <w:r w:rsidR="00280409">
        <w:rPr>
          <w:rFonts w:ascii="Times New Roman" w:hAnsi="Times New Roman" w:cs="Times New Roman"/>
          <w:sz w:val="24"/>
          <w:szCs w:val="24"/>
        </w:rPr>
        <w:t xml:space="preserve">’ </w:t>
      </w:r>
      <w:r w:rsidR="00330FAC" w:rsidRPr="00330FAC">
        <w:rPr>
          <w:rFonts w:ascii="Times New Roman" w:hAnsi="Times New Roman" w:cs="Times New Roman"/>
          <w:i/>
          <w:sz w:val="24"/>
          <w:szCs w:val="24"/>
        </w:rPr>
        <w:t>expects</w:t>
      </w:r>
      <w:r w:rsidR="0056136B">
        <w:rPr>
          <w:rFonts w:ascii="Times New Roman" w:hAnsi="Times New Roman" w:cs="Times New Roman"/>
          <w:sz w:val="24"/>
          <w:szCs w:val="24"/>
        </w:rPr>
        <w:t xml:space="preserve"> th</w:t>
      </w:r>
      <w:r>
        <w:rPr>
          <w:rFonts w:ascii="Times New Roman" w:hAnsi="Times New Roman" w:cs="Times New Roman"/>
          <w:sz w:val="24"/>
          <w:szCs w:val="24"/>
        </w:rPr>
        <w:t xml:space="preserve">at difference exists within society </w:t>
      </w:r>
      <w:r w:rsidR="0056136B">
        <w:rPr>
          <w:rFonts w:ascii="Times New Roman" w:hAnsi="Times New Roman" w:cs="Times New Roman"/>
          <w:sz w:val="24"/>
          <w:szCs w:val="24"/>
        </w:rPr>
        <w:t xml:space="preserve">and actively </w:t>
      </w:r>
      <w:r w:rsidR="0009492A">
        <w:rPr>
          <w:rFonts w:ascii="Times New Roman" w:hAnsi="Times New Roman" w:cs="Times New Roman"/>
          <w:sz w:val="24"/>
          <w:szCs w:val="24"/>
        </w:rPr>
        <w:t>caters for it.</w:t>
      </w:r>
      <w:r w:rsidR="00330FAC">
        <w:rPr>
          <w:rStyle w:val="FootnoteReference"/>
          <w:rFonts w:cs="Times New Roman"/>
          <w:szCs w:val="24"/>
        </w:rPr>
        <w:footnoteReference w:id="49"/>
      </w:r>
      <w:r>
        <w:rPr>
          <w:rFonts w:ascii="Times New Roman" w:hAnsi="Times New Roman" w:cs="Times New Roman"/>
          <w:sz w:val="24"/>
          <w:szCs w:val="24"/>
        </w:rPr>
        <w:t xml:space="preserve"> This </w:t>
      </w:r>
      <w:r w:rsidR="00221604">
        <w:rPr>
          <w:rFonts w:ascii="Times New Roman" w:hAnsi="Times New Roman" w:cs="Times New Roman"/>
          <w:sz w:val="24"/>
          <w:szCs w:val="24"/>
        </w:rPr>
        <w:t>rendition</w:t>
      </w:r>
      <w:r w:rsidR="00A972B2">
        <w:rPr>
          <w:rFonts w:ascii="Times New Roman" w:hAnsi="Times New Roman" w:cs="Times New Roman"/>
          <w:sz w:val="24"/>
          <w:szCs w:val="24"/>
        </w:rPr>
        <w:t xml:space="preserve"> of equality</w:t>
      </w:r>
      <w:r>
        <w:rPr>
          <w:rFonts w:ascii="Times New Roman" w:hAnsi="Times New Roman" w:cs="Times New Roman"/>
          <w:sz w:val="24"/>
          <w:szCs w:val="24"/>
        </w:rPr>
        <w:t xml:space="preserve"> </w:t>
      </w:r>
      <w:r w:rsidR="00967336">
        <w:rPr>
          <w:rFonts w:ascii="Times New Roman" w:hAnsi="Times New Roman" w:cs="Times New Roman"/>
          <w:sz w:val="24"/>
          <w:szCs w:val="24"/>
        </w:rPr>
        <w:t xml:space="preserve">marks a radical departure from </w:t>
      </w:r>
      <w:r w:rsidR="00177855">
        <w:rPr>
          <w:rFonts w:ascii="Times New Roman" w:hAnsi="Times New Roman" w:cs="Times New Roman"/>
          <w:sz w:val="24"/>
          <w:szCs w:val="24"/>
        </w:rPr>
        <w:t>existing</w:t>
      </w:r>
      <w:r w:rsidR="0096156A">
        <w:rPr>
          <w:rFonts w:ascii="Times New Roman" w:hAnsi="Times New Roman" w:cs="Times New Roman"/>
          <w:sz w:val="24"/>
          <w:szCs w:val="24"/>
        </w:rPr>
        <w:t xml:space="preserve"> human rights frameworks</w:t>
      </w:r>
      <w:r w:rsidR="00B94A5D">
        <w:rPr>
          <w:rFonts w:ascii="Times New Roman" w:hAnsi="Times New Roman" w:cs="Times New Roman"/>
          <w:sz w:val="24"/>
          <w:szCs w:val="24"/>
        </w:rPr>
        <w:t>, whose protections may cease where disability begins</w:t>
      </w:r>
      <w:r w:rsidR="0096156A">
        <w:rPr>
          <w:rFonts w:ascii="Times New Roman" w:hAnsi="Times New Roman" w:cs="Times New Roman"/>
          <w:sz w:val="24"/>
          <w:szCs w:val="24"/>
        </w:rPr>
        <w:t>.</w:t>
      </w:r>
      <w:r w:rsidR="005A4F2D">
        <w:rPr>
          <w:rFonts w:ascii="Times New Roman" w:hAnsi="Times New Roman" w:cs="Times New Roman"/>
          <w:sz w:val="24"/>
          <w:szCs w:val="24"/>
        </w:rPr>
        <w:t xml:space="preserve"> For example, the European Convention on Human Rights and Fundamental Freedoms (ECHR) </w:t>
      </w:r>
      <w:r w:rsidR="00A86115">
        <w:rPr>
          <w:rFonts w:ascii="Times New Roman" w:hAnsi="Times New Roman" w:cs="Times New Roman"/>
          <w:sz w:val="24"/>
          <w:szCs w:val="24"/>
        </w:rPr>
        <w:t>permits</w:t>
      </w:r>
      <w:r w:rsidR="005A4F2D">
        <w:rPr>
          <w:rFonts w:ascii="Times New Roman" w:hAnsi="Times New Roman" w:cs="Times New Roman"/>
          <w:sz w:val="24"/>
          <w:szCs w:val="24"/>
        </w:rPr>
        <w:t xml:space="preserve"> differential treatment on grounds of disability.</w:t>
      </w:r>
      <w:r w:rsidR="005A4F2D">
        <w:rPr>
          <w:rStyle w:val="FootnoteReference"/>
          <w:rFonts w:cs="Times New Roman"/>
          <w:szCs w:val="24"/>
        </w:rPr>
        <w:footnoteReference w:id="50"/>
      </w:r>
      <w:r w:rsidR="005E1DF1">
        <w:rPr>
          <w:rFonts w:ascii="Times New Roman" w:hAnsi="Times New Roman" w:cs="Times New Roman"/>
          <w:sz w:val="24"/>
          <w:szCs w:val="24"/>
        </w:rPr>
        <w:t xml:space="preserve"> </w:t>
      </w:r>
      <w:r w:rsidR="005A4F2D">
        <w:rPr>
          <w:rFonts w:ascii="Times New Roman" w:hAnsi="Times New Roman" w:cs="Times New Roman"/>
          <w:sz w:val="24"/>
          <w:szCs w:val="24"/>
        </w:rPr>
        <w:t>The CRPD makes no such exception</w:t>
      </w:r>
      <w:r w:rsidR="007A7B31">
        <w:rPr>
          <w:rFonts w:ascii="Times New Roman" w:hAnsi="Times New Roman" w:cs="Times New Roman"/>
          <w:sz w:val="24"/>
          <w:szCs w:val="24"/>
        </w:rPr>
        <w:t xml:space="preserve"> and</w:t>
      </w:r>
      <w:r w:rsidR="00664A22">
        <w:rPr>
          <w:rFonts w:ascii="Times New Roman" w:hAnsi="Times New Roman" w:cs="Times New Roman"/>
          <w:sz w:val="24"/>
          <w:szCs w:val="24"/>
        </w:rPr>
        <w:t xml:space="preserve"> starts from a </w:t>
      </w:r>
      <w:r w:rsidR="00D801D0">
        <w:rPr>
          <w:rFonts w:ascii="Times New Roman" w:hAnsi="Times New Roman" w:cs="Times New Roman"/>
          <w:sz w:val="24"/>
          <w:szCs w:val="24"/>
        </w:rPr>
        <w:t>wholly</w:t>
      </w:r>
      <w:r w:rsidR="00664A22">
        <w:rPr>
          <w:rFonts w:ascii="Times New Roman" w:hAnsi="Times New Roman" w:cs="Times New Roman"/>
          <w:sz w:val="24"/>
          <w:szCs w:val="24"/>
        </w:rPr>
        <w:t xml:space="preserve"> different premise</w:t>
      </w:r>
      <w:r w:rsidR="007A7B31">
        <w:rPr>
          <w:rFonts w:ascii="Times New Roman" w:hAnsi="Times New Roman" w:cs="Times New Roman"/>
          <w:sz w:val="24"/>
          <w:szCs w:val="24"/>
        </w:rPr>
        <w:t>,</w:t>
      </w:r>
      <w:r w:rsidR="007A7B31">
        <w:rPr>
          <w:rStyle w:val="FootnoteReference"/>
          <w:rFonts w:cs="Times New Roman"/>
          <w:szCs w:val="24"/>
        </w:rPr>
        <w:footnoteReference w:id="51"/>
      </w:r>
      <w:r w:rsidR="001615E8">
        <w:rPr>
          <w:rFonts w:ascii="Times New Roman" w:hAnsi="Times New Roman" w:cs="Times New Roman"/>
          <w:sz w:val="24"/>
          <w:szCs w:val="24"/>
        </w:rPr>
        <w:t xml:space="preserve"> which has implications for</w:t>
      </w:r>
      <w:r w:rsidR="00640099">
        <w:rPr>
          <w:rFonts w:ascii="Times New Roman" w:hAnsi="Times New Roman" w:cs="Times New Roman"/>
          <w:sz w:val="24"/>
          <w:szCs w:val="24"/>
        </w:rPr>
        <w:t xml:space="preserve"> any</w:t>
      </w:r>
      <w:r w:rsidR="001615E8">
        <w:rPr>
          <w:rFonts w:ascii="Times New Roman" w:hAnsi="Times New Roman" w:cs="Times New Roman"/>
          <w:sz w:val="24"/>
          <w:szCs w:val="24"/>
        </w:rPr>
        <w:t xml:space="preserve"> laws currently animated </w:t>
      </w:r>
      <w:r w:rsidR="000547D4">
        <w:rPr>
          <w:rFonts w:ascii="Times New Roman" w:hAnsi="Times New Roman" w:cs="Times New Roman"/>
          <w:sz w:val="24"/>
          <w:szCs w:val="24"/>
        </w:rPr>
        <w:t>by</w:t>
      </w:r>
      <w:r w:rsidR="001615E8">
        <w:rPr>
          <w:rFonts w:ascii="Times New Roman" w:hAnsi="Times New Roman" w:cs="Times New Roman"/>
          <w:sz w:val="24"/>
          <w:szCs w:val="24"/>
        </w:rPr>
        <w:t xml:space="preserve"> disability</w:t>
      </w:r>
      <w:r w:rsidR="000A3D86">
        <w:rPr>
          <w:rFonts w:ascii="Times New Roman" w:hAnsi="Times New Roman" w:cs="Times New Roman"/>
          <w:sz w:val="24"/>
          <w:szCs w:val="24"/>
        </w:rPr>
        <w:t xml:space="preserve"> –</w:t>
      </w:r>
      <w:r w:rsidR="003A0D03">
        <w:rPr>
          <w:rFonts w:ascii="Times New Roman" w:hAnsi="Times New Roman" w:cs="Times New Roman"/>
          <w:sz w:val="24"/>
          <w:szCs w:val="24"/>
        </w:rPr>
        <w:t xml:space="preserve"> </w:t>
      </w:r>
      <w:r w:rsidR="000A3D86">
        <w:rPr>
          <w:rFonts w:ascii="Times New Roman" w:hAnsi="Times New Roman" w:cs="Times New Roman"/>
          <w:sz w:val="24"/>
          <w:szCs w:val="24"/>
        </w:rPr>
        <w:t>i</w:t>
      </w:r>
      <w:r w:rsidR="003A0D03">
        <w:rPr>
          <w:rFonts w:ascii="Times New Roman" w:hAnsi="Times New Roman" w:cs="Times New Roman"/>
          <w:sz w:val="24"/>
          <w:szCs w:val="24"/>
        </w:rPr>
        <w:t>ncluding the special rules governing duty in negligence</w:t>
      </w:r>
      <w:r w:rsidR="003176C5">
        <w:rPr>
          <w:rFonts w:ascii="Times New Roman" w:hAnsi="Times New Roman" w:cs="Times New Roman"/>
          <w:sz w:val="24"/>
          <w:szCs w:val="24"/>
        </w:rPr>
        <w:t>.</w:t>
      </w:r>
    </w:p>
    <w:p w14:paraId="06708A0C" w14:textId="61517C87" w:rsidR="008A1BF7" w:rsidRPr="007F42AD" w:rsidRDefault="008A1BF7" w:rsidP="007F42AD">
      <w:pPr>
        <w:pStyle w:val="ListParagraph"/>
        <w:numPr>
          <w:ilvl w:val="0"/>
          <w:numId w:val="36"/>
        </w:numPr>
        <w:tabs>
          <w:tab w:val="left" w:pos="7864"/>
          <w:tab w:val="right" w:pos="9026"/>
        </w:tabs>
        <w:rPr>
          <w:rFonts w:ascii="Times New Roman" w:hAnsi="Times New Roman" w:cs="Times New Roman"/>
          <w:i/>
          <w:iCs/>
          <w:sz w:val="24"/>
          <w:szCs w:val="24"/>
        </w:rPr>
      </w:pPr>
      <w:r w:rsidRPr="007F42AD">
        <w:rPr>
          <w:rFonts w:ascii="Times New Roman" w:hAnsi="Times New Roman" w:cs="Times New Roman"/>
          <w:i/>
          <w:iCs/>
          <w:sz w:val="24"/>
          <w:szCs w:val="24"/>
        </w:rPr>
        <w:t>Content</w:t>
      </w:r>
    </w:p>
    <w:p w14:paraId="64E3CB53" w14:textId="157672CD" w:rsidR="00994139" w:rsidRDefault="007D04D5" w:rsidP="00C84449">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 xml:space="preserve">What all this means for tort law </w:t>
      </w:r>
      <w:r w:rsidR="00D876E5">
        <w:rPr>
          <w:rFonts w:ascii="Times New Roman" w:hAnsi="Times New Roman" w:cs="Times New Roman"/>
          <w:sz w:val="24"/>
          <w:szCs w:val="24"/>
        </w:rPr>
        <w:t>is</w:t>
      </w:r>
      <w:r w:rsidR="0018430B">
        <w:rPr>
          <w:rFonts w:ascii="Times New Roman" w:hAnsi="Times New Roman" w:cs="Times New Roman"/>
          <w:sz w:val="24"/>
          <w:szCs w:val="24"/>
        </w:rPr>
        <w:t xml:space="preserve"> perhaps</w:t>
      </w:r>
      <w:r w:rsidR="00D876E5">
        <w:rPr>
          <w:rFonts w:ascii="Times New Roman" w:hAnsi="Times New Roman" w:cs="Times New Roman"/>
          <w:sz w:val="24"/>
          <w:szCs w:val="24"/>
        </w:rPr>
        <w:t xml:space="preserve"> not immediately obvious. </w:t>
      </w:r>
      <w:r w:rsidR="004D2280">
        <w:rPr>
          <w:rFonts w:ascii="Times New Roman" w:hAnsi="Times New Roman" w:cs="Times New Roman"/>
          <w:sz w:val="24"/>
          <w:szCs w:val="24"/>
        </w:rPr>
        <w:t>It is enough to discuss only</w:t>
      </w:r>
      <w:r w:rsidR="00A17F7E">
        <w:rPr>
          <w:rFonts w:ascii="Times New Roman" w:hAnsi="Times New Roman" w:cs="Times New Roman"/>
          <w:sz w:val="24"/>
          <w:szCs w:val="24"/>
        </w:rPr>
        <w:t xml:space="preserve"> the</w:t>
      </w:r>
      <w:r w:rsidR="00D82734">
        <w:rPr>
          <w:rFonts w:ascii="Times New Roman" w:hAnsi="Times New Roman" w:cs="Times New Roman"/>
          <w:sz w:val="24"/>
          <w:szCs w:val="24"/>
        </w:rPr>
        <w:t xml:space="preserve"> CRPD’s</w:t>
      </w:r>
      <w:r w:rsidR="00121F4E">
        <w:rPr>
          <w:rFonts w:ascii="Times New Roman" w:hAnsi="Times New Roman" w:cs="Times New Roman"/>
          <w:sz w:val="24"/>
          <w:szCs w:val="24"/>
        </w:rPr>
        <w:t xml:space="preserve"> relevant</w:t>
      </w:r>
      <w:r w:rsidR="00A17F7E">
        <w:rPr>
          <w:rFonts w:ascii="Times New Roman" w:hAnsi="Times New Roman" w:cs="Times New Roman"/>
          <w:sz w:val="24"/>
          <w:szCs w:val="24"/>
        </w:rPr>
        <w:t xml:space="preserve"> provisions</w:t>
      </w:r>
      <w:r w:rsidR="00D82734">
        <w:rPr>
          <w:rFonts w:ascii="Times New Roman" w:hAnsi="Times New Roman" w:cs="Times New Roman"/>
          <w:sz w:val="24"/>
          <w:szCs w:val="24"/>
        </w:rPr>
        <w:t>, concerning</w:t>
      </w:r>
      <w:r w:rsidR="004D2280">
        <w:rPr>
          <w:rFonts w:ascii="Times New Roman" w:hAnsi="Times New Roman" w:cs="Times New Roman"/>
          <w:sz w:val="24"/>
          <w:szCs w:val="24"/>
        </w:rPr>
        <w:t xml:space="preserve"> </w:t>
      </w:r>
      <w:r w:rsidR="006F11E1">
        <w:rPr>
          <w:rFonts w:ascii="Times New Roman" w:hAnsi="Times New Roman" w:cs="Times New Roman"/>
          <w:sz w:val="24"/>
          <w:szCs w:val="24"/>
        </w:rPr>
        <w:t>(</w:t>
      </w:r>
      <w:r w:rsidR="007D5356">
        <w:rPr>
          <w:rFonts w:ascii="Times New Roman" w:hAnsi="Times New Roman" w:cs="Times New Roman"/>
          <w:sz w:val="24"/>
          <w:szCs w:val="24"/>
        </w:rPr>
        <w:t>i</w:t>
      </w:r>
      <w:r w:rsidR="006F11E1">
        <w:rPr>
          <w:rFonts w:ascii="Times New Roman" w:hAnsi="Times New Roman" w:cs="Times New Roman"/>
          <w:sz w:val="24"/>
          <w:szCs w:val="24"/>
        </w:rPr>
        <w:t>) questions of definition</w:t>
      </w:r>
      <w:r w:rsidR="009B15F9">
        <w:rPr>
          <w:rFonts w:ascii="Times New Roman" w:hAnsi="Times New Roman" w:cs="Times New Roman"/>
          <w:sz w:val="24"/>
          <w:szCs w:val="24"/>
        </w:rPr>
        <w:t xml:space="preserve"> (Article 1)</w:t>
      </w:r>
      <w:r w:rsidR="00AC3BAF">
        <w:rPr>
          <w:rFonts w:ascii="Times New Roman" w:hAnsi="Times New Roman" w:cs="Times New Roman"/>
          <w:sz w:val="24"/>
          <w:szCs w:val="24"/>
        </w:rPr>
        <w:t>,</w:t>
      </w:r>
      <w:r w:rsidR="006F11E1">
        <w:rPr>
          <w:rFonts w:ascii="Times New Roman" w:hAnsi="Times New Roman" w:cs="Times New Roman"/>
          <w:sz w:val="24"/>
          <w:szCs w:val="24"/>
        </w:rPr>
        <w:t xml:space="preserve"> (</w:t>
      </w:r>
      <w:r w:rsidR="007D5356">
        <w:rPr>
          <w:rFonts w:ascii="Times New Roman" w:hAnsi="Times New Roman" w:cs="Times New Roman"/>
          <w:sz w:val="24"/>
          <w:szCs w:val="24"/>
        </w:rPr>
        <w:t>ii</w:t>
      </w:r>
      <w:r w:rsidR="006F11E1">
        <w:rPr>
          <w:rFonts w:ascii="Times New Roman" w:hAnsi="Times New Roman" w:cs="Times New Roman"/>
          <w:sz w:val="24"/>
          <w:szCs w:val="24"/>
        </w:rPr>
        <w:t>)</w:t>
      </w:r>
      <w:r w:rsidR="00AC3BAF">
        <w:rPr>
          <w:rFonts w:ascii="Times New Roman" w:hAnsi="Times New Roman" w:cs="Times New Roman"/>
          <w:sz w:val="24"/>
          <w:szCs w:val="24"/>
        </w:rPr>
        <w:t xml:space="preserve"> the general obligations </w:t>
      </w:r>
      <w:r w:rsidR="00D82734">
        <w:rPr>
          <w:rFonts w:ascii="Times New Roman" w:hAnsi="Times New Roman" w:cs="Times New Roman"/>
          <w:sz w:val="24"/>
          <w:szCs w:val="24"/>
        </w:rPr>
        <w:t>it</w:t>
      </w:r>
      <w:r w:rsidR="00AC3BAF">
        <w:rPr>
          <w:rFonts w:ascii="Times New Roman" w:hAnsi="Times New Roman" w:cs="Times New Roman"/>
          <w:sz w:val="24"/>
          <w:szCs w:val="24"/>
        </w:rPr>
        <w:t xml:space="preserve"> </w:t>
      </w:r>
      <w:r w:rsidR="001D69A0">
        <w:rPr>
          <w:rFonts w:ascii="Times New Roman" w:hAnsi="Times New Roman" w:cs="Times New Roman"/>
          <w:sz w:val="24"/>
          <w:szCs w:val="24"/>
        </w:rPr>
        <w:t xml:space="preserve">places </w:t>
      </w:r>
      <w:r w:rsidR="00994139">
        <w:rPr>
          <w:rFonts w:ascii="Times New Roman" w:hAnsi="Times New Roman" w:cs="Times New Roman"/>
          <w:sz w:val="24"/>
          <w:szCs w:val="24"/>
        </w:rPr>
        <w:t>on its States Parties</w:t>
      </w:r>
      <w:r w:rsidR="009B15F9">
        <w:rPr>
          <w:rFonts w:ascii="Times New Roman" w:hAnsi="Times New Roman" w:cs="Times New Roman"/>
          <w:sz w:val="24"/>
          <w:szCs w:val="24"/>
        </w:rPr>
        <w:t xml:space="preserve"> (Article 4)</w:t>
      </w:r>
      <w:r w:rsidR="00994139">
        <w:rPr>
          <w:rFonts w:ascii="Times New Roman" w:hAnsi="Times New Roman" w:cs="Times New Roman"/>
          <w:sz w:val="24"/>
          <w:szCs w:val="24"/>
        </w:rPr>
        <w:t>,</w:t>
      </w:r>
      <w:r w:rsidR="006F11E1">
        <w:rPr>
          <w:rFonts w:ascii="Times New Roman" w:hAnsi="Times New Roman" w:cs="Times New Roman"/>
          <w:sz w:val="24"/>
          <w:szCs w:val="24"/>
        </w:rPr>
        <w:t xml:space="preserve"> (</w:t>
      </w:r>
      <w:r w:rsidR="007D5356">
        <w:rPr>
          <w:rFonts w:ascii="Times New Roman" w:hAnsi="Times New Roman" w:cs="Times New Roman"/>
          <w:sz w:val="24"/>
          <w:szCs w:val="24"/>
        </w:rPr>
        <w:t>iii</w:t>
      </w:r>
      <w:r w:rsidR="006F11E1">
        <w:rPr>
          <w:rFonts w:ascii="Times New Roman" w:hAnsi="Times New Roman" w:cs="Times New Roman"/>
          <w:sz w:val="24"/>
          <w:szCs w:val="24"/>
        </w:rPr>
        <w:t>)</w:t>
      </w:r>
      <w:r w:rsidR="00994139">
        <w:rPr>
          <w:rFonts w:ascii="Times New Roman" w:hAnsi="Times New Roman" w:cs="Times New Roman"/>
          <w:sz w:val="24"/>
          <w:szCs w:val="24"/>
        </w:rPr>
        <w:t xml:space="preserve"> access to justice</w:t>
      </w:r>
      <w:r w:rsidR="009B15F9">
        <w:rPr>
          <w:rFonts w:ascii="Times New Roman" w:hAnsi="Times New Roman" w:cs="Times New Roman"/>
          <w:sz w:val="24"/>
          <w:szCs w:val="24"/>
        </w:rPr>
        <w:t xml:space="preserve"> (Article 13)</w:t>
      </w:r>
      <w:r w:rsidR="00994139">
        <w:rPr>
          <w:rFonts w:ascii="Times New Roman" w:hAnsi="Times New Roman" w:cs="Times New Roman"/>
          <w:sz w:val="24"/>
          <w:szCs w:val="24"/>
        </w:rPr>
        <w:t>, and</w:t>
      </w:r>
      <w:r w:rsidR="006F11E1">
        <w:rPr>
          <w:rFonts w:ascii="Times New Roman" w:hAnsi="Times New Roman" w:cs="Times New Roman"/>
          <w:sz w:val="24"/>
          <w:szCs w:val="24"/>
        </w:rPr>
        <w:t xml:space="preserve"> (</w:t>
      </w:r>
      <w:r w:rsidR="007D5356">
        <w:rPr>
          <w:rFonts w:ascii="Times New Roman" w:hAnsi="Times New Roman" w:cs="Times New Roman"/>
          <w:sz w:val="24"/>
          <w:szCs w:val="24"/>
        </w:rPr>
        <w:t>iv</w:t>
      </w:r>
      <w:r w:rsidR="006F11E1">
        <w:rPr>
          <w:rFonts w:ascii="Times New Roman" w:hAnsi="Times New Roman" w:cs="Times New Roman"/>
          <w:sz w:val="24"/>
          <w:szCs w:val="24"/>
        </w:rPr>
        <w:t>)</w:t>
      </w:r>
      <w:r w:rsidR="00994139">
        <w:rPr>
          <w:rFonts w:ascii="Times New Roman" w:hAnsi="Times New Roman" w:cs="Times New Roman"/>
          <w:sz w:val="24"/>
          <w:szCs w:val="24"/>
        </w:rPr>
        <w:t xml:space="preserve"> the right to integrity</w:t>
      </w:r>
      <w:r w:rsidR="009B15F9">
        <w:rPr>
          <w:rFonts w:ascii="Times New Roman" w:hAnsi="Times New Roman" w:cs="Times New Roman"/>
          <w:sz w:val="24"/>
          <w:szCs w:val="24"/>
        </w:rPr>
        <w:t xml:space="preserve"> (Article 17)</w:t>
      </w:r>
      <w:r w:rsidR="00994139">
        <w:rPr>
          <w:rFonts w:ascii="Times New Roman" w:hAnsi="Times New Roman" w:cs="Times New Roman"/>
          <w:sz w:val="24"/>
          <w:szCs w:val="24"/>
        </w:rPr>
        <w:t>.</w:t>
      </w:r>
      <w:r w:rsidR="009B15F9">
        <w:rPr>
          <w:rFonts w:ascii="Times New Roman" w:hAnsi="Times New Roman" w:cs="Times New Roman"/>
          <w:sz w:val="24"/>
          <w:szCs w:val="24"/>
        </w:rPr>
        <w:t xml:space="preserve"> </w:t>
      </w:r>
      <w:r w:rsidR="00B124D1">
        <w:rPr>
          <w:rFonts w:ascii="Times New Roman" w:hAnsi="Times New Roman" w:cs="Times New Roman"/>
          <w:sz w:val="24"/>
          <w:szCs w:val="24"/>
        </w:rPr>
        <w:t xml:space="preserve"> </w:t>
      </w:r>
      <w:r w:rsidR="006E1A4C">
        <w:rPr>
          <w:rFonts w:ascii="Times New Roman" w:hAnsi="Times New Roman" w:cs="Times New Roman"/>
          <w:sz w:val="24"/>
          <w:szCs w:val="24"/>
        </w:rPr>
        <w:t xml:space="preserve"> </w:t>
      </w:r>
    </w:p>
    <w:p w14:paraId="4FE0F3B0" w14:textId="02577EAB" w:rsidR="00994139" w:rsidRPr="007F42AD" w:rsidRDefault="00515188" w:rsidP="007F42AD">
      <w:pPr>
        <w:pStyle w:val="ListParagraph"/>
        <w:numPr>
          <w:ilvl w:val="0"/>
          <w:numId w:val="38"/>
        </w:numPr>
        <w:tabs>
          <w:tab w:val="left" w:pos="7864"/>
          <w:tab w:val="right" w:pos="9026"/>
        </w:tabs>
        <w:rPr>
          <w:rFonts w:ascii="Times New Roman" w:hAnsi="Times New Roman" w:cs="Times New Roman"/>
          <w:sz w:val="24"/>
          <w:szCs w:val="24"/>
        </w:rPr>
      </w:pPr>
      <w:r w:rsidRPr="007F42AD">
        <w:rPr>
          <w:rFonts w:ascii="Times New Roman" w:hAnsi="Times New Roman" w:cs="Times New Roman"/>
          <w:sz w:val="24"/>
          <w:szCs w:val="24"/>
        </w:rPr>
        <w:t>Article 1: t</w:t>
      </w:r>
      <w:r w:rsidR="00E15FAD" w:rsidRPr="007F42AD">
        <w:rPr>
          <w:rFonts w:ascii="Times New Roman" w:hAnsi="Times New Roman" w:cs="Times New Roman"/>
          <w:sz w:val="24"/>
          <w:szCs w:val="24"/>
        </w:rPr>
        <w:t xml:space="preserve">he definition of </w:t>
      </w:r>
      <w:r w:rsidR="00994139" w:rsidRPr="007F42AD">
        <w:rPr>
          <w:rFonts w:ascii="Times New Roman" w:hAnsi="Times New Roman" w:cs="Times New Roman"/>
          <w:sz w:val="24"/>
          <w:szCs w:val="24"/>
        </w:rPr>
        <w:t>‘disability’</w:t>
      </w:r>
    </w:p>
    <w:p w14:paraId="7390466B" w14:textId="5E3D15ED" w:rsidR="00DC4370" w:rsidRDefault="00DC4370" w:rsidP="00C84449">
      <w:pPr>
        <w:tabs>
          <w:tab w:val="left" w:pos="7864"/>
          <w:tab w:val="right" w:pos="9026"/>
        </w:tabs>
        <w:ind w:left="1134" w:right="1134" w:firstLine="0"/>
        <w:rPr>
          <w:rFonts w:ascii="Times New Roman" w:hAnsi="Times New Roman" w:cs="Times New Roman"/>
          <w:sz w:val="24"/>
          <w:szCs w:val="24"/>
        </w:rPr>
      </w:pPr>
      <w:r>
        <w:rPr>
          <w:rFonts w:ascii="Times New Roman" w:hAnsi="Times New Roman" w:cs="Times New Roman"/>
          <w:i/>
          <w:sz w:val="24"/>
          <w:szCs w:val="24"/>
        </w:rPr>
        <w:t>Persons with disabilities include those who have long-term physical, mental, intellectual or sensory impairments which</w:t>
      </w:r>
      <w:r w:rsidR="009116DB">
        <w:rPr>
          <w:rFonts w:ascii="Times New Roman" w:hAnsi="Times New Roman" w:cs="Times New Roman"/>
          <w:i/>
          <w:sz w:val="24"/>
          <w:szCs w:val="24"/>
        </w:rPr>
        <w:t xml:space="preserve">… </w:t>
      </w:r>
      <w:r>
        <w:rPr>
          <w:rFonts w:ascii="Times New Roman" w:hAnsi="Times New Roman" w:cs="Times New Roman"/>
          <w:i/>
          <w:sz w:val="24"/>
          <w:szCs w:val="24"/>
        </w:rPr>
        <w:t xml:space="preserve">may hinder their </w:t>
      </w:r>
      <w:r>
        <w:rPr>
          <w:rFonts w:ascii="Times New Roman" w:hAnsi="Times New Roman" w:cs="Times New Roman"/>
          <w:i/>
          <w:sz w:val="24"/>
          <w:szCs w:val="24"/>
        </w:rPr>
        <w:lastRenderedPageBreak/>
        <w:t>full and effective participation in society on an equal basis with others</w:t>
      </w:r>
      <w:r>
        <w:rPr>
          <w:rFonts w:ascii="Times New Roman" w:hAnsi="Times New Roman" w:cs="Times New Roman"/>
          <w:sz w:val="24"/>
          <w:szCs w:val="24"/>
        </w:rPr>
        <w:t>.</w:t>
      </w:r>
      <w:r>
        <w:rPr>
          <w:rStyle w:val="FootnoteReference"/>
          <w:rFonts w:cs="Times New Roman"/>
          <w:szCs w:val="24"/>
        </w:rPr>
        <w:footnoteReference w:id="52"/>
      </w:r>
    </w:p>
    <w:p w14:paraId="626053DC" w14:textId="12B6711A" w:rsidR="00274DDE" w:rsidRDefault="004F4684" w:rsidP="00435083">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 xml:space="preserve">Article 1 </w:t>
      </w:r>
      <w:r w:rsidR="009E6E18">
        <w:rPr>
          <w:rFonts w:ascii="Times New Roman" w:hAnsi="Times New Roman" w:cs="Times New Roman"/>
          <w:sz w:val="24"/>
          <w:szCs w:val="24"/>
        </w:rPr>
        <w:t>does not define</w:t>
      </w:r>
      <w:r w:rsidR="00C80FF3">
        <w:rPr>
          <w:rFonts w:ascii="Times New Roman" w:hAnsi="Times New Roman" w:cs="Times New Roman"/>
          <w:sz w:val="24"/>
          <w:szCs w:val="24"/>
        </w:rPr>
        <w:t xml:space="preserve"> ‘disability’. Instead, it</w:t>
      </w:r>
      <w:r w:rsidR="00144592">
        <w:rPr>
          <w:rFonts w:ascii="Times New Roman" w:hAnsi="Times New Roman" w:cs="Times New Roman"/>
          <w:sz w:val="24"/>
          <w:szCs w:val="24"/>
        </w:rPr>
        <w:t xml:space="preserve"> defines </w:t>
      </w:r>
      <w:r w:rsidR="00C80FF3">
        <w:rPr>
          <w:rFonts w:ascii="Times New Roman" w:hAnsi="Times New Roman" w:cs="Times New Roman"/>
          <w:sz w:val="24"/>
          <w:szCs w:val="24"/>
        </w:rPr>
        <w:t>‘</w:t>
      </w:r>
      <w:r w:rsidR="00144592">
        <w:rPr>
          <w:rFonts w:ascii="Times New Roman" w:hAnsi="Times New Roman" w:cs="Times New Roman"/>
          <w:sz w:val="24"/>
          <w:szCs w:val="24"/>
        </w:rPr>
        <w:t>person</w:t>
      </w:r>
      <w:r w:rsidR="00704211">
        <w:rPr>
          <w:rFonts w:ascii="Times New Roman" w:hAnsi="Times New Roman" w:cs="Times New Roman"/>
          <w:sz w:val="24"/>
          <w:szCs w:val="24"/>
        </w:rPr>
        <w:t>s</w:t>
      </w:r>
      <w:r w:rsidR="00C80FF3">
        <w:rPr>
          <w:rFonts w:ascii="Times New Roman" w:hAnsi="Times New Roman" w:cs="Times New Roman"/>
          <w:sz w:val="24"/>
          <w:szCs w:val="24"/>
        </w:rPr>
        <w:t xml:space="preserve"> with disabilities’</w:t>
      </w:r>
      <w:r w:rsidR="00144592">
        <w:rPr>
          <w:rFonts w:ascii="Times New Roman" w:hAnsi="Times New Roman" w:cs="Times New Roman"/>
          <w:sz w:val="24"/>
          <w:szCs w:val="24"/>
        </w:rPr>
        <w:t>, albeit non-exhaustive</w:t>
      </w:r>
      <w:r w:rsidR="00D9058D">
        <w:rPr>
          <w:rFonts w:ascii="Times New Roman" w:hAnsi="Times New Roman" w:cs="Times New Roman"/>
          <w:sz w:val="24"/>
          <w:szCs w:val="24"/>
        </w:rPr>
        <w:t>ly</w:t>
      </w:r>
      <w:r w:rsidR="004F61CA">
        <w:rPr>
          <w:rFonts w:ascii="Times New Roman" w:hAnsi="Times New Roman" w:cs="Times New Roman"/>
          <w:sz w:val="24"/>
          <w:szCs w:val="24"/>
        </w:rPr>
        <w:t xml:space="preserve">: note the telling use of the word </w:t>
      </w:r>
      <w:r w:rsidR="004F61CA" w:rsidRPr="004F61CA">
        <w:rPr>
          <w:rFonts w:ascii="Times New Roman" w:hAnsi="Times New Roman" w:cs="Times New Roman"/>
          <w:sz w:val="24"/>
          <w:szCs w:val="24"/>
        </w:rPr>
        <w:t>‘</w:t>
      </w:r>
      <w:r w:rsidR="005669EA" w:rsidRPr="004F61CA">
        <w:rPr>
          <w:rFonts w:ascii="Times New Roman" w:hAnsi="Times New Roman" w:cs="Times New Roman"/>
          <w:sz w:val="24"/>
          <w:szCs w:val="24"/>
        </w:rPr>
        <w:t>include</w:t>
      </w:r>
      <w:r w:rsidR="004F61CA" w:rsidRPr="004F61CA">
        <w:rPr>
          <w:rFonts w:ascii="Times New Roman" w:hAnsi="Times New Roman" w:cs="Times New Roman"/>
          <w:sz w:val="24"/>
          <w:szCs w:val="24"/>
        </w:rPr>
        <w:t>’</w:t>
      </w:r>
      <w:r w:rsidR="00042413">
        <w:rPr>
          <w:rFonts w:ascii="Times New Roman" w:hAnsi="Times New Roman" w:cs="Times New Roman"/>
          <w:sz w:val="24"/>
          <w:szCs w:val="24"/>
        </w:rPr>
        <w:t>.</w:t>
      </w:r>
      <w:r w:rsidR="002D4503">
        <w:rPr>
          <w:rFonts w:ascii="Times New Roman" w:hAnsi="Times New Roman" w:cs="Times New Roman"/>
          <w:sz w:val="24"/>
          <w:szCs w:val="24"/>
        </w:rPr>
        <w:t xml:space="preserve"> This leaves open the possibility that </w:t>
      </w:r>
      <w:r w:rsidR="0079762B">
        <w:rPr>
          <w:rFonts w:ascii="Times New Roman" w:hAnsi="Times New Roman" w:cs="Times New Roman"/>
          <w:sz w:val="24"/>
          <w:szCs w:val="24"/>
        </w:rPr>
        <w:t>other impairments</w:t>
      </w:r>
      <w:r w:rsidR="00DD7F34">
        <w:rPr>
          <w:rFonts w:ascii="Times New Roman" w:hAnsi="Times New Roman" w:cs="Times New Roman"/>
          <w:sz w:val="24"/>
          <w:szCs w:val="24"/>
        </w:rPr>
        <w:t xml:space="preserve"> or combinations </w:t>
      </w:r>
      <w:r w:rsidR="006D4084">
        <w:rPr>
          <w:rFonts w:ascii="Times New Roman" w:hAnsi="Times New Roman" w:cs="Times New Roman"/>
          <w:sz w:val="24"/>
          <w:szCs w:val="24"/>
        </w:rPr>
        <w:t>thereof</w:t>
      </w:r>
      <w:r w:rsidR="00DD7F34">
        <w:rPr>
          <w:rFonts w:ascii="Times New Roman" w:hAnsi="Times New Roman" w:cs="Times New Roman"/>
          <w:sz w:val="24"/>
          <w:szCs w:val="24"/>
        </w:rPr>
        <w:t xml:space="preserve"> may</w:t>
      </w:r>
      <w:r w:rsidR="0071567A">
        <w:rPr>
          <w:rFonts w:ascii="Times New Roman" w:hAnsi="Times New Roman" w:cs="Times New Roman"/>
          <w:sz w:val="24"/>
          <w:szCs w:val="24"/>
        </w:rPr>
        <w:t xml:space="preserve"> </w:t>
      </w:r>
      <w:r w:rsidR="007E0FF6">
        <w:rPr>
          <w:rFonts w:ascii="Times New Roman" w:hAnsi="Times New Roman" w:cs="Times New Roman"/>
          <w:sz w:val="24"/>
          <w:szCs w:val="24"/>
        </w:rPr>
        <w:t>qualify</w:t>
      </w:r>
      <w:r w:rsidR="0071567A">
        <w:rPr>
          <w:rFonts w:ascii="Times New Roman" w:hAnsi="Times New Roman" w:cs="Times New Roman"/>
          <w:sz w:val="24"/>
          <w:szCs w:val="24"/>
        </w:rPr>
        <w:t>.</w:t>
      </w:r>
      <w:bookmarkStart w:id="19" w:name="_Ref27487943"/>
      <w:r w:rsidR="00BB47D6">
        <w:rPr>
          <w:rStyle w:val="FootnoteReference"/>
          <w:rFonts w:cs="Times New Roman"/>
          <w:szCs w:val="24"/>
        </w:rPr>
        <w:footnoteReference w:id="53"/>
      </w:r>
      <w:bookmarkEnd w:id="19"/>
      <w:r w:rsidR="0071567A">
        <w:rPr>
          <w:rFonts w:ascii="Times New Roman" w:hAnsi="Times New Roman" w:cs="Times New Roman"/>
          <w:sz w:val="24"/>
          <w:szCs w:val="24"/>
        </w:rPr>
        <w:t xml:space="preserve"> Article 1 also appears to conflate ‘impairment’ and ‘disability’</w:t>
      </w:r>
      <w:r w:rsidR="008123BA">
        <w:rPr>
          <w:rFonts w:ascii="Times New Roman" w:hAnsi="Times New Roman" w:cs="Times New Roman"/>
          <w:sz w:val="24"/>
          <w:szCs w:val="24"/>
        </w:rPr>
        <w:t>, which poses tricky questions of interpretation</w:t>
      </w:r>
      <w:r w:rsidR="002B5237">
        <w:rPr>
          <w:rFonts w:ascii="Times New Roman" w:hAnsi="Times New Roman" w:cs="Times New Roman"/>
          <w:sz w:val="24"/>
          <w:szCs w:val="24"/>
        </w:rPr>
        <w:t>.</w:t>
      </w:r>
      <w:r w:rsidR="00A63BCF">
        <w:rPr>
          <w:rFonts w:ascii="Times New Roman" w:hAnsi="Times New Roman" w:cs="Times New Roman"/>
          <w:sz w:val="24"/>
          <w:szCs w:val="24"/>
        </w:rPr>
        <w:t xml:space="preserve"> As Bartlett says, the result ‘is not entirely satisfactory’.</w:t>
      </w:r>
      <w:r w:rsidR="00A63BCF">
        <w:rPr>
          <w:rStyle w:val="FootnoteReference"/>
          <w:rFonts w:cs="Times New Roman"/>
          <w:szCs w:val="24"/>
        </w:rPr>
        <w:footnoteReference w:id="54"/>
      </w:r>
      <w:r w:rsidR="00F37F26">
        <w:rPr>
          <w:rFonts w:ascii="Times New Roman" w:hAnsi="Times New Roman" w:cs="Times New Roman"/>
          <w:sz w:val="24"/>
          <w:szCs w:val="24"/>
        </w:rPr>
        <w:t xml:space="preserve"> </w:t>
      </w:r>
      <w:r w:rsidR="002B611A">
        <w:rPr>
          <w:rFonts w:ascii="Times New Roman" w:hAnsi="Times New Roman" w:cs="Times New Roman"/>
          <w:sz w:val="24"/>
          <w:szCs w:val="24"/>
        </w:rPr>
        <w:t>T</w:t>
      </w:r>
      <w:r w:rsidR="00285850">
        <w:rPr>
          <w:rFonts w:ascii="Times New Roman" w:hAnsi="Times New Roman" w:cs="Times New Roman"/>
          <w:sz w:val="24"/>
          <w:szCs w:val="24"/>
        </w:rPr>
        <w:t>he omission of definition</w:t>
      </w:r>
      <w:r w:rsidR="004F61CA">
        <w:rPr>
          <w:rFonts w:ascii="Times New Roman" w:hAnsi="Times New Roman" w:cs="Times New Roman"/>
          <w:sz w:val="24"/>
          <w:szCs w:val="24"/>
        </w:rPr>
        <w:t>s</w:t>
      </w:r>
      <w:r w:rsidR="00285850">
        <w:rPr>
          <w:rFonts w:ascii="Times New Roman" w:hAnsi="Times New Roman" w:cs="Times New Roman"/>
          <w:sz w:val="24"/>
          <w:szCs w:val="24"/>
        </w:rPr>
        <w:t xml:space="preserve"> may </w:t>
      </w:r>
      <w:r w:rsidR="000B22AC">
        <w:rPr>
          <w:rFonts w:ascii="Times New Roman" w:hAnsi="Times New Roman" w:cs="Times New Roman"/>
          <w:sz w:val="24"/>
          <w:szCs w:val="24"/>
        </w:rPr>
        <w:t>be deliberate:</w:t>
      </w:r>
      <w:r w:rsidR="002F6B7E">
        <w:rPr>
          <w:rFonts w:ascii="Times New Roman" w:hAnsi="Times New Roman" w:cs="Times New Roman"/>
          <w:sz w:val="24"/>
          <w:szCs w:val="24"/>
        </w:rPr>
        <w:t xml:space="preserve"> exclusionary </w:t>
      </w:r>
      <w:r w:rsidR="00FE56E0">
        <w:rPr>
          <w:rFonts w:ascii="Times New Roman" w:hAnsi="Times New Roman" w:cs="Times New Roman"/>
          <w:sz w:val="24"/>
          <w:szCs w:val="24"/>
        </w:rPr>
        <w:t xml:space="preserve">definitions </w:t>
      </w:r>
      <w:r w:rsidR="00252924">
        <w:rPr>
          <w:rFonts w:ascii="Times New Roman" w:hAnsi="Times New Roman" w:cs="Times New Roman"/>
          <w:sz w:val="24"/>
          <w:szCs w:val="24"/>
        </w:rPr>
        <w:t>would be</w:t>
      </w:r>
      <w:r w:rsidR="002F6B7E">
        <w:rPr>
          <w:rFonts w:ascii="Times New Roman" w:hAnsi="Times New Roman" w:cs="Times New Roman"/>
          <w:sz w:val="24"/>
          <w:szCs w:val="24"/>
        </w:rPr>
        <w:t xml:space="preserve"> </w:t>
      </w:r>
      <w:r w:rsidR="002B5237">
        <w:rPr>
          <w:rFonts w:ascii="Times New Roman" w:hAnsi="Times New Roman" w:cs="Times New Roman"/>
          <w:sz w:val="24"/>
          <w:szCs w:val="24"/>
        </w:rPr>
        <w:t xml:space="preserve">at </w:t>
      </w:r>
      <w:r w:rsidR="002F6B7E">
        <w:rPr>
          <w:rFonts w:ascii="Times New Roman" w:hAnsi="Times New Roman" w:cs="Times New Roman"/>
          <w:sz w:val="24"/>
          <w:szCs w:val="24"/>
        </w:rPr>
        <w:t xml:space="preserve">odds with </w:t>
      </w:r>
      <w:r w:rsidR="00D55939">
        <w:rPr>
          <w:rFonts w:ascii="Times New Roman" w:hAnsi="Times New Roman" w:cs="Times New Roman"/>
          <w:sz w:val="24"/>
          <w:szCs w:val="24"/>
        </w:rPr>
        <w:t>the</w:t>
      </w:r>
      <w:r w:rsidR="004F61CA">
        <w:rPr>
          <w:rFonts w:ascii="Times New Roman" w:hAnsi="Times New Roman" w:cs="Times New Roman"/>
          <w:sz w:val="24"/>
          <w:szCs w:val="24"/>
        </w:rPr>
        <w:t xml:space="preserve"> CRPD’s</w:t>
      </w:r>
      <w:r w:rsidR="00D55939">
        <w:rPr>
          <w:rFonts w:ascii="Times New Roman" w:hAnsi="Times New Roman" w:cs="Times New Roman"/>
          <w:sz w:val="24"/>
          <w:szCs w:val="24"/>
        </w:rPr>
        <w:t xml:space="preserve"> universalising spirit.</w:t>
      </w:r>
      <w:r w:rsidR="002F6B7E">
        <w:rPr>
          <w:rStyle w:val="FootnoteReference"/>
          <w:rFonts w:cs="Times New Roman"/>
          <w:szCs w:val="24"/>
        </w:rPr>
        <w:footnoteReference w:id="55"/>
      </w:r>
      <w:r w:rsidR="00E64713">
        <w:rPr>
          <w:rFonts w:ascii="Times New Roman" w:hAnsi="Times New Roman" w:cs="Times New Roman"/>
          <w:sz w:val="24"/>
          <w:szCs w:val="24"/>
        </w:rPr>
        <w:t xml:space="preserve"> </w:t>
      </w:r>
      <w:r w:rsidR="005F596C">
        <w:rPr>
          <w:rFonts w:ascii="Times New Roman" w:hAnsi="Times New Roman" w:cs="Times New Roman"/>
          <w:sz w:val="24"/>
          <w:szCs w:val="24"/>
        </w:rPr>
        <w:t>But the absence of</w:t>
      </w:r>
      <w:r w:rsidR="002B611A">
        <w:rPr>
          <w:rFonts w:ascii="Times New Roman" w:hAnsi="Times New Roman" w:cs="Times New Roman"/>
          <w:sz w:val="24"/>
          <w:szCs w:val="24"/>
        </w:rPr>
        <w:t xml:space="preserve"> clarity</w:t>
      </w:r>
      <w:r w:rsidR="005F596C">
        <w:rPr>
          <w:rFonts w:ascii="Times New Roman" w:hAnsi="Times New Roman" w:cs="Times New Roman"/>
          <w:sz w:val="24"/>
          <w:szCs w:val="24"/>
        </w:rPr>
        <w:t xml:space="preserve"> jeopardises consistent </w:t>
      </w:r>
      <w:r w:rsidR="009E6E18">
        <w:rPr>
          <w:rFonts w:ascii="Times New Roman" w:hAnsi="Times New Roman" w:cs="Times New Roman"/>
          <w:sz w:val="24"/>
          <w:szCs w:val="24"/>
        </w:rPr>
        <w:t>application</w:t>
      </w:r>
      <w:r w:rsidR="001722B3">
        <w:rPr>
          <w:rFonts w:ascii="Times New Roman" w:hAnsi="Times New Roman" w:cs="Times New Roman"/>
          <w:sz w:val="24"/>
          <w:szCs w:val="24"/>
        </w:rPr>
        <w:t>, perhaps undermining its very purpose.</w:t>
      </w:r>
      <w:r w:rsidR="006E618F">
        <w:rPr>
          <w:rStyle w:val="FootnoteReference"/>
          <w:rFonts w:cs="Times New Roman"/>
          <w:szCs w:val="24"/>
        </w:rPr>
        <w:footnoteReference w:id="56"/>
      </w:r>
    </w:p>
    <w:p w14:paraId="50504373" w14:textId="3FFFCDF3" w:rsidR="00153E51" w:rsidRDefault="003C03F8"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 xml:space="preserve">There are, however, </w:t>
      </w:r>
      <w:r w:rsidR="00003CA2">
        <w:rPr>
          <w:rFonts w:ascii="Times New Roman" w:hAnsi="Times New Roman" w:cs="Times New Roman"/>
          <w:sz w:val="24"/>
          <w:szCs w:val="24"/>
        </w:rPr>
        <w:t xml:space="preserve">three </w:t>
      </w:r>
      <w:r>
        <w:rPr>
          <w:rFonts w:ascii="Times New Roman" w:hAnsi="Times New Roman" w:cs="Times New Roman"/>
          <w:sz w:val="24"/>
          <w:szCs w:val="24"/>
        </w:rPr>
        <w:t>things about which we can be fairly certain. First, ‘mental’ impairments fall within the scope of the CRPD.</w:t>
      </w:r>
      <w:r w:rsidR="004740FE">
        <w:rPr>
          <w:rFonts w:ascii="Times New Roman" w:hAnsi="Times New Roman" w:cs="Times New Roman"/>
          <w:sz w:val="24"/>
          <w:szCs w:val="24"/>
        </w:rPr>
        <w:t xml:space="preserve"> </w:t>
      </w:r>
      <w:r w:rsidR="00DB71A1">
        <w:rPr>
          <w:rFonts w:ascii="Times New Roman" w:hAnsi="Times New Roman" w:cs="Times New Roman"/>
          <w:sz w:val="24"/>
          <w:szCs w:val="24"/>
        </w:rPr>
        <w:t>By extension</w:t>
      </w:r>
      <w:r w:rsidR="005E165B">
        <w:rPr>
          <w:rFonts w:ascii="Times New Roman" w:hAnsi="Times New Roman" w:cs="Times New Roman"/>
          <w:sz w:val="24"/>
          <w:szCs w:val="24"/>
        </w:rPr>
        <w:t xml:space="preserve">, </w:t>
      </w:r>
      <w:r w:rsidR="00841B86">
        <w:rPr>
          <w:rFonts w:ascii="Times New Roman" w:hAnsi="Times New Roman" w:cs="Times New Roman"/>
          <w:sz w:val="24"/>
          <w:szCs w:val="24"/>
        </w:rPr>
        <w:t>‘psychiatric’</w:t>
      </w:r>
      <w:r w:rsidR="001C5AB5">
        <w:rPr>
          <w:rFonts w:ascii="Times New Roman" w:hAnsi="Times New Roman" w:cs="Times New Roman"/>
          <w:sz w:val="24"/>
          <w:szCs w:val="24"/>
        </w:rPr>
        <w:t xml:space="preserve"> impairments </w:t>
      </w:r>
      <w:r w:rsidR="00F03E93">
        <w:rPr>
          <w:rFonts w:ascii="Times New Roman" w:hAnsi="Times New Roman" w:cs="Times New Roman"/>
          <w:sz w:val="24"/>
          <w:szCs w:val="24"/>
        </w:rPr>
        <w:t>must</w:t>
      </w:r>
      <w:r w:rsidR="004E2FA6">
        <w:rPr>
          <w:rFonts w:ascii="Times New Roman" w:hAnsi="Times New Roman" w:cs="Times New Roman"/>
          <w:sz w:val="24"/>
          <w:szCs w:val="24"/>
        </w:rPr>
        <w:t xml:space="preserve"> similarly</w:t>
      </w:r>
      <w:r w:rsidR="005E165B">
        <w:rPr>
          <w:rFonts w:ascii="Times New Roman" w:hAnsi="Times New Roman" w:cs="Times New Roman"/>
          <w:sz w:val="24"/>
          <w:szCs w:val="24"/>
        </w:rPr>
        <w:t xml:space="preserve"> </w:t>
      </w:r>
      <w:r w:rsidR="00346508">
        <w:rPr>
          <w:rFonts w:ascii="Times New Roman" w:hAnsi="Times New Roman" w:cs="Times New Roman"/>
          <w:sz w:val="24"/>
          <w:szCs w:val="24"/>
        </w:rPr>
        <w:t>engage</w:t>
      </w:r>
      <w:r w:rsidR="006E01E5">
        <w:rPr>
          <w:rFonts w:ascii="Times New Roman" w:hAnsi="Times New Roman" w:cs="Times New Roman"/>
          <w:sz w:val="24"/>
          <w:szCs w:val="24"/>
        </w:rPr>
        <w:t xml:space="preserve"> the Convention</w:t>
      </w:r>
      <w:r w:rsidR="00A93904">
        <w:rPr>
          <w:rFonts w:ascii="Times New Roman" w:hAnsi="Times New Roman" w:cs="Times New Roman"/>
          <w:sz w:val="24"/>
          <w:szCs w:val="24"/>
        </w:rPr>
        <w:t>’s protections</w:t>
      </w:r>
      <w:r w:rsidR="006E01E5">
        <w:rPr>
          <w:rFonts w:ascii="Times New Roman" w:hAnsi="Times New Roman" w:cs="Times New Roman"/>
          <w:sz w:val="24"/>
          <w:szCs w:val="24"/>
        </w:rPr>
        <w:t>.</w:t>
      </w:r>
      <w:r w:rsidR="005C0A9A">
        <w:rPr>
          <w:rFonts w:ascii="Times New Roman" w:hAnsi="Times New Roman" w:cs="Times New Roman"/>
          <w:sz w:val="24"/>
          <w:szCs w:val="24"/>
        </w:rPr>
        <w:t xml:space="preserve"> The reason for this is </w:t>
      </w:r>
      <w:r w:rsidR="00BC3219">
        <w:rPr>
          <w:rFonts w:ascii="Times New Roman" w:hAnsi="Times New Roman" w:cs="Times New Roman"/>
          <w:sz w:val="24"/>
          <w:szCs w:val="24"/>
        </w:rPr>
        <w:t>that the</w:t>
      </w:r>
      <w:r w:rsidR="006256C3">
        <w:rPr>
          <w:rFonts w:ascii="Times New Roman" w:hAnsi="Times New Roman" w:cs="Times New Roman"/>
          <w:sz w:val="24"/>
          <w:szCs w:val="24"/>
        </w:rPr>
        <w:t xml:space="preserve"> </w:t>
      </w:r>
      <w:r w:rsidR="00EA3B29">
        <w:rPr>
          <w:rFonts w:ascii="Times New Roman" w:hAnsi="Times New Roman" w:cs="Times New Roman"/>
          <w:sz w:val="24"/>
          <w:szCs w:val="24"/>
        </w:rPr>
        <w:t>CRPD apparatus n</w:t>
      </w:r>
      <w:r w:rsidR="008F5570">
        <w:rPr>
          <w:rFonts w:ascii="Times New Roman" w:hAnsi="Times New Roman" w:cs="Times New Roman"/>
          <w:sz w:val="24"/>
          <w:szCs w:val="24"/>
        </w:rPr>
        <w:t xml:space="preserve">ow prefers to describe mental, </w:t>
      </w:r>
      <w:r w:rsidR="00EA3B29">
        <w:rPr>
          <w:rFonts w:ascii="Times New Roman" w:hAnsi="Times New Roman" w:cs="Times New Roman"/>
          <w:sz w:val="24"/>
          <w:szCs w:val="24"/>
        </w:rPr>
        <w:t>intellectual</w:t>
      </w:r>
      <w:r w:rsidR="008F5570">
        <w:rPr>
          <w:rFonts w:ascii="Times New Roman" w:hAnsi="Times New Roman" w:cs="Times New Roman"/>
          <w:sz w:val="24"/>
          <w:szCs w:val="24"/>
        </w:rPr>
        <w:t xml:space="preserve"> and cognitive</w:t>
      </w:r>
      <w:r w:rsidR="00EA3B29">
        <w:rPr>
          <w:rFonts w:ascii="Times New Roman" w:hAnsi="Times New Roman" w:cs="Times New Roman"/>
          <w:sz w:val="24"/>
          <w:szCs w:val="24"/>
        </w:rPr>
        <w:t xml:space="preserve"> impairments as ‘psychosocial disabilities’.</w:t>
      </w:r>
      <w:r w:rsidR="004F70FE">
        <w:rPr>
          <w:rStyle w:val="FootnoteReference"/>
          <w:rFonts w:cs="Times New Roman"/>
          <w:szCs w:val="24"/>
        </w:rPr>
        <w:footnoteReference w:id="57"/>
      </w:r>
      <w:r w:rsidR="00F510CC">
        <w:rPr>
          <w:rFonts w:ascii="Times New Roman" w:hAnsi="Times New Roman" w:cs="Times New Roman"/>
          <w:sz w:val="24"/>
          <w:szCs w:val="24"/>
        </w:rPr>
        <w:t xml:space="preserve"> The World Network of Users and Survivors of Psychiatry</w:t>
      </w:r>
      <w:r w:rsidR="0005219F">
        <w:rPr>
          <w:rFonts w:ascii="Times New Roman" w:hAnsi="Times New Roman" w:cs="Times New Roman"/>
          <w:sz w:val="24"/>
          <w:szCs w:val="24"/>
        </w:rPr>
        <w:t xml:space="preserve"> </w:t>
      </w:r>
      <w:r w:rsidR="00F510CC">
        <w:rPr>
          <w:rFonts w:ascii="Times New Roman" w:hAnsi="Times New Roman" w:cs="Times New Roman"/>
          <w:sz w:val="24"/>
          <w:szCs w:val="24"/>
        </w:rPr>
        <w:t>(WNUSP), an advocacy group</w:t>
      </w:r>
      <w:r w:rsidR="0006697D">
        <w:rPr>
          <w:rFonts w:ascii="Times New Roman" w:hAnsi="Times New Roman" w:cs="Times New Roman"/>
          <w:sz w:val="24"/>
          <w:szCs w:val="24"/>
        </w:rPr>
        <w:t xml:space="preserve"> involved in the CRPD negotiations</w:t>
      </w:r>
      <w:r w:rsidR="00F510CC">
        <w:rPr>
          <w:rFonts w:ascii="Times New Roman" w:hAnsi="Times New Roman" w:cs="Times New Roman"/>
          <w:sz w:val="24"/>
          <w:szCs w:val="24"/>
        </w:rPr>
        <w:t xml:space="preserve">, </w:t>
      </w:r>
      <w:r w:rsidR="005E4574">
        <w:rPr>
          <w:rFonts w:ascii="Times New Roman" w:hAnsi="Times New Roman" w:cs="Times New Roman"/>
          <w:sz w:val="24"/>
          <w:szCs w:val="24"/>
        </w:rPr>
        <w:t xml:space="preserve">first </w:t>
      </w:r>
      <w:r w:rsidR="00CC16F3">
        <w:rPr>
          <w:rFonts w:ascii="Times New Roman" w:hAnsi="Times New Roman" w:cs="Times New Roman"/>
          <w:sz w:val="24"/>
          <w:szCs w:val="24"/>
        </w:rPr>
        <w:t>coined</w:t>
      </w:r>
      <w:r w:rsidR="0073009D">
        <w:rPr>
          <w:rFonts w:ascii="Times New Roman" w:hAnsi="Times New Roman" w:cs="Times New Roman"/>
          <w:sz w:val="24"/>
          <w:szCs w:val="24"/>
        </w:rPr>
        <w:t xml:space="preserve"> this term </w:t>
      </w:r>
      <w:r w:rsidR="00F510CC">
        <w:rPr>
          <w:rFonts w:ascii="Times New Roman" w:hAnsi="Times New Roman" w:cs="Times New Roman"/>
          <w:sz w:val="24"/>
          <w:szCs w:val="24"/>
        </w:rPr>
        <w:t xml:space="preserve">to </w:t>
      </w:r>
      <w:r w:rsidR="0073009D">
        <w:rPr>
          <w:rFonts w:ascii="Times New Roman" w:hAnsi="Times New Roman" w:cs="Times New Roman"/>
          <w:sz w:val="24"/>
          <w:szCs w:val="24"/>
        </w:rPr>
        <w:t>capture</w:t>
      </w:r>
      <w:r w:rsidR="00F510CC">
        <w:rPr>
          <w:rFonts w:ascii="Times New Roman" w:hAnsi="Times New Roman" w:cs="Times New Roman"/>
          <w:sz w:val="24"/>
          <w:szCs w:val="24"/>
        </w:rPr>
        <w:t xml:space="preserve"> the interaction between psychological and social-cultural components of disability</w:t>
      </w:r>
      <w:r w:rsidR="009E4337">
        <w:rPr>
          <w:rFonts w:ascii="Times New Roman" w:hAnsi="Times New Roman" w:cs="Times New Roman"/>
          <w:sz w:val="24"/>
          <w:szCs w:val="24"/>
        </w:rPr>
        <w:t>.</w:t>
      </w:r>
      <w:r w:rsidR="00F73C44">
        <w:rPr>
          <w:rStyle w:val="FootnoteReference"/>
          <w:rFonts w:cs="Times New Roman"/>
          <w:szCs w:val="24"/>
        </w:rPr>
        <w:footnoteReference w:id="58"/>
      </w:r>
      <w:r w:rsidR="00A045BA">
        <w:rPr>
          <w:rFonts w:ascii="Times New Roman" w:hAnsi="Times New Roman" w:cs="Times New Roman"/>
          <w:sz w:val="24"/>
          <w:szCs w:val="24"/>
        </w:rPr>
        <w:t xml:space="preserve"> It prefers the term </w:t>
      </w:r>
      <w:r w:rsidR="008F4AE2">
        <w:rPr>
          <w:rFonts w:ascii="Times New Roman" w:hAnsi="Times New Roman" w:cs="Times New Roman"/>
          <w:sz w:val="24"/>
          <w:szCs w:val="24"/>
        </w:rPr>
        <w:t>‘psychosocial disability’</w:t>
      </w:r>
      <w:r w:rsidR="00A045BA">
        <w:rPr>
          <w:rFonts w:ascii="Times New Roman" w:hAnsi="Times New Roman" w:cs="Times New Roman"/>
          <w:sz w:val="24"/>
          <w:szCs w:val="24"/>
        </w:rPr>
        <w:t xml:space="preserve"> </w:t>
      </w:r>
      <w:r w:rsidR="00DD419F">
        <w:rPr>
          <w:rFonts w:ascii="Times New Roman" w:hAnsi="Times New Roman" w:cs="Times New Roman"/>
          <w:sz w:val="24"/>
          <w:szCs w:val="24"/>
        </w:rPr>
        <w:t>as a substitute for</w:t>
      </w:r>
      <w:r w:rsidR="00A045BA">
        <w:rPr>
          <w:rFonts w:ascii="Times New Roman" w:hAnsi="Times New Roman" w:cs="Times New Roman"/>
          <w:sz w:val="24"/>
          <w:szCs w:val="24"/>
        </w:rPr>
        <w:t xml:space="preserve"> ‘mental impairment’</w:t>
      </w:r>
      <w:r w:rsidR="00CC2A01">
        <w:rPr>
          <w:rFonts w:ascii="Times New Roman" w:hAnsi="Times New Roman" w:cs="Times New Roman"/>
          <w:sz w:val="24"/>
          <w:szCs w:val="24"/>
        </w:rPr>
        <w:t>.</w:t>
      </w:r>
      <w:r w:rsidR="00C524E3">
        <w:rPr>
          <w:rStyle w:val="FootnoteReference"/>
          <w:rFonts w:cs="Times New Roman"/>
          <w:szCs w:val="24"/>
        </w:rPr>
        <w:footnoteReference w:id="59"/>
      </w:r>
      <w:r w:rsidR="00A31EF4">
        <w:rPr>
          <w:rFonts w:ascii="Times New Roman" w:hAnsi="Times New Roman" w:cs="Times New Roman"/>
          <w:sz w:val="24"/>
          <w:szCs w:val="24"/>
        </w:rPr>
        <w:t xml:space="preserve"> </w:t>
      </w:r>
      <w:r w:rsidR="00A25601">
        <w:rPr>
          <w:rFonts w:ascii="Times New Roman" w:hAnsi="Times New Roman" w:cs="Times New Roman"/>
          <w:sz w:val="24"/>
          <w:szCs w:val="24"/>
        </w:rPr>
        <w:t>T</w:t>
      </w:r>
      <w:r w:rsidR="00D14615">
        <w:rPr>
          <w:rFonts w:ascii="Times New Roman" w:hAnsi="Times New Roman" w:cs="Times New Roman"/>
          <w:sz w:val="24"/>
          <w:szCs w:val="24"/>
        </w:rPr>
        <w:t>he UN Committee on the Rights of Persons with Disabilities has</w:t>
      </w:r>
      <w:r w:rsidR="00767778">
        <w:rPr>
          <w:rFonts w:ascii="Times New Roman" w:hAnsi="Times New Roman" w:cs="Times New Roman"/>
          <w:sz w:val="24"/>
          <w:szCs w:val="24"/>
        </w:rPr>
        <w:t xml:space="preserve"> since</w:t>
      </w:r>
      <w:r w:rsidR="00D14615">
        <w:rPr>
          <w:rFonts w:ascii="Times New Roman" w:hAnsi="Times New Roman" w:cs="Times New Roman"/>
          <w:sz w:val="24"/>
          <w:szCs w:val="24"/>
        </w:rPr>
        <w:t xml:space="preserve"> includ</w:t>
      </w:r>
      <w:r w:rsidR="00846092">
        <w:rPr>
          <w:rFonts w:ascii="Times New Roman" w:hAnsi="Times New Roman" w:cs="Times New Roman"/>
          <w:sz w:val="24"/>
          <w:szCs w:val="24"/>
        </w:rPr>
        <w:t>ed</w:t>
      </w:r>
      <w:r w:rsidR="00A31EF4">
        <w:rPr>
          <w:rFonts w:ascii="Times New Roman" w:hAnsi="Times New Roman" w:cs="Times New Roman"/>
          <w:sz w:val="24"/>
          <w:szCs w:val="24"/>
        </w:rPr>
        <w:t xml:space="preserve"> ‘psychosocial</w:t>
      </w:r>
      <w:r w:rsidR="00D14615">
        <w:rPr>
          <w:rFonts w:ascii="Times New Roman" w:hAnsi="Times New Roman" w:cs="Times New Roman"/>
          <w:sz w:val="24"/>
          <w:szCs w:val="24"/>
        </w:rPr>
        <w:t xml:space="preserve"> impairment’</w:t>
      </w:r>
      <w:r w:rsidR="00843CDE">
        <w:rPr>
          <w:rFonts w:ascii="Times New Roman" w:hAnsi="Times New Roman" w:cs="Times New Roman"/>
          <w:sz w:val="24"/>
          <w:szCs w:val="24"/>
        </w:rPr>
        <w:t xml:space="preserve"> in its </w:t>
      </w:r>
      <w:r w:rsidR="00843CDE">
        <w:rPr>
          <w:rFonts w:ascii="Times New Roman" w:hAnsi="Times New Roman" w:cs="Times New Roman"/>
          <w:sz w:val="24"/>
          <w:szCs w:val="24"/>
        </w:rPr>
        <w:lastRenderedPageBreak/>
        <w:t>definition of ‘disability’.</w:t>
      </w:r>
      <w:r w:rsidR="00082324">
        <w:rPr>
          <w:rStyle w:val="FootnoteReference"/>
          <w:rFonts w:cs="Times New Roman"/>
          <w:szCs w:val="24"/>
        </w:rPr>
        <w:footnoteReference w:id="60"/>
      </w:r>
      <w:r w:rsidR="00843CDE">
        <w:rPr>
          <w:rFonts w:ascii="Times New Roman" w:hAnsi="Times New Roman" w:cs="Times New Roman"/>
          <w:sz w:val="24"/>
          <w:szCs w:val="24"/>
        </w:rPr>
        <w:t xml:space="preserve"> </w:t>
      </w:r>
      <w:r w:rsidR="006873AD">
        <w:rPr>
          <w:rFonts w:ascii="Times New Roman" w:hAnsi="Times New Roman" w:cs="Times New Roman"/>
          <w:sz w:val="24"/>
          <w:szCs w:val="24"/>
        </w:rPr>
        <w:t>‘</w:t>
      </w:r>
      <w:r w:rsidR="009E6E18">
        <w:rPr>
          <w:rFonts w:ascii="Times New Roman" w:hAnsi="Times New Roman" w:cs="Times New Roman"/>
          <w:sz w:val="24"/>
          <w:szCs w:val="24"/>
        </w:rPr>
        <w:t xml:space="preserve">Psychosocial </w:t>
      </w:r>
      <w:r w:rsidR="00BC117D">
        <w:rPr>
          <w:rFonts w:ascii="Times New Roman" w:hAnsi="Times New Roman" w:cs="Times New Roman"/>
          <w:sz w:val="24"/>
          <w:szCs w:val="24"/>
        </w:rPr>
        <w:t>disability</w:t>
      </w:r>
      <w:r w:rsidR="009E6E18">
        <w:rPr>
          <w:rFonts w:ascii="Times New Roman" w:hAnsi="Times New Roman" w:cs="Times New Roman"/>
          <w:sz w:val="24"/>
          <w:szCs w:val="24"/>
        </w:rPr>
        <w:t>’</w:t>
      </w:r>
      <w:r w:rsidR="00BC117D">
        <w:rPr>
          <w:rFonts w:ascii="Times New Roman" w:hAnsi="Times New Roman" w:cs="Times New Roman"/>
          <w:sz w:val="24"/>
          <w:szCs w:val="24"/>
        </w:rPr>
        <w:t xml:space="preserve"> includes a wider range of impairments</w:t>
      </w:r>
      <w:r w:rsidR="0063383C">
        <w:rPr>
          <w:rFonts w:ascii="Times New Roman" w:hAnsi="Times New Roman" w:cs="Times New Roman"/>
          <w:sz w:val="24"/>
          <w:szCs w:val="24"/>
        </w:rPr>
        <w:t xml:space="preserve">, such as </w:t>
      </w:r>
      <w:r w:rsidR="00415147">
        <w:rPr>
          <w:rFonts w:ascii="Times New Roman" w:hAnsi="Times New Roman" w:cs="Times New Roman"/>
          <w:sz w:val="24"/>
          <w:szCs w:val="24"/>
        </w:rPr>
        <w:t>‘mental disorders, organic brain damage, learning disabilities and intellectual disability’</w:t>
      </w:r>
      <w:r w:rsidR="00F46AF9">
        <w:rPr>
          <w:rFonts w:ascii="Times New Roman" w:hAnsi="Times New Roman" w:cs="Times New Roman"/>
          <w:sz w:val="24"/>
          <w:szCs w:val="24"/>
        </w:rPr>
        <w:t>.</w:t>
      </w:r>
      <w:bookmarkStart w:id="20" w:name="_Ref27491019"/>
      <w:r w:rsidR="00776A3D">
        <w:rPr>
          <w:rStyle w:val="FootnoteReference"/>
          <w:rFonts w:cs="Times New Roman"/>
          <w:szCs w:val="24"/>
        </w:rPr>
        <w:footnoteReference w:id="61"/>
      </w:r>
      <w:bookmarkEnd w:id="20"/>
      <w:r w:rsidR="006833E0">
        <w:rPr>
          <w:rFonts w:ascii="Times New Roman" w:hAnsi="Times New Roman" w:cs="Times New Roman"/>
          <w:sz w:val="24"/>
          <w:szCs w:val="24"/>
        </w:rPr>
        <w:t xml:space="preserve"> </w:t>
      </w:r>
      <w:r w:rsidR="00CC2A01">
        <w:rPr>
          <w:rFonts w:ascii="Times New Roman" w:hAnsi="Times New Roman" w:cs="Times New Roman"/>
          <w:sz w:val="24"/>
          <w:szCs w:val="24"/>
        </w:rPr>
        <w:t>This</w:t>
      </w:r>
      <w:r w:rsidR="009413A8">
        <w:rPr>
          <w:rFonts w:ascii="Times New Roman" w:hAnsi="Times New Roman" w:cs="Times New Roman"/>
          <w:sz w:val="24"/>
          <w:szCs w:val="24"/>
        </w:rPr>
        <w:t xml:space="preserve"> expansive</w:t>
      </w:r>
      <w:r w:rsidR="00CC2A01">
        <w:rPr>
          <w:rFonts w:ascii="Times New Roman" w:hAnsi="Times New Roman" w:cs="Times New Roman"/>
          <w:sz w:val="24"/>
          <w:szCs w:val="24"/>
        </w:rPr>
        <w:t xml:space="preserve"> interpretation</w:t>
      </w:r>
      <w:r w:rsidR="009413A8">
        <w:rPr>
          <w:rFonts w:ascii="Times New Roman" w:hAnsi="Times New Roman" w:cs="Times New Roman"/>
          <w:sz w:val="24"/>
          <w:szCs w:val="24"/>
        </w:rPr>
        <w:t xml:space="preserve"> </w:t>
      </w:r>
      <w:r w:rsidR="00843A34">
        <w:rPr>
          <w:rFonts w:ascii="Times New Roman" w:hAnsi="Times New Roman" w:cs="Times New Roman"/>
          <w:sz w:val="24"/>
          <w:szCs w:val="24"/>
        </w:rPr>
        <w:t>is significant</w:t>
      </w:r>
      <w:r w:rsidR="00497353">
        <w:rPr>
          <w:rFonts w:ascii="Times New Roman" w:hAnsi="Times New Roman" w:cs="Times New Roman"/>
          <w:sz w:val="24"/>
          <w:szCs w:val="24"/>
        </w:rPr>
        <w:t>:</w:t>
      </w:r>
      <w:r w:rsidR="00BF3819">
        <w:rPr>
          <w:rFonts w:ascii="Times New Roman" w:hAnsi="Times New Roman" w:cs="Times New Roman"/>
          <w:sz w:val="24"/>
          <w:szCs w:val="24"/>
        </w:rPr>
        <w:t xml:space="preserve"> it suggests </w:t>
      </w:r>
      <w:r w:rsidR="00EC7027">
        <w:rPr>
          <w:rFonts w:ascii="Times New Roman" w:hAnsi="Times New Roman" w:cs="Times New Roman"/>
          <w:sz w:val="24"/>
          <w:szCs w:val="24"/>
        </w:rPr>
        <w:t xml:space="preserve">that </w:t>
      </w:r>
      <w:r w:rsidR="00C74D83" w:rsidRPr="002D0646">
        <w:rPr>
          <w:rFonts w:ascii="Times New Roman" w:hAnsi="Times New Roman" w:cs="Times New Roman"/>
          <w:iCs/>
          <w:sz w:val="24"/>
          <w:szCs w:val="24"/>
        </w:rPr>
        <w:t>psychiatric</w:t>
      </w:r>
      <w:r w:rsidR="00C74D83">
        <w:rPr>
          <w:rFonts w:ascii="Times New Roman" w:hAnsi="Times New Roman" w:cs="Times New Roman"/>
          <w:i/>
          <w:sz w:val="24"/>
          <w:szCs w:val="24"/>
        </w:rPr>
        <w:t xml:space="preserve"> </w:t>
      </w:r>
      <w:r w:rsidR="008B1C47">
        <w:rPr>
          <w:rFonts w:ascii="Times New Roman" w:hAnsi="Times New Roman" w:cs="Times New Roman"/>
          <w:sz w:val="24"/>
          <w:szCs w:val="24"/>
        </w:rPr>
        <w:t>injuries</w:t>
      </w:r>
      <w:r w:rsidR="00966932">
        <w:rPr>
          <w:rFonts w:ascii="Times New Roman" w:hAnsi="Times New Roman" w:cs="Times New Roman"/>
          <w:sz w:val="24"/>
          <w:szCs w:val="24"/>
        </w:rPr>
        <w:t xml:space="preserve"> </w:t>
      </w:r>
      <w:r w:rsidR="00386C31">
        <w:rPr>
          <w:rFonts w:ascii="Times New Roman" w:hAnsi="Times New Roman" w:cs="Times New Roman"/>
          <w:sz w:val="24"/>
          <w:szCs w:val="24"/>
        </w:rPr>
        <w:t>that</w:t>
      </w:r>
      <w:r w:rsidR="00BD5EA1">
        <w:rPr>
          <w:rFonts w:ascii="Times New Roman" w:hAnsi="Times New Roman" w:cs="Times New Roman"/>
          <w:sz w:val="24"/>
          <w:szCs w:val="24"/>
        </w:rPr>
        <w:t xml:space="preserve"> can</w:t>
      </w:r>
      <w:r w:rsidR="00386C31">
        <w:rPr>
          <w:rFonts w:ascii="Times New Roman" w:hAnsi="Times New Roman" w:cs="Times New Roman"/>
          <w:sz w:val="24"/>
          <w:szCs w:val="24"/>
        </w:rPr>
        <w:t xml:space="preserve"> sound in damages </w:t>
      </w:r>
      <w:r w:rsidR="00BD5EA1">
        <w:rPr>
          <w:rFonts w:ascii="Times New Roman" w:hAnsi="Times New Roman" w:cs="Times New Roman"/>
          <w:sz w:val="24"/>
          <w:szCs w:val="24"/>
        </w:rPr>
        <w:t xml:space="preserve">will </w:t>
      </w:r>
      <w:r w:rsidR="00966932">
        <w:rPr>
          <w:rFonts w:ascii="Times New Roman" w:hAnsi="Times New Roman" w:cs="Times New Roman"/>
          <w:sz w:val="24"/>
          <w:szCs w:val="24"/>
        </w:rPr>
        <w:t xml:space="preserve">fall </w:t>
      </w:r>
      <w:r w:rsidR="00BF3819">
        <w:rPr>
          <w:rFonts w:ascii="Times New Roman" w:hAnsi="Times New Roman" w:cs="Times New Roman"/>
          <w:sz w:val="24"/>
          <w:szCs w:val="24"/>
        </w:rPr>
        <w:t>within</w:t>
      </w:r>
      <w:r w:rsidR="00966932">
        <w:rPr>
          <w:rFonts w:ascii="Times New Roman" w:hAnsi="Times New Roman" w:cs="Times New Roman"/>
          <w:sz w:val="24"/>
          <w:szCs w:val="24"/>
        </w:rPr>
        <w:t xml:space="preserve"> the</w:t>
      </w:r>
      <w:r w:rsidR="005723D1">
        <w:rPr>
          <w:rFonts w:ascii="Times New Roman" w:hAnsi="Times New Roman" w:cs="Times New Roman"/>
          <w:sz w:val="24"/>
          <w:szCs w:val="24"/>
        </w:rPr>
        <w:t xml:space="preserve"> CRPD’s</w:t>
      </w:r>
      <w:r w:rsidR="00150E54">
        <w:rPr>
          <w:rFonts w:ascii="Times New Roman" w:hAnsi="Times New Roman" w:cs="Times New Roman"/>
          <w:sz w:val="24"/>
          <w:szCs w:val="24"/>
        </w:rPr>
        <w:t xml:space="preserve"> scope</w:t>
      </w:r>
      <w:r w:rsidR="005723D1">
        <w:rPr>
          <w:rFonts w:ascii="Times New Roman" w:hAnsi="Times New Roman" w:cs="Times New Roman"/>
          <w:sz w:val="24"/>
          <w:szCs w:val="24"/>
        </w:rPr>
        <w:t>.</w:t>
      </w:r>
      <w:r w:rsidR="008C18ED">
        <w:rPr>
          <w:rFonts w:ascii="Times New Roman" w:hAnsi="Times New Roman" w:cs="Times New Roman"/>
          <w:sz w:val="24"/>
          <w:szCs w:val="24"/>
        </w:rPr>
        <w:t xml:space="preserve"> </w:t>
      </w:r>
    </w:p>
    <w:p w14:paraId="2AD89E20" w14:textId="7A40AEB5" w:rsidR="00230D9A" w:rsidRDefault="00E8158C"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Second</w:t>
      </w:r>
      <w:r w:rsidR="0036218A">
        <w:rPr>
          <w:rFonts w:ascii="Times New Roman" w:hAnsi="Times New Roman" w:cs="Times New Roman"/>
          <w:sz w:val="24"/>
          <w:szCs w:val="24"/>
        </w:rPr>
        <w:t>, the use of the disjunctive in the phrase ‘</w:t>
      </w:r>
      <w:r w:rsidR="0036218A" w:rsidRPr="0036218A">
        <w:rPr>
          <w:rFonts w:ascii="Times New Roman" w:hAnsi="Times New Roman" w:cs="Times New Roman"/>
          <w:sz w:val="24"/>
          <w:szCs w:val="24"/>
        </w:rPr>
        <w:t xml:space="preserve">physical, mental, intellectual </w:t>
      </w:r>
      <w:r w:rsidR="0036218A" w:rsidRPr="0036218A">
        <w:rPr>
          <w:rFonts w:ascii="Times New Roman" w:hAnsi="Times New Roman" w:cs="Times New Roman"/>
          <w:i/>
          <w:sz w:val="24"/>
          <w:szCs w:val="24"/>
        </w:rPr>
        <w:t>or</w:t>
      </w:r>
      <w:r w:rsidR="0036218A" w:rsidRPr="0036218A">
        <w:rPr>
          <w:rFonts w:ascii="Times New Roman" w:hAnsi="Times New Roman" w:cs="Times New Roman"/>
          <w:sz w:val="24"/>
          <w:szCs w:val="24"/>
        </w:rPr>
        <w:t xml:space="preserve"> sensory impairments</w:t>
      </w:r>
      <w:r w:rsidR="0036218A">
        <w:rPr>
          <w:rFonts w:ascii="Times New Roman" w:hAnsi="Times New Roman" w:cs="Times New Roman"/>
          <w:sz w:val="24"/>
          <w:szCs w:val="24"/>
        </w:rPr>
        <w:t>’</w:t>
      </w:r>
      <w:r w:rsidR="00DD74D7">
        <w:rPr>
          <w:rFonts w:ascii="Times New Roman" w:hAnsi="Times New Roman" w:cs="Times New Roman"/>
          <w:sz w:val="24"/>
          <w:szCs w:val="24"/>
        </w:rPr>
        <w:t xml:space="preserve"> implies that</w:t>
      </w:r>
      <w:r w:rsidR="008D7906">
        <w:rPr>
          <w:rFonts w:ascii="Times New Roman" w:hAnsi="Times New Roman" w:cs="Times New Roman"/>
          <w:sz w:val="24"/>
          <w:szCs w:val="24"/>
        </w:rPr>
        <w:t xml:space="preserve"> </w:t>
      </w:r>
      <w:r w:rsidR="00D15F52">
        <w:rPr>
          <w:rFonts w:ascii="Times New Roman" w:hAnsi="Times New Roman" w:cs="Times New Roman"/>
          <w:sz w:val="24"/>
          <w:szCs w:val="24"/>
        </w:rPr>
        <w:t>the</w:t>
      </w:r>
      <w:r w:rsidR="00C17A7C">
        <w:rPr>
          <w:rFonts w:ascii="Times New Roman" w:hAnsi="Times New Roman" w:cs="Times New Roman"/>
          <w:sz w:val="24"/>
          <w:szCs w:val="24"/>
        </w:rPr>
        <w:t>s</w:t>
      </w:r>
      <w:r w:rsidR="00D15F52">
        <w:rPr>
          <w:rFonts w:ascii="Times New Roman" w:hAnsi="Times New Roman" w:cs="Times New Roman"/>
          <w:sz w:val="24"/>
          <w:szCs w:val="24"/>
        </w:rPr>
        <w:t>e</w:t>
      </w:r>
      <w:r w:rsidR="00C17A7C">
        <w:rPr>
          <w:rFonts w:ascii="Times New Roman" w:hAnsi="Times New Roman" w:cs="Times New Roman"/>
          <w:sz w:val="24"/>
          <w:szCs w:val="24"/>
        </w:rPr>
        <w:t xml:space="preserve"> different categories are equally </w:t>
      </w:r>
      <w:r w:rsidR="00616127">
        <w:rPr>
          <w:rFonts w:ascii="Times New Roman" w:hAnsi="Times New Roman" w:cs="Times New Roman"/>
          <w:sz w:val="24"/>
          <w:szCs w:val="24"/>
        </w:rPr>
        <w:t>worthy of the CRPD’s protection</w:t>
      </w:r>
      <w:r w:rsidR="00C17A7C">
        <w:rPr>
          <w:rFonts w:ascii="Times New Roman" w:hAnsi="Times New Roman" w:cs="Times New Roman"/>
          <w:sz w:val="24"/>
          <w:szCs w:val="24"/>
        </w:rPr>
        <w:t>.</w:t>
      </w:r>
      <w:r w:rsidR="008379BC">
        <w:rPr>
          <w:rFonts w:ascii="Times New Roman" w:hAnsi="Times New Roman" w:cs="Times New Roman"/>
          <w:sz w:val="24"/>
          <w:szCs w:val="24"/>
        </w:rPr>
        <w:t xml:space="preserve"> </w:t>
      </w:r>
      <w:r w:rsidR="00C17A7C">
        <w:rPr>
          <w:rFonts w:ascii="Times New Roman" w:hAnsi="Times New Roman" w:cs="Times New Roman"/>
          <w:sz w:val="24"/>
          <w:szCs w:val="24"/>
        </w:rPr>
        <w:t>P</w:t>
      </w:r>
      <w:r w:rsidR="008379BC">
        <w:rPr>
          <w:rFonts w:ascii="Times New Roman" w:hAnsi="Times New Roman" w:cs="Times New Roman"/>
          <w:sz w:val="24"/>
          <w:szCs w:val="24"/>
        </w:rPr>
        <w:t>hysical impairments do not have any precedence over their mental analogues</w:t>
      </w:r>
      <w:r w:rsidR="00055598">
        <w:rPr>
          <w:rFonts w:ascii="Times New Roman" w:hAnsi="Times New Roman" w:cs="Times New Roman"/>
          <w:sz w:val="24"/>
          <w:szCs w:val="24"/>
        </w:rPr>
        <w:t>;</w:t>
      </w:r>
      <w:r w:rsidR="00C17A7C">
        <w:rPr>
          <w:rFonts w:ascii="Times New Roman" w:hAnsi="Times New Roman" w:cs="Times New Roman"/>
          <w:sz w:val="24"/>
          <w:szCs w:val="24"/>
        </w:rPr>
        <w:t xml:space="preserve"> nor</w:t>
      </w:r>
      <w:r w:rsidR="00AE2FF9">
        <w:rPr>
          <w:rFonts w:ascii="Times New Roman" w:hAnsi="Times New Roman" w:cs="Times New Roman"/>
          <w:sz w:val="24"/>
          <w:szCs w:val="24"/>
        </w:rPr>
        <w:t xml:space="preserve"> are they </w:t>
      </w:r>
      <w:r w:rsidR="0086305C">
        <w:rPr>
          <w:rFonts w:ascii="Times New Roman" w:hAnsi="Times New Roman" w:cs="Times New Roman"/>
          <w:sz w:val="24"/>
          <w:szCs w:val="24"/>
        </w:rPr>
        <w:t xml:space="preserve">a </w:t>
      </w:r>
      <w:r w:rsidR="001852CC">
        <w:rPr>
          <w:rFonts w:ascii="Times New Roman" w:hAnsi="Times New Roman" w:cs="Times New Roman"/>
          <w:sz w:val="24"/>
          <w:szCs w:val="24"/>
        </w:rPr>
        <w:t>necessary</w:t>
      </w:r>
      <w:r w:rsidR="0086305C">
        <w:rPr>
          <w:rFonts w:ascii="Times New Roman" w:hAnsi="Times New Roman" w:cs="Times New Roman"/>
          <w:sz w:val="24"/>
          <w:szCs w:val="24"/>
        </w:rPr>
        <w:t xml:space="preserve"> condition</w:t>
      </w:r>
      <w:r w:rsidR="001912FC">
        <w:rPr>
          <w:rFonts w:ascii="Times New Roman" w:hAnsi="Times New Roman" w:cs="Times New Roman"/>
          <w:sz w:val="24"/>
          <w:szCs w:val="24"/>
        </w:rPr>
        <w:t xml:space="preserve"> </w:t>
      </w:r>
      <w:r w:rsidR="00EA4AA7">
        <w:rPr>
          <w:rFonts w:ascii="Times New Roman" w:hAnsi="Times New Roman" w:cs="Times New Roman"/>
          <w:sz w:val="24"/>
          <w:szCs w:val="24"/>
        </w:rPr>
        <w:t>of the CRPD’s p</w:t>
      </w:r>
      <w:r w:rsidR="00055598">
        <w:rPr>
          <w:rFonts w:ascii="Times New Roman" w:hAnsi="Times New Roman" w:cs="Times New Roman"/>
          <w:sz w:val="24"/>
          <w:szCs w:val="24"/>
        </w:rPr>
        <w:t>rotection.</w:t>
      </w:r>
      <w:r w:rsidR="00E77741">
        <w:rPr>
          <w:rFonts w:ascii="Times New Roman" w:hAnsi="Times New Roman" w:cs="Times New Roman"/>
          <w:sz w:val="24"/>
          <w:szCs w:val="24"/>
        </w:rPr>
        <w:t xml:space="preserve"> </w:t>
      </w:r>
      <w:r w:rsidR="00225CC8">
        <w:rPr>
          <w:rFonts w:ascii="Times New Roman" w:hAnsi="Times New Roman" w:cs="Times New Roman"/>
          <w:sz w:val="24"/>
          <w:szCs w:val="24"/>
        </w:rPr>
        <w:t>Therefore, there is no reason why physical impairment</w:t>
      </w:r>
      <w:r w:rsidR="004B0B82">
        <w:rPr>
          <w:rFonts w:ascii="Times New Roman" w:hAnsi="Times New Roman" w:cs="Times New Roman"/>
          <w:sz w:val="24"/>
          <w:szCs w:val="24"/>
        </w:rPr>
        <w:t xml:space="preserve">s should enjoy a privileged status in law over their psychiatric </w:t>
      </w:r>
      <w:r w:rsidR="00CE022C">
        <w:rPr>
          <w:rFonts w:ascii="Times New Roman" w:hAnsi="Times New Roman" w:cs="Times New Roman"/>
          <w:sz w:val="24"/>
          <w:szCs w:val="24"/>
        </w:rPr>
        <w:t>equivalents</w:t>
      </w:r>
      <w:r w:rsidR="004B0B82">
        <w:rPr>
          <w:rFonts w:ascii="Times New Roman" w:hAnsi="Times New Roman" w:cs="Times New Roman"/>
          <w:sz w:val="24"/>
          <w:szCs w:val="24"/>
        </w:rPr>
        <w:t>.</w:t>
      </w:r>
      <w:r w:rsidR="008D29CF">
        <w:rPr>
          <w:rFonts w:ascii="Times New Roman" w:hAnsi="Times New Roman" w:cs="Times New Roman"/>
          <w:sz w:val="24"/>
          <w:szCs w:val="24"/>
        </w:rPr>
        <w:t xml:space="preserve"> The CRPD assumes that</w:t>
      </w:r>
      <w:r w:rsidR="00225CC8">
        <w:rPr>
          <w:rFonts w:ascii="Times New Roman" w:hAnsi="Times New Roman" w:cs="Times New Roman"/>
          <w:sz w:val="24"/>
          <w:szCs w:val="24"/>
        </w:rPr>
        <w:t xml:space="preserve"> </w:t>
      </w:r>
      <w:r w:rsidR="008D29CF">
        <w:rPr>
          <w:rFonts w:ascii="Times New Roman" w:hAnsi="Times New Roman" w:cs="Times New Roman"/>
          <w:sz w:val="24"/>
          <w:szCs w:val="24"/>
        </w:rPr>
        <w:t>p</w:t>
      </w:r>
      <w:r w:rsidR="00E77741">
        <w:rPr>
          <w:rFonts w:ascii="Times New Roman" w:hAnsi="Times New Roman" w:cs="Times New Roman"/>
          <w:sz w:val="24"/>
          <w:szCs w:val="24"/>
        </w:rPr>
        <w:t>eople with mental impairments</w:t>
      </w:r>
      <w:r w:rsidR="00FB7791">
        <w:rPr>
          <w:rFonts w:ascii="Times New Roman" w:hAnsi="Times New Roman" w:cs="Times New Roman"/>
          <w:sz w:val="24"/>
          <w:szCs w:val="24"/>
        </w:rPr>
        <w:t xml:space="preserve"> (or ‘psychosocial disabilities’)</w:t>
      </w:r>
      <w:r w:rsidR="00FF701B">
        <w:rPr>
          <w:rFonts w:ascii="Times New Roman" w:hAnsi="Times New Roman" w:cs="Times New Roman"/>
          <w:sz w:val="24"/>
          <w:szCs w:val="24"/>
        </w:rPr>
        <w:t xml:space="preserve"> are</w:t>
      </w:r>
      <w:r w:rsidR="004B0B82">
        <w:rPr>
          <w:rFonts w:ascii="Times New Roman" w:hAnsi="Times New Roman" w:cs="Times New Roman"/>
          <w:sz w:val="24"/>
          <w:szCs w:val="24"/>
        </w:rPr>
        <w:t xml:space="preserve"> equally</w:t>
      </w:r>
      <w:r w:rsidR="00FF701B">
        <w:rPr>
          <w:rFonts w:ascii="Times New Roman" w:hAnsi="Times New Roman" w:cs="Times New Roman"/>
          <w:sz w:val="24"/>
          <w:szCs w:val="24"/>
        </w:rPr>
        <w:t xml:space="preserve"> entitled to the same protection</w:t>
      </w:r>
      <w:r w:rsidR="004B0B82">
        <w:rPr>
          <w:rFonts w:ascii="Times New Roman" w:hAnsi="Times New Roman" w:cs="Times New Roman"/>
          <w:sz w:val="24"/>
          <w:szCs w:val="24"/>
        </w:rPr>
        <w:t>s</w:t>
      </w:r>
      <w:r w:rsidR="00FF701B">
        <w:rPr>
          <w:rFonts w:ascii="Times New Roman" w:hAnsi="Times New Roman" w:cs="Times New Roman"/>
          <w:sz w:val="24"/>
          <w:szCs w:val="24"/>
        </w:rPr>
        <w:t xml:space="preserve"> as their physically-</w:t>
      </w:r>
      <w:r w:rsidR="007C308A">
        <w:rPr>
          <w:rFonts w:ascii="Times New Roman" w:hAnsi="Times New Roman" w:cs="Times New Roman"/>
          <w:sz w:val="24"/>
          <w:szCs w:val="24"/>
        </w:rPr>
        <w:t>impaired</w:t>
      </w:r>
      <w:r w:rsidR="00FF701B">
        <w:rPr>
          <w:rFonts w:ascii="Times New Roman" w:hAnsi="Times New Roman" w:cs="Times New Roman"/>
          <w:sz w:val="24"/>
          <w:szCs w:val="24"/>
        </w:rPr>
        <w:t xml:space="preserve"> counterparts.</w:t>
      </w:r>
      <w:r w:rsidR="00BD5EA1">
        <w:rPr>
          <w:rFonts w:ascii="Times New Roman" w:hAnsi="Times New Roman" w:cs="Times New Roman"/>
          <w:sz w:val="24"/>
          <w:szCs w:val="24"/>
        </w:rPr>
        <w:t xml:space="preserve"> </w:t>
      </w:r>
    </w:p>
    <w:p w14:paraId="708F9994" w14:textId="41CA1297" w:rsidR="00230D9A" w:rsidRDefault="00230D9A"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Third, there is nothing to suggest that</w:t>
      </w:r>
      <w:r w:rsidR="00795727">
        <w:rPr>
          <w:rFonts w:ascii="Times New Roman" w:hAnsi="Times New Roman" w:cs="Times New Roman"/>
          <w:sz w:val="24"/>
          <w:szCs w:val="24"/>
        </w:rPr>
        <w:t xml:space="preserve"> the CRPD’s</w:t>
      </w:r>
      <w:r>
        <w:rPr>
          <w:rFonts w:ascii="Times New Roman" w:hAnsi="Times New Roman" w:cs="Times New Roman"/>
          <w:sz w:val="24"/>
          <w:szCs w:val="24"/>
        </w:rPr>
        <w:t xml:space="preserve"> </w:t>
      </w:r>
      <w:r w:rsidR="00795727">
        <w:rPr>
          <w:rFonts w:ascii="Times New Roman" w:hAnsi="Times New Roman" w:cs="Times New Roman"/>
          <w:sz w:val="24"/>
          <w:szCs w:val="24"/>
        </w:rPr>
        <w:t>a</w:t>
      </w:r>
      <w:r w:rsidR="00362A85">
        <w:rPr>
          <w:rFonts w:ascii="Times New Roman" w:hAnsi="Times New Roman" w:cs="Times New Roman"/>
          <w:sz w:val="24"/>
          <w:szCs w:val="24"/>
        </w:rPr>
        <w:t>mbit</w:t>
      </w:r>
      <w:r w:rsidR="00795727">
        <w:rPr>
          <w:rFonts w:ascii="Times New Roman" w:hAnsi="Times New Roman" w:cs="Times New Roman"/>
          <w:sz w:val="24"/>
          <w:szCs w:val="24"/>
        </w:rPr>
        <w:t xml:space="preserve"> is limited</w:t>
      </w:r>
      <w:r w:rsidR="00362A85">
        <w:rPr>
          <w:rFonts w:ascii="Times New Roman" w:hAnsi="Times New Roman" w:cs="Times New Roman"/>
          <w:sz w:val="24"/>
          <w:szCs w:val="24"/>
        </w:rPr>
        <w:t xml:space="preserve"> to</w:t>
      </w:r>
      <w:r w:rsidR="00FF3817">
        <w:rPr>
          <w:rFonts w:ascii="Times New Roman" w:hAnsi="Times New Roman" w:cs="Times New Roman"/>
          <w:sz w:val="24"/>
          <w:szCs w:val="24"/>
        </w:rPr>
        <w:t xml:space="preserve"> </w:t>
      </w:r>
      <w:r w:rsidR="00362A85">
        <w:rPr>
          <w:rFonts w:ascii="Times New Roman" w:hAnsi="Times New Roman" w:cs="Times New Roman"/>
          <w:sz w:val="24"/>
          <w:szCs w:val="24"/>
        </w:rPr>
        <w:t>congenital impairments</w:t>
      </w:r>
      <w:r w:rsidR="002D1C19">
        <w:rPr>
          <w:rFonts w:ascii="Times New Roman" w:hAnsi="Times New Roman" w:cs="Times New Roman"/>
          <w:sz w:val="24"/>
          <w:szCs w:val="24"/>
        </w:rPr>
        <w:t>.</w:t>
      </w:r>
      <w:r w:rsidR="00FF3817">
        <w:rPr>
          <w:rFonts w:ascii="Times New Roman" w:hAnsi="Times New Roman" w:cs="Times New Roman"/>
          <w:sz w:val="24"/>
          <w:szCs w:val="24"/>
        </w:rPr>
        <w:t xml:space="preserve"> </w:t>
      </w:r>
      <w:r w:rsidR="0016350B">
        <w:rPr>
          <w:rFonts w:ascii="Times New Roman" w:hAnsi="Times New Roman" w:cs="Times New Roman"/>
          <w:sz w:val="24"/>
          <w:szCs w:val="24"/>
        </w:rPr>
        <w:t>Although</w:t>
      </w:r>
      <w:r w:rsidR="00741A64">
        <w:rPr>
          <w:rFonts w:ascii="Times New Roman" w:hAnsi="Times New Roman" w:cs="Times New Roman"/>
          <w:sz w:val="24"/>
          <w:szCs w:val="24"/>
        </w:rPr>
        <w:t xml:space="preserve"> Article 1 defines ‘persons with disabilities’ </w:t>
      </w:r>
      <w:r w:rsidR="00FF3817">
        <w:rPr>
          <w:rFonts w:ascii="Times New Roman" w:hAnsi="Times New Roman" w:cs="Times New Roman"/>
          <w:sz w:val="24"/>
          <w:szCs w:val="24"/>
        </w:rPr>
        <w:t xml:space="preserve">as those </w:t>
      </w:r>
      <w:r w:rsidR="000F6BFB">
        <w:rPr>
          <w:rFonts w:ascii="Times New Roman" w:hAnsi="Times New Roman" w:cs="Times New Roman"/>
          <w:sz w:val="24"/>
          <w:szCs w:val="24"/>
        </w:rPr>
        <w:t>with</w:t>
      </w:r>
      <w:r w:rsidR="00741A64">
        <w:rPr>
          <w:rFonts w:ascii="Times New Roman" w:hAnsi="Times New Roman" w:cs="Times New Roman"/>
          <w:sz w:val="24"/>
          <w:szCs w:val="24"/>
        </w:rPr>
        <w:t xml:space="preserve"> ‘long-term’ impairments,</w:t>
      </w:r>
      <w:r w:rsidR="00FB6925">
        <w:rPr>
          <w:rFonts w:ascii="Times New Roman" w:hAnsi="Times New Roman" w:cs="Times New Roman"/>
          <w:sz w:val="24"/>
          <w:szCs w:val="24"/>
        </w:rPr>
        <w:t xml:space="preserve"> this does not </w:t>
      </w:r>
      <w:r w:rsidR="009E6E18">
        <w:rPr>
          <w:rFonts w:ascii="Times New Roman" w:hAnsi="Times New Roman" w:cs="Times New Roman"/>
          <w:sz w:val="24"/>
          <w:szCs w:val="24"/>
        </w:rPr>
        <w:t>exclude</w:t>
      </w:r>
      <w:r w:rsidR="00EE645C">
        <w:rPr>
          <w:rFonts w:ascii="Times New Roman" w:hAnsi="Times New Roman" w:cs="Times New Roman"/>
          <w:sz w:val="24"/>
          <w:szCs w:val="24"/>
        </w:rPr>
        <w:t xml:space="preserve"> </w:t>
      </w:r>
      <w:r w:rsidR="00CE2B1A">
        <w:rPr>
          <w:rFonts w:ascii="Times New Roman" w:hAnsi="Times New Roman" w:cs="Times New Roman"/>
          <w:sz w:val="24"/>
          <w:szCs w:val="24"/>
        </w:rPr>
        <w:t xml:space="preserve">the possibility that a person </w:t>
      </w:r>
      <w:r w:rsidR="001C2078">
        <w:rPr>
          <w:rFonts w:ascii="Times New Roman" w:hAnsi="Times New Roman" w:cs="Times New Roman"/>
          <w:sz w:val="24"/>
          <w:szCs w:val="24"/>
        </w:rPr>
        <w:t xml:space="preserve">with an </w:t>
      </w:r>
      <w:r w:rsidR="001C2078" w:rsidRPr="0038566E">
        <w:rPr>
          <w:rFonts w:ascii="Times New Roman" w:hAnsi="Times New Roman" w:cs="Times New Roman"/>
          <w:i/>
          <w:sz w:val="24"/>
          <w:szCs w:val="24"/>
        </w:rPr>
        <w:t>acquired</w:t>
      </w:r>
      <w:r w:rsidR="001C2078">
        <w:rPr>
          <w:rFonts w:ascii="Times New Roman" w:hAnsi="Times New Roman" w:cs="Times New Roman"/>
          <w:sz w:val="24"/>
          <w:szCs w:val="24"/>
        </w:rPr>
        <w:t xml:space="preserve"> impairment</w:t>
      </w:r>
      <w:r w:rsidR="009E6E18">
        <w:rPr>
          <w:rFonts w:ascii="Times New Roman" w:hAnsi="Times New Roman" w:cs="Times New Roman"/>
          <w:sz w:val="24"/>
          <w:szCs w:val="24"/>
        </w:rPr>
        <w:t xml:space="preserve"> (e.g., </w:t>
      </w:r>
      <w:r w:rsidR="00590766">
        <w:rPr>
          <w:rFonts w:ascii="Times New Roman" w:hAnsi="Times New Roman" w:cs="Times New Roman"/>
          <w:sz w:val="24"/>
          <w:szCs w:val="24"/>
        </w:rPr>
        <w:t>one occasioned by a defendant’s negligence</w:t>
      </w:r>
      <w:r w:rsidR="009E6E18">
        <w:rPr>
          <w:rFonts w:ascii="Times New Roman" w:hAnsi="Times New Roman" w:cs="Times New Roman"/>
          <w:sz w:val="24"/>
          <w:szCs w:val="24"/>
        </w:rPr>
        <w:t>)</w:t>
      </w:r>
      <w:r w:rsidR="00590766">
        <w:rPr>
          <w:rFonts w:ascii="Times New Roman" w:hAnsi="Times New Roman" w:cs="Times New Roman"/>
          <w:sz w:val="24"/>
          <w:szCs w:val="24"/>
        </w:rPr>
        <w:t xml:space="preserve"> </w:t>
      </w:r>
      <w:r w:rsidR="001C2078">
        <w:rPr>
          <w:rFonts w:ascii="Times New Roman" w:hAnsi="Times New Roman" w:cs="Times New Roman"/>
          <w:sz w:val="24"/>
          <w:szCs w:val="24"/>
        </w:rPr>
        <w:t>might</w:t>
      </w:r>
      <w:r w:rsidR="00F82AB1">
        <w:rPr>
          <w:rFonts w:ascii="Times New Roman" w:hAnsi="Times New Roman" w:cs="Times New Roman"/>
          <w:sz w:val="24"/>
          <w:szCs w:val="24"/>
        </w:rPr>
        <w:t xml:space="preserve"> also</w:t>
      </w:r>
      <w:r w:rsidR="001C2078">
        <w:rPr>
          <w:rFonts w:ascii="Times New Roman" w:hAnsi="Times New Roman" w:cs="Times New Roman"/>
          <w:sz w:val="24"/>
          <w:szCs w:val="24"/>
        </w:rPr>
        <w:t xml:space="preserve"> qualify for the CRPD’s protection.</w:t>
      </w:r>
      <w:r w:rsidR="00C70BA9">
        <w:rPr>
          <w:rFonts w:ascii="Times New Roman" w:hAnsi="Times New Roman" w:cs="Times New Roman"/>
          <w:sz w:val="24"/>
          <w:szCs w:val="24"/>
        </w:rPr>
        <w:t xml:space="preserve"> </w:t>
      </w:r>
      <w:r w:rsidR="00C14A5D">
        <w:rPr>
          <w:rFonts w:ascii="Times New Roman" w:hAnsi="Times New Roman" w:cs="Times New Roman"/>
          <w:sz w:val="24"/>
          <w:szCs w:val="24"/>
        </w:rPr>
        <w:t>Kayess and French</w:t>
      </w:r>
      <w:r w:rsidR="001B1E39">
        <w:rPr>
          <w:rFonts w:ascii="Times New Roman" w:hAnsi="Times New Roman" w:cs="Times New Roman"/>
          <w:sz w:val="24"/>
          <w:szCs w:val="24"/>
        </w:rPr>
        <w:t xml:space="preserve"> thought</w:t>
      </w:r>
      <w:r w:rsidR="00C14A5D">
        <w:rPr>
          <w:rFonts w:ascii="Times New Roman" w:hAnsi="Times New Roman" w:cs="Times New Roman"/>
          <w:sz w:val="24"/>
          <w:szCs w:val="24"/>
        </w:rPr>
        <w:t xml:space="preserve"> </w:t>
      </w:r>
      <w:r w:rsidR="001B1E39">
        <w:rPr>
          <w:rFonts w:ascii="Times New Roman" w:hAnsi="Times New Roman" w:cs="Times New Roman"/>
          <w:sz w:val="24"/>
          <w:szCs w:val="24"/>
        </w:rPr>
        <w:t>t</w:t>
      </w:r>
      <w:r w:rsidR="00C14A5D">
        <w:rPr>
          <w:rFonts w:ascii="Times New Roman" w:hAnsi="Times New Roman" w:cs="Times New Roman"/>
          <w:sz w:val="24"/>
          <w:szCs w:val="24"/>
        </w:rPr>
        <w:t>hat the temporal modifier ‘long-term’ expressly exclude</w:t>
      </w:r>
      <w:r w:rsidR="00120C7E">
        <w:rPr>
          <w:rFonts w:ascii="Times New Roman" w:hAnsi="Times New Roman" w:cs="Times New Roman"/>
          <w:sz w:val="24"/>
          <w:szCs w:val="24"/>
        </w:rPr>
        <w:t>d</w:t>
      </w:r>
      <w:r w:rsidR="00C14A5D">
        <w:rPr>
          <w:rFonts w:ascii="Times New Roman" w:hAnsi="Times New Roman" w:cs="Times New Roman"/>
          <w:sz w:val="24"/>
          <w:szCs w:val="24"/>
        </w:rPr>
        <w:t xml:space="preserve"> </w:t>
      </w:r>
      <w:r w:rsidR="000F6BFB">
        <w:rPr>
          <w:rFonts w:ascii="Times New Roman" w:hAnsi="Times New Roman" w:cs="Times New Roman"/>
          <w:sz w:val="24"/>
          <w:szCs w:val="24"/>
        </w:rPr>
        <w:t>impairments</w:t>
      </w:r>
      <w:r w:rsidR="00C14A5D">
        <w:rPr>
          <w:rFonts w:ascii="Times New Roman" w:hAnsi="Times New Roman" w:cs="Times New Roman"/>
          <w:sz w:val="24"/>
          <w:szCs w:val="24"/>
        </w:rPr>
        <w:t xml:space="preserve"> ‘arising from traumatic injuries and disease’.</w:t>
      </w:r>
      <w:r w:rsidR="00C14A5D">
        <w:rPr>
          <w:rStyle w:val="FootnoteReference"/>
          <w:rFonts w:cs="Times New Roman"/>
          <w:szCs w:val="24"/>
        </w:rPr>
        <w:footnoteReference w:id="62"/>
      </w:r>
      <w:r w:rsidR="00C14A5D">
        <w:rPr>
          <w:rFonts w:ascii="Times New Roman" w:hAnsi="Times New Roman" w:cs="Times New Roman"/>
          <w:sz w:val="24"/>
          <w:szCs w:val="24"/>
        </w:rPr>
        <w:t xml:space="preserve"> </w:t>
      </w:r>
      <w:r w:rsidR="00EE7805">
        <w:rPr>
          <w:rFonts w:ascii="Times New Roman" w:hAnsi="Times New Roman" w:cs="Times New Roman"/>
          <w:sz w:val="24"/>
          <w:szCs w:val="24"/>
        </w:rPr>
        <w:t xml:space="preserve">That </w:t>
      </w:r>
      <w:r w:rsidR="008D29CF">
        <w:rPr>
          <w:rFonts w:ascii="Times New Roman" w:hAnsi="Times New Roman" w:cs="Times New Roman"/>
          <w:sz w:val="24"/>
          <w:szCs w:val="24"/>
        </w:rPr>
        <w:t xml:space="preserve">might </w:t>
      </w:r>
      <w:r w:rsidR="00EE7805">
        <w:rPr>
          <w:rFonts w:ascii="Times New Roman" w:hAnsi="Times New Roman" w:cs="Times New Roman"/>
          <w:sz w:val="24"/>
          <w:szCs w:val="24"/>
        </w:rPr>
        <w:t>exclude the same</w:t>
      </w:r>
      <w:r w:rsidR="00C14A5D">
        <w:rPr>
          <w:rFonts w:ascii="Times New Roman" w:hAnsi="Times New Roman" w:cs="Times New Roman"/>
          <w:sz w:val="24"/>
          <w:szCs w:val="24"/>
        </w:rPr>
        <w:t xml:space="preserve"> psychiatric </w:t>
      </w:r>
      <w:r w:rsidR="00120C7E">
        <w:rPr>
          <w:rFonts w:ascii="Times New Roman" w:hAnsi="Times New Roman" w:cs="Times New Roman"/>
          <w:sz w:val="24"/>
          <w:szCs w:val="24"/>
        </w:rPr>
        <w:t>impairments</w:t>
      </w:r>
      <w:r w:rsidR="00C14A5D">
        <w:rPr>
          <w:rFonts w:ascii="Times New Roman" w:hAnsi="Times New Roman" w:cs="Times New Roman"/>
          <w:sz w:val="24"/>
          <w:szCs w:val="24"/>
        </w:rPr>
        <w:t xml:space="preserve"> </w:t>
      </w:r>
      <w:r w:rsidR="007562DC">
        <w:rPr>
          <w:rFonts w:ascii="Times New Roman" w:hAnsi="Times New Roman" w:cs="Times New Roman"/>
          <w:sz w:val="24"/>
          <w:szCs w:val="24"/>
        </w:rPr>
        <w:t>with</w:t>
      </w:r>
      <w:r w:rsidR="00EE7805">
        <w:rPr>
          <w:rFonts w:ascii="Times New Roman" w:hAnsi="Times New Roman" w:cs="Times New Roman"/>
          <w:sz w:val="24"/>
          <w:szCs w:val="24"/>
        </w:rPr>
        <w:t xml:space="preserve"> which the special rules </w:t>
      </w:r>
      <w:r w:rsidR="00D21FF2">
        <w:rPr>
          <w:rFonts w:ascii="Times New Roman" w:hAnsi="Times New Roman" w:cs="Times New Roman"/>
          <w:sz w:val="24"/>
          <w:szCs w:val="24"/>
        </w:rPr>
        <w:t xml:space="preserve">in tort law </w:t>
      </w:r>
      <w:r w:rsidR="007562DC">
        <w:rPr>
          <w:rFonts w:ascii="Times New Roman" w:hAnsi="Times New Roman" w:cs="Times New Roman"/>
          <w:sz w:val="24"/>
          <w:szCs w:val="24"/>
        </w:rPr>
        <w:t>are concerned</w:t>
      </w:r>
      <w:r w:rsidR="00C14A5D">
        <w:rPr>
          <w:rFonts w:ascii="Times New Roman" w:hAnsi="Times New Roman" w:cs="Times New Roman"/>
          <w:sz w:val="24"/>
          <w:szCs w:val="24"/>
        </w:rPr>
        <w:t>. Yet</w:t>
      </w:r>
      <w:r w:rsidR="00120C7E">
        <w:rPr>
          <w:rFonts w:ascii="Times New Roman" w:hAnsi="Times New Roman" w:cs="Times New Roman"/>
          <w:sz w:val="24"/>
          <w:szCs w:val="24"/>
        </w:rPr>
        <w:t xml:space="preserve"> Kayess and French</w:t>
      </w:r>
      <w:r w:rsidR="009E6E18">
        <w:rPr>
          <w:rFonts w:ascii="Times New Roman" w:hAnsi="Times New Roman" w:cs="Times New Roman"/>
          <w:sz w:val="24"/>
          <w:szCs w:val="24"/>
        </w:rPr>
        <w:t xml:space="preserve"> were not writing</w:t>
      </w:r>
      <w:r w:rsidR="00120C7E">
        <w:rPr>
          <w:rFonts w:ascii="Times New Roman" w:hAnsi="Times New Roman" w:cs="Times New Roman"/>
          <w:sz w:val="24"/>
          <w:szCs w:val="24"/>
        </w:rPr>
        <w:t xml:space="preserve"> with those rules in mind</w:t>
      </w:r>
      <w:r w:rsidR="00B716F5">
        <w:rPr>
          <w:rFonts w:ascii="Times New Roman" w:hAnsi="Times New Roman" w:cs="Times New Roman"/>
          <w:sz w:val="24"/>
          <w:szCs w:val="24"/>
        </w:rPr>
        <w:t xml:space="preserve"> and their distinction appears rather spurious: a</w:t>
      </w:r>
      <w:r w:rsidR="004A11AF">
        <w:rPr>
          <w:rFonts w:ascii="Times New Roman" w:hAnsi="Times New Roman" w:cs="Times New Roman"/>
          <w:sz w:val="24"/>
          <w:szCs w:val="24"/>
        </w:rPr>
        <w:t xml:space="preserve"> sudden</w:t>
      </w:r>
      <w:r w:rsidR="009E6E18">
        <w:rPr>
          <w:rFonts w:ascii="Times New Roman" w:hAnsi="Times New Roman" w:cs="Times New Roman"/>
          <w:sz w:val="24"/>
          <w:szCs w:val="24"/>
        </w:rPr>
        <w:t>,</w:t>
      </w:r>
      <w:r w:rsidR="004A11AF">
        <w:rPr>
          <w:rFonts w:ascii="Times New Roman" w:hAnsi="Times New Roman" w:cs="Times New Roman"/>
          <w:sz w:val="24"/>
          <w:szCs w:val="24"/>
        </w:rPr>
        <w:t xml:space="preserve"> shocking traumatic injury might nevertheless </w:t>
      </w:r>
      <w:r w:rsidR="00716CE6">
        <w:rPr>
          <w:rFonts w:ascii="Times New Roman" w:hAnsi="Times New Roman" w:cs="Times New Roman"/>
          <w:sz w:val="24"/>
          <w:szCs w:val="24"/>
        </w:rPr>
        <w:t>give rise to ‘long-term’ psychological consequences.</w:t>
      </w:r>
      <w:r w:rsidR="00B716F5">
        <w:rPr>
          <w:rFonts w:ascii="Times New Roman" w:hAnsi="Times New Roman" w:cs="Times New Roman"/>
          <w:sz w:val="24"/>
          <w:szCs w:val="24"/>
        </w:rPr>
        <w:t xml:space="preserve"> </w:t>
      </w:r>
      <w:r w:rsidR="005D1647">
        <w:rPr>
          <w:rFonts w:ascii="Times New Roman" w:hAnsi="Times New Roman" w:cs="Times New Roman"/>
          <w:sz w:val="24"/>
          <w:szCs w:val="24"/>
        </w:rPr>
        <w:t xml:space="preserve">It would conflict with the CRPD’s universalising spirit if the </w:t>
      </w:r>
      <w:r w:rsidR="005D1647">
        <w:rPr>
          <w:rFonts w:ascii="Times New Roman" w:hAnsi="Times New Roman" w:cs="Times New Roman"/>
          <w:i/>
          <w:sz w:val="24"/>
          <w:szCs w:val="24"/>
        </w:rPr>
        <w:lastRenderedPageBreak/>
        <w:t xml:space="preserve">mode </w:t>
      </w:r>
      <w:r w:rsidR="005D1647">
        <w:rPr>
          <w:rFonts w:ascii="Times New Roman" w:hAnsi="Times New Roman" w:cs="Times New Roman"/>
          <w:sz w:val="24"/>
          <w:szCs w:val="24"/>
        </w:rPr>
        <w:t xml:space="preserve">by which an impairment occurs </w:t>
      </w:r>
      <w:r w:rsidR="009E6E18">
        <w:rPr>
          <w:rFonts w:ascii="Times New Roman" w:hAnsi="Times New Roman" w:cs="Times New Roman"/>
          <w:sz w:val="24"/>
          <w:szCs w:val="24"/>
        </w:rPr>
        <w:t>were to make such a difference</w:t>
      </w:r>
      <w:r w:rsidR="005D1647">
        <w:rPr>
          <w:rFonts w:ascii="Times New Roman" w:hAnsi="Times New Roman" w:cs="Times New Roman"/>
          <w:sz w:val="24"/>
          <w:szCs w:val="24"/>
        </w:rPr>
        <w:t xml:space="preserve">. </w:t>
      </w:r>
      <w:r w:rsidR="00664B81">
        <w:rPr>
          <w:rFonts w:ascii="Times New Roman" w:hAnsi="Times New Roman" w:cs="Times New Roman"/>
          <w:sz w:val="24"/>
          <w:szCs w:val="24"/>
        </w:rPr>
        <w:t>Moreover,</w:t>
      </w:r>
      <w:r w:rsidR="00C14A5D">
        <w:rPr>
          <w:rFonts w:ascii="Times New Roman" w:hAnsi="Times New Roman" w:cs="Times New Roman"/>
          <w:sz w:val="24"/>
          <w:szCs w:val="24"/>
        </w:rPr>
        <w:t xml:space="preserve"> </w:t>
      </w:r>
      <w:r w:rsidR="00120C7E">
        <w:rPr>
          <w:rFonts w:ascii="Times New Roman" w:hAnsi="Times New Roman" w:cs="Times New Roman"/>
          <w:sz w:val="24"/>
          <w:szCs w:val="24"/>
        </w:rPr>
        <w:t xml:space="preserve">‘long-term’ in the text of Article 1 </w:t>
      </w:r>
      <w:r w:rsidR="00C14A5D">
        <w:rPr>
          <w:rFonts w:ascii="Times New Roman" w:hAnsi="Times New Roman" w:cs="Times New Roman"/>
          <w:sz w:val="24"/>
          <w:szCs w:val="24"/>
        </w:rPr>
        <w:t xml:space="preserve">could just as plausibly </w:t>
      </w:r>
      <w:r w:rsidR="00C14A5D" w:rsidRPr="009C7F68">
        <w:rPr>
          <w:rFonts w:ascii="Times New Roman" w:hAnsi="Times New Roman" w:cs="Times New Roman"/>
          <w:i/>
          <w:sz w:val="24"/>
          <w:szCs w:val="24"/>
        </w:rPr>
        <w:t>reinforce</w:t>
      </w:r>
      <w:r w:rsidR="00C14A5D">
        <w:rPr>
          <w:rFonts w:ascii="Times New Roman" w:hAnsi="Times New Roman" w:cs="Times New Roman"/>
          <w:sz w:val="24"/>
          <w:szCs w:val="24"/>
        </w:rPr>
        <w:t xml:space="preserve"> the CRPD’s relevance </w:t>
      </w:r>
      <w:r w:rsidR="00664B81">
        <w:rPr>
          <w:rFonts w:ascii="Times New Roman" w:hAnsi="Times New Roman" w:cs="Times New Roman"/>
          <w:sz w:val="24"/>
          <w:szCs w:val="24"/>
        </w:rPr>
        <w:t>in tort law</w:t>
      </w:r>
      <w:r w:rsidR="00C14A5D">
        <w:rPr>
          <w:rFonts w:ascii="Times New Roman" w:hAnsi="Times New Roman" w:cs="Times New Roman"/>
          <w:sz w:val="24"/>
          <w:szCs w:val="24"/>
        </w:rPr>
        <w:t xml:space="preserve">. </w:t>
      </w:r>
      <w:r w:rsidR="009E6E18">
        <w:rPr>
          <w:rFonts w:ascii="Times New Roman" w:hAnsi="Times New Roman" w:cs="Times New Roman"/>
          <w:sz w:val="24"/>
          <w:szCs w:val="24"/>
        </w:rPr>
        <w:t>I</w:t>
      </w:r>
      <w:r w:rsidR="00C14A5D">
        <w:rPr>
          <w:rFonts w:ascii="Times New Roman" w:hAnsi="Times New Roman" w:cs="Times New Roman"/>
          <w:sz w:val="24"/>
          <w:szCs w:val="24"/>
        </w:rPr>
        <w:t xml:space="preserve">n 1954, Goodhart </w:t>
      </w:r>
      <w:r w:rsidR="009E6E18">
        <w:rPr>
          <w:rFonts w:ascii="Times New Roman" w:hAnsi="Times New Roman" w:cs="Times New Roman"/>
          <w:sz w:val="24"/>
          <w:szCs w:val="24"/>
        </w:rPr>
        <w:t>argued</w:t>
      </w:r>
      <w:r w:rsidR="00C14A5D">
        <w:rPr>
          <w:rFonts w:ascii="Times New Roman" w:hAnsi="Times New Roman" w:cs="Times New Roman"/>
          <w:sz w:val="24"/>
          <w:szCs w:val="24"/>
        </w:rPr>
        <w:t xml:space="preserve"> that a mere ‘temporary upset’ would not be sufficient to constitute nervous shock; the damage </w:t>
      </w:r>
      <w:r w:rsidR="009E6E18">
        <w:rPr>
          <w:rFonts w:ascii="Times New Roman" w:hAnsi="Times New Roman" w:cs="Times New Roman"/>
          <w:sz w:val="24"/>
          <w:szCs w:val="24"/>
        </w:rPr>
        <w:t>must</w:t>
      </w:r>
      <w:r w:rsidR="00C14A5D">
        <w:rPr>
          <w:rFonts w:ascii="Times New Roman" w:hAnsi="Times New Roman" w:cs="Times New Roman"/>
          <w:sz w:val="24"/>
          <w:szCs w:val="24"/>
        </w:rPr>
        <w:t xml:space="preserve"> result in a ‘serious illness’.</w:t>
      </w:r>
      <w:bookmarkStart w:id="21" w:name="_Ref31291583"/>
      <w:r w:rsidR="00C14A5D">
        <w:rPr>
          <w:rStyle w:val="FootnoteReference"/>
          <w:rFonts w:cs="Times New Roman"/>
          <w:szCs w:val="24"/>
        </w:rPr>
        <w:footnoteReference w:id="63"/>
      </w:r>
      <w:bookmarkEnd w:id="21"/>
      <w:r w:rsidR="005D1647">
        <w:rPr>
          <w:rFonts w:ascii="Times New Roman" w:hAnsi="Times New Roman" w:cs="Times New Roman"/>
          <w:sz w:val="24"/>
          <w:szCs w:val="24"/>
        </w:rPr>
        <w:t xml:space="preserve"> On this view,</w:t>
      </w:r>
      <w:r w:rsidR="000F6BFB">
        <w:rPr>
          <w:rFonts w:ascii="Times New Roman" w:hAnsi="Times New Roman" w:cs="Times New Roman"/>
          <w:sz w:val="24"/>
          <w:szCs w:val="24"/>
        </w:rPr>
        <w:t xml:space="preserve"> psychiatric injuries that sound in damages are, by definition, </w:t>
      </w:r>
      <w:r w:rsidR="00C14A5D">
        <w:rPr>
          <w:rFonts w:ascii="Times New Roman" w:hAnsi="Times New Roman" w:cs="Times New Roman"/>
          <w:sz w:val="24"/>
          <w:szCs w:val="24"/>
        </w:rPr>
        <w:t>‘long-term’ impairment</w:t>
      </w:r>
      <w:r w:rsidR="000F6BFB">
        <w:rPr>
          <w:rFonts w:ascii="Times New Roman" w:hAnsi="Times New Roman" w:cs="Times New Roman"/>
          <w:sz w:val="24"/>
          <w:szCs w:val="24"/>
        </w:rPr>
        <w:t>s</w:t>
      </w:r>
      <w:r w:rsidR="00C14A5D">
        <w:rPr>
          <w:rFonts w:ascii="Times New Roman" w:hAnsi="Times New Roman" w:cs="Times New Roman"/>
          <w:sz w:val="24"/>
          <w:szCs w:val="24"/>
        </w:rPr>
        <w:t xml:space="preserve">. </w:t>
      </w:r>
      <w:r w:rsidR="00AF5D5F">
        <w:rPr>
          <w:rFonts w:ascii="Times New Roman" w:hAnsi="Times New Roman" w:cs="Times New Roman"/>
          <w:sz w:val="24"/>
          <w:szCs w:val="24"/>
        </w:rPr>
        <w:t>Even if this is unconvincing, the fact that the CRPD does not specify what will amount to a ‘long-term’ impairment</w:t>
      </w:r>
      <w:r w:rsidR="008A53AD">
        <w:rPr>
          <w:rFonts w:ascii="Times New Roman" w:hAnsi="Times New Roman" w:cs="Times New Roman"/>
          <w:sz w:val="24"/>
          <w:szCs w:val="24"/>
        </w:rPr>
        <w:t xml:space="preserve"> </w:t>
      </w:r>
      <w:r w:rsidR="00121F4E">
        <w:rPr>
          <w:rFonts w:ascii="Times New Roman" w:hAnsi="Times New Roman" w:cs="Times New Roman"/>
          <w:sz w:val="24"/>
          <w:szCs w:val="24"/>
        </w:rPr>
        <w:t xml:space="preserve">leaves </w:t>
      </w:r>
      <w:r w:rsidR="009E6E18">
        <w:rPr>
          <w:rFonts w:ascii="Times New Roman" w:hAnsi="Times New Roman" w:cs="Times New Roman"/>
          <w:sz w:val="24"/>
          <w:szCs w:val="24"/>
        </w:rPr>
        <w:t>much</w:t>
      </w:r>
      <w:r w:rsidR="00121F4E">
        <w:rPr>
          <w:rFonts w:ascii="Times New Roman" w:hAnsi="Times New Roman" w:cs="Times New Roman"/>
          <w:sz w:val="24"/>
          <w:szCs w:val="24"/>
        </w:rPr>
        <w:t xml:space="preserve"> open to interpretation</w:t>
      </w:r>
      <w:r w:rsidR="009969B5">
        <w:rPr>
          <w:rFonts w:ascii="Times New Roman" w:hAnsi="Times New Roman" w:cs="Times New Roman"/>
          <w:sz w:val="24"/>
          <w:szCs w:val="24"/>
        </w:rPr>
        <w:t xml:space="preserve">. </w:t>
      </w:r>
      <w:r w:rsidR="000F6BFB">
        <w:rPr>
          <w:rFonts w:ascii="Times New Roman" w:hAnsi="Times New Roman" w:cs="Times New Roman"/>
          <w:sz w:val="24"/>
          <w:szCs w:val="24"/>
        </w:rPr>
        <w:t>T</w:t>
      </w:r>
      <w:r w:rsidR="009969B5">
        <w:rPr>
          <w:rFonts w:ascii="Times New Roman" w:hAnsi="Times New Roman" w:cs="Times New Roman"/>
          <w:sz w:val="24"/>
          <w:szCs w:val="24"/>
        </w:rPr>
        <w:t>his</w:t>
      </w:r>
      <w:r w:rsidR="000F6BFB">
        <w:rPr>
          <w:rFonts w:ascii="Times New Roman" w:hAnsi="Times New Roman" w:cs="Times New Roman"/>
          <w:sz w:val="24"/>
          <w:szCs w:val="24"/>
        </w:rPr>
        <w:t xml:space="preserve"> is surely</w:t>
      </w:r>
      <w:r w:rsidR="004764E8">
        <w:rPr>
          <w:rFonts w:ascii="Times New Roman" w:hAnsi="Times New Roman" w:cs="Times New Roman"/>
          <w:sz w:val="24"/>
          <w:szCs w:val="24"/>
        </w:rPr>
        <w:t xml:space="preserve"> </w:t>
      </w:r>
      <w:r w:rsidR="008A53AD">
        <w:rPr>
          <w:rFonts w:ascii="Times New Roman" w:hAnsi="Times New Roman" w:cs="Times New Roman"/>
          <w:sz w:val="24"/>
          <w:szCs w:val="24"/>
        </w:rPr>
        <w:t xml:space="preserve">a </w:t>
      </w:r>
      <w:r w:rsidR="004764E8">
        <w:rPr>
          <w:rFonts w:ascii="Times New Roman" w:hAnsi="Times New Roman" w:cs="Times New Roman"/>
          <w:sz w:val="24"/>
          <w:szCs w:val="24"/>
        </w:rPr>
        <w:t>deliberate inclusionary tactic rather than a</w:t>
      </w:r>
      <w:r w:rsidR="00057F60">
        <w:rPr>
          <w:rFonts w:ascii="Times New Roman" w:hAnsi="Times New Roman" w:cs="Times New Roman"/>
          <w:sz w:val="24"/>
          <w:szCs w:val="24"/>
        </w:rPr>
        <w:t xml:space="preserve"> drafting oversight.</w:t>
      </w:r>
      <w:r w:rsidR="00630DAB">
        <w:rPr>
          <w:rFonts w:ascii="Times New Roman" w:hAnsi="Times New Roman" w:cs="Times New Roman"/>
          <w:sz w:val="24"/>
          <w:szCs w:val="24"/>
        </w:rPr>
        <w:t xml:space="preserve">  </w:t>
      </w:r>
      <w:r w:rsidR="001C2078">
        <w:rPr>
          <w:rFonts w:ascii="Times New Roman" w:hAnsi="Times New Roman" w:cs="Times New Roman"/>
          <w:sz w:val="24"/>
          <w:szCs w:val="24"/>
        </w:rPr>
        <w:t xml:space="preserve"> </w:t>
      </w:r>
      <w:r w:rsidR="002D1C19">
        <w:rPr>
          <w:rFonts w:ascii="Times New Roman" w:hAnsi="Times New Roman" w:cs="Times New Roman"/>
          <w:sz w:val="24"/>
          <w:szCs w:val="24"/>
        </w:rPr>
        <w:t xml:space="preserve">  </w:t>
      </w:r>
    </w:p>
    <w:p w14:paraId="1D88CFA2" w14:textId="582DE6D9" w:rsidR="009D2FDB" w:rsidRDefault="00FF1281"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It follows that</w:t>
      </w:r>
      <w:r w:rsidR="0099569E">
        <w:rPr>
          <w:rFonts w:ascii="Times New Roman" w:hAnsi="Times New Roman" w:cs="Times New Roman"/>
          <w:sz w:val="24"/>
          <w:szCs w:val="24"/>
        </w:rPr>
        <w:t xml:space="preserve"> there is nothing in Article 1 </w:t>
      </w:r>
      <w:r w:rsidR="00223579">
        <w:rPr>
          <w:rFonts w:ascii="Times New Roman" w:hAnsi="Times New Roman" w:cs="Times New Roman"/>
          <w:sz w:val="24"/>
          <w:szCs w:val="24"/>
        </w:rPr>
        <w:t>that</w:t>
      </w:r>
      <w:r w:rsidR="00820DA0">
        <w:rPr>
          <w:rFonts w:ascii="Times New Roman" w:hAnsi="Times New Roman" w:cs="Times New Roman"/>
          <w:sz w:val="24"/>
          <w:szCs w:val="24"/>
        </w:rPr>
        <w:t xml:space="preserve"> prevents us from concluding that psychiatric injuries</w:t>
      </w:r>
      <w:r w:rsidR="008505C1">
        <w:rPr>
          <w:rFonts w:ascii="Times New Roman" w:hAnsi="Times New Roman" w:cs="Times New Roman"/>
          <w:sz w:val="24"/>
          <w:szCs w:val="24"/>
        </w:rPr>
        <w:t xml:space="preserve"> </w:t>
      </w:r>
      <w:r w:rsidR="00241749">
        <w:rPr>
          <w:rFonts w:ascii="Times New Roman" w:hAnsi="Times New Roman" w:cs="Times New Roman"/>
          <w:sz w:val="24"/>
          <w:szCs w:val="24"/>
        </w:rPr>
        <w:t>for which a court might award damages can</w:t>
      </w:r>
      <w:r w:rsidR="00177CC9">
        <w:rPr>
          <w:rFonts w:ascii="Times New Roman" w:hAnsi="Times New Roman" w:cs="Times New Roman"/>
          <w:sz w:val="24"/>
          <w:szCs w:val="24"/>
        </w:rPr>
        <w:t xml:space="preserve"> constitute </w:t>
      </w:r>
      <w:r w:rsidR="00AA1B40">
        <w:rPr>
          <w:rFonts w:ascii="Times New Roman" w:hAnsi="Times New Roman" w:cs="Times New Roman"/>
          <w:sz w:val="24"/>
          <w:szCs w:val="24"/>
        </w:rPr>
        <w:t xml:space="preserve">impairments </w:t>
      </w:r>
      <w:r w:rsidR="00A6306B">
        <w:rPr>
          <w:rFonts w:ascii="Times New Roman" w:hAnsi="Times New Roman" w:cs="Times New Roman"/>
          <w:sz w:val="24"/>
          <w:szCs w:val="24"/>
        </w:rPr>
        <w:t xml:space="preserve">within the </w:t>
      </w:r>
      <w:r w:rsidR="0032569D">
        <w:rPr>
          <w:rFonts w:ascii="Times New Roman" w:hAnsi="Times New Roman" w:cs="Times New Roman"/>
          <w:sz w:val="24"/>
          <w:szCs w:val="24"/>
        </w:rPr>
        <w:t xml:space="preserve">meaning </w:t>
      </w:r>
      <w:r w:rsidR="00A6306B">
        <w:rPr>
          <w:rFonts w:ascii="Times New Roman" w:hAnsi="Times New Roman" w:cs="Times New Roman"/>
          <w:sz w:val="24"/>
          <w:szCs w:val="24"/>
        </w:rPr>
        <w:t xml:space="preserve">of the </w:t>
      </w:r>
      <w:r w:rsidR="000A3607">
        <w:rPr>
          <w:rFonts w:ascii="Times New Roman" w:hAnsi="Times New Roman" w:cs="Times New Roman"/>
          <w:sz w:val="24"/>
          <w:szCs w:val="24"/>
        </w:rPr>
        <w:t>CRPD</w:t>
      </w:r>
      <w:r w:rsidR="0098613D">
        <w:rPr>
          <w:rFonts w:ascii="Times New Roman" w:hAnsi="Times New Roman" w:cs="Times New Roman"/>
          <w:sz w:val="24"/>
          <w:szCs w:val="24"/>
        </w:rPr>
        <w:t>.</w:t>
      </w:r>
    </w:p>
    <w:p w14:paraId="487E28C1" w14:textId="008DE321" w:rsidR="00597E04" w:rsidRPr="00080526" w:rsidRDefault="009D2FDB" w:rsidP="00080526">
      <w:pPr>
        <w:pStyle w:val="ListParagraph"/>
        <w:numPr>
          <w:ilvl w:val="0"/>
          <w:numId w:val="38"/>
        </w:numPr>
        <w:tabs>
          <w:tab w:val="left" w:pos="7864"/>
          <w:tab w:val="right" w:pos="9026"/>
        </w:tabs>
        <w:rPr>
          <w:rFonts w:ascii="Times New Roman" w:hAnsi="Times New Roman" w:cs="Times New Roman"/>
          <w:sz w:val="24"/>
          <w:szCs w:val="24"/>
        </w:rPr>
      </w:pPr>
      <w:r w:rsidRPr="00080526">
        <w:rPr>
          <w:rFonts w:ascii="Times New Roman" w:hAnsi="Times New Roman" w:cs="Times New Roman"/>
          <w:sz w:val="24"/>
          <w:szCs w:val="24"/>
        </w:rPr>
        <w:t>Article 4: General obligations</w:t>
      </w:r>
    </w:p>
    <w:p w14:paraId="67263D8F" w14:textId="77777777" w:rsidR="007A0B8E" w:rsidRDefault="007A0B8E" w:rsidP="00C84449">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The text of Article 4(1) says:</w:t>
      </w:r>
    </w:p>
    <w:p w14:paraId="4292D443" w14:textId="28D86DC9" w:rsidR="00764F87" w:rsidRPr="00907BA3" w:rsidRDefault="007A0B8E" w:rsidP="00E47BCB">
      <w:pPr>
        <w:tabs>
          <w:tab w:val="left" w:pos="7864"/>
          <w:tab w:val="right" w:pos="9026"/>
        </w:tabs>
        <w:ind w:left="1134" w:right="1134" w:firstLine="0"/>
        <w:rPr>
          <w:rFonts w:ascii="Times New Roman" w:hAnsi="Times New Roman" w:cs="Times New Roman"/>
          <w:i/>
          <w:sz w:val="24"/>
          <w:szCs w:val="24"/>
        </w:rPr>
      </w:pPr>
      <w:r>
        <w:rPr>
          <w:rFonts w:ascii="Times New Roman" w:hAnsi="Times New Roman" w:cs="Times New Roman"/>
          <w:i/>
          <w:sz w:val="24"/>
          <w:szCs w:val="24"/>
        </w:rPr>
        <w:t>States Parties undertake to ensure and promote the full realisation of all human rights and fundamental freedoms for all persons with disabilities without discrimination of any kind on the basis of disability.</w:t>
      </w:r>
      <w:r w:rsidR="00C37929">
        <w:rPr>
          <w:rStyle w:val="FootnoteReference"/>
          <w:rFonts w:cs="Times New Roman"/>
          <w:szCs w:val="24"/>
        </w:rPr>
        <w:footnoteReference w:id="64"/>
      </w:r>
    </w:p>
    <w:p w14:paraId="5D137EB0" w14:textId="3638B4E2" w:rsidR="005A54EE" w:rsidRDefault="00401F5D" w:rsidP="0038566E">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Article 4(1)</w:t>
      </w:r>
      <w:r w:rsidR="00FF1281">
        <w:rPr>
          <w:rFonts w:ascii="Times New Roman" w:hAnsi="Times New Roman" w:cs="Times New Roman"/>
          <w:sz w:val="24"/>
          <w:szCs w:val="24"/>
        </w:rPr>
        <w:t>(b)</w:t>
      </w:r>
      <w:r>
        <w:rPr>
          <w:rFonts w:ascii="Times New Roman" w:hAnsi="Times New Roman" w:cs="Times New Roman"/>
          <w:sz w:val="24"/>
          <w:szCs w:val="24"/>
        </w:rPr>
        <w:t xml:space="preserve"> places </w:t>
      </w:r>
      <w:r w:rsidR="00FF1281">
        <w:rPr>
          <w:rFonts w:ascii="Times New Roman" w:hAnsi="Times New Roman" w:cs="Times New Roman"/>
          <w:sz w:val="24"/>
          <w:szCs w:val="24"/>
        </w:rPr>
        <w:t>a</w:t>
      </w:r>
      <w:r>
        <w:rPr>
          <w:rFonts w:ascii="Times New Roman" w:hAnsi="Times New Roman" w:cs="Times New Roman"/>
          <w:sz w:val="24"/>
          <w:szCs w:val="24"/>
        </w:rPr>
        <w:t xml:space="preserve">n obligation </w:t>
      </w:r>
      <w:r w:rsidR="00FB0522">
        <w:rPr>
          <w:rFonts w:ascii="Times New Roman" w:hAnsi="Times New Roman" w:cs="Times New Roman"/>
          <w:sz w:val="24"/>
          <w:szCs w:val="24"/>
        </w:rPr>
        <w:t>on States Parties</w:t>
      </w:r>
      <w:r>
        <w:rPr>
          <w:rFonts w:ascii="Times New Roman" w:hAnsi="Times New Roman" w:cs="Times New Roman"/>
          <w:sz w:val="24"/>
          <w:szCs w:val="24"/>
        </w:rPr>
        <w:t xml:space="preserve"> </w:t>
      </w:r>
      <w:r w:rsidR="009F2F60">
        <w:rPr>
          <w:rFonts w:ascii="Times New Roman" w:hAnsi="Times New Roman" w:cs="Times New Roman"/>
          <w:sz w:val="24"/>
          <w:szCs w:val="24"/>
        </w:rPr>
        <w:t xml:space="preserve">to </w:t>
      </w:r>
      <w:r w:rsidR="00E20C28">
        <w:rPr>
          <w:rFonts w:ascii="Times New Roman" w:hAnsi="Times New Roman" w:cs="Times New Roman"/>
          <w:sz w:val="24"/>
          <w:szCs w:val="24"/>
        </w:rPr>
        <w:t>modify or abolish</w:t>
      </w:r>
      <w:r w:rsidR="009F2F60">
        <w:rPr>
          <w:rFonts w:ascii="Times New Roman" w:hAnsi="Times New Roman" w:cs="Times New Roman"/>
          <w:sz w:val="24"/>
          <w:szCs w:val="24"/>
        </w:rPr>
        <w:t xml:space="preserve"> </w:t>
      </w:r>
      <w:r w:rsidR="00FB0522">
        <w:rPr>
          <w:rFonts w:ascii="Times New Roman" w:hAnsi="Times New Roman" w:cs="Times New Roman"/>
          <w:sz w:val="24"/>
          <w:szCs w:val="24"/>
        </w:rPr>
        <w:t xml:space="preserve">domestic </w:t>
      </w:r>
      <w:r w:rsidR="00923A80">
        <w:rPr>
          <w:rFonts w:ascii="Times New Roman" w:hAnsi="Times New Roman" w:cs="Times New Roman"/>
          <w:sz w:val="24"/>
          <w:szCs w:val="24"/>
        </w:rPr>
        <w:t>laws</w:t>
      </w:r>
      <w:r w:rsidR="008F409C">
        <w:rPr>
          <w:rFonts w:ascii="Times New Roman" w:hAnsi="Times New Roman" w:cs="Times New Roman"/>
          <w:sz w:val="24"/>
          <w:szCs w:val="24"/>
        </w:rPr>
        <w:t xml:space="preserve"> </w:t>
      </w:r>
      <w:r w:rsidR="004B30F2">
        <w:rPr>
          <w:rFonts w:ascii="Times New Roman" w:hAnsi="Times New Roman" w:cs="Times New Roman"/>
          <w:sz w:val="24"/>
          <w:szCs w:val="24"/>
        </w:rPr>
        <w:t xml:space="preserve">which ‘constitute discrimination against persons with </w:t>
      </w:r>
      <w:r w:rsidR="00BE1B9C">
        <w:rPr>
          <w:rFonts w:ascii="Times New Roman" w:hAnsi="Times New Roman" w:cs="Times New Roman"/>
          <w:sz w:val="24"/>
          <w:szCs w:val="24"/>
        </w:rPr>
        <w:t>disabilities’</w:t>
      </w:r>
      <w:r w:rsidR="004B30F2">
        <w:rPr>
          <w:rFonts w:ascii="Times New Roman" w:hAnsi="Times New Roman" w:cs="Times New Roman"/>
          <w:sz w:val="24"/>
          <w:szCs w:val="24"/>
        </w:rPr>
        <w:t xml:space="preserve">. </w:t>
      </w:r>
      <w:r w:rsidR="00160000">
        <w:rPr>
          <w:rFonts w:ascii="Times New Roman" w:hAnsi="Times New Roman" w:cs="Times New Roman"/>
          <w:sz w:val="24"/>
          <w:szCs w:val="24"/>
        </w:rPr>
        <w:t>That means</w:t>
      </w:r>
      <w:r w:rsidR="00974803">
        <w:rPr>
          <w:rFonts w:ascii="Times New Roman" w:hAnsi="Times New Roman" w:cs="Times New Roman"/>
          <w:sz w:val="24"/>
          <w:szCs w:val="24"/>
        </w:rPr>
        <w:t xml:space="preserve"> that a State Party must amend or repeal</w:t>
      </w:r>
      <w:r w:rsidR="00160000">
        <w:rPr>
          <w:rFonts w:ascii="Times New Roman" w:hAnsi="Times New Roman" w:cs="Times New Roman"/>
          <w:sz w:val="24"/>
          <w:szCs w:val="24"/>
        </w:rPr>
        <w:t xml:space="preserve"> </w:t>
      </w:r>
      <w:r w:rsidR="00160000" w:rsidRPr="00BE1B9C">
        <w:rPr>
          <w:rFonts w:ascii="Times New Roman" w:hAnsi="Times New Roman" w:cs="Times New Roman"/>
          <w:i/>
          <w:iCs/>
          <w:sz w:val="24"/>
          <w:szCs w:val="24"/>
        </w:rPr>
        <w:t>any</w:t>
      </w:r>
      <w:r w:rsidR="00160000">
        <w:rPr>
          <w:rFonts w:ascii="Times New Roman" w:hAnsi="Times New Roman" w:cs="Times New Roman"/>
          <w:sz w:val="24"/>
          <w:szCs w:val="24"/>
        </w:rPr>
        <w:t xml:space="preserve"> laws</w:t>
      </w:r>
      <w:r w:rsidR="008A53AD">
        <w:rPr>
          <w:rFonts w:ascii="Times New Roman" w:hAnsi="Times New Roman" w:cs="Times New Roman"/>
          <w:sz w:val="24"/>
          <w:szCs w:val="24"/>
        </w:rPr>
        <w:t xml:space="preserve"> – presumably including</w:t>
      </w:r>
      <w:r w:rsidR="00EA493A">
        <w:rPr>
          <w:rFonts w:ascii="Times New Roman" w:hAnsi="Times New Roman" w:cs="Times New Roman"/>
          <w:sz w:val="24"/>
          <w:szCs w:val="24"/>
        </w:rPr>
        <w:t xml:space="preserve"> the</w:t>
      </w:r>
      <w:r w:rsidR="008A53AD">
        <w:rPr>
          <w:rFonts w:ascii="Times New Roman" w:hAnsi="Times New Roman" w:cs="Times New Roman"/>
          <w:sz w:val="24"/>
          <w:szCs w:val="24"/>
        </w:rPr>
        <w:t xml:space="preserve"> laws of tort –</w:t>
      </w:r>
      <w:r w:rsidR="00160000">
        <w:rPr>
          <w:rFonts w:ascii="Times New Roman" w:hAnsi="Times New Roman" w:cs="Times New Roman"/>
          <w:sz w:val="24"/>
          <w:szCs w:val="24"/>
        </w:rPr>
        <w:t xml:space="preserve"> </w:t>
      </w:r>
      <w:r w:rsidR="008A53AD">
        <w:rPr>
          <w:rFonts w:ascii="Times New Roman" w:hAnsi="Times New Roman" w:cs="Times New Roman"/>
          <w:sz w:val="24"/>
          <w:szCs w:val="24"/>
        </w:rPr>
        <w:t xml:space="preserve">whose </w:t>
      </w:r>
      <w:r w:rsidR="00160000">
        <w:rPr>
          <w:rFonts w:ascii="Times New Roman" w:hAnsi="Times New Roman" w:cs="Times New Roman"/>
          <w:sz w:val="24"/>
          <w:szCs w:val="24"/>
        </w:rPr>
        <w:t xml:space="preserve">effect is to impair or nullify ‘the recognition, enjoyment or exercise, on an equal basis with others, of all human </w:t>
      </w:r>
      <w:r w:rsidR="00160000">
        <w:rPr>
          <w:rFonts w:ascii="Times New Roman" w:hAnsi="Times New Roman" w:cs="Times New Roman"/>
          <w:sz w:val="24"/>
          <w:szCs w:val="24"/>
        </w:rPr>
        <w:lastRenderedPageBreak/>
        <w:t>rights and fundamental freedoms in the political, economic, social, cultural, civil or any other field’</w:t>
      </w:r>
      <w:r w:rsidR="00974803">
        <w:rPr>
          <w:rFonts w:ascii="Times New Roman" w:hAnsi="Times New Roman" w:cs="Times New Roman"/>
          <w:sz w:val="24"/>
          <w:szCs w:val="24"/>
        </w:rPr>
        <w:t>.</w:t>
      </w:r>
      <w:r w:rsidR="003E0A40">
        <w:rPr>
          <w:rStyle w:val="FootnoteReference"/>
          <w:rFonts w:cs="Times New Roman"/>
          <w:szCs w:val="24"/>
        </w:rPr>
        <w:footnoteReference w:id="65"/>
      </w:r>
      <w:r w:rsidR="001176C5">
        <w:rPr>
          <w:rFonts w:ascii="Times New Roman" w:hAnsi="Times New Roman" w:cs="Times New Roman"/>
          <w:sz w:val="24"/>
          <w:szCs w:val="24"/>
        </w:rPr>
        <w:t xml:space="preserve"> We will see shortly that the special rules have just </w:t>
      </w:r>
      <w:r w:rsidR="009713AA">
        <w:rPr>
          <w:rFonts w:ascii="Times New Roman" w:hAnsi="Times New Roman" w:cs="Times New Roman"/>
          <w:sz w:val="24"/>
          <w:szCs w:val="24"/>
        </w:rPr>
        <w:t>that</w:t>
      </w:r>
      <w:r w:rsidR="001176C5">
        <w:rPr>
          <w:rFonts w:ascii="Times New Roman" w:hAnsi="Times New Roman" w:cs="Times New Roman"/>
          <w:sz w:val="24"/>
          <w:szCs w:val="24"/>
        </w:rPr>
        <w:t xml:space="preserve"> effect.</w:t>
      </w:r>
    </w:p>
    <w:p w14:paraId="3CFA736D" w14:textId="7E0392E7" w:rsidR="00B604B8" w:rsidRPr="00DA7FDB" w:rsidRDefault="00B604B8" w:rsidP="00080526">
      <w:pPr>
        <w:pStyle w:val="ListParagraph"/>
        <w:numPr>
          <w:ilvl w:val="0"/>
          <w:numId w:val="38"/>
        </w:numPr>
        <w:tabs>
          <w:tab w:val="left" w:pos="7864"/>
          <w:tab w:val="right" w:pos="9026"/>
        </w:tabs>
        <w:rPr>
          <w:rFonts w:ascii="Times New Roman" w:hAnsi="Times New Roman" w:cs="Times New Roman"/>
          <w:sz w:val="24"/>
          <w:szCs w:val="24"/>
        </w:rPr>
      </w:pPr>
      <w:r w:rsidRPr="00DA7FDB">
        <w:rPr>
          <w:rFonts w:ascii="Times New Roman" w:hAnsi="Times New Roman" w:cs="Times New Roman"/>
          <w:sz w:val="24"/>
          <w:szCs w:val="24"/>
        </w:rPr>
        <w:t xml:space="preserve">Article 13: </w:t>
      </w:r>
      <w:r w:rsidR="00180064" w:rsidRPr="00DA7FDB">
        <w:rPr>
          <w:rFonts w:ascii="Times New Roman" w:hAnsi="Times New Roman" w:cs="Times New Roman"/>
          <w:sz w:val="24"/>
          <w:szCs w:val="24"/>
        </w:rPr>
        <w:t>Access to justice</w:t>
      </w:r>
    </w:p>
    <w:p w14:paraId="3D5B9CC3" w14:textId="39F55DDA" w:rsidR="00180064" w:rsidRDefault="00060EA6" w:rsidP="00C84449">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 xml:space="preserve">Article 13(1) says that </w:t>
      </w:r>
      <w:r w:rsidRPr="006D21D1">
        <w:rPr>
          <w:rFonts w:ascii="Times New Roman" w:hAnsi="Times New Roman" w:cs="Times New Roman"/>
          <w:i/>
          <w:sz w:val="24"/>
          <w:szCs w:val="24"/>
        </w:rPr>
        <w:t>‘States Parties shall ensure effective access to justice for persons with disabilities on an equal basis with others…’</w:t>
      </w:r>
      <w:r w:rsidR="00564D44">
        <w:rPr>
          <w:rFonts w:ascii="Times New Roman" w:hAnsi="Times New Roman" w:cs="Times New Roman"/>
          <w:sz w:val="24"/>
          <w:szCs w:val="24"/>
        </w:rPr>
        <w:t xml:space="preserve"> </w:t>
      </w:r>
      <w:r w:rsidR="000F1CB8">
        <w:rPr>
          <w:rFonts w:ascii="Times New Roman" w:hAnsi="Times New Roman" w:cs="Times New Roman"/>
          <w:sz w:val="24"/>
          <w:szCs w:val="24"/>
        </w:rPr>
        <w:t>A</w:t>
      </w:r>
      <w:r w:rsidR="003C3CBA">
        <w:rPr>
          <w:rFonts w:ascii="Times New Roman" w:hAnsi="Times New Roman" w:cs="Times New Roman"/>
          <w:sz w:val="24"/>
          <w:szCs w:val="24"/>
        </w:rPr>
        <w:t>ny</w:t>
      </w:r>
      <w:r w:rsidR="002E7D83">
        <w:rPr>
          <w:rFonts w:ascii="Times New Roman" w:hAnsi="Times New Roman" w:cs="Times New Roman"/>
          <w:sz w:val="24"/>
          <w:szCs w:val="24"/>
        </w:rPr>
        <w:t>thing which</w:t>
      </w:r>
      <w:r w:rsidR="001A3B42">
        <w:rPr>
          <w:rFonts w:ascii="Times New Roman" w:hAnsi="Times New Roman" w:cs="Times New Roman"/>
          <w:sz w:val="24"/>
          <w:szCs w:val="24"/>
        </w:rPr>
        <w:t xml:space="preserve"> might</w:t>
      </w:r>
      <w:r w:rsidR="00FB32B5">
        <w:rPr>
          <w:rFonts w:ascii="Times New Roman" w:hAnsi="Times New Roman" w:cs="Times New Roman"/>
          <w:sz w:val="24"/>
          <w:szCs w:val="24"/>
        </w:rPr>
        <w:t xml:space="preserve"> obstruct access to justic</w:t>
      </w:r>
      <w:r w:rsidR="00292493">
        <w:rPr>
          <w:rFonts w:ascii="Times New Roman" w:hAnsi="Times New Roman" w:cs="Times New Roman"/>
          <w:sz w:val="24"/>
          <w:szCs w:val="24"/>
        </w:rPr>
        <w:t>e</w:t>
      </w:r>
      <w:r w:rsidR="00ED5EDF">
        <w:rPr>
          <w:rFonts w:ascii="Times New Roman" w:hAnsi="Times New Roman" w:cs="Times New Roman"/>
          <w:sz w:val="24"/>
          <w:szCs w:val="24"/>
        </w:rPr>
        <w:t xml:space="preserve"> –</w:t>
      </w:r>
      <w:r w:rsidR="009713AA">
        <w:rPr>
          <w:rFonts w:ascii="Times New Roman" w:hAnsi="Times New Roman" w:cs="Times New Roman"/>
          <w:sz w:val="24"/>
          <w:szCs w:val="24"/>
        </w:rPr>
        <w:t xml:space="preserve"> such as a denial of a duty of care in negligence</w:t>
      </w:r>
      <w:r w:rsidR="00ED5EDF">
        <w:rPr>
          <w:rFonts w:ascii="Times New Roman" w:hAnsi="Times New Roman" w:cs="Times New Roman"/>
          <w:sz w:val="24"/>
          <w:szCs w:val="24"/>
        </w:rPr>
        <w:t xml:space="preserve"> –</w:t>
      </w:r>
      <w:r w:rsidR="00292493">
        <w:rPr>
          <w:rFonts w:ascii="Times New Roman" w:hAnsi="Times New Roman" w:cs="Times New Roman"/>
          <w:sz w:val="24"/>
          <w:szCs w:val="24"/>
        </w:rPr>
        <w:t xml:space="preserve"> specifically on the basis of the</w:t>
      </w:r>
      <w:r w:rsidR="00FB32B5">
        <w:rPr>
          <w:rFonts w:ascii="Times New Roman" w:hAnsi="Times New Roman" w:cs="Times New Roman"/>
          <w:sz w:val="24"/>
          <w:szCs w:val="24"/>
        </w:rPr>
        <w:t xml:space="preserve"> person’s disabilities</w:t>
      </w:r>
      <w:r w:rsidR="00ED5EDF">
        <w:rPr>
          <w:rFonts w:ascii="Times New Roman" w:hAnsi="Times New Roman" w:cs="Times New Roman"/>
          <w:sz w:val="24"/>
          <w:szCs w:val="24"/>
        </w:rPr>
        <w:t>,</w:t>
      </w:r>
      <w:r w:rsidR="009713AA">
        <w:rPr>
          <w:rFonts w:ascii="Times New Roman" w:hAnsi="Times New Roman" w:cs="Times New Roman"/>
          <w:sz w:val="24"/>
          <w:szCs w:val="24"/>
        </w:rPr>
        <w:t xml:space="preserve"> </w:t>
      </w:r>
      <w:r w:rsidR="00292493">
        <w:rPr>
          <w:rFonts w:ascii="Times New Roman" w:hAnsi="Times New Roman" w:cs="Times New Roman"/>
          <w:sz w:val="24"/>
          <w:szCs w:val="24"/>
        </w:rPr>
        <w:t>will</w:t>
      </w:r>
      <w:r w:rsidR="000F1CB8">
        <w:rPr>
          <w:rFonts w:ascii="Times New Roman" w:hAnsi="Times New Roman" w:cs="Times New Roman"/>
          <w:sz w:val="24"/>
          <w:szCs w:val="24"/>
        </w:rPr>
        <w:t xml:space="preserve"> therefore</w:t>
      </w:r>
      <w:r w:rsidR="00292493">
        <w:rPr>
          <w:rFonts w:ascii="Times New Roman" w:hAnsi="Times New Roman" w:cs="Times New Roman"/>
          <w:sz w:val="24"/>
          <w:szCs w:val="24"/>
        </w:rPr>
        <w:t xml:space="preserve"> violate the </w:t>
      </w:r>
      <w:r w:rsidR="00281955">
        <w:rPr>
          <w:rFonts w:ascii="Times New Roman" w:hAnsi="Times New Roman" w:cs="Times New Roman"/>
          <w:sz w:val="24"/>
          <w:szCs w:val="24"/>
        </w:rPr>
        <w:t>CRPD.</w:t>
      </w:r>
    </w:p>
    <w:p w14:paraId="3FE9D183" w14:textId="0AA3F572" w:rsidR="00E6238C" w:rsidRPr="004A3E05" w:rsidRDefault="00E6238C" w:rsidP="00080526">
      <w:pPr>
        <w:pStyle w:val="ListParagraph"/>
        <w:numPr>
          <w:ilvl w:val="0"/>
          <w:numId w:val="38"/>
        </w:numPr>
        <w:tabs>
          <w:tab w:val="left" w:pos="7864"/>
          <w:tab w:val="right" w:pos="9026"/>
        </w:tabs>
        <w:rPr>
          <w:rFonts w:ascii="Times New Roman" w:hAnsi="Times New Roman" w:cs="Times New Roman"/>
          <w:sz w:val="24"/>
          <w:szCs w:val="24"/>
        </w:rPr>
      </w:pPr>
      <w:r w:rsidRPr="004A3E05">
        <w:rPr>
          <w:rFonts w:ascii="Times New Roman" w:hAnsi="Times New Roman" w:cs="Times New Roman"/>
          <w:sz w:val="24"/>
          <w:szCs w:val="24"/>
        </w:rPr>
        <w:t>Article 17: Right to integrity</w:t>
      </w:r>
    </w:p>
    <w:p w14:paraId="53215BF1" w14:textId="7E737B7A" w:rsidR="00153E77" w:rsidRDefault="00762FB0" w:rsidP="00C84449">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 xml:space="preserve">Article 17 </w:t>
      </w:r>
      <w:r w:rsidR="0085525B">
        <w:rPr>
          <w:rFonts w:ascii="Times New Roman" w:hAnsi="Times New Roman" w:cs="Times New Roman"/>
          <w:sz w:val="24"/>
          <w:szCs w:val="24"/>
        </w:rPr>
        <w:t>states:</w:t>
      </w:r>
    </w:p>
    <w:p w14:paraId="5562AA3D" w14:textId="5A279D76" w:rsidR="0085525B" w:rsidRPr="0085525B" w:rsidRDefault="0085525B" w:rsidP="00C84449">
      <w:pPr>
        <w:tabs>
          <w:tab w:val="left" w:pos="7864"/>
          <w:tab w:val="right" w:pos="9026"/>
        </w:tabs>
        <w:ind w:left="1134" w:right="1134" w:firstLine="0"/>
        <w:rPr>
          <w:rFonts w:ascii="Times New Roman" w:hAnsi="Times New Roman" w:cs="Times New Roman"/>
          <w:sz w:val="24"/>
          <w:szCs w:val="24"/>
        </w:rPr>
      </w:pPr>
      <w:r>
        <w:rPr>
          <w:rFonts w:ascii="Times New Roman" w:hAnsi="Times New Roman" w:cs="Times New Roman"/>
          <w:i/>
          <w:sz w:val="24"/>
          <w:szCs w:val="24"/>
        </w:rPr>
        <w:t>Every person with disabilities has a right to respect for his or her physical and mental integrity on an equal basis with others</w:t>
      </w:r>
      <w:r>
        <w:rPr>
          <w:rFonts w:ascii="Times New Roman" w:hAnsi="Times New Roman" w:cs="Times New Roman"/>
          <w:sz w:val="24"/>
          <w:szCs w:val="24"/>
        </w:rPr>
        <w:t>.</w:t>
      </w:r>
      <w:r w:rsidR="00D5428D">
        <w:rPr>
          <w:rStyle w:val="FootnoteReference"/>
          <w:rFonts w:cs="Times New Roman"/>
          <w:szCs w:val="24"/>
        </w:rPr>
        <w:footnoteReference w:id="66"/>
      </w:r>
    </w:p>
    <w:p w14:paraId="56AC471F" w14:textId="1209895D" w:rsidR="00460577" w:rsidRDefault="005302F5" w:rsidP="00435083">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 xml:space="preserve">Article 17 </w:t>
      </w:r>
      <w:r w:rsidR="00BC2EFB">
        <w:rPr>
          <w:rFonts w:ascii="Times New Roman" w:hAnsi="Times New Roman" w:cs="Times New Roman"/>
          <w:sz w:val="24"/>
          <w:szCs w:val="24"/>
        </w:rPr>
        <w:t>was perhaps ‘the most contentious’ provision</w:t>
      </w:r>
      <w:r w:rsidR="001E3484">
        <w:rPr>
          <w:rFonts w:ascii="Times New Roman" w:hAnsi="Times New Roman" w:cs="Times New Roman"/>
          <w:sz w:val="24"/>
          <w:szCs w:val="24"/>
        </w:rPr>
        <w:t>.</w:t>
      </w:r>
      <w:r w:rsidR="00BC2EFB">
        <w:rPr>
          <w:rStyle w:val="FootnoteReference"/>
          <w:rFonts w:cs="Times New Roman"/>
          <w:szCs w:val="24"/>
        </w:rPr>
        <w:footnoteReference w:id="67"/>
      </w:r>
      <w:r w:rsidR="001E3484">
        <w:rPr>
          <w:rFonts w:ascii="Times New Roman" w:hAnsi="Times New Roman" w:cs="Times New Roman"/>
          <w:sz w:val="24"/>
          <w:szCs w:val="24"/>
        </w:rPr>
        <w:t xml:space="preserve"> </w:t>
      </w:r>
      <w:r w:rsidR="00782704">
        <w:rPr>
          <w:rFonts w:ascii="Times New Roman" w:hAnsi="Times New Roman" w:cs="Times New Roman"/>
          <w:sz w:val="24"/>
          <w:szCs w:val="24"/>
        </w:rPr>
        <w:t>Originally</w:t>
      </w:r>
      <w:r w:rsidR="001E3484">
        <w:rPr>
          <w:rFonts w:ascii="Times New Roman" w:hAnsi="Times New Roman" w:cs="Times New Roman"/>
          <w:sz w:val="24"/>
          <w:szCs w:val="24"/>
        </w:rPr>
        <w:t>,</w:t>
      </w:r>
      <w:r w:rsidR="00191DEC">
        <w:rPr>
          <w:rFonts w:ascii="Times New Roman" w:hAnsi="Times New Roman" w:cs="Times New Roman"/>
          <w:sz w:val="24"/>
          <w:szCs w:val="24"/>
        </w:rPr>
        <w:t xml:space="preserve"> </w:t>
      </w:r>
      <w:r w:rsidR="00C254C9">
        <w:rPr>
          <w:rFonts w:ascii="Times New Roman" w:hAnsi="Times New Roman" w:cs="Times New Roman"/>
          <w:sz w:val="24"/>
          <w:szCs w:val="24"/>
        </w:rPr>
        <w:t>it</w:t>
      </w:r>
      <w:r w:rsidR="00191DEC">
        <w:rPr>
          <w:rFonts w:ascii="Times New Roman" w:hAnsi="Times New Roman" w:cs="Times New Roman"/>
          <w:sz w:val="24"/>
          <w:szCs w:val="24"/>
        </w:rPr>
        <w:t xml:space="preserve"> sought to protect the right to integrity of persons </w:t>
      </w:r>
      <w:r w:rsidR="003E15FA">
        <w:rPr>
          <w:rFonts w:ascii="Times New Roman" w:hAnsi="Times New Roman" w:cs="Times New Roman"/>
          <w:sz w:val="24"/>
          <w:szCs w:val="24"/>
        </w:rPr>
        <w:t>who might be</w:t>
      </w:r>
      <w:r w:rsidR="00191DEC">
        <w:rPr>
          <w:rFonts w:ascii="Times New Roman" w:hAnsi="Times New Roman" w:cs="Times New Roman"/>
          <w:sz w:val="24"/>
          <w:szCs w:val="24"/>
        </w:rPr>
        <w:t xml:space="preserve"> </w:t>
      </w:r>
      <w:r w:rsidR="00881A78">
        <w:rPr>
          <w:rFonts w:ascii="Times New Roman" w:hAnsi="Times New Roman" w:cs="Times New Roman"/>
          <w:sz w:val="24"/>
          <w:szCs w:val="24"/>
        </w:rPr>
        <w:t xml:space="preserve">subject to </w:t>
      </w:r>
      <w:r w:rsidR="00C82AE1">
        <w:rPr>
          <w:rFonts w:ascii="Times New Roman" w:hAnsi="Times New Roman" w:cs="Times New Roman"/>
          <w:sz w:val="24"/>
          <w:szCs w:val="24"/>
        </w:rPr>
        <w:t>involuntary care and treatment.</w:t>
      </w:r>
      <w:bookmarkStart w:id="22" w:name="_Ref30692609"/>
      <w:r w:rsidR="00CB2552">
        <w:rPr>
          <w:rStyle w:val="FootnoteReference"/>
          <w:rFonts w:cs="Times New Roman"/>
          <w:szCs w:val="24"/>
        </w:rPr>
        <w:footnoteReference w:id="68"/>
      </w:r>
      <w:bookmarkEnd w:id="22"/>
      <w:r w:rsidR="003E15FA">
        <w:rPr>
          <w:rFonts w:ascii="Times New Roman" w:hAnsi="Times New Roman" w:cs="Times New Roman"/>
          <w:sz w:val="24"/>
          <w:szCs w:val="24"/>
        </w:rPr>
        <w:t xml:space="preserve"> </w:t>
      </w:r>
      <w:r w:rsidR="00214A71">
        <w:rPr>
          <w:rFonts w:ascii="Times New Roman" w:hAnsi="Times New Roman" w:cs="Times New Roman"/>
          <w:sz w:val="24"/>
          <w:szCs w:val="24"/>
        </w:rPr>
        <w:t xml:space="preserve">Following </w:t>
      </w:r>
      <w:r w:rsidR="00C25EBD">
        <w:rPr>
          <w:rFonts w:ascii="Times New Roman" w:hAnsi="Times New Roman" w:cs="Times New Roman"/>
          <w:sz w:val="24"/>
          <w:szCs w:val="24"/>
        </w:rPr>
        <w:t>various</w:t>
      </w:r>
      <w:r w:rsidR="003E15FA">
        <w:rPr>
          <w:rFonts w:ascii="Times New Roman" w:hAnsi="Times New Roman" w:cs="Times New Roman"/>
          <w:sz w:val="24"/>
          <w:szCs w:val="24"/>
        </w:rPr>
        <w:t xml:space="preserve"> disagreements</w:t>
      </w:r>
      <w:r w:rsidR="001525DA">
        <w:rPr>
          <w:rFonts w:ascii="Times New Roman" w:hAnsi="Times New Roman" w:cs="Times New Roman"/>
          <w:sz w:val="24"/>
          <w:szCs w:val="24"/>
        </w:rPr>
        <w:t>,</w:t>
      </w:r>
      <w:r w:rsidR="00591C6B">
        <w:rPr>
          <w:rFonts w:ascii="Times New Roman" w:hAnsi="Times New Roman" w:cs="Times New Roman"/>
          <w:sz w:val="24"/>
          <w:szCs w:val="24"/>
        </w:rPr>
        <w:t xml:space="preserve"> the Convention’s authors dilute</w:t>
      </w:r>
      <w:r w:rsidR="00121F4E">
        <w:rPr>
          <w:rFonts w:ascii="Times New Roman" w:hAnsi="Times New Roman" w:cs="Times New Roman"/>
          <w:sz w:val="24"/>
          <w:szCs w:val="24"/>
        </w:rPr>
        <w:t>d</w:t>
      </w:r>
      <w:r w:rsidR="00591C6B">
        <w:rPr>
          <w:rFonts w:ascii="Times New Roman" w:hAnsi="Times New Roman" w:cs="Times New Roman"/>
          <w:sz w:val="24"/>
          <w:szCs w:val="24"/>
        </w:rPr>
        <w:t xml:space="preserve"> its effect</w:t>
      </w:r>
      <w:r w:rsidR="00B73A46">
        <w:rPr>
          <w:rFonts w:ascii="Times New Roman" w:hAnsi="Times New Roman" w:cs="Times New Roman"/>
          <w:sz w:val="24"/>
          <w:szCs w:val="24"/>
        </w:rPr>
        <w:t>.</w:t>
      </w:r>
      <w:r w:rsidR="00591C6B">
        <w:rPr>
          <w:rFonts w:ascii="Times New Roman" w:hAnsi="Times New Roman" w:cs="Times New Roman"/>
          <w:sz w:val="24"/>
          <w:szCs w:val="24"/>
        </w:rPr>
        <w:t xml:space="preserve"> </w:t>
      </w:r>
      <w:r w:rsidR="00AB474A">
        <w:rPr>
          <w:rFonts w:ascii="Times New Roman" w:hAnsi="Times New Roman" w:cs="Times New Roman"/>
          <w:sz w:val="24"/>
          <w:szCs w:val="24"/>
        </w:rPr>
        <w:t>Bartlett neatly describes the</w:t>
      </w:r>
      <w:r w:rsidR="00D679D2">
        <w:rPr>
          <w:rFonts w:ascii="Times New Roman" w:hAnsi="Times New Roman" w:cs="Times New Roman"/>
          <w:sz w:val="24"/>
          <w:szCs w:val="24"/>
        </w:rPr>
        <w:t xml:space="preserve"> resulting</w:t>
      </w:r>
      <w:r w:rsidR="00AB474A">
        <w:rPr>
          <w:rFonts w:ascii="Times New Roman" w:hAnsi="Times New Roman" w:cs="Times New Roman"/>
          <w:sz w:val="24"/>
          <w:szCs w:val="24"/>
        </w:rPr>
        <w:t xml:space="preserve"> </w:t>
      </w:r>
      <w:r w:rsidR="00653B6E">
        <w:rPr>
          <w:rFonts w:ascii="Times New Roman" w:hAnsi="Times New Roman" w:cs="Times New Roman"/>
          <w:sz w:val="24"/>
          <w:szCs w:val="24"/>
        </w:rPr>
        <w:t>problem</w:t>
      </w:r>
      <w:r w:rsidR="00AB474A">
        <w:rPr>
          <w:rFonts w:ascii="Times New Roman" w:hAnsi="Times New Roman" w:cs="Times New Roman"/>
          <w:sz w:val="24"/>
          <w:szCs w:val="24"/>
        </w:rPr>
        <w:t>: Article 17</w:t>
      </w:r>
      <w:r w:rsidR="00214A71">
        <w:rPr>
          <w:rFonts w:ascii="Times New Roman" w:hAnsi="Times New Roman" w:cs="Times New Roman"/>
          <w:sz w:val="24"/>
          <w:szCs w:val="24"/>
        </w:rPr>
        <w:t xml:space="preserve"> either</w:t>
      </w:r>
      <w:r w:rsidR="00AB474A">
        <w:rPr>
          <w:rFonts w:ascii="Times New Roman" w:hAnsi="Times New Roman" w:cs="Times New Roman"/>
          <w:sz w:val="24"/>
          <w:szCs w:val="24"/>
        </w:rPr>
        <w:t xml:space="preserve"> ‘accomplishes virtually nothing’</w:t>
      </w:r>
      <w:r w:rsidR="00214A71">
        <w:rPr>
          <w:rFonts w:ascii="Times New Roman" w:hAnsi="Times New Roman" w:cs="Times New Roman"/>
          <w:sz w:val="24"/>
          <w:szCs w:val="24"/>
        </w:rPr>
        <w:t xml:space="preserve"> or, </w:t>
      </w:r>
      <w:r w:rsidR="005F0E82">
        <w:rPr>
          <w:rFonts w:ascii="Times New Roman" w:hAnsi="Times New Roman" w:cs="Times New Roman"/>
          <w:sz w:val="24"/>
          <w:szCs w:val="24"/>
        </w:rPr>
        <w:t xml:space="preserve">as </w:t>
      </w:r>
      <w:r w:rsidR="00AB474A">
        <w:rPr>
          <w:rFonts w:ascii="Times New Roman" w:hAnsi="Times New Roman" w:cs="Times New Roman"/>
          <w:sz w:val="24"/>
          <w:szCs w:val="24"/>
        </w:rPr>
        <w:t>a new provision in international law</w:t>
      </w:r>
      <w:r w:rsidR="00214A71">
        <w:rPr>
          <w:rFonts w:ascii="Times New Roman" w:hAnsi="Times New Roman" w:cs="Times New Roman"/>
          <w:sz w:val="24"/>
          <w:szCs w:val="24"/>
        </w:rPr>
        <w:t>,</w:t>
      </w:r>
      <w:r w:rsidR="0086197C">
        <w:rPr>
          <w:rFonts w:ascii="Times New Roman" w:hAnsi="Times New Roman" w:cs="Times New Roman"/>
          <w:sz w:val="24"/>
          <w:szCs w:val="24"/>
        </w:rPr>
        <w:t xml:space="preserve"> </w:t>
      </w:r>
      <w:r w:rsidR="005F0E82">
        <w:rPr>
          <w:rFonts w:ascii="Times New Roman" w:hAnsi="Times New Roman" w:cs="Times New Roman"/>
          <w:sz w:val="24"/>
          <w:szCs w:val="24"/>
        </w:rPr>
        <w:t>i</w:t>
      </w:r>
      <w:r w:rsidR="00DF4E33">
        <w:rPr>
          <w:rFonts w:ascii="Times New Roman" w:hAnsi="Times New Roman" w:cs="Times New Roman"/>
          <w:sz w:val="24"/>
          <w:szCs w:val="24"/>
        </w:rPr>
        <w:t>t</w:t>
      </w:r>
      <w:r w:rsidR="0086197C">
        <w:rPr>
          <w:rFonts w:ascii="Times New Roman" w:hAnsi="Times New Roman" w:cs="Times New Roman"/>
          <w:sz w:val="24"/>
          <w:szCs w:val="24"/>
        </w:rPr>
        <w:t xml:space="preserve"> must</w:t>
      </w:r>
      <w:r w:rsidR="00AB474A">
        <w:rPr>
          <w:rFonts w:ascii="Times New Roman" w:hAnsi="Times New Roman" w:cs="Times New Roman"/>
          <w:sz w:val="24"/>
          <w:szCs w:val="24"/>
        </w:rPr>
        <w:t xml:space="preserve"> mean </w:t>
      </w:r>
      <w:r w:rsidR="00AB474A">
        <w:rPr>
          <w:rFonts w:ascii="Times New Roman" w:hAnsi="Times New Roman" w:cs="Times New Roman"/>
          <w:i/>
          <w:sz w:val="24"/>
          <w:szCs w:val="24"/>
        </w:rPr>
        <w:t>something</w:t>
      </w:r>
      <w:r w:rsidR="00AB474A">
        <w:rPr>
          <w:rFonts w:ascii="Times New Roman" w:hAnsi="Times New Roman" w:cs="Times New Roman"/>
          <w:sz w:val="24"/>
          <w:szCs w:val="24"/>
        </w:rPr>
        <w:t>.</w:t>
      </w:r>
      <w:r w:rsidR="00B56FF1">
        <w:rPr>
          <w:rStyle w:val="FootnoteReference"/>
          <w:rFonts w:cs="Times New Roman"/>
          <w:szCs w:val="24"/>
        </w:rPr>
        <w:footnoteReference w:id="69"/>
      </w:r>
    </w:p>
    <w:p w14:paraId="3363D283" w14:textId="45C0F2A4" w:rsidR="00500431" w:rsidRPr="007A0B8E" w:rsidRDefault="00890B14" w:rsidP="00915471">
      <w:pPr>
        <w:tabs>
          <w:tab w:val="left" w:pos="7864"/>
          <w:tab w:val="right" w:pos="9026"/>
        </w:tabs>
        <w:rPr>
          <w:rFonts w:ascii="Times New Roman" w:hAnsi="Times New Roman" w:cs="Times New Roman"/>
          <w:i/>
          <w:sz w:val="24"/>
          <w:szCs w:val="24"/>
        </w:rPr>
      </w:pPr>
      <w:r>
        <w:rPr>
          <w:rFonts w:ascii="Times New Roman" w:hAnsi="Times New Roman" w:cs="Times New Roman"/>
          <w:sz w:val="24"/>
          <w:szCs w:val="24"/>
        </w:rPr>
        <w:t>T</w:t>
      </w:r>
      <w:r w:rsidR="00460577">
        <w:rPr>
          <w:rFonts w:ascii="Times New Roman" w:hAnsi="Times New Roman" w:cs="Times New Roman"/>
          <w:sz w:val="24"/>
          <w:szCs w:val="24"/>
        </w:rPr>
        <w:t xml:space="preserve">here are two things </w:t>
      </w:r>
      <w:r w:rsidR="00214A71">
        <w:rPr>
          <w:rFonts w:ascii="Times New Roman" w:hAnsi="Times New Roman" w:cs="Times New Roman"/>
          <w:sz w:val="24"/>
          <w:szCs w:val="24"/>
        </w:rPr>
        <w:t>to</w:t>
      </w:r>
      <w:r w:rsidR="00460577">
        <w:rPr>
          <w:rFonts w:ascii="Times New Roman" w:hAnsi="Times New Roman" w:cs="Times New Roman"/>
          <w:sz w:val="24"/>
          <w:szCs w:val="24"/>
        </w:rPr>
        <w:t xml:space="preserve"> take from Article 17.</w:t>
      </w:r>
      <w:r w:rsidR="00F00D90">
        <w:rPr>
          <w:rFonts w:ascii="Times New Roman" w:hAnsi="Times New Roman" w:cs="Times New Roman"/>
          <w:sz w:val="24"/>
          <w:szCs w:val="24"/>
        </w:rPr>
        <w:t xml:space="preserve"> The first is that it refers</w:t>
      </w:r>
      <w:r w:rsidR="008F1D56">
        <w:rPr>
          <w:rFonts w:ascii="Times New Roman" w:hAnsi="Times New Roman" w:cs="Times New Roman"/>
          <w:sz w:val="24"/>
          <w:szCs w:val="24"/>
        </w:rPr>
        <w:t xml:space="preserve"> specifically</w:t>
      </w:r>
      <w:r w:rsidR="00F00D90">
        <w:rPr>
          <w:rFonts w:ascii="Times New Roman" w:hAnsi="Times New Roman" w:cs="Times New Roman"/>
          <w:sz w:val="24"/>
          <w:szCs w:val="24"/>
        </w:rPr>
        <w:t xml:space="preserve"> to </w:t>
      </w:r>
      <w:r w:rsidR="00460577">
        <w:rPr>
          <w:rFonts w:ascii="Times New Roman" w:hAnsi="Times New Roman" w:cs="Times New Roman"/>
          <w:sz w:val="24"/>
          <w:szCs w:val="24"/>
        </w:rPr>
        <w:t>‘mental integrity’</w:t>
      </w:r>
      <w:r w:rsidR="008C32C3">
        <w:rPr>
          <w:rFonts w:ascii="Times New Roman" w:hAnsi="Times New Roman" w:cs="Times New Roman"/>
          <w:sz w:val="24"/>
          <w:szCs w:val="24"/>
        </w:rPr>
        <w:t xml:space="preserve"> and is therefore</w:t>
      </w:r>
      <w:r w:rsidR="00C353D1">
        <w:rPr>
          <w:rFonts w:ascii="Times New Roman" w:hAnsi="Times New Roman" w:cs="Times New Roman"/>
          <w:sz w:val="24"/>
          <w:szCs w:val="24"/>
        </w:rPr>
        <w:t xml:space="preserve"> notionally</w:t>
      </w:r>
      <w:r w:rsidR="008C32C3">
        <w:rPr>
          <w:rFonts w:ascii="Times New Roman" w:hAnsi="Times New Roman" w:cs="Times New Roman"/>
          <w:sz w:val="24"/>
          <w:szCs w:val="24"/>
        </w:rPr>
        <w:t xml:space="preserve"> applicable </w:t>
      </w:r>
      <w:r w:rsidR="00575C69">
        <w:rPr>
          <w:rFonts w:ascii="Times New Roman" w:hAnsi="Times New Roman" w:cs="Times New Roman"/>
          <w:sz w:val="24"/>
          <w:szCs w:val="24"/>
        </w:rPr>
        <w:t>in the context of psychiatric injur</w:t>
      </w:r>
      <w:r w:rsidR="00F532CD">
        <w:rPr>
          <w:rFonts w:ascii="Times New Roman" w:hAnsi="Times New Roman" w:cs="Times New Roman"/>
          <w:sz w:val="24"/>
          <w:szCs w:val="24"/>
        </w:rPr>
        <w:t>y</w:t>
      </w:r>
      <w:r w:rsidR="00575C69">
        <w:rPr>
          <w:rFonts w:ascii="Times New Roman" w:hAnsi="Times New Roman" w:cs="Times New Roman"/>
          <w:sz w:val="24"/>
          <w:szCs w:val="24"/>
        </w:rPr>
        <w:t>.</w:t>
      </w:r>
      <w:r w:rsidR="00506F95">
        <w:rPr>
          <w:rFonts w:ascii="Times New Roman" w:hAnsi="Times New Roman" w:cs="Times New Roman"/>
          <w:sz w:val="24"/>
          <w:szCs w:val="24"/>
        </w:rPr>
        <w:t xml:space="preserve"> Second,</w:t>
      </w:r>
      <w:r w:rsidR="00C90192">
        <w:rPr>
          <w:rFonts w:ascii="Times New Roman" w:hAnsi="Times New Roman" w:cs="Times New Roman"/>
          <w:sz w:val="24"/>
          <w:szCs w:val="24"/>
        </w:rPr>
        <w:t xml:space="preserve"> </w:t>
      </w:r>
      <w:r w:rsidR="00DF4E33">
        <w:rPr>
          <w:rFonts w:ascii="Times New Roman" w:hAnsi="Times New Roman" w:cs="Times New Roman"/>
          <w:sz w:val="24"/>
          <w:szCs w:val="24"/>
        </w:rPr>
        <w:t>if</w:t>
      </w:r>
      <w:r w:rsidR="00C34378">
        <w:rPr>
          <w:rFonts w:ascii="Times New Roman" w:hAnsi="Times New Roman" w:cs="Times New Roman"/>
          <w:sz w:val="24"/>
          <w:szCs w:val="24"/>
        </w:rPr>
        <w:t xml:space="preserve"> a</w:t>
      </w:r>
      <w:r w:rsidR="00214A71">
        <w:rPr>
          <w:rFonts w:ascii="Times New Roman" w:hAnsi="Times New Roman" w:cs="Times New Roman"/>
          <w:sz w:val="24"/>
          <w:szCs w:val="24"/>
        </w:rPr>
        <w:t xml:space="preserve"> </w:t>
      </w:r>
      <w:r w:rsidR="00C34378">
        <w:rPr>
          <w:rFonts w:ascii="Times New Roman" w:hAnsi="Times New Roman" w:cs="Times New Roman"/>
          <w:sz w:val="24"/>
          <w:szCs w:val="24"/>
        </w:rPr>
        <w:t>right creates a corresponding duty to protect it,</w:t>
      </w:r>
      <w:r w:rsidR="00397893">
        <w:rPr>
          <w:rStyle w:val="FootnoteReference"/>
          <w:rFonts w:cs="Times New Roman"/>
          <w:szCs w:val="24"/>
        </w:rPr>
        <w:footnoteReference w:id="70"/>
      </w:r>
      <w:r w:rsidR="00800D14">
        <w:rPr>
          <w:rFonts w:ascii="Times New Roman" w:hAnsi="Times New Roman" w:cs="Times New Roman"/>
          <w:sz w:val="24"/>
          <w:szCs w:val="24"/>
        </w:rPr>
        <w:t xml:space="preserve"> </w:t>
      </w:r>
      <w:r w:rsidR="00B122D0">
        <w:rPr>
          <w:rFonts w:ascii="Times New Roman" w:hAnsi="Times New Roman" w:cs="Times New Roman"/>
          <w:sz w:val="24"/>
          <w:szCs w:val="24"/>
        </w:rPr>
        <w:t>the duty</w:t>
      </w:r>
      <w:r w:rsidR="00046BB4">
        <w:rPr>
          <w:rFonts w:ascii="Times New Roman" w:hAnsi="Times New Roman" w:cs="Times New Roman"/>
          <w:sz w:val="24"/>
          <w:szCs w:val="24"/>
        </w:rPr>
        <w:t xml:space="preserve"> of care in psychiatric injury</w:t>
      </w:r>
      <w:r w:rsidR="00214A71">
        <w:rPr>
          <w:rFonts w:ascii="Times New Roman" w:hAnsi="Times New Roman" w:cs="Times New Roman"/>
          <w:sz w:val="24"/>
          <w:szCs w:val="24"/>
        </w:rPr>
        <w:t xml:space="preserve"> cases may be </w:t>
      </w:r>
      <w:r w:rsidR="00046BB4">
        <w:rPr>
          <w:rFonts w:ascii="Times New Roman" w:hAnsi="Times New Roman" w:cs="Times New Roman"/>
          <w:sz w:val="24"/>
          <w:szCs w:val="24"/>
        </w:rPr>
        <w:t xml:space="preserve">the corollary of the right </w:t>
      </w:r>
      <w:r w:rsidR="00800D14">
        <w:rPr>
          <w:rFonts w:ascii="Times New Roman" w:hAnsi="Times New Roman" w:cs="Times New Roman"/>
          <w:sz w:val="24"/>
          <w:szCs w:val="24"/>
        </w:rPr>
        <w:t>to mental</w:t>
      </w:r>
      <w:r w:rsidR="00997A7A">
        <w:rPr>
          <w:rFonts w:ascii="Times New Roman" w:hAnsi="Times New Roman" w:cs="Times New Roman"/>
          <w:sz w:val="24"/>
          <w:szCs w:val="24"/>
        </w:rPr>
        <w:t xml:space="preserve"> integrity </w:t>
      </w:r>
      <w:r w:rsidR="00214A71">
        <w:rPr>
          <w:rFonts w:ascii="Times New Roman" w:hAnsi="Times New Roman" w:cs="Times New Roman"/>
          <w:sz w:val="24"/>
          <w:szCs w:val="24"/>
        </w:rPr>
        <w:t>as</w:t>
      </w:r>
      <w:r w:rsidR="00997A7A">
        <w:rPr>
          <w:rFonts w:ascii="Times New Roman" w:hAnsi="Times New Roman" w:cs="Times New Roman"/>
          <w:sz w:val="24"/>
          <w:szCs w:val="24"/>
        </w:rPr>
        <w:t xml:space="preserve"> described by the CRPD</w:t>
      </w:r>
      <w:r w:rsidR="00046BB4">
        <w:rPr>
          <w:rFonts w:ascii="Times New Roman" w:hAnsi="Times New Roman" w:cs="Times New Roman"/>
          <w:sz w:val="24"/>
          <w:szCs w:val="24"/>
        </w:rPr>
        <w:t xml:space="preserve">. If this is true, </w:t>
      </w:r>
      <w:r w:rsidR="00046BB4">
        <w:rPr>
          <w:rFonts w:ascii="Times New Roman" w:hAnsi="Times New Roman" w:cs="Times New Roman"/>
          <w:sz w:val="24"/>
          <w:szCs w:val="24"/>
        </w:rPr>
        <w:lastRenderedPageBreak/>
        <w:t>then Article 17</w:t>
      </w:r>
      <w:r w:rsidR="00AA497A">
        <w:rPr>
          <w:rFonts w:ascii="Times New Roman" w:hAnsi="Times New Roman" w:cs="Times New Roman"/>
          <w:sz w:val="24"/>
          <w:szCs w:val="24"/>
        </w:rPr>
        <w:t xml:space="preserve"> – and the CRPD more broadly –</w:t>
      </w:r>
      <w:r w:rsidR="00046BB4">
        <w:rPr>
          <w:rFonts w:ascii="Times New Roman" w:hAnsi="Times New Roman" w:cs="Times New Roman"/>
          <w:sz w:val="24"/>
          <w:szCs w:val="24"/>
        </w:rPr>
        <w:t xml:space="preserve"> might provide </w:t>
      </w:r>
      <w:r w:rsidR="00412A3B">
        <w:rPr>
          <w:rFonts w:ascii="Times New Roman" w:hAnsi="Times New Roman" w:cs="Times New Roman"/>
          <w:sz w:val="24"/>
          <w:szCs w:val="24"/>
        </w:rPr>
        <w:t>a</w:t>
      </w:r>
      <w:r w:rsidR="00046BB4">
        <w:rPr>
          <w:rFonts w:ascii="Times New Roman" w:hAnsi="Times New Roman" w:cs="Times New Roman"/>
          <w:sz w:val="24"/>
          <w:szCs w:val="24"/>
        </w:rPr>
        <w:t xml:space="preserve"> rights-based</w:t>
      </w:r>
      <w:r w:rsidR="00AA497A">
        <w:rPr>
          <w:rFonts w:ascii="Times New Roman" w:hAnsi="Times New Roman" w:cs="Times New Roman"/>
          <w:sz w:val="24"/>
          <w:szCs w:val="24"/>
        </w:rPr>
        <w:t xml:space="preserve"> rationale for the</w:t>
      </w:r>
      <w:r w:rsidR="00775322">
        <w:rPr>
          <w:rFonts w:ascii="Times New Roman" w:hAnsi="Times New Roman" w:cs="Times New Roman"/>
          <w:sz w:val="24"/>
          <w:szCs w:val="24"/>
        </w:rPr>
        <w:t xml:space="preserve"> realignment</w:t>
      </w:r>
      <w:r w:rsidR="00AA497A">
        <w:rPr>
          <w:rFonts w:ascii="Times New Roman" w:hAnsi="Times New Roman" w:cs="Times New Roman"/>
          <w:sz w:val="24"/>
          <w:szCs w:val="24"/>
        </w:rPr>
        <w:t xml:space="preserve"> </w:t>
      </w:r>
      <w:r w:rsidR="00121F4E">
        <w:rPr>
          <w:rFonts w:ascii="Times New Roman" w:hAnsi="Times New Roman" w:cs="Times New Roman"/>
          <w:sz w:val="24"/>
          <w:szCs w:val="24"/>
        </w:rPr>
        <w:t xml:space="preserve">of the </w:t>
      </w:r>
      <w:r w:rsidR="00AA497A">
        <w:rPr>
          <w:rFonts w:ascii="Times New Roman" w:hAnsi="Times New Roman" w:cs="Times New Roman"/>
          <w:sz w:val="24"/>
          <w:szCs w:val="24"/>
        </w:rPr>
        <w:t>duty concept</w:t>
      </w:r>
      <w:r w:rsidR="007D02AE">
        <w:rPr>
          <w:rFonts w:ascii="Times New Roman" w:hAnsi="Times New Roman" w:cs="Times New Roman"/>
          <w:sz w:val="24"/>
          <w:szCs w:val="24"/>
        </w:rPr>
        <w:t>.</w:t>
      </w:r>
      <w:r w:rsidR="00EC4427">
        <w:rPr>
          <w:rFonts w:ascii="Times New Roman" w:hAnsi="Times New Roman" w:cs="Times New Roman"/>
          <w:sz w:val="24"/>
          <w:szCs w:val="24"/>
        </w:rPr>
        <w:t xml:space="preserve"> We will return to</w:t>
      </w:r>
      <w:r w:rsidR="007D02AE">
        <w:rPr>
          <w:rFonts w:ascii="Times New Roman" w:hAnsi="Times New Roman" w:cs="Times New Roman"/>
          <w:sz w:val="24"/>
          <w:szCs w:val="24"/>
        </w:rPr>
        <w:t xml:space="preserve"> analyse</w:t>
      </w:r>
      <w:r w:rsidR="00EC4427">
        <w:rPr>
          <w:rFonts w:ascii="Times New Roman" w:hAnsi="Times New Roman" w:cs="Times New Roman"/>
          <w:sz w:val="24"/>
          <w:szCs w:val="24"/>
        </w:rPr>
        <w:t xml:space="preserve"> this point</w:t>
      </w:r>
      <w:r w:rsidR="007D02AE">
        <w:rPr>
          <w:rFonts w:ascii="Times New Roman" w:hAnsi="Times New Roman" w:cs="Times New Roman"/>
          <w:sz w:val="24"/>
          <w:szCs w:val="24"/>
        </w:rPr>
        <w:t xml:space="preserve"> </w:t>
      </w:r>
      <w:r w:rsidR="00EC4427">
        <w:rPr>
          <w:rFonts w:ascii="Times New Roman" w:hAnsi="Times New Roman" w:cs="Times New Roman"/>
          <w:sz w:val="24"/>
          <w:szCs w:val="24"/>
        </w:rPr>
        <w:t>later.</w:t>
      </w:r>
    </w:p>
    <w:p w14:paraId="42C8C250" w14:textId="04CB1CD1" w:rsidR="008E7F66" w:rsidRPr="00E73688" w:rsidRDefault="002D0646" w:rsidP="00E73688">
      <w:pPr>
        <w:pStyle w:val="ListParagraph"/>
        <w:numPr>
          <w:ilvl w:val="0"/>
          <w:numId w:val="36"/>
        </w:numPr>
        <w:tabs>
          <w:tab w:val="left" w:pos="7864"/>
          <w:tab w:val="right" w:pos="9026"/>
        </w:tabs>
        <w:rPr>
          <w:rFonts w:ascii="Times New Roman" w:hAnsi="Times New Roman" w:cs="Times New Roman"/>
          <w:i/>
          <w:iCs/>
          <w:sz w:val="24"/>
          <w:szCs w:val="24"/>
        </w:rPr>
      </w:pPr>
      <w:r w:rsidRPr="00E73688">
        <w:rPr>
          <w:rFonts w:ascii="Times New Roman" w:hAnsi="Times New Roman" w:cs="Times New Roman"/>
          <w:i/>
          <w:iCs/>
          <w:sz w:val="24"/>
          <w:szCs w:val="24"/>
        </w:rPr>
        <w:t>General</w:t>
      </w:r>
      <w:r w:rsidR="00B5744A" w:rsidRPr="00E73688">
        <w:rPr>
          <w:rFonts w:ascii="Times New Roman" w:hAnsi="Times New Roman" w:cs="Times New Roman"/>
          <w:i/>
          <w:iCs/>
          <w:sz w:val="24"/>
          <w:szCs w:val="24"/>
        </w:rPr>
        <w:t xml:space="preserve"> Implications</w:t>
      </w:r>
    </w:p>
    <w:p w14:paraId="690054D6" w14:textId="1A49A448" w:rsidR="002B28C7" w:rsidRDefault="00AE0C20" w:rsidP="0038566E">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T</w:t>
      </w:r>
      <w:r w:rsidR="00051DFF">
        <w:rPr>
          <w:rFonts w:ascii="Times New Roman" w:hAnsi="Times New Roman" w:cs="Times New Roman"/>
          <w:sz w:val="24"/>
          <w:szCs w:val="24"/>
        </w:rPr>
        <w:t>he UK has</w:t>
      </w:r>
      <w:r w:rsidR="00B83318">
        <w:rPr>
          <w:rFonts w:ascii="Times New Roman" w:hAnsi="Times New Roman" w:cs="Times New Roman"/>
          <w:sz w:val="24"/>
          <w:szCs w:val="24"/>
        </w:rPr>
        <w:t xml:space="preserve"> not incorporated</w:t>
      </w:r>
      <w:r>
        <w:rPr>
          <w:rFonts w:ascii="Times New Roman" w:hAnsi="Times New Roman" w:cs="Times New Roman"/>
          <w:sz w:val="24"/>
          <w:szCs w:val="24"/>
        </w:rPr>
        <w:t xml:space="preserve"> the CRPD, so it d</w:t>
      </w:r>
      <w:r w:rsidR="00E9574E">
        <w:rPr>
          <w:rFonts w:ascii="Times New Roman" w:hAnsi="Times New Roman" w:cs="Times New Roman"/>
          <w:sz w:val="24"/>
          <w:szCs w:val="24"/>
        </w:rPr>
        <w:t>oes not enjoy the same status</w:t>
      </w:r>
      <w:r w:rsidR="009E76A9">
        <w:rPr>
          <w:rFonts w:ascii="Times New Roman" w:hAnsi="Times New Roman" w:cs="Times New Roman"/>
          <w:sz w:val="24"/>
          <w:szCs w:val="24"/>
        </w:rPr>
        <w:t xml:space="preserve"> </w:t>
      </w:r>
      <w:r w:rsidR="00F47F2E">
        <w:rPr>
          <w:rFonts w:ascii="Times New Roman" w:hAnsi="Times New Roman" w:cs="Times New Roman"/>
          <w:sz w:val="24"/>
          <w:szCs w:val="24"/>
        </w:rPr>
        <w:t>as the</w:t>
      </w:r>
      <w:r w:rsidR="00162A7E">
        <w:rPr>
          <w:rFonts w:ascii="Times New Roman" w:hAnsi="Times New Roman" w:cs="Times New Roman"/>
          <w:sz w:val="24"/>
          <w:szCs w:val="24"/>
        </w:rPr>
        <w:t xml:space="preserve"> </w:t>
      </w:r>
      <w:r w:rsidR="00DD1394">
        <w:rPr>
          <w:rFonts w:ascii="Times New Roman" w:hAnsi="Times New Roman" w:cs="Times New Roman"/>
          <w:sz w:val="24"/>
          <w:szCs w:val="24"/>
        </w:rPr>
        <w:t>ECHR</w:t>
      </w:r>
      <w:r w:rsidR="007E7213">
        <w:rPr>
          <w:rFonts w:ascii="Times New Roman" w:hAnsi="Times New Roman" w:cs="Times New Roman"/>
          <w:sz w:val="24"/>
          <w:szCs w:val="24"/>
        </w:rPr>
        <w:t>.</w:t>
      </w:r>
      <w:r w:rsidR="00E77AA0">
        <w:rPr>
          <w:rStyle w:val="FootnoteReference"/>
          <w:rFonts w:cs="Times New Roman"/>
          <w:szCs w:val="24"/>
        </w:rPr>
        <w:footnoteReference w:id="71"/>
      </w:r>
      <w:r w:rsidR="001E67B7">
        <w:rPr>
          <w:rFonts w:ascii="Times New Roman" w:hAnsi="Times New Roman" w:cs="Times New Roman"/>
          <w:sz w:val="24"/>
          <w:szCs w:val="24"/>
        </w:rPr>
        <w:t xml:space="preserve"> </w:t>
      </w:r>
      <w:r w:rsidR="007D31BF">
        <w:rPr>
          <w:rFonts w:ascii="Times New Roman" w:hAnsi="Times New Roman" w:cs="Times New Roman"/>
          <w:sz w:val="24"/>
          <w:szCs w:val="24"/>
        </w:rPr>
        <w:t xml:space="preserve">At best, </w:t>
      </w:r>
      <w:r w:rsidR="00121F4E">
        <w:rPr>
          <w:rFonts w:ascii="Times New Roman" w:hAnsi="Times New Roman" w:cs="Times New Roman"/>
          <w:sz w:val="24"/>
          <w:szCs w:val="24"/>
        </w:rPr>
        <w:t>it</w:t>
      </w:r>
      <w:r w:rsidR="00DF7307">
        <w:rPr>
          <w:rFonts w:ascii="Times New Roman" w:hAnsi="Times New Roman" w:cs="Times New Roman"/>
          <w:sz w:val="24"/>
          <w:szCs w:val="24"/>
        </w:rPr>
        <w:t xml:space="preserve"> </w:t>
      </w:r>
      <w:r w:rsidR="008551D6">
        <w:rPr>
          <w:rFonts w:ascii="Times New Roman" w:hAnsi="Times New Roman" w:cs="Times New Roman"/>
          <w:sz w:val="24"/>
          <w:szCs w:val="24"/>
        </w:rPr>
        <w:t>expresses</w:t>
      </w:r>
      <w:r w:rsidR="00DF7307">
        <w:rPr>
          <w:rFonts w:ascii="Times New Roman" w:hAnsi="Times New Roman" w:cs="Times New Roman"/>
          <w:sz w:val="24"/>
          <w:szCs w:val="24"/>
        </w:rPr>
        <w:t xml:space="preserve"> an</w:t>
      </w:r>
      <w:r w:rsidR="00EA5A84">
        <w:rPr>
          <w:rFonts w:ascii="Times New Roman" w:hAnsi="Times New Roman" w:cs="Times New Roman"/>
          <w:sz w:val="24"/>
          <w:szCs w:val="24"/>
        </w:rPr>
        <w:t xml:space="preserve"> emerging</w:t>
      </w:r>
      <w:r w:rsidR="00DF7307">
        <w:rPr>
          <w:rFonts w:ascii="Times New Roman" w:hAnsi="Times New Roman" w:cs="Times New Roman"/>
          <w:sz w:val="24"/>
          <w:szCs w:val="24"/>
        </w:rPr>
        <w:t xml:space="preserve"> international consensus</w:t>
      </w:r>
      <w:r w:rsidR="00D01362">
        <w:rPr>
          <w:rFonts w:ascii="Times New Roman" w:hAnsi="Times New Roman" w:cs="Times New Roman"/>
          <w:sz w:val="24"/>
          <w:szCs w:val="24"/>
        </w:rPr>
        <w:t>.</w:t>
      </w:r>
      <w:bookmarkStart w:id="23" w:name="_Ref29479010"/>
      <w:r w:rsidR="00130072">
        <w:rPr>
          <w:rStyle w:val="FootnoteReference"/>
          <w:rFonts w:cs="Times New Roman"/>
          <w:szCs w:val="24"/>
        </w:rPr>
        <w:footnoteReference w:id="72"/>
      </w:r>
      <w:bookmarkEnd w:id="23"/>
      <w:r w:rsidR="00F00F7F">
        <w:rPr>
          <w:rFonts w:ascii="Times New Roman" w:hAnsi="Times New Roman" w:cs="Times New Roman"/>
          <w:sz w:val="24"/>
          <w:szCs w:val="24"/>
        </w:rPr>
        <w:t xml:space="preserve"> Unless Parliament incorporate</w:t>
      </w:r>
      <w:r w:rsidR="00121F4E">
        <w:rPr>
          <w:rFonts w:ascii="Times New Roman" w:hAnsi="Times New Roman" w:cs="Times New Roman"/>
          <w:sz w:val="24"/>
          <w:szCs w:val="24"/>
        </w:rPr>
        <w:t>s</w:t>
      </w:r>
      <w:r w:rsidR="00F00F7F">
        <w:rPr>
          <w:rFonts w:ascii="Times New Roman" w:hAnsi="Times New Roman" w:cs="Times New Roman"/>
          <w:sz w:val="24"/>
          <w:szCs w:val="24"/>
        </w:rPr>
        <w:t xml:space="preserve"> it</w:t>
      </w:r>
      <w:r w:rsidR="00A17FBE">
        <w:rPr>
          <w:rFonts w:ascii="Times New Roman" w:hAnsi="Times New Roman" w:cs="Times New Roman"/>
          <w:sz w:val="24"/>
          <w:szCs w:val="24"/>
        </w:rPr>
        <w:t xml:space="preserve">, </w:t>
      </w:r>
      <w:r w:rsidR="00582797">
        <w:rPr>
          <w:rFonts w:ascii="Times New Roman" w:hAnsi="Times New Roman" w:cs="Times New Roman"/>
          <w:sz w:val="24"/>
          <w:szCs w:val="24"/>
        </w:rPr>
        <w:t>the CRPD can only</w:t>
      </w:r>
      <w:r w:rsidR="00391396">
        <w:rPr>
          <w:rFonts w:ascii="Times New Roman" w:hAnsi="Times New Roman" w:cs="Times New Roman"/>
          <w:sz w:val="24"/>
          <w:szCs w:val="24"/>
        </w:rPr>
        <w:t xml:space="preserve"> ever</w:t>
      </w:r>
      <w:r w:rsidR="00582797">
        <w:rPr>
          <w:rFonts w:ascii="Times New Roman" w:hAnsi="Times New Roman" w:cs="Times New Roman"/>
          <w:sz w:val="24"/>
          <w:szCs w:val="24"/>
        </w:rPr>
        <w:t xml:space="preserve"> be of interpretive interest.</w:t>
      </w:r>
      <w:r w:rsidR="00757772">
        <w:rPr>
          <w:rFonts w:ascii="Times New Roman" w:hAnsi="Times New Roman" w:cs="Times New Roman"/>
          <w:sz w:val="24"/>
          <w:szCs w:val="24"/>
        </w:rPr>
        <w:t xml:space="preserve"> It</w:t>
      </w:r>
      <w:r w:rsidR="00ED5236">
        <w:rPr>
          <w:rFonts w:ascii="Times New Roman" w:hAnsi="Times New Roman" w:cs="Times New Roman"/>
          <w:sz w:val="24"/>
          <w:szCs w:val="24"/>
        </w:rPr>
        <w:t xml:space="preserve"> </w:t>
      </w:r>
      <w:r w:rsidR="00821768">
        <w:rPr>
          <w:rFonts w:ascii="Times New Roman" w:hAnsi="Times New Roman" w:cs="Times New Roman"/>
          <w:sz w:val="24"/>
          <w:szCs w:val="24"/>
        </w:rPr>
        <w:t>is</w:t>
      </w:r>
      <w:r w:rsidR="00056C0D">
        <w:rPr>
          <w:rFonts w:ascii="Times New Roman" w:hAnsi="Times New Roman" w:cs="Times New Roman"/>
          <w:sz w:val="24"/>
          <w:szCs w:val="24"/>
        </w:rPr>
        <w:t xml:space="preserve"> therefore</w:t>
      </w:r>
      <w:r w:rsidR="00ED5236">
        <w:rPr>
          <w:rFonts w:ascii="Times New Roman" w:hAnsi="Times New Roman" w:cs="Times New Roman"/>
          <w:sz w:val="24"/>
          <w:szCs w:val="24"/>
        </w:rPr>
        <w:t xml:space="preserve"> </w:t>
      </w:r>
      <w:r w:rsidR="00E22E48">
        <w:rPr>
          <w:rFonts w:ascii="Times New Roman" w:hAnsi="Times New Roman" w:cs="Times New Roman"/>
          <w:sz w:val="24"/>
          <w:szCs w:val="24"/>
        </w:rPr>
        <w:t>tempting</w:t>
      </w:r>
      <w:r w:rsidR="00757772">
        <w:rPr>
          <w:rFonts w:ascii="Times New Roman" w:hAnsi="Times New Roman" w:cs="Times New Roman"/>
          <w:sz w:val="24"/>
          <w:szCs w:val="24"/>
        </w:rPr>
        <w:t xml:space="preserve"> to conclude that </w:t>
      </w:r>
      <w:r w:rsidR="00214A71">
        <w:rPr>
          <w:rFonts w:ascii="Times New Roman" w:hAnsi="Times New Roman" w:cs="Times New Roman"/>
          <w:sz w:val="24"/>
          <w:szCs w:val="24"/>
        </w:rPr>
        <w:t>t</w:t>
      </w:r>
      <w:r w:rsidR="00757772">
        <w:rPr>
          <w:rFonts w:ascii="Times New Roman" w:hAnsi="Times New Roman" w:cs="Times New Roman"/>
          <w:sz w:val="24"/>
          <w:szCs w:val="24"/>
        </w:rPr>
        <w:t>he CRPD</w:t>
      </w:r>
      <w:r w:rsidR="00CC4988">
        <w:rPr>
          <w:rFonts w:ascii="Times New Roman" w:hAnsi="Times New Roman" w:cs="Times New Roman"/>
          <w:sz w:val="24"/>
          <w:szCs w:val="24"/>
        </w:rPr>
        <w:t xml:space="preserve"> </w:t>
      </w:r>
      <w:r w:rsidR="002B64F4">
        <w:rPr>
          <w:rFonts w:ascii="Times New Roman" w:hAnsi="Times New Roman" w:cs="Times New Roman"/>
          <w:sz w:val="24"/>
          <w:szCs w:val="24"/>
        </w:rPr>
        <w:t>has</w:t>
      </w:r>
      <w:r w:rsidR="00CC4988">
        <w:rPr>
          <w:rFonts w:ascii="Times New Roman" w:hAnsi="Times New Roman" w:cs="Times New Roman"/>
          <w:sz w:val="24"/>
          <w:szCs w:val="24"/>
        </w:rPr>
        <w:t xml:space="preserve"> few serio</w:t>
      </w:r>
      <w:r w:rsidR="00AA09B0">
        <w:rPr>
          <w:rFonts w:ascii="Times New Roman" w:hAnsi="Times New Roman" w:cs="Times New Roman"/>
          <w:sz w:val="24"/>
          <w:szCs w:val="24"/>
        </w:rPr>
        <w:t>us implications for English law.</w:t>
      </w:r>
      <w:r w:rsidR="00121F4E">
        <w:rPr>
          <w:rFonts w:ascii="Times New Roman" w:hAnsi="Times New Roman" w:cs="Times New Roman"/>
          <w:sz w:val="24"/>
          <w:szCs w:val="24"/>
        </w:rPr>
        <w:t xml:space="preserve"> </w:t>
      </w:r>
      <w:r w:rsidR="00906A9D">
        <w:rPr>
          <w:rFonts w:ascii="Times New Roman" w:hAnsi="Times New Roman" w:cs="Times New Roman"/>
          <w:sz w:val="24"/>
          <w:szCs w:val="24"/>
        </w:rPr>
        <w:t>Yet</w:t>
      </w:r>
      <w:r w:rsidR="008E3649">
        <w:rPr>
          <w:rFonts w:ascii="Times New Roman" w:hAnsi="Times New Roman" w:cs="Times New Roman"/>
          <w:sz w:val="24"/>
          <w:szCs w:val="24"/>
        </w:rPr>
        <w:t xml:space="preserve"> </w:t>
      </w:r>
      <w:r w:rsidR="005B65BC">
        <w:rPr>
          <w:rFonts w:ascii="Times New Roman" w:hAnsi="Times New Roman" w:cs="Times New Roman"/>
          <w:sz w:val="24"/>
          <w:szCs w:val="24"/>
        </w:rPr>
        <w:t xml:space="preserve">such a hasty dismissal </w:t>
      </w:r>
      <w:r w:rsidR="00E936F4">
        <w:rPr>
          <w:rFonts w:ascii="Times New Roman" w:hAnsi="Times New Roman" w:cs="Times New Roman"/>
          <w:sz w:val="24"/>
          <w:szCs w:val="24"/>
        </w:rPr>
        <w:t xml:space="preserve">would </w:t>
      </w:r>
      <w:r w:rsidR="00003A6D">
        <w:rPr>
          <w:rFonts w:ascii="Times New Roman" w:hAnsi="Times New Roman" w:cs="Times New Roman"/>
          <w:sz w:val="24"/>
          <w:szCs w:val="24"/>
        </w:rPr>
        <w:t>be rash</w:t>
      </w:r>
      <w:r w:rsidR="001A17F1">
        <w:rPr>
          <w:rFonts w:ascii="Times New Roman" w:hAnsi="Times New Roman" w:cs="Times New Roman"/>
          <w:sz w:val="24"/>
          <w:szCs w:val="24"/>
        </w:rPr>
        <w:t>.</w:t>
      </w:r>
      <w:r w:rsidR="00F4603B">
        <w:rPr>
          <w:rFonts w:ascii="Times New Roman" w:hAnsi="Times New Roman" w:cs="Times New Roman"/>
          <w:sz w:val="24"/>
          <w:szCs w:val="24"/>
        </w:rPr>
        <w:t xml:space="preserve"> First</w:t>
      </w:r>
      <w:r w:rsidR="00EC4E20">
        <w:rPr>
          <w:rFonts w:ascii="Times New Roman" w:hAnsi="Times New Roman" w:cs="Times New Roman"/>
          <w:sz w:val="24"/>
          <w:szCs w:val="24"/>
        </w:rPr>
        <w:t>,</w:t>
      </w:r>
      <w:r w:rsidR="005143D1">
        <w:rPr>
          <w:rFonts w:ascii="Times New Roman" w:hAnsi="Times New Roman" w:cs="Times New Roman"/>
          <w:sz w:val="24"/>
          <w:szCs w:val="24"/>
        </w:rPr>
        <w:t xml:space="preserve"> </w:t>
      </w:r>
      <w:r w:rsidR="00EC4E20">
        <w:rPr>
          <w:rFonts w:ascii="Times New Roman" w:hAnsi="Times New Roman" w:cs="Times New Roman"/>
          <w:sz w:val="24"/>
          <w:szCs w:val="24"/>
        </w:rPr>
        <w:t>i</w:t>
      </w:r>
      <w:r w:rsidR="00235707">
        <w:rPr>
          <w:rFonts w:ascii="Times New Roman" w:hAnsi="Times New Roman" w:cs="Times New Roman"/>
          <w:sz w:val="24"/>
          <w:szCs w:val="24"/>
        </w:rPr>
        <w:t>n</w:t>
      </w:r>
      <w:r w:rsidR="005143D1">
        <w:rPr>
          <w:rFonts w:ascii="Times New Roman" w:hAnsi="Times New Roman" w:cs="Times New Roman"/>
          <w:sz w:val="24"/>
          <w:szCs w:val="24"/>
        </w:rPr>
        <w:t xml:space="preserve"> ratifying the CRPD</w:t>
      </w:r>
      <w:r w:rsidR="00214A71">
        <w:rPr>
          <w:rFonts w:ascii="Times New Roman" w:hAnsi="Times New Roman" w:cs="Times New Roman"/>
          <w:sz w:val="24"/>
          <w:szCs w:val="24"/>
        </w:rPr>
        <w:t>,</w:t>
      </w:r>
      <w:r w:rsidR="00235707">
        <w:rPr>
          <w:rFonts w:ascii="Times New Roman" w:hAnsi="Times New Roman" w:cs="Times New Roman"/>
          <w:sz w:val="24"/>
          <w:szCs w:val="24"/>
        </w:rPr>
        <w:t xml:space="preserve"> </w:t>
      </w:r>
      <w:r w:rsidR="00D40796">
        <w:rPr>
          <w:rFonts w:ascii="Times New Roman" w:hAnsi="Times New Roman" w:cs="Times New Roman"/>
          <w:sz w:val="24"/>
          <w:szCs w:val="24"/>
        </w:rPr>
        <w:t>the UK</w:t>
      </w:r>
      <w:r w:rsidR="00235707">
        <w:rPr>
          <w:rFonts w:ascii="Times New Roman" w:hAnsi="Times New Roman" w:cs="Times New Roman"/>
          <w:sz w:val="24"/>
          <w:szCs w:val="24"/>
        </w:rPr>
        <w:t xml:space="preserve"> signalled its consent to be bound by </w:t>
      </w:r>
      <w:r w:rsidR="00A27E7B">
        <w:rPr>
          <w:rFonts w:ascii="Times New Roman" w:hAnsi="Times New Roman" w:cs="Times New Roman"/>
          <w:sz w:val="24"/>
          <w:szCs w:val="24"/>
        </w:rPr>
        <w:t>it</w:t>
      </w:r>
      <w:r w:rsidR="00235707">
        <w:rPr>
          <w:rFonts w:ascii="Times New Roman" w:hAnsi="Times New Roman" w:cs="Times New Roman"/>
          <w:sz w:val="24"/>
          <w:szCs w:val="24"/>
        </w:rPr>
        <w:t>.</w:t>
      </w:r>
      <w:r w:rsidR="00235707">
        <w:rPr>
          <w:rStyle w:val="FootnoteReference"/>
          <w:rFonts w:cs="Times New Roman"/>
          <w:szCs w:val="24"/>
        </w:rPr>
        <w:footnoteReference w:id="73"/>
      </w:r>
      <w:r w:rsidR="00DF68F7">
        <w:rPr>
          <w:rFonts w:ascii="Times New Roman" w:hAnsi="Times New Roman" w:cs="Times New Roman"/>
          <w:sz w:val="24"/>
          <w:szCs w:val="24"/>
        </w:rPr>
        <w:t xml:space="preserve"> </w:t>
      </w:r>
      <w:r w:rsidR="00B27028">
        <w:rPr>
          <w:rFonts w:ascii="Times New Roman" w:hAnsi="Times New Roman" w:cs="Times New Roman"/>
          <w:sz w:val="24"/>
          <w:szCs w:val="24"/>
        </w:rPr>
        <w:t xml:space="preserve">It </w:t>
      </w:r>
      <w:r w:rsidR="00F169C3">
        <w:rPr>
          <w:rFonts w:ascii="Times New Roman" w:hAnsi="Times New Roman" w:cs="Times New Roman"/>
          <w:sz w:val="24"/>
          <w:szCs w:val="24"/>
        </w:rPr>
        <w:t>has accepted</w:t>
      </w:r>
      <w:r w:rsidR="00B27028">
        <w:rPr>
          <w:rFonts w:ascii="Times New Roman" w:hAnsi="Times New Roman" w:cs="Times New Roman"/>
          <w:sz w:val="24"/>
          <w:szCs w:val="24"/>
        </w:rPr>
        <w:t xml:space="preserve"> that</w:t>
      </w:r>
      <w:r w:rsidR="006D29BB">
        <w:rPr>
          <w:rFonts w:ascii="Times New Roman" w:hAnsi="Times New Roman" w:cs="Times New Roman"/>
          <w:sz w:val="24"/>
          <w:szCs w:val="24"/>
        </w:rPr>
        <w:t xml:space="preserve"> any of</w:t>
      </w:r>
      <w:r w:rsidR="00B27028">
        <w:rPr>
          <w:rFonts w:ascii="Times New Roman" w:hAnsi="Times New Roman" w:cs="Times New Roman"/>
          <w:sz w:val="24"/>
          <w:szCs w:val="24"/>
        </w:rPr>
        <w:t xml:space="preserve"> its laws</w:t>
      </w:r>
      <w:r w:rsidR="005E2EA7">
        <w:rPr>
          <w:rFonts w:ascii="Times New Roman" w:hAnsi="Times New Roman" w:cs="Times New Roman"/>
          <w:sz w:val="24"/>
          <w:szCs w:val="24"/>
        </w:rPr>
        <w:t xml:space="preserve"> which</w:t>
      </w:r>
      <w:r w:rsidR="00B27028">
        <w:rPr>
          <w:rFonts w:ascii="Times New Roman" w:hAnsi="Times New Roman" w:cs="Times New Roman"/>
          <w:sz w:val="24"/>
          <w:szCs w:val="24"/>
        </w:rPr>
        <w:t xml:space="preserve"> </w:t>
      </w:r>
      <w:r w:rsidR="006D29BB">
        <w:rPr>
          <w:rFonts w:ascii="Times New Roman" w:hAnsi="Times New Roman" w:cs="Times New Roman"/>
          <w:sz w:val="24"/>
          <w:szCs w:val="24"/>
        </w:rPr>
        <w:t>pertain to persons with disabilities should be measured against the yardstick of the CRPD.</w:t>
      </w:r>
      <w:r w:rsidR="00153E51">
        <w:rPr>
          <w:rFonts w:ascii="Times New Roman" w:hAnsi="Times New Roman" w:cs="Times New Roman"/>
          <w:sz w:val="24"/>
          <w:szCs w:val="24"/>
        </w:rPr>
        <w:t xml:space="preserve"> This must presumably </w:t>
      </w:r>
      <w:r w:rsidR="006C1B48">
        <w:rPr>
          <w:rFonts w:ascii="Times New Roman" w:hAnsi="Times New Roman" w:cs="Times New Roman"/>
          <w:sz w:val="24"/>
          <w:szCs w:val="24"/>
        </w:rPr>
        <w:t>include</w:t>
      </w:r>
      <w:r w:rsidR="00153E51">
        <w:rPr>
          <w:rFonts w:ascii="Times New Roman" w:hAnsi="Times New Roman" w:cs="Times New Roman"/>
          <w:sz w:val="24"/>
          <w:szCs w:val="24"/>
        </w:rPr>
        <w:t xml:space="preserve"> the law of negligence</w:t>
      </w:r>
      <w:r w:rsidR="00C34D23">
        <w:rPr>
          <w:rFonts w:ascii="Times New Roman" w:hAnsi="Times New Roman" w:cs="Times New Roman"/>
          <w:sz w:val="24"/>
          <w:szCs w:val="24"/>
        </w:rPr>
        <w:t>, since the UK</w:t>
      </w:r>
      <w:r w:rsidR="008D4A46">
        <w:rPr>
          <w:rFonts w:ascii="Times New Roman" w:hAnsi="Times New Roman" w:cs="Times New Roman"/>
          <w:sz w:val="24"/>
          <w:szCs w:val="24"/>
        </w:rPr>
        <w:t xml:space="preserve"> did not</w:t>
      </w:r>
      <w:r w:rsidR="00C34D23">
        <w:rPr>
          <w:rFonts w:ascii="Times New Roman" w:hAnsi="Times New Roman" w:cs="Times New Roman"/>
          <w:sz w:val="24"/>
          <w:szCs w:val="24"/>
        </w:rPr>
        <w:t xml:space="preserve"> exempt it from the Convention’s remit.</w:t>
      </w:r>
      <w:r w:rsidR="006D29BB">
        <w:rPr>
          <w:rFonts w:ascii="Times New Roman" w:hAnsi="Times New Roman" w:cs="Times New Roman"/>
          <w:sz w:val="24"/>
          <w:szCs w:val="24"/>
        </w:rPr>
        <w:t xml:space="preserve"> </w:t>
      </w:r>
      <w:r w:rsidR="00DF68F7">
        <w:rPr>
          <w:rFonts w:ascii="Times New Roman" w:hAnsi="Times New Roman" w:cs="Times New Roman"/>
          <w:sz w:val="24"/>
          <w:szCs w:val="24"/>
        </w:rPr>
        <w:t>The UK</w:t>
      </w:r>
      <w:r w:rsidR="005E2EA7">
        <w:rPr>
          <w:rFonts w:ascii="Times New Roman" w:hAnsi="Times New Roman" w:cs="Times New Roman"/>
          <w:sz w:val="24"/>
          <w:szCs w:val="24"/>
        </w:rPr>
        <w:t xml:space="preserve"> has also recognised the competence of the </w:t>
      </w:r>
      <w:r w:rsidR="00A27E7B">
        <w:rPr>
          <w:rFonts w:ascii="Times New Roman" w:hAnsi="Times New Roman" w:cs="Times New Roman"/>
          <w:sz w:val="24"/>
          <w:szCs w:val="24"/>
        </w:rPr>
        <w:t>CRPD</w:t>
      </w:r>
      <w:r w:rsidR="005E2EA7">
        <w:rPr>
          <w:rFonts w:ascii="Times New Roman" w:hAnsi="Times New Roman" w:cs="Times New Roman"/>
          <w:sz w:val="24"/>
          <w:szCs w:val="24"/>
        </w:rPr>
        <w:t xml:space="preserve"> Committee </w:t>
      </w:r>
      <w:r w:rsidR="00A27E7B">
        <w:rPr>
          <w:rFonts w:ascii="Times New Roman" w:hAnsi="Times New Roman" w:cs="Times New Roman"/>
          <w:sz w:val="24"/>
          <w:szCs w:val="24"/>
        </w:rPr>
        <w:t>as</w:t>
      </w:r>
      <w:r w:rsidR="004D3214">
        <w:rPr>
          <w:rFonts w:ascii="Times New Roman" w:hAnsi="Times New Roman" w:cs="Times New Roman"/>
          <w:sz w:val="24"/>
          <w:szCs w:val="24"/>
        </w:rPr>
        <w:t xml:space="preserve"> </w:t>
      </w:r>
      <w:r w:rsidR="00A27E7B">
        <w:rPr>
          <w:rFonts w:ascii="Times New Roman" w:hAnsi="Times New Roman" w:cs="Times New Roman"/>
          <w:sz w:val="24"/>
          <w:szCs w:val="24"/>
        </w:rPr>
        <w:t>a</w:t>
      </w:r>
      <w:r w:rsidR="004D3214">
        <w:rPr>
          <w:rFonts w:ascii="Times New Roman" w:hAnsi="Times New Roman" w:cs="Times New Roman"/>
          <w:sz w:val="24"/>
          <w:szCs w:val="24"/>
        </w:rPr>
        <w:t xml:space="preserve"> monitoring and enforcement body.</w:t>
      </w:r>
      <w:r w:rsidR="008D0B8C">
        <w:rPr>
          <w:rStyle w:val="FootnoteReference"/>
          <w:rFonts w:cs="Times New Roman"/>
          <w:szCs w:val="24"/>
        </w:rPr>
        <w:footnoteReference w:id="74"/>
      </w:r>
      <w:r w:rsidR="00F76A39">
        <w:rPr>
          <w:rFonts w:ascii="Times New Roman" w:hAnsi="Times New Roman" w:cs="Times New Roman"/>
          <w:sz w:val="24"/>
          <w:szCs w:val="24"/>
        </w:rPr>
        <w:t xml:space="preserve"> </w:t>
      </w:r>
      <w:r w:rsidR="009609CE">
        <w:rPr>
          <w:rFonts w:ascii="Times New Roman" w:hAnsi="Times New Roman" w:cs="Times New Roman"/>
          <w:sz w:val="24"/>
          <w:szCs w:val="24"/>
        </w:rPr>
        <w:t>The CRPD</w:t>
      </w:r>
      <w:r w:rsidR="00D9252E">
        <w:rPr>
          <w:rFonts w:ascii="Times New Roman" w:hAnsi="Times New Roman" w:cs="Times New Roman"/>
          <w:sz w:val="24"/>
          <w:szCs w:val="24"/>
        </w:rPr>
        <w:t xml:space="preserve"> therefore </w:t>
      </w:r>
      <w:r w:rsidR="005F3A8C">
        <w:rPr>
          <w:rFonts w:ascii="Times New Roman" w:hAnsi="Times New Roman" w:cs="Times New Roman"/>
          <w:sz w:val="24"/>
          <w:szCs w:val="24"/>
        </w:rPr>
        <w:t>carries a moral</w:t>
      </w:r>
      <w:r w:rsidR="00EC4E20">
        <w:rPr>
          <w:rFonts w:ascii="Times New Roman" w:hAnsi="Times New Roman" w:cs="Times New Roman"/>
          <w:sz w:val="24"/>
          <w:szCs w:val="24"/>
        </w:rPr>
        <w:t xml:space="preserve"> </w:t>
      </w:r>
      <w:r w:rsidR="00F27885">
        <w:rPr>
          <w:rFonts w:ascii="Times New Roman" w:hAnsi="Times New Roman" w:cs="Times New Roman"/>
          <w:sz w:val="24"/>
          <w:szCs w:val="24"/>
        </w:rPr>
        <w:t>heft</w:t>
      </w:r>
      <w:r w:rsidR="00AE5B4F">
        <w:rPr>
          <w:rFonts w:ascii="Times New Roman" w:hAnsi="Times New Roman" w:cs="Times New Roman"/>
          <w:sz w:val="24"/>
          <w:szCs w:val="24"/>
        </w:rPr>
        <w:t xml:space="preserve"> which cannot be easily discounted</w:t>
      </w:r>
      <w:r w:rsidR="007C05DE">
        <w:rPr>
          <w:rFonts w:ascii="Times New Roman" w:hAnsi="Times New Roman" w:cs="Times New Roman"/>
          <w:sz w:val="24"/>
          <w:szCs w:val="24"/>
        </w:rPr>
        <w:t>.</w:t>
      </w:r>
      <w:r w:rsidR="005067DC">
        <w:rPr>
          <w:rFonts w:ascii="Times New Roman" w:hAnsi="Times New Roman" w:cs="Times New Roman"/>
          <w:sz w:val="24"/>
          <w:szCs w:val="24"/>
        </w:rPr>
        <w:t xml:space="preserve"> </w:t>
      </w:r>
      <w:r w:rsidR="0054175A">
        <w:rPr>
          <w:rFonts w:ascii="Times New Roman" w:hAnsi="Times New Roman" w:cs="Times New Roman"/>
          <w:sz w:val="24"/>
          <w:szCs w:val="24"/>
        </w:rPr>
        <w:t>A</w:t>
      </w:r>
      <w:r w:rsidR="00246ACA">
        <w:rPr>
          <w:rFonts w:ascii="Times New Roman" w:hAnsi="Times New Roman" w:cs="Times New Roman"/>
          <w:sz w:val="24"/>
          <w:szCs w:val="24"/>
        </w:rPr>
        <w:t>ny failure to comply with the CRPD or respect an opinion of the</w:t>
      </w:r>
      <w:r w:rsidR="00276CB1">
        <w:rPr>
          <w:rFonts w:ascii="Times New Roman" w:hAnsi="Times New Roman" w:cs="Times New Roman"/>
          <w:sz w:val="24"/>
          <w:szCs w:val="24"/>
        </w:rPr>
        <w:t xml:space="preserve"> </w:t>
      </w:r>
      <w:r w:rsidR="00246ACA">
        <w:rPr>
          <w:rFonts w:ascii="Times New Roman" w:hAnsi="Times New Roman" w:cs="Times New Roman"/>
          <w:sz w:val="24"/>
          <w:szCs w:val="24"/>
        </w:rPr>
        <w:t>Committee</w:t>
      </w:r>
      <w:r w:rsidR="00A777B6">
        <w:rPr>
          <w:rFonts w:ascii="Times New Roman" w:hAnsi="Times New Roman" w:cs="Times New Roman"/>
          <w:sz w:val="24"/>
          <w:szCs w:val="24"/>
        </w:rPr>
        <w:t xml:space="preserve"> risks </w:t>
      </w:r>
      <w:r w:rsidR="00893B67">
        <w:rPr>
          <w:rFonts w:ascii="Times New Roman" w:hAnsi="Times New Roman" w:cs="Times New Roman"/>
          <w:sz w:val="24"/>
          <w:szCs w:val="24"/>
        </w:rPr>
        <w:t>significant political embarrassment.</w:t>
      </w:r>
      <w:r w:rsidR="007D6363">
        <w:rPr>
          <w:rFonts w:ascii="Times New Roman" w:hAnsi="Times New Roman" w:cs="Times New Roman"/>
          <w:sz w:val="24"/>
          <w:szCs w:val="24"/>
        </w:rPr>
        <w:t xml:space="preserve"> This may explain why the case for</w:t>
      </w:r>
      <w:r w:rsidR="00F5543C">
        <w:rPr>
          <w:rFonts w:ascii="Times New Roman" w:hAnsi="Times New Roman" w:cs="Times New Roman"/>
          <w:sz w:val="24"/>
          <w:szCs w:val="24"/>
        </w:rPr>
        <w:t xml:space="preserve"> its</w:t>
      </w:r>
      <w:r w:rsidR="007D6363">
        <w:rPr>
          <w:rFonts w:ascii="Times New Roman" w:hAnsi="Times New Roman" w:cs="Times New Roman"/>
          <w:sz w:val="24"/>
          <w:szCs w:val="24"/>
        </w:rPr>
        <w:t xml:space="preserve"> incorporation has political currency.</w:t>
      </w:r>
      <w:r w:rsidR="007D6363">
        <w:rPr>
          <w:rStyle w:val="FootnoteReference"/>
          <w:rFonts w:cs="Times New Roman"/>
          <w:szCs w:val="24"/>
        </w:rPr>
        <w:footnoteReference w:id="75"/>
      </w:r>
      <w:r w:rsidR="001C4B60">
        <w:rPr>
          <w:rFonts w:ascii="Times New Roman" w:hAnsi="Times New Roman" w:cs="Times New Roman"/>
          <w:sz w:val="24"/>
          <w:szCs w:val="24"/>
        </w:rPr>
        <w:t xml:space="preserve"> </w:t>
      </w:r>
      <w:r w:rsidR="00844D83">
        <w:rPr>
          <w:rFonts w:ascii="Times New Roman" w:hAnsi="Times New Roman" w:cs="Times New Roman"/>
          <w:sz w:val="24"/>
          <w:szCs w:val="24"/>
        </w:rPr>
        <w:t>Furthermore,</w:t>
      </w:r>
      <w:r w:rsidR="00822996">
        <w:rPr>
          <w:rFonts w:ascii="Times New Roman" w:hAnsi="Times New Roman" w:cs="Times New Roman"/>
          <w:sz w:val="24"/>
          <w:szCs w:val="24"/>
        </w:rPr>
        <w:t xml:space="preserve"> ratification </w:t>
      </w:r>
      <w:r w:rsidR="00F4603B">
        <w:rPr>
          <w:rFonts w:ascii="Times New Roman" w:hAnsi="Times New Roman" w:cs="Times New Roman"/>
          <w:sz w:val="24"/>
          <w:szCs w:val="24"/>
        </w:rPr>
        <w:t>is</w:t>
      </w:r>
      <w:r w:rsidR="00121F4E">
        <w:rPr>
          <w:rFonts w:ascii="Times New Roman" w:hAnsi="Times New Roman" w:cs="Times New Roman"/>
          <w:sz w:val="24"/>
          <w:szCs w:val="24"/>
        </w:rPr>
        <w:t xml:space="preserve"> not</w:t>
      </w:r>
      <w:r w:rsidR="00822996">
        <w:rPr>
          <w:rFonts w:ascii="Times New Roman" w:hAnsi="Times New Roman" w:cs="Times New Roman"/>
          <w:sz w:val="24"/>
          <w:szCs w:val="24"/>
        </w:rPr>
        <w:t xml:space="preserve"> mere lip service:</w:t>
      </w:r>
      <w:r w:rsidR="002C337C">
        <w:rPr>
          <w:rFonts w:ascii="Times New Roman" w:hAnsi="Times New Roman" w:cs="Times New Roman"/>
          <w:sz w:val="24"/>
          <w:szCs w:val="24"/>
        </w:rPr>
        <w:t xml:space="preserve"> </w:t>
      </w:r>
      <w:r w:rsidR="007361D3">
        <w:rPr>
          <w:rFonts w:ascii="Times New Roman" w:hAnsi="Times New Roman" w:cs="Times New Roman"/>
          <w:sz w:val="24"/>
          <w:szCs w:val="24"/>
        </w:rPr>
        <w:t xml:space="preserve">the UN’s institutions assume that </w:t>
      </w:r>
      <w:r w:rsidR="008E628C">
        <w:rPr>
          <w:rFonts w:ascii="Times New Roman" w:hAnsi="Times New Roman" w:cs="Times New Roman"/>
          <w:sz w:val="24"/>
          <w:szCs w:val="24"/>
        </w:rPr>
        <w:t>all States Parties</w:t>
      </w:r>
      <w:r w:rsidR="007361D3">
        <w:rPr>
          <w:rFonts w:ascii="Times New Roman" w:hAnsi="Times New Roman" w:cs="Times New Roman"/>
          <w:sz w:val="24"/>
          <w:szCs w:val="24"/>
        </w:rPr>
        <w:t xml:space="preserve"> ha</w:t>
      </w:r>
      <w:r w:rsidR="008E628C">
        <w:rPr>
          <w:rFonts w:ascii="Times New Roman" w:hAnsi="Times New Roman" w:cs="Times New Roman"/>
          <w:sz w:val="24"/>
          <w:szCs w:val="24"/>
        </w:rPr>
        <w:t>ve</w:t>
      </w:r>
      <w:r w:rsidR="007361D3">
        <w:rPr>
          <w:rFonts w:ascii="Times New Roman" w:hAnsi="Times New Roman" w:cs="Times New Roman"/>
          <w:sz w:val="24"/>
          <w:szCs w:val="24"/>
        </w:rPr>
        <w:t xml:space="preserve"> an obligation to </w:t>
      </w:r>
      <w:r w:rsidR="008E628C">
        <w:rPr>
          <w:rFonts w:ascii="Times New Roman" w:hAnsi="Times New Roman" w:cs="Times New Roman"/>
          <w:sz w:val="24"/>
          <w:szCs w:val="24"/>
        </w:rPr>
        <w:t>implement the CRPD</w:t>
      </w:r>
      <w:r w:rsidR="007361D3">
        <w:rPr>
          <w:rFonts w:ascii="Times New Roman" w:hAnsi="Times New Roman" w:cs="Times New Roman"/>
          <w:sz w:val="24"/>
          <w:szCs w:val="24"/>
        </w:rPr>
        <w:t>.</w:t>
      </w:r>
      <w:r w:rsidR="00063395">
        <w:rPr>
          <w:rStyle w:val="FootnoteReference"/>
          <w:rFonts w:cs="Times New Roman"/>
          <w:szCs w:val="24"/>
        </w:rPr>
        <w:footnoteReference w:id="76"/>
      </w:r>
      <w:r w:rsidR="007F692F">
        <w:rPr>
          <w:rFonts w:ascii="Times New Roman" w:hAnsi="Times New Roman" w:cs="Times New Roman"/>
          <w:sz w:val="24"/>
          <w:szCs w:val="24"/>
        </w:rPr>
        <w:t xml:space="preserve"> The UN Committee has</w:t>
      </w:r>
      <w:r w:rsidR="006E6DC2">
        <w:rPr>
          <w:rFonts w:ascii="Times New Roman" w:hAnsi="Times New Roman" w:cs="Times New Roman"/>
          <w:sz w:val="24"/>
          <w:szCs w:val="24"/>
        </w:rPr>
        <w:t xml:space="preserve"> even explicitly recommended that the UK</w:t>
      </w:r>
      <w:r w:rsidR="00214A71">
        <w:rPr>
          <w:rFonts w:ascii="Times New Roman" w:hAnsi="Times New Roman" w:cs="Times New Roman"/>
          <w:sz w:val="24"/>
          <w:szCs w:val="24"/>
        </w:rPr>
        <w:t xml:space="preserve"> do so</w:t>
      </w:r>
      <w:r w:rsidR="00917012">
        <w:rPr>
          <w:rFonts w:ascii="Times New Roman" w:hAnsi="Times New Roman" w:cs="Times New Roman"/>
          <w:sz w:val="24"/>
          <w:szCs w:val="24"/>
        </w:rPr>
        <w:t>.</w:t>
      </w:r>
      <w:r w:rsidR="00314398">
        <w:rPr>
          <w:rStyle w:val="FootnoteReference"/>
          <w:rFonts w:cs="Times New Roman"/>
          <w:szCs w:val="24"/>
        </w:rPr>
        <w:footnoteReference w:id="77"/>
      </w:r>
    </w:p>
    <w:p w14:paraId="797B5613" w14:textId="0E8AA031" w:rsidR="00982843" w:rsidRDefault="0001626E"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lastRenderedPageBreak/>
        <w:t xml:space="preserve">Second, </w:t>
      </w:r>
      <w:r w:rsidR="00DF4318">
        <w:rPr>
          <w:rFonts w:ascii="Times New Roman" w:hAnsi="Times New Roman" w:cs="Times New Roman"/>
          <w:sz w:val="24"/>
          <w:szCs w:val="24"/>
        </w:rPr>
        <w:t>there is nothing to stop</w:t>
      </w:r>
      <w:r w:rsidR="002B28C7">
        <w:rPr>
          <w:rFonts w:ascii="Times New Roman" w:hAnsi="Times New Roman" w:cs="Times New Roman"/>
          <w:sz w:val="24"/>
          <w:szCs w:val="24"/>
        </w:rPr>
        <w:t xml:space="preserve"> English</w:t>
      </w:r>
      <w:r w:rsidR="00DF4318">
        <w:rPr>
          <w:rFonts w:ascii="Times New Roman" w:hAnsi="Times New Roman" w:cs="Times New Roman"/>
          <w:sz w:val="24"/>
          <w:szCs w:val="24"/>
        </w:rPr>
        <w:t xml:space="preserve"> courts</w:t>
      </w:r>
      <w:r w:rsidR="00CD2614">
        <w:rPr>
          <w:rFonts w:ascii="Times New Roman" w:hAnsi="Times New Roman" w:cs="Times New Roman"/>
          <w:sz w:val="24"/>
          <w:szCs w:val="24"/>
        </w:rPr>
        <w:t xml:space="preserve"> </w:t>
      </w:r>
      <w:r w:rsidR="00BA6EC4">
        <w:rPr>
          <w:rFonts w:ascii="Times New Roman" w:hAnsi="Times New Roman" w:cs="Times New Roman"/>
          <w:sz w:val="24"/>
          <w:szCs w:val="24"/>
        </w:rPr>
        <w:t>referring to the CRPD</w:t>
      </w:r>
      <w:r w:rsidR="00CC550B">
        <w:rPr>
          <w:rFonts w:ascii="Times New Roman" w:hAnsi="Times New Roman" w:cs="Times New Roman"/>
          <w:sz w:val="24"/>
          <w:szCs w:val="24"/>
        </w:rPr>
        <w:t xml:space="preserve"> as a non-binding</w:t>
      </w:r>
      <w:r w:rsidR="003764DE">
        <w:rPr>
          <w:rFonts w:ascii="Times New Roman" w:hAnsi="Times New Roman" w:cs="Times New Roman"/>
          <w:sz w:val="24"/>
          <w:szCs w:val="24"/>
        </w:rPr>
        <w:t xml:space="preserve"> </w:t>
      </w:r>
      <w:r w:rsidR="00182AFF">
        <w:rPr>
          <w:rFonts w:ascii="Times New Roman" w:hAnsi="Times New Roman" w:cs="Times New Roman"/>
          <w:sz w:val="24"/>
          <w:szCs w:val="24"/>
        </w:rPr>
        <w:t>source of human rights law.</w:t>
      </w:r>
      <w:r>
        <w:rPr>
          <w:rFonts w:ascii="Times New Roman" w:hAnsi="Times New Roman" w:cs="Times New Roman"/>
          <w:sz w:val="24"/>
          <w:szCs w:val="24"/>
        </w:rPr>
        <w:t xml:space="preserve"> </w:t>
      </w:r>
      <w:r w:rsidR="00142097">
        <w:rPr>
          <w:rFonts w:ascii="Times New Roman" w:hAnsi="Times New Roman" w:cs="Times New Roman"/>
          <w:sz w:val="24"/>
          <w:szCs w:val="24"/>
        </w:rPr>
        <w:t>They</w:t>
      </w:r>
      <w:r w:rsidR="00040A36">
        <w:rPr>
          <w:rFonts w:ascii="Times New Roman" w:hAnsi="Times New Roman" w:cs="Times New Roman"/>
          <w:sz w:val="24"/>
          <w:szCs w:val="24"/>
        </w:rPr>
        <w:t xml:space="preserve"> </w:t>
      </w:r>
      <w:r w:rsidR="00864E28">
        <w:rPr>
          <w:rFonts w:ascii="Times New Roman" w:hAnsi="Times New Roman" w:cs="Times New Roman"/>
          <w:sz w:val="24"/>
          <w:szCs w:val="24"/>
        </w:rPr>
        <w:t>have</w:t>
      </w:r>
      <w:r w:rsidR="006F3EF8">
        <w:rPr>
          <w:rFonts w:ascii="Times New Roman" w:hAnsi="Times New Roman" w:cs="Times New Roman"/>
          <w:sz w:val="24"/>
          <w:szCs w:val="24"/>
        </w:rPr>
        <w:t xml:space="preserve"> already</w:t>
      </w:r>
      <w:r w:rsidR="00864E28">
        <w:rPr>
          <w:rFonts w:ascii="Times New Roman" w:hAnsi="Times New Roman" w:cs="Times New Roman"/>
          <w:sz w:val="24"/>
          <w:szCs w:val="24"/>
        </w:rPr>
        <w:t xml:space="preserve"> </w:t>
      </w:r>
      <w:r w:rsidR="00040A36">
        <w:rPr>
          <w:rFonts w:ascii="Times New Roman" w:hAnsi="Times New Roman" w:cs="Times New Roman"/>
          <w:sz w:val="24"/>
          <w:szCs w:val="24"/>
        </w:rPr>
        <w:t xml:space="preserve">mentioned it in </w:t>
      </w:r>
      <w:r w:rsidR="00E7166A">
        <w:rPr>
          <w:rFonts w:ascii="Times New Roman" w:hAnsi="Times New Roman" w:cs="Times New Roman"/>
          <w:sz w:val="24"/>
          <w:szCs w:val="24"/>
        </w:rPr>
        <w:t>dozens of</w:t>
      </w:r>
      <w:r w:rsidR="00040A36">
        <w:rPr>
          <w:rFonts w:ascii="Times New Roman" w:hAnsi="Times New Roman" w:cs="Times New Roman"/>
          <w:sz w:val="24"/>
          <w:szCs w:val="24"/>
        </w:rPr>
        <w:t xml:space="preserve"> cases</w:t>
      </w:r>
      <w:r>
        <w:rPr>
          <w:rFonts w:ascii="Times New Roman" w:hAnsi="Times New Roman" w:cs="Times New Roman"/>
          <w:sz w:val="24"/>
          <w:szCs w:val="24"/>
        </w:rPr>
        <w:t xml:space="preserve">, sometimes merely to acknowledge its </w:t>
      </w:r>
      <w:r w:rsidR="003F3078">
        <w:rPr>
          <w:rFonts w:ascii="Times New Roman" w:hAnsi="Times New Roman" w:cs="Times New Roman"/>
          <w:sz w:val="24"/>
          <w:szCs w:val="24"/>
        </w:rPr>
        <w:t>existence</w:t>
      </w:r>
      <w:r w:rsidR="00214A71">
        <w:rPr>
          <w:rFonts w:ascii="Times New Roman" w:hAnsi="Times New Roman" w:cs="Times New Roman"/>
          <w:sz w:val="24"/>
          <w:szCs w:val="24"/>
        </w:rPr>
        <w:t>,</w:t>
      </w:r>
      <w:r w:rsidR="00B61148">
        <w:rPr>
          <w:rStyle w:val="FootnoteReference"/>
          <w:rFonts w:cs="Times New Roman"/>
          <w:szCs w:val="24"/>
        </w:rPr>
        <w:footnoteReference w:id="78"/>
      </w:r>
      <w:r w:rsidR="003F3078">
        <w:rPr>
          <w:rFonts w:ascii="Times New Roman" w:hAnsi="Times New Roman" w:cs="Times New Roman"/>
          <w:sz w:val="24"/>
          <w:szCs w:val="24"/>
        </w:rPr>
        <w:t xml:space="preserve"> </w:t>
      </w:r>
      <w:r w:rsidR="00FC1EEF">
        <w:rPr>
          <w:rFonts w:ascii="Times New Roman" w:hAnsi="Times New Roman" w:cs="Times New Roman"/>
          <w:sz w:val="24"/>
          <w:szCs w:val="24"/>
        </w:rPr>
        <w:t>or</w:t>
      </w:r>
      <w:r>
        <w:rPr>
          <w:rFonts w:ascii="Times New Roman" w:hAnsi="Times New Roman" w:cs="Times New Roman"/>
          <w:sz w:val="24"/>
          <w:szCs w:val="24"/>
        </w:rPr>
        <w:t xml:space="preserve"> </w:t>
      </w:r>
      <w:r w:rsidR="00127185">
        <w:rPr>
          <w:rFonts w:ascii="Times New Roman" w:hAnsi="Times New Roman" w:cs="Times New Roman"/>
          <w:sz w:val="24"/>
          <w:szCs w:val="24"/>
        </w:rPr>
        <w:t>as</w:t>
      </w:r>
      <w:r w:rsidR="002E0913">
        <w:rPr>
          <w:rFonts w:ascii="Times New Roman" w:hAnsi="Times New Roman" w:cs="Times New Roman"/>
          <w:sz w:val="24"/>
          <w:szCs w:val="24"/>
        </w:rPr>
        <w:t xml:space="preserve"> an aid to interpretation</w:t>
      </w:r>
      <w:r w:rsidR="00127185">
        <w:rPr>
          <w:rFonts w:ascii="Times New Roman" w:hAnsi="Times New Roman" w:cs="Times New Roman"/>
          <w:sz w:val="24"/>
          <w:szCs w:val="24"/>
        </w:rPr>
        <w:t>.</w:t>
      </w:r>
      <w:r w:rsidR="00F26050">
        <w:rPr>
          <w:rStyle w:val="FootnoteReference"/>
          <w:rFonts w:cs="Times New Roman"/>
          <w:szCs w:val="24"/>
        </w:rPr>
        <w:footnoteReference w:id="79"/>
      </w:r>
      <w:r w:rsidR="00D81E21">
        <w:rPr>
          <w:rFonts w:ascii="Times New Roman" w:hAnsi="Times New Roman" w:cs="Times New Roman"/>
          <w:sz w:val="24"/>
          <w:szCs w:val="24"/>
        </w:rPr>
        <w:t xml:space="preserve"> </w:t>
      </w:r>
      <w:r w:rsidR="00AD1D68">
        <w:rPr>
          <w:rFonts w:ascii="Times New Roman" w:hAnsi="Times New Roman" w:cs="Times New Roman"/>
          <w:sz w:val="24"/>
          <w:szCs w:val="24"/>
        </w:rPr>
        <w:t>I</w:t>
      </w:r>
      <w:r w:rsidR="001A3A15">
        <w:rPr>
          <w:rFonts w:ascii="Times New Roman" w:hAnsi="Times New Roman" w:cs="Times New Roman"/>
          <w:sz w:val="24"/>
          <w:szCs w:val="24"/>
        </w:rPr>
        <w:t xml:space="preserve">t is </w:t>
      </w:r>
      <w:r w:rsidR="005D00DD">
        <w:rPr>
          <w:rFonts w:ascii="Times New Roman" w:hAnsi="Times New Roman" w:cs="Times New Roman"/>
          <w:sz w:val="24"/>
          <w:szCs w:val="24"/>
        </w:rPr>
        <w:t xml:space="preserve">easy to see </w:t>
      </w:r>
      <w:r w:rsidR="009E74E6">
        <w:rPr>
          <w:rFonts w:ascii="Times New Roman" w:hAnsi="Times New Roman" w:cs="Times New Roman"/>
          <w:sz w:val="24"/>
          <w:szCs w:val="24"/>
        </w:rPr>
        <w:t xml:space="preserve">how the CRPD’s </w:t>
      </w:r>
      <w:r w:rsidR="007C3BB5">
        <w:rPr>
          <w:rFonts w:ascii="Times New Roman" w:hAnsi="Times New Roman" w:cs="Times New Roman"/>
          <w:sz w:val="24"/>
          <w:szCs w:val="24"/>
        </w:rPr>
        <w:t xml:space="preserve">social model </w:t>
      </w:r>
      <w:r w:rsidR="006A2C34">
        <w:rPr>
          <w:rFonts w:ascii="Times New Roman" w:hAnsi="Times New Roman" w:cs="Times New Roman"/>
          <w:sz w:val="24"/>
          <w:szCs w:val="24"/>
        </w:rPr>
        <w:t>might be</w:t>
      </w:r>
      <w:r w:rsidR="005003DC">
        <w:rPr>
          <w:rFonts w:ascii="Times New Roman" w:hAnsi="Times New Roman" w:cs="Times New Roman"/>
          <w:sz w:val="24"/>
          <w:szCs w:val="24"/>
        </w:rPr>
        <w:t>come</w:t>
      </w:r>
      <w:r w:rsidR="006A2C34">
        <w:rPr>
          <w:rFonts w:ascii="Times New Roman" w:hAnsi="Times New Roman" w:cs="Times New Roman"/>
          <w:sz w:val="24"/>
          <w:szCs w:val="24"/>
        </w:rPr>
        <w:t xml:space="preserve"> woven into the fabric of the common law</w:t>
      </w:r>
      <w:r w:rsidR="001A3A15">
        <w:rPr>
          <w:rFonts w:ascii="Times New Roman" w:hAnsi="Times New Roman" w:cs="Times New Roman"/>
          <w:sz w:val="24"/>
          <w:szCs w:val="24"/>
        </w:rPr>
        <w:t>.</w:t>
      </w:r>
      <w:r w:rsidR="006F3EF8">
        <w:rPr>
          <w:rFonts w:ascii="Times New Roman" w:hAnsi="Times New Roman" w:cs="Times New Roman"/>
          <w:sz w:val="24"/>
          <w:szCs w:val="24"/>
        </w:rPr>
        <w:t xml:space="preserve"> Although t</w:t>
      </w:r>
      <w:r w:rsidR="00736172">
        <w:rPr>
          <w:rFonts w:ascii="Times New Roman" w:hAnsi="Times New Roman" w:cs="Times New Roman"/>
          <w:sz w:val="24"/>
          <w:szCs w:val="24"/>
        </w:rPr>
        <w:t>his would not</w:t>
      </w:r>
      <w:r w:rsidR="004E5C4F">
        <w:rPr>
          <w:rFonts w:ascii="Times New Roman" w:hAnsi="Times New Roman" w:cs="Times New Roman"/>
          <w:sz w:val="24"/>
          <w:szCs w:val="24"/>
        </w:rPr>
        <w:t xml:space="preserve"> amount to full incorporation</w:t>
      </w:r>
      <w:r w:rsidR="006F3EF8">
        <w:rPr>
          <w:rFonts w:ascii="Times New Roman" w:hAnsi="Times New Roman" w:cs="Times New Roman"/>
          <w:sz w:val="24"/>
          <w:szCs w:val="24"/>
        </w:rPr>
        <w:t xml:space="preserve">, </w:t>
      </w:r>
      <w:r w:rsidR="008C6AA5">
        <w:rPr>
          <w:rFonts w:ascii="Times New Roman" w:hAnsi="Times New Roman" w:cs="Times New Roman"/>
          <w:sz w:val="24"/>
          <w:szCs w:val="24"/>
        </w:rPr>
        <w:t xml:space="preserve">the CRPD’s rendering of equality and non-discrimination </w:t>
      </w:r>
      <w:r w:rsidR="00347CE7">
        <w:rPr>
          <w:rFonts w:ascii="Times New Roman" w:hAnsi="Times New Roman" w:cs="Times New Roman"/>
          <w:sz w:val="24"/>
          <w:szCs w:val="24"/>
        </w:rPr>
        <w:t>c</w:t>
      </w:r>
      <w:r w:rsidR="00562BD7">
        <w:rPr>
          <w:rFonts w:ascii="Times New Roman" w:hAnsi="Times New Roman" w:cs="Times New Roman"/>
          <w:sz w:val="24"/>
          <w:szCs w:val="24"/>
        </w:rPr>
        <w:t>ould</w:t>
      </w:r>
      <w:r w:rsidR="006F3EF8">
        <w:rPr>
          <w:rFonts w:ascii="Times New Roman" w:hAnsi="Times New Roman" w:cs="Times New Roman"/>
          <w:sz w:val="24"/>
          <w:szCs w:val="24"/>
        </w:rPr>
        <w:t xml:space="preserve"> nevertheless</w:t>
      </w:r>
      <w:r w:rsidR="00562BD7">
        <w:rPr>
          <w:rFonts w:ascii="Times New Roman" w:hAnsi="Times New Roman" w:cs="Times New Roman"/>
          <w:sz w:val="24"/>
          <w:szCs w:val="24"/>
        </w:rPr>
        <w:t xml:space="preserve"> begin to </w:t>
      </w:r>
      <w:r w:rsidR="00853548">
        <w:rPr>
          <w:rFonts w:ascii="Times New Roman" w:hAnsi="Times New Roman" w:cs="Times New Roman"/>
          <w:sz w:val="24"/>
          <w:szCs w:val="24"/>
        </w:rPr>
        <w:t>alter the judicial vocabulary.</w:t>
      </w:r>
      <w:r w:rsidR="00214A71">
        <w:rPr>
          <w:rFonts w:ascii="Times New Roman" w:hAnsi="Times New Roman" w:cs="Times New Roman"/>
          <w:sz w:val="24"/>
          <w:szCs w:val="24"/>
        </w:rPr>
        <w:t xml:space="preserve"> </w:t>
      </w:r>
      <w:r w:rsidR="004D1C3C">
        <w:rPr>
          <w:rFonts w:ascii="Times New Roman" w:hAnsi="Times New Roman" w:cs="Times New Roman"/>
          <w:sz w:val="24"/>
          <w:szCs w:val="24"/>
        </w:rPr>
        <w:t>This sort of ‘incorporation by the backdoor’</w:t>
      </w:r>
      <w:r w:rsidR="00140761">
        <w:rPr>
          <w:rFonts w:ascii="Times New Roman" w:hAnsi="Times New Roman" w:cs="Times New Roman"/>
          <w:sz w:val="24"/>
          <w:szCs w:val="24"/>
        </w:rPr>
        <w:t xml:space="preserve"> may also occur</w:t>
      </w:r>
      <w:r w:rsidR="00DE7DBE">
        <w:rPr>
          <w:rFonts w:ascii="Times New Roman" w:hAnsi="Times New Roman" w:cs="Times New Roman"/>
          <w:sz w:val="24"/>
          <w:szCs w:val="24"/>
        </w:rPr>
        <w:t xml:space="preserve"> </w:t>
      </w:r>
      <w:r w:rsidR="00CE2D06">
        <w:rPr>
          <w:rFonts w:ascii="Times New Roman" w:hAnsi="Times New Roman" w:cs="Times New Roman"/>
          <w:sz w:val="24"/>
          <w:szCs w:val="24"/>
        </w:rPr>
        <w:t>via</w:t>
      </w:r>
      <w:r w:rsidR="00DE7DBE">
        <w:rPr>
          <w:rFonts w:ascii="Times New Roman" w:hAnsi="Times New Roman" w:cs="Times New Roman"/>
          <w:sz w:val="24"/>
          <w:szCs w:val="24"/>
        </w:rPr>
        <w:t xml:space="preserve"> the </w:t>
      </w:r>
      <w:r w:rsidR="00690CC4">
        <w:rPr>
          <w:rFonts w:ascii="Times New Roman" w:hAnsi="Times New Roman" w:cs="Times New Roman"/>
          <w:sz w:val="24"/>
          <w:szCs w:val="24"/>
        </w:rPr>
        <w:t>jurisprudence of the European Court of Human Rights</w:t>
      </w:r>
      <w:r w:rsidR="006D6EB7">
        <w:rPr>
          <w:rFonts w:ascii="Times New Roman" w:hAnsi="Times New Roman" w:cs="Times New Roman"/>
          <w:sz w:val="24"/>
          <w:szCs w:val="24"/>
        </w:rPr>
        <w:t xml:space="preserve"> (ECtHR)</w:t>
      </w:r>
      <w:r w:rsidR="00860521">
        <w:rPr>
          <w:rFonts w:ascii="Times New Roman" w:hAnsi="Times New Roman" w:cs="Times New Roman"/>
          <w:sz w:val="24"/>
          <w:szCs w:val="24"/>
        </w:rPr>
        <w:t>.</w:t>
      </w:r>
      <w:r w:rsidR="00AF4BA0">
        <w:rPr>
          <w:rFonts w:ascii="Times New Roman" w:hAnsi="Times New Roman" w:cs="Times New Roman"/>
          <w:sz w:val="24"/>
          <w:szCs w:val="24"/>
        </w:rPr>
        <w:t xml:space="preserve"> According to section 2(1)(a) of the Human Rights Act 1998, a court determining a question in connection with an ECHR right must </w:t>
      </w:r>
      <w:r w:rsidR="00FB6C85">
        <w:rPr>
          <w:rFonts w:ascii="Times New Roman" w:hAnsi="Times New Roman" w:cs="Times New Roman"/>
          <w:sz w:val="24"/>
          <w:szCs w:val="24"/>
        </w:rPr>
        <w:t>consider</w:t>
      </w:r>
      <w:r w:rsidR="00AF4BA0">
        <w:rPr>
          <w:rFonts w:ascii="Times New Roman" w:hAnsi="Times New Roman" w:cs="Times New Roman"/>
          <w:sz w:val="24"/>
          <w:szCs w:val="24"/>
        </w:rPr>
        <w:t xml:space="preserve"> an</w:t>
      </w:r>
      <w:r w:rsidR="00DE7DBE">
        <w:rPr>
          <w:rFonts w:ascii="Times New Roman" w:hAnsi="Times New Roman" w:cs="Times New Roman"/>
          <w:sz w:val="24"/>
          <w:szCs w:val="24"/>
        </w:rPr>
        <w:t>y</w:t>
      </w:r>
      <w:r w:rsidR="00AF4BA0">
        <w:rPr>
          <w:rFonts w:ascii="Times New Roman" w:hAnsi="Times New Roman" w:cs="Times New Roman"/>
          <w:sz w:val="24"/>
          <w:szCs w:val="24"/>
        </w:rPr>
        <w:t xml:space="preserve"> relevant ‘judgment, decision, declaration or advisory opinion of the European Court of Human Rights’.</w:t>
      </w:r>
      <w:r w:rsidR="00F256C4">
        <w:rPr>
          <w:rFonts w:ascii="Times New Roman" w:hAnsi="Times New Roman" w:cs="Times New Roman"/>
          <w:sz w:val="24"/>
          <w:szCs w:val="24"/>
        </w:rPr>
        <w:t xml:space="preserve"> </w:t>
      </w:r>
      <w:r w:rsidR="001870AE">
        <w:rPr>
          <w:rFonts w:ascii="Times New Roman" w:hAnsi="Times New Roman" w:cs="Times New Roman"/>
          <w:sz w:val="24"/>
          <w:szCs w:val="24"/>
        </w:rPr>
        <w:t xml:space="preserve">In </w:t>
      </w:r>
      <w:r w:rsidR="001870AE">
        <w:rPr>
          <w:rFonts w:ascii="Times New Roman" w:hAnsi="Times New Roman" w:cs="Times New Roman"/>
          <w:i/>
          <w:iCs/>
          <w:sz w:val="24"/>
          <w:szCs w:val="24"/>
        </w:rPr>
        <w:t>Glor v Switzerland</w:t>
      </w:r>
      <w:r w:rsidR="001870AE">
        <w:rPr>
          <w:rFonts w:ascii="Times New Roman" w:hAnsi="Times New Roman" w:cs="Times New Roman"/>
          <w:sz w:val="24"/>
          <w:szCs w:val="24"/>
        </w:rPr>
        <w:t>,</w:t>
      </w:r>
      <w:r w:rsidR="001870AE">
        <w:rPr>
          <w:rStyle w:val="FootnoteReference"/>
          <w:rFonts w:cs="Times New Roman"/>
          <w:szCs w:val="24"/>
        </w:rPr>
        <w:footnoteReference w:id="80"/>
      </w:r>
      <w:r w:rsidR="00717D0D">
        <w:rPr>
          <w:rFonts w:ascii="Times New Roman" w:hAnsi="Times New Roman" w:cs="Times New Roman"/>
          <w:sz w:val="24"/>
          <w:szCs w:val="24"/>
        </w:rPr>
        <w:t xml:space="preserve"> </w:t>
      </w:r>
      <w:r w:rsidR="00C16394">
        <w:rPr>
          <w:rFonts w:ascii="Times New Roman" w:hAnsi="Times New Roman" w:cs="Times New Roman"/>
          <w:sz w:val="24"/>
          <w:szCs w:val="24"/>
        </w:rPr>
        <w:t>the ECtHR</w:t>
      </w:r>
      <w:r w:rsidR="00717D0D">
        <w:rPr>
          <w:rFonts w:ascii="Times New Roman" w:hAnsi="Times New Roman" w:cs="Times New Roman"/>
          <w:sz w:val="24"/>
          <w:szCs w:val="24"/>
        </w:rPr>
        <w:t xml:space="preserve"> recognised th</w:t>
      </w:r>
      <w:r w:rsidR="00E664FA">
        <w:rPr>
          <w:rFonts w:ascii="Times New Roman" w:hAnsi="Times New Roman" w:cs="Times New Roman"/>
          <w:sz w:val="24"/>
          <w:szCs w:val="24"/>
        </w:rPr>
        <w:t>e CRPD</w:t>
      </w:r>
      <w:r w:rsidR="00717D0D">
        <w:rPr>
          <w:rFonts w:ascii="Times New Roman" w:hAnsi="Times New Roman" w:cs="Times New Roman"/>
          <w:sz w:val="24"/>
          <w:szCs w:val="24"/>
        </w:rPr>
        <w:t xml:space="preserve"> </w:t>
      </w:r>
      <w:r w:rsidR="001870AE">
        <w:rPr>
          <w:rFonts w:ascii="Times New Roman" w:hAnsi="Times New Roman" w:cs="Times New Roman"/>
          <w:sz w:val="24"/>
          <w:szCs w:val="24"/>
        </w:rPr>
        <w:t>as part of a ‘worldwide consensus on the need to protect people with disabilities from discriminatory treatment’</w:t>
      </w:r>
      <w:r w:rsidR="00AE20B2">
        <w:rPr>
          <w:rFonts w:ascii="Times New Roman" w:hAnsi="Times New Roman" w:cs="Times New Roman"/>
          <w:sz w:val="24"/>
          <w:szCs w:val="24"/>
        </w:rPr>
        <w:t>.</w:t>
      </w:r>
      <w:r w:rsidR="001870AE">
        <w:rPr>
          <w:rStyle w:val="FootnoteReference"/>
          <w:rFonts w:cs="Times New Roman"/>
          <w:szCs w:val="24"/>
        </w:rPr>
        <w:footnoteReference w:id="81"/>
      </w:r>
      <w:r w:rsidR="00717D0D">
        <w:rPr>
          <w:rFonts w:ascii="Times New Roman" w:hAnsi="Times New Roman" w:cs="Times New Roman"/>
          <w:sz w:val="24"/>
          <w:szCs w:val="24"/>
        </w:rPr>
        <w:t xml:space="preserve"> </w:t>
      </w:r>
      <w:r w:rsidR="00AE20B2">
        <w:rPr>
          <w:rFonts w:ascii="Times New Roman" w:hAnsi="Times New Roman" w:cs="Times New Roman"/>
          <w:sz w:val="24"/>
          <w:szCs w:val="24"/>
        </w:rPr>
        <w:t xml:space="preserve">It specifically </w:t>
      </w:r>
      <w:r w:rsidR="000C0546">
        <w:rPr>
          <w:rFonts w:ascii="Times New Roman" w:hAnsi="Times New Roman" w:cs="Times New Roman"/>
          <w:sz w:val="24"/>
          <w:szCs w:val="24"/>
        </w:rPr>
        <w:t>identified</w:t>
      </w:r>
      <w:r w:rsidR="00AE20B2">
        <w:rPr>
          <w:rFonts w:ascii="Times New Roman" w:hAnsi="Times New Roman" w:cs="Times New Roman"/>
          <w:sz w:val="24"/>
          <w:szCs w:val="24"/>
        </w:rPr>
        <w:t xml:space="preserve"> the CRPD as something which might</w:t>
      </w:r>
      <w:r w:rsidR="00F466E2">
        <w:rPr>
          <w:rFonts w:ascii="Times New Roman" w:hAnsi="Times New Roman" w:cs="Times New Roman"/>
          <w:sz w:val="24"/>
          <w:szCs w:val="24"/>
        </w:rPr>
        <w:t xml:space="preserve"> influence the </w:t>
      </w:r>
      <w:r w:rsidR="00C919F3">
        <w:rPr>
          <w:rFonts w:ascii="Times New Roman" w:hAnsi="Times New Roman" w:cs="Times New Roman"/>
          <w:sz w:val="24"/>
          <w:szCs w:val="24"/>
        </w:rPr>
        <w:t>‘present-day conditions’</w:t>
      </w:r>
      <w:r w:rsidR="00F466E2">
        <w:rPr>
          <w:rFonts w:ascii="Times New Roman" w:hAnsi="Times New Roman" w:cs="Times New Roman"/>
          <w:sz w:val="24"/>
          <w:szCs w:val="24"/>
        </w:rPr>
        <w:t xml:space="preserve"> according to which the ECHR must be interpreted</w:t>
      </w:r>
      <w:r w:rsidR="00C919F3">
        <w:rPr>
          <w:rFonts w:ascii="Times New Roman" w:hAnsi="Times New Roman" w:cs="Times New Roman"/>
          <w:sz w:val="24"/>
          <w:szCs w:val="24"/>
        </w:rPr>
        <w:t>.</w:t>
      </w:r>
      <w:r w:rsidR="00F466E2">
        <w:rPr>
          <w:rStyle w:val="FootnoteReference"/>
          <w:rFonts w:cs="Times New Roman"/>
          <w:szCs w:val="24"/>
        </w:rPr>
        <w:footnoteReference w:id="82"/>
      </w:r>
      <w:r w:rsidR="00805B2B">
        <w:rPr>
          <w:rFonts w:ascii="Times New Roman" w:hAnsi="Times New Roman" w:cs="Times New Roman"/>
          <w:sz w:val="24"/>
          <w:szCs w:val="24"/>
        </w:rPr>
        <w:t xml:space="preserve"> </w:t>
      </w:r>
      <w:r w:rsidR="00DA5621">
        <w:rPr>
          <w:rFonts w:ascii="Times New Roman" w:hAnsi="Times New Roman" w:cs="Times New Roman"/>
          <w:sz w:val="24"/>
          <w:szCs w:val="24"/>
        </w:rPr>
        <w:t>T</w:t>
      </w:r>
      <w:r w:rsidR="00805B2B">
        <w:rPr>
          <w:rFonts w:ascii="Times New Roman" w:hAnsi="Times New Roman" w:cs="Times New Roman"/>
          <w:sz w:val="24"/>
          <w:szCs w:val="24"/>
        </w:rPr>
        <w:t>he ECtHR has</w:t>
      </w:r>
      <w:r w:rsidR="00DA5621">
        <w:rPr>
          <w:rFonts w:ascii="Times New Roman" w:hAnsi="Times New Roman" w:cs="Times New Roman"/>
          <w:sz w:val="24"/>
          <w:szCs w:val="24"/>
        </w:rPr>
        <w:t xml:space="preserve"> since</w:t>
      </w:r>
      <w:r w:rsidR="00847064">
        <w:rPr>
          <w:rFonts w:ascii="Times New Roman" w:hAnsi="Times New Roman" w:cs="Times New Roman"/>
          <w:sz w:val="24"/>
          <w:szCs w:val="24"/>
        </w:rPr>
        <w:t xml:space="preserve"> taken the </w:t>
      </w:r>
      <w:r w:rsidR="00805B2B">
        <w:rPr>
          <w:rFonts w:ascii="Times New Roman" w:hAnsi="Times New Roman" w:cs="Times New Roman"/>
          <w:sz w:val="24"/>
          <w:szCs w:val="24"/>
        </w:rPr>
        <w:t xml:space="preserve">CRPD </w:t>
      </w:r>
      <w:r w:rsidR="00DB164C">
        <w:rPr>
          <w:rFonts w:ascii="Times New Roman" w:hAnsi="Times New Roman" w:cs="Times New Roman"/>
          <w:sz w:val="24"/>
          <w:szCs w:val="24"/>
        </w:rPr>
        <w:t xml:space="preserve">into account as </w:t>
      </w:r>
      <w:r w:rsidR="00656F49">
        <w:rPr>
          <w:rFonts w:ascii="Times New Roman" w:hAnsi="Times New Roman" w:cs="Times New Roman"/>
          <w:sz w:val="24"/>
          <w:szCs w:val="24"/>
        </w:rPr>
        <w:t xml:space="preserve">one of the ‘relevant international </w:t>
      </w:r>
      <w:r w:rsidR="00E65587">
        <w:rPr>
          <w:rFonts w:ascii="Times New Roman" w:hAnsi="Times New Roman" w:cs="Times New Roman"/>
          <w:sz w:val="24"/>
          <w:szCs w:val="24"/>
        </w:rPr>
        <w:t>instruments</w:t>
      </w:r>
      <w:r w:rsidR="00656F49">
        <w:rPr>
          <w:rFonts w:ascii="Times New Roman" w:hAnsi="Times New Roman" w:cs="Times New Roman"/>
          <w:sz w:val="24"/>
          <w:szCs w:val="24"/>
        </w:rPr>
        <w:t xml:space="preserve">’ that may be </w:t>
      </w:r>
      <w:r w:rsidR="00E65587">
        <w:rPr>
          <w:rFonts w:ascii="Times New Roman" w:hAnsi="Times New Roman" w:cs="Times New Roman"/>
          <w:sz w:val="24"/>
          <w:szCs w:val="24"/>
        </w:rPr>
        <w:t>germane</w:t>
      </w:r>
      <w:r w:rsidR="00C30EE3">
        <w:rPr>
          <w:rFonts w:ascii="Times New Roman" w:hAnsi="Times New Roman" w:cs="Times New Roman"/>
          <w:sz w:val="24"/>
          <w:szCs w:val="24"/>
        </w:rPr>
        <w:t xml:space="preserve"> </w:t>
      </w:r>
      <w:r w:rsidR="00C87F5C">
        <w:rPr>
          <w:rFonts w:ascii="Times New Roman" w:hAnsi="Times New Roman" w:cs="Times New Roman"/>
          <w:sz w:val="24"/>
          <w:szCs w:val="24"/>
        </w:rPr>
        <w:t>to</w:t>
      </w:r>
      <w:r w:rsidR="001421A6">
        <w:rPr>
          <w:rFonts w:ascii="Times New Roman" w:hAnsi="Times New Roman" w:cs="Times New Roman"/>
          <w:sz w:val="24"/>
          <w:szCs w:val="24"/>
        </w:rPr>
        <w:t xml:space="preserve"> the rights of persons </w:t>
      </w:r>
      <w:r w:rsidR="00C30EE3">
        <w:rPr>
          <w:rFonts w:ascii="Times New Roman" w:hAnsi="Times New Roman" w:cs="Times New Roman"/>
          <w:sz w:val="24"/>
          <w:szCs w:val="24"/>
        </w:rPr>
        <w:t>with disabilities.</w:t>
      </w:r>
      <w:r w:rsidR="00E263B9">
        <w:rPr>
          <w:rStyle w:val="FootnoteReference"/>
          <w:rFonts w:cs="Times New Roman"/>
          <w:szCs w:val="24"/>
        </w:rPr>
        <w:footnoteReference w:id="83"/>
      </w:r>
      <w:r w:rsidR="001B7654">
        <w:rPr>
          <w:rFonts w:ascii="Times New Roman" w:hAnsi="Times New Roman" w:cs="Times New Roman"/>
          <w:sz w:val="24"/>
          <w:szCs w:val="24"/>
        </w:rPr>
        <w:t xml:space="preserve"> </w:t>
      </w:r>
      <w:r w:rsidR="003C6DAE">
        <w:rPr>
          <w:rFonts w:ascii="Times New Roman" w:hAnsi="Times New Roman" w:cs="Times New Roman"/>
          <w:sz w:val="24"/>
          <w:szCs w:val="24"/>
        </w:rPr>
        <w:t>I</w:t>
      </w:r>
      <w:r w:rsidR="00AC6165">
        <w:rPr>
          <w:rFonts w:ascii="Times New Roman" w:hAnsi="Times New Roman" w:cs="Times New Roman"/>
          <w:sz w:val="24"/>
          <w:szCs w:val="24"/>
        </w:rPr>
        <w:t xml:space="preserve">t is conceivable that </w:t>
      </w:r>
      <w:r w:rsidR="00A46B27">
        <w:rPr>
          <w:rFonts w:ascii="Times New Roman" w:hAnsi="Times New Roman" w:cs="Times New Roman"/>
          <w:sz w:val="24"/>
          <w:szCs w:val="24"/>
        </w:rPr>
        <w:t xml:space="preserve">this will </w:t>
      </w:r>
      <w:r w:rsidR="00671A57">
        <w:rPr>
          <w:rFonts w:ascii="Times New Roman" w:hAnsi="Times New Roman" w:cs="Times New Roman"/>
          <w:sz w:val="24"/>
          <w:szCs w:val="24"/>
        </w:rPr>
        <w:t>lead to closer convergence between</w:t>
      </w:r>
      <w:r w:rsidR="00F02D1C">
        <w:rPr>
          <w:rFonts w:ascii="Times New Roman" w:hAnsi="Times New Roman" w:cs="Times New Roman"/>
          <w:sz w:val="24"/>
          <w:szCs w:val="24"/>
        </w:rPr>
        <w:t xml:space="preserve"> </w:t>
      </w:r>
      <w:r w:rsidR="004F51D3">
        <w:rPr>
          <w:rFonts w:ascii="Times New Roman" w:hAnsi="Times New Roman" w:cs="Times New Roman"/>
          <w:sz w:val="24"/>
          <w:szCs w:val="24"/>
        </w:rPr>
        <w:t>the CRPD</w:t>
      </w:r>
      <w:r w:rsidR="00F02D1C">
        <w:rPr>
          <w:rFonts w:ascii="Times New Roman" w:hAnsi="Times New Roman" w:cs="Times New Roman"/>
          <w:sz w:val="24"/>
          <w:szCs w:val="24"/>
        </w:rPr>
        <w:t xml:space="preserve"> and the ECHR</w:t>
      </w:r>
      <w:r w:rsidR="00214A71">
        <w:rPr>
          <w:rFonts w:ascii="Times New Roman" w:hAnsi="Times New Roman" w:cs="Times New Roman"/>
          <w:sz w:val="24"/>
          <w:szCs w:val="24"/>
        </w:rPr>
        <w:t>,</w:t>
      </w:r>
      <w:r w:rsidR="001812FD">
        <w:rPr>
          <w:rFonts w:ascii="Times New Roman" w:hAnsi="Times New Roman" w:cs="Times New Roman"/>
          <w:sz w:val="24"/>
          <w:szCs w:val="24"/>
        </w:rPr>
        <w:t xml:space="preserve"> with obvious implications for the domestic application of human rights</w:t>
      </w:r>
      <w:r w:rsidR="00214A71">
        <w:rPr>
          <w:rFonts w:ascii="Times New Roman" w:hAnsi="Times New Roman" w:cs="Times New Roman"/>
          <w:sz w:val="24"/>
          <w:szCs w:val="24"/>
        </w:rPr>
        <w:t xml:space="preserve"> and the common</w:t>
      </w:r>
      <w:r w:rsidR="001812FD">
        <w:rPr>
          <w:rFonts w:ascii="Times New Roman" w:hAnsi="Times New Roman" w:cs="Times New Roman"/>
          <w:sz w:val="24"/>
          <w:szCs w:val="24"/>
        </w:rPr>
        <w:t xml:space="preserve"> law</w:t>
      </w:r>
      <w:r w:rsidR="00671A57">
        <w:rPr>
          <w:rFonts w:ascii="Times New Roman" w:hAnsi="Times New Roman" w:cs="Times New Roman"/>
          <w:sz w:val="24"/>
          <w:szCs w:val="24"/>
        </w:rPr>
        <w:t>.</w:t>
      </w:r>
    </w:p>
    <w:p w14:paraId="7CC88031" w14:textId="40A81F48" w:rsidR="00ED55C1" w:rsidRDefault="00ED55C1" w:rsidP="00ED55C1">
      <w:pPr>
        <w:tabs>
          <w:tab w:val="left" w:pos="7864"/>
          <w:tab w:val="right" w:pos="9026"/>
        </w:tabs>
        <w:jc w:val="center"/>
        <w:rPr>
          <w:rFonts w:ascii="Times New Roman" w:hAnsi="Times New Roman" w:cs="Times New Roman"/>
          <w:sz w:val="24"/>
          <w:szCs w:val="24"/>
        </w:rPr>
      </w:pPr>
      <w:r>
        <w:rPr>
          <w:rFonts w:ascii="Times New Roman" w:hAnsi="Times New Roman" w:cs="Times New Roman"/>
          <w:sz w:val="24"/>
          <w:szCs w:val="24"/>
        </w:rPr>
        <w:t>*</w:t>
      </w:r>
    </w:p>
    <w:p w14:paraId="0D442448" w14:textId="24BCBBC5" w:rsidR="000A6B20" w:rsidRDefault="00310AF1" w:rsidP="00435083">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lastRenderedPageBreak/>
        <w:t>Bartlett</w:t>
      </w:r>
      <w:r w:rsidR="00C41CDD">
        <w:rPr>
          <w:rFonts w:ascii="Times New Roman" w:hAnsi="Times New Roman" w:cs="Times New Roman"/>
          <w:sz w:val="24"/>
          <w:szCs w:val="24"/>
        </w:rPr>
        <w:t xml:space="preserve"> </w:t>
      </w:r>
      <w:r>
        <w:rPr>
          <w:rFonts w:ascii="Times New Roman" w:hAnsi="Times New Roman" w:cs="Times New Roman"/>
          <w:sz w:val="24"/>
          <w:szCs w:val="24"/>
        </w:rPr>
        <w:t>argue</w:t>
      </w:r>
      <w:r w:rsidR="00156B99">
        <w:rPr>
          <w:rFonts w:ascii="Times New Roman" w:hAnsi="Times New Roman" w:cs="Times New Roman"/>
          <w:sz w:val="24"/>
          <w:szCs w:val="24"/>
        </w:rPr>
        <w:t>s</w:t>
      </w:r>
      <w:r>
        <w:rPr>
          <w:rFonts w:ascii="Times New Roman" w:hAnsi="Times New Roman" w:cs="Times New Roman"/>
          <w:sz w:val="24"/>
          <w:szCs w:val="24"/>
        </w:rPr>
        <w:t xml:space="preserve"> that the UK signed up to a ‘paradigm shift’ </w:t>
      </w:r>
      <w:r w:rsidR="00E613E3">
        <w:rPr>
          <w:rFonts w:ascii="Times New Roman" w:hAnsi="Times New Roman" w:cs="Times New Roman"/>
          <w:sz w:val="24"/>
          <w:szCs w:val="24"/>
        </w:rPr>
        <w:t>upon</w:t>
      </w:r>
      <w:r>
        <w:rPr>
          <w:rFonts w:ascii="Times New Roman" w:hAnsi="Times New Roman" w:cs="Times New Roman"/>
          <w:sz w:val="24"/>
          <w:szCs w:val="24"/>
        </w:rPr>
        <w:t xml:space="preserve"> ratif</w:t>
      </w:r>
      <w:r w:rsidR="00E613E3">
        <w:rPr>
          <w:rFonts w:ascii="Times New Roman" w:hAnsi="Times New Roman" w:cs="Times New Roman"/>
          <w:sz w:val="24"/>
          <w:szCs w:val="24"/>
        </w:rPr>
        <w:t>ying</w:t>
      </w:r>
      <w:r>
        <w:rPr>
          <w:rFonts w:ascii="Times New Roman" w:hAnsi="Times New Roman" w:cs="Times New Roman"/>
          <w:sz w:val="24"/>
          <w:szCs w:val="24"/>
        </w:rPr>
        <w:t xml:space="preserve"> the CRPD.</w:t>
      </w:r>
      <w:r>
        <w:rPr>
          <w:rStyle w:val="FootnoteReference"/>
          <w:rFonts w:cs="Times New Roman"/>
          <w:szCs w:val="24"/>
        </w:rPr>
        <w:footnoteReference w:id="84"/>
      </w:r>
      <w:r w:rsidR="00387C0B">
        <w:rPr>
          <w:rFonts w:ascii="Times New Roman" w:hAnsi="Times New Roman" w:cs="Times New Roman"/>
          <w:sz w:val="24"/>
          <w:szCs w:val="24"/>
        </w:rPr>
        <w:t xml:space="preserve"> </w:t>
      </w:r>
      <w:r w:rsidR="00AE3BAE">
        <w:rPr>
          <w:rFonts w:ascii="Times New Roman" w:hAnsi="Times New Roman" w:cs="Times New Roman"/>
          <w:sz w:val="24"/>
          <w:szCs w:val="24"/>
        </w:rPr>
        <w:t>He</w:t>
      </w:r>
      <w:r w:rsidR="005C097D">
        <w:rPr>
          <w:rFonts w:ascii="Times New Roman" w:hAnsi="Times New Roman" w:cs="Times New Roman"/>
          <w:sz w:val="24"/>
          <w:szCs w:val="24"/>
        </w:rPr>
        <w:t xml:space="preserve"> points to </w:t>
      </w:r>
      <w:r w:rsidR="000403D7">
        <w:rPr>
          <w:rFonts w:ascii="Times New Roman" w:hAnsi="Times New Roman" w:cs="Times New Roman"/>
          <w:sz w:val="24"/>
          <w:szCs w:val="24"/>
        </w:rPr>
        <w:t>a number of</w:t>
      </w:r>
      <w:r w:rsidR="001F5FDE">
        <w:rPr>
          <w:rFonts w:ascii="Times New Roman" w:hAnsi="Times New Roman" w:cs="Times New Roman"/>
          <w:sz w:val="24"/>
          <w:szCs w:val="24"/>
        </w:rPr>
        <w:t xml:space="preserve"> </w:t>
      </w:r>
      <w:r w:rsidR="000403D7">
        <w:rPr>
          <w:rFonts w:ascii="Times New Roman" w:hAnsi="Times New Roman" w:cs="Times New Roman"/>
          <w:sz w:val="24"/>
          <w:szCs w:val="24"/>
        </w:rPr>
        <w:t>‘flashpoints’</w:t>
      </w:r>
      <w:r w:rsidR="00D20AB0">
        <w:rPr>
          <w:rStyle w:val="FootnoteReference"/>
          <w:rFonts w:cs="Times New Roman"/>
          <w:szCs w:val="24"/>
        </w:rPr>
        <w:footnoteReference w:id="85"/>
      </w:r>
      <w:r w:rsidR="00CF3193">
        <w:rPr>
          <w:rFonts w:ascii="Times New Roman" w:hAnsi="Times New Roman" w:cs="Times New Roman"/>
          <w:sz w:val="24"/>
          <w:szCs w:val="24"/>
        </w:rPr>
        <w:t xml:space="preserve"> </w:t>
      </w:r>
      <w:r w:rsidR="00156B99">
        <w:rPr>
          <w:rFonts w:ascii="Times New Roman" w:hAnsi="Times New Roman" w:cs="Times New Roman"/>
          <w:sz w:val="24"/>
          <w:szCs w:val="24"/>
        </w:rPr>
        <w:t>(</w:t>
      </w:r>
      <w:r w:rsidR="008D4A46">
        <w:rPr>
          <w:rFonts w:ascii="Times New Roman" w:hAnsi="Times New Roman" w:cs="Times New Roman"/>
          <w:sz w:val="24"/>
          <w:szCs w:val="24"/>
        </w:rPr>
        <w:t>e.g.,</w:t>
      </w:r>
      <w:r w:rsidR="00D20AB0">
        <w:rPr>
          <w:rFonts w:ascii="Times New Roman" w:hAnsi="Times New Roman" w:cs="Times New Roman"/>
          <w:sz w:val="24"/>
          <w:szCs w:val="24"/>
        </w:rPr>
        <w:t xml:space="preserve"> civil commitment</w:t>
      </w:r>
      <w:r w:rsidR="00E613E3">
        <w:rPr>
          <w:rFonts w:ascii="Times New Roman" w:hAnsi="Times New Roman" w:cs="Times New Roman"/>
          <w:sz w:val="24"/>
          <w:szCs w:val="24"/>
        </w:rPr>
        <w:t xml:space="preserve"> under the Mental Health Act 1983</w:t>
      </w:r>
      <w:r w:rsidR="00D20AB0">
        <w:rPr>
          <w:rStyle w:val="FootnoteReference"/>
          <w:rFonts w:cs="Times New Roman"/>
          <w:szCs w:val="24"/>
        </w:rPr>
        <w:footnoteReference w:id="86"/>
      </w:r>
      <w:r w:rsidR="00156B99">
        <w:rPr>
          <w:rFonts w:ascii="Times New Roman" w:hAnsi="Times New Roman" w:cs="Times New Roman"/>
          <w:sz w:val="24"/>
          <w:szCs w:val="24"/>
        </w:rPr>
        <w:t>) and</w:t>
      </w:r>
      <w:r w:rsidR="005C097D">
        <w:rPr>
          <w:rFonts w:ascii="Times New Roman" w:hAnsi="Times New Roman" w:cs="Times New Roman"/>
          <w:sz w:val="24"/>
          <w:szCs w:val="24"/>
        </w:rPr>
        <w:t xml:space="preserve"> argues that the CRPD poses a challenge to ‘</w:t>
      </w:r>
      <w:r w:rsidR="00FB7540">
        <w:rPr>
          <w:rFonts w:ascii="Times New Roman" w:hAnsi="Times New Roman" w:cs="Times New Roman"/>
          <w:sz w:val="24"/>
          <w:szCs w:val="24"/>
        </w:rPr>
        <w:t>t</w:t>
      </w:r>
      <w:r w:rsidR="005C097D">
        <w:rPr>
          <w:rFonts w:ascii="Times New Roman" w:hAnsi="Times New Roman" w:cs="Times New Roman"/>
          <w:sz w:val="24"/>
          <w:szCs w:val="24"/>
        </w:rPr>
        <w:t>raditional mental health law’.</w:t>
      </w:r>
      <w:r w:rsidR="005C097D">
        <w:rPr>
          <w:rStyle w:val="FootnoteReference"/>
          <w:rFonts w:cs="Times New Roman"/>
          <w:szCs w:val="24"/>
        </w:rPr>
        <w:footnoteReference w:id="87"/>
      </w:r>
      <w:r w:rsidR="00FB7540">
        <w:rPr>
          <w:rFonts w:ascii="Times New Roman" w:hAnsi="Times New Roman" w:cs="Times New Roman"/>
          <w:sz w:val="24"/>
          <w:szCs w:val="24"/>
        </w:rPr>
        <w:t xml:space="preserve"> In truth,</w:t>
      </w:r>
      <w:r w:rsidR="00274C7E">
        <w:rPr>
          <w:rFonts w:ascii="Times New Roman" w:hAnsi="Times New Roman" w:cs="Times New Roman"/>
          <w:sz w:val="24"/>
          <w:szCs w:val="24"/>
        </w:rPr>
        <w:t xml:space="preserve"> the CRPD’s </w:t>
      </w:r>
      <w:r w:rsidR="00E613E3">
        <w:rPr>
          <w:rFonts w:ascii="Times New Roman" w:hAnsi="Times New Roman" w:cs="Times New Roman"/>
          <w:sz w:val="24"/>
          <w:szCs w:val="24"/>
        </w:rPr>
        <w:t>s</w:t>
      </w:r>
      <w:r w:rsidR="00274C7E">
        <w:rPr>
          <w:rFonts w:ascii="Times New Roman" w:hAnsi="Times New Roman" w:cs="Times New Roman"/>
          <w:sz w:val="24"/>
          <w:szCs w:val="24"/>
        </w:rPr>
        <w:t xml:space="preserve">ocial model </w:t>
      </w:r>
      <w:r w:rsidR="00876E9C">
        <w:rPr>
          <w:rFonts w:ascii="Times New Roman" w:hAnsi="Times New Roman" w:cs="Times New Roman"/>
          <w:sz w:val="24"/>
          <w:szCs w:val="24"/>
        </w:rPr>
        <w:t>create</w:t>
      </w:r>
      <w:r w:rsidR="008D4A46">
        <w:rPr>
          <w:rFonts w:ascii="Times New Roman" w:hAnsi="Times New Roman" w:cs="Times New Roman"/>
          <w:sz w:val="24"/>
          <w:szCs w:val="24"/>
        </w:rPr>
        <w:t>s</w:t>
      </w:r>
      <w:r w:rsidR="009E78BD">
        <w:rPr>
          <w:rFonts w:ascii="Times New Roman" w:hAnsi="Times New Roman" w:cs="Times New Roman"/>
          <w:sz w:val="24"/>
          <w:szCs w:val="24"/>
        </w:rPr>
        <w:t xml:space="preserve"> broader</w:t>
      </w:r>
      <w:r w:rsidR="00354829">
        <w:rPr>
          <w:rFonts w:ascii="Times New Roman" w:hAnsi="Times New Roman" w:cs="Times New Roman"/>
          <w:sz w:val="24"/>
          <w:szCs w:val="24"/>
        </w:rPr>
        <w:t xml:space="preserve"> and hitherto-unexplored</w:t>
      </w:r>
      <w:r w:rsidR="00876E9C">
        <w:rPr>
          <w:rFonts w:ascii="Times New Roman" w:hAnsi="Times New Roman" w:cs="Times New Roman"/>
          <w:sz w:val="24"/>
          <w:szCs w:val="24"/>
        </w:rPr>
        <w:t xml:space="preserve"> tensions.</w:t>
      </w:r>
      <w:r w:rsidR="00570B8B">
        <w:rPr>
          <w:rFonts w:ascii="Times New Roman" w:hAnsi="Times New Roman" w:cs="Times New Roman"/>
          <w:sz w:val="24"/>
          <w:szCs w:val="24"/>
        </w:rPr>
        <w:t xml:space="preserve"> </w:t>
      </w:r>
      <w:r w:rsidR="00E2567F">
        <w:rPr>
          <w:rFonts w:ascii="Times New Roman" w:hAnsi="Times New Roman" w:cs="Times New Roman"/>
          <w:sz w:val="24"/>
          <w:szCs w:val="24"/>
        </w:rPr>
        <w:t xml:space="preserve">In the next </w:t>
      </w:r>
      <w:r w:rsidR="00430DAE">
        <w:rPr>
          <w:rFonts w:ascii="Times New Roman" w:hAnsi="Times New Roman" w:cs="Times New Roman"/>
          <w:sz w:val="24"/>
          <w:szCs w:val="24"/>
        </w:rPr>
        <w:t>part</w:t>
      </w:r>
      <w:r w:rsidR="00E2567F">
        <w:rPr>
          <w:rFonts w:ascii="Times New Roman" w:hAnsi="Times New Roman" w:cs="Times New Roman"/>
          <w:sz w:val="24"/>
          <w:szCs w:val="24"/>
        </w:rPr>
        <w:t xml:space="preserve"> we </w:t>
      </w:r>
      <w:r w:rsidR="0045242A">
        <w:rPr>
          <w:rFonts w:ascii="Times New Roman" w:hAnsi="Times New Roman" w:cs="Times New Roman"/>
          <w:sz w:val="24"/>
          <w:szCs w:val="24"/>
        </w:rPr>
        <w:t>examine</w:t>
      </w:r>
      <w:r w:rsidR="00E2567F">
        <w:rPr>
          <w:rFonts w:ascii="Times New Roman" w:hAnsi="Times New Roman" w:cs="Times New Roman"/>
          <w:sz w:val="24"/>
          <w:szCs w:val="24"/>
        </w:rPr>
        <w:t xml:space="preserve"> the extent to which </w:t>
      </w:r>
      <w:r w:rsidR="00274E21">
        <w:rPr>
          <w:rFonts w:ascii="Times New Roman" w:hAnsi="Times New Roman" w:cs="Times New Roman"/>
          <w:sz w:val="24"/>
          <w:szCs w:val="24"/>
        </w:rPr>
        <w:t xml:space="preserve">the special rules </w:t>
      </w:r>
      <w:r w:rsidR="00666C8F">
        <w:rPr>
          <w:rFonts w:ascii="Times New Roman" w:hAnsi="Times New Roman" w:cs="Times New Roman"/>
          <w:sz w:val="24"/>
          <w:szCs w:val="24"/>
        </w:rPr>
        <w:t xml:space="preserve">in psychiatric injury cases constitute another flashpoint between English law and the </w:t>
      </w:r>
      <w:r w:rsidR="00E2567F">
        <w:rPr>
          <w:rFonts w:ascii="Times New Roman" w:hAnsi="Times New Roman" w:cs="Times New Roman"/>
          <w:sz w:val="24"/>
          <w:szCs w:val="24"/>
        </w:rPr>
        <w:t>CRPD.</w:t>
      </w:r>
      <w:r w:rsidR="000A6B20">
        <w:rPr>
          <w:rFonts w:ascii="Times New Roman" w:hAnsi="Times New Roman" w:cs="Times New Roman"/>
          <w:sz w:val="24"/>
          <w:szCs w:val="24"/>
        </w:rPr>
        <w:br w:type="page"/>
      </w:r>
    </w:p>
    <w:p w14:paraId="56EC5353" w14:textId="777C4A35" w:rsidR="005A5F35" w:rsidRPr="009C46C3" w:rsidRDefault="009C46C3" w:rsidP="009C46C3">
      <w:pPr>
        <w:tabs>
          <w:tab w:val="left" w:pos="3631"/>
          <w:tab w:val="center" w:pos="4513"/>
        </w:tabs>
        <w:ind w:left="360"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EE6597">
        <w:rPr>
          <w:rFonts w:ascii="Times New Roman" w:hAnsi="Times New Roman" w:cs="Times New Roman"/>
          <w:b/>
          <w:sz w:val="24"/>
          <w:szCs w:val="24"/>
        </w:rPr>
        <w:t>2</w:t>
      </w:r>
      <w:r>
        <w:rPr>
          <w:rFonts w:ascii="Times New Roman" w:hAnsi="Times New Roman" w:cs="Times New Roman"/>
          <w:b/>
          <w:sz w:val="24"/>
          <w:szCs w:val="24"/>
        </w:rPr>
        <w:t xml:space="preserve">: </w:t>
      </w:r>
      <w:r w:rsidR="000E6986" w:rsidRPr="009C46C3">
        <w:rPr>
          <w:rFonts w:ascii="Times New Roman" w:hAnsi="Times New Roman" w:cs="Times New Roman"/>
          <w:b/>
          <w:sz w:val="24"/>
          <w:szCs w:val="24"/>
        </w:rPr>
        <w:t>THE SPECIAL RULES AND THE CRPD</w:t>
      </w:r>
    </w:p>
    <w:p w14:paraId="4EF2D67C" w14:textId="17A760FB" w:rsidR="007A5732" w:rsidRPr="00287247" w:rsidRDefault="007A5732" w:rsidP="00287247">
      <w:pPr>
        <w:pStyle w:val="ListParagraph"/>
        <w:numPr>
          <w:ilvl w:val="0"/>
          <w:numId w:val="39"/>
        </w:numPr>
        <w:tabs>
          <w:tab w:val="left" w:pos="7864"/>
          <w:tab w:val="right" w:pos="9026"/>
        </w:tabs>
        <w:rPr>
          <w:rFonts w:ascii="Times New Roman" w:hAnsi="Times New Roman" w:cs="Times New Roman"/>
          <w:bCs/>
          <w:i/>
          <w:iCs/>
          <w:sz w:val="24"/>
          <w:szCs w:val="24"/>
        </w:rPr>
      </w:pPr>
      <w:r w:rsidRPr="00287247">
        <w:rPr>
          <w:rFonts w:ascii="Times New Roman" w:hAnsi="Times New Roman" w:cs="Times New Roman"/>
          <w:bCs/>
          <w:i/>
          <w:iCs/>
          <w:sz w:val="24"/>
          <w:szCs w:val="24"/>
        </w:rPr>
        <w:t>‘Recognisable psychiatric illness’</w:t>
      </w:r>
    </w:p>
    <w:p w14:paraId="4C58AA9D" w14:textId="4D8CD2AC" w:rsidR="0000325E" w:rsidRDefault="006F49E3" w:rsidP="00435083">
      <w:pPr>
        <w:tabs>
          <w:tab w:val="left" w:pos="7864"/>
          <w:tab w:val="right" w:pos="9026"/>
        </w:tabs>
        <w:ind w:firstLine="0"/>
        <w:rPr>
          <w:rFonts w:ascii="Times New Roman" w:hAnsi="Times New Roman" w:cs="Times New Roman"/>
          <w:bCs/>
          <w:iCs/>
          <w:sz w:val="24"/>
          <w:szCs w:val="24"/>
        </w:rPr>
      </w:pPr>
      <w:r w:rsidRPr="006F49E3">
        <w:rPr>
          <w:rFonts w:ascii="Times New Roman" w:hAnsi="Times New Roman" w:cs="Times New Roman"/>
          <w:bCs/>
          <w:iCs/>
          <w:sz w:val="24"/>
          <w:szCs w:val="24"/>
        </w:rPr>
        <w:t xml:space="preserve">Duty is an essential </w:t>
      </w:r>
      <w:r w:rsidR="003D3CEE">
        <w:rPr>
          <w:rFonts w:ascii="Times New Roman" w:hAnsi="Times New Roman" w:cs="Times New Roman"/>
          <w:bCs/>
          <w:iCs/>
          <w:sz w:val="24"/>
          <w:szCs w:val="24"/>
        </w:rPr>
        <w:t>ingredient</w:t>
      </w:r>
      <w:r w:rsidRPr="006F49E3">
        <w:rPr>
          <w:rFonts w:ascii="Times New Roman" w:hAnsi="Times New Roman" w:cs="Times New Roman"/>
          <w:bCs/>
          <w:iCs/>
          <w:sz w:val="24"/>
          <w:szCs w:val="24"/>
        </w:rPr>
        <w:t xml:space="preserve"> of negligence; without it, there is no liability.</w:t>
      </w:r>
      <w:bookmarkStart w:id="24" w:name="_Ref31738134"/>
      <w:r>
        <w:rPr>
          <w:rStyle w:val="FootnoteReference"/>
          <w:rFonts w:cs="Times New Roman"/>
          <w:bCs/>
          <w:iCs/>
          <w:szCs w:val="24"/>
        </w:rPr>
        <w:footnoteReference w:id="88"/>
      </w:r>
      <w:bookmarkEnd w:id="24"/>
      <w:r w:rsidRPr="006F49E3">
        <w:rPr>
          <w:rFonts w:ascii="Times New Roman" w:hAnsi="Times New Roman" w:cs="Times New Roman"/>
          <w:bCs/>
          <w:iCs/>
          <w:sz w:val="24"/>
          <w:szCs w:val="24"/>
        </w:rPr>
        <w:t xml:space="preserve"> Where a defendant carelessly causes </w:t>
      </w:r>
      <w:r w:rsidRPr="006F49E3">
        <w:rPr>
          <w:rFonts w:ascii="Times New Roman" w:hAnsi="Times New Roman" w:cs="Times New Roman"/>
          <w:bCs/>
          <w:i/>
          <w:sz w:val="24"/>
          <w:szCs w:val="24"/>
        </w:rPr>
        <w:t xml:space="preserve">physical </w:t>
      </w:r>
      <w:r w:rsidRPr="006F49E3">
        <w:rPr>
          <w:rFonts w:ascii="Times New Roman" w:hAnsi="Times New Roman" w:cs="Times New Roman"/>
          <w:bCs/>
          <w:iCs/>
          <w:sz w:val="24"/>
          <w:szCs w:val="24"/>
        </w:rPr>
        <w:t>injury to a claimant, the duty may not even be in dispute</w:t>
      </w:r>
      <w:r w:rsidR="00143C20">
        <w:rPr>
          <w:rFonts w:ascii="Times New Roman" w:hAnsi="Times New Roman" w:cs="Times New Roman"/>
          <w:bCs/>
          <w:iCs/>
          <w:sz w:val="24"/>
          <w:szCs w:val="24"/>
        </w:rPr>
        <w:t xml:space="preserve">: </w:t>
      </w:r>
      <w:r w:rsidR="00AB279E">
        <w:rPr>
          <w:rFonts w:ascii="Times New Roman" w:hAnsi="Times New Roman" w:cs="Times New Roman"/>
          <w:bCs/>
          <w:iCs/>
          <w:sz w:val="24"/>
          <w:szCs w:val="24"/>
        </w:rPr>
        <w:t xml:space="preserve"> </w:t>
      </w:r>
      <w:r w:rsidR="00143C20">
        <w:rPr>
          <w:rFonts w:ascii="Times New Roman" w:hAnsi="Times New Roman" w:cs="Times New Roman"/>
          <w:bCs/>
          <w:iCs/>
          <w:sz w:val="24"/>
          <w:szCs w:val="24"/>
        </w:rPr>
        <w:t>a</w:t>
      </w:r>
      <w:r w:rsidR="00AB279E">
        <w:rPr>
          <w:rFonts w:ascii="Times New Roman" w:hAnsi="Times New Roman" w:cs="Times New Roman"/>
          <w:bCs/>
          <w:iCs/>
          <w:sz w:val="24"/>
          <w:szCs w:val="24"/>
        </w:rPr>
        <w:t xml:space="preserve"> duty </w:t>
      </w:r>
      <w:r w:rsidR="001B489C">
        <w:rPr>
          <w:rFonts w:ascii="Times New Roman" w:hAnsi="Times New Roman" w:cs="Times New Roman"/>
          <w:bCs/>
          <w:iCs/>
          <w:sz w:val="24"/>
          <w:szCs w:val="24"/>
        </w:rPr>
        <w:t xml:space="preserve">arises automatically in certain duty-bearing relationships </w:t>
      </w:r>
      <w:r w:rsidR="00F951B7">
        <w:rPr>
          <w:rFonts w:ascii="Times New Roman" w:hAnsi="Times New Roman" w:cs="Times New Roman"/>
          <w:bCs/>
          <w:iCs/>
          <w:sz w:val="24"/>
          <w:szCs w:val="24"/>
        </w:rPr>
        <w:t>(e.g.</w:t>
      </w:r>
      <w:r w:rsidR="001B489C">
        <w:rPr>
          <w:rFonts w:ascii="Times New Roman" w:hAnsi="Times New Roman" w:cs="Times New Roman"/>
          <w:bCs/>
          <w:iCs/>
          <w:sz w:val="24"/>
          <w:szCs w:val="24"/>
        </w:rPr>
        <w:t>, doctor-patient,</w:t>
      </w:r>
      <w:r w:rsidR="001B489C">
        <w:rPr>
          <w:rStyle w:val="FootnoteReference"/>
          <w:rFonts w:cs="Times New Roman"/>
          <w:bCs/>
          <w:iCs/>
          <w:szCs w:val="24"/>
        </w:rPr>
        <w:footnoteReference w:id="89"/>
      </w:r>
      <w:r w:rsidR="001B489C">
        <w:rPr>
          <w:rFonts w:ascii="Times New Roman" w:hAnsi="Times New Roman" w:cs="Times New Roman"/>
          <w:bCs/>
          <w:iCs/>
          <w:sz w:val="24"/>
          <w:szCs w:val="24"/>
        </w:rPr>
        <w:t xml:space="preserve"> teacher-pupil,</w:t>
      </w:r>
      <w:r w:rsidR="001B489C">
        <w:rPr>
          <w:rStyle w:val="FootnoteReference"/>
          <w:rFonts w:cs="Times New Roman"/>
          <w:bCs/>
          <w:iCs/>
          <w:szCs w:val="24"/>
        </w:rPr>
        <w:footnoteReference w:id="90"/>
      </w:r>
      <w:r w:rsidR="001B489C">
        <w:rPr>
          <w:rFonts w:ascii="Times New Roman" w:hAnsi="Times New Roman" w:cs="Times New Roman"/>
          <w:bCs/>
          <w:iCs/>
          <w:sz w:val="24"/>
          <w:szCs w:val="24"/>
        </w:rPr>
        <w:t xml:space="preserve"> </w:t>
      </w:r>
      <w:r w:rsidR="00A16BBD">
        <w:rPr>
          <w:rFonts w:ascii="Times New Roman" w:hAnsi="Times New Roman" w:cs="Times New Roman"/>
          <w:bCs/>
          <w:iCs/>
          <w:sz w:val="24"/>
          <w:szCs w:val="24"/>
        </w:rPr>
        <w:t>between road users</w:t>
      </w:r>
      <w:r w:rsidR="006E46F2">
        <w:rPr>
          <w:rFonts w:ascii="Times New Roman" w:hAnsi="Times New Roman" w:cs="Times New Roman"/>
          <w:bCs/>
          <w:iCs/>
          <w:sz w:val="24"/>
          <w:szCs w:val="24"/>
        </w:rPr>
        <w:t>,</w:t>
      </w:r>
      <w:r w:rsidR="00A16BBD">
        <w:rPr>
          <w:rStyle w:val="FootnoteReference"/>
          <w:rFonts w:cs="Times New Roman"/>
          <w:bCs/>
          <w:iCs/>
          <w:szCs w:val="24"/>
        </w:rPr>
        <w:footnoteReference w:id="91"/>
      </w:r>
      <w:r w:rsidR="006E46F2">
        <w:rPr>
          <w:rFonts w:ascii="Times New Roman" w:hAnsi="Times New Roman" w:cs="Times New Roman"/>
          <w:bCs/>
          <w:iCs/>
          <w:sz w:val="24"/>
          <w:szCs w:val="24"/>
        </w:rPr>
        <w:t xml:space="preserve"> and so on</w:t>
      </w:r>
      <w:r w:rsidR="00F951B7">
        <w:rPr>
          <w:rFonts w:ascii="Times New Roman" w:hAnsi="Times New Roman" w:cs="Times New Roman"/>
          <w:bCs/>
          <w:iCs/>
          <w:sz w:val="24"/>
          <w:szCs w:val="24"/>
        </w:rPr>
        <w:t>)</w:t>
      </w:r>
      <w:r w:rsidR="006E46F2">
        <w:rPr>
          <w:rFonts w:ascii="Times New Roman" w:hAnsi="Times New Roman" w:cs="Times New Roman"/>
          <w:bCs/>
          <w:iCs/>
          <w:sz w:val="24"/>
          <w:szCs w:val="24"/>
        </w:rPr>
        <w:t>.</w:t>
      </w:r>
      <w:r w:rsidR="00F233AA">
        <w:rPr>
          <w:rFonts w:ascii="Times New Roman" w:hAnsi="Times New Roman" w:cs="Times New Roman"/>
          <w:bCs/>
          <w:iCs/>
          <w:sz w:val="24"/>
          <w:szCs w:val="24"/>
        </w:rPr>
        <w:t xml:space="preserve"> </w:t>
      </w:r>
      <w:r w:rsidR="006936C6">
        <w:rPr>
          <w:rFonts w:ascii="Times New Roman" w:hAnsi="Times New Roman" w:cs="Times New Roman"/>
          <w:bCs/>
          <w:iCs/>
          <w:sz w:val="24"/>
          <w:szCs w:val="24"/>
        </w:rPr>
        <w:t>On other occasions, it may</w:t>
      </w:r>
      <w:r w:rsidR="005C6DA1">
        <w:rPr>
          <w:rFonts w:ascii="Times New Roman" w:hAnsi="Times New Roman" w:cs="Times New Roman"/>
          <w:bCs/>
          <w:iCs/>
          <w:sz w:val="24"/>
          <w:szCs w:val="24"/>
        </w:rPr>
        <w:t xml:space="preserve"> now</w:t>
      </w:r>
      <w:r w:rsidR="006936C6">
        <w:rPr>
          <w:rFonts w:ascii="Times New Roman" w:hAnsi="Times New Roman" w:cs="Times New Roman"/>
          <w:bCs/>
          <w:iCs/>
          <w:sz w:val="24"/>
          <w:szCs w:val="24"/>
        </w:rPr>
        <w:t xml:space="preserve"> be</w:t>
      </w:r>
      <w:r w:rsidR="007C2C05">
        <w:rPr>
          <w:rFonts w:ascii="Times New Roman" w:hAnsi="Times New Roman" w:cs="Times New Roman"/>
          <w:bCs/>
          <w:iCs/>
          <w:sz w:val="24"/>
          <w:szCs w:val="24"/>
        </w:rPr>
        <w:t xml:space="preserve"> reasonable to assume</w:t>
      </w:r>
      <w:r w:rsidR="006936C6">
        <w:rPr>
          <w:rFonts w:ascii="Times New Roman" w:hAnsi="Times New Roman" w:cs="Times New Roman"/>
          <w:bCs/>
          <w:iCs/>
          <w:sz w:val="24"/>
          <w:szCs w:val="24"/>
        </w:rPr>
        <w:t xml:space="preserve"> that</w:t>
      </w:r>
      <w:r w:rsidR="00595182">
        <w:rPr>
          <w:rFonts w:ascii="Times New Roman" w:hAnsi="Times New Roman" w:cs="Times New Roman"/>
          <w:bCs/>
          <w:iCs/>
          <w:sz w:val="24"/>
          <w:szCs w:val="24"/>
        </w:rPr>
        <w:t xml:space="preserve"> a</w:t>
      </w:r>
      <w:r w:rsidR="00C336D1">
        <w:rPr>
          <w:rFonts w:ascii="Times New Roman" w:hAnsi="Times New Roman" w:cs="Times New Roman"/>
          <w:bCs/>
          <w:iCs/>
          <w:sz w:val="24"/>
          <w:szCs w:val="24"/>
        </w:rPr>
        <w:t>n</w:t>
      </w:r>
      <w:r w:rsidR="00595182">
        <w:rPr>
          <w:rFonts w:ascii="Times New Roman" w:hAnsi="Times New Roman" w:cs="Times New Roman"/>
          <w:bCs/>
          <w:iCs/>
          <w:sz w:val="24"/>
          <w:szCs w:val="24"/>
        </w:rPr>
        <w:t xml:space="preserve"> act of</w:t>
      </w:r>
      <w:r w:rsidR="006936C6">
        <w:rPr>
          <w:rFonts w:ascii="Times New Roman" w:hAnsi="Times New Roman" w:cs="Times New Roman"/>
          <w:bCs/>
          <w:iCs/>
          <w:sz w:val="24"/>
          <w:szCs w:val="24"/>
        </w:rPr>
        <w:t xml:space="preserve"> </w:t>
      </w:r>
      <w:r w:rsidR="003716F4">
        <w:rPr>
          <w:rFonts w:ascii="Times New Roman" w:hAnsi="Times New Roman" w:cs="Times New Roman"/>
          <w:bCs/>
          <w:iCs/>
          <w:sz w:val="24"/>
          <w:szCs w:val="24"/>
        </w:rPr>
        <w:t>careless</w:t>
      </w:r>
      <w:r w:rsidR="00595182">
        <w:rPr>
          <w:rFonts w:ascii="Times New Roman" w:hAnsi="Times New Roman" w:cs="Times New Roman"/>
          <w:bCs/>
          <w:iCs/>
          <w:sz w:val="24"/>
          <w:szCs w:val="24"/>
        </w:rPr>
        <w:t>ness</w:t>
      </w:r>
      <w:r w:rsidR="0024298B">
        <w:rPr>
          <w:rFonts w:ascii="Times New Roman" w:hAnsi="Times New Roman" w:cs="Times New Roman"/>
          <w:bCs/>
          <w:iCs/>
          <w:sz w:val="24"/>
          <w:szCs w:val="24"/>
        </w:rPr>
        <w:t xml:space="preserve"> </w:t>
      </w:r>
      <w:r w:rsidR="007A517C">
        <w:rPr>
          <w:rFonts w:ascii="Times New Roman" w:hAnsi="Times New Roman" w:cs="Times New Roman"/>
          <w:bCs/>
          <w:iCs/>
          <w:sz w:val="24"/>
          <w:szCs w:val="24"/>
        </w:rPr>
        <w:t>which</w:t>
      </w:r>
      <w:r w:rsidR="00373C09">
        <w:rPr>
          <w:rFonts w:ascii="Times New Roman" w:hAnsi="Times New Roman" w:cs="Times New Roman"/>
          <w:bCs/>
          <w:iCs/>
          <w:sz w:val="24"/>
          <w:szCs w:val="24"/>
        </w:rPr>
        <w:t xml:space="preserve"> has led to</w:t>
      </w:r>
      <w:r w:rsidR="0024298B">
        <w:rPr>
          <w:rFonts w:ascii="Times New Roman" w:hAnsi="Times New Roman" w:cs="Times New Roman"/>
          <w:bCs/>
          <w:iCs/>
          <w:sz w:val="24"/>
          <w:szCs w:val="24"/>
        </w:rPr>
        <w:t xml:space="preserve"> </w:t>
      </w:r>
      <w:r w:rsidR="003716F4">
        <w:rPr>
          <w:rFonts w:ascii="Times New Roman" w:hAnsi="Times New Roman" w:cs="Times New Roman"/>
          <w:bCs/>
          <w:iCs/>
          <w:sz w:val="24"/>
          <w:szCs w:val="24"/>
        </w:rPr>
        <w:t>physical injury</w:t>
      </w:r>
      <w:r w:rsidR="0024298B">
        <w:rPr>
          <w:rFonts w:ascii="Times New Roman" w:hAnsi="Times New Roman" w:cs="Times New Roman"/>
          <w:bCs/>
          <w:iCs/>
          <w:sz w:val="24"/>
          <w:szCs w:val="24"/>
        </w:rPr>
        <w:t xml:space="preserve"> will be the </w:t>
      </w:r>
      <w:r w:rsidR="00071995">
        <w:rPr>
          <w:rFonts w:ascii="Times New Roman" w:hAnsi="Times New Roman" w:cs="Times New Roman"/>
          <w:bCs/>
          <w:iCs/>
          <w:sz w:val="24"/>
          <w:szCs w:val="24"/>
        </w:rPr>
        <w:t xml:space="preserve">subject </w:t>
      </w:r>
      <w:r w:rsidR="0024298B">
        <w:rPr>
          <w:rFonts w:ascii="Times New Roman" w:hAnsi="Times New Roman" w:cs="Times New Roman"/>
          <w:bCs/>
          <w:iCs/>
          <w:sz w:val="24"/>
          <w:szCs w:val="24"/>
        </w:rPr>
        <w:t>of</w:t>
      </w:r>
      <w:r w:rsidR="00071995">
        <w:rPr>
          <w:rFonts w:ascii="Times New Roman" w:hAnsi="Times New Roman" w:cs="Times New Roman"/>
          <w:bCs/>
          <w:iCs/>
          <w:sz w:val="24"/>
          <w:szCs w:val="24"/>
        </w:rPr>
        <w:t xml:space="preserve"> a duty of care</w:t>
      </w:r>
      <w:r w:rsidR="0024298B">
        <w:rPr>
          <w:rFonts w:ascii="Times New Roman" w:hAnsi="Times New Roman" w:cs="Times New Roman"/>
          <w:bCs/>
          <w:iCs/>
          <w:sz w:val="24"/>
          <w:szCs w:val="24"/>
        </w:rPr>
        <w:t xml:space="preserve">. </w:t>
      </w:r>
      <w:r w:rsidR="0024298B" w:rsidRPr="006F49E3">
        <w:rPr>
          <w:rFonts w:ascii="Times New Roman" w:hAnsi="Times New Roman" w:cs="Times New Roman"/>
          <w:bCs/>
          <w:iCs/>
          <w:sz w:val="24"/>
          <w:szCs w:val="24"/>
        </w:rPr>
        <w:t xml:space="preserve">In </w:t>
      </w:r>
      <w:r w:rsidR="0024298B" w:rsidRPr="006F49E3">
        <w:rPr>
          <w:rFonts w:ascii="Times New Roman" w:hAnsi="Times New Roman" w:cs="Times New Roman"/>
          <w:bCs/>
          <w:i/>
          <w:sz w:val="24"/>
          <w:szCs w:val="24"/>
        </w:rPr>
        <w:t>Robinson v Chief Constable of West Yorkshire Police</w:t>
      </w:r>
      <w:r w:rsidR="0024298B" w:rsidRPr="006F49E3">
        <w:rPr>
          <w:rFonts w:ascii="Times New Roman" w:hAnsi="Times New Roman" w:cs="Times New Roman"/>
          <w:bCs/>
          <w:iCs/>
          <w:sz w:val="24"/>
          <w:szCs w:val="24"/>
        </w:rPr>
        <w:t>,</w:t>
      </w:r>
      <w:r w:rsidR="0024298B">
        <w:rPr>
          <w:rStyle w:val="FootnoteReference"/>
          <w:rFonts w:cs="Times New Roman"/>
          <w:bCs/>
          <w:iCs/>
          <w:szCs w:val="24"/>
        </w:rPr>
        <w:footnoteReference w:id="92"/>
      </w:r>
      <w:r w:rsidR="0024298B">
        <w:rPr>
          <w:rFonts w:ascii="Times New Roman" w:hAnsi="Times New Roman" w:cs="Times New Roman"/>
          <w:bCs/>
          <w:iCs/>
          <w:sz w:val="24"/>
          <w:szCs w:val="24"/>
        </w:rPr>
        <w:t xml:space="preserve"> Lord Reed said that a person may owe a duty under the ‘ordinary principles of negligence’ to protect someone else from ‘a danger of injury which they have themselves created’.</w:t>
      </w:r>
      <w:r w:rsidR="0024298B">
        <w:rPr>
          <w:rStyle w:val="FootnoteReference"/>
          <w:rFonts w:cs="Times New Roman"/>
          <w:bCs/>
          <w:iCs/>
          <w:szCs w:val="24"/>
        </w:rPr>
        <w:footnoteReference w:id="93"/>
      </w:r>
      <w:r w:rsidR="0024298B">
        <w:rPr>
          <w:rFonts w:ascii="Times New Roman" w:hAnsi="Times New Roman" w:cs="Times New Roman"/>
          <w:bCs/>
          <w:iCs/>
          <w:sz w:val="24"/>
          <w:szCs w:val="24"/>
        </w:rPr>
        <w:t xml:space="preserve"> This is not to say that a duty </w:t>
      </w:r>
      <w:r w:rsidR="005A4D22">
        <w:rPr>
          <w:rFonts w:ascii="Times New Roman" w:hAnsi="Times New Roman" w:cs="Times New Roman"/>
          <w:bCs/>
          <w:iCs/>
          <w:sz w:val="24"/>
          <w:szCs w:val="24"/>
        </w:rPr>
        <w:t>is certain</w:t>
      </w:r>
      <w:r w:rsidR="00BC442C">
        <w:rPr>
          <w:rFonts w:ascii="Times New Roman" w:hAnsi="Times New Roman" w:cs="Times New Roman"/>
          <w:bCs/>
          <w:iCs/>
          <w:sz w:val="24"/>
          <w:szCs w:val="24"/>
        </w:rPr>
        <w:t xml:space="preserve">; there may be </w:t>
      </w:r>
      <w:r w:rsidR="000F5360">
        <w:rPr>
          <w:rFonts w:ascii="Times New Roman" w:hAnsi="Times New Roman" w:cs="Times New Roman"/>
          <w:bCs/>
          <w:iCs/>
          <w:sz w:val="24"/>
          <w:szCs w:val="24"/>
        </w:rPr>
        <w:t>cogent</w:t>
      </w:r>
      <w:r w:rsidR="00BC442C">
        <w:rPr>
          <w:rFonts w:ascii="Times New Roman" w:hAnsi="Times New Roman" w:cs="Times New Roman"/>
          <w:bCs/>
          <w:iCs/>
          <w:sz w:val="24"/>
          <w:szCs w:val="24"/>
        </w:rPr>
        <w:t xml:space="preserve"> reasons </w:t>
      </w:r>
      <w:r w:rsidR="00143C20">
        <w:rPr>
          <w:rFonts w:ascii="Times New Roman" w:hAnsi="Times New Roman" w:cs="Times New Roman"/>
          <w:bCs/>
          <w:iCs/>
          <w:sz w:val="24"/>
          <w:szCs w:val="24"/>
        </w:rPr>
        <w:t>to preclude one</w:t>
      </w:r>
      <w:r w:rsidR="0035786B">
        <w:rPr>
          <w:rFonts w:ascii="Times New Roman" w:hAnsi="Times New Roman" w:cs="Times New Roman"/>
          <w:bCs/>
          <w:iCs/>
          <w:sz w:val="24"/>
          <w:szCs w:val="24"/>
        </w:rPr>
        <w:t>.</w:t>
      </w:r>
      <w:r w:rsidR="00BC442C">
        <w:rPr>
          <w:rStyle w:val="FootnoteReference"/>
          <w:rFonts w:cs="Times New Roman"/>
          <w:bCs/>
          <w:iCs/>
          <w:szCs w:val="24"/>
        </w:rPr>
        <w:footnoteReference w:id="94"/>
      </w:r>
      <w:r w:rsidR="00011279">
        <w:rPr>
          <w:rFonts w:ascii="Times New Roman" w:hAnsi="Times New Roman" w:cs="Times New Roman"/>
          <w:bCs/>
          <w:iCs/>
          <w:sz w:val="24"/>
          <w:szCs w:val="24"/>
        </w:rPr>
        <w:t xml:space="preserve"> </w:t>
      </w:r>
      <w:r w:rsidR="005C6DA1">
        <w:rPr>
          <w:rFonts w:ascii="Times New Roman" w:hAnsi="Times New Roman" w:cs="Times New Roman"/>
          <w:bCs/>
          <w:iCs/>
          <w:sz w:val="24"/>
          <w:szCs w:val="24"/>
        </w:rPr>
        <w:t xml:space="preserve">However, </w:t>
      </w:r>
      <w:r w:rsidR="00EF7D69">
        <w:rPr>
          <w:rFonts w:ascii="Times New Roman" w:hAnsi="Times New Roman" w:cs="Times New Roman"/>
          <w:bCs/>
          <w:iCs/>
          <w:sz w:val="24"/>
          <w:szCs w:val="24"/>
        </w:rPr>
        <w:t>one might wonder how many such reason</w:t>
      </w:r>
      <w:r w:rsidR="00905728">
        <w:rPr>
          <w:rFonts w:ascii="Times New Roman" w:hAnsi="Times New Roman" w:cs="Times New Roman"/>
          <w:bCs/>
          <w:iCs/>
          <w:sz w:val="24"/>
          <w:szCs w:val="24"/>
        </w:rPr>
        <w:t>s</w:t>
      </w:r>
      <w:r w:rsidR="005C6DA1">
        <w:rPr>
          <w:rFonts w:ascii="Times New Roman" w:hAnsi="Times New Roman" w:cs="Times New Roman"/>
          <w:bCs/>
          <w:iCs/>
          <w:sz w:val="24"/>
          <w:szCs w:val="24"/>
        </w:rPr>
        <w:t xml:space="preserve"> continue to pertain:</w:t>
      </w:r>
      <w:r w:rsidR="00905728">
        <w:rPr>
          <w:rFonts w:ascii="Times New Roman" w:hAnsi="Times New Roman" w:cs="Times New Roman"/>
          <w:bCs/>
          <w:iCs/>
          <w:sz w:val="24"/>
          <w:szCs w:val="24"/>
        </w:rPr>
        <w:t xml:space="preserve"> the courts </w:t>
      </w:r>
      <w:r w:rsidR="005C53FD">
        <w:rPr>
          <w:rFonts w:ascii="Times New Roman" w:hAnsi="Times New Roman" w:cs="Times New Roman"/>
          <w:bCs/>
          <w:iCs/>
          <w:sz w:val="24"/>
          <w:szCs w:val="24"/>
        </w:rPr>
        <w:t>are</w:t>
      </w:r>
      <w:r w:rsidR="005B2124">
        <w:rPr>
          <w:rFonts w:ascii="Times New Roman" w:hAnsi="Times New Roman" w:cs="Times New Roman"/>
          <w:bCs/>
          <w:iCs/>
          <w:sz w:val="24"/>
          <w:szCs w:val="24"/>
        </w:rPr>
        <w:t xml:space="preserve"> </w:t>
      </w:r>
      <w:r w:rsidR="005C53FD">
        <w:rPr>
          <w:rFonts w:ascii="Times New Roman" w:hAnsi="Times New Roman" w:cs="Times New Roman"/>
          <w:bCs/>
          <w:iCs/>
          <w:sz w:val="24"/>
          <w:szCs w:val="24"/>
        </w:rPr>
        <w:t xml:space="preserve">now </w:t>
      </w:r>
      <w:r w:rsidR="005B2124">
        <w:rPr>
          <w:rFonts w:ascii="Times New Roman" w:hAnsi="Times New Roman" w:cs="Times New Roman"/>
          <w:bCs/>
          <w:iCs/>
          <w:sz w:val="24"/>
          <w:szCs w:val="24"/>
        </w:rPr>
        <w:t>far</w:t>
      </w:r>
      <w:r w:rsidR="00E87E03">
        <w:rPr>
          <w:rFonts w:ascii="Times New Roman" w:hAnsi="Times New Roman" w:cs="Times New Roman"/>
          <w:bCs/>
          <w:iCs/>
          <w:sz w:val="24"/>
          <w:szCs w:val="24"/>
        </w:rPr>
        <w:t xml:space="preserve"> less </w:t>
      </w:r>
      <w:r w:rsidR="002850AA">
        <w:rPr>
          <w:rFonts w:ascii="Times New Roman" w:hAnsi="Times New Roman" w:cs="Times New Roman"/>
          <w:bCs/>
          <w:iCs/>
          <w:sz w:val="24"/>
          <w:szCs w:val="24"/>
        </w:rPr>
        <w:t>persuaded by policy arguments against the imposition of duties in personal injury cases</w:t>
      </w:r>
      <w:r w:rsidR="005C6DA1">
        <w:rPr>
          <w:rFonts w:ascii="Times New Roman" w:hAnsi="Times New Roman" w:cs="Times New Roman"/>
          <w:bCs/>
          <w:iCs/>
          <w:sz w:val="24"/>
          <w:szCs w:val="24"/>
        </w:rPr>
        <w:t>.</w:t>
      </w:r>
      <w:r w:rsidR="000F249D">
        <w:rPr>
          <w:rStyle w:val="FootnoteReference"/>
          <w:rFonts w:cs="Times New Roman"/>
          <w:bCs/>
          <w:iCs/>
          <w:szCs w:val="24"/>
        </w:rPr>
        <w:footnoteReference w:id="95"/>
      </w:r>
      <w:r w:rsidR="001E3E03">
        <w:rPr>
          <w:rFonts w:ascii="Times New Roman" w:hAnsi="Times New Roman" w:cs="Times New Roman"/>
          <w:bCs/>
          <w:iCs/>
          <w:sz w:val="24"/>
          <w:szCs w:val="24"/>
        </w:rPr>
        <w:t xml:space="preserve"> </w:t>
      </w:r>
      <w:r w:rsidR="005A4D22">
        <w:rPr>
          <w:rFonts w:ascii="Times New Roman" w:hAnsi="Times New Roman" w:cs="Times New Roman"/>
          <w:bCs/>
          <w:iCs/>
          <w:sz w:val="24"/>
          <w:szCs w:val="24"/>
        </w:rPr>
        <w:t>W</w:t>
      </w:r>
      <w:r w:rsidR="00570FA9" w:rsidRPr="006F49E3">
        <w:rPr>
          <w:rFonts w:ascii="Times New Roman" w:hAnsi="Times New Roman" w:cs="Times New Roman"/>
          <w:bCs/>
          <w:iCs/>
          <w:sz w:val="24"/>
          <w:szCs w:val="24"/>
        </w:rPr>
        <w:t>here</w:t>
      </w:r>
      <w:r w:rsidR="00570FA9">
        <w:rPr>
          <w:rFonts w:ascii="Times New Roman" w:hAnsi="Times New Roman" w:cs="Times New Roman"/>
          <w:bCs/>
          <w:iCs/>
          <w:sz w:val="24"/>
          <w:szCs w:val="24"/>
        </w:rPr>
        <w:t xml:space="preserve"> duty </w:t>
      </w:r>
      <w:r w:rsidR="00570FA9" w:rsidRPr="00635E69">
        <w:rPr>
          <w:rFonts w:ascii="Times New Roman" w:hAnsi="Times New Roman" w:cs="Times New Roman"/>
          <w:bCs/>
          <w:i/>
          <w:sz w:val="24"/>
          <w:szCs w:val="24"/>
        </w:rPr>
        <w:t>is</w:t>
      </w:r>
      <w:r w:rsidR="00570FA9">
        <w:rPr>
          <w:rFonts w:ascii="Times New Roman" w:hAnsi="Times New Roman" w:cs="Times New Roman"/>
          <w:bCs/>
          <w:iCs/>
          <w:sz w:val="24"/>
          <w:szCs w:val="24"/>
        </w:rPr>
        <w:t xml:space="preserve"> contested, often in novel circumstances, its existence</w:t>
      </w:r>
      <w:r w:rsidR="00570FA9" w:rsidRPr="006F49E3">
        <w:rPr>
          <w:rFonts w:ascii="Times New Roman" w:hAnsi="Times New Roman" w:cs="Times New Roman"/>
          <w:bCs/>
          <w:iCs/>
          <w:sz w:val="24"/>
          <w:szCs w:val="24"/>
        </w:rPr>
        <w:t xml:space="preserve"> </w:t>
      </w:r>
      <w:r w:rsidR="00570FA9">
        <w:rPr>
          <w:rFonts w:ascii="Times New Roman" w:hAnsi="Times New Roman" w:cs="Times New Roman"/>
          <w:bCs/>
          <w:iCs/>
          <w:sz w:val="24"/>
          <w:szCs w:val="24"/>
        </w:rPr>
        <w:t>may</w:t>
      </w:r>
      <w:r w:rsidR="00570FA9" w:rsidRPr="006F49E3">
        <w:rPr>
          <w:rFonts w:ascii="Times New Roman" w:hAnsi="Times New Roman" w:cs="Times New Roman"/>
          <w:bCs/>
          <w:iCs/>
          <w:sz w:val="24"/>
          <w:szCs w:val="24"/>
        </w:rPr>
        <w:t xml:space="preserve"> depend on </w:t>
      </w:r>
      <w:r w:rsidR="00874927">
        <w:rPr>
          <w:rFonts w:ascii="Times New Roman" w:hAnsi="Times New Roman" w:cs="Times New Roman"/>
          <w:bCs/>
          <w:iCs/>
          <w:sz w:val="24"/>
          <w:szCs w:val="24"/>
        </w:rPr>
        <w:t xml:space="preserve">broader </w:t>
      </w:r>
      <w:r w:rsidR="00570FA9" w:rsidRPr="006F49E3">
        <w:rPr>
          <w:rFonts w:ascii="Times New Roman" w:hAnsi="Times New Roman" w:cs="Times New Roman"/>
          <w:bCs/>
          <w:iCs/>
          <w:sz w:val="24"/>
          <w:szCs w:val="24"/>
        </w:rPr>
        <w:t>considerations of foreseeability; proximity; and fairness, justice and reasonableness.</w:t>
      </w:r>
      <w:r w:rsidR="00570FA9">
        <w:rPr>
          <w:rStyle w:val="FootnoteReference"/>
          <w:rFonts w:cs="Times New Roman"/>
          <w:bCs/>
          <w:iCs/>
          <w:szCs w:val="24"/>
        </w:rPr>
        <w:footnoteReference w:id="96"/>
      </w:r>
      <w:r w:rsidR="00D87712">
        <w:rPr>
          <w:rFonts w:ascii="Times New Roman" w:hAnsi="Times New Roman" w:cs="Times New Roman"/>
          <w:bCs/>
          <w:iCs/>
          <w:sz w:val="24"/>
          <w:szCs w:val="24"/>
        </w:rPr>
        <w:t xml:space="preserve"> The</w:t>
      </w:r>
      <w:r w:rsidR="00B93C2A">
        <w:rPr>
          <w:rFonts w:ascii="Times New Roman" w:hAnsi="Times New Roman" w:cs="Times New Roman"/>
          <w:bCs/>
          <w:iCs/>
          <w:sz w:val="24"/>
          <w:szCs w:val="24"/>
        </w:rPr>
        <w:t>re is</w:t>
      </w:r>
      <w:r w:rsidR="008C5D56">
        <w:rPr>
          <w:rFonts w:ascii="Times New Roman" w:hAnsi="Times New Roman" w:cs="Times New Roman"/>
          <w:bCs/>
          <w:iCs/>
          <w:sz w:val="24"/>
          <w:szCs w:val="24"/>
        </w:rPr>
        <w:t>, therefore,</w:t>
      </w:r>
      <w:r w:rsidR="00B93C2A">
        <w:rPr>
          <w:rFonts w:ascii="Times New Roman" w:hAnsi="Times New Roman" w:cs="Times New Roman"/>
          <w:bCs/>
          <w:iCs/>
          <w:sz w:val="24"/>
          <w:szCs w:val="24"/>
        </w:rPr>
        <w:t xml:space="preserve"> nothing </w:t>
      </w:r>
      <w:r w:rsidR="00B93C2A" w:rsidRPr="0038566E">
        <w:rPr>
          <w:rFonts w:ascii="Times New Roman" w:hAnsi="Times New Roman" w:cs="Times New Roman"/>
          <w:bCs/>
          <w:i/>
          <w:sz w:val="24"/>
          <w:szCs w:val="24"/>
        </w:rPr>
        <w:t>inevitable</w:t>
      </w:r>
      <w:r w:rsidR="00B93C2A">
        <w:rPr>
          <w:rFonts w:ascii="Times New Roman" w:hAnsi="Times New Roman" w:cs="Times New Roman"/>
          <w:bCs/>
          <w:iCs/>
          <w:sz w:val="24"/>
          <w:szCs w:val="24"/>
        </w:rPr>
        <w:t xml:space="preserve"> about </w:t>
      </w:r>
      <w:r w:rsidR="0000325E">
        <w:rPr>
          <w:rFonts w:ascii="Times New Roman" w:hAnsi="Times New Roman" w:cs="Times New Roman"/>
          <w:bCs/>
          <w:iCs/>
          <w:sz w:val="24"/>
          <w:szCs w:val="24"/>
        </w:rPr>
        <w:t>the</w:t>
      </w:r>
      <w:r w:rsidR="00B93C2A">
        <w:rPr>
          <w:rFonts w:ascii="Times New Roman" w:hAnsi="Times New Roman" w:cs="Times New Roman"/>
          <w:bCs/>
          <w:iCs/>
          <w:sz w:val="24"/>
          <w:szCs w:val="24"/>
        </w:rPr>
        <w:t xml:space="preserve"> duty of care</w:t>
      </w:r>
      <w:r w:rsidR="00251A7D">
        <w:rPr>
          <w:rFonts w:ascii="Times New Roman" w:hAnsi="Times New Roman" w:cs="Times New Roman"/>
          <w:bCs/>
          <w:iCs/>
          <w:sz w:val="24"/>
          <w:szCs w:val="24"/>
        </w:rPr>
        <w:t>,</w:t>
      </w:r>
      <w:r w:rsidR="00B93C2A">
        <w:rPr>
          <w:rFonts w:ascii="Times New Roman" w:hAnsi="Times New Roman" w:cs="Times New Roman"/>
          <w:bCs/>
          <w:iCs/>
          <w:sz w:val="24"/>
          <w:szCs w:val="24"/>
        </w:rPr>
        <w:t xml:space="preserve"> but its existence </w:t>
      </w:r>
      <w:r w:rsidR="0000325E">
        <w:rPr>
          <w:rFonts w:ascii="Times New Roman" w:hAnsi="Times New Roman" w:cs="Times New Roman"/>
          <w:bCs/>
          <w:iCs/>
          <w:sz w:val="24"/>
          <w:szCs w:val="24"/>
        </w:rPr>
        <w:t>is</w:t>
      </w:r>
      <w:r w:rsidR="00B93C2A">
        <w:rPr>
          <w:rFonts w:ascii="Times New Roman" w:hAnsi="Times New Roman" w:cs="Times New Roman"/>
          <w:bCs/>
          <w:iCs/>
          <w:sz w:val="24"/>
          <w:szCs w:val="24"/>
        </w:rPr>
        <w:t xml:space="preserve"> highly likely</w:t>
      </w:r>
      <w:r w:rsidR="005A4D22">
        <w:rPr>
          <w:rFonts w:ascii="Times New Roman" w:hAnsi="Times New Roman" w:cs="Times New Roman"/>
          <w:bCs/>
          <w:iCs/>
          <w:sz w:val="24"/>
          <w:szCs w:val="24"/>
        </w:rPr>
        <w:t xml:space="preserve"> in cases of physical injury</w:t>
      </w:r>
      <w:r w:rsidR="00B93C2A">
        <w:rPr>
          <w:rFonts w:ascii="Times New Roman" w:hAnsi="Times New Roman" w:cs="Times New Roman"/>
          <w:bCs/>
          <w:iCs/>
          <w:sz w:val="24"/>
          <w:szCs w:val="24"/>
        </w:rPr>
        <w:t>.</w:t>
      </w:r>
    </w:p>
    <w:p w14:paraId="25A694E5" w14:textId="2845BB1A" w:rsidR="00040696" w:rsidRDefault="0000325E" w:rsidP="00ED3010">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Importantly, a</w:t>
      </w:r>
      <w:r w:rsidR="006F49E3" w:rsidRPr="006F49E3">
        <w:rPr>
          <w:rFonts w:ascii="Times New Roman" w:hAnsi="Times New Roman" w:cs="Times New Roman"/>
          <w:bCs/>
          <w:iCs/>
          <w:sz w:val="24"/>
          <w:szCs w:val="24"/>
        </w:rPr>
        <w:t xml:space="preserve"> claimant </w:t>
      </w:r>
      <w:r w:rsidR="00F41A11">
        <w:rPr>
          <w:rFonts w:ascii="Times New Roman" w:hAnsi="Times New Roman" w:cs="Times New Roman"/>
          <w:bCs/>
          <w:iCs/>
          <w:sz w:val="24"/>
          <w:szCs w:val="24"/>
        </w:rPr>
        <w:t xml:space="preserve">does not have to prove that she has suffered a </w:t>
      </w:r>
      <w:r w:rsidR="00F41A11">
        <w:rPr>
          <w:rFonts w:ascii="Times New Roman" w:hAnsi="Times New Roman" w:cs="Times New Roman"/>
          <w:bCs/>
          <w:i/>
          <w:sz w:val="24"/>
          <w:szCs w:val="24"/>
        </w:rPr>
        <w:t xml:space="preserve">particular kind </w:t>
      </w:r>
      <w:r w:rsidR="00F41A11">
        <w:rPr>
          <w:rFonts w:ascii="Times New Roman" w:hAnsi="Times New Roman" w:cs="Times New Roman"/>
          <w:bCs/>
          <w:iCs/>
          <w:sz w:val="24"/>
          <w:szCs w:val="24"/>
        </w:rPr>
        <w:t xml:space="preserve">of physical </w:t>
      </w:r>
      <w:r w:rsidR="00251A7D">
        <w:rPr>
          <w:rFonts w:ascii="Times New Roman" w:hAnsi="Times New Roman" w:cs="Times New Roman"/>
          <w:bCs/>
          <w:iCs/>
          <w:sz w:val="24"/>
          <w:szCs w:val="24"/>
        </w:rPr>
        <w:t>injury</w:t>
      </w:r>
      <w:r>
        <w:rPr>
          <w:rFonts w:ascii="Times New Roman" w:hAnsi="Times New Roman" w:cs="Times New Roman"/>
          <w:bCs/>
          <w:iCs/>
          <w:sz w:val="24"/>
          <w:szCs w:val="24"/>
        </w:rPr>
        <w:t xml:space="preserve">. All that matters is that her injury </w:t>
      </w:r>
      <w:r w:rsidR="00397567">
        <w:rPr>
          <w:rFonts w:ascii="Times New Roman" w:hAnsi="Times New Roman" w:cs="Times New Roman"/>
          <w:bCs/>
          <w:iCs/>
          <w:sz w:val="24"/>
          <w:szCs w:val="24"/>
        </w:rPr>
        <w:t>constitutes compensable actionable damage</w:t>
      </w:r>
      <w:r w:rsidR="00732DFB">
        <w:rPr>
          <w:rFonts w:ascii="Times New Roman" w:hAnsi="Times New Roman" w:cs="Times New Roman"/>
          <w:bCs/>
          <w:iCs/>
          <w:sz w:val="24"/>
          <w:szCs w:val="24"/>
        </w:rPr>
        <w:t>; that is,</w:t>
      </w:r>
      <w:r w:rsidR="00167C30">
        <w:rPr>
          <w:rFonts w:ascii="Times New Roman" w:hAnsi="Times New Roman" w:cs="Times New Roman"/>
          <w:bCs/>
          <w:iCs/>
          <w:sz w:val="24"/>
          <w:szCs w:val="24"/>
        </w:rPr>
        <w:t xml:space="preserve"> </w:t>
      </w:r>
      <w:r w:rsidR="000935A0">
        <w:rPr>
          <w:rFonts w:ascii="Times New Roman" w:hAnsi="Times New Roman" w:cs="Times New Roman"/>
          <w:bCs/>
          <w:iCs/>
          <w:sz w:val="24"/>
          <w:szCs w:val="24"/>
        </w:rPr>
        <w:t>it leaves her ‘appreciably worse off’</w:t>
      </w:r>
      <w:r w:rsidR="00EA0373">
        <w:rPr>
          <w:rFonts w:ascii="Times New Roman" w:hAnsi="Times New Roman" w:cs="Times New Roman"/>
          <w:bCs/>
          <w:iCs/>
          <w:sz w:val="24"/>
          <w:szCs w:val="24"/>
        </w:rPr>
        <w:t xml:space="preserve"> in respect of her health</w:t>
      </w:r>
      <w:r w:rsidR="0017644F">
        <w:rPr>
          <w:rFonts w:ascii="Times New Roman" w:hAnsi="Times New Roman" w:cs="Times New Roman"/>
          <w:bCs/>
          <w:iCs/>
          <w:sz w:val="24"/>
          <w:szCs w:val="24"/>
        </w:rPr>
        <w:t>.</w:t>
      </w:r>
      <w:bookmarkStart w:id="25" w:name="_Ref78984607"/>
      <w:r w:rsidR="0017644F">
        <w:rPr>
          <w:rStyle w:val="FootnoteReference"/>
          <w:rFonts w:cs="Times New Roman"/>
          <w:bCs/>
          <w:iCs/>
          <w:szCs w:val="24"/>
        </w:rPr>
        <w:footnoteReference w:id="97"/>
      </w:r>
      <w:bookmarkEnd w:id="25"/>
      <w:r w:rsidR="0017644F">
        <w:rPr>
          <w:rFonts w:ascii="Times New Roman" w:hAnsi="Times New Roman" w:cs="Times New Roman"/>
          <w:bCs/>
          <w:iCs/>
          <w:sz w:val="24"/>
          <w:szCs w:val="24"/>
        </w:rPr>
        <w:t xml:space="preserve"> This</w:t>
      </w:r>
      <w:r w:rsidR="00C23608">
        <w:rPr>
          <w:rFonts w:ascii="Times New Roman" w:hAnsi="Times New Roman" w:cs="Times New Roman"/>
          <w:bCs/>
          <w:iCs/>
          <w:sz w:val="24"/>
          <w:szCs w:val="24"/>
        </w:rPr>
        <w:t xml:space="preserve"> is</w:t>
      </w:r>
      <w:r w:rsidR="00691382">
        <w:rPr>
          <w:rFonts w:ascii="Times New Roman" w:hAnsi="Times New Roman" w:cs="Times New Roman"/>
          <w:bCs/>
          <w:iCs/>
          <w:sz w:val="24"/>
          <w:szCs w:val="24"/>
        </w:rPr>
        <w:t xml:space="preserve"> not a high </w:t>
      </w:r>
      <w:r w:rsidR="00691382">
        <w:rPr>
          <w:rFonts w:ascii="Times New Roman" w:hAnsi="Times New Roman" w:cs="Times New Roman"/>
          <w:bCs/>
          <w:iCs/>
          <w:sz w:val="24"/>
          <w:szCs w:val="24"/>
        </w:rPr>
        <w:lastRenderedPageBreak/>
        <w:t>threshold:</w:t>
      </w:r>
      <w:r w:rsidR="00167C30">
        <w:rPr>
          <w:rFonts w:ascii="Times New Roman" w:hAnsi="Times New Roman" w:cs="Times New Roman"/>
          <w:bCs/>
          <w:iCs/>
          <w:sz w:val="24"/>
          <w:szCs w:val="24"/>
        </w:rPr>
        <w:t xml:space="preserve"> in </w:t>
      </w:r>
      <w:r w:rsidR="00167C30">
        <w:rPr>
          <w:rFonts w:ascii="Times New Roman" w:hAnsi="Times New Roman" w:cs="Times New Roman"/>
          <w:bCs/>
          <w:i/>
          <w:sz w:val="24"/>
          <w:szCs w:val="24"/>
        </w:rPr>
        <w:t>Dryden v Johnson Matthey PLC</w:t>
      </w:r>
      <w:r w:rsidR="00167C30">
        <w:rPr>
          <w:rFonts w:ascii="Times New Roman" w:hAnsi="Times New Roman" w:cs="Times New Roman"/>
          <w:bCs/>
          <w:iCs/>
          <w:sz w:val="24"/>
          <w:szCs w:val="24"/>
        </w:rPr>
        <w:t>,</w:t>
      </w:r>
      <w:r w:rsidR="00DF52DF">
        <w:rPr>
          <w:rStyle w:val="FootnoteReference"/>
          <w:rFonts w:cs="Times New Roman"/>
          <w:bCs/>
          <w:iCs/>
          <w:szCs w:val="24"/>
        </w:rPr>
        <w:footnoteReference w:id="98"/>
      </w:r>
      <w:r w:rsidR="000E0C35">
        <w:rPr>
          <w:rFonts w:ascii="Times New Roman" w:hAnsi="Times New Roman" w:cs="Times New Roman"/>
          <w:bCs/>
          <w:iCs/>
          <w:sz w:val="24"/>
          <w:szCs w:val="24"/>
        </w:rPr>
        <w:t xml:space="preserve"> a </w:t>
      </w:r>
      <w:r w:rsidR="00A500EF">
        <w:rPr>
          <w:rFonts w:ascii="Times New Roman" w:hAnsi="Times New Roman" w:cs="Times New Roman"/>
          <w:bCs/>
          <w:iCs/>
          <w:sz w:val="24"/>
          <w:szCs w:val="24"/>
        </w:rPr>
        <w:t>symptomless sensitivity</w:t>
      </w:r>
      <w:r w:rsidR="00167C30">
        <w:rPr>
          <w:rFonts w:ascii="Times New Roman" w:hAnsi="Times New Roman" w:cs="Times New Roman"/>
          <w:bCs/>
          <w:iCs/>
          <w:sz w:val="24"/>
          <w:szCs w:val="24"/>
        </w:rPr>
        <w:t xml:space="preserve"> to platinum salts</w:t>
      </w:r>
      <w:r w:rsidR="00A500EF">
        <w:rPr>
          <w:rFonts w:ascii="Times New Roman" w:hAnsi="Times New Roman" w:cs="Times New Roman"/>
          <w:bCs/>
          <w:iCs/>
          <w:sz w:val="24"/>
          <w:szCs w:val="24"/>
        </w:rPr>
        <w:t xml:space="preserve"> that </w:t>
      </w:r>
      <w:r w:rsidR="00167C30">
        <w:rPr>
          <w:rFonts w:ascii="Times New Roman" w:hAnsi="Times New Roman" w:cs="Times New Roman"/>
          <w:bCs/>
          <w:iCs/>
          <w:sz w:val="24"/>
          <w:szCs w:val="24"/>
        </w:rPr>
        <w:t>wa</w:t>
      </w:r>
      <w:r w:rsidR="00A500EF">
        <w:rPr>
          <w:rFonts w:ascii="Times New Roman" w:hAnsi="Times New Roman" w:cs="Times New Roman"/>
          <w:bCs/>
          <w:iCs/>
          <w:sz w:val="24"/>
          <w:szCs w:val="24"/>
        </w:rPr>
        <w:t>s not itself physical</w:t>
      </w:r>
      <w:r w:rsidR="00DF52DF">
        <w:rPr>
          <w:rFonts w:ascii="Times New Roman" w:hAnsi="Times New Roman" w:cs="Times New Roman"/>
          <w:bCs/>
          <w:iCs/>
          <w:sz w:val="24"/>
          <w:szCs w:val="24"/>
        </w:rPr>
        <w:t>ly</w:t>
      </w:r>
      <w:r w:rsidR="00A500EF">
        <w:rPr>
          <w:rFonts w:ascii="Times New Roman" w:hAnsi="Times New Roman" w:cs="Times New Roman"/>
          <w:bCs/>
          <w:iCs/>
          <w:sz w:val="24"/>
          <w:szCs w:val="24"/>
        </w:rPr>
        <w:t xml:space="preserve"> harmful</w:t>
      </w:r>
      <w:r w:rsidR="00167C30">
        <w:rPr>
          <w:rFonts w:ascii="Times New Roman" w:hAnsi="Times New Roman" w:cs="Times New Roman"/>
          <w:bCs/>
          <w:iCs/>
          <w:sz w:val="24"/>
          <w:szCs w:val="24"/>
        </w:rPr>
        <w:t xml:space="preserve"> was enough to qualify as actionable damage</w:t>
      </w:r>
      <w:r w:rsidR="00397567">
        <w:rPr>
          <w:rFonts w:ascii="Times New Roman" w:hAnsi="Times New Roman" w:cs="Times New Roman"/>
          <w:bCs/>
          <w:iCs/>
          <w:sz w:val="24"/>
          <w:szCs w:val="24"/>
        </w:rPr>
        <w:t>.</w:t>
      </w:r>
      <w:r>
        <w:rPr>
          <w:rFonts w:ascii="Times New Roman" w:hAnsi="Times New Roman" w:cs="Times New Roman"/>
          <w:bCs/>
          <w:iCs/>
          <w:sz w:val="24"/>
          <w:szCs w:val="24"/>
        </w:rPr>
        <w:t xml:space="preserve"> </w:t>
      </w:r>
      <w:r w:rsidR="005D7916">
        <w:rPr>
          <w:rFonts w:ascii="Times New Roman" w:hAnsi="Times New Roman" w:cs="Times New Roman"/>
          <w:bCs/>
          <w:iCs/>
          <w:sz w:val="24"/>
          <w:szCs w:val="24"/>
        </w:rPr>
        <w:t>Nor is the</w:t>
      </w:r>
      <w:r w:rsidR="00D70838">
        <w:rPr>
          <w:rFonts w:ascii="Times New Roman" w:hAnsi="Times New Roman" w:cs="Times New Roman"/>
          <w:bCs/>
          <w:i/>
          <w:sz w:val="24"/>
          <w:szCs w:val="24"/>
        </w:rPr>
        <w:t xml:space="preserve"> </w:t>
      </w:r>
      <w:r w:rsidR="00D70838">
        <w:rPr>
          <w:rFonts w:ascii="Times New Roman" w:hAnsi="Times New Roman" w:cs="Times New Roman"/>
          <w:bCs/>
          <w:iCs/>
          <w:sz w:val="24"/>
          <w:szCs w:val="24"/>
        </w:rPr>
        <w:t xml:space="preserve">type of injury </w:t>
      </w:r>
      <w:r w:rsidR="006318C9">
        <w:rPr>
          <w:rFonts w:ascii="Times New Roman" w:hAnsi="Times New Roman" w:cs="Times New Roman"/>
          <w:bCs/>
          <w:iCs/>
          <w:sz w:val="24"/>
          <w:szCs w:val="24"/>
        </w:rPr>
        <w:t>the claimant</w:t>
      </w:r>
      <w:r w:rsidR="00D70838">
        <w:rPr>
          <w:rFonts w:ascii="Times New Roman" w:hAnsi="Times New Roman" w:cs="Times New Roman"/>
          <w:bCs/>
          <w:iCs/>
          <w:sz w:val="24"/>
          <w:szCs w:val="24"/>
        </w:rPr>
        <w:t xml:space="preserve"> has suffered </w:t>
      </w:r>
      <w:r w:rsidR="00A41187">
        <w:rPr>
          <w:rFonts w:ascii="Times New Roman" w:hAnsi="Times New Roman" w:cs="Times New Roman"/>
          <w:bCs/>
          <w:iCs/>
          <w:sz w:val="24"/>
          <w:szCs w:val="24"/>
        </w:rPr>
        <w:t>likely to</w:t>
      </w:r>
      <w:r w:rsidR="00DD4399">
        <w:rPr>
          <w:rFonts w:ascii="Times New Roman" w:hAnsi="Times New Roman" w:cs="Times New Roman"/>
          <w:bCs/>
          <w:iCs/>
          <w:sz w:val="24"/>
          <w:szCs w:val="24"/>
        </w:rPr>
        <w:t xml:space="preserve"> be a reason to preclude </w:t>
      </w:r>
      <w:r w:rsidR="00974E0A">
        <w:rPr>
          <w:rFonts w:ascii="Times New Roman" w:hAnsi="Times New Roman" w:cs="Times New Roman"/>
          <w:bCs/>
          <w:iCs/>
          <w:sz w:val="24"/>
          <w:szCs w:val="24"/>
        </w:rPr>
        <w:t>liability</w:t>
      </w:r>
      <w:r w:rsidR="00AD2C48">
        <w:rPr>
          <w:rFonts w:ascii="Times New Roman" w:hAnsi="Times New Roman" w:cs="Times New Roman"/>
          <w:bCs/>
          <w:iCs/>
          <w:sz w:val="24"/>
          <w:szCs w:val="24"/>
        </w:rPr>
        <w:t>.</w:t>
      </w:r>
      <w:r w:rsidR="004B0C9E">
        <w:rPr>
          <w:rFonts w:ascii="Times New Roman" w:hAnsi="Times New Roman" w:cs="Times New Roman"/>
          <w:bCs/>
          <w:iCs/>
          <w:sz w:val="24"/>
          <w:szCs w:val="24"/>
        </w:rPr>
        <w:t xml:space="preserve"> In the related inquiry </w:t>
      </w:r>
      <w:r w:rsidR="007A517C">
        <w:rPr>
          <w:rFonts w:ascii="Times New Roman" w:hAnsi="Times New Roman" w:cs="Times New Roman"/>
          <w:bCs/>
          <w:iCs/>
          <w:sz w:val="24"/>
          <w:szCs w:val="24"/>
        </w:rPr>
        <w:t>as to</w:t>
      </w:r>
      <w:r w:rsidR="004B0C9E">
        <w:rPr>
          <w:rFonts w:ascii="Times New Roman" w:hAnsi="Times New Roman" w:cs="Times New Roman"/>
          <w:bCs/>
          <w:iCs/>
          <w:sz w:val="24"/>
          <w:szCs w:val="24"/>
        </w:rPr>
        <w:t xml:space="preserve"> whether a claimant’s damage is too remote to justify recovery,</w:t>
      </w:r>
      <w:r w:rsidR="006318C9">
        <w:rPr>
          <w:rFonts w:ascii="Times New Roman" w:hAnsi="Times New Roman" w:cs="Times New Roman"/>
          <w:bCs/>
          <w:iCs/>
          <w:sz w:val="24"/>
          <w:szCs w:val="24"/>
        </w:rPr>
        <w:t xml:space="preserve"> </w:t>
      </w:r>
      <w:r w:rsidR="004B0C9E">
        <w:rPr>
          <w:rFonts w:ascii="Times New Roman" w:hAnsi="Times New Roman" w:cs="Times New Roman"/>
          <w:bCs/>
          <w:iCs/>
          <w:sz w:val="24"/>
          <w:szCs w:val="24"/>
        </w:rPr>
        <w:t>t</w:t>
      </w:r>
      <w:r w:rsidR="006318C9">
        <w:rPr>
          <w:rFonts w:ascii="Times New Roman" w:hAnsi="Times New Roman" w:cs="Times New Roman"/>
          <w:bCs/>
          <w:iCs/>
          <w:sz w:val="24"/>
          <w:szCs w:val="24"/>
        </w:rPr>
        <w:t>he courts</w:t>
      </w:r>
      <w:r w:rsidR="00765A34">
        <w:rPr>
          <w:rFonts w:ascii="Times New Roman" w:hAnsi="Times New Roman" w:cs="Times New Roman"/>
          <w:bCs/>
          <w:iCs/>
          <w:sz w:val="24"/>
          <w:szCs w:val="24"/>
        </w:rPr>
        <w:t xml:space="preserve"> tend not to disaggregate</w:t>
      </w:r>
      <w:r w:rsidR="006318C9">
        <w:rPr>
          <w:rFonts w:ascii="Times New Roman" w:hAnsi="Times New Roman" w:cs="Times New Roman"/>
          <w:bCs/>
          <w:iCs/>
          <w:sz w:val="24"/>
          <w:szCs w:val="24"/>
        </w:rPr>
        <w:t xml:space="preserve"> </w:t>
      </w:r>
      <w:r w:rsidR="002F2E99">
        <w:rPr>
          <w:rFonts w:ascii="Times New Roman" w:hAnsi="Times New Roman" w:cs="Times New Roman"/>
          <w:bCs/>
          <w:iCs/>
          <w:sz w:val="24"/>
          <w:szCs w:val="24"/>
        </w:rPr>
        <w:t>p</w:t>
      </w:r>
      <w:r w:rsidR="0097445B">
        <w:rPr>
          <w:rFonts w:ascii="Times New Roman" w:hAnsi="Times New Roman" w:cs="Times New Roman"/>
          <w:bCs/>
          <w:iCs/>
          <w:sz w:val="24"/>
          <w:szCs w:val="24"/>
        </w:rPr>
        <w:t>hysical injuries</w:t>
      </w:r>
      <w:r w:rsidR="002F2E99">
        <w:rPr>
          <w:rFonts w:ascii="Times New Roman" w:hAnsi="Times New Roman" w:cs="Times New Roman"/>
          <w:bCs/>
          <w:iCs/>
          <w:sz w:val="24"/>
          <w:szCs w:val="24"/>
        </w:rPr>
        <w:t xml:space="preserve"> into </w:t>
      </w:r>
      <w:r w:rsidR="00805684">
        <w:rPr>
          <w:rFonts w:ascii="Times New Roman" w:hAnsi="Times New Roman" w:cs="Times New Roman"/>
          <w:bCs/>
          <w:iCs/>
          <w:sz w:val="24"/>
          <w:szCs w:val="24"/>
        </w:rPr>
        <w:t>different</w:t>
      </w:r>
      <w:r w:rsidR="002F2E99">
        <w:rPr>
          <w:rFonts w:ascii="Times New Roman" w:hAnsi="Times New Roman" w:cs="Times New Roman"/>
          <w:bCs/>
          <w:iCs/>
          <w:sz w:val="24"/>
          <w:szCs w:val="24"/>
        </w:rPr>
        <w:t xml:space="preserve"> </w:t>
      </w:r>
      <w:r w:rsidR="002F2E99">
        <w:rPr>
          <w:rFonts w:ascii="Times New Roman" w:hAnsi="Times New Roman" w:cs="Times New Roman"/>
          <w:bCs/>
          <w:i/>
          <w:sz w:val="24"/>
          <w:szCs w:val="24"/>
        </w:rPr>
        <w:t xml:space="preserve">kinds </w:t>
      </w:r>
      <w:r w:rsidR="002F2E99">
        <w:rPr>
          <w:rFonts w:ascii="Times New Roman" w:hAnsi="Times New Roman" w:cs="Times New Roman"/>
          <w:bCs/>
          <w:iCs/>
          <w:sz w:val="24"/>
          <w:szCs w:val="24"/>
        </w:rPr>
        <w:t xml:space="preserve">of </w:t>
      </w:r>
      <w:r w:rsidR="00504A8E">
        <w:rPr>
          <w:rFonts w:ascii="Times New Roman" w:hAnsi="Times New Roman" w:cs="Times New Roman"/>
          <w:bCs/>
          <w:iCs/>
          <w:sz w:val="24"/>
          <w:szCs w:val="24"/>
        </w:rPr>
        <w:t>damage</w:t>
      </w:r>
      <w:r w:rsidR="00210BA7">
        <w:rPr>
          <w:rFonts w:ascii="Times New Roman" w:hAnsi="Times New Roman" w:cs="Times New Roman"/>
          <w:bCs/>
          <w:iCs/>
          <w:sz w:val="24"/>
          <w:szCs w:val="24"/>
        </w:rPr>
        <w:t xml:space="preserve">: </w:t>
      </w:r>
      <w:r w:rsidR="00344956">
        <w:rPr>
          <w:rFonts w:ascii="Times New Roman" w:hAnsi="Times New Roman" w:cs="Times New Roman"/>
          <w:bCs/>
          <w:iCs/>
          <w:sz w:val="24"/>
          <w:szCs w:val="24"/>
        </w:rPr>
        <w:t>personal</w:t>
      </w:r>
      <w:r w:rsidR="00210BA7">
        <w:rPr>
          <w:rFonts w:ascii="Times New Roman" w:hAnsi="Times New Roman" w:cs="Times New Roman"/>
          <w:bCs/>
          <w:iCs/>
          <w:sz w:val="24"/>
          <w:szCs w:val="24"/>
        </w:rPr>
        <w:t xml:space="preserve"> injur</w:t>
      </w:r>
      <w:r w:rsidR="001D7C3B">
        <w:rPr>
          <w:rFonts w:ascii="Times New Roman" w:hAnsi="Times New Roman" w:cs="Times New Roman"/>
          <w:bCs/>
          <w:iCs/>
          <w:sz w:val="24"/>
          <w:szCs w:val="24"/>
        </w:rPr>
        <w:t>y constitute</w:t>
      </w:r>
      <w:r w:rsidR="00344956">
        <w:rPr>
          <w:rFonts w:ascii="Times New Roman" w:hAnsi="Times New Roman" w:cs="Times New Roman"/>
          <w:bCs/>
          <w:iCs/>
          <w:sz w:val="24"/>
          <w:szCs w:val="24"/>
        </w:rPr>
        <w:t>s</w:t>
      </w:r>
      <w:r w:rsidR="001D7C3B">
        <w:rPr>
          <w:rFonts w:ascii="Times New Roman" w:hAnsi="Times New Roman" w:cs="Times New Roman"/>
          <w:bCs/>
          <w:iCs/>
          <w:sz w:val="24"/>
          <w:szCs w:val="24"/>
        </w:rPr>
        <w:t xml:space="preserve"> a single, all-encompassing</w:t>
      </w:r>
      <w:r w:rsidR="00344956">
        <w:rPr>
          <w:rFonts w:ascii="Times New Roman" w:hAnsi="Times New Roman" w:cs="Times New Roman"/>
          <w:bCs/>
          <w:iCs/>
          <w:sz w:val="24"/>
          <w:szCs w:val="24"/>
        </w:rPr>
        <w:t xml:space="preserve"> category</w:t>
      </w:r>
      <w:r w:rsidR="003833FE">
        <w:rPr>
          <w:rFonts w:ascii="Times New Roman" w:hAnsi="Times New Roman" w:cs="Times New Roman"/>
          <w:bCs/>
          <w:iCs/>
          <w:sz w:val="24"/>
          <w:szCs w:val="24"/>
        </w:rPr>
        <w:t>.</w:t>
      </w:r>
      <w:r w:rsidR="00450BA6">
        <w:rPr>
          <w:rStyle w:val="FootnoteReference"/>
          <w:rFonts w:cs="Times New Roman"/>
          <w:bCs/>
          <w:iCs/>
          <w:szCs w:val="24"/>
        </w:rPr>
        <w:footnoteReference w:id="99"/>
      </w:r>
      <w:r w:rsidR="003034F0">
        <w:rPr>
          <w:rFonts w:ascii="Times New Roman" w:hAnsi="Times New Roman" w:cs="Times New Roman"/>
          <w:bCs/>
          <w:iCs/>
          <w:sz w:val="24"/>
          <w:szCs w:val="24"/>
        </w:rPr>
        <w:t xml:space="preserve"> </w:t>
      </w:r>
      <w:r w:rsidR="000C45E5">
        <w:rPr>
          <w:rFonts w:ascii="Times New Roman" w:hAnsi="Times New Roman" w:cs="Times New Roman"/>
          <w:bCs/>
          <w:iCs/>
          <w:sz w:val="24"/>
          <w:szCs w:val="24"/>
        </w:rPr>
        <w:t>This stands in stark contrast to the</w:t>
      </w:r>
      <w:r w:rsidR="00765A34">
        <w:rPr>
          <w:rFonts w:ascii="Times New Roman" w:hAnsi="Times New Roman" w:cs="Times New Roman"/>
          <w:bCs/>
          <w:iCs/>
          <w:sz w:val="24"/>
          <w:szCs w:val="24"/>
        </w:rPr>
        <w:t xml:space="preserve"> courts’</w:t>
      </w:r>
      <w:r w:rsidR="000C45E5">
        <w:rPr>
          <w:rFonts w:ascii="Times New Roman" w:hAnsi="Times New Roman" w:cs="Times New Roman"/>
          <w:bCs/>
          <w:iCs/>
          <w:sz w:val="24"/>
          <w:szCs w:val="24"/>
        </w:rPr>
        <w:t xml:space="preserve"> approach</w:t>
      </w:r>
      <w:r w:rsidR="003833FE">
        <w:rPr>
          <w:rFonts w:ascii="Times New Roman" w:hAnsi="Times New Roman" w:cs="Times New Roman"/>
          <w:bCs/>
          <w:iCs/>
          <w:sz w:val="24"/>
          <w:szCs w:val="24"/>
        </w:rPr>
        <w:t xml:space="preserve"> </w:t>
      </w:r>
      <w:r w:rsidR="000C45E5">
        <w:rPr>
          <w:rFonts w:ascii="Times New Roman" w:hAnsi="Times New Roman" w:cs="Times New Roman"/>
          <w:bCs/>
          <w:iCs/>
          <w:sz w:val="24"/>
          <w:szCs w:val="24"/>
        </w:rPr>
        <w:t>in</w:t>
      </w:r>
      <w:r w:rsidR="00F203F2">
        <w:rPr>
          <w:rFonts w:ascii="Times New Roman" w:hAnsi="Times New Roman" w:cs="Times New Roman"/>
          <w:bCs/>
          <w:iCs/>
          <w:sz w:val="24"/>
          <w:szCs w:val="24"/>
        </w:rPr>
        <w:t xml:space="preserve"> cases </w:t>
      </w:r>
      <w:r w:rsidR="0010206A">
        <w:rPr>
          <w:rFonts w:ascii="Times New Roman" w:hAnsi="Times New Roman" w:cs="Times New Roman"/>
          <w:bCs/>
          <w:iCs/>
          <w:sz w:val="24"/>
          <w:szCs w:val="24"/>
        </w:rPr>
        <w:t>of</w:t>
      </w:r>
      <w:r w:rsidR="00F203F2">
        <w:rPr>
          <w:rFonts w:ascii="Times New Roman" w:hAnsi="Times New Roman" w:cs="Times New Roman"/>
          <w:bCs/>
          <w:iCs/>
          <w:sz w:val="24"/>
          <w:szCs w:val="24"/>
        </w:rPr>
        <w:t xml:space="preserve"> property damage</w:t>
      </w:r>
      <w:r w:rsidR="000C45E5">
        <w:rPr>
          <w:rFonts w:ascii="Times New Roman" w:hAnsi="Times New Roman" w:cs="Times New Roman"/>
          <w:bCs/>
          <w:iCs/>
          <w:sz w:val="24"/>
          <w:szCs w:val="24"/>
        </w:rPr>
        <w:t xml:space="preserve">, in which </w:t>
      </w:r>
      <w:r w:rsidR="00450BA6">
        <w:rPr>
          <w:rFonts w:ascii="Times New Roman" w:hAnsi="Times New Roman" w:cs="Times New Roman"/>
          <w:bCs/>
          <w:iCs/>
          <w:sz w:val="24"/>
          <w:szCs w:val="24"/>
        </w:rPr>
        <w:t xml:space="preserve">the defendant must reasonably foresee the particular </w:t>
      </w:r>
      <w:r w:rsidR="00450BA6" w:rsidRPr="0038566E">
        <w:rPr>
          <w:rFonts w:ascii="Times New Roman" w:hAnsi="Times New Roman" w:cs="Times New Roman"/>
          <w:bCs/>
          <w:sz w:val="24"/>
          <w:szCs w:val="24"/>
        </w:rPr>
        <w:t>kind of damage</w:t>
      </w:r>
      <w:r w:rsidR="002F2E99">
        <w:rPr>
          <w:rFonts w:ascii="Times New Roman" w:hAnsi="Times New Roman" w:cs="Times New Roman"/>
          <w:bCs/>
          <w:iCs/>
          <w:sz w:val="24"/>
          <w:szCs w:val="24"/>
        </w:rPr>
        <w:t>.</w:t>
      </w:r>
      <w:r w:rsidR="00504A8E">
        <w:rPr>
          <w:rStyle w:val="FootnoteReference"/>
          <w:rFonts w:cs="Times New Roman"/>
          <w:bCs/>
          <w:iCs/>
          <w:szCs w:val="24"/>
        </w:rPr>
        <w:footnoteReference w:id="100"/>
      </w:r>
      <w:r w:rsidR="00630300">
        <w:rPr>
          <w:rFonts w:ascii="Times New Roman" w:hAnsi="Times New Roman" w:cs="Times New Roman"/>
          <w:bCs/>
          <w:iCs/>
          <w:sz w:val="24"/>
          <w:szCs w:val="24"/>
        </w:rPr>
        <w:t xml:space="preserve"> </w:t>
      </w:r>
      <w:r w:rsidR="003034F0">
        <w:rPr>
          <w:rFonts w:ascii="Times New Roman" w:hAnsi="Times New Roman" w:cs="Times New Roman"/>
          <w:bCs/>
          <w:iCs/>
          <w:sz w:val="24"/>
          <w:szCs w:val="24"/>
        </w:rPr>
        <w:t xml:space="preserve">It is therefore unlikely that a court would conclude that a particular physical injury </w:t>
      </w:r>
      <w:r w:rsidR="00D5267A">
        <w:rPr>
          <w:rFonts w:ascii="Times New Roman" w:hAnsi="Times New Roman" w:cs="Times New Roman"/>
          <w:bCs/>
          <w:iCs/>
          <w:sz w:val="24"/>
          <w:szCs w:val="24"/>
        </w:rPr>
        <w:t>is not of the right kind to be made the subject of a duty of care.</w:t>
      </w:r>
      <w:r w:rsidR="009D62B3">
        <w:rPr>
          <w:rFonts w:ascii="Times New Roman" w:hAnsi="Times New Roman" w:cs="Times New Roman"/>
          <w:bCs/>
          <w:iCs/>
          <w:sz w:val="24"/>
          <w:szCs w:val="24"/>
        </w:rPr>
        <w:t xml:space="preserve"> </w:t>
      </w:r>
      <w:r w:rsidR="00A70011">
        <w:rPr>
          <w:rFonts w:ascii="Times New Roman" w:hAnsi="Times New Roman" w:cs="Times New Roman"/>
          <w:bCs/>
          <w:iCs/>
          <w:sz w:val="24"/>
          <w:szCs w:val="24"/>
        </w:rPr>
        <w:t xml:space="preserve">In cases involving physical injuries occasioned by </w:t>
      </w:r>
      <w:r w:rsidR="00ED3010">
        <w:rPr>
          <w:rFonts w:ascii="Times New Roman" w:hAnsi="Times New Roman" w:cs="Times New Roman"/>
          <w:bCs/>
          <w:iCs/>
          <w:sz w:val="24"/>
          <w:szCs w:val="24"/>
        </w:rPr>
        <w:t xml:space="preserve">the positive acts of a careless defendant, </w:t>
      </w:r>
      <w:r w:rsidR="00805B54">
        <w:rPr>
          <w:rFonts w:ascii="Times New Roman" w:hAnsi="Times New Roman" w:cs="Times New Roman"/>
          <w:bCs/>
          <w:iCs/>
          <w:sz w:val="24"/>
          <w:szCs w:val="24"/>
        </w:rPr>
        <w:t>the</w:t>
      </w:r>
      <w:r w:rsidR="00BB47C3">
        <w:rPr>
          <w:rFonts w:ascii="Times New Roman" w:hAnsi="Times New Roman" w:cs="Times New Roman"/>
          <w:bCs/>
          <w:iCs/>
          <w:sz w:val="24"/>
          <w:szCs w:val="24"/>
        </w:rPr>
        <w:t>re is unlikely to be much dispute that the claimant was owed a duty of care.</w:t>
      </w:r>
      <w:r w:rsidR="00805B54">
        <w:rPr>
          <w:rFonts w:ascii="Times New Roman" w:hAnsi="Times New Roman" w:cs="Times New Roman"/>
          <w:bCs/>
          <w:iCs/>
          <w:sz w:val="24"/>
          <w:szCs w:val="24"/>
        </w:rPr>
        <w:t xml:space="preserve"> </w:t>
      </w:r>
      <w:r w:rsidR="003B2A04">
        <w:rPr>
          <w:rFonts w:ascii="Times New Roman" w:hAnsi="Times New Roman" w:cs="Times New Roman"/>
          <w:bCs/>
          <w:iCs/>
          <w:sz w:val="24"/>
          <w:szCs w:val="24"/>
        </w:rPr>
        <w:t xml:space="preserve"> </w:t>
      </w:r>
      <w:r w:rsidR="00ED3010">
        <w:rPr>
          <w:rFonts w:ascii="Times New Roman" w:hAnsi="Times New Roman" w:cs="Times New Roman"/>
          <w:bCs/>
          <w:iCs/>
          <w:sz w:val="24"/>
          <w:szCs w:val="24"/>
        </w:rPr>
        <w:t xml:space="preserve"> </w:t>
      </w:r>
    </w:p>
    <w:p w14:paraId="0B2418BA" w14:textId="22008032" w:rsidR="006F49E3" w:rsidRPr="006F49E3" w:rsidRDefault="006F49E3" w:rsidP="0038566E">
      <w:pPr>
        <w:tabs>
          <w:tab w:val="left" w:pos="7864"/>
          <w:tab w:val="right" w:pos="9026"/>
        </w:tabs>
        <w:rPr>
          <w:rFonts w:ascii="Times New Roman" w:hAnsi="Times New Roman" w:cs="Times New Roman"/>
          <w:bCs/>
          <w:iCs/>
          <w:sz w:val="24"/>
          <w:szCs w:val="24"/>
        </w:rPr>
      </w:pPr>
      <w:r w:rsidRPr="006F49E3">
        <w:rPr>
          <w:rFonts w:ascii="Times New Roman" w:hAnsi="Times New Roman" w:cs="Times New Roman"/>
          <w:bCs/>
          <w:iCs/>
          <w:sz w:val="24"/>
          <w:szCs w:val="24"/>
        </w:rPr>
        <w:t>The same is true in cases where the claimant suffer</w:t>
      </w:r>
      <w:r w:rsidR="00FA5D7F">
        <w:rPr>
          <w:rFonts w:ascii="Times New Roman" w:hAnsi="Times New Roman" w:cs="Times New Roman"/>
          <w:bCs/>
          <w:iCs/>
          <w:sz w:val="24"/>
          <w:szCs w:val="24"/>
        </w:rPr>
        <w:t>s</w:t>
      </w:r>
      <w:r w:rsidRPr="006F49E3">
        <w:rPr>
          <w:rFonts w:ascii="Times New Roman" w:hAnsi="Times New Roman" w:cs="Times New Roman"/>
          <w:bCs/>
          <w:iCs/>
          <w:sz w:val="24"/>
          <w:szCs w:val="24"/>
        </w:rPr>
        <w:t xml:space="preserve"> concurrent physical </w:t>
      </w:r>
      <w:r w:rsidRPr="006F49E3">
        <w:rPr>
          <w:rFonts w:ascii="Times New Roman" w:hAnsi="Times New Roman" w:cs="Times New Roman"/>
          <w:bCs/>
          <w:i/>
          <w:sz w:val="24"/>
          <w:szCs w:val="24"/>
        </w:rPr>
        <w:t xml:space="preserve">and </w:t>
      </w:r>
      <w:r w:rsidRPr="006F49E3">
        <w:rPr>
          <w:rFonts w:ascii="Times New Roman" w:hAnsi="Times New Roman" w:cs="Times New Roman"/>
          <w:bCs/>
          <w:iCs/>
          <w:sz w:val="24"/>
          <w:szCs w:val="24"/>
        </w:rPr>
        <w:t>psychiatric injur</w:t>
      </w:r>
      <w:r w:rsidR="00FA5D7F">
        <w:rPr>
          <w:rFonts w:ascii="Times New Roman" w:hAnsi="Times New Roman" w:cs="Times New Roman"/>
          <w:bCs/>
          <w:iCs/>
          <w:sz w:val="24"/>
          <w:szCs w:val="24"/>
        </w:rPr>
        <w:t>ies</w:t>
      </w:r>
      <w:r w:rsidRPr="006F49E3">
        <w:rPr>
          <w:rFonts w:ascii="Times New Roman" w:hAnsi="Times New Roman" w:cs="Times New Roman"/>
          <w:bCs/>
          <w:iCs/>
          <w:sz w:val="24"/>
          <w:szCs w:val="24"/>
        </w:rPr>
        <w:t>. In</w:t>
      </w:r>
      <w:r w:rsidR="00450EA2">
        <w:rPr>
          <w:rFonts w:ascii="Times New Roman" w:hAnsi="Times New Roman" w:cs="Times New Roman"/>
          <w:bCs/>
          <w:iCs/>
          <w:sz w:val="24"/>
          <w:szCs w:val="24"/>
        </w:rPr>
        <w:t xml:space="preserve"> </w:t>
      </w:r>
      <w:r w:rsidR="00450EA2">
        <w:rPr>
          <w:rFonts w:ascii="Times New Roman" w:hAnsi="Times New Roman" w:cs="Times New Roman"/>
          <w:bCs/>
          <w:i/>
          <w:iCs/>
          <w:sz w:val="24"/>
          <w:szCs w:val="24"/>
        </w:rPr>
        <w:t>Corr v IBC Vehicles Ltd</w:t>
      </w:r>
      <w:r w:rsidR="00450EA2">
        <w:rPr>
          <w:rFonts w:ascii="Times New Roman" w:hAnsi="Times New Roman" w:cs="Times New Roman"/>
          <w:bCs/>
          <w:iCs/>
          <w:sz w:val="24"/>
          <w:szCs w:val="24"/>
        </w:rPr>
        <w:t>,</w:t>
      </w:r>
      <w:r w:rsidR="00450EA2">
        <w:rPr>
          <w:rStyle w:val="FootnoteReference"/>
          <w:rFonts w:cs="Times New Roman"/>
          <w:bCs/>
          <w:iCs/>
          <w:szCs w:val="24"/>
        </w:rPr>
        <w:footnoteReference w:id="101"/>
      </w:r>
      <w:r w:rsidR="00450EA2">
        <w:rPr>
          <w:rFonts w:ascii="Times New Roman" w:hAnsi="Times New Roman" w:cs="Times New Roman"/>
          <w:bCs/>
          <w:iCs/>
          <w:sz w:val="24"/>
          <w:szCs w:val="24"/>
        </w:rPr>
        <w:t xml:space="preserve"> the </w:t>
      </w:r>
      <w:r w:rsidR="00D9069F">
        <w:rPr>
          <w:rFonts w:ascii="Times New Roman" w:hAnsi="Times New Roman" w:cs="Times New Roman"/>
          <w:bCs/>
          <w:iCs/>
          <w:sz w:val="24"/>
          <w:szCs w:val="24"/>
        </w:rPr>
        <w:t>claimant’s husband</w:t>
      </w:r>
      <w:r w:rsidR="00450EA2">
        <w:rPr>
          <w:rFonts w:ascii="Times New Roman" w:hAnsi="Times New Roman" w:cs="Times New Roman"/>
          <w:bCs/>
          <w:iCs/>
          <w:sz w:val="24"/>
          <w:szCs w:val="24"/>
        </w:rPr>
        <w:t xml:space="preserve"> suffered a</w:t>
      </w:r>
      <w:r w:rsidR="008A6D24">
        <w:rPr>
          <w:rFonts w:ascii="Times New Roman" w:hAnsi="Times New Roman" w:cs="Times New Roman"/>
          <w:bCs/>
          <w:iCs/>
          <w:sz w:val="24"/>
          <w:szCs w:val="24"/>
        </w:rPr>
        <w:t xml:space="preserve"> serious</w:t>
      </w:r>
      <w:r w:rsidR="00450EA2">
        <w:rPr>
          <w:rFonts w:ascii="Times New Roman" w:hAnsi="Times New Roman" w:cs="Times New Roman"/>
          <w:bCs/>
          <w:iCs/>
          <w:sz w:val="24"/>
          <w:szCs w:val="24"/>
        </w:rPr>
        <w:t xml:space="preserve"> head injury</w:t>
      </w:r>
      <w:r w:rsidR="00253119">
        <w:rPr>
          <w:rFonts w:ascii="Times New Roman" w:hAnsi="Times New Roman" w:cs="Times New Roman"/>
          <w:bCs/>
          <w:iCs/>
          <w:sz w:val="24"/>
          <w:szCs w:val="24"/>
        </w:rPr>
        <w:t xml:space="preserve"> </w:t>
      </w:r>
      <w:r w:rsidR="00E04277">
        <w:rPr>
          <w:rFonts w:ascii="Times New Roman" w:hAnsi="Times New Roman" w:cs="Times New Roman"/>
          <w:bCs/>
          <w:iCs/>
          <w:sz w:val="24"/>
          <w:szCs w:val="24"/>
        </w:rPr>
        <w:t>during th</w:t>
      </w:r>
      <w:r w:rsidR="00D41690">
        <w:rPr>
          <w:rFonts w:ascii="Times New Roman" w:hAnsi="Times New Roman" w:cs="Times New Roman"/>
          <w:bCs/>
          <w:iCs/>
          <w:sz w:val="24"/>
          <w:szCs w:val="24"/>
        </w:rPr>
        <w:t>e</w:t>
      </w:r>
      <w:r w:rsidR="00E04277">
        <w:rPr>
          <w:rFonts w:ascii="Times New Roman" w:hAnsi="Times New Roman" w:cs="Times New Roman"/>
          <w:bCs/>
          <w:iCs/>
          <w:sz w:val="24"/>
          <w:szCs w:val="24"/>
        </w:rPr>
        <w:t xml:space="preserve"> course of his employment </w:t>
      </w:r>
      <w:r w:rsidR="005E5B58">
        <w:rPr>
          <w:rFonts w:ascii="Times New Roman" w:hAnsi="Times New Roman" w:cs="Times New Roman"/>
          <w:bCs/>
          <w:iCs/>
          <w:sz w:val="24"/>
          <w:szCs w:val="24"/>
        </w:rPr>
        <w:t>at the defendant’s factory.</w:t>
      </w:r>
      <w:r w:rsidR="008A6D24">
        <w:rPr>
          <w:rFonts w:ascii="Times New Roman" w:hAnsi="Times New Roman" w:cs="Times New Roman"/>
          <w:bCs/>
          <w:iCs/>
          <w:sz w:val="24"/>
          <w:szCs w:val="24"/>
        </w:rPr>
        <w:t xml:space="preserve"> </w:t>
      </w:r>
      <w:r w:rsidR="00E72D77">
        <w:rPr>
          <w:rFonts w:ascii="Times New Roman" w:hAnsi="Times New Roman" w:cs="Times New Roman"/>
          <w:bCs/>
          <w:iCs/>
          <w:sz w:val="24"/>
          <w:szCs w:val="24"/>
        </w:rPr>
        <w:t xml:space="preserve">As a result of his physical injuries, </w:t>
      </w:r>
      <w:r w:rsidR="00796AD8">
        <w:rPr>
          <w:rFonts w:ascii="Times New Roman" w:hAnsi="Times New Roman" w:cs="Times New Roman"/>
          <w:bCs/>
          <w:iCs/>
          <w:sz w:val="24"/>
          <w:szCs w:val="24"/>
        </w:rPr>
        <w:t>h</w:t>
      </w:r>
      <w:r w:rsidR="008A6D24">
        <w:rPr>
          <w:rFonts w:ascii="Times New Roman" w:hAnsi="Times New Roman" w:cs="Times New Roman"/>
          <w:bCs/>
          <w:iCs/>
          <w:sz w:val="24"/>
          <w:szCs w:val="24"/>
        </w:rPr>
        <w:t xml:space="preserve">e was later diagnosed with </w:t>
      </w:r>
      <w:r w:rsidR="00450EA2">
        <w:rPr>
          <w:rFonts w:ascii="Times New Roman" w:hAnsi="Times New Roman" w:cs="Times New Roman"/>
          <w:bCs/>
          <w:iCs/>
          <w:sz w:val="24"/>
          <w:szCs w:val="24"/>
        </w:rPr>
        <w:t>post-traumatic stress disorder</w:t>
      </w:r>
      <w:r w:rsidR="006324E5">
        <w:rPr>
          <w:rFonts w:ascii="Times New Roman" w:hAnsi="Times New Roman" w:cs="Times New Roman"/>
          <w:bCs/>
          <w:iCs/>
          <w:sz w:val="24"/>
          <w:szCs w:val="24"/>
        </w:rPr>
        <w:t>, anxiety and depression</w:t>
      </w:r>
      <w:r w:rsidR="0080124D">
        <w:rPr>
          <w:rFonts w:ascii="Times New Roman" w:hAnsi="Times New Roman" w:cs="Times New Roman"/>
          <w:bCs/>
          <w:iCs/>
          <w:sz w:val="24"/>
          <w:szCs w:val="24"/>
        </w:rPr>
        <w:t xml:space="preserve"> and eventually committed suicide</w:t>
      </w:r>
      <w:r w:rsidR="008A6D24">
        <w:rPr>
          <w:rFonts w:ascii="Times New Roman" w:hAnsi="Times New Roman" w:cs="Times New Roman"/>
          <w:bCs/>
          <w:iCs/>
          <w:sz w:val="24"/>
          <w:szCs w:val="24"/>
        </w:rPr>
        <w:t>.</w:t>
      </w:r>
      <w:r w:rsidR="004155C0">
        <w:rPr>
          <w:rFonts w:ascii="Times New Roman" w:hAnsi="Times New Roman" w:cs="Times New Roman"/>
          <w:bCs/>
          <w:iCs/>
          <w:sz w:val="24"/>
          <w:szCs w:val="24"/>
        </w:rPr>
        <w:t xml:space="preserve"> </w:t>
      </w:r>
      <w:r w:rsidR="004E7AB5">
        <w:rPr>
          <w:rFonts w:ascii="Times New Roman" w:hAnsi="Times New Roman" w:cs="Times New Roman"/>
          <w:bCs/>
          <w:iCs/>
          <w:sz w:val="24"/>
          <w:szCs w:val="24"/>
        </w:rPr>
        <w:t>According to Lord Bingham, the</w:t>
      </w:r>
      <w:r w:rsidR="002E4FAE">
        <w:rPr>
          <w:rFonts w:ascii="Times New Roman" w:hAnsi="Times New Roman" w:cs="Times New Roman"/>
          <w:bCs/>
          <w:iCs/>
          <w:sz w:val="24"/>
          <w:szCs w:val="24"/>
        </w:rPr>
        <w:t xml:space="preserve"> defendant-employer’s</w:t>
      </w:r>
      <w:r w:rsidR="008B754A">
        <w:rPr>
          <w:rFonts w:ascii="Times New Roman" w:hAnsi="Times New Roman" w:cs="Times New Roman"/>
          <w:bCs/>
          <w:iCs/>
          <w:sz w:val="24"/>
          <w:szCs w:val="24"/>
        </w:rPr>
        <w:t xml:space="preserve"> duty of care </w:t>
      </w:r>
      <w:r w:rsidR="004E7AB5">
        <w:rPr>
          <w:rFonts w:ascii="Times New Roman" w:hAnsi="Times New Roman" w:cs="Times New Roman"/>
          <w:bCs/>
          <w:iCs/>
          <w:sz w:val="24"/>
          <w:szCs w:val="24"/>
        </w:rPr>
        <w:t>‘embraced psychological as well as physical injury’.</w:t>
      </w:r>
      <w:r w:rsidR="004E7AB5">
        <w:rPr>
          <w:rStyle w:val="FootnoteReference"/>
          <w:rFonts w:cs="Times New Roman"/>
          <w:bCs/>
          <w:iCs/>
          <w:szCs w:val="24"/>
        </w:rPr>
        <w:footnoteReference w:id="102"/>
      </w:r>
      <w:r w:rsidR="00040696">
        <w:rPr>
          <w:rFonts w:ascii="Times New Roman" w:hAnsi="Times New Roman" w:cs="Times New Roman"/>
          <w:bCs/>
          <w:iCs/>
          <w:sz w:val="24"/>
          <w:szCs w:val="24"/>
        </w:rPr>
        <w:t xml:space="preserve"> </w:t>
      </w:r>
      <w:r w:rsidR="00E52B86">
        <w:rPr>
          <w:rFonts w:ascii="Times New Roman" w:hAnsi="Times New Roman" w:cs="Times New Roman"/>
          <w:bCs/>
          <w:iCs/>
          <w:sz w:val="24"/>
          <w:szCs w:val="24"/>
        </w:rPr>
        <w:t>There was no reason to distinguish the two kinds of injury; both were the subject of the same duty.</w:t>
      </w:r>
      <w:r w:rsidR="000B251C">
        <w:rPr>
          <w:rFonts w:ascii="Times New Roman" w:hAnsi="Times New Roman" w:cs="Times New Roman"/>
          <w:bCs/>
          <w:iCs/>
          <w:sz w:val="24"/>
          <w:szCs w:val="24"/>
        </w:rPr>
        <w:t xml:space="preserve"> This</w:t>
      </w:r>
      <w:r w:rsidR="00FD6298">
        <w:rPr>
          <w:rFonts w:ascii="Times New Roman" w:hAnsi="Times New Roman" w:cs="Times New Roman"/>
          <w:bCs/>
          <w:iCs/>
          <w:sz w:val="24"/>
          <w:szCs w:val="24"/>
        </w:rPr>
        <w:t xml:space="preserve"> combination </w:t>
      </w:r>
      <w:r w:rsidR="00377F2D">
        <w:rPr>
          <w:rFonts w:ascii="Times New Roman" w:hAnsi="Times New Roman" w:cs="Times New Roman"/>
          <w:bCs/>
          <w:iCs/>
          <w:sz w:val="24"/>
          <w:szCs w:val="24"/>
        </w:rPr>
        <w:t xml:space="preserve">of physical </w:t>
      </w:r>
      <w:r w:rsidR="00377F2D">
        <w:rPr>
          <w:rFonts w:ascii="Times New Roman" w:hAnsi="Times New Roman" w:cs="Times New Roman"/>
          <w:bCs/>
          <w:i/>
          <w:sz w:val="24"/>
          <w:szCs w:val="24"/>
        </w:rPr>
        <w:t xml:space="preserve">and </w:t>
      </w:r>
      <w:r w:rsidR="00377F2D">
        <w:rPr>
          <w:rFonts w:ascii="Times New Roman" w:hAnsi="Times New Roman" w:cs="Times New Roman"/>
          <w:bCs/>
          <w:iCs/>
          <w:sz w:val="24"/>
          <w:szCs w:val="24"/>
        </w:rPr>
        <w:t>psychiatric injury can trace its origins back to</w:t>
      </w:r>
      <w:r w:rsidR="00BF7A65">
        <w:rPr>
          <w:rFonts w:ascii="Times New Roman" w:hAnsi="Times New Roman" w:cs="Times New Roman"/>
          <w:bCs/>
          <w:iCs/>
          <w:sz w:val="24"/>
          <w:szCs w:val="24"/>
        </w:rPr>
        <w:t xml:space="preserve"> </w:t>
      </w:r>
      <w:r w:rsidRPr="006F49E3">
        <w:rPr>
          <w:rFonts w:ascii="Times New Roman" w:hAnsi="Times New Roman" w:cs="Times New Roman"/>
          <w:bCs/>
          <w:i/>
          <w:sz w:val="24"/>
          <w:szCs w:val="24"/>
        </w:rPr>
        <w:t>Donoghue v Stevens</w:t>
      </w:r>
      <w:r w:rsidR="00377F2D">
        <w:rPr>
          <w:rFonts w:ascii="Times New Roman" w:hAnsi="Times New Roman" w:cs="Times New Roman"/>
          <w:bCs/>
          <w:i/>
          <w:sz w:val="24"/>
          <w:szCs w:val="24"/>
        </w:rPr>
        <w:t>on</w:t>
      </w:r>
      <w:r w:rsidR="00377F2D">
        <w:rPr>
          <w:rFonts w:ascii="Times New Roman" w:hAnsi="Times New Roman" w:cs="Times New Roman"/>
          <w:bCs/>
          <w:iCs/>
          <w:sz w:val="24"/>
          <w:szCs w:val="24"/>
        </w:rPr>
        <w:t>,</w:t>
      </w:r>
      <w:r>
        <w:rPr>
          <w:rStyle w:val="FootnoteReference"/>
          <w:rFonts w:cs="Times New Roman"/>
          <w:bCs/>
          <w:iCs/>
          <w:szCs w:val="24"/>
        </w:rPr>
        <w:footnoteReference w:id="103"/>
      </w:r>
      <w:r w:rsidR="00377F2D">
        <w:rPr>
          <w:rFonts w:ascii="Times New Roman" w:hAnsi="Times New Roman" w:cs="Times New Roman"/>
          <w:bCs/>
          <w:iCs/>
          <w:sz w:val="24"/>
          <w:szCs w:val="24"/>
        </w:rPr>
        <w:t xml:space="preserve"> in which </w:t>
      </w:r>
      <w:r w:rsidRPr="006F49E3">
        <w:rPr>
          <w:rFonts w:ascii="Times New Roman" w:hAnsi="Times New Roman" w:cs="Times New Roman"/>
          <w:bCs/>
          <w:iCs/>
          <w:sz w:val="24"/>
          <w:szCs w:val="24"/>
        </w:rPr>
        <w:t>Lord Atkin made no distinction between Mrs Donoghue’s physical and mental</w:t>
      </w:r>
      <w:r w:rsidR="00377F2D">
        <w:rPr>
          <w:rFonts w:ascii="Times New Roman" w:hAnsi="Times New Roman" w:cs="Times New Roman"/>
          <w:bCs/>
          <w:iCs/>
          <w:sz w:val="24"/>
          <w:szCs w:val="24"/>
        </w:rPr>
        <w:t xml:space="preserve"> </w:t>
      </w:r>
      <w:r w:rsidRPr="006F49E3">
        <w:rPr>
          <w:rFonts w:ascii="Times New Roman" w:hAnsi="Times New Roman" w:cs="Times New Roman"/>
          <w:bCs/>
          <w:iCs/>
          <w:sz w:val="24"/>
          <w:szCs w:val="24"/>
        </w:rPr>
        <w:t xml:space="preserve">injuries when </w:t>
      </w:r>
      <w:r w:rsidRPr="006F49E3">
        <w:rPr>
          <w:rFonts w:ascii="Times New Roman" w:hAnsi="Times New Roman" w:cs="Times New Roman"/>
          <w:bCs/>
          <w:iCs/>
          <w:sz w:val="24"/>
          <w:szCs w:val="24"/>
        </w:rPr>
        <w:lastRenderedPageBreak/>
        <w:t>elucidating the ‘neighbour principle’</w:t>
      </w:r>
      <w:r w:rsidR="008C1A3E">
        <w:rPr>
          <w:rFonts w:ascii="Times New Roman" w:hAnsi="Times New Roman" w:cs="Times New Roman"/>
          <w:bCs/>
          <w:iCs/>
          <w:sz w:val="24"/>
          <w:szCs w:val="24"/>
        </w:rPr>
        <w:t>.</w:t>
      </w:r>
      <w:r>
        <w:rPr>
          <w:rStyle w:val="FootnoteReference"/>
          <w:rFonts w:cs="Times New Roman"/>
          <w:bCs/>
          <w:iCs/>
          <w:szCs w:val="24"/>
        </w:rPr>
        <w:footnoteReference w:id="104"/>
      </w:r>
      <w:r w:rsidRPr="006F49E3">
        <w:rPr>
          <w:rFonts w:ascii="Times New Roman" w:hAnsi="Times New Roman" w:cs="Times New Roman"/>
          <w:bCs/>
          <w:iCs/>
          <w:sz w:val="24"/>
          <w:szCs w:val="24"/>
        </w:rPr>
        <w:t xml:space="preserve"> </w:t>
      </w:r>
      <w:r w:rsidR="00824165">
        <w:rPr>
          <w:rFonts w:ascii="Times New Roman" w:hAnsi="Times New Roman" w:cs="Times New Roman"/>
          <w:bCs/>
          <w:iCs/>
          <w:sz w:val="24"/>
          <w:szCs w:val="24"/>
        </w:rPr>
        <w:t>T</w:t>
      </w:r>
      <w:r w:rsidRPr="006F49E3">
        <w:rPr>
          <w:rFonts w:ascii="Times New Roman" w:hAnsi="Times New Roman" w:cs="Times New Roman"/>
          <w:bCs/>
          <w:iCs/>
          <w:sz w:val="24"/>
          <w:szCs w:val="24"/>
        </w:rPr>
        <w:t>he courts have</w:t>
      </w:r>
      <w:r w:rsidR="00824165">
        <w:rPr>
          <w:rFonts w:ascii="Times New Roman" w:hAnsi="Times New Roman" w:cs="Times New Roman"/>
          <w:bCs/>
          <w:iCs/>
          <w:sz w:val="24"/>
          <w:szCs w:val="24"/>
        </w:rPr>
        <w:t xml:space="preserve"> </w:t>
      </w:r>
      <w:r w:rsidRPr="006F49E3">
        <w:rPr>
          <w:rFonts w:ascii="Times New Roman" w:hAnsi="Times New Roman" w:cs="Times New Roman"/>
          <w:bCs/>
          <w:iCs/>
          <w:sz w:val="24"/>
          <w:szCs w:val="24"/>
        </w:rPr>
        <w:t>had little difficulty in finding</w:t>
      </w:r>
      <w:r w:rsidR="00FA5D7F">
        <w:rPr>
          <w:rFonts w:ascii="Times New Roman" w:hAnsi="Times New Roman" w:cs="Times New Roman"/>
          <w:bCs/>
          <w:iCs/>
          <w:sz w:val="24"/>
          <w:szCs w:val="24"/>
        </w:rPr>
        <w:t xml:space="preserve"> the same</w:t>
      </w:r>
      <w:r w:rsidRPr="006F49E3">
        <w:rPr>
          <w:rFonts w:ascii="Times New Roman" w:hAnsi="Times New Roman" w:cs="Times New Roman"/>
          <w:bCs/>
          <w:iCs/>
          <w:sz w:val="24"/>
          <w:szCs w:val="24"/>
        </w:rPr>
        <w:t xml:space="preserve"> duty in</w:t>
      </w:r>
      <w:r w:rsidR="00FA5D7F">
        <w:rPr>
          <w:rFonts w:ascii="Times New Roman" w:hAnsi="Times New Roman" w:cs="Times New Roman"/>
          <w:bCs/>
          <w:iCs/>
          <w:sz w:val="24"/>
          <w:szCs w:val="24"/>
        </w:rPr>
        <w:t xml:space="preserve"> other</w:t>
      </w:r>
      <w:r w:rsidRPr="006F49E3">
        <w:rPr>
          <w:rFonts w:ascii="Times New Roman" w:hAnsi="Times New Roman" w:cs="Times New Roman"/>
          <w:bCs/>
          <w:iCs/>
          <w:sz w:val="24"/>
          <w:szCs w:val="24"/>
        </w:rPr>
        <w:t xml:space="preserve"> instances of concurrent injuries.</w:t>
      </w:r>
      <w:r w:rsidR="00FD6298">
        <w:rPr>
          <w:rStyle w:val="FootnoteReference"/>
          <w:rFonts w:cs="Times New Roman"/>
          <w:bCs/>
          <w:iCs/>
          <w:szCs w:val="24"/>
        </w:rPr>
        <w:footnoteReference w:id="105"/>
      </w:r>
    </w:p>
    <w:p w14:paraId="22BF4F71" w14:textId="0465FE12" w:rsidR="00DD3B81" w:rsidRDefault="00F41A11"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In a claim</w:t>
      </w:r>
      <w:r w:rsidR="00A579D6">
        <w:rPr>
          <w:rFonts w:ascii="Times New Roman" w:hAnsi="Times New Roman" w:cs="Times New Roman"/>
          <w:sz w:val="24"/>
          <w:szCs w:val="24"/>
        </w:rPr>
        <w:t xml:space="preserve"> solely</w:t>
      </w:r>
      <w:r w:rsidR="009B2A0E">
        <w:rPr>
          <w:rFonts w:ascii="Times New Roman" w:hAnsi="Times New Roman" w:cs="Times New Roman"/>
          <w:sz w:val="24"/>
          <w:szCs w:val="24"/>
        </w:rPr>
        <w:t xml:space="preserve"> </w:t>
      </w:r>
      <w:r>
        <w:rPr>
          <w:rFonts w:ascii="Times New Roman" w:hAnsi="Times New Roman" w:cs="Times New Roman"/>
          <w:sz w:val="24"/>
          <w:szCs w:val="24"/>
        </w:rPr>
        <w:t xml:space="preserve">involving psychiatric injury, by contrast, the claimant </w:t>
      </w:r>
      <w:r w:rsidR="00553672">
        <w:rPr>
          <w:rFonts w:ascii="Times New Roman" w:hAnsi="Times New Roman" w:cs="Times New Roman"/>
          <w:sz w:val="24"/>
          <w:szCs w:val="24"/>
        </w:rPr>
        <w:t xml:space="preserve">must first prove that she has suffered </w:t>
      </w:r>
      <w:r w:rsidR="008F54D5">
        <w:rPr>
          <w:rFonts w:ascii="Times New Roman" w:hAnsi="Times New Roman" w:cs="Times New Roman"/>
          <w:sz w:val="24"/>
          <w:szCs w:val="24"/>
        </w:rPr>
        <w:t>a</w:t>
      </w:r>
      <w:r w:rsidR="00DF1127">
        <w:rPr>
          <w:rFonts w:ascii="Times New Roman" w:hAnsi="Times New Roman" w:cs="Times New Roman"/>
          <w:sz w:val="24"/>
          <w:szCs w:val="24"/>
        </w:rPr>
        <w:t xml:space="preserve"> </w:t>
      </w:r>
      <w:r w:rsidR="00DF1127" w:rsidRPr="0038566E">
        <w:rPr>
          <w:rFonts w:ascii="Times New Roman" w:hAnsi="Times New Roman" w:cs="Times New Roman"/>
          <w:i/>
          <w:iCs/>
          <w:sz w:val="24"/>
          <w:szCs w:val="24"/>
        </w:rPr>
        <w:t>particular kind</w:t>
      </w:r>
      <w:r w:rsidR="00DF1127">
        <w:rPr>
          <w:rFonts w:ascii="Times New Roman" w:hAnsi="Times New Roman" w:cs="Times New Roman"/>
          <w:sz w:val="24"/>
          <w:szCs w:val="24"/>
        </w:rPr>
        <w:t xml:space="preserve"> of </w:t>
      </w:r>
      <w:r w:rsidR="006E2A79">
        <w:rPr>
          <w:rFonts w:ascii="Times New Roman" w:hAnsi="Times New Roman" w:cs="Times New Roman"/>
          <w:sz w:val="24"/>
          <w:szCs w:val="24"/>
        </w:rPr>
        <w:t>mental harm</w:t>
      </w:r>
      <w:r w:rsidR="00863415">
        <w:rPr>
          <w:rFonts w:ascii="Times New Roman" w:hAnsi="Times New Roman" w:cs="Times New Roman"/>
          <w:sz w:val="24"/>
          <w:szCs w:val="24"/>
        </w:rPr>
        <w:t>.</w:t>
      </w:r>
      <w:r w:rsidR="00D7049A">
        <w:rPr>
          <w:rFonts w:ascii="Times New Roman" w:hAnsi="Times New Roman" w:cs="Times New Roman"/>
          <w:sz w:val="24"/>
          <w:szCs w:val="24"/>
        </w:rPr>
        <w:t xml:space="preserve"> </w:t>
      </w:r>
      <w:r w:rsidR="00DD3B81">
        <w:rPr>
          <w:rFonts w:ascii="Times New Roman" w:hAnsi="Times New Roman" w:cs="Times New Roman"/>
          <w:sz w:val="24"/>
          <w:szCs w:val="24"/>
        </w:rPr>
        <w:t>This requirement</w:t>
      </w:r>
      <w:r w:rsidR="008C72DD">
        <w:rPr>
          <w:rFonts w:ascii="Times New Roman" w:hAnsi="Times New Roman" w:cs="Times New Roman"/>
          <w:sz w:val="24"/>
          <w:szCs w:val="24"/>
        </w:rPr>
        <w:t xml:space="preserve"> originates from </w:t>
      </w:r>
      <w:r w:rsidR="00DD3B81">
        <w:rPr>
          <w:rFonts w:ascii="Times New Roman" w:hAnsi="Times New Roman" w:cs="Times New Roman"/>
          <w:i/>
          <w:sz w:val="24"/>
          <w:szCs w:val="24"/>
        </w:rPr>
        <w:t>Hinz v Berry</w:t>
      </w:r>
      <w:r w:rsidR="007613C0">
        <w:rPr>
          <w:rFonts w:ascii="Times New Roman" w:hAnsi="Times New Roman" w:cs="Times New Roman"/>
          <w:sz w:val="24"/>
          <w:szCs w:val="24"/>
        </w:rPr>
        <w:t>,</w:t>
      </w:r>
      <w:r w:rsidR="00DD3B81">
        <w:rPr>
          <w:rStyle w:val="FootnoteReference"/>
          <w:rFonts w:cs="Times New Roman"/>
          <w:szCs w:val="24"/>
        </w:rPr>
        <w:footnoteReference w:id="106"/>
      </w:r>
      <w:r w:rsidR="007613C0">
        <w:rPr>
          <w:rFonts w:ascii="Times New Roman" w:hAnsi="Times New Roman" w:cs="Times New Roman"/>
          <w:sz w:val="24"/>
          <w:szCs w:val="24"/>
        </w:rPr>
        <w:t xml:space="preserve"> in which </w:t>
      </w:r>
      <w:r w:rsidR="008C72DD">
        <w:rPr>
          <w:rFonts w:ascii="Times New Roman" w:hAnsi="Times New Roman" w:cs="Times New Roman"/>
          <w:sz w:val="24"/>
          <w:szCs w:val="24"/>
        </w:rPr>
        <w:t>Lord Denning MR</w:t>
      </w:r>
      <w:r w:rsidR="007613C0">
        <w:rPr>
          <w:rFonts w:ascii="Times New Roman" w:hAnsi="Times New Roman" w:cs="Times New Roman"/>
          <w:sz w:val="24"/>
          <w:szCs w:val="24"/>
        </w:rPr>
        <w:t xml:space="preserve"> said:</w:t>
      </w:r>
    </w:p>
    <w:p w14:paraId="51D4E993" w14:textId="08E70797" w:rsidR="00DD3B81" w:rsidRDefault="007613C0" w:rsidP="00435083">
      <w:pPr>
        <w:tabs>
          <w:tab w:val="left" w:pos="7864"/>
          <w:tab w:val="right" w:pos="9026"/>
        </w:tabs>
        <w:ind w:left="1134" w:right="1134" w:firstLine="0"/>
        <w:rPr>
          <w:rFonts w:ascii="Times New Roman" w:hAnsi="Times New Roman" w:cs="Times New Roman"/>
          <w:sz w:val="24"/>
          <w:szCs w:val="24"/>
        </w:rPr>
      </w:pPr>
      <w:r>
        <w:rPr>
          <w:rFonts w:ascii="Times New Roman" w:hAnsi="Times New Roman" w:cs="Times New Roman"/>
          <w:i/>
          <w:sz w:val="24"/>
          <w:szCs w:val="24"/>
        </w:rPr>
        <w:t>Damages are</w:t>
      </w:r>
      <w:r w:rsidR="00B62D25">
        <w:rPr>
          <w:rFonts w:ascii="Times New Roman" w:hAnsi="Times New Roman" w:cs="Times New Roman"/>
          <w:i/>
          <w:sz w:val="24"/>
          <w:szCs w:val="24"/>
        </w:rPr>
        <w:t>…</w:t>
      </w:r>
      <w:r>
        <w:rPr>
          <w:rFonts w:ascii="Times New Roman" w:hAnsi="Times New Roman" w:cs="Times New Roman"/>
          <w:i/>
          <w:sz w:val="24"/>
          <w:szCs w:val="24"/>
        </w:rPr>
        <w:t xml:space="preserve"> recoverable for nervous shock, or, to put it in medical terms, </w:t>
      </w:r>
      <w:r>
        <w:rPr>
          <w:rFonts w:ascii="Times New Roman" w:hAnsi="Times New Roman" w:cs="Times New Roman"/>
          <w:sz w:val="24"/>
          <w:szCs w:val="24"/>
        </w:rPr>
        <w:t>for any recognisable psychiatric illness caused by the breach of duty by the defendant.</w:t>
      </w:r>
      <w:r>
        <w:rPr>
          <w:rStyle w:val="FootnoteReference"/>
          <w:rFonts w:cs="Times New Roman"/>
          <w:szCs w:val="24"/>
        </w:rPr>
        <w:footnoteReference w:id="107"/>
      </w:r>
    </w:p>
    <w:p w14:paraId="1AA4B275" w14:textId="4175CBDE" w:rsidR="001252FF" w:rsidRDefault="00265ABF" w:rsidP="0038566E">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S</w:t>
      </w:r>
      <w:r w:rsidR="0099225C">
        <w:rPr>
          <w:rFonts w:ascii="Times New Roman" w:hAnsi="Times New Roman" w:cs="Times New Roman"/>
          <w:sz w:val="24"/>
          <w:szCs w:val="24"/>
        </w:rPr>
        <w:t xml:space="preserve">ince </w:t>
      </w:r>
      <w:r w:rsidR="0099225C">
        <w:rPr>
          <w:rFonts w:ascii="Times New Roman" w:hAnsi="Times New Roman" w:cs="Times New Roman"/>
          <w:i/>
          <w:sz w:val="24"/>
          <w:szCs w:val="24"/>
        </w:rPr>
        <w:t>Hinz</w:t>
      </w:r>
      <w:r>
        <w:rPr>
          <w:rFonts w:ascii="Times New Roman" w:hAnsi="Times New Roman" w:cs="Times New Roman"/>
          <w:iCs/>
          <w:sz w:val="24"/>
          <w:szCs w:val="24"/>
        </w:rPr>
        <w:t>,</w:t>
      </w:r>
      <w:r>
        <w:rPr>
          <w:rFonts w:ascii="Times New Roman" w:hAnsi="Times New Roman" w:cs="Times New Roman"/>
          <w:i/>
          <w:sz w:val="24"/>
          <w:szCs w:val="24"/>
        </w:rPr>
        <w:t xml:space="preserve"> </w:t>
      </w:r>
      <w:r>
        <w:rPr>
          <w:rFonts w:ascii="Times New Roman" w:hAnsi="Times New Roman" w:cs="Times New Roman"/>
          <w:iCs/>
          <w:sz w:val="24"/>
          <w:szCs w:val="24"/>
        </w:rPr>
        <w:t>the courts have</w:t>
      </w:r>
      <w:r w:rsidR="00A31B84">
        <w:rPr>
          <w:rFonts w:ascii="Times New Roman" w:hAnsi="Times New Roman" w:cs="Times New Roman"/>
          <w:iCs/>
          <w:sz w:val="24"/>
          <w:szCs w:val="24"/>
        </w:rPr>
        <w:t xml:space="preserve"> spun</w:t>
      </w:r>
      <w:r>
        <w:rPr>
          <w:rFonts w:ascii="Times New Roman" w:hAnsi="Times New Roman" w:cs="Times New Roman"/>
          <w:iCs/>
          <w:sz w:val="24"/>
          <w:szCs w:val="24"/>
        </w:rPr>
        <w:t xml:space="preserve"> </w:t>
      </w:r>
      <w:r w:rsidR="00AD36B6">
        <w:rPr>
          <w:rFonts w:ascii="Times New Roman" w:hAnsi="Times New Roman" w:cs="Times New Roman"/>
          <w:sz w:val="24"/>
          <w:szCs w:val="24"/>
        </w:rPr>
        <w:t>th</w:t>
      </w:r>
      <w:r w:rsidR="00410E0A">
        <w:rPr>
          <w:rFonts w:ascii="Times New Roman" w:hAnsi="Times New Roman" w:cs="Times New Roman"/>
          <w:sz w:val="24"/>
          <w:szCs w:val="24"/>
        </w:rPr>
        <w:t>is</w:t>
      </w:r>
      <w:r w:rsidR="006E0557">
        <w:rPr>
          <w:rFonts w:ascii="Times New Roman" w:hAnsi="Times New Roman" w:cs="Times New Roman"/>
          <w:sz w:val="24"/>
          <w:szCs w:val="24"/>
        </w:rPr>
        <w:t xml:space="preserve"> requirement</w:t>
      </w:r>
      <w:r w:rsidR="005A3602">
        <w:rPr>
          <w:rFonts w:ascii="Times New Roman" w:hAnsi="Times New Roman" w:cs="Times New Roman"/>
          <w:sz w:val="24"/>
          <w:szCs w:val="24"/>
        </w:rPr>
        <w:t xml:space="preserve"> </w:t>
      </w:r>
      <w:r w:rsidR="00A50CA8">
        <w:rPr>
          <w:rFonts w:ascii="Times New Roman" w:hAnsi="Times New Roman" w:cs="Times New Roman"/>
          <w:sz w:val="24"/>
          <w:szCs w:val="24"/>
        </w:rPr>
        <w:t>into the</w:t>
      </w:r>
      <w:r w:rsidR="001E3256">
        <w:rPr>
          <w:rFonts w:ascii="Times New Roman" w:hAnsi="Times New Roman" w:cs="Times New Roman"/>
          <w:sz w:val="24"/>
          <w:szCs w:val="24"/>
        </w:rPr>
        <w:t xml:space="preserve"> </w:t>
      </w:r>
      <w:r w:rsidR="00A50CA8">
        <w:rPr>
          <w:rFonts w:ascii="Times New Roman" w:hAnsi="Times New Roman" w:cs="Times New Roman"/>
          <w:sz w:val="24"/>
          <w:szCs w:val="24"/>
        </w:rPr>
        <w:t>‘patchwork quilt’</w:t>
      </w:r>
      <w:r w:rsidR="00683DCE">
        <w:rPr>
          <w:rStyle w:val="FootnoteReference"/>
          <w:rFonts w:cs="Times New Roman"/>
          <w:szCs w:val="24"/>
        </w:rPr>
        <w:footnoteReference w:id="108"/>
      </w:r>
      <w:r w:rsidR="00A50CA8">
        <w:rPr>
          <w:rFonts w:ascii="Times New Roman" w:hAnsi="Times New Roman" w:cs="Times New Roman"/>
          <w:sz w:val="24"/>
          <w:szCs w:val="24"/>
        </w:rPr>
        <w:t xml:space="preserve"> </w:t>
      </w:r>
      <w:r w:rsidR="001E3256">
        <w:rPr>
          <w:rFonts w:ascii="Times New Roman" w:hAnsi="Times New Roman" w:cs="Times New Roman"/>
          <w:sz w:val="24"/>
          <w:szCs w:val="24"/>
        </w:rPr>
        <w:t>that</w:t>
      </w:r>
      <w:r w:rsidR="00377686">
        <w:rPr>
          <w:rFonts w:ascii="Times New Roman" w:hAnsi="Times New Roman" w:cs="Times New Roman"/>
          <w:sz w:val="24"/>
          <w:szCs w:val="24"/>
        </w:rPr>
        <w:t xml:space="preserve"> </w:t>
      </w:r>
      <w:r w:rsidR="00B70C18">
        <w:rPr>
          <w:rFonts w:ascii="Times New Roman" w:hAnsi="Times New Roman" w:cs="Times New Roman"/>
          <w:sz w:val="24"/>
          <w:szCs w:val="24"/>
        </w:rPr>
        <w:t>makes up</w:t>
      </w:r>
      <w:r w:rsidR="00377686">
        <w:rPr>
          <w:rFonts w:ascii="Times New Roman" w:hAnsi="Times New Roman" w:cs="Times New Roman"/>
          <w:sz w:val="24"/>
          <w:szCs w:val="24"/>
        </w:rPr>
        <w:t xml:space="preserve"> the rules </w:t>
      </w:r>
      <w:r w:rsidR="00942093">
        <w:rPr>
          <w:rFonts w:ascii="Times New Roman" w:hAnsi="Times New Roman" w:cs="Times New Roman"/>
          <w:sz w:val="24"/>
          <w:szCs w:val="24"/>
        </w:rPr>
        <w:t>in this area</w:t>
      </w:r>
      <w:r w:rsidR="00C75997">
        <w:rPr>
          <w:rFonts w:ascii="Times New Roman" w:hAnsi="Times New Roman" w:cs="Times New Roman"/>
          <w:sz w:val="24"/>
          <w:szCs w:val="24"/>
        </w:rPr>
        <w:t>.</w:t>
      </w:r>
      <w:r w:rsidR="00C70FF3">
        <w:rPr>
          <w:rFonts w:ascii="Times New Roman" w:hAnsi="Times New Roman" w:cs="Times New Roman"/>
          <w:sz w:val="24"/>
          <w:szCs w:val="24"/>
        </w:rPr>
        <w:t xml:space="preserve"> As a consequence, the</w:t>
      </w:r>
      <w:r w:rsidR="000B0ECD">
        <w:rPr>
          <w:rFonts w:ascii="Times New Roman" w:hAnsi="Times New Roman" w:cs="Times New Roman"/>
          <w:sz w:val="24"/>
          <w:szCs w:val="24"/>
        </w:rPr>
        <w:t>y</w:t>
      </w:r>
      <w:r w:rsidR="00C70FF3">
        <w:rPr>
          <w:rFonts w:ascii="Times New Roman" w:hAnsi="Times New Roman" w:cs="Times New Roman"/>
          <w:sz w:val="24"/>
          <w:szCs w:val="24"/>
        </w:rPr>
        <w:t xml:space="preserve"> have placed a premium on</w:t>
      </w:r>
      <w:r w:rsidR="00A9611B">
        <w:rPr>
          <w:rFonts w:ascii="Times New Roman" w:hAnsi="Times New Roman" w:cs="Times New Roman"/>
          <w:sz w:val="24"/>
          <w:szCs w:val="24"/>
        </w:rPr>
        <w:t xml:space="preserve"> </w:t>
      </w:r>
      <w:r w:rsidR="00C70FF3">
        <w:rPr>
          <w:rFonts w:ascii="Times New Roman" w:hAnsi="Times New Roman" w:cs="Times New Roman"/>
          <w:sz w:val="24"/>
          <w:szCs w:val="24"/>
        </w:rPr>
        <w:t>diagnostic labels, such as those listed in the DSM-V and the ICD-10.</w:t>
      </w:r>
      <w:r w:rsidR="000B0ECD">
        <w:rPr>
          <w:rStyle w:val="FootnoteReference"/>
          <w:rFonts w:cs="Times New Roman"/>
          <w:szCs w:val="24"/>
        </w:rPr>
        <w:footnoteReference w:id="109"/>
      </w:r>
      <w:r w:rsidR="0099225C">
        <w:rPr>
          <w:rFonts w:ascii="Times New Roman" w:hAnsi="Times New Roman" w:cs="Times New Roman"/>
          <w:sz w:val="24"/>
          <w:szCs w:val="24"/>
        </w:rPr>
        <w:t xml:space="preserve"> </w:t>
      </w:r>
      <w:r w:rsidR="00A86F21">
        <w:rPr>
          <w:rFonts w:ascii="Times New Roman" w:hAnsi="Times New Roman" w:cs="Times New Roman"/>
          <w:sz w:val="24"/>
          <w:szCs w:val="24"/>
        </w:rPr>
        <w:t>T</w:t>
      </w:r>
      <w:r w:rsidR="0099225C">
        <w:rPr>
          <w:rFonts w:ascii="Times New Roman" w:hAnsi="Times New Roman" w:cs="Times New Roman"/>
          <w:sz w:val="24"/>
          <w:szCs w:val="24"/>
        </w:rPr>
        <w:t>he same</w:t>
      </w:r>
      <w:r w:rsidR="00A86F21">
        <w:rPr>
          <w:rFonts w:ascii="Times New Roman" w:hAnsi="Times New Roman" w:cs="Times New Roman"/>
          <w:sz w:val="24"/>
          <w:szCs w:val="24"/>
        </w:rPr>
        <w:t xml:space="preserve"> applies</w:t>
      </w:r>
      <w:r w:rsidR="0099225C">
        <w:rPr>
          <w:rFonts w:ascii="Times New Roman" w:hAnsi="Times New Roman" w:cs="Times New Roman"/>
          <w:sz w:val="24"/>
          <w:szCs w:val="24"/>
        </w:rPr>
        <w:t xml:space="preserve"> across the common law world too</w:t>
      </w:r>
      <w:r w:rsidR="000C5A5F">
        <w:rPr>
          <w:rFonts w:ascii="Times New Roman" w:hAnsi="Times New Roman" w:cs="Times New Roman"/>
          <w:sz w:val="24"/>
          <w:szCs w:val="24"/>
        </w:rPr>
        <w:t>.</w:t>
      </w:r>
      <w:r w:rsidR="000C5A5F">
        <w:rPr>
          <w:rStyle w:val="FootnoteReference"/>
          <w:rFonts w:cs="Times New Roman"/>
          <w:szCs w:val="24"/>
        </w:rPr>
        <w:footnoteReference w:id="110"/>
      </w:r>
      <w:r w:rsidR="00AC7DDB">
        <w:rPr>
          <w:rFonts w:ascii="Times New Roman" w:hAnsi="Times New Roman" w:cs="Times New Roman"/>
          <w:sz w:val="24"/>
          <w:szCs w:val="24"/>
        </w:rPr>
        <w:t xml:space="preserve"> </w:t>
      </w:r>
      <w:r w:rsidR="0067484A">
        <w:rPr>
          <w:rFonts w:ascii="Times New Roman" w:hAnsi="Times New Roman" w:cs="Times New Roman"/>
          <w:sz w:val="24"/>
          <w:szCs w:val="24"/>
        </w:rPr>
        <w:t>Mere grief, distress or sorrow is not enough;</w:t>
      </w:r>
      <w:bookmarkStart w:id="26" w:name="_Ref31737920"/>
      <w:r w:rsidR="0067484A">
        <w:rPr>
          <w:rStyle w:val="FootnoteReference"/>
          <w:rFonts w:cs="Times New Roman"/>
          <w:szCs w:val="24"/>
        </w:rPr>
        <w:footnoteReference w:id="111"/>
      </w:r>
      <w:bookmarkEnd w:id="26"/>
      <w:r w:rsidR="0067484A">
        <w:rPr>
          <w:rFonts w:ascii="Times New Roman" w:hAnsi="Times New Roman" w:cs="Times New Roman"/>
          <w:sz w:val="24"/>
          <w:szCs w:val="24"/>
        </w:rPr>
        <w:t xml:space="preserve"> a defendant will not owe a duty </w:t>
      </w:r>
      <w:r w:rsidR="002E4FAE">
        <w:rPr>
          <w:rFonts w:ascii="Times New Roman" w:hAnsi="Times New Roman" w:cs="Times New Roman"/>
          <w:sz w:val="24"/>
          <w:szCs w:val="24"/>
        </w:rPr>
        <w:t>in respect of</w:t>
      </w:r>
      <w:r w:rsidR="0067484A">
        <w:rPr>
          <w:rFonts w:ascii="Times New Roman" w:hAnsi="Times New Roman" w:cs="Times New Roman"/>
          <w:sz w:val="24"/>
          <w:szCs w:val="24"/>
        </w:rPr>
        <w:t xml:space="preserve"> ‘normal human emotions’.</w:t>
      </w:r>
      <w:bookmarkStart w:id="27" w:name="_Ref31735922"/>
      <w:r w:rsidR="0067484A">
        <w:rPr>
          <w:rStyle w:val="FootnoteReference"/>
          <w:rFonts w:cs="Times New Roman"/>
          <w:szCs w:val="24"/>
        </w:rPr>
        <w:footnoteReference w:id="112"/>
      </w:r>
      <w:bookmarkEnd w:id="27"/>
      <w:r w:rsidR="0067484A">
        <w:rPr>
          <w:rFonts w:ascii="Times New Roman" w:hAnsi="Times New Roman" w:cs="Times New Roman"/>
          <w:sz w:val="24"/>
          <w:szCs w:val="24"/>
        </w:rPr>
        <w:t xml:space="preserve"> </w:t>
      </w:r>
      <w:r w:rsidR="00CF1FA1">
        <w:rPr>
          <w:rFonts w:ascii="Times New Roman" w:hAnsi="Times New Roman" w:cs="Times New Roman"/>
          <w:sz w:val="24"/>
          <w:szCs w:val="24"/>
        </w:rPr>
        <w:t>A claimant must</w:t>
      </w:r>
      <w:r w:rsidR="00753622">
        <w:rPr>
          <w:rFonts w:ascii="Times New Roman" w:hAnsi="Times New Roman" w:cs="Times New Roman"/>
          <w:sz w:val="24"/>
          <w:szCs w:val="24"/>
        </w:rPr>
        <w:t xml:space="preserve"> </w:t>
      </w:r>
      <w:r w:rsidR="00CF1FA1">
        <w:rPr>
          <w:rFonts w:ascii="Times New Roman" w:hAnsi="Times New Roman" w:cs="Times New Roman"/>
          <w:sz w:val="24"/>
          <w:szCs w:val="24"/>
        </w:rPr>
        <w:t xml:space="preserve">prove that </w:t>
      </w:r>
      <w:r w:rsidR="00A31B84">
        <w:rPr>
          <w:rFonts w:ascii="Times New Roman" w:hAnsi="Times New Roman" w:cs="Times New Roman"/>
          <w:sz w:val="24"/>
          <w:szCs w:val="24"/>
        </w:rPr>
        <w:t>s</w:t>
      </w:r>
      <w:r w:rsidR="00CF1FA1">
        <w:rPr>
          <w:rFonts w:ascii="Times New Roman" w:hAnsi="Times New Roman" w:cs="Times New Roman"/>
          <w:sz w:val="24"/>
          <w:szCs w:val="24"/>
        </w:rPr>
        <w:t>he has suffered what has variously been described as a ‘positive psychiatric illness’,</w:t>
      </w:r>
      <w:bookmarkStart w:id="28" w:name="_Ref29471611"/>
      <w:r w:rsidR="00CF1FA1">
        <w:rPr>
          <w:rStyle w:val="FootnoteReference"/>
          <w:rFonts w:cs="Times New Roman"/>
          <w:szCs w:val="24"/>
        </w:rPr>
        <w:footnoteReference w:id="113"/>
      </w:r>
      <w:bookmarkEnd w:id="28"/>
      <w:r w:rsidR="00CF1FA1">
        <w:rPr>
          <w:rFonts w:ascii="Times New Roman" w:hAnsi="Times New Roman" w:cs="Times New Roman"/>
          <w:sz w:val="24"/>
          <w:szCs w:val="24"/>
        </w:rPr>
        <w:t xml:space="preserve"> a ‘recognisable’</w:t>
      </w:r>
      <w:bookmarkStart w:id="29" w:name="_Ref31738034"/>
      <w:r w:rsidR="00CF1FA1">
        <w:rPr>
          <w:rStyle w:val="FootnoteReference"/>
          <w:rFonts w:cs="Times New Roman"/>
          <w:szCs w:val="24"/>
        </w:rPr>
        <w:footnoteReference w:id="114"/>
      </w:r>
      <w:bookmarkEnd w:id="29"/>
      <w:r w:rsidR="00CF1FA1">
        <w:rPr>
          <w:rFonts w:ascii="Times New Roman" w:hAnsi="Times New Roman" w:cs="Times New Roman"/>
          <w:sz w:val="24"/>
          <w:szCs w:val="24"/>
        </w:rPr>
        <w:t xml:space="preserve"> or ‘recognised’</w:t>
      </w:r>
      <w:r w:rsidR="00CF1FA1">
        <w:rPr>
          <w:rStyle w:val="FootnoteReference"/>
          <w:rFonts w:cs="Times New Roman"/>
          <w:szCs w:val="24"/>
        </w:rPr>
        <w:footnoteReference w:id="115"/>
      </w:r>
      <w:r w:rsidR="00CF1FA1">
        <w:rPr>
          <w:rFonts w:ascii="Times New Roman" w:hAnsi="Times New Roman" w:cs="Times New Roman"/>
          <w:sz w:val="24"/>
          <w:szCs w:val="24"/>
        </w:rPr>
        <w:t xml:space="preserve"> psychiatric injury,</w:t>
      </w:r>
      <w:r w:rsidR="00B85E7F">
        <w:rPr>
          <w:rFonts w:ascii="Times New Roman" w:hAnsi="Times New Roman" w:cs="Times New Roman"/>
          <w:sz w:val="24"/>
          <w:szCs w:val="24"/>
        </w:rPr>
        <w:t xml:space="preserve"> an ‘identifiable psychiatric condition’</w:t>
      </w:r>
      <w:r w:rsidR="000E5954">
        <w:rPr>
          <w:rFonts w:ascii="Times New Roman" w:hAnsi="Times New Roman" w:cs="Times New Roman"/>
          <w:sz w:val="24"/>
          <w:szCs w:val="24"/>
        </w:rPr>
        <w:t>,</w:t>
      </w:r>
      <w:bookmarkStart w:id="30" w:name="_Ref29471400"/>
      <w:r w:rsidR="000E5954">
        <w:rPr>
          <w:rStyle w:val="FootnoteReference"/>
          <w:rFonts w:cs="Times New Roman"/>
          <w:szCs w:val="24"/>
        </w:rPr>
        <w:footnoteReference w:id="116"/>
      </w:r>
      <w:bookmarkEnd w:id="30"/>
      <w:r w:rsidR="00CF1FA1">
        <w:rPr>
          <w:rFonts w:ascii="Times New Roman" w:hAnsi="Times New Roman" w:cs="Times New Roman"/>
          <w:sz w:val="24"/>
          <w:szCs w:val="24"/>
        </w:rPr>
        <w:t xml:space="preserve"> or a ‘frank psychiatric illness’</w:t>
      </w:r>
      <w:r w:rsidR="00CF1FA1">
        <w:rPr>
          <w:rStyle w:val="FootnoteReference"/>
          <w:rFonts w:cs="Times New Roman"/>
          <w:szCs w:val="24"/>
        </w:rPr>
        <w:footnoteReference w:id="117"/>
      </w:r>
      <w:r w:rsidR="008B05A5">
        <w:rPr>
          <w:rFonts w:ascii="Times New Roman" w:hAnsi="Times New Roman" w:cs="Times New Roman"/>
          <w:sz w:val="24"/>
          <w:szCs w:val="24"/>
        </w:rPr>
        <w:t>.</w:t>
      </w:r>
      <w:r w:rsidR="002E5091">
        <w:rPr>
          <w:rFonts w:ascii="Times New Roman" w:hAnsi="Times New Roman" w:cs="Times New Roman"/>
          <w:sz w:val="24"/>
          <w:szCs w:val="24"/>
        </w:rPr>
        <w:t xml:space="preserve"> </w:t>
      </w:r>
    </w:p>
    <w:p w14:paraId="4F4D1C33" w14:textId="0829E54B" w:rsidR="004634B4" w:rsidRDefault="003C7BDA"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lastRenderedPageBreak/>
        <w:t xml:space="preserve">A wide range of conditions </w:t>
      </w:r>
      <w:r w:rsidR="006F66F7">
        <w:rPr>
          <w:rFonts w:ascii="Times New Roman" w:hAnsi="Times New Roman" w:cs="Times New Roman"/>
          <w:sz w:val="24"/>
          <w:szCs w:val="24"/>
        </w:rPr>
        <w:t xml:space="preserve">has </w:t>
      </w:r>
      <w:r>
        <w:rPr>
          <w:rFonts w:ascii="Times New Roman" w:hAnsi="Times New Roman" w:cs="Times New Roman"/>
          <w:sz w:val="24"/>
          <w:szCs w:val="24"/>
        </w:rPr>
        <w:t xml:space="preserve">been </w:t>
      </w:r>
      <w:r w:rsidR="00215658">
        <w:rPr>
          <w:rFonts w:ascii="Times New Roman" w:hAnsi="Times New Roman" w:cs="Times New Roman"/>
          <w:sz w:val="24"/>
          <w:szCs w:val="24"/>
        </w:rPr>
        <w:t>found to satisfy this requirement</w:t>
      </w:r>
      <w:r w:rsidR="002E4FAE">
        <w:rPr>
          <w:rFonts w:ascii="Times New Roman" w:hAnsi="Times New Roman" w:cs="Times New Roman"/>
          <w:sz w:val="24"/>
          <w:szCs w:val="24"/>
        </w:rPr>
        <w:t xml:space="preserve">, including </w:t>
      </w:r>
      <w:r w:rsidR="00DE254E">
        <w:rPr>
          <w:rFonts w:ascii="Times New Roman" w:hAnsi="Times New Roman" w:cs="Times New Roman"/>
          <w:sz w:val="24"/>
          <w:szCs w:val="24"/>
        </w:rPr>
        <w:t>post-traumatic stress disorder</w:t>
      </w:r>
      <w:r w:rsidR="00215658">
        <w:rPr>
          <w:rFonts w:ascii="Times New Roman" w:hAnsi="Times New Roman" w:cs="Times New Roman"/>
          <w:sz w:val="24"/>
          <w:szCs w:val="24"/>
        </w:rPr>
        <w:t>;</w:t>
      </w:r>
      <w:r w:rsidR="00215658">
        <w:rPr>
          <w:rStyle w:val="FootnoteReference"/>
          <w:rFonts w:cs="Times New Roman"/>
          <w:szCs w:val="24"/>
        </w:rPr>
        <w:footnoteReference w:id="118"/>
      </w:r>
      <w:r w:rsidR="00DE254E">
        <w:rPr>
          <w:rFonts w:ascii="Times New Roman" w:hAnsi="Times New Roman" w:cs="Times New Roman"/>
          <w:sz w:val="24"/>
          <w:szCs w:val="24"/>
        </w:rPr>
        <w:t xml:space="preserve"> </w:t>
      </w:r>
      <w:r w:rsidR="004C4912">
        <w:rPr>
          <w:rFonts w:ascii="Times New Roman" w:hAnsi="Times New Roman" w:cs="Times New Roman"/>
          <w:sz w:val="24"/>
          <w:szCs w:val="24"/>
        </w:rPr>
        <w:t>clinical depression</w:t>
      </w:r>
      <w:r w:rsidR="00215658">
        <w:rPr>
          <w:rFonts w:ascii="Times New Roman" w:hAnsi="Times New Roman" w:cs="Times New Roman"/>
          <w:sz w:val="24"/>
          <w:szCs w:val="24"/>
        </w:rPr>
        <w:t>;</w:t>
      </w:r>
      <w:r w:rsidR="00D45752">
        <w:rPr>
          <w:rStyle w:val="FootnoteReference"/>
          <w:rFonts w:cs="Times New Roman"/>
          <w:szCs w:val="24"/>
        </w:rPr>
        <w:footnoteReference w:id="119"/>
      </w:r>
      <w:r w:rsidR="004C4912">
        <w:rPr>
          <w:rFonts w:ascii="Times New Roman" w:hAnsi="Times New Roman" w:cs="Times New Roman"/>
          <w:sz w:val="24"/>
          <w:szCs w:val="24"/>
        </w:rPr>
        <w:t xml:space="preserve"> </w:t>
      </w:r>
      <w:r w:rsidR="00C7060D">
        <w:rPr>
          <w:rFonts w:ascii="Times New Roman" w:hAnsi="Times New Roman" w:cs="Times New Roman"/>
          <w:sz w:val="24"/>
          <w:szCs w:val="24"/>
        </w:rPr>
        <w:t>major depressive disorder</w:t>
      </w:r>
      <w:r w:rsidR="00215658">
        <w:rPr>
          <w:rFonts w:ascii="Times New Roman" w:hAnsi="Times New Roman" w:cs="Times New Roman"/>
          <w:sz w:val="24"/>
          <w:szCs w:val="24"/>
        </w:rPr>
        <w:t>;</w:t>
      </w:r>
      <w:r w:rsidR="000B7144">
        <w:rPr>
          <w:rStyle w:val="FootnoteReference"/>
          <w:rFonts w:cs="Times New Roman"/>
          <w:szCs w:val="24"/>
        </w:rPr>
        <w:footnoteReference w:id="120"/>
      </w:r>
      <w:r w:rsidR="00C7060D">
        <w:rPr>
          <w:rFonts w:ascii="Times New Roman" w:hAnsi="Times New Roman" w:cs="Times New Roman"/>
          <w:sz w:val="24"/>
          <w:szCs w:val="24"/>
        </w:rPr>
        <w:t xml:space="preserve"> </w:t>
      </w:r>
      <w:r w:rsidR="00146637">
        <w:rPr>
          <w:rFonts w:ascii="Times New Roman" w:hAnsi="Times New Roman" w:cs="Times New Roman"/>
          <w:sz w:val="24"/>
          <w:szCs w:val="24"/>
        </w:rPr>
        <w:t>adjustment disorder</w:t>
      </w:r>
      <w:r w:rsidR="00215658">
        <w:rPr>
          <w:rFonts w:ascii="Times New Roman" w:hAnsi="Times New Roman" w:cs="Times New Roman"/>
          <w:sz w:val="24"/>
          <w:szCs w:val="24"/>
        </w:rPr>
        <w:t>;</w:t>
      </w:r>
      <w:r w:rsidR="00F576DE">
        <w:rPr>
          <w:rStyle w:val="FootnoteReference"/>
          <w:rFonts w:cs="Times New Roman"/>
          <w:szCs w:val="24"/>
        </w:rPr>
        <w:footnoteReference w:id="121"/>
      </w:r>
      <w:r w:rsidR="00146637">
        <w:rPr>
          <w:rFonts w:ascii="Times New Roman" w:hAnsi="Times New Roman" w:cs="Times New Roman"/>
          <w:sz w:val="24"/>
          <w:szCs w:val="24"/>
        </w:rPr>
        <w:t xml:space="preserve"> anorexia nervosa</w:t>
      </w:r>
      <w:r w:rsidR="00215658">
        <w:rPr>
          <w:rFonts w:ascii="Times New Roman" w:hAnsi="Times New Roman" w:cs="Times New Roman"/>
          <w:sz w:val="24"/>
          <w:szCs w:val="24"/>
        </w:rPr>
        <w:t>;</w:t>
      </w:r>
      <w:r w:rsidR="00F576DE">
        <w:rPr>
          <w:rStyle w:val="FootnoteReference"/>
          <w:rFonts w:cs="Times New Roman"/>
          <w:szCs w:val="24"/>
        </w:rPr>
        <w:footnoteReference w:id="122"/>
      </w:r>
      <w:r w:rsidR="00B25C13">
        <w:rPr>
          <w:rFonts w:ascii="Times New Roman" w:hAnsi="Times New Roman" w:cs="Times New Roman"/>
          <w:sz w:val="24"/>
          <w:szCs w:val="24"/>
        </w:rPr>
        <w:t xml:space="preserve"> chronic fatigue syndrome;</w:t>
      </w:r>
      <w:r w:rsidR="00F576DE">
        <w:rPr>
          <w:rStyle w:val="FootnoteReference"/>
          <w:rFonts w:cs="Times New Roman"/>
          <w:szCs w:val="24"/>
        </w:rPr>
        <w:footnoteReference w:id="123"/>
      </w:r>
      <w:r w:rsidR="00146637">
        <w:rPr>
          <w:rFonts w:ascii="Times New Roman" w:hAnsi="Times New Roman" w:cs="Times New Roman"/>
          <w:sz w:val="24"/>
          <w:szCs w:val="24"/>
        </w:rPr>
        <w:t xml:space="preserve"> pathological grief disorder</w:t>
      </w:r>
      <w:r w:rsidR="00215658">
        <w:rPr>
          <w:rFonts w:ascii="Times New Roman" w:hAnsi="Times New Roman" w:cs="Times New Roman"/>
          <w:sz w:val="24"/>
          <w:szCs w:val="24"/>
        </w:rPr>
        <w:t>;</w:t>
      </w:r>
      <w:r w:rsidR="00BD27DD">
        <w:rPr>
          <w:rStyle w:val="FootnoteReference"/>
          <w:rFonts w:cs="Times New Roman"/>
          <w:szCs w:val="24"/>
        </w:rPr>
        <w:footnoteReference w:id="124"/>
      </w:r>
      <w:r w:rsidR="00F855A2">
        <w:rPr>
          <w:rFonts w:ascii="Times New Roman" w:hAnsi="Times New Roman" w:cs="Times New Roman"/>
          <w:sz w:val="24"/>
          <w:szCs w:val="24"/>
        </w:rPr>
        <w:t xml:space="preserve"> </w:t>
      </w:r>
      <w:r w:rsidR="00146637">
        <w:rPr>
          <w:rFonts w:ascii="Times New Roman" w:hAnsi="Times New Roman" w:cs="Times New Roman"/>
          <w:sz w:val="24"/>
          <w:szCs w:val="24"/>
        </w:rPr>
        <w:t>hysterical personality disorder</w:t>
      </w:r>
      <w:r w:rsidR="00215658">
        <w:rPr>
          <w:rFonts w:ascii="Times New Roman" w:hAnsi="Times New Roman" w:cs="Times New Roman"/>
          <w:sz w:val="24"/>
          <w:szCs w:val="24"/>
        </w:rPr>
        <w:t>;</w:t>
      </w:r>
      <w:r w:rsidR="00BD27DD">
        <w:rPr>
          <w:rStyle w:val="FootnoteReference"/>
          <w:rFonts w:cs="Times New Roman"/>
          <w:szCs w:val="24"/>
        </w:rPr>
        <w:footnoteReference w:id="125"/>
      </w:r>
      <w:r w:rsidR="00146637">
        <w:rPr>
          <w:rFonts w:ascii="Times New Roman" w:hAnsi="Times New Roman" w:cs="Times New Roman"/>
          <w:sz w:val="24"/>
          <w:szCs w:val="24"/>
        </w:rPr>
        <w:t xml:space="preserve"> </w:t>
      </w:r>
      <w:r w:rsidR="00001A6E">
        <w:rPr>
          <w:rFonts w:ascii="Times New Roman" w:hAnsi="Times New Roman" w:cs="Times New Roman"/>
          <w:sz w:val="24"/>
          <w:szCs w:val="24"/>
        </w:rPr>
        <w:t>and schizophrenia.</w:t>
      </w:r>
      <w:r w:rsidR="00A80E02">
        <w:rPr>
          <w:rStyle w:val="FootnoteReference"/>
          <w:rFonts w:cs="Times New Roman"/>
          <w:szCs w:val="24"/>
        </w:rPr>
        <w:footnoteReference w:id="126"/>
      </w:r>
      <w:r w:rsidR="00B151DA">
        <w:rPr>
          <w:rFonts w:ascii="Times New Roman" w:hAnsi="Times New Roman" w:cs="Times New Roman"/>
          <w:sz w:val="24"/>
          <w:szCs w:val="24"/>
        </w:rPr>
        <w:t xml:space="preserve"> </w:t>
      </w:r>
      <w:r w:rsidR="00DE7857">
        <w:rPr>
          <w:rFonts w:ascii="Times New Roman" w:hAnsi="Times New Roman" w:cs="Times New Roman"/>
          <w:sz w:val="24"/>
          <w:szCs w:val="24"/>
        </w:rPr>
        <w:t xml:space="preserve">Applying the expansive logic of the CRPD’s apparatus, these </w:t>
      </w:r>
      <w:r w:rsidR="00D74338">
        <w:rPr>
          <w:rFonts w:ascii="Times New Roman" w:hAnsi="Times New Roman" w:cs="Times New Roman"/>
          <w:sz w:val="24"/>
          <w:szCs w:val="24"/>
        </w:rPr>
        <w:t>conditions</w:t>
      </w:r>
      <w:r w:rsidR="00236ED3">
        <w:rPr>
          <w:rFonts w:ascii="Times New Roman" w:hAnsi="Times New Roman" w:cs="Times New Roman"/>
          <w:sz w:val="24"/>
          <w:szCs w:val="24"/>
        </w:rPr>
        <w:t xml:space="preserve"> would</w:t>
      </w:r>
      <w:r w:rsidR="00D74338">
        <w:rPr>
          <w:rFonts w:ascii="Times New Roman" w:hAnsi="Times New Roman" w:cs="Times New Roman"/>
          <w:sz w:val="24"/>
          <w:szCs w:val="24"/>
        </w:rPr>
        <w:t xml:space="preserve"> </w:t>
      </w:r>
      <w:r w:rsidR="002A07A8">
        <w:rPr>
          <w:rFonts w:ascii="Times New Roman" w:hAnsi="Times New Roman" w:cs="Times New Roman"/>
          <w:sz w:val="24"/>
          <w:szCs w:val="24"/>
        </w:rPr>
        <w:t xml:space="preserve">all </w:t>
      </w:r>
      <w:r w:rsidR="00DE7857">
        <w:rPr>
          <w:rFonts w:ascii="Times New Roman" w:hAnsi="Times New Roman" w:cs="Times New Roman"/>
          <w:sz w:val="24"/>
          <w:szCs w:val="24"/>
        </w:rPr>
        <w:t xml:space="preserve">likely </w:t>
      </w:r>
      <w:r w:rsidR="002A07A8">
        <w:rPr>
          <w:rFonts w:ascii="Times New Roman" w:hAnsi="Times New Roman" w:cs="Times New Roman"/>
          <w:sz w:val="24"/>
          <w:szCs w:val="24"/>
        </w:rPr>
        <w:t>constitute</w:t>
      </w:r>
      <w:r w:rsidR="004006D7">
        <w:rPr>
          <w:rFonts w:ascii="Times New Roman" w:hAnsi="Times New Roman" w:cs="Times New Roman"/>
          <w:sz w:val="24"/>
          <w:szCs w:val="24"/>
        </w:rPr>
        <w:t xml:space="preserve"> </w:t>
      </w:r>
      <w:r w:rsidR="008B4ABF">
        <w:rPr>
          <w:rFonts w:ascii="Times New Roman" w:hAnsi="Times New Roman" w:cs="Times New Roman"/>
          <w:sz w:val="24"/>
          <w:szCs w:val="24"/>
        </w:rPr>
        <w:t>mental</w:t>
      </w:r>
      <w:r w:rsidR="009C7303">
        <w:rPr>
          <w:rFonts w:ascii="Times New Roman" w:hAnsi="Times New Roman" w:cs="Times New Roman"/>
          <w:sz w:val="24"/>
          <w:szCs w:val="24"/>
        </w:rPr>
        <w:t xml:space="preserve"> </w:t>
      </w:r>
      <w:r w:rsidR="008B4ABF">
        <w:rPr>
          <w:rFonts w:ascii="Times New Roman" w:hAnsi="Times New Roman" w:cs="Times New Roman"/>
          <w:sz w:val="24"/>
          <w:szCs w:val="24"/>
        </w:rPr>
        <w:t xml:space="preserve">impairments which, in conjunction </w:t>
      </w:r>
      <w:r w:rsidR="00DB7963">
        <w:rPr>
          <w:rFonts w:ascii="Times New Roman" w:hAnsi="Times New Roman" w:cs="Times New Roman"/>
          <w:sz w:val="24"/>
          <w:szCs w:val="24"/>
        </w:rPr>
        <w:t>with disabling</w:t>
      </w:r>
      <w:r w:rsidR="000E5914">
        <w:rPr>
          <w:rFonts w:ascii="Times New Roman" w:hAnsi="Times New Roman" w:cs="Times New Roman"/>
          <w:sz w:val="24"/>
          <w:szCs w:val="24"/>
        </w:rPr>
        <w:t xml:space="preserve"> social</w:t>
      </w:r>
      <w:r w:rsidR="00DB7963">
        <w:rPr>
          <w:rFonts w:ascii="Times New Roman" w:hAnsi="Times New Roman" w:cs="Times New Roman"/>
          <w:sz w:val="24"/>
          <w:szCs w:val="24"/>
        </w:rPr>
        <w:t xml:space="preserve"> barriers</w:t>
      </w:r>
      <w:r w:rsidR="00BB7AFF">
        <w:rPr>
          <w:rFonts w:ascii="Times New Roman" w:hAnsi="Times New Roman" w:cs="Times New Roman"/>
          <w:sz w:val="24"/>
          <w:szCs w:val="24"/>
        </w:rPr>
        <w:t>,</w:t>
      </w:r>
      <w:r w:rsidR="00F238DC">
        <w:rPr>
          <w:rFonts w:ascii="Times New Roman" w:hAnsi="Times New Roman" w:cs="Times New Roman"/>
          <w:sz w:val="24"/>
          <w:szCs w:val="24"/>
        </w:rPr>
        <w:t xml:space="preserve"> </w:t>
      </w:r>
      <w:r w:rsidR="00BB7AFF">
        <w:rPr>
          <w:rFonts w:ascii="Times New Roman" w:hAnsi="Times New Roman" w:cs="Times New Roman"/>
          <w:sz w:val="24"/>
          <w:szCs w:val="24"/>
        </w:rPr>
        <w:t>qualify as</w:t>
      </w:r>
      <w:r w:rsidR="002A07A8">
        <w:rPr>
          <w:rFonts w:ascii="Times New Roman" w:hAnsi="Times New Roman" w:cs="Times New Roman"/>
          <w:sz w:val="24"/>
          <w:szCs w:val="24"/>
        </w:rPr>
        <w:t xml:space="preserve"> ‘psychosocial disabilities’</w:t>
      </w:r>
      <w:r w:rsidR="001A1F0E">
        <w:rPr>
          <w:rFonts w:ascii="Times New Roman" w:hAnsi="Times New Roman" w:cs="Times New Roman"/>
          <w:sz w:val="24"/>
          <w:szCs w:val="24"/>
        </w:rPr>
        <w:t>.</w:t>
      </w:r>
      <w:r w:rsidR="005863D2">
        <w:rPr>
          <w:rFonts w:ascii="Times New Roman" w:hAnsi="Times New Roman" w:cs="Times New Roman"/>
          <w:sz w:val="24"/>
          <w:szCs w:val="24"/>
        </w:rPr>
        <w:t xml:space="preserve"> </w:t>
      </w:r>
      <w:r w:rsidR="00795C4D">
        <w:rPr>
          <w:rFonts w:ascii="Times New Roman" w:hAnsi="Times New Roman" w:cs="Times New Roman"/>
          <w:sz w:val="24"/>
          <w:szCs w:val="24"/>
        </w:rPr>
        <w:t>This</w:t>
      </w:r>
      <w:r w:rsidR="001A1F0E">
        <w:rPr>
          <w:rFonts w:ascii="Times New Roman" w:hAnsi="Times New Roman" w:cs="Times New Roman"/>
          <w:sz w:val="24"/>
          <w:szCs w:val="24"/>
        </w:rPr>
        <w:t xml:space="preserve"> </w:t>
      </w:r>
      <w:r w:rsidR="00895DAE">
        <w:rPr>
          <w:rFonts w:ascii="Times New Roman" w:hAnsi="Times New Roman" w:cs="Times New Roman"/>
          <w:sz w:val="24"/>
          <w:szCs w:val="24"/>
        </w:rPr>
        <w:t xml:space="preserve">means that </w:t>
      </w:r>
      <w:r w:rsidR="008A0023">
        <w:rPr>
          <w:rFonts w:ascii="Times New Roman" w:hAnsi="Times New Roman" w:cs="Times New Roman"/>
          <w:sz w:val="24"/>
          <w:szCs w:val="24"/>
        </w:rPr>
        <w:t xml:space="preserve">the special rules </w:t>
      </w:r>
      <w:r w:rsidR="009350A4">
        <w:rPr>
          <w:rFonts w:ascii="Times New Roman" w:hAnsi="Times New Roman" w:cs="Times New Roman"/>
          <w:sz w:val="24"/>
          <w:szCs w:val="24"/>
        </w:rPr>
        <w:t>in negligence</w:t>
      </w:r>
      <w:r w:rsidR="001861CA">
        <w:rPr>
          <w:rFonts w:ascii="Times New Roman" w:hAnsi="Times New Roman" w:cs="Times New Roman"/>
          <w:sz w:val="24"/>
          <w:szCs w:val="24"/>
        </w:rPr>
        <w:t xml:space="preserve"> prima facie</w:t>
      </w:r>
      <w:r w:rsidR="00D35D61">
        <w:rPr>
          <w:rFonts w:ascii="Times New Roman" w:hAnsi="Times New Roman" w:cs="Times New Roman"/>
          <w:sz w:val="24"/>
          <w:szCs w:val="24"/>
        </w:rPr>
        <w:t xml:space="preserve"> </w:t>
      </w:r>
      <w:r w:rsidR="009350A4">
        <w:rPr>
          <w:rFonts w:ascii="Times New Roman" w:hAnsi="Times New Roman" w:cs="Times New Roman"/>
          <w:sz w:val="24"/>
          <w:szCs w:val="24"/>
        </w:rPr>
        <w:t>engage the CRPD</w:t>
      </w:r>
      <w:r w:rsidR="007B391B">
        <w:rPr>
          <w:rFonts w:ascii="Times New Roman" w:hAnsi="Times New Roman" w:cs="Times New Roman"/>
          <w:sz w:val="24"/>
          <w:szCs w:val="24"/>
        </w:rPr>
        <w:t>,</w:t>
      </w:r>
      <w:r w:rsidR="001861CA">
        <w:rPr>
          <w:rFonts w:ascii="Times New Roman" w:hAnsi="Times New Roman" w:cs="Times New Roman"/>
          <w:sz w:val="24"/>
          <w:szCs w:val="24"/>
        </w:rPr>
        <w:t xml:space="preserve"> since they apply</w:t>
      </w:r>
      <w:r w:rsidR="006C7F87">
        <w:rPr>
          <w:rFonts w:ascii="Times New Roman" w:hAnsi="Times New Roman" w:cs="Times New Roman"/>
          <w:sz w:val="24"/>
          <w:szCs w:val="24"/>
        </w:rPr>
        <w:t xml:space="preserve"> </w:t>
      </w:r>
      <w:r w:rsidR="008F11A1">
        <w:rPr>
          <w:rFonts w:ascii="Times New Roman" w:hAnsi="Times New Roman" w:cs="Times New Roman"/>
          <w:sz w:val="24"/>
          <w:szCs w:val="24"/>
        </w:rPr>
        <w:t>to</w:t>
      </w:r>
      <w:r w:rsidR="006C7F87">
        <w:rPr>
          <w:rFonts w:ascii="Times New Roman" w:hAnsi="Times New Roman" w:cs="Times New Roman"/>
          <w:sz w:val="24"/>
          <w:szCs w:val="24"/>
        </w:rPr>
        <w:t xml:space="preserve"> the same sorts of impairments with which </w:t>
      </w:r>
      <w:r w:rsidR="009C7303">
        <w:rPr>
          <w:rFonts w:ascii="Times New Roman" w:hAnsi="Times New Roman" w:cs="Times New Roman"/>
          <w:sz w:val="24"/>
          <w:szCs w:val="24"/>
        </w:rPr>
        <w:t>it</w:t>
      </w:r>
      <w:r w:rsidR="006C7F87">
        <w:rPr>
          <w:rFonts w:ascii="Times New Roman" w:hAnsi="Times New Roman" w:cs="Times New Roman"/>
          <w:sz w:val="24"/>
          <w:szCs w:val="24"/>
        </w:rPr>
        <w:t xml:space="preserve"> is concerned.</w:t>
      </w:r>
      <w:r w:rsidR="001F2812">
        <w:rPr>
          <w:rFonts w:ascii="Times New Roman" w:hAnsi="Times New Roman" w:cs="Times New Roman"/>
          <w:sz w:val="24"/>
          <w:szCs w:val="24"/>
        </w:rPr>
        <w:t xml:space="preserve"> This is despite the fact </w:t>
      </w:r>
      <w:r w:rsidR="00A86EBC">
        <w:rPr>
          <w:rFonts w:ascii="Times New Roman" w:hAnsi="Times New Roman" w:cs="Times New Roman"/>
          <w:sz w:val="24"/>
          <w:szCs w:val="24"/>
        </w:rPr>
        <w:t xml:space="preserve">that the </w:t>
      </w:r>
      <w:r w:rsidR="002A2DA2">
        <w:rPr>
          <w:rFonts w:ascii="Times New Roman" w:hAnsi="Times New Roman" w:cs="Times New Roman"/>
          <w:sz w:val="24"/>
          <w:szCs w:val="24"/>
        </w:rPr>
        <w:t>‘nervous shock’</w:t>
      </w:r>
      <w:r w:rsidR="00A86EBC">
        <w:rPr>
          <w:rFonts w:ascii="Times New Roman" w:hAnsi="Times New Roman" w:cs="Times New Roman"/>
          <w:sz w:val="24"/>
          <w:szCs w:val="24"/>
        </w:rPr>
        <w:t xml:space="preserve"> cases</w:t>
      </w:r>
      <w:r w:rsidR="00A86E0B">
        <w:rPr>
          <w:rFonts w:ascii="Times New Roman" w:hAnsi="Times New Roman" w:cs="Times New Roman"/>
          <w:sz w:val="24"/>
          <w:szCs w:val="24"/>
        </w:rPr>
        <w:t xml:space="preserve"> have not customarily </w:t>
      </w:r>
      <w:r w:rsidR="00A31B84">
        <w:rPr>
          <w:rFonts w:ascii="Times New Roman" w:hAnsi="Times New Roman" w:cs="Times New Roman"/>
          <w:sz w:val="24"/>
          <w:szCs w:val="24"/>
        </w:rPr>
        <w:t>frame</w:t>
      </w:r>
      <w:r w:rsidR="00A86E0B">
        <w:rPr>
          <w:rFonts w:ascii="Times New Roman" w:hAnsi="Times New Roman" w:cs="Times New Roman"/>
          <w:sz w:val="24"/>
          <w:szCs w:val="24"/>
        </w:rPr>
        <w:t>d</w:t>
      </w:r>
      <w:r w:rsidR="00AF5D05">
        <w:rPr>
          <w:rFonts w:ascii="Times New Roman" w:hAnsi="Times New Roman" w:cs="Times New Roman"/>
          <w:sz w:val="24"/>
          <w:szCs w:val="24"/>
        </w:rPr>
        <w:t xml:space="preserve"> the relevant injuries </w:t>
      </w:r>
      <w:r w:rsidR="00B916A4">
        <w:rPr>
          <w:rFonts w:ascii="Times New Roman" w:hAnsi="Times New Roman" w:cs="Times New Roman"/>
          <w:sz w:val="24"/>
          <w:szCs w:val="24"/>
        </w:rPr>
        <w:t>in terms of</w:t>
      </w:r>
      <w:r w:rsidR="002D72B4">
        <w:rPr>
          <w:rFonts w:ascii="Times New Roman" w:hAnsi="Times New Roman" w:cs="Times New Roman"/>
          <w:sz w:val="24"/>
          <w:szCs w:val="24"/>
        </w:rPr>
        <w:t xml:space="preserve"> ‘disability’.</w:t>
      </w:r>
      <w:r w:rsidR="001F2812">
        <w:rPr>
          <w:rFonts w:ascii="Times New Roman" w:hAnsi="Times New Roman" w:cs="Times New Roman"/>
          <w:sz w:val="24"/>
          <w:szCs w:val="24"/>
        </w:rPr>
        <w:t xml:space="preserve"> </w:t>
      </w:r>
      <w:r w:rsidR="005A4D22">
        <w:rPr>
          <w:rFonts w:ascii="Times New Roman" w:hAnsi="Times New Roman" w:cs="Times New Roman"/>
          <w:sz w:val="24"/>
          <w:szCs w:val="24"/>
        </w:rPr>
        <w:t xml:space="preserve">Nevertheless, </w:t>
      </w:r>
      <w:r w:rsidR="007B42A6">
        <w:rPr>
          <w:rFonts w:ascii="Times New Roman" w:hAnsi="Times New Roman" w:cs="Times New Roman"/>
          <w:sz w:val="24"/>
          <w:szCs w:val="24"/>
        </w:rPr>
        <w:t>‘disability’ is</w:t>
      </w:r>
      <w:r w:rsidR="003918A6">
        <w:rPr>
          <w:rFonts w:ascii="Times New Roman" w:hAnsi="Times New Roman" w:cs="Times New Roman"/>
          <w:sz w:val="24"/>
          <w:szCs w:val="24"/>
        </w:rPr>
        <w:t xml:space="preserve"> not</w:t>
      </w:r>
      <w:r w:rsidR="007B42A6">
        <w:rPr>
          <w:rFonts w:ascii="Times New Roman" w:hAnsi="Times New Roman" w:cs="Times New Roman"/>
          <w:sz w:val="24"/>
          <w:szCs w:val="24"/>
        </w:rPr>
        <w:t xml:space="preserve"> an alien concept</w:t>
      </w:r>
      <w:r w:rsidR="006E18C0">
        <w:rPr>
          <w:rFonts w:ascii="Times New Roman" w:hAnsi="Times New Roman" w:cs="Times New Roman"/>
          <w:sz w:val="24"/>
          <w:szCs w:val="24"/>
        </w:rPr>
        <w:t xml:space="preserve"> here</w:t>
      </w:r>
      <w:r w:rsidR="007B42A6">
        <w:rPr>
          <w:rFonts w:ascii="Times New Roman" w:hAnsi="Times New Roman" w:cs="Times New Roman"/>
          <w:sz w:val="24"/>
          <w:szCs w:val="24"/>
        </w:rPr>
        <w:t>: Trindade</w:t>
      </w:r>
      <w:r w:rsidR="00706AAD">
        <w:rPr>
          <w:rFonts w:ascii="Times New Roman" w:hAnsi="Times New Roman" w:cs="Times New Roman"/>
          <w:sz w:val="24"/>
          <w:szCs w:val="24"/>
        </w:rPr>
        <w:t xml:space="preserve"> </w:t>
      </w:r>
      <w:r w:rsidR="00A86E0B">
        <w:rPr>
          <w:rFonts w:ascii="Times New Roman" w:hAnsi="Times New Roman" w:cs="Times New Roman"/>
          <w:sz w:val="24"/>
          <w:szCs w:val="24"/>
        </w:rPr>
        <w:t>described</w:t>
      </w:r>
      <w:r w:rsidR="005A7444">
        <w:rPr>
          <w:rFonts w:ascii="Times New Roman" w:hAnsi="Times New Roman" w:cs="Times New Roman"/>
          <w:sz w:val="24"/>
          <w:szCs w:val="24"/>
        </w:rPr>
        <w:t xml:space="preserve"> ‘recognisable psychiatric injury’ as ‘the </w:t>
      </w:r>
      <w:r w:rsidR="005A7444" w:rsidRPr="004020DE">
        <w:rPr>
          <w:rFonts w:ascii="Times New Roman" w:hAnsi="Times New Roman" w:cs="Times New Roman"/>
          <w:i/>
          <w:sz w:val="24"/>
          <w:szCs w:val="24"/>
        </w:rPr>
        <w:t>disability</w:t>
      </w:r>
      <w:r w:rsidR="005A7444">
        <w:rPr>
          <w:rFonts w:ascii="Times New Roman" w:hAnsi="Times New Roman" w:cs="Times New Roman"/>
          <w:sz w:val="24"/>
          <w:szCs w:val="24"/>
        </w:rPr>
        <w:t xml:space="preserve"> which the plaintiff must suffer if he is to recover damages for “nervous shock”’.</w:t>
      </w:r>
      <w:bookmarkStart w:id="31" w:name="_Ref31648990"/>
      <w:r w:rsidR="005A7444">
        <w:rPr>
          <w:rStyle w:val="FootnoteReference"/>
          <w:rFonts w:cs="Times New Roman"/>
          <w:szCs w:val="24"/>
        </w:rPr>
        <w:footnoteReference w:id="127"/>
      </w:r>
      <w:bookmarkEnd w:id="31"/>
      <w:r w:rsidR="004129A7">
        <w:rPr>
          <w:rFonts w:ascii="Times New Roman" w:hAnsi="Times New Roman" w:cs="Times New Roman"/>
          <w:sz w:val="24"/>
          <w:szCs w:val="24"/>
        </w:rPr>
        <w:t xml:space="preserve"> </w:t>
      </w:r>
      <w:r w:rsidR="005A7444">
        <w:rPr>
          <w:rFonts w:ascii="Times New Roman" w:hAnsi="Times New Roman" w:cs="Times New Roman"/>
          <w:sz w:val="24"/>
          <w:szCs w:val="24"/>
        </w:rPr>
        <w:t>In any case</w:t>
      </w:r>
      <w:r w:rsidR="00617702">
        <w:rPr>
          <w:rFonts w:ascii="Times New Roman" w:hAnsi="Times New Roman" w:cs="Times New Roman"/>
          <w:sz w:val="24"/>
          <w:szCs w:val="24"/>
        </w:rPr>
        <w:t xml:space="preserve">, </w:t>
      </w:r>
      <w:r w:rsidR="005A7444">
        <w:rPr>
          <w:rFonts w:ascii="Times New Roman" w:hAnsi="Times New Roman" w:cs="Times New Roman"/>
          <w:sz w:val="24"/>
          <w:szCs w:val="24"/>
        </w:rPr>
        <w:t>the absence of</w:t>
      </w:r>
      <w:r w:rsidR="004129A7">
        <w:rPr>
          <w:rFonts w:ascii="Times New Roman" w:hAnsi="Times New Roman" w:cs="Times New Roman"/>
          <w:sz w:val="24"/>
          <w:szCs w:val="24"/>
        </w:rPr>
        <w:t xml:space="preserve"> th</w:t>
      </w:r>
      <w:r w:rsidR="00E97839">
        <w:rPr>
          <w:rFonts w:ascii="Times New Roman" w:hAnsi="Times New Roman" w:cs="Times New Roman"/>
          <w:sz w:val="24"/>
          <w:szCs w:val="24"/>
        </w:rPr>
        <w:t>e</w:t>
      </w:r>
      <w:r w:rsidR="004129A7">
        <w:rPr>
          <w:rFonts w:ascii="Times New Roman" w:hAnsi="Times New Roman" w:cs="Times New Roman"/>
          <w:sz w:val="24"/>
          <w:szCs w:val="24"/>
        </w:rPr>
        <w:t xml:space="preserve"> word</w:t>
      </w:r>
      <w:r w:rsidR="005A7444">
        <w:rPr>
          <w:rFonts w:ascii="Times New Roman" w:hAnsi="Times New Roman" w:cs="Times New Roman"/>
          <w:sz w:val="24"/>
          <w:szCs w:val="24"/>
        </w:rPr>
        <w:t xml:space="preserve"> ‘disability’ </w:t>
      </w:r>
      <w:r w:rsidR="00617702">
        <w:rPr>
          <w:rFonts w:ascii="Times New Roman" w:hAnsi="Times New Roman" w:cs="Times New Roman"/>
          <w:sz w:val="24"/>
          <w:szCs w:val="24"/>
        </w:rPr>
        <w:t>is in no way determinative</w:t>
      </w:r>
      <w:r w:rsidR="00846092">
        <w:rPr>
          <w:rFonts w:ascii="Times New Roman" w:hAnsi="Times New Roman" w:cs="Times New Roman"/>
          <w:sz w:val="24"/>
          <w:szCs w:val="24"/>
        </w:rPr>
        <w:t>: a</w:t>
      </w:r>
      <w:r w:rsidR="00FC6EA7">
        <w:rPr>
          <w:rFonts w:ascii="Times New Roman" w:hAnsi="Times New Roman" w:cs="Times New Roman"/>
          <w:sz w:val="24"/>
          <w:szCs w:val="24"/>
        </w:rPr>
        <w:t xml:space="preserve">s Fennell says, </w:t>
      </w:r>
      <w:r w:rsidR="000B40D1">
        <w:rPr>
          <w:rFonts w:ascii="Times New Roman" w:hAnsi="Times New Roman" w:cs="Times New Roman"/>
          <w:sz w:val="24"/>
          <w:szCs w:val="24"/>
        </w:rPr>
        <w:t xml:space="preserve">‘mental ill health </w:t>
      </w:r>
      <w:r w:rsidR="000B40D1" w:rsidRPr="006F49E3">
        <w:rPr>
          <w:rFonts w:ascii="Times New Roman" w:hAnsi="Times New Roman" w:cs="Times New Roman"/>
          <w:i/>
          <w:iCs/>
          <w:sz w:val="24"/>
          <w:szCs w:val="24"/>
        </w:rPr>
        <w:t>is</w:t>
      </w:r>
      <w:r w:rsidR="000B40D1">
        <w:rPr>
          <w:rFonts w:ascii="Times New Roman" w:hAnsi="Times New Roman" w:cs="Times New Roman"/>
          <w:sz w:val="24"/>
          <w:szCs w:val="24"/>
        </w:rPr>
        <w:t xml:space="preserve"> a disability’.</w:t>
      </w:r>
      <w:r w:rsidR="00834B5D">
        <w:rPr>
          <w:rStyle w:val="FootnoteReference"/>
          <w:rFonts w:cs="Times New Roman"/>
          <w:szCs w:val="24"/>
        </w:rPr>
        <w:footnoteReference w:id="128"/>
      </w:r>
      <w:r w:rsidR="006E18C0">
        <w:rPr>
          <w:rFonts w:ascii="Times New Roman" w:hAnsi="Times New Roman" w:cs="Times New Roman"/>
          <w:sz w:val="24"/>
          <w:szCs w:val="24"/>
        </w:rPr>
        <w:t xml:space="preserve"> </w:t>
      </w:r>
      <w:r w:rsidR="00C87879">
        <w:rPr>
          <w:rFonts w:ascii="Times New Roman" w:hAnsi="Times New Roman" w:cs="Times New Roman"/>
          <w:sz w:val="24"/>
          <w:szCs w:val="24"/>
        </w:rPr>
        <w:t>T</w:t>
      </w:r>
      <w:r w:rsidR="00146B51">
        <w:rPr>
          <w:rFonts w:ascii="Times New Roman" w:hAnsi="Times New Roman" w:cs="Times New Roman"/>
          <w:sz w:val="24"/>
          <w:szCs w:val="24"/>
        </w:rPr>
        <w:t>he conditions which the courts have accepted are recognis</w:t>
      </w:r>
      <w:r w:rsidR="009C7303">
        <w:rPr>
          <w:rFonts w:ascii="Times New Roman" w:hAnsi="Times New Roman" w:cs="Times New Roman"/>
          <w:sz w:val="24"/>
          <w:szCs w:val="24"/>
        </w:rPr>
        <w:t>able</w:t>
      </w:r>
      <w:r w:rsidR="00146B51">
        <w:rPr>
          <w:rFonts w:ascii="Times New Roman" w:hAnsi="Times New Roman" w:cs="Times New Roman"/>
          <w:sz w:val="24"/>
          <w:szCs w:val="24"/>
        </w:rPr>
        <w:t xml:space="preserve"> psychiatric illnesses</w:t>
      </w:r>
      <w:r w:rsidR="00FC71E7">
        <w:rPr>
          <w:rFonts w:ascii="Times New Roman" w:hAnsi="Times New Roman" w:cs="Times New Roman"/>
          <w:sz w:val="24"/>
          <w:szCs w:val="24"/>
        </w:rPr>
        <w:t xml:space="preserve"> </w:t>
      </w:r>
      <w:r w:rsidR="00114C46">
        <w:rPr>
          <w:rFonts w:ascii="Times New Roman" w:hAnsi="Times New Roman" w:cs="Times New Roman"/>
          <w:sz w:val="24"/>
          <w:szCs w:val="24"/>
        </w:rPr>
        <w:t>would also constitute ‘disorders or disabilities of the mind’ for the purposes of the Mental Health Act 1983</w:t>
      </w:r>
      <w:r w:rsidR="00EB4A5A">
        <w:rPr>
          <w:rFonts w:ascii="Times New Roman" w:hAnsi="Times New Roman" w:cs="Times New Roman"/>
          <w:sz w:val="24"/>
          <w:szCs w:val="24"/>
        </w:rPr>
        <w:t>.</w:t>
      </w:r>
      <w:r w:rsidR="00695DBE">
        <w:rPr>
          <w:rStyle w:val="FootnoteReference"/>
          <w:rFonts w:cs="Times New Roman"/>
          <w:szCs w:val="24"/>
        </w:rPr>
        <w:footnoteReference w:id="129"/>
      </w:r>
      <w:r w:rsidR="00473672">
        <w:rPr>
          <w:rFonts w:ascii="Times New Roman" w:hAnsi="Times New Roman" w:cs="Times New Roman"/>
          <w:sz w:val="24"/>
          <w:szCs w:val="24"/>
        </w:rPr>
        <w:t xml:space="preserve"> </w:t>
      </w:r>
      <w:r w:rsidR="00D107D7">
        <w:rPr>
          <w:rFonts w:ascii="Times New Roman" w:hAnsi="Times New Roman" w:cs="Times New Roman"/>
          <w:sz w:val="24"/>
          <w:szCs w:val="24"/>
        </w:rPr>
        <w:t xml:space="preserve">If </w:t>
      </w:r>
      <w:r w:rsidR="006D7E58">
        <w:rPr>
          <w:rFonts w:ascii="Times New Roman" w:hAnsi="Times New Roman" w:cs="Times New Roman"/>
          <w:sz w:val="24"/>
          <w:szCs w:val="24"/>
        </w:rPr>
        <w:t>they</w:t>
      </w:r>
      <w:r w:rsidR="00E97839">
        <w:rPr>
          <w:rFonts w:ascii="Times New Roman" w:hAnsi="Times New Roman" w:cs="Times New Roman"/>
          <w:sz w:val="24"/>
          <w:szCs w:val="24"/>
        </w:rPr>
        <w:t xml:space="preserve"> notionally</w:t>
      </w:r>
      <w:r w:rsidR="006D7E58">
        <w:rPr>
          <w:rFonts w:ascii="Times New Roman" w:hAnsi="Times New Roman" w:cs="Times New Roman"/>
          <w:sz w:val="24"/>
          <w:szCs w:val="24"/>
        </w:rPr>
        <w:t xml:space="preserve"> engage the CRPD in </w:t>
      </w:r>
      <w:r w:rsidR="0046565C">
        <w:rPr>
          <w:rFonts w:ascii="Times New Roman" w:hAnsi="Times New Roman" w:cs="Times New Roman"/>
          <w:sz w:val="24"/>
          <w:szCs w:val="24"/>
        </w:rPr>
        <w:t>that</w:t>
      </w:r>
      <w:r w:rsidR="006D7E58">
        <w:rPr>
          <w:rFonts w:ascii="Times New Roman" w:hAnsi="Times New Roman" w:cs="Times New Roman"/>
          <w:sz w:val="24"/>
          <w:szCs w:val="24"/>
        </w:rPr>
        <w:t xml:space="preserve"> </w:t>
      </w:r>
      <w:r w:rsidR="0046565C">
        <w:rPr>
          <w:rFonts w:ascii="Times New Roman" w:hAnsi="Times New Roman" w:cs="Times New Roman"/>
          <w:sz w:val="24"/>
          <w:szCs w:val="24"/>
        </w:rPr>
        <w:t>context</w:t>
      </w:r>
      <w:r w:rsidR="00C12646">
        <w:rPr>
          <w:rFonts w:ascii="Times New Roman" w:hAnsi="Times New Roman" w:cs="Times New Roman"/>
          <w:sz w:val="24"/>
          <w:szCs w:val="24"/>
        </w:rPr>
        <w:t>,</w:t>
      </w:r>
      <w:r w:rsidR="006D7E58">
        <w:rPr>
          <w:rFonts w:ascii="Times New Roman" w:hAnsi="Times New Roman" w:cs="Times New Roman"/>
          <w:sz w:val="24"/>
          <w:szCs w:val="24"/>
        </w:rPr>
        <w:t xml:space="preserve"> </w:t>
      </w:r>
      <w:r w:rsidR="0009227B">
        <w:rPr>
          <w:rFonts w:ascii="Times New Roman" w:hAnsi="Times New Roman" w:cs="Times New Roman"/>
          <w:sz w:val="24"/>
          <w:szCs w:val="24"/>
        </w:rPr>
        <w:t xml:space="preserve">it follows </w:t>
      </w:r>
      <w:r w:rsidR="00BF4B00">
        <w:rPr>
          <w:rFonts w:ascii="Times New Roman" w:hAnsi="Times New Roman" w:cs="Times New Roman"/>
          <w:sz w:val="24"/>
          <w:szCs w:val="24"/>
        </w:rPr>
        <w:t xml:space="preserve">that </w:t>
      </w:r>
      <w:r w:rsidR="006D7E58">
        <w:rPr>
          <w:rFonts w:ascii="Times New Roman" w:hAnsi="Times New Roman" w:cs="Times New Roman"/>
          <w:sz w:val="24"/>
          <w:szCs w:val="24"/>
        </w:rPr>
        <w:t xml:space="preserve">they must </w:t>
      </w:r>
      <w:r w:rsidR="00C875CE">
        <w:rPr>
          <w:rFonts w:ascii="Times New Roman" w:hAnsi="Times New Roman" w:cs="Times New Roman"/>
          <w:sz w:val="24"/>
          <w:szCs w:val="24"/>
        </w:rPr>
        <w:t xml:space="preserve">also </w:t>
      </w:r>
      <w:r w:rsidR="00895DAE">
        <w:rPr>
          <w:rFonts w:ascii="Times New Roman" w:hAnsi="Times New Roman" w:cs="Times New Roman"/>
          <w:sz w:val="24"/>
          <w:szCs w:val="24"/>
        </w:rPr>
        <w:t>do so</w:t>
      </w:r>
      <w:r w:rsidR="00C875CE">
        <w:rPr>
          <w:rFonts w:ascii="Times New Roman" w:hAnsi="Times New Roman" w:cs="Times New Roman"/>
          <w:sz w:val="24"/>
          <w:szCs w:val="24"/>
        </w:rPr>
        <w:t xml:space="preserve"> </w:t>
      </w:r>
      <w:r w:rsidR="003918A6">
        <w:rPr>
          <w:rFonts w:ascii="Times New Roman" w:hAnsi="Times New Roman" w:cs="Times New Roman"/>
          <w:sz w:val="24"/>
          <w:szCs w:val="24"/>
        </w:rPr>
        <w:t>elsewhere</w:t>
      </w:r>
      <w:r w:rsidR="00D1368F">
        <w:rPr>
          <w:rFonts w:ascii="Times New Roman" w:hAnsi="Times New Roman" w:cs="Times New Roman"/>
          <w:sz w:val="24"/>
          <w:szCs w:val="24"/>
        </w:rPr>
        <w:t>.</w:t>
      </w:r>
    </w:p>
    <w:p w14:paraId="66D7CB10" w14:textId="5B856236" w:rsidR="00D228E1" w:rsidRDefault="00896068"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 xml:space="preserve">In the absence of any reason </w:t>
      </w:r>
      <w:r w:rsidR="00370423">
        <w:rPr>
          <w:rFonts w:ascii="Times New Roman" w:hAnsi="Times New Roman" w:cs="Times New Roman"/>
          <w:sz w:val="24"/>
          <w:szCs w:val="24"/>
        </w:rPr>
        <w:t>to distinguish</w:t>
      </w:r>
      <w:r w:rsidR="00634030">
        <w:rPr>
          <w:rFonts w:ascii="Times New Roman" w:hAnsi="Times New Roman" w:cs="Times New Roman"/>
          <w:sz w:val="24"/>
          <w:szCs w:val="24"/>
        </w:rPr>
        <w:t xml:space="preserve"> tort law from </w:t>
      </w:r>
      <w:r w:rsidR="00895DAE">
        <w:rPr>
          <w:rFonts w:ascii="Times New Roman" w:hAnsi="Times New Roman" w:cs="Times New Roman"/>
          <w:sz w:val="24"/>
          <w:szCs w:val="24"/>
        </w:rPr>
        <w:t>the rest</w:t>
      </w:r>
      <w:r w:rsidR="00634030">
        <w:rPr>
          <w:rFonts w:ascii="Times New Roman" w:hAnsi="Times New Roman" w:cs="Times New Roman"/>
          <w:sz w:val="24"/>
          <w:szCs w:val="24"/>
        </w:rPr>
        <w:t xml:space="preserve"> of the domestic legal framework,</w:t>
      </w:r>
      <w:r w:rsidR="00B460DD">
        <w:rPr>
          <w:rFonts w:ascii="Times New Roman" w:hAnsi="Times New Roman" w:cs="Times New Roman"/>
          <w:sz w:val="24"/>
          <w:szCs w:val="24"/>
        </w:rPr>
        <w:t xml:space="preserve"> we must assume that</w:t>
      </w:r>
      <w:r w:rsidR="008E26B2">
        <w:rPr>
          <w:rFonts w:ascii="Times New Roman" w:hAnsi="Times New Roman" w:cs="Times New Roman"/>
          <w:sz w:val="24"/>
          <w:szCs w:val="24"/>
        </w:rPr>
        <w:t xml:space="preserve"> its rules </w:t>
      </w:r>
      <w:r w:rsidR="004D5C1A">
        <w:rPr>
          <w:rFonts w:ascii="Times New Roman" w:hAnsi="Times New Roman" w:cs="Times New Roman"/>
          <w:sz w:val="24"/>
          <w:szCs w:val="24"/>
        </w:rPr>
        <w:t xml:space="preserve">deserve the same </w:t>
      </w:r>
      <w:r w:rsidR="009A5FB3">
        <w:rPr>
          <w:rFonts w:ascii="Times New Roman" w:hAnsi="Times New Roman" w:cs="Times New Roman"/>
          <w:sz w:val="24"/>
          <w:szCs w:val="24"/>
        </w:rPr>
        <w:t xml:space="preserve">scrutiny that the CRPD invites elsewhere. </w:t>
      </w:r>
      <w:r w:rsidR="00133CFC">
        <w:rPr>
          <w:rFonts w:ascii="Times New Roman" w:hAnsi="Times New Roman" w:cs="Times New Roman"/>
          <w:sz w:val="24"/>
          <w:szCs w:val="24"/>
        </w:rPr>
        <w:t>If</w:t>
      </w:r>
      <w:r w:rsidR="008A332E">
        <w:rPr>
          <w:rFonts w:ascii="Times New Roman" w:hAnsi="Times New Roman" w:cs="Times New Roman"/>
          <w:sz w:val="24"/>
          <w:szCs w:val="24"/>
        </w:rPr>
        <w:t xml:space="preserve"> </w:t>
      </w:r>
      <w:r w:rsidR="00B460DD">
        <w:rPr>
          <w:rFonts w:ascii="Times New Roman" w:hAnsi="Times New Roman" w:cs="Times New Roman"/>
          <w:sz w:val="24"/>
          <w:szCs w:val="24"/>
        </w:rPr>
        <w:t>‘</w:t>
      </w:r>
      <w:r w:rsidR="00991A7B">
        <w:rPr>
          <w:rFonts w:ascii="Times New Roman" w:hAnsi="Times New Roman" w:cs="Times New Roman"/>
          <w:bCs/>
          <w:iCs/>
          <w:sz w:val="24"/>
          <w:szCs w:val="24"/>
        </w:rPr>
        <w:t xml:space="preserve">recognisable psychiatric illness’ </w:t>
      </w:r>
      <w:r w:rsidR="00133CFC">
        <w:rPr>
          <w:rFonts w:ascii="Times New Roman" w:hAnsi="Times New Roman" w:cs="Times New Roman"/>
          <w:sz w:val="24"/>
          <w:szCs w:val="24"/>
        </w:rPr>
        <w:t xml:space="preserve">includes </w:t>
      </w:r>
      <w:r w:rsidR="009524B0">
        <w:rPr>
          <w:rFonts w:ascii="Times New Roman" w:hAnsi="Times New Roman" w:cs="Times New Roman"/>
          <w:sz w:val="24"/>
          <w:szCs w:val="24"/>
        </w:rPr>
        <w:t xml:space="preserve">the same ‘psychosocial disabilities’ </w:t>
      </w:r>
      <w:r w:rsidR="009524B0">
        <w:rPr>
          <w:rFonts w:ascii="Times New Roman" w:hAnsi="Times New Roman" w:cs="Times New Roman"/>
          <w:sz w:val="24"/>
          <w:szCs w:val="24"/>
        </w:rPr>
        <w:lastRenderedPageBreak/>
        <w:t>which the CRPD’s authors had in mind</w:t>
      </w:r>
      <w:r w:rsidR="00133CFC">
        <w:rPr>
          <w:rFonts w:ascii="Times New Roman" w:hAnsi="Times New Roman" w:cs="Times New Roman"/>
          <w:sz w:val="24"/>
          <w:szCs w:val="24"/>
        </w:rPr>
        <w:t>, t</w:t>
      </w:r>
      <w:r w:rsidR="007D6963">
        <w:rPr>
          <w:rFonts w:ascii="Times New Roman" w:hAnsi="Times New Roman" w:cs="Times New Roman"/>
          <w:sz w:val="24"/>
          <w:szCs w:val="24"/>
        </w:rPr>
        <w:t xml:space="preserve">hose subject to the special rules must therefore </w:t>
      </w:r>
      <w:r w:rsidR="001C7125">
        <w:rPr>
          <w:rFonts w:ascii="Times New Roman" w:hAnsi="Times New Roman" w:cs="Times New Roman"/>
          <w:sz w:val="24"/>
          <w:szCs w:val="24"/>
        </w:rPr>
        <w:t>be</w:t>
      </w:r>
      <w:r w:rsidR="009A5FB3">
        <w:rPr>
          <w:rFonts w:ascii="Times New Roman" w:hAnsi="Times New Roman" w:cs="Times New Roman"/>
          <w:sz w:val="24"/>
          <w:szCs w:val="24"/>
        </w:rPr>
        <w:t xml:space="preserve"> ‘persons with disabilities’ and, therefore,</w:t>
      </w:r>
      <w:r w:rsidR="001C7125">
        <w:rPr>
          <w:rFonts w:ascii="Times New Roman" w:hAnsi="Times New Roman" w:cs="Times New Roman"/>
          <w:sz w:val="24"/>
          <w:szCs w:val="24"/>
        </w:rPr>
        <w:t xml:space="preserve"> entitled to </w:t>
      </w:r>
      <w:r w:rsidR="00133CFC">
        <w:rPr>
          <w:rFonts w:ascii="Times New Roman" w:hAnsi="Times New Roman" w:cs="Times New Roman"/>
          <w:sz w:val="24"/>
          <w:szCs w:val="24"/>
        </w:rPr>
        <w:t xml:space="preserve">the UN Convention’s </w:t>
      </w:r>
      <w:r w:rsidR="001C7125">
        <w:rPr>
          <w:rFonts w:ascii="Times New Roman" w:hAnsi="Times New Roman" w:cs="Times New Roman"/>
          <w:sz w:val="24"/>
          <w:szCs w:val="24"/>
        </w:rPr>
        <w:t>protection</w:t>
      </w:r>
      <w:r w:rsidR="008C574A">
        <w:rPr>
          <w:rFonts w:ascii="Times New Roman" w:hAnsi="Times New Roman" w:cs="Times New Roman"/>
          <w:sz w:val="24"/>
          <w:szCs w:val="24"/>
        </w:rPr>
        <w:t>.</w:t>
      </w:r>
    </w:p>
    <w:p w14:paraId="624B55F0" w14:textId="32F51F4A" w:rsidR="00532037" w:rsidRPr="003572BD" w:rsidRDefault="005723E0" w:rsidP="003572BD">
      <w:pPr>
        <w:pStyle w:val="ListParagraph"/>
        <w:numPr>
          <w:ilvl w:val="0"/>
          <w:numId w:val="39"/>
        </w:numPr>
        <w:tabs>
          <w:tab w:val="left" w:pos="7864"/>
          <w:tab w:val="right" w:pos="9026"/>
        </w:tabs>
        <w:rPr>
          <w:rFonts w:ascii="Times New Roman" w:hAnsi="Times New Roman" w:cs="Times New Roman"/>
          <w:i/>
          <w:iCs/>
          <w:sz w:val="24"/>
          <w:szCs w:val="24"/>
        </w:rPr>
      </w:pPr>
      <w:r w:rsidRPr="003572BD">
        <w:rPr>
          <w:rFonts w:ascii="Times New Roman" w:hAnsi="Times New Roman" w:cs="Times New Roman"/>
          <w:i/>
          <w:iCs/>
          <w:sz w:val="24"/>
          <w:szCs w:val="24"/>
        </w:rPr>
        <w:t>The</w:t>
      </w:r>
      <w:r w:rsidR="00C27062" w:rsidRPr="003572BD">
        <w:rPr>
          <w:rFonts w:ascii="Times New Roman" w:hAnsi="Times New Roman" w:cs="Times New Roman"/>
          <w:i/>
          <w:iCs/>
          <w:sz w:val="24"/>
          <w:szCs w:val="24"/>
        </w:rPr>
        <w:t xml:space="preserve"> discriminatory</w:t>
      </w:r>
      <w:r w:rsidRPr="003572BD">
        <w:rPr>
          <w:rFonts w:ascii="Times New Roman" w:hAnsi="Times New Roman" w:cs="Times New Roman"/>
          <w:i/>
          <w:iCs/>
          <w:sz w:val="24"/>
          <w:szCs w:val="24"/>
        </w:rPr>
        <w:t xml:space="preserve"> mechanics of the special rules</w:t>
      </w:r>
    </w:p>
    <w:p w14:paraId="43031B25" w14:textId="20960A76" w:rsidR="00AA465D" w:rsidRDefault="00AE04C3" w:rsidP="00320E91">
      <w:pPr>
        <w:tabs>
          <w:tab w:val="left" w:pos="7864"/>
          <w:tab w:val="right" w:pos="9026"/>
        </w:tabs>
        <w:ind w:firstLine="0"/>
        <w:rPr>
          <w:rFonts w:ascii="Times New Roman" w:hAnsi="Times New Roman" w:cs="Times New Roman"/>
          <w:bCs/>
          <w:iCs/>
          <w:sz w:val="24"/>
          <w:szCs w:val="24"/>
        </w:rPr>
      </w:pPr>
      <w:r>
        <w:rPr>
          <w:rFonts w:ascii="Times New Roman" w:hAnsi="Times New Roman" w:cs="Times New Roman"/>
          <w:bCs/>
          <w:iCs/>
          <w:sz w:val="24"/>
          <w:szCs w:val="24"/>
        </w:rPr>
        <w:t xml:space="preserve">There are two </w:t>
      </w:r>
      <w:r w:rsidR="001F3BE4">
        <w:rPr>
          <w:rFonts w:ascii="Times New Roman" w:hAnsi="Times New Roman" w:cs="Times New Roman"/>
          <w:bCs/>
          <w:iCs/>
          <w:sz w:val="24"/>
          <w:szCs w:val="24"/>
        </w:rPr>
        <w:t>reasons why</w:t>
      </w:r>
      <w:r>
        <w:rPr>
          <w:rFonts w:ascii="Times New Roman" w:hAnsi="Times New Roman" w:cs="Times New Roman"/>
          <w:bCs/>
          <w:iCs/>
          <w:sz w:val="24"/>
          <w:szCs w:val="24"/>
        </w:rPr>
        <w:t xml:space="preserve"> </w:t>
      </w:r>
      <w:r w:rsidR="00991A7B">
        <w:rPr>
          <w:rFonts w:ascii="Times New Roman" w:hAnsi="Times New Roman" w:cs="Times New Roman"/>
          <w:bCs/>
          <w:iCs/>
          <w:sz w:val="24"/>
          <w:szCs w:val="24"/>
        </w:rPr>
        <w:t xml:space="preserve">the special rules are discriminatory. The first and most obvious is the higher actionability threshold they set for persons with psychosocial disabilities. </w:t>
      </w:r>
      <w:r w:rsidR="001F3BE4">
        <w:rPr>
          <w:rFonts w:ascii="Times New Roman" w:hAnsi="Times New Roman" w:cs="Times New Roman"/>
          <w:sz w:val="24"/>
          <w:szCs w:val="24"/>
        </w:rPr>
        <w:t>Where psychiatric injuries are concerned</w:t>
      </w:r>
      <w:r w:rsidR="00390F00">
        <w:rPr>
          <w:rFonts w:ascii="Times New Roman" w:hAnsi="Times New Roman" w:cs="Times New Roman"/>
          <w:sz w:val="24"/>
          <w:szCs w:val="24"/>
        </w:rPr>
        <w:t xml:space="preserve">, the law requires a </w:t>
      </w:r>
      <w:r w:rsidR="00390F00" w:rsidRPr="0038566E">
        <w:rPr>
          <w:rFonts w:ascii="Times New Roman" w:hAnsi="Times New Roman" w:cs="Times New Roman"/>
          <w:i/>
          <w:sz w:val="24"/>
          <w:szCs w:val="24"/>
        </w:rPr>
        <w:t>manifest pathology</w:t>
      </w:r>
      <w:r w:rsidR="00390F00">
        <w:rPr>
          <w:rFonts w:ascii="Times New Roman" w:hAnsi="Times New Roman" w:cs="Times New Roman"/>
          <w:sz w:val="24"/>
          <w:szCs w:val="24"/>
        </w:rPr>
        <w:t xml:space="preserve"> to which a qualified expert can attach a diagnostic label. A symptomless</w:t>
      </w:r>
      <w:r w:rsidR="0037618C">
        <w:rPr>
          <w:rFonts w:ascii="Times New Roman" w:hAnsi="Times New Roman" w:cs="Times New Roman"/>
          <w:sz w:val="24"/>
          <w:szCs w:val="24"/>
        </w:rPr>
        <w:t xml:space="preserve"> and essentially-harmless</w:t>
      </w:r>
      <w:r w:rsidR="00390F00">
        <w:rPr>
          <w:rFonts w:ascii="Times New Roman" w:hAnsi="Times New Roman" w:cs="Times New Roman"/>
          <w:sz w:val="24"/>
          <w:szCs w:val="24"/>
        </w:rPr>
        <w:t xml:space="preserve"> sensitivity of the sort described in </w:t>
      </w:r>
      <w:r w:rsidR="00390F00">
        <w:rPr>
          <w:rFonts w:ascii="Times New Roman" w:hAnsi="Times New Roman" w:cs="Times New Roman"/>
          <w:i/>
          <w:sz w:val="24"/>
          <w:szCs w:val="24"/>
        </w:rPr>
        <w:t>Dryden</w:t>
      </w:r>
      <w:r w:rsidR="00390F00">
        <w:rPr>
          <w:rFonts w:ascii="Times New Roman" w:hAnsi="Times New Roman" w:cs="Times New Roman"/>
          <w:sz w:val="24"/>
          <w:szCs w:val="24"/>
        </w:rPr>
        <w:t xml:space="preserve"> </w:t>
      </w:r>
      <w:r w:rsidR="00DC2171">
        <w:rPr>
          <w:rFonts w:ascii="Times New Roman" w:hAnsi="Times New Roman" w:cs="Times New Roman"/>
          <w:sz w:val="24"/>
          <w:szCs w:val="24"/>
        </w:rPr>
        <w:t>would</w:t>
      </w:r>
      <w:r w:rsidR="00390F00">
        <w:rPr>
          <w:rFonts w:ascii="Times New Roman" w:hAnsi="Times New Roman" w:cs="Times New Roman"/>
          <w:sz w:val="24"/>
          <w:szCs w:val="24"/>
        </w:rPr>
        <w:t xml:space="preserve"> not</w:t>
      </w:r>
      <w:r w:rsidR="00DC2171">
        <w:rPr>
          <w:rFonts w:ascii="Times New Roman" w:hAnsi="Times New Roman" w:cs="Times New Roman"/>
          <w:sz w:val="24"/>
          <w:szCs w:val="24"/>
        </w:rPr>
        <w:t xml:space="preserve"> be</w:t>
      </w:r>
      <w:r w:rsidR="00390F00">
        <w:rPr>
          <w:rFonts w:ascii="Times New Roman" w:hAnsi="Times New Roman" w:cs="Times New Roman"/>
          <w:sz w:val="24"/>
          <w:szCs w:val="24"/>
        </w:rPr>
        <w:t xml:space="preserve"> enough.</w:t>
      </w:r>
      <w:r w:rsidR="00670290">
        <w:rPr>
          <w:rStyle w:val="FootnoteReference"/>
          <w:rFonts w:cs="Times New Roman"/>
          <w:szCs w:val="24"/>
        </w:rPr>
        <w:footnoteReference w:id="130"/>
      </w:r>
      <w:r w:rsidR="00E938E2">
        <w:rPr>
          <w:rFonts w:ascii="Times New Roman" w:hAnsi="Times New Roman" w:cs="Times New Roman"/>
          <w:sz w:val="24"/>
          <w:szCs w:val="24"/>
        </w:rPr>
        <w:t xml:space="preserve"> </w:t>
      </w:r>
      <w:r w:rsidR="009C7303">
        <w:rPr>
          <w:rFonts w:ascii="Times New Roman" w:hAnsi="Times New Roman" w:cs="Times New Roman"/>
          <w:sz w:val="24"/>
          <w:szCs w:val="24"/>
        </w:rPr>
        <w:t>T</w:t>
      </w:r>
      <w:r w:rsidR="00AA465D">
        <w:rPr>
          <w:rFonts w:ascii="Times New Roman" w:hAnsi="Times New Roman" w:cs="Times New Roman"/>
          <w:sz w:val="24"/>
          <w:szCs w:val="24"/>
        </w:rPr>
        <w:t>he law</w:t>
      </w:r>
      <w:r w:rsidR="009C7303">
        <w:rPr>
          <w:rFonts w:ascii="Times New Roman" w:hAnsi="Times New Roman" w:cs="Times New Roman"/>
          <w:sz w:val="24"/>
          <w:szCs w:val="24"/>
        </w:rPr>
        <w:t xml:space="preserve"> does not therefore</w:t>
      </w:r>
      <w:r w:rsidR="00AA465D">
        <w:rPr>
          <w:rFonts w:ascii="Times New Roman" w:hAnsi="Times New Roman" w:cs="Times New Roman"/>
          <w:sz w:val="24"/>
          <w:szCs w:val="24"/>
        </w:rPr>
        <w:t xml:space="preserve"> treat</w:t>
      </w:r>
      <w:r w:rsidR="00DB400C">
        <w:rPr>
          <w:rFonts w:ascii="Times New Roman" w:hAnsi="Times New Roman" w:cs="Times New Roman"/>
          <w:sz w:val="24"/>
          <w:szCs w:val="24"/>
        </w:rPr>
        <w:t xml:space="preserve"> claims brought by</w:t>
      </w:r>
      <w:r w:rsidR="00AA465D">
        <w:rPr>
          <w:rFonts w:ascii="Times New Roman" w:hAnsi="Times New Roman" w:cs="Times New Roman"/>
          <w:sz w:val="24"/>
          <w:szCs w:val="24"/>
        </w:rPr>
        <w:t xml:space="preserve"> persons with psychosocial disabilities</w:t>
      </w:r>
      <w:r w:rsidR="00671589">
        <w:rPr>
          <w:rFonts w:ascii="Times New Roman" w:hAnsi="Times New Roman" w:cs="Times New Roman"/>
          <w:sz w:val="24"/>
          <w:szCs w:val="24"/>
        </w:rPr>
        <w:t xml:space="preserve"> on an equal basis with others</w:t>
      </w:r>
      <w:r w:rsidR="00AA465D">
        <w:rPr>
          <w:rFonts w:ascii="Times New Roman" w:hAnsi="Times New Roman" w:cs="Times New Roman"/>
          <w:sz w:val="24"/>
          <w:szCs w:val="24"/>
        </w:rPr>
        <w:t>.</w:t>
      </w:r>
      <w:r w:rsidR="00390F00">
        <w:rPr>
          <w:rFonts w:ascii="Times New Roman" w:hAnsi="Times New Roman" w:cs="Times New Roman"/>
          <w:bCs/>
          <w:iCs/>
          <w:sz w:val="24"/>
          <w:szCs w:val="24"/>
        </w:rPr>
        <w:t xml:space="preserve"> </w:t>
      </w:r>
    </w:p>
    <w:p w14:paraId="00F5C158" w14:textId="0343A938" w:rsidR="00B74439" w:rsidRDefault="00390F00" w:rsidP="0038566E">
      <w:pPr>
        <w:tabs>
          <w:tab w:val="left" w:pos="7864"/>
          <w:tab w:val="right" w:pos="9026"/>
        </w:tabs>
        <w:ind w:firstLine="340"/>
        <w:rPr>
          <w:rFonts w:ascii="Times New Roman" w:hAnsi="Times New Roman" w:cs="Times New Roman"/>
          <w:bCs/>
          <w:iCs/>
          <w:sz w:val="24"/>
          <w:szCs w:val="24"/>
        </w:rPr>
      </w:pPr>
      <w:r>
        <w:rPr>
          <w:rFonts w:ascii="Times New Roman" w:hAnsi="Times New Roman" w:cs="Times New Roman"/>
          <w:bCs/>
          <w:iCs/>
          <w:sz w:val="24"/>
          <w:szCs w:val="24"/>
        </w:rPr>
        <w:t>The second</w:t>
      </w:r>
      <w:r w:rsidR="00AA465D">
        <w:rPr>
          <w:rFonts w:ascii="Times New Roman" w:hAnsi="Times New Roman" w:cs="Times New Roman"/>
          <w:bCs/>
          <w:iCs/>
          <w:sz w:val="24"/>
          <w:szCs w:val="24"/>
        </w:rPr>
        <w:t xml:space="preserve"> reason</w:t>
      </w:r>
      <w:r w:rsidR="00D47635">
        <w:rPr>
          <w:rFonts w:ascii="Times New Roman" w:hAnsi="Times New Roman" w:cs="Times New Roman"/>
          <w:bCs/>
          <w:iCs/>
          <w:sz w:val="24"/>
          <w:szCs w:val="24"/>
        </w:rPr>
        <w:t xml:space="preserve"> relates to what happens </w:t>
      </w:r>
      <w:r w:rsidR="00D47635" w:rsidRPr="0038566E">
        <w:rPr>
          <w:rFonts w:ascii="Times New Roman" w:hAnsi="Times New Roman" w:cs="Times New Roman"/>
          <w:bCs/>
          <w:i/>
          <w:iCs/>
          <w:sz w:val="24"/>
          <w:szCs w:val="24"/>
        </w:rPr>
        <w:t>after</w:t>
      </w:r>
      <w:r w:rsidR="00D47635">
        <w:rPr>
          <w:rFonts w:ascii="Times New Roman" w:hAnsi="Times New Roman" w:cs="Times New Roman"/>
          <w:bCs/>
          <w:iCs/>
          <w:sz w:val="24"/>
          <w:szCs w:val="24"/>
        </w:rPr>
        <w:t xml:space="preserve"> a claimant</w:t>
      </w:r>
      <w:r w:rsidR="009C7303">
        <w:rPr>
          <w:rFonts w:ascii="Times New Roman" w:hAnsi="Times New Roman" w:cs="Times New Roman"/>
          <w:bCs/>
          <w:iCs/>
          <w:sz w:val="24"/>
          <w:szCs w:val="24"/>
        </w:rPr>
        <w:t>’s mental harm</w:t>
      </w:r>
      <w:r w:rsidR="00D47635">
        <w:rPr>
          <w:rFonts w:ascii="Times New Roman" w:hAnsi="Times New Roman" w:cs="Times New Roman"/>
          <w:bCs/>
          <w:iCs/>
          <w:sz w:val="24"/>
          <w:szCs w:val="24"/>
        </w:rPr>
        <w:t xml:space="preserve"> </w:t>
      </w:r>
      <w:r w:rsidR="00447082">
        <w:rPr>
          <w:rFonts w:ascii="Times New Roman" w:hAnsi="Times New Roman" w:cs="Times New Roman"/>
          <w:bCs/>
          <w:iCs/>
          <w:sz w:val="24"/>
          <w:szCs w:val="24"/>
        </w:rPr>
        <w:t>discharge</w:t>
      </w:r>
      <w:r w:rsidR="009C7303">
        <w:rPr>
          <w:rFonts w:ascii="Times New Roman" w:hAnsi="Times New Roman" w:cs="Times New Roman"/>
          <w:bCs/>
          <w:iCs/>
          <w:sz w:val="24"/>
          <w:szCs w:val="24"/>
        </w:rPr>
        <w:t>s</w:t>
      </w:r>
      <w:r w:rsidR="00D47635">
        <w:rPr>
          <w:rFonts w:ascii="Times New Roman" w:hAnsi="Times New Roman" w:cs="Times New Roman"/>
          <w:bCs/>
          <w:iCs/>
          <w:sz w:val="24"/>
          <w:szCs w:val="24"/>
        </w:rPr>
        <w:t xml:space="preserve"> the ‘clinically-recognised’ threshold.</w:t>
      </w:r>
      <w:r w:rsidR="00E938E2">
        <w:rPr>
          <w:rFonts w:ascii="Times New Roman" w:hAnsi="Times New Roman" w:cs="Times New Roman"/>
          <w:bCs/>
          <w:iCs/>
          <w:sz w:val="24"/>
          <w:szCs w:val="24"/>
        </w:rPr>
        <w:t xml:space="preserve"> At that point, an</w:t>
      </w:r>
      <w:r>
        <w:rPr>
          <w:rFonts w:ascii="Times New Roman" w:hAnsi="Times New Roman" w:cs="Times New Roman"/>
          <w:bCs/>
          <w:iCs/>
          <w:sz w:val="24"/>
          <w:szCs w:val="24"/>
        </w:rPr>
        <w:t xml:space="preserve"> entirely distinct </w:t>
      </w:r>
      <w:r w:rsidR="009D6CA6">
        <w:rPr>
          <w:rFonts w:ascii="Times New Roman" w:hAnsi="Times New Roman" w:cs="Times New Roman"/>
          <w:bCs/>
          <w:iCs/>
          <w:sz w:val="24"/>
          <w:szCs w:val="24"/>
        </w:rPr>
        <w:t>legal</w:t>
      </w:r>
      <w:r w:rsidR="002C73F7">
        <w:rPr>
          <w:rFonts w:ascii="Times New Roman" w:hAnsi="Times New Roman" w:cs="Times New Roman"/>
          <w:bCs/>
          <w:iCs/>
          <w:sz w:val="24"/>
          <w:szCs w:val="24"/>
        </w:rPr>
        <w:t xml:space="preserve"> architecture</w:t>
      </w:r>
      <w:r w:rsidR="00895DAE">
        <w:rPr>
          <w:rFonts w:ascii="Times New Roman" w:hAnsi="Times New Roman" w:cs="Times New Roman"/>
          <w:bCs/>
          <w:iCs/>
          <w:sz w:val="24"/>
          <w:szCs w:val="24"/>
        </w:rPr>
        <w:t xml:space="preserve"> with its own rules</w:t>
      </w:r>
      <w:r>
        <w:rPr>
          <w:rFonts w:ascii="Times New Roman" w:hAnsi="Times New Roman" w:cs="Times New Roman"/>
          <w:bCs/>
          <w:iCs/>
          <w:sz w:val="24"/>
          <w:szCs w:val="24"/>
        </w:rPr>
        <w:t xml:space="preserve"> comes into play</w:t>
      </w:r>
      <w:r w:rsidR="00E938E2">
        <w:rPr>
          <w:rFonts w:ascii="Times New Roman" w:hAnsi="Times New Roman" w:cs="Times New Roman"/>
          <w:bCs/>
          <w:iCs/>
          <w:sz w:val="24"/>
          <w:szCs w:val="24"/>
        </w:rPr>
        <w:t>.</w:t>
      </w:r>
      <w:r w:rsidR="00B55153">
        <w:rPr>
          <w:rFonts w:ascii="Times New Roman" w:hAnsi="Times New Roman" w:cs="Times New Roman"/>
          <w:bCs/>
          <w:iCs/>
          <w:sz w:val="24"/>
          <w:szCs w:val="24"/>
        </w:rPr>
        <w:t xml:space="preserve"> </w:t>
      </w:r>
      <w:r w:rsidR="00E938E2">
        <w:rPr>
          <w:rFonts w:ascii="Times New Roman" w:hAnsi="Times New Roman" w:cs="Times New Roman"/>
          <w:bCs/>
          <w:iCs/>
          <w:sz w:val="24"/>
          <w:szCs w:val="24"/>
        </w:rPr>
        <w:t>A</w:t>
      </w:r>
      <w:r w:rsidR="00224317">
        <w:rPr>
          <w:rFonts w:ascii="Times New Roman" w:hAnsi="Times New Roman" w:cs="Times New Roman"/>
          <w:bCs/>
          <w:iCs/>
          <w:sz w:val="24"/>
          <w:szCs w:val="24"/>
        </w:rPr>
        <w:t>s</w:t>
      </w:r>
      <w:r w:rsidR="00E57EB5">
        <w:rPr>
          <w:rFonts w:ascii="Times New Roman" w:hAnsi="Times New Roman" w:cs="Times New Roman"/>
          <w:bCs/>
          <w:iCs/>
          <w:sz w:val="24"/>
          <w:szCs w:val="24"/>
        </w:rPr>
        <w:t xml:space="preserve"> </w:t>
      </w:r>
      <w:r w:rsidR="00224317">
        <w:rPr>
          <w:rFonts w:ascii="Times New Roman" w:hAnsi="Times New Roman" w:cs="Times New Roman"/>
          <w:bCs/>
          <w:iCs/>
          <w:sz w:val="24"/>
          <w:szCs w:val="24"/>
        </w:rPr>
        <w:t xml:space="preserve">Case points out, </w:t>
      </w:r>
      <w:r w:rsidR="00706E36">
        <w:rPr>
          <w:rFonts w:ascii="Times New Roman" w:hAnsi="Times New Roman" w:cs="Times New Roman"/>
          <w:bCs/>
          <w:iCs/>
          <w:sz w:val="24"/>
          <w:szCs w:val="24"/>
        </w:rPr>
        <w:t>the</w:t>
      </w:r>
      <w:r w:rsidR="00E938E2">
        <w:rPr>
          <w:rFonts w:ascii="Times New Roman" w:hAnsi="Times New Roman" w:cs="Times New Roman"/>
          <w:bCs/>
          <w:iCs/>
          <w:sz w:val="24"/>
          <w:szCs w:val="24"/>
        </w:rPr>
        <w:t xml:space="preserve">se rules </w:t>
      </w:r>
      <w:r w:rsidR="00224317">
        <w:rPr>
          <w:rFonts w:ascii="Times New Roman" w:hAnsi="Times New Roman" w:cs="Times New Roman"/>
          <w:bCs/>
          <w:iCs/>
          <w:sz w:val="24"/>
          <w:szCs w:val="24"/>
        </w:rPr>
        <w:t>are littered with examples of unequal treatment.</w:t>
      </w:r>
      <w:bookmarkStart w:id="32" w:name="_Ref30605140"/>
      <w:r w:rsidR="00224317">
        <w:rPr>
          <w:rStyle w:val="FootnoteReference"/>
          <w:rFonts w:cs="Times New Roman"/>
          <w:bCs/>
          <w:iCs/>
          <w:szCs w:val="24"/>
        </w:rPr>
        <w:footnoteReference w:id="131"/>
      </w:r>
      <w:bookmarkEnd w:id="32"/>
      <w:r w:rsidR="00447082">
        <w:rPr>
          <w:rFonts w:ascii="Times New Roman" w:hAnsi="Times New Roman" w:cs="Times New Roman"/>
          <w:bCs/>
          <w:iCs/>
          <w:sz w:val="24"/>
          <w:szCs w:val="24"/>
        </w:rPr>
        <w:t xml:space="preserve"> Since Lord Oliver devised the infamous dichotomy in </w:t>
      </w:r>
      <w:r w:rsidR="00447082">
        <w:rPr>
          <w:rFonts w:ascii="Times New Roman" w:hAnsi="Times New Roman" w:cs="Times New Roman"/>
          <w:bCs/>
          <w:i/>
          <w:sz w:val="24"/>
          <w:szCs w:val="24"/>
        </w:rPr>
        <w:t>Alcock</w:t>
      </w:r>
      <w:r w:rsidR="00447082">
        <w:rPr>
          <w:rFonts w:ascii="Times New Roman" w:hAnsi="Times New Roman" w:cs="Times New Roman"/>
          <w:bCs/>
          <w:iCs/>
          <w:sz w:val="24"/>
          <w:szCs w:val="24"/>
        </w:rPr>
        <w:t xml:space="preserve">, it has become trite that a claimant </w:t>
      </w:r>
      <w:r w:rsidR="008A0920">
        <w:rPr>
          <w:rFonts w:ascii="Times New Roman" w:hAnsi="Times New Roman" w:cs="Times New Roman"/>
          <w:bCs/>
          <w:iCs/>
          <w:sz w:val="24"/>
          <w:szCs w:val="24"/>
        </w:rPr>
        <w:t>in a</w:t>
      </w:r>
      <w:r w:rsidR="009C7303">
        <w:rPr>
          <w:rFonts w:ascii="Times New Roman" w:hAnsi="Times New Roman" w:cs="Times New Roman"/>
          <w:bCs/>
          <w:iCs/>
          <w:sz w:val="24"/>
          <w:szCs w:val="24"/>
        </w:rPr>
        <w:t xml:space="preserve"> ‘pure’</w:t>
      </w:r>
      <w:r w:rsidR="008A0920">
        <w:rPr>
          <w:rFonts w:ascii="Times New Roman" w:hAnsi="Times New Roman" w:cs="Times New Roman"/>
          <w:bCs/>
          <w:iCs/>
          <w:sz w:val="24"/>
          <w:szCs w:val="24"/>
        </w:rPr>
        <w:t xml:space="preserve"> psychiatric injury case </w:t>
      </w:r>
      <w:r w:rsidR="00447082">
        <w:rPr>
          <w:rFonts w:ascii="Times New Roman" w:hAnsi="Times New Roman" w:cs="Times New Roman"/>
          <w:bCs/>
          <w:iCs/>
          <w:sz w:val="24"/>
          <w:szCs w:val="24"/>
        </w:rPr>
        <w:t>must be classed as either a ‘primary’ or ‘secondary’ victim.</w:t>
      </w:r>
      <w:r w:rsidR="00447082">
        <w:rPr>
          <w:rStyle w:val="FootnoteReference"/>
          <w:rFonts w:cs="Times New Roman"/>
          <w:bCs/>
          <w:iCs/>
          <w:szCs w:val="24"/>
        </w:rPr>
        <w:footnoteReference w:id="132"/>
      </w:r>
      <w:r w:rsidR="00447082">
        <w:rPr>
          <w:rFonts w:ascii="Times New Roman" w:hAnsi="Times New Roman" w:cs="Times New Roman"/>
          <w:bCs/>
          <w:iCs/>
          <w:sz w:val="24"/>
          <w:szCs w:val="24"/>
        </w:rPr>
        <w:t xml:space="preserve"> </w:t>
      </w:r>
      <w:r w:rsidR="008A0920">
        <w:rPr>
          <w:rFonts w:ascii="Times New Roman" w:hAnsi="Times New Roman" w:cs="Times New Roman"/>
          <w:bCs/>
          <w:iCs/>
          <w:sz w:val="24"/>
          <w:szCs w:val="24"/>
        </w:rPr>
        <w:t xml:space="preserve">These </w:t>
      </w:r>
      <w:r w:rsidR="00895DAE">
        <w:rPr>
          <w:rFonts w:ascii="Times New Roman" w:hAnsi="Times New Roman" w:cs="Times New Roman"/>
          <w:bCs/>
          <w:iCs/>
          <w:sz w:val="24"/>
          <w:szCs w:val="24"/>
        </w:rPr>
        <w:t>categories</w:t>
      </w:r>
      <w:r w:rsidR="008A0920">
        <w:rPr>
          <w:rFonts w:ascii="Times New Roman" w:hAnsi="Times New Roman" w:cs="Times New Roman"/>
          <w:bCs/>
          <w:iCs/>
          <w:sz w:val="24"/>
          <w:szCs w:val="24"/>
        </w:rPr>
        <w:t xml:space="preserve"> entail unique conceptions of foreseeability and proximity, at least some of which apply solely in psychiatric injury cases. It is worth evaluating the mechanics of primary and secondary victimhood to gauge the extent to which they </w:t>
      </w:r>
      <w:r w:rsidR="000B7EB8">
        <w:rPr>
          <w:rFonts w:ascii="Times New Roman" w:hAnsi="Times New Roman" w:cs="Times New Roman"/>
          <w:bCs/>
          <w:iCs/>
          <w:sz w:val="24"/>
          <w:szCs w:val="24"/>
        </w:rPr>
        <w:t>contravene</w:t>
      </w:r>
      <w:r w:rsidR="00B55153">
        <w:rPr>
          <w:rFonts w:ascii="Times New Roman" w:hAnsi="Times New Roman" w:cs="Times New Roman"/>
          <w:bCs/>
          <w:iCs/>
          <w:sz w:val="24"/>
          <w:szCs w:val="24"/>
        </w:rPr>
        <w:t xml:space="preserve"> </w:t>
      </w:r>
      <w:r w:rsidR="00591A10">
        <w:rPr>
          <w:rFonts w:ascii="Times New Roman" w:hAnsi="Times New Roman" w:cs="Times New Roman"/>
          <w:bCs/>
          <w:iCs/>
          <w:sz w:val="24"/>
          <w:szCs w:val="24"/>
        </w:rPr>
        <w:t>the CRPD’s relevant</w:t>
      </w:r>
      <w:r w:rsidR="008A0920">
        <w:rPr>
          <w:rFonts w:ascii="Times New Roman" w:hAnsi="Times New Roman" w:cs="Times New Roman"/>
          <w:bCs/>
          <w:iCs/>
          <w:sz w:val="24"/>
          <w:szCs w:val="24"/>
        </w:rPr>
        <w:t xml:space="preserve"> provisions</w:t>
      </w:r>
      <w:r>
        <w:rPr>
          <w:rFonts w:ascii="Times New Roman" w:hAnsi="Times New Roman" w:cs="Times New Roman"/>
          <w:bCs/>
          <w:iCs/>
          <w:sz w:val="24"/>
          <w:szCs w:val="24"/>
        </w:rPr>
        <w:t>.</w:t>
      </w:r>
    </w:p>
    <w:p w14:paraId="170A49FD" w14:textId="3B64DFDD" w:rsidR="00506C74" w:rsidRPr="001F5B17" w:rsidRDefault="00506C74" w:rsidP="001F5B17">
      <w:pPr>
        <w:pStyle w:val="ListParagraph"/>
        <w:numPr>
          <w:ilvl w:val="0"/>
          <w:numId w:val="41"/>
        </w:numPr>
        <w:tabs>
          <w:tab w:val="left" w:pos="7864"/>
          <w:tab w:val="right" w:pos="9026"/>
        </w:tabs>
        <w:rPr>
          <w:rFonts w:ascii="Times New Roman" w:hAnsi="Times New Roman" w:cs="Times New Roman"/>
          <w:bCs/>
          <w:sz w:val="24"/>
          <w:szCs w:val="24"/>
        </w:rPr>
      </w:pPr>
      <w:r w:rsidRPr="001F5B17">
        <w:rPr>
          <w:rFonts w:ascii="Times New Roman" w:hAnsi="Times New Roman" w:cs="Times New Roman"/>
          <w:bCs/>
          <w:sz w:val="24"/>
          <w:szCs w:val="24"/>
        </w:rPr>
        <w:t>Primary victims</w:t>
      </w:r>
    </w:p>
    <w:p w14:paraId="5D215B1C" w14:textId="2FEA8188" w:rsidR="003B2FC0" w:rsidRDefault="00E17534" w:rsidP="00435083">
      <w:pPr>
        <w:tabs>
          <w:tab w:val="left" w:pos="7864"/>
          <w:tab w:val="right" w:pos="9026"/>
        </w:tabs>
        <w:ind w:firstLine="0"/>
        <w:rPr>
          <w:rFonts w:ascii="Times New Roman" w:hAnsi="Times New Roman" w:cs="Times New Roman"/>
          <w:bCs/>
          <w:iCs/>
          <w:sz w:val="24"/>
          <w:szCs w:val="24"/>
        </w:rPr>
      </w:pPr>
      <w:r>
        <w:rPr>
          <w:rFonts w:ascii="Times New Roman" w:hAnsi="Times New Roman" w:cs="Times New Roman"/>
          <w:bCs/>
          <w:iCs/>
          <w:sz w:val="24"/>
          <w:szCs w:val="24"/>
        </w:rPr>
        <w:t xml:space="preserve">A primary victim </w:t>
      </w:r>
      <w:r w:rsidR="005A1C52">
        <w:rPr>
          <w:rFonts w:ascii="Times New Roman" w:hAnsi="Times New Roman" w:cs="Times New Roman"/>
          <w:bCs/>
          <w:iCs/>
          <w:sz w:val="24"/>
          <w:szCs w:val="24"/>
        </w:rPr>
        <w:t>suffers a psychiatric injury after</w:t>
      </w:r>
      <w:r w:rsidR="0031168F">
        <w:rPr>
          <w:rFonts w:ascii="Times New Roman" w:hAnsi="Times New Roman" w:cs="Times New Roman"/>
          <w:bCs/>
          <w:iCs/>
          <w:sz w:val="24"/>
          <w:szCs w:val="24"/>
        </w:rPr>
        <w:t xml:space="preserve"> he</w:t>
      </w:r>
      <w:r w:rsidR="005A1C52">
        <w:rPr>
          <w:rFonts w:ascii="Times New Roman" w:hAnsi="Times New Roman" w:cs="Times New Roman"/>
          <w:bCs/>
          <w:iCs/>
          <w:sz w:val="24"/>
          <w:szCs w:val="24"/>
        </w:rPr>
        <w:t xml:space="preserve"> </w:t>
      </w:r>
      <w:r w:rsidR="00D01D97">
        <w:rPr>
          <w:rFonts w:ascii="Times New Roman" w:hAnsi="Times New Roman" w:cs="Times New Roman"/>
          <w:bCs/>
          <w:iCs/>
          <w:sz w:val="24"/>
          <w:szCs w:val="24"/>
        </w:rPr>
        <w:t>‘objectively expos</w:t>
      </w:r>
      <w:r w:rsidR="0031168F">
        <w:rPr>
          <w:rFonts w:ascii="Times New Roman" w:hAnsi="Times New Roman" w:cs="Times New Roman"/>
          <w:bCs/>
          <w:iCs/>
          <w:sz w:val="24"/>
          <w:szCs w:val="24"/>
        </w:rPr>
        <w:t>ed</w:t>
      </w:r>
      <w:r w:rsidR="00D01D97">
        <w:rPr>
          <w:rFonts w:ascii="Times New Roman" w:hAnsi="Times New Roman" w:cs="Times New Roman"/>
          <w:bCs/>
          <w:iCs/>
          <w:sz w:val="24"/>
          <w:szCs w:val="24"/>
        </w:rPr>
        <w:t xml:space="preserve"> himself to danger</w:t>
      </w:r>
      <w:r w:rsidR="0031168F">
        <w:rPr>
          <w:rFonts w:ascii="Times New Roman" w:hAnsi="Times New Roman" w:cs="Times New Roman"/>
          <w:bCs/>
          <w:iCs/>
          <w:sz w:val="24"/>
          <w:szCs w:val="24"/>
        </w:rPr>
        <w:t>’</w:t>
      </w:r>
      <w:r w:rsidR="00D01D97">
        <w:rPr>
          <w:rFonts w:ascii="Times New Roman" w:hAnsi="Times New Roman" w:cs="Times New Roman"/>
          <w:bCs/>
          <w:iCs/>
          <w:sz w:val="24"/>
          <w:szCs w:val="24"/>
        </w:rPr>
        <w:t xml:space="preserve"> or </w:t>
      </w:r>
      <w:r w:rsidR="0031168F">
        <w:rPr>
          <w:rFonts w:ascii="Times New Roman" w:hAnsi="Times New Roman" w:cs="Times New Roman"/>
          <w:bCs/>
          <w:iCs/>
          <w:sz w:val="24"/>
          <w:szCs w:val="24"/>
        </w:rPr>
        <w:t>‘</w:t>
      </w:r>
      <w:r w:rsidR="00D01D97">
        <w:rPr>
          <w:rFonts w:ascii="Times New Roman" w:hAnsi="Times New Roman" w:cs="Times New Roman"/>
          <w:bCs/>
          <w:iCs/>
          <w:sz w:val="24"/>
          <w:szCs w:val="24"/>
        </w:rPr>
        <w:t>reasonably believ</w:t>
      </w:r>
      <w:r w:rsidR="0031168F">
        <w:rPr>
          <w:rFonts w:ascii="Times New Roman" w:hAnsi="Times New Roman" w:cs="Times New Roman"/>
          <w:bCs/>
          <w:iCs/>
          <w:sz w:val="24"/>
          <w:szCs w:val="24"/>
        </w:rPr>
        <w:t>ed</w:t>
      </w:r>
      <w:r w:rsidR="00D01D97">
        <w:rPr>
          <w:rFonts w:ascii="Times New Roman" w:hAnsi="Times New Roman" w:cs="Times New Roman"/>
          <w:bCs/>
          <w:iCs/>
          <w:sz w:val="24"/>
          <w:szCs w:val="24"/>
        </w:rPr>
        <w:t xml:space="preserve"> he was doing so’.</w:t>
      </w:r>
      <w:r w:rsidR="00D01D97">
        <w:rPr>
          <w:rStyle w:val="FootnoteReference"/>
          <w:rFonts w:cs="Times New Roman"/>
          <w:bCs/>
          <w:iCs/>
          <w:szCs w:val="24"/>
        </w:rPr>
        <w:footnoteReference w:id="133"/>
      </w:r>
      <w:r w:rsidR="00D01D97">
        <w:rPr>
          <w:rFonts w:ascii="Times New Roman" w:hAnsi="Times New Roman" w:cs="Times New Roman"/>
          <w:bCs/>
          <w:iCs/>
          <w:sz w:val="24"/>
          <w:szCs w:val="24"/>
        </w:rPr>
        <w:t xml:space="preserve"> </w:t>
      </w:r>
      <w:r w:rsidR="008C615F">
        <w:rPr>
          <w:rFonts w:ascii="Times New Roman" w:hAnsi="Times New Roman" w:cs="Times New Roman"/>
          <w:bCs/>
          <w:iCs/>
          <w:sz w:val="24"/>
          <w:szCs w:val="24"/>
        </w:rPr>
        <w:t xml:space="preserve">In </w:t>
      </w:r>
      <w:r w:rsidR="008C615F">
        <w:rPr>
          <w:rFonts w:ascii="Times New Roman" w:hAnsi="Times New Roman" w:cs="Times New Roman"/>
          <w:bCs/>
          <w:i/>
          <w:sz w:val="24"/>
          <w:szCs w:val="24"/>
        </w:rPr>
        <w:t>White</w:t>
      </w:r>
      <w:r w:rsidR="008C615F">
        <w:rPr>
          <w:rFonts w:ascii="Times New Roman" w:hAnsi="Times New Roman" w:cs="Times New Roman"/>
          <w:bCs/>
          <w:iCs/>
          <w:sz w:val="24"/>
          <w:szCs w:val="24"/>
        </w:rPr>
        <w:t>,</w:t>
      </w:r>
      <w:r w:rsidR="003A1A78">
        <w:rPr>
          <w:rStyle w:val="FootnoteReference"/>
          <w:rFonts w:cs="Times New Roman"/>
          <w:bCs/>
          <w:iCs/>
          <w:szCs w:val="24"/>
        </w:rPr>
        <w:footnoteReference w:id="134"/>
      </w:r>
      <w:r w:rsidR="00CC02CC">
        <w:rPr>
          <w:rFonts w:ascii="Times New Roman" w:hAnsi="Times New Roman" w:cs="Times New Roman"/>
          <w:bCs/>
          <w:iCs/>
          <w:sz w:val="24"/>
          <w:szCs w:val="24"/>
        </w:rPr>
        <w:t xml:space="preserve"> </w:t>
      </w:r>
      <w:r w:rsidR="004B784A">
        <w:rPr>
          <w:rFonts w:ascii="Times New Roman" w:hAnsi="Times New Roman" w:cs="Times New Roman"/>
          <w:bCs/>
          <w:iCs/>
          <w:sz w:val="24"/>
          <w:szCs w:val="24"/>
        </w:rPr>
        <w:t xml:space="preserve">police officers who were on duty at the </w:t>
      </w:r>
      <w:r w:rsidR="004B784A">
        <w:rPr>
          <w:rFonts w:ascii="Times New Roman" w:hAnsi="Times New Roman" w:cs="Times New Roman"/>
          <w:bCs/>
          <w:iCs/>
          <w:sz w:val="24"/>
          <w:szCs w:val="24"/>
        </w:rPr>
        <w:lastRenderedPageBreak/>
        <w:t>Hillsborough football stadium on the day of the disaster that took place there in 1989 brought claims against the chief constable for the psychiatric injuries they</w:t>
      </w:r>
      <w:r w:rsidR="00430751">
        <w:rPr>
          <w:rFonts w:ascii="Times New Roman" w:hAnsi="Times New Roman" w:cs="Times New Roman"/>
          <w:bCs/>
          <w:iCs/>
          <w:sz w:val="24"/>
          <w:szCs w:val="24"/>
        </w:rPr>
        <w:t xml:space="preserve"> had</w:t>
      </w:r>
      <w:r w:rsidR="004B784A">
        <w:rPr>
          <w:rFonts w:ascii="Times New Roman" w:hAnsi="Times New Roman" w:cs="Times New Roman"/>
          <w:bCs/>
          <w:iCs/>
          <w:sz w:val="24"/>
          <w:szCs w:val="24"/>
        </w:rPr>
        <w:t xml:space="preserve"> suffered</w:t>
      </w:r>
      <w:r w:rsidR="00783DD0">
        <w:rPr>
          <w:rFonts w:ascii="Times New Roman" w:hAnsi="Times New Roman" w:cs="Times New Roman"/>
          <w:bCs/>
          <w:iCs/>
          <w:sz w:val="24"/>
          <w:szCs w:val="24"/>
        </w:rPr>
        <w:t xml:space="preserve"> as a consequence</w:t>
      </w:r>
      <w:r w:rsidR="004B784A">
        <w:rPr>
          <w:rFonts w:ascii="Times New Roman" w:hAnsi="Times New Roman" w:cs="Times New Roman"/>
          <w:bCs/>
          <w:iCs/>
          <w:sz w:val="24"/>
          <w:szCs w:val="24"/>
        </w:rPr>
        <w:t>.</w:t>
      </w:r>
      <w:r w:rsidR="005C0F4E">
        <w:rPr>
          <w:rFonts w:ascii="Times New Roman" w:hAnsi="Times New Roman" w:cs="Times New Roman"/>
          <w:bCs/>
          <w:iCs/>
          <w:sz w:val="24"/>
          <w:szCs w:val="24"/>
        </w:rPr>
        <w:t xml:space="preserve"> The House of Lords held that the chief constable</w:t>
      </w:r>
      <w:r w:rsidR="00293BD1">
        <w:rPr>
          <w:rFonts w:ascii="Times New Roman" w:hAnsi="Times New Roman" w:cs="Times New Roman"/>
          <w:bCs/>
          <w:iCs/>
          <w:sz w:val="24"/>
          <w:szCs w:val="24"/>
        </w:rPr>
        <w:t xml:space="preserve">’s duty </w:t>
      </w:r>
      <w:r w:rsidR="007D140C">
        <w:rPr>
          <w:rFonts w:ascii="Times New Roman" w:hAnsi="Times New Roman" w:cs="Times New Roman"/>
          <w:bCs/>
          <w:iCs/>
          <w:sz w:val="24"/>
          <w:szCs w:val="24"/>
        </w:rPr>
        <w:t xml:space="preserve">to them as </w:t>
      </w:r>
      <w:r w:rsidR="00932EF2">
        <w:rPr>
          <w:rFonts w:ascii="Times New Roman" w:hAnsi="Times New Roman" w:cs="Times New Roman"/>
          <w:bCs/>
          <w:iCs/>
          <w:sz w:val="24"/>
          <w:szCs w:val="24"/>
        </w:rPr>
        <w:t>employees</w:t>
      </w:r>
      <w:r w:rsidR="007D140C">
        <w:rPr>
          <w:rFonts w:ascii="Times New Roman" w:hAnsi="Times New Roman" w:cs="Times New Roman"/>
          <w:bCs/>
          <w:iCs/>
          <w:sz w:val="24"/>
          <w:szCs w:val="24"/>
        </w:rPr>
        <w:t xml:space="preserve"> did not extend to protecting them </w:t>
      </w:r>
      <w:r w:rsidR="00BC2514">
        <w:rPr>
          <w:rFonts w:ascii="Times New Roman" w:hAnsi="Times New Roman" w:cs="Times New Roman"/>
          <w:bCs/>
          <w:iCs/>
          <w:sz w:val="24"/>
          <w:szCs w:val="24"/>
        </w:rPr>
        <w:t>from psychiatric injury when there was no breach of the duty to protect them from physical injury.</w:t>
      </w:r>
      <w:r w:rsidR="00073042">
        <w:rPr>
          <w:rFonts w:ascii="Times New Roman" w:hAnsi="Times New Roman" w:cs="Times New Roman"/>
          <w:bCs/>
          <w:iCs/>
          <w:sz w:val="24"/>
          <w:szCs w:val="24"/>
        </w:rPr>
        <w:t xml:space="preserve"> </w:t>
      </w:r>
      <w:r w:rsidR="00A93530">
        <w:rPr>
          <w:rFonts w:ascii="Times New Roman" w:hAnsi="Times New Roman" w:cs="Times New Roman"/>
          <w:bCs/>
          <w:iCs/>
          <w:sz w:val="24"/>
          <w:szCs w:val="24"/>
        </w:rPr>
        <w:t xml:space="preserve">Since none of the claimant police officers had been at </w:t>
      </w:r>
      <w:r w:rsidR="004B5769">
        <w:rPr>
          <w:rFonts w:ascii="Times New Roman" w:hAnsi="Times New Roman" w:cs="Times New Roman"/>
          <w:bCs/>
          <w:iCs/>
          <w:sz w:val="24"/>
          <w:szCs w:val="24"/>
        </w:rPr>
        <w:t>risk of physical injury</w:t>
      </w:r>
      <w:r w:rsidR="00A93530">
        <w:rPr>
          <w:rFonts w:ascii="Times New Roman" w:hAnsi="Times New Roman" w:cs="Times New Roman"/>
          <w:bCs/>
          <w:iCs/>
          <w:sz w:val="24"/>
          <w:szCs w:val="24"/>
        </w:rPr>
        <w:t>, they were not owed a duty of care</w:t>
      </w:r>
      <w:r w:rsidR="004B5769">
        <w:rPr>
          <w:rFonts w:ascii="Times New Roman" w:hAnsi="Times New Roman" w:cs="Times New Roman"/>
          <w:bCs/>
          <w:iCs/>
          <w:sz w:val="24"/>
          <w:szCs w:val="24"/>
        </w:rPr>
        <w:t xml:space="preserve"> for their psychiatric injuries</w:t>
      </w:r>
      <w:r w:rsidR="00A93530">
        <w:rPr>
          <w:rFonts w:ascii="Times New Roman" w:hAnsi="Times New Roman" w:cs="Times New Roman"/>
          <w:bCs/>
          <w:iCs/>
          <w:sz w:val="24"/>
          <w:szCs w:val="24"/>
        </w:rPr>
        <w:t>.</w:t>
      </w:r>
    </w:p>
    <w:p w14:paraId="4F0C489B" w14:textId="69F839C8" w:rsidR="0097015F" w:rsidRDefault="00D96C65" w:rsidP="00915471">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 xml:space="preserve">Another important case in this regard is </w:t>
      </w:r>
      <w:r w:rsidR="00713ED7">
        <w:rPr>
          <w:rFonts w:ascii="Times New Roman" w:hAnsi="Times New Roman" w:cs="Times New Roman"/>
          <w:bCs/>
          <w:i/>
          <w:sz w:val="24"/>
          <w:szCs w:val="24"/>
        </w:rPr>
        <w:t>Page v Smith</w:t>
      </w:r>
      <w:r w:rsidR="008B4504">
        <w:rPr>
          <w:rFonts w:ascii="Times New Roman" w:hAnsi="Times New Roman" w:cs="Times New Roman"/>
          <w:bCs/>
          <w:iCs/>
          <w:sz w:val="24"/>
          <w:szCs w:val="24"/>
        </w:rPr>
        <w:t>.</w:t>
      </w:r>
      <w:r w:rsidR="00A83F7D">
        <w:rPr>
          <w:rStyle w:val="FootnoteReference"/>
          <w:rFonts w:cs="Times New Roman"/>
          <w:bCs/>
          <w:iCs/>
          <w:szCs w:val="24"/>
        </w:rPr>
        <w:footnoteReference w:id="135"/>
      </w:r>
      <w:r>
        <w:rPr>
          <w:rFonts w:ascii="Times New Roman" w:hAnsi="Times New Roman" w:cs="Times New Roman"/>
          <w:bCs/>
          <w:iCs/>
          <w:sz w:val="24"/>
          <w:szCs w:val="24"/>
        </w:rPr>
        <w:t xml:space="preserve"> Here,</w:t>
      </w:r>
      <w:r w:rsidR="00713ED7">
        <w:rPr>
          <w:rFonts w:ascii="Times New Roman" w:hAnsi="Times New Roman" w:cs="Times New Roman"/>
          <w:bCs/>
          <w:iCs/>
          <w:sz w:val="24"/>
          <w:szCs w:val="24"/>
        </w:rPr>
        <w:t xml:space="preserve"> </w:t>
      </w:r>
      <w:r>
        <w:rPr>
          <w:rFonts w:ascii="Times New Roman" w:hAnsi="Times New Roman" w:cs="Times New Roman"/>
          <w:bCs/>
          <w:iCs/>
          <w:sz w:val="24"/>
          <w:szCs w:val="24"/>
        </w:rPr>
        <w:t>t</w:t>
      </w:r>
      <w:r w:rsidR="007953F7">
        <w:rPr>
          <w:rFonts w:ascii="Times New Roman" w:hAnsi="Times New Roman" w:cs="Times New Roman"/>
          <w:bCs/>
          <w:iCs/>
          <w:sz w:val="24"/>
          <w:szCs w:val="24"/>
        </w:rPr>
        <w:t>he plaintiff was involved in a</w:t>
      </w:r>
      <w:r w:rsidR="00455305">
        <w:rPr>
          <w:rFonts w:ascii="Times New Roman" w:hAnsi="Times New Roman" w:cs="Times New Roman"/>
          <w:bCs/>
          <w:iCs/>
          <w:sz w:val="24"/>
          <w:szCs w:val="24"/>
        </w:rPr>
        <w:t xml:space="preserve"> minor</w:t>
      </w:r>
      <w:r w:rsidR="007953F7">
        <w:rPr>
          <w:rFonts w:ascii="Times New Roman" w:hAnsi="Times New Roman" w:cs="Times New Roman"/>
          <w:bCs/>
          <w:iCs/>
          <w:sz w:val="24"/>
          <w:szCs w:val="24"/>
        </w:rPr>
        <w:t xml:space="preserve"> road traffic collision with the defendant’s car. </w:t>
      </w:r>
      <w:r w:rsidR="00CE4B37">
        <w:rPr>
          <w:rFonts w:ascii="Times New Roman" w:hAnsi="Times New Roman" w:cs="Times New Roman"/>
          <w:bCs/>
          <w:iCs/>
          <w:sz w:val="24"/>
          <w:szCs w:val="24"/>
        </w:rPr>
        <w:t>The</w:t>
      </w:r>
      <w:r w:rsidR="007953F7">
        <w:rPr>
          <w:rFonts w:ascii="Times New Roman" w:hAnsi="Times New Roman" w:cs="Times New Roman"/>
          <w:bCs/>
          <w:iCs/>
          <w:sz w:val="24"/>
          <w:szCs w:val="24"/>
        </w:rPr>
        <w:t xml:space="preserve"> plaintiff suffered a relapse of myalgic encephalomyelitis</w:t>
      </w:r>
      <w:r w:rsidR="008B4504">
        <w:rPr>
          <w:rFonts w:ascii="Times New Roman" w:hAnsi="Times New Roman" w:cs="Times New Roman"/>
          <w:bCs/>
          <w:iCs/>
          <w:sz w:val="24"/>
          <w:szCs w:val="24"/>
        </w:rPr>
        <w:t xml:space="preserve"> (ME)</w:t>
      </w:r>
      <w:r w:rsidR="007953F7">
        <w:rPr>
          <w:rFonts w:ascii="Times New Roman" w:hAnsi="Times New Roman" w:cs="Times New Roman"/>
          <w:bCs/>
          <w:iCs/>
          <w:sz w:val="24"/>
          <w:szCs w:val="24"/>
        </w:rPr>
        <w:t xml:space="preserve"> – </w:t>
      </w:r>
      <w:r w:rsidR="009C7303">
        <w:rPr>
          <w:rFonts w:ascii="Times New Roman" w:hAnsi="Times New Roman" w:cs="Times New Roman"/>
          <w:bCs/>
          <w:iCs/>
          <w:sz w:val="24"/>
          <w:szCs w:val="24"/>
        </w:rPr>
        <w:t>or</w:t>
      </w:r>
      <w:r w:rsidR="007953F7">
        <w:rPr>
          <w:rFonts w:ascii="Times New Roman" w:hAnsi="Times New Roman" w:cs="Times New Roman"/>
          <w:bCs/>
          <w:iCs/>
          <w:sz w:val="24"/>
          <w:szCs w:val="24"/>
        </w:rPr>
        <w:t xml:space="preserve"> ‘chronic fatigue syndrome’</w:t>
      </w:r>
      <w:r w:rsidR="00EF708D">
        <w:rPr>
          <w:rFonts w:ascii="Times New Roman" w:hAnsi="Times New Roman" w:cs="Times New Roman"/>
          <w:bCs/>
          <w:iCs/>
          <w:sz w:val="24"/>
          <w:szCs w:val="24"/>
        </w:rPr>
        <w:t xml:space="preserve"> –</w:t>
      </w:r>
      <w:r w:rsidR="0086750A">
        <w:rPr>
          <w:rFonts w:ascii="Times New Roman" w:hAnsi="Times New Roman" w:cs="Times New Roman"/>
          <w:bCs/>
          <w:iCs/>
          <w:sz w:val="24"/>
          <w:szCs w:val="24"/>
        </w:rPr>
        <w:t xml:space="preserve"> from which he had suffered, on and off, for 20 years. </w:t>
      </w:r>
      <w:r w:rsidR="00F60519">
        <w:rPr>
          <w:rFonts w:ascii="Times New Roman" w:hAnsi="Times New Roman" w:cs="Times New Roman"/>
          <w:bCs/>
          <w:iCs/>
          <w:sz w:val="24"/>
          <w:szCs w:val="24"/>
        </w:rPr>
        <w:t xml:space="preserve">Following the collision, the plaintiff’s </w:t>
      </w:r>
      <w:r w:rsidR="009B7702">
        <w:rPr>
          <w:rFonts w:ascii="Times New Roman" w:hAnsi="Times New Roman" w:cs="Times New Roman"/>
          <w:bCs/>
          <w:iCs/>
          <w:sz w:val="24"/>
          <w:szCs w:val="24"/>
        </w:rPr>
        <w:t>ME</w:t>
      </w:r>
      <w:r w:rsidR="00F60519">
        <w:rPr>
          <w:rFonts w:ascii="Times New Roman" w:hAnsi="Times New Roman" w:cs="Times New Roman"/>
          <w:bCs/>
          <w:iCs/>
          <w:sz w:val="24"/>
          <w:szCs w:val="24"/>
        </w:rPr>
        <w:t xml:space="preserve"> became permanent and he was unable to work again.</w:t>
      </w:r>
      <w:r w:rsidR="008D05CF">
        <w:rPr>
          <w:rFonts w:ascii="Times New Roman" w:hAnsi="Times New Roman" w:cs="Times New Roman"/>
          <w:bCs/>
          <w:iCs/>
          <w:sz w:val="24"/>
          <w:szCs w:val="24"/>
        </w:rPr>
        <w:t xml:space="preserve"> </w:t>
      </w:r>
      <w:r w:rsidR="004770FC">
        <w:rPr>
          <w:rFonts w:ascii="Times New Roman" w:hAnsi="Times New Roman" w:cs="Times New Roman"/>
          <w:bCs/>
          <w:iCs/>
          <w:sz w:val="24"/>
          <w:szCs w:val="24"/>
        </w:rPr>
        <w:t>H</w:t>
      </w:r>
      <w:r w:rsidR="009B7702">
        <w:rPr>
          <w:rFonts w:ascii="Times New Roman" w:hAnsi="Times New Roman" w:cs="Times New Roman"/>
          <w:bCs/>
          <w:iCs/>
          <w:sz w:val="24"/>
          <w:szCs w:val="24"/>
        </w:rPr>
        <w:t>e</w:t>
      </w:r>
      <w:r w:rsidR="008D05CF">
        <w:rPr>
          <w:rFonts w:ascii="Times New Roman" w:hAnsi="Times New Roman" w:cs="Times New Roman"/>
          <w:bCs/>
          <w:iCs/>
          <w:sz w:val="24"/>
          <w:szCs w:val="24"/>
        </w:rPr>
        <w:t xml:space="preserve"> sued the defendant, raising the question</w:t>
      </w:r>
      <w:r w:rsidR="008B2F33">
        <w:rPr>
          <w:rFonts w:ascii="Times New Roman" w:hAnsi="Times New Roman" w:cs="Times New Roman"/>
          <w:bCs/>
          <w:iCs/>
          <w:sz w:val="24"/>
          <w:szCs w:val="24"/>
        </w:rPr>
        <w:t xml:space="preserve"> of</w:t>
      </w:r>
      <w:r w:rsidR="008D05CF">
        <w:rPr>
          <w:rFonts w:ascii="Times New Roman" w:hAnsi="Times New Roman" w:cs="Times New Roman"/>
          <w:bCs/>
          <w:iCs/>
          <w:sz w:val="24"/>
          <w:szCs w:val="24"/>
        </w:rPr>
        <w:t xml:space="preserve"> whether the defendant owed him a duty of care to avoid causing him psychiatric injury. By a three-two majority, the House of Lords held that he did</w:t>
      </w:r>
      <w:r w:rsidR="00DE22F2">
        <w:rPr>
          <w:rFonts w:ascii="Times New Roman" w:hAnsi="Times New Roman" w:cs="Times New Roman"/>
          <w:bCs/>
          <w:iCs/>
          <w:sz w:val="24"/>
          <w:szCs w:val="24"/>
        </w:rPr>
        <w:t xml:space="preserve">: all that mattered was whether some kind of </w:t>
      </w:r>
      <w:r w:rsidR="00DE22F2">
        <w:rPr>
          <w:rFonts w:ascii="Times New Roman" w:hAnsi="Times New Roman" w:cs="Times New Roman"/>
          <w:bCs/>
          <w:i/>
          <w:sz w:val="24"/>
          <w:szCs w:val="24"/>
        </w:rPr>
        <w:t>personal injury</w:t>
      </w:r>
      <w:r w:rsidR="00DE22F2">
        <w:rPr>
          <w:rFonts w:ascii="Times New Roman" w:hAnsi="Times New Roman" w:cs="Times New Roman"/>
          <w:bCs/>
          <w:iCs/>
          <w:sz w:val="24"/>
          <w:szCs w:val="24"/>
        </w:rPr>
        <w:t xml:space="preserve"> – comprising both physical </w:t>
      </w:r>
      <w:r w:rsidR="00DE22F2" w:rsidRPr="00FC1BCB">
        <w:rPr>
          <w:rFonts w:ascii="Times New Roman" w:hAnsi="Times New Roman" w:cs="Times New Roman"/>
          <w:bCs/>
          <w:i/>
          <w:iCs/>
          <w:sz w:val="24"/>
          <w:szCs w:val="24"/>
        </w:rPr>
        <w:t>and</w:t>
      </w:r>
      <w:r w:rsidR="00DE22F2">
        <w:rPr>
          <w:rFonts w:ascii="Times New Roman" w:hAnsi="Times New Roman" w:cs="Times New Roman"/>
          <w:bCs/>
          <w:iCs/>
          <w:sz w:val="24"/>
          <w:szCs w:val="24"/>
        </w:rPr>
        <w:t xml:space="preserve"> psychiatric injuries – was reasonably foreseeable in the circumstances</w:t>
      </w:r>
      <w:r w:rsidR="008D05CF">
        <w:rPr>
          <w:rFonts w:ascii="Times New Roman" w:hAnsi="Times New Roman" w:cs="Times New Roman"/>
          <w:bCs/>
          <w:iCs/>
          <w:sz w:val="24"/>
          <w:szCs w:val="24"/>
        </w:rPr>
        <w:t>.</w:t>
      </w:r>
      <w:r w:rsidR="00DE22F2">
        <w:rPr>
          <w:rFonts w:ascii="Times New Roman" w:hAnsi="Times New Roman" w:cs="Times New Roman"/>
          <w:bCs/>
          <w:iCs/>
          <w:sz w:val="24"/>
          <w:szCs w:val="24"/>
        </w:rPr>
        <w:t xml:space="preserve"> </w:t>
      </w:r>
      <w:r w:rsidR="00980C9C">
        <w:rPr>
          <w:rFonts w:ascii="Times New Roman" w:hAnsi="Times New Roman" w:cs="Times New Roman"/>
          <w:bCs/>
          <w:iCs/>
          <w:sz w:val="24"/>
          <w:szCs w:val="24"/>
        </w:rPr>
        <w:t>T</w:t>
      </w:r>
      <w:r w:rsidR="00DE22F2">
        <w:rPr>
          <w:rFonts w:ascii="Times New Roman" w:hAnsi="Times New Roman" w:cs="Times New Roman"/>
          <w:bCs/>
          <w:iCs/>
          <w:sz w:val="24"/>
          <w:szCs w:val="24"/>
        </w:rPr>
        <w:t xml:space="preserve">he defendant </w:t>
      </w:r>
      <w:r w:rsidR="00980C9C">
        <w:rPr>
          <w:rFonts w:ascii="Times New Roman" w:hAnsi="Times New Roman" w:cs="Times New Roman"/>
          <w:bCs/>
          <w:iCs/>
          <w:sz w:val="24"/>
          <w:szCs w:val="24"/>
        </w:rPr>
        <w:t xml:space="preserve">therefore </w:t>
      </w:r>
      <w:r w:rsidR="00DE22F2">
        <w:rPr>
          <w:rFonts w:ascii="Times New Roman" w:hAnsi="Times New Roman" w:cs="Times New Roman"/>
          <w:bCs/>
          <w:iCs/>
          <w:sz w:val="24"/>
          <w:szCs w:val="24"/>
        </w:rPr>
        <w:t>owed</w:t>
      </w:r>
      <w:r w:rsidR="007C56A4">
        <w:rPr>
          <w:rFonts w:ascii="Times New Roman" w:hAnsi="Times New Roman" w:cs="Times New Roman"/>
          <w:bCs/>
          <w:iCs/>
          <w:sz w:val="24"/>
          <w:szCs w:val="24"/>
        </w:rPr>
        <w:t xml:space="preserve"> him</w:t>
      </w:r>
      <w:r w:rsidR="00DE22F2">
        <w:rPr>
          <w:rFonts w:ascii="Times New Roman" w:hAnsi="Times New Roman" w:cs="Times New Roman"/>
          <w:bCs/>
          <w:iCs/>
          <w:sz w:val="24"/>
          <w:szCs w:val="24"/>
        </w:rPr>
        <w:t xml:space="preserve"> a duty of care; that the injuries were</w:t>
      </w:r>
      <w:r w:rsidR="00FC1BCB">
        <w:rPr>
          <w:rFonts w:ascii="Times New Roman" w:hAnsi="Times New Roman" w:cs="Times New Roman"/>
          <w:bCs/>
          <w:iCs/>
          <w:sz w:val="24"/>
          <w:szCs w:val="24"/>
        </w:rPr>
        <w:t xml:space="preserve"> in fact</w:t>
      </w:r>
      <w:r w:rsidR="00DE22F2">
        <w:rPr>
          <w:rFonts w:ascii="Times New Roman" w:hAnsi="Times New Roman" w:cs="Times New Roman"/>
          <w:bCs/>
          <w:iCs/>
          <w:sz w:val="24"/>
          <w:szCs w:val="24"/>
        </w:rPr>
        <w:t xml:space="preserve"> psychiatric rather than physical was immaterial.</w:t>
      </w:r>
      <w:r w:rsidR="003B5368">
        <w:rPr>
          <w:rFonts w:ascii="Times New Roman" w:hAnsi="Times New Roman" w:cs="Times New Roman"/>
          <w:bCs/>
          <w:iCs/>
          <w:sz w:val="24"/>
          <w:szCs w:val="24"/>
        </w:rPr>
        <w:t xml:space="preserve"> Lord Lloyd explained that </w:t>
      </w:r>
      <w:r w:rsidR="00DE22F2">
        <w:rPr>
          <w:rFonts w:ascii="Times New Roman" w:hAnsi="Times New Roman" w:cs="Times New Roman"/>
          <w:bCs/>
          <w:iCs/>
          <w:sz w:val="24"/>
          <w:szCs w:val="24"/>
        </w:rPr>
        <w:t>since</w:t>
      </w:r>
      <w:r w:rsidR="003B5368">
        <w:rPr>
          <w:rFonts w:ascii="Times New Roman" w:hAnsi="Times New Roman" w:cs="Times New Roman"/>
          <w:bCs/>
          <w:iCs/>
          <w:sz w:val="24"/>
          <w:szCs w:val="24"/>
        </w:rPr>
        <w:t xml:space="preserve"> </w:t>
      </w:r>
      <w:r w:rsidR="00DE22F2">
        <w:rPr>
          <w:rFonts w:ascii="Times New Roman" w:hAnsi="Times New Roman" w:cs="Times New Roman"/>
          <w:bCs/>
          <w:iCs/>
          <w:sz w:val="24"/>
          <w:szCs w:val="24"/>
        </w:rPr>
        <w:t>primary victimhood</w:t>
      </w:r>
      <w:r w:rsidR="00C9190E">
        <w:rPr>
          <w:rFonts w:ascii="Times New Roman" w:hAnsi="Times New Roman" w:cs="Times New Roman"/>
          <w:bCs/>
          <w:iCs/>
          <w:sz w:val="24"/>
          <w:szCs w:val="24"/>
        </w:rPr>
        <w:t xml:space="preserve"> </w:t>
      </w:r>
      <w:r w:rsidR="00FE5A05">
        <w:rPr>
          <w:rFonts w:ascii="Times New Roman" w:hAnsi="Times New Roman" w:cs="Times New Roman"/>
          <w:bCs/>
          <w:iCs/>
          <w:sz w:val="24"/>
          <w:szCs w:val="24"/>
        </w:rPr>
        <w:t>depended on the claimant’s proximity to a zone of physical danger</w:t>
      </w:r>
      <w:r w:rsidR="007C56A4">
        <w:rPr>
          <w:rFonts w:ascii="Times New Roman" w:hAnsi="Times New Roman" w:cs="Times New Roman"/>
          <w:bCs/>
          <w:iCs/>
          <w:sz w:val="24"/>
          <w:szCs w:val="24"/>
        </w:rPr>
        <w:t>,</w:t>
      </w:r>
      <w:r w:rsidR="00FE5A05">
        <w:rPr>
          <w:rFonts w:ascii="Times New Roman" w:hAnsi="Times New Roman" w:cs="Times New Roman"/>
          <w:bCs/>
          <w:iCs/>
          <w:sz w:val="24"/>
          <w:szCs w:val="24"/>
        </w:rPr>
        <w:t xml:space="preserve"> </w:t>
      </w:r>
      <w:r w:rsidR="005B3A59">
        <w:rPr>
          <w:rFonts w:ascii="Times New Roman" w:hAnsi="Times New Roman" w:cs="Times New Roman"/>
          <w:bCs/>
          <w:iCs/>
          <w:sz w:val="24"/>
          <w:szCs w:val="24"/>
        </w:rPr>
        <w:t xml:space="preserve">foreseeable </w:t>
      </w:r>
      <w:r w:rsidR="005B3A59">
        <w:rPr>
          <w:rFonts w:ascii="Times New Roman" w:hAnsi="Times New Roman" w:cs="Times New Roman"/>
          <w:bCs/>
          <w:i/>
          <w:sz w:val="24"/>
          <w:szCs w:val="24"/>
        </w:rPr>
        <w:t xml:space="preserve">personal </w:t>
      </w:r>
      <w:r w:rsidR="005B3A59">
        <w:rPr>
          <w:rFonts w:ascii="Times New Roman" w:hAnsi="Times New Roman" w:cs="Times New Roman"/>
          <w:bCs/>
          <w:iCs/>
          <w:sz w:val="24"/>
          <w:szCs w:val="24"/>
        </w:rPr>
        <w:t>injury would be sufficient to establish a duty.</w:t>
      </w:r>
      <w:r w:rsidR="007B2D86">
        <w:rPr>
          <w:rStyle w:val="FootnoteReference"/>
          <w:rFonts w:cs="Times New Roman"/>
          <w:bCs/>
          <w:iCs/>
          <w:szCs w:val="24"/>
        </w:rPr>
        <w:footnoteReference w:id="136"/>
      </w:r>
      <w:r w:rsidR="009B453F">
        <w:rPr>
          <w:rFonts w:ascii="Times New Roman" w:hAnsi="Times New Roman" w:cs="Times New Roman"/>
          <w:bCs/>
          <w:iCs/>
          <w:sz w:val="24"/>
          <w:szCs w:val="24"/>
        </w:rPr>
        <w:t xml:space="preserve"> His Lordship also pointed out that medical knowledge </w:t>
      </w:r>
      <w:r w:rsidR="0089108D">
        <w:rPr>
          <w:rFonts w:ascii="Times New Roman" w:hAnsi="Times New Roman" w:cs="Times New Roman"/>
          <w:bCs/>
          <w:iCs/>
          <w:sz w:val="24"/>
          <w:szCs w:val="24"/>
        </w:rPr>
        <w:t>was ‘expanding fast’ and</w:t>
      </w:r>
      <w:r w:rsidR="007C56A4">
        <w:rPr>
          <w:rFonts w:ascii="Times New Roman" w:hAnsi="Times New Roman" w:cs="Times New Roman"/>
          <w:bCs/>
          <w:iCs/>
          <w:sz w:val="24"/>
          <w:szCs w:val="24"/>
        </w:rPr>
        <w:t xml:space="preserve"> </w:t>
      </w:r>
      <w:r w:rsidR="0089108D">
        <w:rPr>
          <w:rFonts w:ascii="Times New Roman" w:hAnsi="Times New Roman" w:cs="Times New Roman"/>
          <w:bCs/>
          <w:iCs/>
          <w:sz w:val="24"/>
          <w:szCs w:val="24"/>
        </w:rPr>
        <w:t>it was likely that artificial distinctions between physical and psychiatric injuries ‘may soon be altogether outmoded’.</w:t>
      </w:r>
      <w:r w:rsidR="00B86E3E">
        <w:rPr>
          <w:rStyle w:val="FootnoteReference"/>
          <w:rFonts w:cs="Times New Roman"/>
          <w:bCs/>
          <w:iCs/>
          <w:szCs w:val="24"/>
        </w:rPr>
        <w:footnoteReference w:id="137"/>
      </w:r>
      <w:r w:rsidR="007E1A8E">
        <w:rPr>
          <w:rFonts w:ascii="Times New Roman" w:hAnsi="Times New Roman" w:cs="Times New Roman"/>
          <w:bCs/>
          <w:iCs/>
          <w:sz w:val="24"/>
          <w:szCs w:val="24"/>
        </w:rPr>
        <w:t xml:space="preserve"> It would therefore be wrong to maintain a distinction in law which was without difference in practice.</w:t>
      </w:r>
    </w:p>
    <w:p w14:paraId="19FDE41D" w14:textId="3577028F" w:rsidR="0076302F" w:rsidRPr="00836B4E" w:rsidRDefault="0076302F" w:rsidP="0076302F">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 xml:space="preserve">The notion that a claimant might recover damages for an unforeseeable </w:t>
      </w:r>
      <w:r>
        <w:rPr>
          <w:rFonts w:ascii="Times New Roman" w:hAnsi="Times New Roman" w:cs="Times New Roman"/>
          <w:bCs/>
          <w:i/>
          <w:iCs/>
          <w:sz w:val="24"/>
          <w:szCs w:val="24"/>
        </w:rPr>
        <w:t xml:space="preserve">psychiatric </w:t>
      </w:r>
      <w:r>
        <w:rPr>
          <w:rFonts w:ascii="Times New Roman" w:hAnsi="Times New Roman" w:cs="Times New Roman"/>
          <w:bCs/>
          <w:iCs/>
          <w:sz w:val="24"/>
          <w:szCs w:val="24"/>
        </w:rPr>
        <w:t xml:space="preserve">injury simply because some sort of </w:t>
      </w:r>
      <w:r>
        <w:rPr>
          <w:rFonts w:ascii="Times New Roman" w:hAnsi="Times New Roman" w:cs="Times New Roman"/>
          <w:bCs/>
          <w:i/>
          <w:iCs/>
          <w:sz w:val="24"/>
          <w:szCs w:val="24"/>
        </w:rPr>
        <w:t xml:space="preserve">physical </w:t>
      </w:r>
      <w:r>
        <w:rPr>
          <w:rFonts w:ascii="Times New Roman" w:hAnsi="Times New Roman" w:cs="Times New Roman"/>
          <w:bCs/>
          <w:iCs/>
          <w:sz w:val="24"/>
          <w:szCs w:val="24"/>
        </w:rPr>
        <w:t xml:space="preserve">injury </w:t>
      </w:r>
      <w:r w:rsidR="00FA58C5">
        <w:rPr>
          <w:rFonts w:ascii="Times New Roman" w:hAnsi="Times New Roman" w:cs="Times New Roman"/>
          <w:bCs/>
          <w:iCs/>
          <w:sz w:val="24"/>
          <w:szCs w:val="24"/>
        </w:rPr>
        <w:t xml:space="preserve">was </w:t>
      </w:r>
      <w:r>
        <w:rPr>
          <w:rFonts w:ascii="Times New Roman" w:hAnsi="Times New Roman" w:cs="Times New Roman"/>
          <w:bCs/>
          <w:iCs/>
          <w:sz w:val="24"/>
          <w:szCs w:val="24"/>
        </w:rPr>
        <w:t xml:space="preserve">foreseeable did great violence to tort doctrine </w:t>
      </w:r>
      <w:r>
        <w:rPr>
          <w:rFonts w:ascii="Times New Roman" w:hAnsi="Times New Roman" w:cs="Times New Roman"/>
          <w:bCs/>
          <w:iCs/>
          <w:sz w:val="24"/>
          <w:szCs w:val="24"/>
        </w:rPr>
        <w:lastRenderedPageBreak/>
        <w:t>in the eyes of many commentators.</w:t>
      </w:r>
      <w:r>
        <w:rPr>
          <w:rStyle w:val="FootnoteReference"/>
          <w:rFonts w:cs="Times New Roman"/>
          <w:bCs/>
          <w:iCs/>
          <w:szCs w:val="24"/>
        </w:rPr>
        <w:footnoteReference w:id="138"/>
      </w:r>
      <w:r>
        <w:rPr>
          <w:rFonts w:ascii="Times New Roman" w:hAnsi="Times New Roman" w:cs="Times New Roman"/>
          <w:bCs/>
          <w:iCs/>
          <w:sz w:val="24"/>
          <w:szCs w:val="24"/>
        </w:rPr>
        <w:t xml:space="preserve"> For example, Jones argued that </w:t>
      </w:r>
      <w:r>
        <w:rPr>
          <w:rFonts w:ascii="Times New Roman" w:hAnsi="Times New Roman" w:cs="Times New Roman"/>
          <w:bCs/>
          <w:i/>
          <w:iCs/>
          <w:sz w:val="24"/>
          <w:szCs w:val="24"/>
        </w:rPr>
        <w:t xml:space="preserve">Page </w:t>
      </w:r>
      <w:r>
        <w:rPr>
          <w:rFonts w:ascii="Times New Roman" w:hAnsi="Times New Roman" w:cs="Times New Roman"/>
          <w:bCs/>
          <w:iCs/>
          <w:sz w:val="24"/>
          <w:szCs w:val="24"/>
        </w:rPr>
        <w:t>does not cohere with the logic of a fault-based system of liability because a defendant can be ‘saddled with the financial consequences of the claimant’s unforeseeable psychiatric reaction’.</w:t>
      </w:r>
      <w:r>
        <w:rPr>
          <w:rStyle w:val="FootnoteReference"/>
          <w:rFonts w:cs="Times New Roman"/>
          <w:bCs/>
          <w:iCs/>
          <w:szCs w:val="24"/>
        </w:rPr>
        <w:footnoteReference w:id="139"/>
      </w:r>
      <w:r>
        <w:rPr>
          <w:rFonts w:ascii="Times New Roman" w:hAnsi="Times New Roman" w:cs="Times New Roman"/>
          <w:bCs/>
          <w:iCs/>
          <w:sz w:val="24"/>
          <w:szCs w:val="24"/>
        </w:rPr>
        <w:t xml:space="preserve"> </w:t>
      </w:r>
      <w:r>
        <w:rPr>
          <w:rFonts w:ascii="Times New Roman" w:hAnsi="Times New Roman" w:cs="Times New Roman"/>
          <w:bCs/>
          <w:i/>
          <w:sz w:val="24"/>
          <w:szCs w:val="24"/>
        </w:rPr>
        <w:t>Page</w:t>
      </w:r>
      <w:r>
        <w:rPr>
          <w:rFonts w:ascii="Times New Roman" w:hAnsi="Times New Roman" w:cs="Times New Roman"/>
          <w:bCs/>
          <w:iCs/>
          <w:sz w:val="24"/>
          <w:szCs w:val="24"/>
        </w:rPr>
        <w:t xml:space="preserve"> also received robust judicial criticism: in </w:t>
      </w:r>
      <w:r>
        <w:rPr>
          <w:rFonts w:ascii="Times New Roman" w:hAnsi="Times New Roman" w:cs="Times New Roman"/>
          <w:bCs/>
          <w:i/>
          <w:sz w:val="24"/>
          <w:szCs w:val="24"/>
        </w:rPr>
        <w:t>White</w:t>
      </w:r>
      <w:r>
        <w:rPr>
          <w:rFonts w:ascii="Times New Roman" w:hAnsi="Times New Roman" w:cs="Times New Roman"/>
          <w:bCs/>
          <w:iCs/>
          <w:sz w:val="24"/>
          <w:szCs w:val="24"/>
        </w:rPr>
        <w:t>, Lord Goff described it</w:t>
      </w:r>
      <w:r>
        <w:rPr>
          <w:rFonts w:ascii="Times New Roman" w:hAnsi="Times New Roman" w:cs="Times New Roman"/>
          <w:bCs/>
          <w:i/>
          <w:sz w:val="24"/>
          <w:szCs w:val="24"/>
        </w:rPr>
        <w:t xml:space="preserve"> </w:t>
      </w:r>
      <w:r>
        <w:rPr>
          <w:rFonts w:ascii="Times New Roman" w:hAnsi="Times New Roman" w:cs="Times New Roman"/>
          <w:bCs/>
          <w:iCs/>
          <w:sz w:val="24"/>
          <w:szCs w:val="24"/>
        </w:rPr>
        <w:t>as a ‘remarkable departure from generally accepted principles’.</w:t>
      </w:r>
      <w:r>
        <w:rPr>
          <w:rStyle w:val="FootnoteReference"/>
          <w:rFonts w:cs="Times New Roman"/>
          <w:bCs/>
          <w:iCs/>
          <w:szCs w:val="24"/>
        </w:rPr>
        <w:footnoteReference w:id="140"/>
      </w:r>
      <w:r w:rsidR="009B01ED">
        <w:rPr>
          <w:rFonts w:ascii="Times New Roman" w:hAnsi="Times New Roman" w:cs="Times New Roman"/>
          <w:bCs/>
          <w:iCs/>
          <w:sz w:val="24"/>
          <w:szCs w:val="24"/>
        </w:rPr>
        <w:t xml:space="preserve"> Implicit in these criticisms </w:t>
      </w:r>
      <w:r w:rsidR="001203C5">
        <w:rPr>
          <w:rFonts w:ascii="Times New Roman" w:hAnsi="Times New Roman" w:cs="Times New Roman"/>
          <w:bCs/>
          <w:iCs/>
          <w:sz w:val="24"/>
          <w:szCs w:val="24"/>
        </w:rPr>
        <w:t>is</w:t>
      </w:r>
      <w:r w:rsidR="000C615E">
        <w:rPr>
          <w:rFonts w:ascii="Times New Roman" w:hAnsi="Times New Roman" w:cs="Times New Roman"/>
          <w:bCs/>
          <w:iCs/>
          <w:sz w:val="24"/>
          <w:szCs w:val="24"/>
        </w:rPr>
        <w:t xml:space="preserve"> an uncharitable assumption about psychiatric illness</w:t>
      </w:r>
      <w:r w:rsidR="007046BA">
        <w:rPr>
          <w:rFonts w:ascii="Times New Roman" w:hAnsi="Times New Roman" w:cs="Times New Roman"/>
          <w:bCs/>
          <w:iCs/>
          <w:sz w:val="24"/>
          <w:szCs w:val="24"/>
        </w:rPr>
        <w:t>es</w:t>
      </w:r>
      <w:r w:rsidR="003F485F">
        <w:rPr>
          <w:rFonts w:ascii="Times New Roman" w:hAnsi="Times New Roman" w:cs="Times New Roman"/>
          <w:bCs/>
          <w:iCs/>
          <w:sz w:val="24"/>
          <w:szCs w:val="24"/>
        </w:rPr>
        <w:t xml:space="preserve"> </w:t>
      </w:r>
      <w:r w:rsidR="00F26F3C">
        <w:rPr>
          <w:rFonts w:ascii="Times New Roman" w:hAnsi="Times New Roman" w:cs="Times New Roman"/>
          <w:bCs/>
          <w:iCs/>
          <w:sz w:val="24"/>
          <w:szCs w:val="24"/>
        </w:rPr>
        <w:t>that</w:t>
      </w:r>
      <w:r w:rsidR="0074556E">
        <w:rPr>
          <w:rFonts w:ascii="Times New Roman" w:hAnsi="Times New Roman" w:cs="Times New Roman"/>
          <w:bCs/>
          <w:iCs/>
          <w:sz w:val="24"/>
          <w:szCs w:val="24"/>
        </w:rPr>
        <w:t xml:space="preserve"> places them in a subordinate position </w:t>
      </w:r>
      <w:r w:rsidR="00DF62CD">
        <w:rPr>
          <w:rFonts w:ascii="Times New Roman" w:hAnsi="Times New Roman" w:cs="Times New Roman"/>
          <w:bCs/>
          <w:iCs/>
          <w:sz w:val="24"/>
          <w:szCs w:val="24"/>
        </w:rPr>
        <w:t>to</w:t>
      </w:r>
      <w:r w:rsidR="00F26F3C">
        <w:rPr>
          <w:rFonts w:ascii="Times New Roman" w:hAnsi="Times New Roman" w:cs="Times New Roman"/>
          <w:bCs/>
          <w:iCs/>
          <w:sz w:val="24"/>
          <w:szCs w:val="24"/>
        </w:rPr>
        <w:t xml:space="preserve"> physical </w:t>
      </w:r>
      <w:r w:rsidR="0074556E">
        <w:rPr>
          <w:rFonts w:ascii="Times New Roman" w:hAnsi="Times New Roman" w:cs="Times New Roman"/>
          <w:bCs/>
          <w:iCs/>
          <w:sz w:val="24"/>
          <w:szCs w:val="24"/>
        </w:rPr>
        <w:t>injuries</w:t>
      </w:r>
      <w:r w:rsidR="00F969C3">
        <w:rPr>
          <w:rFonts w:ascii="Times New Roman" w:hAnsi="Times New Roman" w:cs="Times New Roman"/>
          <w:bCs/>
          <w:iCs/>
          <w:sz w:val="24"/>
          <w:szCs w:val="24"/>
        </w:rPr>
        <w:t>.</w:t>
      </w:r>
      <w:r w:rsidR="00D33D98">
        <w:rPr>
          <w:rFonts w:ascii="Times New Roman" w:hAnsi="Times New Roman" w:cs="Times New Roman"/>
          <w:bCs/>
          <w:iCs/>
          <w:sz w:val="24"/>
          <w:szCs w:val="24"/>
        </w:rPr>
        <w:t xml:space="preserve"> Critics of </w:t>
      </w:r>
      <w:r w:rsidR="00D33D98">
        <w:rPr>
          <w:rFonts w:ascii="Times New Roman" w:hAnsi="Times New Roman" w:cs="Times New Roman"/>
          <w:bCs/>
          <w:i/>
          <w:sz w:val="24"/>
          <w:szCs w:val="24"/>
        </w:rPr>
        <w:t xml:space="preserve">Page </w:t>
      </w:r>
      <w:r w:rsidR="00D33D98">
        <w:rPr>
          <w:rFonts w:ascii="Times New Roman" w:hAnsi="Times New Roman" w:cs="Times New Roman"/>
          <w:bCs/>
          <w:iCs/>
          <w:sz w:val="24"/>
          <w:szCs w:val="24"/>
        </w:rPr>
        <w:t>also overstated their case</w:t>
      </w:r>
      <w:r w:rsidR="00FA58C5">
        <w:rPr>
          <w:rFonts w:ascii="Times New Roman" w:hAnsi="Times New Roman" w:cs="Times New Roman"/>
          <w:bCs/>
          <w:iCs/>
          <w:sz w:val="24"/>
          <w:szCs w:val="24"/>
        </w:rPr>
        <w:t>:</w:t>
      </w:r>
      <w:r w:rsidR="00C254F7">
        <w:rPr>
          <w:rFonts w:ascii="Times New Roman" w:hAnsi="Times New Roman" w:cs="Times New Roman"/>
          <w:bCs/>
          <w:iCs/>
          <w:sz w:val="24"/>
          <w:szCs w:val="24"/>
        </w:rPr>
        <w:t xml:space="preserve"> </w:t>
      </w:r>
      <w:r w:rsidR="00FA58C5">
        <w:rPr>
          <w:rFonts w:ascii="Times New Roman" w:hAnsi="Times New Roman" w:cs="Times New Roman"/>
          <w:bCs/>
          <w:iCs/>
          <w:sz w:val="24"/>
          <w:szCs w:val="24"/>
        </w:rPr>
        <w:t>t</w:t>
      </w:r>
      <w:r w:rsidR="00425FA4">
        <w:rPr>
          <w:rFonts w:ascii="Times New Roman" w:hAnsi="Times New Roman" w:cs="Times New Roman"/>
          <w:bCs/>
          <w:iCs/>
          <w:sz w:val="24"/>
          <w:szCs w:val="24"/>
        </w:rPr>
        <w:t xml:space="preserve">he same </w:t>
      </w:r>
      <w:r w:rsidR="00686730">
        <w:rPr>
          <w:rFonts w:ascii="Times New Roman" w:hAnsi="Times New Roman" w:cs="Times New Roman"/>
          <w:bCs/>
          <w:iCs/>
          <w:sz w:val="24"/>
          <w:szCs w:val="24"/>
        </w:rPr>
        <w:t>‘saddling’</w:t>
      </w:r>
      <w:r w:rsidR="000C3F7F">
        <w:rPr>
          <w:rFonts w:ascii="Times New Roman" w:hAnsi="Times New Roman" w:cs="Times New Roman"/>
          <w:bCs/>
          <w:iCs/>
          <w:sz w:val="24"/>
          <w:szCs w:val="24"/>
        </w:rPr>
        <w:t xml:space="preserve"> of </w:t>
      </w:r>
      <w:r w:rsidR="005D31B5">
        <w:rPr>
          <w:rFonts w:ascii="Times New Roman" w:hAnsi="Times New Roman" w:cs="Times New Roman"/>
          <w:bCs/>
          <w:iCs/>
          <w:sz w:val="24"/>
          <w:szCs w:val="24"/>
        </w:rPr>
        <w:t>defendants</w:t>
      </w:r>
      <w:r w:rsidR="000C3F7F">
        <w:rPr>
          <w:rFonts w:ascii="Times New Roman" w:hAnsi="Times New Roman" w:cs="Times New Roman"/>
          <w:bCs/>
          <w:iCs/>
          <w:sz w:val="24"/>
          <w:szCs w:val="24"/>
        </w:rPr>
        <w:t xml:space="preserve"> with the financial consequences </w:t>
      </w:r>
      <w:r w:rsidR="002B1341">
        <w:rPr>
          <w:rFonts w:ascii="Times New Roman" w:hAnsi="Times New Roman" w:cs="Times New Roman"/>
          <w:bCs/>
          <w:iCs/>
          <w:sz w:val="24"/>
          <w:szCs w:val="24"/>
        </w:rPr>
        <w:t>of unforeseeable reaction</w:t>
      </w:r>
      <w:r w:rsidR="005D31B5">
        <w:rPr>
          <w:rFonts w:ascii="Times New Roman" w:hAnsi="Times New Roman" w:cs="Times New Roman"/>
          <w:bCs/>
          <w:iCs/>
          <w:sz w:val="24"/>
          <w:szCs w:val="24"/>
        </w:rPr>
        <w:t>s</w:t>
      </w:r>
      <w:r w:rsidR="003A154A">
        <w:rPr>
          <w:rFonts w:ascii="Times New Roman" w:hAnsi="Times New Roman" w:cs="Times New Roman"/>
          <w:bCs/>
          <w:iCs/>
          <w:sz w:val="24"/>
          <w:szCs w:val="24"/>
        </w:rPr>
        <w:t xml:space="preserve"> has been a feature of</w:t>
      </w:r>
      <w:r w:rsidR="00C254F7">
        <w:rPr>
          <w:rFonts w:ascii="Times New Roman" w:hAnsi="Times New Roman" w:cs="Times New Roman"/>
          <w:bCs/>
          <w:iCs/>
          <w:sz w:val="24"/>
          <w:szCs w:val="24"/>
        </w:rPr>
        <w:t xml:space="preserve"> the law of</w:t>
      </w:r>
      <w:r w:rsidR="003A154A">
        <w:rPr>
          <w:rFonts w:ascii="Times New Roman" w:hAnsi="Times New Roman" w:cs="Times New Roman"/>
          <w:bCs/>
          <w:iCs/>
          <w:sz w:val="24"/>
          <w:szCs w:val="24"/>
        </w:rPr>
        <w:t xml:space="preserve"> negligence since the development of the</w:t>
      </w:r>
      <w:r w:rsidR="00E56974">
        <w:rPr>
          <w:rFonts w:ascii="Times New Roman" w:hAnsi="Times New Roman" w:cs="Times New Roman"/>
          <w:bCs/>
          <w:iCs/>
          <w:sz w:val="24"/>
          <w:szCs w:val="24"/>
        </w:rPr>
        <w:t xml:space="preserve"> ‘eggshell skull’ rule</w:t>
      </w:r>
      <w:r w:rsidR="00F45C1D">
        <w:rPr>
          <w:rFonts w:ascii="Times New Roman" w:hAnsi="Times New Roman" w:cs="Times New Roman"/>
          <w:bCs/>
          <w:iCs/>
          <w:sz w:val="24"/>
          <w:szCs w:val="24"/>
        </w:rPr>
        <w:t>.</w:t>
      </w:r>
      <w:r w:rsidR="0074556E">
        <w:rPr>
          <w:rStyle w:val="FootnoteReference"/>
          <w:rFonts w:cs="Times New Roman"/>
          <w:bCs/>
          <w:iCs/>
          <w:szCs w:val="24"/>
        </w:rPr>
        <w:footnoteReference w:id="141"/>
      </w:r>
      <w:r w:rsidR="00F45C1D">
        <w:rPr>
          <w:rFonts w:ascii="Times New Roman" w:hAnsi="Times New Roman" w:cs="Times New Roman"/>
          <w:bCs/>
          <w:iCs/>
          <w:sz w:val="24"/>
          <w:szCs w:val="24"/>
        </w:rPr>
        <w:t xml:space="preserve"> Ironically, th</w:t>
      </w:r>
      <w:r w:rsidR="006B3C37">
        <w:rPr>
          <w:rFonts w:ascii="Times New Roman" w:hAnsi="Times New Roman" w:cs="Times New Roman"/>
          <w:bCs/>
          <w:iCs/>
          <w:sz w:val="24"/>
          <w:szCs w:val="24"/>
        </w:rPr>
        <w:t>at</w:t>
      </w:r>
      <w:r w:rsidR="00F45C1D">
        <w:rPr>
          <w:rFonts w:ascii="Times New Roman" w:hAnsi="Times New Roman" w:cs="Times New Roman"/>
          <w:bCs/>
          <w:iCs/>
          <w:sz w:val="24"/>
          <w:szCs w:val="24"/>
        </w:rPr>
        <w:t xml:space="preserve"> doctrine originated from </w:t>
      </w:r>
      <w:r w:rsidR="00F45C1D">
        <w:rPr>
          <w:rFonts w:ascii="Times New Roman" w:hAnsi="Times New Roman" w:cs="Times New Roman"/>
          <w:bCs/>
          <w:i/>
          <w:sz w:val="24"/>
          <w:szCs w:val="24"/>
        </w:rPr>
        <w:t>Dulieu v White &amp; Sons</w:t>
      </w:r>
      <w:r w:rsidR="00F45C1D">
        <w:rPr>
          <w:rFonts w:ascii="Times New Roman" w:hAnsi="Times New Roman" w:cs="Times New Roman"/>
          <w:bCs/>
          <w:iCs/>
          <w:sz w:val="24"/>
          <w:szCs w:val="24"/>
        </w:rPr>
        <w:t>,</w:t>
      </w:r>
      <w:r w:rsidR="00F45C1D">
        <w:rPr>
          <w:rStyle w:val="FootnoteReference"/>
          <w:rFonts w:cs="Times New Roman"/>
          <w:bCs/>
          <w:iCs/>
          <w:szCs w:val="24"/>
        </w:rPr>
        <w:footnoteReference w:id="142"/>
      </w:r>
      <w:r w:rsidR="00F45C1D">
        <w:rPr>
          <w:rFonts w:ascii="Times New Roman" w:hAnsi="Times New Roman" w:cs="Times New Roman"/>
          <w:bCs/>
          <w:iCs/>
          <w:sz w:val="24"/>
          <w:szCs w:val="24"/>
        </w:rPr>
        <w:t xml:space="preserve"> which was the first ‘nervous shock’ case to come before an English court.</w:t>
      </w:r>
      <w:r w:rsidR="009759EE">
        <w:rPr>
          <w:rFonts w:ascii="Times New Roman" w:hAnsi="Times New Roman" w:cs="Times New Roman"/>
          <w:bCs/>
          <w:iCs/>
          <w:sz w:val="24"/>
          <w:szCs w:val="24"/>
        </w:rPr>
        <w:t xml:space="preserve"> </w:t>
      </w:r>
      <w:r w:rsidR="00D45C40">
        <w:rPr>
          <w:rFonts w:ascii="Times New Roman" w:hAnsi="Times New Roman" w:cs="Times New Roman"/>
          <w:bCs/>
          <w:iCs/>
          <w:sz w:val="24"/>
          <w:szCs w:val="24"/>
        </w:rPr>
        <w:t xml:space="preserve">Viewed in this way, </w:t>
      </w:r>
      <w:r w:rsidR="009759EE">
        <w:rPr>
          <w:rFonts w:ascii="Times New Roman" w:hAnsi="Times New Roman" w:cs="Times New Roman"/>
          <w:bCs/>
          <w:i/>
          <w:sz w:val="24"/>
          <w:szCs w:val="24"/>
        </w:rPr>
        <w:t xml:space="preserve">Page </w:t>
      </w:r>
      <w:r w:rsidR="00FA58C5">
        <w:rPr>
          <w:rFonts w:ascii="Times New Roman" w:hAnsi="Times New Roman" w:cs="Times New Roman"/>
          <w:bCs/>
          <w:iCs/>
          <w:sz w:val="24"/>
          <w:szCs w:val="24"/>
        </w:rPr>
        <w:t>i</w:t>
      </w:r>
      <w:r w:rsidR="009759EE">
        <w:rPr>
          <w:rFonts w:ascii="Times New Roman" w:hAnsi="Times New Roman" w:cs="Times New Roman"/>
          <w:bCs/>
          <w:iCs/>
          <w:sz w:val="24"/>
          <w:szCs w:val="24"/>
        </w:rPr>
        <w:t xml:space="preserve">s the </w:t>
      </w:r>
      <w:r w:rsidR="00D45C40">
        <w:rPr>
          <w:rFonts w:ascii="Times New Roman" w:hAnsi="Times New Roman" w:cs="Times New Roman"/>
          <w:bCs/>
          <w:iCs/>
          <w:sz w:val="24"/>
          <w:szCs w:val="24"/>
        </w:rPr>
        <w:t xml:space="preserve">logical corollary </w:t>
      </w:r>
      <w:r w:rsidR="00240B4E">
        <w:rPr>
          <w:rFonts w:ascii="Times New Roman" w:hAnsi="Times New Roman" w:cs="Times New Roman"/>
          <w:bCs/>
          <w:iCs/>
          <w:sz w:val="24"/>
          <w:szCs w:val="24"/>
        </w:rPr>
        <w:t xml:space="preserve">of the notion that a defendant must take his victim </w:t>
      </w:r>
      <w:r w:rsidR="00240B4E">
        <w:rPr>
          <w:rFonts w:ascii="Times New Roman" w:hAnsi="Times New Roman" w:cs="Times New Roman"/>
          <w:bCs/>
          <w:i/>
          <w:sz w:val="24"/>
          <w:szCs w:val="24"/>
        </w:rPr>
        <w:t>talem qualem</w:t>
      </w:r>
      <w:r w:rsidR="00240B4E">
        <w:rPr>
          <w:rFonts w:ascii="Times New Roman" w:hAnsi="Times New Roman" w:cs="Times New Roman"/>
          <w:bCs/>
          <w:iCs/>
          <w:sz w:val="24"/>
          <w:szCs w:val="24"/>
        </w:rPr>
        <w:t>.</w:t>
      </w:r>
      <w:r w:rsidR="00F45C1D">
        <w:rPr>
          <w:rFonts w:ascii="Times New Roman" w:hAnsi="Times New Roman" w:cs="Times New Roman"/>
          <w:bCs/>
          <w:iCs/>
          <w:sz w:val="24"/>
          <w:szCs w:val="24"/>
        </w:rPr>
        <w:t xml:space="preserve"> </w:t>
      </w:r>
      <w:r w:rsidR="00425FA4">
        <w:rPr>
          <w:rFonts w:ascii="Times New Roman" w:hAnsi="Times New Roman" w:cs="Times New Roman"/>
          <w:bCs/>
          <w:iCs/>
          <w:sz w:val="24"/>
          <w:szCs w:val="24"/>
        </w:rPr>
        <w:t>Despite this,</w:t>
      </w:r>
      <w:r w:rsidR="00D33D98">
        <w:rPr>
          <w:rFonts w:ascii="Times New Roman" w:hAnsi="Times New Roman" w:cs="Times New Roman"/>
          <w:bCs/>
          <w:iCs/>
          <w:sz w:val="24"/>
          <w:szCs w:val="24"/>
        </w:rPr>
        <w:t xml:space="preserve"> </w:t>
      </w:r>
      <w:r w:rsidR="00425FA4">
        <w:rPr>
          <w:rFonts w:ascii="Times New Roman" w:hAnsi="Times New Roman" w:cs="Times New Roman"/>
          <w:bCs/>
          <w:iCs/>
          <w:sz w:val="24"/>
          <w:szCs w:val="24"/>
        </w:rPr>
        <w:t>i</w:t>
      </w:r>
      <w:r>
        <w:rPr>
          <w:rFonts w:ascii="Times New Roman" w:hAnsi="Times New Roman" w:cs="Times New Roman"/>
          <w:bCs/>
          <w:iCs/>
          <w:sz w:val="24"/>
          <w:szCs w:val="24"/>
        </w:rPr>
        <w:t xml:space="preserve">t is no exaggeration to say that </w:t>
      </w:r>
      <w:r>
        <w:rPr>
          <w:rFonts w:ascii="Times New Roman" w:hAnsi="Times New Roman" w:cs="Times New Roman"/>
          <w:bCs/>
          <w:i/>
          <w:sz w:val="24"/>
          <w:szCs w:val="24"/>
        </w:rPr>
        <w:t xml:space="preserve">Page’s </w:t>
      </w:r>
      <w:r>
        <w:rPr>
          <w:rFonts w:ascii="Times New Roman" w:hAnsi="Times New Roman" w:cs="Times New Roman"/>
          <w:bCs/>
          <w:iCs/>
          <w:sz w:val="24"/>
          <w:szCs w:val="24"/>
        </w:rPr>
        <w:t>reinterpretation of physical and psychiatric injuries as two sides of the same coin is one of English tort law’s least-celebrated innovations.</w:t>
      </w:r>
    </w:p>
    <w:p w14:paraId="3C24EB07" w14:textId="08B311CF" w:rsidR="0076302F" w:rsidRDefault="0076302F" w:rsidP="0076302F">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Yet the CRPD</w:t>
      </w:r>
      <w:r w:rsidR="00BD2767">
        <w:rPr>
          <w:rFonts w:ascii="Times New Roman" w:hAnsi="Times New Roman" w:cs="Times New Roman"/>
          <w:bCs/>
          <w:iCs/>
          <w:sz w:val="24"/>
          <w:szCs w:val="24"/>
        </w:rPr>
        <w:t xml:space="preserve"> </w:t>
      </w:r>
      <w:r w:rsidR="00425FA4">
        <w:rPr>
          <w:rFonts w:ascii="Times New Roman" w:hAnsi="Times New Roman" w:cs="Times New Roman"/>
          <w:bCs/>
          <w:iCs/>
          <w:sz w:val="24"/>
          <w:szCs w:val="24"/>
        </w:rPr>
        <w:t>cast</w:t>
      </w:r>
      <w:r w:rsidR="009C7303">
        <w:rPr>
          <w:rFonts w:ascii="Times New Roman" w:hAnsi="Times New Roman" w:cs="Times New Roman"/>
          <w:bCs/>
          <w:iCs/>
          <w:sz w:val="24"/>
          <w:szCs w:val="24"/>
        </w:rPr>
        <w:t>s</w:t>
      </w:r>
      <w:r w:rsidR="00425FA4">
        <w:rPr>
          <w:rFonts w:ascii="Times New Roman" w:hAnsi="Times New Roman" w:cs="Times New Roman"/>
          <w:bCs/>
          <w:iCs/>
          <w:sz w:val="24"/>
          <w:szCs w:val="24"/>
        </w:rPr>
        <w:t xml:space="preserve"> </w:t>
      </w:r>
      <w:r>
        <w:rPr>
          <w:rFonts w:ascii="Times New Roman" w:hAnsi="Times New Roman" w:cs="Times New Roman"/>
          <w:bCs/>
          <w:i/>
          <w:iCs/>
          <w:sz w:val="24"/>
          <w:szCs w:val="24"/>
        </w:rPr>
        <w:t xml:space="preserve">Page </w:t>
      </w:r>
      <w:r w:rsidR="00BD2767">
        <w:rPr>
          <w:rFonts w:ascii="Times New Roman" w:hAnsi="Times New Roman" w:cs="Times New Roman"/>
          <w:bCs/>
          <w:sz w:val="24"/>
          <w:szCs w:val="24"/>
        </w:rPr>
        <w:t xml:space="preserve">in </w:t>
      </w:r>
      <w:r>
        <w:rPr>
          <w:rFonts w:ascii="Times New Roman" w:hAnsi="Times New Roman" w:cs="Times New Roman"/>
          <w:bCs/>
          <w:iCs/>
          <w:sz w:val="24"/>
          <w:szCs w:val="24"/>
        </w:rPr>
        <w:t xml:space="preserve">a </w:t>
      </w:r>
      <w:r w:rsidR="00425FA4">
        <w:rPr>
          <w:rFonts w:ascii="Times New Roman" w:hAnsi="Times New Roman" w:cs="Times New Roman"/>
          <w:bCs/>
          <w:iCs/>
          <w:sz w:val="24"/>
          <w:szCs w:val="24"/>
        </w:rPr>
        <w:t>more forgiving light</w:t>
      </w:r>
      <w:r>
        <w:rPr>
          <w:rFonts w:ascii="Times New Roman" w:hAnsi="Times New Roman" w:cs="Times New Roman"/>
          <w:bCs/>
          <w:iCs/>
          <w:sz w:val="24"/>
          <w:szCs w:val="24"/>
        </w:rPr>
        <w:t xml:space="preserve">. </w:t>
      </w:r>
      <w:r w:rsidR="009038FC">
        <w:rPr>
          <w:rFonts w:ascii="Times New Roman" w:hAnsi="Times New Roman" w:cs="Times New Roman"/>
          <w:bCs/>
          <w:i/>
          <w:sz w:val="24"/>
          <w:szCs w:val="24"/>
        </w:rPr>
        <w:t>Page’s</w:t>
      </w:r>
      <w:r w:rsidR="00CA550F">
        <w:rPr>
          <w:rFonts w:ascii="Times New Roman" w:hAnsi="Times New Roman" w:cs="Times New Roman"/>
          <w:bCs/>
          <w:iCs/>
          <w:sz w:val="24"/>
          <w:szCs w:val="24"/>
        </w:rPr>
        <w:t xml:space="preserve"> rendering of p</w:t>
      </w:r>
      <w:r>
        <w:rPr>
          <w:rFonts w:ascii="Times New Roman" w:hAnsi="Times New Roman" w:cs="Times New Roman"/>
          <w:bCs/>
          <w:iCs/>
          <w:sz w:val="24"/>
          <w:szCs w:val="24"/>
        </w:rPr>
        <w:t>rimary victimhood</w:t>
      </w:r>
      <w:r w:rsidR="00FD3A35">
        <w:rPr>
          <w:rFonts w:ascii="Times New Roman" w:hAnsi="Times New Roman" w:cs="Times New Roman"/>
          <w:bCs/>
          <w:iCs/>
          <w:sz w:val="24"/>
          <w:szCs w:val="24"/>
        </w:rPr>
        <w:t xml:space="preserve"> treats ‘personal injury’</w:t>
      </w:r>
      <w:r>
        <w:rPr>
          <w:rFonts w:ascii="Times New Roman" w:hAnsi="Times New Roman" w:cs="Times New Roman"/>
          <w:bCs/>
          <w:iCs/>
          <w:sz w:val="24"/>
          <w:szCs w:val="24"/>
        </w:rPr>
        <w:t xml:space="preserve"> a</w:t>
      </w:r>
      <w:r w:rsidR="00FA58C5">
        <w:rPr>
          <w:rFonts w:ascii="Times New Roman" w:hAnsi="Times New Roman" w:cs="Times New Roman"/>
          <w:bCs/>
          <w:iCs/>
          <w:sz w:val="24"/>
          <w:szCs w:val="24"/>
        </w:rPr>
        <w:t>s a</w:t>
      </w:r>
      <w:r>
        <w:rPr>
          <w:rFonts w:ascii="Times New Roman" w:hAnsi="Times New Roman" w:cs="Times New Roman"/>
          <w:bCs/>
          <w:iCs/>
          <w:sz w:val="24"/>
          <w:szCs w:val="24"/>
        </w:rPr>
        <w:t>n umbrella term under which different types of injury</w:t>
      </w:r>
      <w:r w:rsidR="00FD3A35">
        <w:rPr>
          <w:rFonts w:ascii="Times New Roman" w:hAnsi="Times New Roman" w:cs="Times New Roman"/>
          <w:bCs/>
          <w:iCs/>
          <w:sz w:val="24"/>
          <w:szCs w:val="24"/>
        </w:rPr>
        <w:t xml:space="preserve"> (</w:t>
      </w:r>
      <w:r w:rsidR="005911E9">
        <w:rPr>
          <w:rFonts w:ascii="Times New Roman" w:hAnsi="Times New Roman" w:cs="Times New Roman"/>
          <w:bCs/>
          <w:iCs/>
          <w:sz w:val="24"/>
          <w:szCs w:val="24"/>
        </w:rPr>
        <w:t>i.e.,</w:t>
      </w:r>
      <w:r w:rsidR="00FD3A35">
        <w:rPr>
          <w:rFonts w:ascii="Times New Roman" w:hAnsi="Times New Roman" w:cs="Times New Roman"/>
          <w:bCs/>
          <w:iCs/>
          <w:sz w:val="24"/>
          <w:szCs w:val="24"/>
        </w:rPr>
        <w:t xml:space="preserve"> physical and psychiatric)</w:t>
      </w:r>
      <w:r>
        <w:rPr>
          <w:rFonts w:ascii="Times New Roman" w:hAnsi="Times New Roman" w:cs="Times New Roman"/>
          <w:bCs/>
          <w:iCs/>
          <w:sz w:val="24"/>
          <w:szCs w:val="24"/>
        </w:rPr>
        <w:t xml:space="preserve"> can be categorised. In other words, </w:t>
      </w:r>
      <w:r w:rsidR="00EC70B5">
        <w:rPr>
          <w:rFonts w:ascii="Times New Roman" w:hAnsi="Times New Roman" w:cs="Times New Roman"/>
          <w:bCs/>
          <w:iCs/>
          <w:sz w:val="24"/>
          <w:szCs w:val="24"/>
        </w:rPr>
        <w:t>its</w:t>
      </w:r>
      <w:r>
        <w:rPr>
          <w:rFonts w:ascii="Times New Roman" w:hAnsi="Times New Roman" w:cs="Times New Roman"/>
          <w:bCs/>
          <w:iCs/>
          <w:sz w:val="24"/>
          <w:szCs w:val="24"/>
        </w:rPr>
        <w:t xml:space="preserve"> foreseeability test is </w:t>
      </w:r>
      <w:r>
        <w:rPr>
          <w:rFonts w:ascii="Times New Roman" w:hAnsi="Times New Roman" w:cs="Times New Roman"/>
          <w:bCs/>
          <w:i/>
          <w:iCs/>
          <w:sz w:val="24"/>
          <w:szCs w:val="24"/>
        </w:rPr>
        <w:t>disability-neutral</w:t>
      </w:r>
      <w:r w:rsidR="00215805">
        <w:rPr>
          <w:rFonts w:ascii="Times New Roman" w:hAnsi="Times New Roman" w:cs="Times New Roman"/>
          <w:bCs/>
          <w:sz w:val="24"/>
          <w:szCs w:val="24"/>
        </w:rPr>
        <w:t>:</w:t>
      </w:r>
      <w:r w:rsidR="000610F7">
        <w:rPr>
          <w:rFonts w:ascii="Times New Roman" w:hAnsi="Times New Roman" w:cs="Times New Roman"/>
          <w:bCs/>
          <w:sz w:val="24"/>
          <w:szCs w:val="24"/>
        </w:rPr>
        <w:t xml:space="preserve"> it applies to all claimants regardless of their disability</w:t>
      </w:r>
      <w:r>
        <w:rPr>
          <w:rFonts w:ascii="Times New Roman" w:hAnsi="Times New Roman" w:cs="Times New Roman"/>
          <w:bCs/>
          <w:iCs/>
          <w:sz w:val="24"/>
          <w:szCs w:val="24"/>
        </w:rPr>
        <w:t>. This led Hedley to predict that the law on nervous shock would be ‘slowly assimilated’ with the law pertaining to injuries generally.</w:t>
      </w:r>
      <w:r>
        <w:rPr>
          <w:rStyle w:val="FootnoteReference"/>
          <w:rFonts w:cs="Times New Roman"/>
          <w:bCs/>
          <w:iCs/>
          <w:szCs w:val="24"/>
        </w:rPr>
        <w:footnoteReference w:id="143"/>
      </w:r>
      <w:r>
        <w:rPr>
          <w:rFonts w:ascii="Times New Roman" w:hAnsi="Times New Roman" w:cs="Times New Roman"/>
          <w:bCs/>
          <w:iCs/>
          <w:sz w:val="24"/>
          <w:szCs w:val="24"/>
        </w:rPr>
        <w:t xml:space="preserve"> On this interpretation, </w:t>
      </w:r>
      <w:r>
        <w:rPr>
          <w:rFonts w:ascii="Times New Roman" w:hAnsi="Times New Roman" w:cs="Times New Roman"/>
          <w:bCs/>
          <w:i/>
          <w:iCs/>
          <w:sz w:val="24"/>
          <w:szCs w:val="24"/>
        </w:rPr>
        <w:t xml:space="preserve">Page </w:t>
      </w:r>
      <w:r>
        <w:rPr>
          <w:rFonts w:ascii="Times New Roman" w:hAnsi="Times New Roman" w:cs="Times New Roman"/>
          <w:bCs/>
          <w:sz w:val="24"/>
          <w:szCs w:val="24"/>
        </w:rPr>
        <w:t>is a triumph</w:t>
      </w:r>
      <w:r w:rsidR="006B3C37">
        <w:rPr>
          <w:rFonts w:ascii="Times New Roman" w:hAnsi="Times New Roman" w:cs="Times New Roman"/>
          <w:bCs/>
          <w:sz w:val="24"/>
          <w:szCs w:val="24"/>
        </w:rPr>
        <w:t>.</w:t>
      </w:r>
      <w:r>
        <w:rPr>
          <w:rFonts w:ascii="Times New Roman" w:hAnsi="Times New Roman" w:cs="Times New Roman"/>
          <w:bCs/>
          <w:iCs/>
          <w:sz w:val="24"/>
          <w:szCs w:val="24"/>
        </w:rPr>
        <w:t xml:space="preserve"> </w:t>
      </w:r>
      <w:r w:rsidR="00FB6BC0">
        <w:rPr>
          <w:rFonts w:ascii="Times New Roman" w:hAnsi="Times New Roman" w:cs="Times New Roman"/>
          <w:bCs/>
          <w:iCs/>
          <w:sz w:val="24"/>
          <w:szCs w:val="24"/>
        </w:rPr>
        <w:t xml:space="preserve">The House of Lords’ decision </w:t>
      </w:r>
      <w:r w:rsidR="00FB6BC0">
        <w:rPr>
          <w:rFonts w:ascii="Times New Roman" w:hAnsi="Times New Roman" w:cs="Times New Roman"/>
          <w:bCs/>
          <w:iCs/>
          <w:sz w:val="24"/>
          <w:szCs w:val="24"/>
        </w:rPr>
        <w:lastRenderedPageBreak/>
        <w:t xml:space="preserve">may be wrong according to </w:t>
      </w:r>
      <w:r w:rsidR="002C4855">
        <w:rPr>
          <w:rFonts w:ascii="Times New Roman" w:hAnsi="Times New Roman" w:cs="Times New Roman"/>
          <w:bCs/>
          <w:iCs/>
          <w:sz w:val="24"/>
          <w:szCs w:val="24"/>
        </w:rPr>
        <w:t>what some considered to be the</w:t>
      </w:r>
      <w:r w:rsidR="00FB6BC0">
        <w:rPr>
          <w:rFonts w:ascii="Times New Roman" w:hAnsi="Times New Roman" w:cs="Times New Roman"/>
          <w:bCs/>
          <w:iCs/>
          <w:sz w:val="24"/>
          <w:szCs w:val="24"/>
        </w:rPr>
        <w:t xml:space="preserve"> traditional logic of negligence,</w:t>
      </w:r>
      <w:r w:rsidR="00380CDB">
        <w:rPr>
          <w:rStyle w:val="FootnoteReference"/>
          <w:rFonts w:cs="Times New Roman"/>
          <w:bCs/>
          <w:iCs/>
          <w:szCs w:val="24"/>
        </w:rPr>
        <w:footnoteReference w:id="144"/>
      </w:r>
      <w:r w:rsidR="00FB6BC0">
        <w:rPr>
          <w:rFonts w:ascii="Times New Roman" w:hAnsi="Times New Roman" w:cs="Times New Roman"/>
          <w:bCs/>
          <w:iCs/>
          <w:sz w:val="24"/>
          <w:szCs w:val="24"/>
        </w:rPr>
        <w:t xml:space="preserve"> but its collapsing of the boundary between different types of injury </w:t>
      </w:r>
      <w:r w:rsidR="00FA58C5">
        <w:rPr>
          <w:rFonts w:ascii="Times New Roman" w:hAnsi="Times New Roman" w:cs="Times New Roman"/>
          <w:bCs/>
          <w:iCs/>
          <w:sz w:val="24"/>
          <w:szCs w:val="24"/>
        </w:rPr>
        <w:t>was</w:t>
      </w:r>
      <w:r w:rsidR="00FB6BC0">
        <w:rPr>
          <w:rFonts w:ascii="Times New Roman" w:hAnsi="Times New Roman" w:cs="Times New Roman"/>
          <w:bCs/>
          <w:iCs/>
          <w:sz w:val="24"/>
          <w:szCs w:val="24"/>
        </w:rPr>
        <w:t xml:space="preserve"> ahead of its time. For that reason,</w:t>
      </w:r>
      <w:r w:rsidR="000A63E3">
        <w:rPr>
          <w:rFonts w:ascii="Times New Roman" w:hAnsi="Times New Roman" w:cs="Times New Roman"/>
          <w:bCs/>
          <w:iCs/>
          <w:sz w:val="24"/>
          <w:szCs w:val="24"/>
        </w:rPr>
        <w:t xml:space="preserve"> the duty of care </w:t>
      </w:r>
      <w:r w:rsidR="006F7314">
        <w:rPr>
          <w:rFonts w:ascii="Times New Roman" w:hAnsi="Times New Roman" w:cs="Times New Roman"/>
          <w:bCs/>
          <w:iCs/>
          <w:sz w:val="24"/>
          <w:szCs w:val="24"/>
        </w:rPr>
        <w:t>governing</w:t>
      </w:r>
      <w:r w:rsidR="00FB6BC0">
        <w:rPr>
          <w:rFonts w:ascii="Times New Roman" w:hAnsi="Times New Roman" w:cs="Times New Roman"/>
          <w:bCs/>
          <w:iCs/>
          <w:sz w:val="24"/>
          <w:szCs w:val="24"/>
        </w:rPr>
        <w:t xml:space="preserve"> primary victimhood </w:t>
      </w:r>
      <w:r w:rsidR="00FA58C5">
        <w:rPr>
          <w:rFonts w:ascii="Times New Roman" w:hAnsi="Times New Roman" w:cs="Times New Roman"/>
          <w:bCs/>
          <w:iCs/>
          <w:sz w:val="24"/>
          <w:szCs w:val="24"/>
        </w:rPr>
        <w:t>comports with</w:t>
      </w:r>
      <w:r w:rsidR="00FB6BC0">
        <w:rPr>
          <w:rFonts w:ascii="Times New Roman" w:hAnsi="Times New Roman" w:cs="Times New Roman"/>
          <w:bCs/>
          <w:iCs/>
          <w:sz w:val="24"/>
          <w:szCs w:val="24"/>
        </w:rPr>
        <w:t xml:space="preserve"> the CRPD.</w:t>
      </w:r>
    </w:p>
    <w:p w14:paraId="6F5931C0" w14:textId="10F12E9A" w:rsidR="0076302F" w:rsidRDefault="0076302F" w:rsidP="0076302F">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Tort law is indisputably part of a body of ‘existing laws, regulations, customs and practices’ which the UK is under a duty to ‘modify or abolish’ in cases of conflict with the CRPD.</w:t>
      </w:r>
      <w:r>
        <w:rPr>
          <w:rStyle w:val="FootnoteReference"/>
          <w:rFonts w:cs="Times New Roman"/>
          <w:bCs/>
          <w:iCs/>
          <w:szCs w:val="24"/>
        </w:rPr>
        <w:footnoteReference w:id="145"/>
      </w:r>
      <w:r>
        <w:rPr>
          <w:rFonts w:ascii="Times New Roman" w:hAnsi="Times New Roman" w:cs="Times New Roman"/>
          <w:bCs/>
          <w:iCs/>
          <w:sz w:val="24"/>
          <w:szCs w:val="24"/>
        </w:rPr>
        <w:t xml:space="preserve"> </w:t>
      </w:r>
      <w:r>
        <w:rPr>
          <w:rFonts w:ascii="Times New Roman" w:hAnsi="Times New Roman" w:cs="Times New Roman"/>
          <w:bCs/>
          <w:i/>
          <w:iCs/>
          <w:sz w:val="24"/>
          <w:szCs w:val="24"/>
        </w:rPr>
        <w:t xml:space="preserve">Page </w:t>
      </w:r>
      <w:r>
        <w:rPr>
          <w:rFonts w:ascii="Times New Roman" w:hAnsi="Times New Roman" w:cs="Times New Roman"/>
          <w:bCs/>
          <w:iCs/>
          <w:sz w:val="24"/>
          <w:szCs w:val="24"/>
        </w:rPr>
        <w:t>modified tort doctrine in a way which align</w:t>
      </w:r>
      <w:r w:rsidR="006B3C37">
        <w:rPr>
          <w:rFonts w:ascii="Times New Roman" w:hAnsi="Times New Roman" w:cs="Times New Roman"/>
          <w:bCs/>
          <w:iCs/>
          <w:sz w:val="24"/>
          <w:szCs w:val="24"/>
        </w:rPr>
        <w:t>s</w:t>
      </w:r>
      <w:r>
        <w:rPr>
          <w:rFonts w:ascii="Times New Roman" w:hAnsi="Times New Roman" w:cs="Times New Roman"/>
          <w:bCs/>
          <w:iCs/>
          <w:sz w:val="24"/>
          <w:szCs w:val="24"/>
        </w:rPr>
        <w:t xml:space="preserve"> with the CRPD’s non-discriminatory ethos. To argue for its reversal is to propose the restoration of an approach which discriminates on the basis of disability. Some might argue that reorganising tort doctrine according to the precepts of international human rights law overlooks the distinct functions that each serves</w:t>
      </w:r>
      <w:r w:rsidR="005C50EE">
        <w:rPr>
          <w:rFonts w:ascii="Times New Roman" w:hAnsi="Times New Roman" w:cs="Times New Roman"/>
          <w:bCs/>
          <w:iCs/>
          <w:sz w:val="24"/>
          <w:szCs w:val="24"/>
        </w:rPr>
        <w:t xml:space="preserve"> – and it is here that the distinct logics of negligence and the CRPD pull us in different directions</w:t>
      </w:r>
      <w:r>
        <w:rPr>
          <w:rFonts w:ascii="Times New Roman" w:hAnsi="Times New Roman" w:cs="Times New Roman"/>
          <w:bCs/>
          <w:iCs/>
          <w:sz w:val="24"/>
          <w:szCs w:val="24"/>
        </w:rPr>
        <w:t>.</w:t>
      </w:r>
      <w:r>
        <w:rPr>
          <w:rStyle w:val="FootnoteReference"/>
          <w:rFonts w:cs="Times New Roman"/>
          <w:bCs/>
          <w:iCs/>
          <w:szCs w:val="24"/>
        </w:rPr>
        <w:footnoteReference w:id="146"/>
      </w:r>
      <w:r>
        <w:rPr>
          <w:rFonts w:ascii="Times New Roman" w:hAnsi="Times New Roman" w:cs="Times New Roman"/>
          <w:bCs/>
          <w:iCs/>
          <w:sz w:val="24"/>
          <w:szCs w:val="24"/>
        </w:rPr>
        <w:t xml:space="preserve"> </w:t>
      </w:r>
      <w:r w:rsidR="00A16DB3">
        <w:rPr>
          <w:rFonts w:ascii="Times New Roman" w:hAnsi="Times New Roman" w:cs="Times New Roman"/>
          <w:bCs/>
          <w:iCs/>
          <w:sz w:val="24"/>
          <w:szCs w:val="24"/>
        </w:rPr>
        <w:t>D</w:t>
      </w:r>
      <w:r>
        <w:rPr>
          <w:rFonts w:ascii="Times New Roman" w:hAnsi="Times New Roman" w:cs="Times New Roman"/>
          <w:bCs/>
          <w:iCs/>
          <w:sz w:val="24"/>
          <w:szCs w:val="24"/>
        </w:rPr>
        <w:t>espite</w:t>
      </w:r>
      <w:r w:rsidR="00A16DB3">
        <w:rPr>
          <w:rFonts w:ascii="Times New Roman" w:hAnsi="Times New Roman" w:cs="Times New Roman"/>
          <w:bCs/>
          <w:iCs/>
          <w:sz w:val="24"/>
          <w:szCs w:val="24"/>
        </w:rPr>
        <w:t xml:space="preserve"> this</w:t>
      </w:r>
      <w:r>
        <w:rPr>
          <w:rFonts w:ascii="Times New Roman" w:hAnsi="Times New Roman" w:cs="Times New Roman"/>
          <w:bCs/>
          <w:iCs/>
          <w:sz w:val="24"/>
          <w:szCs w:val="24"/>
        </w:rPr>
        <w:t xml:space="preserve"> obvious tension, it is possible for the duty of care to co-exist with notions of duty implied by</w:t>
      </w:r>
      <w:r w:rsidR="00D92685">
        <w:rPr>
          <w:rFonts w:ascii="Times New Roman" w:hAnsi="Times New Roman" w:cs="Times New Roman"/>
          <w:bCs/>
          <w:iCs/>
          <w:sz w:val="24"/>
          <w:szCs w:val="24"/>
        </w:rPr>
        <w:t xml:space="preserve"> instruments such as</w:t>
      </w:r>
      <w:r>
        <w:rPr>
          <w:rFonts w:ascii="Times New Roman" w:hAnsi="Times New Roman" w:cs="Times New Roman"/>
          <w:bCs/>
          <w:iCs/>
          <w:sz w:val="24"/>
          <w:szCs w:val="24"/>
        </w:rPr>
        <w:t xml:space="preserve"> the ECHR.</w:t>
      </w:r>
      <w:r>
        <w:rPr>
          <w:rStyle w:val="FootnoteReference"/>
          <w:rFonts w:cs="Times New Roman"/>
          <w:bCs/>
          <w:iCs/>
          <w:szCs w:val="24"/>
        </w:rPr>
        <w:footnoteReference w:id="147"/>
      </w:r>
      <w:r>
        <w:rPr>
          <w:rFonts w:ascii="Times New Roman" w:hAnsi="Times New Roman" w:cs="Times New Roman"/>
          <w:bCs/>
          <w:iCs/>
          <w:sz w:val="24"/>
          <w:szCs w:val="24"/>
        </w:rPr>
        <w:t xml:space="preserve"> The problem is that the CRPD explicitly proscribes discrimination on the basis of disability. While it is possible for common law duties of care to exist in parallel with duties arising out of the ECHR, the same coexistence appears out of the question where the CRPD is concerned.</w:t>
      </w:r>
      <w:r w:rsidR="001E2444">
        <w:rPr>
          <w:rFonts w:ascii="Times New Roman" w:hAnsi="Times New Roman" w:cs="Times New Roman"/>
          <w:bCs/>
          <w:iCs/>
          <w:sz w:val="24"/>
          <w:szCs w:val="24"/>
        </w:rPr>
        <w:t xml:space="preserve"> Although</w:t>
      </w:r>
      <w:r w:rsidR="00670540">
        <w:rPr>
          <w:rFonts w:ascii="Times New Roman" w:hAnsi="Times New Roman" w:cs="Times New Roman"/>
          <w:bCs/>
          <w:iCs/>
          <w:sz w:val="24"/>
          <w:szCs w:val="24"/>
        </w:rPr>
        <w:t xml:space="preserve"> primary victimhood does not </w:t>
      </w:r>
      <w:r w:rsidR="00A0469C">
        <w:rPr>
          <w:rFonts w:ascii="Times New Roman" w:hAnsi="Times New Roman" w:cs="Times New Roman"/>
          <w:bCs/>
          <w:iCs/>
          <w:sz w:val="24"/>
          <w:szCs w:val="24"/>
        </w:rPr>
        <w:t xml:space="preserve">amplify these tensions, the same cannot be said for the rules that </w:t>
      </w:r>
      <w:r w:rsidR="00EF5AB5">
        <w:rPr>
          <w:rFonts w:ascii="Times New Roman" w:hAnsi="Times New Roman" w:cs="Times New Roman"/>
          <w:bCs/>
          <w:iCs/>
          <w:sz w:val="24"/>
          <w:szCs w:val="24"/>
        </w:rPr>
        <w:t>apply to</w:t>
      </w:r>
      <w:r w:rsidR="00A0469C">
        <w:rPr>
          <w:rFonts w:ascii="Times New Roman" w:hAnsi="Times New Roman" w:cs="Times New Roman"/>
          <w:bCs/>
          <w:iCs/>
          <w:sz w:val="24"/>
          <w:szCs w:val="24"/>
        </w:rPr>
        <w:t xml:space="preserve"> secondary victimhood.</w:t>
      </w:r>
    </w:p>
    <w:p w14:paraId="6F88478C" w14:textId="79961AFF" w:rsidR="00E82E7F" w:rsidRPr="00DE5191" w:rsidRDefault="00E82E7F" w:rsidP="00DE5191">
      <w:pPr>
        <w:pStyle w:val="ListParagraph"/>
        <w:numPr>
          <w:ilvl w:val="0"/>
          <w:numId w:val="41"/>
        </w:numPr>
        <w:tabs>
          <w:tab w:val="left" w:pos="7864"/>
          <w:tab w:val="right" w:pos="9026"/>
        </w:tabs>
        <w:rPr>
          <w:rFonts w:ascii="Times New Roman" w:hAnsi="Times New Roman" w:cs="Times New Roman"/>
          <w:bCs/>
          <w:sz w:val="24"/>
          <w:szCs w:val="24"/>
        </w:rPr>
      </w:pPr>
      <w:r w:rsidRPr="00DE5191">
        <w:rPr>
          <w:rFonts w:ascii="Times New Roman" w:hAnsi="Times New Roman" w:cs="Times New Roman"/>
          <w:bCs/>
          <w:sz w:val="24"/>
          <w:szCs w:val="24"/>
        </w:rPr>
        <w:t>Secondary victims</w:t>
      </w:r>
    </w:p>
    <w:p w14:paraId="1F1F76C9" w14:textId="5C3866FC" w:rsidR="00045627" w:rsidRDefault="00F6128D" w:rsidP="00DE5191">
      <w:pPr>
        <w:tabs>
          <w:tab w:val="left" w:pos="7864"/>
          <w:tab w:val="right" w:pos="9026"/>
        </w:tabs>
        <w:ind w:firstLine="0"/>
        <w:rPr>
          <w:rFonts w:ascii="Times New Roman" w:hAnsi="Times New Roman" w:cs="Times New Roman"/>
          <w:bCs/>
          <w:iCs/>
          <w:sz w:val="24"/>
          <w:szCs w:val="24"/>
        </w:rPr>
      </w:pPr>
      <w:r>
        <w:rPr>
          <w:rFonts w:ascii="Times New Roman" w:hAnsi="Times New Roman" w:cs="Times New Roman"/>
          <w:bCs/>
          <w:iCs/>
          <w:sz w:val="24"/>
          <w:szCs w:val="24"/>
        </w:rPr>
        <w:t>A</w:t>
      </w:r>
      <w:r w:rsidR="00C44CDA">
        <w:rPr>
          <w:rFonts w:ascii="Times New Roman" w:hAnsi="Times New Roman" w:cs="Times New Roman"/>
          <w:bCs/>
          <w:iCs/>
          <w:sz w:val="24"/>
          <w:szCs w:val="24"/>
        </w:rPr>
        <w:t xml:space="preserve"> </w:t>
      </w:r>
      <w:r>
        <w:rPr>
          <w:rFonts w:ascii="Times New Roman" w:hAnsi="Times New Roman" w:cs="Times New Roman"/>
          <w:bCs/>
          <w:iCs/>
          <w:sz w:val="24"/>
          <w:szCs w:val="24"/>
        </w:rPr>
        <w:t>s</w:t>
      </w:r>
      <w:r w:rsidR="000C3B22">
        <w:rPr>
          <w:rFonts w:ascii="Times New Roman" w:hAnsi="Times New Roman" w:cs="Times New Roman"/>
          <w:bCs/>
          <w:iCs/>
          <w:sz w:val="24"/>
          <w:szCs w:val="24"/>
        </w:rPr>
        <w:t xml:space="preserve">econdary victim </w:t>
      </w:r>
      <w:r w:rsidR="00E24CA7">
        <w:rPr>
          <w:rFonts w:ascii="Times New Roman" w:hAnsi="Times New Roman" w:cs="Times New Roman"/>
          <w:bCs/>
          <w:iCs/>
          <w:sz w:val="24"/>
          <w:szCs w:val="24"/>
        </w:rPr>
        <w:t>suffer</w:t>
      </w:r>
      <w:r>
        <w:rPr>
          <w:rFonts w:ascii="Times New Roman" w:hAnsi="Times New Roman" w:cs="Times New Roman"/>
          <w:bCs/>
          <w:iCs/>
          <w:sz w:val="24"/>
          <w:szCs w:val="24"/>
        </w:rPr>
        <w:t>s a</w:t>
      </w:r>
      <w:r w:rsidR="00E24CA7">
        <w:rPr>
          <w:rFonts w:ascii="Times New Roman" w:hAnsi="Times New Roman" w:cs="Times New Roman"/>
          <w:bCs/>
          <w:iCs/>
          <w:sz w:val="24"/>
          <w:szCs w:val="24"/>
        </w:rPr>
        <w:t xml:space="preserve"> psychiatric injur</w:t>
      </w:r>
      <w:r>
        <w:rPr>
          <w:rFonts w:ascii="Times New Roman" w:hAnsi="Times New Roman" w:cs="Times New Roman"/>
          <w:bCs/>
          <w:iCs/>
          <w:sz w:val="24"/>
          <w:szCs w:val="24"/>
        </w:rPr>
        <w:t>y</w:t>
      </w:r>
      <w:r w:rsidR="00E24CA7">
        <w:rPr>
          <w:rFonts w:ascii="Times New Roman" w:hAnsi="Times New Roman" w:cs="Times New Roman"/>
          <w:bCs/>
          <w:iCs/>
          <w:sz w:val="24"/>
          <w:szCs w:val="24"/>
        </w:rPr>
        <w:t xml:space="preserve"> after </w:t>
      </w:r>
      <w:r w:rsidR="00E24CA7">
        <w:rPr>
          <w:rFonts w:ascii="Times New Roman" w:hAnsi="Times New Roman" w:cs="Times New Roman"/>
          <w:bCs/>
          <w:i/>
          <w:sz w:val="24"/>
          <w:szCs w:val="24"/>
        </w:rPr>
        <w:t>witnessing</w:t>
      </w:r>
      <w:r w:rsidR="00E24CA7">
        <w:rPr>
          <w:rFonts w:ascii="Times New Roman" w:hAnsi="Times New Roman" w:cs="Times New Roman"/>
          <w:bCs/>
          <w:iCs/>
          <w:sz w:val="24"/>
          <w:szCs w:val="24"/>
        </w:rPr>
        <w:t xml:space="preserve"> </w:t>
      </w:r>
      <w:r w:rsidR="00283DD4">
        <w:rPr>
          <w:rFonts w:ascii="Times New Roman" w:hAnsi="Times New Roman" w:cs="Times New Roman"/>
          <w:bCs/>
          <w:iCs/>
          <w:sz w:val="24"/>
          <w:szCs w:val="24"/>
        </w:rPr>
        <w:t>a careless defendant cause the death, injury or imperilment of another perso</w:t>
      </w:r>
      <w:r w:rsidR="008521A1">
        <w:rPr>
          <w:rFonts w:ascii="Times New Roman" w:hAnsi="Times New Roman" w:cs="Times New Roman"/>
          <w:bCs/>
          <w:iCs/>
          <w:sz w:val="24"/>
          <w:szCs w:val="24"/>
        </w:rPr>
        <w:t xml:space="preserve">n. </w:t>
      </w:r>
      <w:r w:rsidR="004E1271">
        <w:rPr>
          <w:rFonts w:ascii="Times New Roman" w:hAnsi="Times New Roman" w:cs="Times New Roman"/>
          <w:bCs/>
          <w:iCs/>
          <w:sz w:val="24"/>
          <w:szCs w:val="24"/>
        </w:rPr>
        <w:t>The courts have sought to restrict</w:t>
      </w:r>
      <w:r w:rsidR="004A1049">
        <w:rPr>
          <w:rFonts w:ascii="Times New Roman" w:hAnsi="Times New Roman" w:cs="Times New Roman"/>
          <w:bCs/>
          <w:iCs/>
          <w:sz w:val="24"/>
          <w:szCs w:val="24"/>
        </w:rPr>
        <w:t xml:space="preserve"> secondary victimhood</w:t>
      </w:r>
      <w:r w:rsidR="004E1271">
        <w:rPr>
          <w:rFonts w:ascii="Times New Roman" w:hAnsi="Times New Roman" w:cs="Times New Roman"/>
          <w:bCs/>
          <w:iCs/>
          <w:sz w:val="24"/>
          <w:szCs w:val="24"/>
        </w:rPr>
        <w:t xml:space="preserve"> </w:t>
      </w:r>
      <w:r w:rsidR="00136D90">
        <w:rPr>
          <w:rFonts w:ascii="Times New Roman" w:hAnsi="Times New Roman" w:cs="Times New Roman"/>
          <w:bCs/>
          <w:iCs/>
          <w:sz w:val="24"/>
          <w:szCs w:val="24"/>
        </w:rPr>
        <w:t>by (i)</w:t>
      </w:r>
      <w:r w:rsidR="008E6204">
        <w:rPr>
          <w:rFonts w:ascii="Times New Roman" w:hAnsi="Times New Roman" w:cs="Times New Roman"/>
          <w:bCs/>
          <w:iCs/>
          <w:sz w:val="24"/>
          <w:szCs w:val="24"/>
        </w:rPr>
        <w:t xml:space="preserve"> </w:t>
      </w:r>
      <w:r w:rsidR="00136D90">
        <w:rPr>
          <w:rFonts w:ascii="Times New Roman" w:hAnsi="Times New Roman" w:cs="Times New Roman"/>
          <w:bCs/>
          <w:iCs/>
          <w:sz w:val="24"/>
          <w:szCs w:val="24"/>
        </w:rPr>
        <w:t xml:space="preserve">employing a narrow ‘foreseeability’ requirement, and (ii) using a number of </w:t>
      </w:r>
      <w:r w:rsidR="00136D90">
        <w:rPr>
          <w:rFonts w:ascii="Times New Roman" w:hAnsi="Times New Roman" w:cs="Times New Roman"/>
          <w:bCs/>
          <w:iCs/>
          <w:sz w:val="24"/>
          <w:szCs w:val="24"/>
        </w:rPr>
        <w:lastRenderedPageBreak/>
        <w:t xml:space="preserve">‘control mechanisms’ to limit </w:t>
      </w:r>
      <w:r w:rsidR="007E4546">
        <w:rPr>
          <w:rFonts w:ascii="Times New Roman" w:hAnsi="Times New Roman" w:cs="Times New Roman"/>
          <w:bCs/>
          <w:iCs/>
          <w:sz w:val="24"/>
          <w:szCs w:val="24"/>
        </w:rPr>
        <w:t xml:space="preserve">it </w:t>
      </w:r>
      <w:r w:rsidR="00136D90">
        <w:rPr>
          <w:rFonts w:ascii="Times New Roman" w:hAnsi="Times New Roman" w:cs="Times New Roman"/>
          <w:bCs/>
          <w:iCs/>
          <w:sz w:val="24"/>
          <w:szCs w:val="24"/>
        </w:rPr>
        <w:t>to those in close relational and geographic proximity to a shocking event.</w:t>
      </w:r>
      <w:r w:rsidR="007E4546">
        <w:rPr>
          <w:rFonts w:ascii="Times New Roman" w:hAnsi="Times New Roman" w:cs="Times New Roman"/>
          <w:bCs/>
          <w:iCs/>
          <w:sz w:val="24"/>
          <w:szCs w:val="24"/>
        </w:rPr>
        <w:t xml:space="preserve"> </w:t>
      </w:r>
      <w:r w:rsidR="00CD27EC">
        <w:rPr>
          <w:rFonts w:ascii="Times New Roman" w:hAnsi="Times New Roman" w:cs="Times New Roman"/>
          <w:bCs/>
          <w:iCs/>
          <w:sz w:val="24"/>
          <w:szCs w:val="24"/>
        </w:rPr>
        <w:t xml:space="preserve">The foreseeability requirement derives from </w:t>
      </w:r>
      <w:r w:rsidR="00CD27EC">
        <w:rPr>
          <w:rFonts w:ascii="Times New Roman" w:hAnsi="Times New Roman" w:cs="Times New Roman"/>
          <w:bCs/>
          <w:i/>
          <w:sz w:val="24"/>
          <w:szCs w:val="24"/>
        </w:rPr>
        <w:t>Bourhill v Young</w:t>
      </w:r>
      <w:r w:rsidR="00CD27EC">
        <w:rPr>
          <w:rFonts w:ascii="Times New Roman" w:hAnsi="Times New Roman" w:cs="Times New Roman"/>
          <w:bCs/>
          <w:iCs/>
          <w:sz w:val="24"/>
          <w:szCs w:val="24"/>
        </w:rPr>
        <w:t>.</w:t>
      </w:r>
      <w:r w:rsidR="00CD27EC">
        <w:rPr>
          <w:rStyle w:val="FootnoteReference"/>
          <w:rFonts w:cs="Times New Roman"/>
          <w:bCs/>
          <w:iCs/>
          <w:szCs w:val="24"/>
        </w:rPr>
        <w:footnoteReference w:id="148"/>
      </w:r>
      <w:r w:rsidR="008A1291">
        <w:rPr>
          <w:rFonts w:ascii="Times New Roman" w:hAnsi="Times New Roman" w:cs="Times New Roman"/>
          <w:bCs/>
          <w:iCs/>
          <w:sz w:val="24"/>
          <w:szCs w:val="24"/>
        </w:rPr>
        <w:t xml:space="preserve"> </w:t>
      </w:r>
      <w:r w:rsidR="004D4D3D">
        <w:rPr>
          <w:rFonts w:ascii="Times New Roman" w:hAnsi="Times New Roman" w:cs="Times New Roman"/>
          <w:bCs/>
          <w:iCs/>
          <w:sz w:val="24"/>
          <w:szCs w:val="24"/>
        </w:rPr>
        <w:t xml:space="preserve">According to Lord Porter, </w:t>
      </w:r>
      <w:r w:rsidR="00F864FC">
        <w:rPr>
          <w:rFonts w:ascii="Times New Roman" w:hAnsi="Times New Roman" w:cs="Times New Roman"/>
          <w:bCs/>
          <w:iCs/>
          <w:sz w:val="24"/>
          <w:szCs w:val="24"/>
        </w:rPr>
        <w:t xml:space="preserve">a defendant is entitled to assume that the ‘ordinary frequenter of the streets has sufficient fortitude’ to cope with distressing </w:t>
      </w:r>
      <w:r w:rsidR="00605E2B">
        <w:rPr>
          <w:rFonts w:ascii="Times New Roman" w:hAnsi="Times New Roman" w:cs="Times New Roman"/>
          <w:bCs/>
          <w:iCs/>
          <w:sz w:val="24"/>
          <w:szCs w:val="24"/>
        </w:rPr>
        <w:t>events</w:t>
      </w:r>
      <w:r w:rsidR="00CA4B82">
        <w:rPr>
          <w:rFonts w:ascii="Times New Roman" w:hAnsi="Times New Roman" w:cs="Times New Roman"/>
          <w:bCs/>
          <w:iCs/>
          <w:sz w:val="24"/>
          <w:szCs w:val="24"/>
        </w:rPr>
        <w:t>; he will not owe a duty to one who does not possess th</w:t>
      </w:r>
      <w:r w:rsidR="00B74439">
        <w:rPr>
          <w:rFonts w:ascii="Times New Roman" w:hAnsi="Times New Roman" w:cs="Times New Roman"/>
          <w:bCs/>
          <w:iCs/>
          <w:sz w:val="24"/>
          <w:szCs w:val="24"/>
        </w:rPr>
        <w:t>at</w:t>
      </w:r>
      <w:r w:rsidR="00CA4B82">
        <w:rPr>
          <w:rFonts w:ascii="Times New Roman" w:hAnsi="Times New Roman" w:cs="Times New Roman"/>
          <w:bCs/>
          <w:iCs/>
          <w:sz w:val="24"/>
          <w:szCs w:val="24"/>
        </w:rPr>
        <w:t xml:space="preserve"> ‘customary phlegm’.</w:t>
      </w:r>
      <w:r w:rsidR="002D4E28">
        <w:rPr>
          <w:rStyle w:val="FootnoteReference"/>
          <w:rFonts w:cs="Times New Roman"/>
          <w:bCs/>
          <w:iCs/>
          <w:szCs w:val="24"/>
        </w:rPr>
        <w:footnoteReference w:id="149"/>
      </w:r>
      <w:r w:rsidR="00D55A0B">
        <w:rPr>
          <w:rFonts w:ascii="Times New Roman" w:hAnsi="Times New Roman" w:cs="Times New Roman"/>
          <w:bCs/>
          <w:iCs/>
          <w:sz w:val="24"/>
          <w:szCs w:val="24"/>
        </w:rPr>
        <w:t xml:space="preserve"> This represents </w:t>
      </w:r>
      <w:r w:rsidR="00701ACA">
        <w:rPr>
          <w:rFonts w:ascii="Times New Roman" w:hAnsi="Times New Roman" w:cs="Times New Roman"/>
          <w:bCs/>
          <w:iCs/>
          <w:sz w:val="24"/>
          <w:szCs w:val="24"/>
        </w:rPr>
        <w:t>a very different conception of reasonable foreseeability</w:t>
      </w:r>
      <w:r w:rsidR="00723904">
        <w:rPr>
          <w:rFonts w:ascii="Times New Roman" w:hAnsi="Times New Roman" w:cs="Times New Roman"/>
          <w:bCs/>
          <w:iCs/>
          <w:sz w:val="24"/>
          <w:szCs w:val="24"/>
        </w:rPr>
        <w:t xml:space="preserve"> from</w:t>
      </w:r>
      <w:r w:rsidR="00701ACA">
        <w:rPr>
          <w:rFonts w:ascii="Times New Roman" w:hAnsi="Times New Roman" w:cs="Times New Roman"/>
          <w:bCs/>
          <w:iCs/>
          <w:sz w:val="24"/>
          <w:szCs w:val="24"/>
        </w:rPr>
        <w:t xml:space="preserve"> that which applies </w:t>
      </w:r>
      <w:r w:rsidR="00723904">
        <w:rPr>
          <w:rFonts w:ascii="Times New Roman" w:hAnsi="Times New Roman" w:cs="Times New Roman"/>
          <w:bCs/>
          <w:iCs/>
          <w:sz w:val="24"/>
          <w:szCs w:val="24"/>
        </w:rPr>
        <w:t xml:space="preserve">to </w:t>
      </w:r>
      <w:r w:rsidR="00701ACA">
        <w:rPr>
          <w:rFonts w:ascii="Times New Roman" w:hAnsi="Times New Roman" w:cs="Times New Roman"/>
          <w:bCs/>
          <w:iCs/>
          <w:sz w:val="24"/>
          <w:szCs w:val="24"/>
        </w:rPr>
        <w:t>primary victims.</w:t>
      </w:r>
      <w:r w:rsidR="003B69AB">
        <w:rPr>
          <w:rFonts w:ascii="Times New Roman" w:hAnsi="Times New Roman" w:cs="Times New Roman"/>
          <w:bCs/>
          <w:iCs/>
          <w:sz w:val="24"/>
          <w:szCs w:val="24"/>
        </w:rPr>
        <w:t xml:space="preserve"> Where secondary victims are concerned, </w:t>
      </w:r>
      <w:r w:rsidR="003B69AB">
        <w:rPr>
          <w:rFonts w:ascii="Times New Roman" w:hAnsi="Times New Roman" w:cs="Times New Roman"/>
          <w:bCs/>
          <w:i/>
          <w:sz w:val="24"/>
          <w:szCs w:val="24"/>
        </w:rPr>
        <w:t>psychiatric injury</w:t>
      </w:r>
      <w:r w:rsidR="003B69AB">
        <w:rPr>
          <w:rFonts w:ascii="Times New Roman" w:hAnsi="Times New Roman" w:cs="Times New Roman"/>
          <w:bCs/>
          <w:iCs/>
          <w:sz w:val="24"/>
          <w:szCs w:val="24"/>
        </w:rPr>
        <w:t xml:space="preserve"> must be reasonably foreseeable to the defendant</w:t>
      </w:r>
      <w:r w:rsidR="00773174">
        <w:rPr>
          <w:rFonts w:ascii="Times New Roman" w:hAnsi="Times New Roman" w:cs="Times New Roman"/>
          <w:bCs/>
          <w:iCs/>
          <w:sz w:val="24"/>
          <w:szCs w:val="24"/>
        </w:rPr>
        <w:t>; generalised ‘personal</w:t>
      </w:r>
      <w:r w:rsidR="007E4546">
        <w:rPr>
          <w:rFonts w:ascii="Times New Roman" w:hAnsi="Times New Roman" w:cs="Times New Roman"/>
          <w:bCs/>
          <w:iCs/>
          <w:sz w:val="24"/>
          <w:szCs w:val="24"/>
        </w:rPr>
        <w:t>’</w:t>
      </w:r>
      <w:r w:rsidR="00773174">
        <w:rPr>
          <w:rFonts w:ascii="Times New Roman" w:hAnsi="Times New Roman" w:cs="Times New Roman"/>
          <w:bCs/>
          <w:iCs/>
          <w:sz w:val="24"/>
          <w:szCs w:val="24"/>
        </w:rPr>
        <w:t xml:space="preserve"> injury will not suffice. Moreover, the circumstances must be </w:t>
      </w:r>
      <w:r w:rsidR="009C7303">
        <w:rPr>
          <w:rFonts w:ascii="Times New Roman" w:hAnsi="Times New Roman" w:cs="Times New Roman"/>
          <w:bCs/>
          <w:iCs/>
          <w:sz w:val="24"/>
          <w:szCs w:val="24"/>
        </w:rPr>
        <w:t>likely</w:t>
      </w:r>
      <w:r w:rsidR="00773174">
        <w:rPr>
          <w:rFonts w:ascii="Times New Roman" w:hAnsi="Times New Roman" w:cs="Times New Roman"/>
          <w:bCs/>
          <w:iCs/>
          <w:sz w:val="24"/>
          <w:szCs w:val="24"/>
        </w:rPr>
        <w:t xml:space="preserve"> to cause psychiatric injury in a person of ‘ordinary fortitude’</w:t>
      </w:r>
      <w:r w:rsidR="003B69AB">
        <w:rPr>
          <w:rFonts w:ascii="Times New Roman" w:hAnsi="Times New Roman" w:cs="Times New Roman"/>
          <w:bCs/>
          <w:iCs/>
          <w:sz w:val="24"/>
          <w:szCs w:val="24"/>
        </w:rPr>
        <w:t>.</w:t>
      </w:r>
      <w:r w:rsidR="00F1789D">
        <w:rPr>
          <w:rFonts w:ascii="Times New Roman" w:hAnsi="Times New Roman" w:cs="Times New Roman"/>
          <w:bCs/>
          <w:iCs/>
          <w:sz w:val="24"/>
          <w:szCs w:val="24"/>
        </w:rPr>
        <w:t xml:space="preserve"> This is a far more stringent test</w:t>
      </w:r>
      <w:r w:rsidR="007A55A1">
        <w:rPr>
          <w:rFonts w:ascii="Times New Roman" w:hAnsi="Times New Roman" w:cs="Times New Roman"/>
          <w:bCs/>
          <w:iCs/>
          <w:sz w:val="24"/>
          <w:szCs w:val="24"/>
        </w:rPr>
        <w:t>.</w:t>
      </w:r>
    </w:p>
    <w:p w14:paraId="4ACD97F3" w14:textId="7D599B96" w:rsidR="000F479A" w:rsidRDefault="00045627" w:rsidP="00915471">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 xml:space="preserve">Assuming </w:t>
      </w:r>
      <w:r w:rsidR="0031168F">
        <w:rPr>
          <w:rFonts w:ascii="Times New Roman" w:hAnsi="Times New Roman" w:cs="Times New Roman"/>
          <w:bCs/>
          <w:iCs/>
          <w:sz w:val="24"/>
          <w:szCs w:val="24"/>
        </w:rPr>
        <w:t>she</w:t>
      </w:r>
      <w:r>
        <w:rPr>
          <w:rFonts w:ascii="Times New Roman" w:hAnsi="Times New Roman" w:cs="Times New Roman"/>
          <w:bCs/>
          <w:iCs/>
          <w:sz w:val="24"/>
          <w:szCs w:val="24"/>
        </w:rPr>
        <w:t xml:space="preserve"> satisfies the foreseeability requirement, </w:t>
      </w:r>
      <w:r w:rsidR="0031168F">
        <w:rPr>
          <w:rFonts w:ascii="Times New Roman" w:hAnsi="Times New Roman" w:cs="Times New Roman"/>
          <w:bCs/>
          <w:iCs/>
          <w:sz w:val="24"/>
          <w:szCs w:val="24"/>
        </w:rPr>
        <w:t>the claimant’s</w:t>
      </w:r>
      <w:r>
        <w:rPr>
          <w:rFonts w:ascii="Times New Roman" w:hAnsi="Times New Roman" w:cs="Times New Roman"/>
          <w:bCs/>
          <w:iCs/>
          <w:sz w:val="24"/>
          <w:szCs w:val="24"/>
        </w:rPr>
        <w:t xml:space="preserve"> next obstacle is </w:t>
      </w:r>
      <w:r w:rsidR="00EC0B0B">
        <w:rPr>
          <w:rFonts w:ascii="Times New Roman" w:hAnsi="Times New Roman" w:cs="Times New Roman"/>
          <w:bCs/>
          <w:iCs/>
          <w:sz w:val="24"/>
          <w:szCs w:val="24"/>
        </w:rPr>
        <w:t>the ‘control mechanisms’.</w:t>
      </w:r>
      <w:r w:rsidR="006105AE">
        <w:rPr>
          <w:rFonts w:ascii="Times New Roman" w:hAnsi="Times New Roman" w:cs="Times New Roman"/>
          <w:bCs/>
          <w:iCs/>
          <w:sz w:val="24"/>
          <w:szCs w:val="24"/>
        </w:rPr>
        <w:t xml:space="preserve"> In </w:t>
      </w:r>
      <w:r w:rsidR="006105AE">
        <w:rPr>
          <w:rFonts w:ascii="Times New Roman" w:hAnsi="Times New Roman" w:cs="Times New Roman"/>
          <w:bCs/>
          <w:i/>
          <w:sz w:val="24"/>
          <w:szCs w:val="24"/>
        </w:rPr>
        <w:t>Alcock</w:t>
      </w:r>
      <w:r w:rsidR="006105AE">
        <w:rPr>
          <w:rFonts w:ascii="Times New Roman" w:hAnsi="Times New Roman" w:cs="Times New Roman"/>
          <w:bCs/>
          <w:iCs/>
          <w:sz w:val="24"/>
          <w:szCs w:val="24"/>
        </w:rPr>
        <w:t>,</w:t>
      </w:r>
      <w:bookmarkStart w:id="33" w:name="_Ref30172883"/>
      <w:r w:rsidR="00B93264">
        <w:rPr>
          <w:rStyle w:val="FootnoteReference"/>
          <w:rFonts w:cs="Times New Roman"/>
          <w:bCs/>
          <w:iCs/>
          <w:szCs w:val="24"/>
        </w:rPr>
        <w:footnoteReference w:id="150"/>
      </w:r>
      <w:bookmarkEnd w:id="33"/>
      <w:r>
        <w:rPr>
          <w:rFonts w:ascii="Times New Roman" w:hAnsi="Times New Roman" w:cs="Times New Roman"/>
          <w:bCs/>
          <w:iCs/>
          <w:sz w:val="24"/>
          <w:szCs w:val="24"/>
        </w:rPr>
        <w:t xml:space="preserve"> </w:t>
      </w:r>
      <w:r w:rsidR="00521A86">
        <w:rPr>
          <w:rFonts w:ascii="Times New Roman" w:hAnsi="Times New Roman" w:cs="Times New Roman"/>
          <w:bCs/>
          <w:iCs/>
          <w:sz w:val="24"/>
          <w:szCs w:val="24"/>
        </w:rPr>
        <w:t>the House of Lords adopted t</w:t>
      </w:r>
      <w:r w:rsidR="00AA7C73">
        <w:rPr>
          <w:rFonts w:ascii="Times New Roman" w:hAnsi="Times New Roman" w:cs="Times New Roman"/>
          <w:bCs/>
          <w:iCs/>
          <w:sz w:val="24"/>
          <w:szCs w:val="24"/>
        </w:rPr>
        <w:t>he formula that Lord Wilberforce</w:t>
      </w:r>
      <w:r w:rsidR="00B82C7B">
        <w:rPr>
          <w:rFonts w:ascii="Times New Roman" w:hAnsi="Times New Roman" w:cs="Times New Roman"/>
          <w:bCs/>
          <w:iCs/>
          <w:sz w:val="24"/>
          <w:szCs w:val="24"/>
        </w:rPr>
        <w:t xml:space="preserve"> first</w:t>
      </w:r>
      <w:r w:rsidR="00AA7C73">
        <w:rPr>
          <w:rFonts w:ascii="Times New Roman" w:hAnsi="Times New Roman" w:cs="Times New Roman"/>
          <w:bCs/>
          <w:iCs/>
          <w:sz w:val="24"/>
          <w:szCs w:val="24"/>
        </w:rPr>
        <w:t xml:space="preserve"> articulated in </w:t>
      </w:r>
      <w:r w:rsidR="00AA7C73">
        <w:rPr>
          <w:rFonts w:ascii="Times New Roman" w:hAnsi="Times New Roman" w:cs="Times New Roman"/>
          <w:bCs/>
          <w:i/>
          <w:sz w:val="24"/>
          <w:szCs w:val="24"/>
        </w:rPr>
        <w:t>McLoughlin</w:t>
      </w:r>
      <w:r w:rsidR="00992B9E">
        <w:rPr>
          <w:rFonts w:ascii="Times New Roman" w:hAnsi="Times New Roman" w:cs="Times New Roman"/>
          <w:bCs/>
          <w:i/>
          <w:sz w:val="24"/>
          <w:szCs w:val="24"/>
        </w:rPr>
        <w:t xml:space="preserve"> v O’Brian</w:t>
      </w:r>
      <w:r w:rsidR="00C861B6">
        <w:rPr>
          <w:rFonts w:ascii="Times New Roman" w:hAnsi="Times New Roman" w:cs="Times New Roman"/>
          <w:bCs/>
          <w:iCs/>
          <w:sz w:val="24"/>
          <w:szCs w:val="24"/>
        </w:rPr>
        <w:t>,</w:t>
      </w:r>
      <w:r w:rsidR="0011518C">
        <w:rPr>
          <w:rStyle w:val="FootnoteReference"/>
          <w:rFonts w:cs="Times New Roman"/>
          <w:bCs/>
          <w:iCs/>
          <w:szCs w:val="24"/>
        </w:rPr>
        <w:footnoteReference w:id="151"/>
      </w:r>
      <w:r w:rsidR="00C861B6">
        <w:rPr>
          <w:rFonts w:ascii="Times New Roman" w:hAnsi="Times New Roman" w:cs="Times New Roman"/>
          <w:bCs/>
          <w:iCs/>
          <w:sz w:val="24"/>
          <w:szCs w:val="24"/>
        </w:rPr>
        <w:t xml:space="preserve"> </w:t>
      </w:r>
      <w:r w:rsidR="001450CB">
        <w:rPr>
          <w:rFonts w:ascii="Times New Roman" w:hAnsi="Times New Roman" w:cs="Times New Roman"/>
          <w:bCs/>
          <w:iCs/>
          <w:sz w:val="24"/>
          <w:szCs w:val="24"/>
        </w:rPr>
        <w:t>subject</w:t>
      </w:r>
      <w:r w:rsidR="007E4546">
        <w:rPr>
          <w:rFonts w:ascii="Times New Roman" w:hAnsi="Times New Roman" w:cs="Times New Roman"/>
          <w:bCs/>
          <w:iCs/>
          <w:sz w:val="24"/>
          <w:szCs w:val="24"/>
        </w:rPr>
        <w:t>ing the duty concept</w:t>
      </w:r>
      <w:r w:rsidR="001450CB">
        <w:rPr>
          <w:rFonts w:ascii="Times New Roman" w:hAnsi="Times New Roman" w:cs="Times New Roman"/>
          <w:bCs/>
          <w:iCs/>
          <w:sz w:val="24"/>
          <w:szCs w:val="24"/>
        </w:rPr>
        <w:t xml:space="preserve"> to three additional conditions</w:t>
      </w:r>
      <w:r w:rsidR="00AA7C73">
        <w:rPr>
          <w:rFonts w:ascii="Times New Roman" w:hAnsi="Times New Roman" w:cs="Times New Roman"/>
          <w:bCs/>
          <w:iCs/>
          <w:sz w:val="24"/>
          <w:szCs w:val="24"/>
        </w:rPr>
        <w:t>.</w:t>
      </w:r>
      <w:r w:rsidR="00D94902">
        <w:rPr>
          <w:rFonts w:ascii="Times New Roman" w:hAnsi="Times New Roman" w:cs="Times New Roman"/>
          <w:bCs/>
          <w:iCs/>
          <w:sz w:val="24"/>
          <w:szCs w:val="24"/>
        </w:rPr>
        <w:t xml:space="preserve"> </w:t>
      </w:r>
      <w:r w:rsidR="00D94902">
        <w:rPr>
          <w:rFonts w:ascii="Times New Roman" w:hAnsi="Times New Roman" w:cs="Times New Roman"/>
          <w:bCs/>
          <w:i/>
          <w:sz w:val="24"/>
          <w:szCs w:val="24"/>
        </w:rPr>
        <w:t>Alcock</w:t>
      </w:r>
      <w:r w:rsidR="00F73522">
        <w:rPr>
          <w:rFonts w:ascii="Times New Roman" w:hAnsi="Times New Roman" w:cs="Times New Roman"/>
          <w:bCs/>
          <w:i/>
          <w:sz w:val="24"/>
          <w:szCs w:val="24"/>
        </w:rPr>
        <w:t xml:space="preserve"> </w:t>
      </w:r>
      <w:r w:rsidR="00F73522">
        <w:rPr>
          <w:rFonts w:ascii="Times New Roman" w:hAnsi="Times New Roman" w:cs="Times New Roman"/>
          <w:bCs/>
          <w:iCs/>
          <w:sz w:val="24"/>
          <w:szCs w:val="24"/>
        </w:rPr>
        <w:t>involved a number of plaintiffs who</w:t>
      </w:r>
      <w:r w:rsidR="00730F90">
        <w:rPr>
          <w:rFonts w:ascii="Times New Roman" w:hAnsi="Times New Roman" w:cs="Times New Roman"/>
          <w:bCs/>
          <w:iCs/>
          <w:sz w:val="24"/>
          <w:szCs w:val="24"/>
        </w:rPr>
        <w:t xml:space="preserve"> were related to, or friends of, spectators who were present at the Hillsborough</w:t>
      </w:r>
      <w:r w:rsidR="00244AF2">
        <w:rPr>
          <w:rFonts w:ascii="Times New Roman" w:hAnsi="Times New Roman" w:cs="Times New Roman"/>
          <w:bCs/>
          <w:iCs/>
          <w:sz w:val="24"/>
          <w:szCs w:val="24"/>
        </w:rPr>
        <w:t xml:space="preserve"> disaster</w:t>
      </w:r>
      <w:r w:rsidR="00730F90">
        <w:rPr>
          <w:rFonts w:ascii="Times New Roman" w:hAnsi="Times New Roman" w:cs="Times New Roman"/>
          <w:bCs/>
          <w:iCs/>
          <w:sz w:val="24"/>
          <w:szCs w:val="24"/>
        </w:rPr>
        <w:t>. Some had witnessed the disaster from the relative safety of other parts of the stadium; others had seen the events on television or heard about them from radio broadcasts or</w:t>
      </w:r>
      <w:r w:rsidR="005E287C">
        <w:rPr>
          <w:rFonts w:ascii="Times New Roman" w:hAnsi="Times New Roman" w:cs="Times New Roman"/>
          <w:bCs/>
          <w:iCs/>
          <w:sz w:val="24"/>
          <w:szCs w:val="24"/>
        </w:rPr>
        <w:t xml:space="preserve"> by</w:t>
      </w:r>
      <w:r w:rsidR="00730F90">
        <w:rPr>
          <w:rFonts w:ascii="Times New Roman" w:hAnsi="Times New Roman" w:cs="Times New Roman"/>
          <w:bCs/>
          <w:iCs/>
          <w:sz w:val="24"/>
          <w:szCs w:val="24"/>
        </w:rPr>
        <w:t xml:space="preserve"> word of mouth. Each alleged that what they had seen </w:t>
      </w:r>
      <w:r w:rsidR="00D41E64">
        <w:rPr>
          <w:rFonts w:ascii="Times New Roman" w:hAnsi="Times New Roman" w:cs="Times New Roman"/>
          <w:bCs/>
          <w:iCs/>
          <w:sz w:val="24"/>
          <w:szCs w:val="24"/>
        </w:rPr>
        <w:t xml:space="preserve">or </w:t>
      </w:r>
      <w:r w:rsidR="00730F90">
        <w:rPr>
          <w:rFonts w:ascii="Times New Roman" w:hAnsi="Times New Roman" w:cs="Times New Roman"/>
          <w:bCs/>
          <w:iCs/>
          <w:sz w:val="24"/>
          <w:szCs w:val="24"/>
        </w:rPr>
        <w:t>heard had caused</w:t>
      </w:r>
      <w:r w:rsidR="0037086B">
        <w:rPr>
          <w:rFonts w:ascii="Times New Roman" w:hAnsi="Times New Roman" w:cs="Times New Roman"/>
          <w:bCs/>
          <w:iCs/>
          <w:sz w:val="24"/>
          <w:szCs w:val="24"/>
        </w:rPr>
        <w:t xml:space="preserve"> psychiatric injuries</w:t>
      </w:r>
      <w:r w:rsidR="00730F90">
        <w:rPr>
          <w:rFonts w:ascii="Times New Roman" w:hAnsi="Times New Roman" w:cs="Times New Roman"/>
          <w:bCs/>
          <w:iCs/>
          <w:sz w:val="24"/>
          <w:szCs w:val="24"/>
        </w:rPr>
        <w:t xml:space="preserve">. </w:t>
      </w:r>
      <w:r w:rsidR="0037086B">
        <w:rPr>
          <w:rFonts w:ascii="Times New Roman" w:hAnsi="Times New Roman" w:cs="Times New Roman"/>
          <w:bCs/>
          <w:iCs/>
          <w:sz w:val="24"/>
          <w:szCs w:val="24"/>
        </w:rPr>
        <w:t>T</w:t>
      </w:r>
      <w:r w:rsidR="00E25A16">
        <w:rPr>
          <w:rFonts w:ascii="Times New Roman" w:hAnsi="Times New Roman" w:cs="Times New Roman"/>
          <w:bCs/>
          <w:iCs/>
          <w:sz w:val="24"/>
          <w:szCs w:val="24"/>
        </w:rPr>
        <w:t>heir</w:t>
      </w:r>
      <w:r w:rsidR="00730F90">
        <w:rPr>
          <w:rFonts w:ascii="Times New Roman" w:hAnsi="Times New Roman" w:cs="Times New Roman"/>
          <w:bCs/>
          <w:iCs/>
          <w:sz w:val="24"/>
          <w:szCs w:val="24"/>
        </w:rPr>
        <w:t xml:space="preserve"> claims failed.</w:t>
      </w:r>
    </w:p>
    <w:p w14:paraId="079AFD5D" w14:textId="59DCFE45" w:rsidR="00330D6D" w:rsidRDefault="000F479A" w:rsidP="00915471">
      <w:pPr>
        <w:tabs>
          <w:tab w:val="left" w:pos="7864"/>
          <w:tab w:val="right" w:pos="9026"/>
        </w:tabs>
        <w:rPr>
          <w:rFonts w:ascii="Times New Roman" w:hAnsi="Times New Roman" w:cs="Times New Roman"/>
          <w:bCs/>
          <w:sz w:val="24"/>
          <w:szCs w:val="24"/>
        </w:rPr>
      </w:pPr>
      <w:r>
        <w:rPr>
          <w:rFonts w:ascii="Times New Roman" w:hAnsi="Times New Roman" w:cs="Times New Roman"/>
          <w:bCs/>
          <w:iCs/>
          <w:sz w:val="24"/>
          <w:szCs w:val="24"/>
        </w:rPr>
        <w:t>According to Lord Keith,</w:t>
      </w:r>
      <w:r w:rsidR="006005D7">
        <w:rPr>
          <w:rFonts w:ascii="Times New Roman" w:hAnsi="Times New Roman" w:cs="Times New Roman"/>
          <w:bCs/>
          <w:iCs/>
          <w:sz w:val="24"/>
          <w:szCs w:val="24"/>
        </w:rPr>
        <w:t xml:space="preserve"> </w:t>
      </w:r>
      <w:r>
        <w:rPr>
          <w:rFonts w:ascii="Times New Roman" w:hAnsi="Times New Roman" w:cs="Times New Roman"/>
          <w:bCs/>
          <w:iCs/>
          <w:sz w:val="24"/>
          <w:szCs w:val="24"/>
        </w:rPr>
        <w:t>psychiatric illness ‘is more subtle’</w:t>
      </w:r>
      <w:r w:rsidR="004E22ED">
        <w:rPr>
          <w:rFonts w:ascii="Times New Roman" w:hAnsi="Times New Roman" w:cs="Times New Roman"/>
          <w:bCs/>
          <w:iCs/>
          <w:sz w:val="24"/>
          <w:szCs w:val="24"/>
        </w:rPr>
        <w:t xml:space="preserve"> than cases involving ‘direct physical injury’</w:t>
      </w:r>
      <w:r w:rsidR="00927A29">
        <w:rPr>
          <w:rFonts w:ascii="Times New Roman" w:hAnsi="Times New Roman" w:cs="Times New Roman"/>
          <w:bCs/>
          <w:iCs/>
          <w:sz w:val="24"/>
          <w:szCs w:val="24"/>
        </w:rPr>
        <w:t>.</w:t>
      </w:r>
      <w:r w:rsidR="00927A29" w:rsidRPr="008A346E">
        <w:rPr>
          <w:rStyle w:val="FootnoteReference"/>
          <w:rFonts w:cs="Times New Roman"/>
          <w:bCs/>
          <w:iCs/>
          <w:szCs w:val="24"/>
        </w:rPr>
        <w:footnoteReference w:id="152"/>
      </w:r>
      <w:r w:rsidR="00927A29">
        <w:rPr>
          <w:rFonts w:ascii="Times New Roman" w:hAnsi="Times New Roman" w:cs="Times New Roman"/>
          <w:bCs/>
          <w:iCs/>
          <w:sz w:val="24"/>
          <w:szCs w:val="24"/>
        </w:rPr>
        <w:t xml:space="preserve"> </w:t>
      </w:r>
      <w:r w:rsidR="00746576">
        <w:rPr>
          <w:rFonts w:ascii="Times New Roman" w:hAnsi="Times New Roman" w:cs="Times New Roman"/>
          <w:bCs/>
          <w:sz w:val="24"/>
          <w:szCs w:val="24"/>
        </w:rPr>
        <w:t>Satisfying the requirement of reasonable foreseeability would</w:t>
      </w:r>
      <w:r w:rsidR="00851F58">
        <w:rPr>
          <w:rFonts w:ascii="Times New Roman" w:hAnsi="Times New Roman" w:cs="Times New Roman"/>
          <w:bCs/>
          <w:sz w:val="24"/>
          <w:szCs w:val="24"/>
        </w:rPr>
        <w:t xml:space="preserve"> therefore</w:t>
      </w:r>
      <w:r w:rsidR="00746576">
        <w:rPr>
          <w:rFonts w:ascii="Times New Roman" w:hAnsi="Times New Roman" w:cs="Times New Roman"/>
          <w:bCs/>
          <w:sz w:val="24"/>
          <w:szCs w:val="24"/>
        </w:rPr>
        <w:t xml:space="preserve"> not be enough; </w:t>
      </w:r>
      <w:r w:rsidR="00D31BF2">
        <w:rPr>
          <w:rFonts w:ascii="Times New Roman" w:hAnsi="Times New Roman" w:cs="Times New Roman"/>
          <w:bCs/>
          <w:sz w:val="24"/>
          <w:szCs w:val="24"/>
        </w:rPr>
        <w:t xml:space="preserve">a </w:t>
      </w:r>
      <w:r w:rsidR="00746576">
        <w:rPr>
          <w:rFonts w:ascii="Times New Roman" w:hAnsi="Times New Roman" w:cs="Times New Roman"/>
          <w:bCs/>
          <w:sz w:val="24"/>
          <w:szCs w:val="24"/>
        </w:rPr>
        <w:t>claimant would also have to establish three other things.</w:t>
      </w:r>
      <w:r w:rsidR="000A6E09">
        <w:rPr>
          <w:rStyle w:val="FootnoteReference"/>
          <w:rFonts w:cs="Times New Roman"/>
          <w:bCs/>
          <w:szCs w:val="24"/>
        </w:rPr>
        <w:footnoteReference w:id="153"/>
      </w:r>
      <w:r w:rsidR="00746576">
        <w:rPr>
          <w:rFonts w:ascii="Times New Roman" w:hAnsi="Times New Roman" w:cs="Times New Roman"/>
          <w:bCs/>
          <w:sz w:val="24"/>
          <w:szCs w:val="24"/>
        </w:rPr>
        <w:t xml:space="preserve"> </w:t>
      </w:r>
      <w:r w:rsidR="00144772">
        <w:rPr>
          <w:rFonts w:ascii="Times New Roman" w:hAnsi="Times New Roman" w:cs="Times New Roman"/>
          <w:bCs/>
          <w:sz w:val="24"/>
          <w:szCs w:val="24"/>
        </w:rPr>
        <w:t xml:space="preserve">First, </w:t>
      </w:r>
      <w:r w:rsidR="00927A29">
        <w:rPr>
          <w:rFonts w:ascii="Times New Roman" w:hAnsi="Times New Roman" w:cs="Times New Roman"/>
          <w:bCs/>
          <w:sz w:val="24"/>
          <w:szCs w:val="24"/>
        </w:rPr>
        <w:t>he</w:t>
      </w:r>
      <w:r w:rsidR="00144772">
        <w:rPr>
          <w:rFonts w:ascii="Times New Roman" w:hAnsi="Times New Roman" w:cs="Times New Roman"/>
          <w:bCs/>
          <w:sz w:val="24"/>
          <w:szCs w:val="24"/>
        </w:rPr>
        <w:t xml:space="preserve"> must show that </w:t>
      </w:r>
      <w:r w:rsidR="00B54038">
        <w:rPr>
          <w:rFonts w:ascii="Times New Roman" w:hAnsi="Times New Roman" w:cs="Times New Roman"/>
          <w:bCs/>
          <w:sz w:val="24"/>
          <w:szCs w:val="24"/>
        </w:rPr>
        <w:t>he</w:t>
      </w:r>
      <w:r w:rsidR="00927A29">
        <w:rPr>
          <w:rFonts w:ascii="Times New Roman" w:hAnsi="Times New Roman" w:cs="Times New Roman"/>
          <w:bCs/>
          <w:sz w:val="24"/>
          <w:szCs w:val="24"/>
        </w:rPr>
        <w:t xml:space="preserve"> has a relationship based on close ties of love and affection</w:t>
      </w:r>
      <w:r w:rsidR="0054073A">
        <w:rPr>
          <w:rFonts w:ascii="Times New Roman" w:hAnsi="Times New Roman" w:cs="Times New Roman"/>
          <w:bCs/>
          <w:sz w:val="24"/>
          <w:szCs w:val="24"/>
        </w:rPr>
        <w:t xml:space="preserve"> with the immediate victim </w:t>
      </w:r>
      <w:r w:rsidR="0054073A">
        <w:rPr>
          <w:rFonts w:ascii="Times New Roman" w:hAnsi="Times New Roman" w:cs="Times New Roman"/>
          <w:bCs/>
          <w:sz w:val="24"/>
          <w:szCs w:val="24"/>
        </w:rPr>
        <w:lastRenderedPageBreak/>
        <w:t>of the defendant’s negligence.</w:t>
      </w:r>
      <w:r w:rsidR="002851FE">
        <w:rPr>
          <w:rFonts w:ascii="Times New Roman" w:hAnsi="Times New Roman" w:cs="Times New Roman"/>
          <w:bCs/>
          <w:sz w:val="24"/>
          <w:szCs w:val="24"/>
        </w:rPr>
        <w:t xml:space="preserve"> According to Lord Ackner, there is a rebuttable presumption that parent-child and spousal relationships will qualify for these purposes</w:t>
      </w:r>
      <w:r w:rsidR="00B22E25">
        <w:rPr>
          <w:rFonts w:ascii="Times New Roman" w:hAnsi="Times New Roman" w:cs="Times New Roman"/>
          <w:bCs/>
          <w:sz w:val="24"/>
          <w:szCs w:val="24"/>
        </w:rPr>
        <w:t>.</w:t>
      </w:r>
      <w:r w:rsidR="00B22E25">
        <w:rPr>
          <w:rStyle w:val="FootnoteReference"/>
          <w:rFonts w:cs="Times New Roman"/>
          <w:bCs/>
          <w:szCs w:val="24"/>
        </w:rPr>
        <w:footnoteReference w:id="154"/>
      </w:r>
      <w:r w:rsidR="00B22E25">
        <w:rPr>
          <w:rFonts w:ascii="Times New Roman" w:hAnsi="Times New Roman" w:cs="Times New Roman"/>
          <w:bCs/>
          <w:sz w:val="24"/>
          <w:szCs w:val="24"/>
        </w:rPr>
        <w:t xml:space="preserve"> In every other instance, </w:t>
      </w:r>
      <w:r w:rsidR="009B2B23">
        <w:rPr>
          <w:rFonts w:ascii="Times New Roman" w:hAnsi="Times New Roman" w:cs="Times New Roman"/>
          <w:bCs/>
          <w:sz w:val="24"/>
          <w:szCs w:val="24"/>
        </w:rPr>
        <w:t xml:space="preserve">the claimant </w:t>
      </w:r>
      <w:r w:rsidR="00844094">
        <w:rPr>
          <w:rFonts w:ascii="Times New Roman" w:hAnsi="Times New Roman" w:cs="Times New Roman"/>
          <w:bCs/>
          <w:sz w:val="24"/>
          <w:szCs w:val="24"/>
        </w:rPr>
        <w:t xml:space="preserve">must </w:t>
      </w:r>
      <w:r w:rsidR="00AC183D">
        <w:rPr>
          <w:rFonts w:ascii="Times New Roman" w:hAnsi="Times New Roman" w:cs="Times New Roman"/>
          <w:bCs/>
          <w:sz w:val="24"/>
          <w:szCs w:val="24"/>
        </w:rPr>
        <w:t>prove</w:t>
      </w:r>
      <w:r w:rsidR="00844094">
        <w:rPr>
          <w:rFonts w:ascii="Times New Roman" w:hAnsi="Times New Roman" w:cs="Times New Roman"/>
          <w:bCs/>
          <w:sz w:val="24"/>
          <w:szCs w:val="24"/>
        </w:rPr>
        <w:t xml:space="preserve"> that </w:t>
      </w:r>
      <w:r w:rsidR="007C6C2B">
        <w:rPr>
          <w:rFonts w:ascii="Times New Roman" w:hAnsi="Times New Roman" w:cs="Times New Roman"/>
          <w:bCs/>
          <w:sz w:val="24"/>
          <w:szCs w:val="24"/>
        </w:rPr>
        <w:t>he</w:t>
      </w:r>
      <w:r w:rsidR="00844094">
        <w:rPr>
          <w:rFonts w:ascii="Times New Roman" w:hAnsi="Times New Roman" w:cs="Times New Roman"/>
          <w:bCs/>
          <w:sz w:val="24"/>
          <w:szCs w:val="24"/>
        </w:rPr>
        <w:t xml:space="preserve"> ha</w:t>
      </w:r>
      <w:r w:rsidR="003B350E">
        <w:rPr>
          <w:rFonts w:ascii="Times New Roman" w:hAnsi="Times New Roman" w:cs="Times New Roman"/>
          <w:bCs/>
          <w:sz w:val="24"/>
          <w:szCs w:val="24"/>
        </w:rPr>
        <w:t>s</w:t>
      </w:r>
      <w:r w:rsidR="00844094">
        <w:rPr>
          <w:rFonts w:ascii="Times New Roman" w:hAnsi="Times New Roman" w:cs="Times New Roman"/>
          <w:bCs/>
          <w:sz w:val="24"/>
          <w:szCs w:val="24"/>
        </w:rPr>
        <w:t xml:space="preserve"> the requisite close tie of love and affection.</w:t>
      </w:r>
      <w:r w:rsidR="000F0FDA">
        <w:rPr>
          <w:rFonts w:ascii="Times New Roman" w:hAnsi="Times New Roman" w:cs="Times New Roman"/>
          <w:bCs/>
          <w:sz w:val="24"/>
          <w:szCs w:val="24"/>
        </w:rPr>
        <w:t xml:space="preserve"> </w:t>
      </w:r>
      <w:r w:rsidR="00C45398">
        <w:rPr>
          <w:rFonts w:ascii="Times New Roman" w:hAnsi="Times New Roman" w:cs="Times New Roman"/>
          <w:bCs/>
          <w:sz w:val="24"/>
          <w:szCs w:val="24"/>
        </w:rPr>
        <w:t>S</w:t>
      </w:r>
      <w:r w:rsidR="000F0FDA">
        <w:rPr>
          <w:rFonts w:ascii="Times New Roman" w:hAnsi="Times New Roman" w:cs="Times New Roman"/>
          <w:bCs/>
          <w:sz w:val="24"/>
          <w:szCs w:val="24"/>
        </w:rPr>
        <w:t xml:space="preserve">uccessful claims by mere bystanders </w:t>
      </w:r>
      <w:r w:rsidR="00B10E3A">
        <w:rPr>
          <w:rFonts w:ascii="Times New Roman" w:hAnsi="Times New Roman" w:cs="Times New Roman"/>
          <w:bCs/>
          <w:sz w:val="24"/>
          <w:szCs w:val="24"/>
        </w:rPr>
        <w:t>to a traumatic event are</w:t>
      </w:r>
      <w:r w:rsidR="00C45398">
        <w:rPr>
          <w:rFonts w:ascii="Times New Roman" w:hAnsi="Times New Roman" w:cs="Times New Roman"/>
          <w:bCs/>
          <w:sz w:val="24"/>
          <w:szCs w:val="24"/>
        </w:rPr>
        <w:t xml:space="preserve"> therefore</w:t>
      </w:r>
      <w:r w:rsidR="00B10E3A">
        <w:rPr>
          <w:rFonts w:ascii="Times New Roman" w:hAnsi="Times New Roman" w:cs="Times New Roman"/>
          <w:bCs/>
          <w:sz w:val="24"/>
          <w:szCs w:val="24"/>
        </w:rPr>
        <w:t xml:space="preserve"> vanishingly unlikely</w:t>
      </w:r>
      <w:r w:rsidR="00FA448D">
        <w:rPr>
          <w:rFonts w:ascii="Times New Roman" w:hAnsi="Times New Roman" w:cs="Times New Roman"/>
          <w:bCs/>
          <w:sz w:val="24"/>
          <w:szCs w:val="24"/>
        </w:rPr>
        <w:t xml:space="preserve">, although their Lordships refused to rule out </w:t>
      </w:r>
      <w:r w:rsidR="0081474A">
        <w:rPr>
          <w:rFonts w:ascii="Times New Roman" w:hAnsi="Times New Roman" w:cs="Times New Roman"/>
          <w:bCs/>
          <w:sz w:val="24"/>
          <w:szCs w:val="24"/>
        </w:rPr>
        <w:t>the</w:t>
      </w:r>
      <w:r w:rsidR="00C45398">
        <w:rPr>
          <w:rFonts w:ascii="Times New Roman" w:hAnsi="Times New Roman" w:cs="Times New Roman"/>
          <w:bCs/>
          <w:sz w:val="24"/>
          <w:szCs w:val="24"/>
        </w:rPr>
        <w:t>m out as a</w:t>
      </w:r>
      <w:r w:rsidR="0081474A">
        <w:rPr>
          <w:rFonts w:ascii="Times New Roman" w:hAnsi="Times New Roman" w:cs="Times New Roman"/>
          <w:bCs/>
          <w:sz w:val="24"/>
          <w:szCs w:val="24"/>
        </w:rPr>
        <w:t xml:space="preserve"> possibility</w:t>
      </w:r>
      <w:r w:rsidR="00B10E3A">
        <w:rPr>
          <w:rFonts w:ascii="Times New Roman" w:hAnsi="Times New Roman" w:cs="Times New Roman"/>
          <w:bCs/>
          <w:sz w:val="24"/>
          <w:szCs w:val="24"/>
        </w:rPr>
        <w:t>.</w:t>
      </w:r>
      <w:r w:rsidR="009352D3">
        <w:rPr>
          <w:rStyle w:val="FootnoteReference"/>
          <w:rFonts w:cs="Times New Roman"/>
          <w:bCs/>
          <w:szCs w:val="24"/>
        </w:rPr>
        <w:footnoteReference w:id="155"/>
      </w:r>
    </w:p>
    <w:p w14:paraId="20BE1708" w14:textId="2787CDF0" w:rsidR="00191B76" w:rsidRDefault="009C7303" w:rsidP="00915471">
      <w:pPr>
        <w:tabs>
          <w:tab w:val="left" w:pos="7864"/>
          <w:tab w:val="right" w:pos="9026"/>
        </w:tabs>
        <w:rPr>
          <w:rFonts w:ascii="Times New Roman" w:hAnsi="Times New Roman" w:cs="Times New Roman"/>
          <w:bCs/>
          <w:sz w:val="24"/>
          <w:szCs w:val="24"/>
        </w:rPr>
      </w:pPr>
      <w:r>
        <w:rPr>
          <w:rFonts w:ascii="Times New Roman" w:hAnsi="Times New Roman" w:cs="Times New Roman"/>
          <w:bCs/>
          <w:sz w:val="24"/>
          <w:szCs w:val="24"/>
        </w:rPr>
        <w:t>Second,</w:t>
      </w:r>
      <w:r w:rsidR="00330D6D">
        <w:rPr>
          <w:rFonts w:ascii="Times New Roman" w:hAnsi="Times New Roman" w:cs="Times New Roman"/>
          <w:bCs/>
          <w:sz w:val="24"/>
          <w:szCs w:val="24"/>
        </w:rPr>
        <w:t xml:space="preserve"> the</w:t>
      </w:r>
      <w:r w:rsidR="00FA28FD">
        <w:rPr>
          <w:rFonts w:ascii="Times New Roman" w:hAnsi="Times New Roman" w:cs="Times New Roman"/>
          <w:bCs/>
          <w:sz w:val="24"/>
          <w:szCs w:val="24"/>
        </w:rPr>
        <w:t xml:space="preserve"> </w:t>
      </w:r>
      <w:r w:rsidR="006F3DFF">
        <w:rPr>
          <w:rFonts w:ascii="Times New Roman" w:hAnsi="Times New Roman" w:cs="Times New Roman"/>
          <w:bCs/>
          <w:sz w:val="24"/>
          <w:szCs w:val="24"/>
        </w:rPr>
        <w:t xml:space="preserve">claimant </w:t>
      </w:r>
      <w:r>
        <w:rPr>
          <w:rFonts w:ascii="Times New Roman" w:hAnsi="Times New Roman" w:cs="Times New Roman"/>
          <w:bCs/>
          <w:sz w:val="24"/>
          <w:szCs w:val="24"/>
        </w:rPr>
        <w:t>must be</w:t>
      </w:r>
      <w:r w:rsidR="00E83773">
        <w:rPr>
          <w:rFonts w:ascii="Times New Roman" w:hAnsi="Times New Roman" w:cs="Times New Roman"/>
          <w:bCs/>
          <w:sz w:val="24"/>
          <w:szCs w:val="24"/>
        </w:rPr>
        <w:t xml:space="preserve"> proximate in time and space to the </w:t>
      </w:r>
      <w:r w:rsidR="00621097">
        <w:rPr>
          <w:rFonts w:ascii="Times New Roman" w:hAnsi="Times New Roman" w:cs="Times New Roman"/>
          <w:bCs/>
          <w:sz w:val="24"/>
          <w:szCs w:val="24"/>
        </w:rPr>
        <w:t xml:space="preserve">shocking event, so that </w:t>
      </w:r>
      <w:r w:rsidR="00F2260E">
        <w:rPr>
          <w:rFonts w:ascii="Times New Roman" w:hAnsi="Times New Roman" w:cs="Times New Roman"/>
          <w:bCs/>
          <w:sz w:val="24"/>
          <w:szCs w:val="24"/>
        </w:rPr>
        <w:t>s</w:t>
      </w:r>
      <w:r w:rsidR="00621097">
        <w:rPr>
          <w:rFonts w:ascii="Times New Roman" w:hAnsi="Times New Roman" w:cs="Times New Roman"/>
          <w:bCs/>
          <w:sz w:val="24"/>
          <w:szCs w:val="24"/>
        </w:rPr>
        <w:t xml:space="preserve">he either </w:t>
      </w:r>
      <w:r w:rsidR="007224F1">
        <w:rPr>
          <w:rFonts w:ascii="Times New Roman" w:hAnsi="Times New Roman" w:cs="Times New Roman"/>
          <w:bCs/>
          <w:sz w:val="24"/>
          <w:szCs w:val="24"/>
        </w:rPr>
        <w:t>has ‘direct visual or aural perception’ of it</w:t>
      </w:r>
      <w:r w:rsidR="009A0777">
        <w:rPr>
          <w:rStyle w:val="FootnoteReference"/>
          <w:rFonts w:cs="Times New Roman"/>
          <w:bCs/>
          <w:szCs w:val="24"/>
        </w:rPr>
        <w:footnoteReference w:id="156"/>
      </w:r>
      <w:r w:rsidR="007224F1">
        <w:rPr>
          <w:rFonts w:ascii="Times New Roman" w:hAnsi="Times New Roman" w:cs="Times New Roman"/>
          <w:bCs/>
          <w:sz w:val="24"/>
          <w:szCs w:val="24"/>
        </w:rPr>
        <w:t xml:space="preserve"> or </w:t>
      </w:r>
      <w:r w:rsidR="000655D8">
        <w:rPr>
          <w:rFonts w:ascii="Times New Roman" w:hAnsi="Times New Roman" w:cs="Times New Roman"/>
          <w:bCs/>
          <w:sz w:val="24"/>
          <w:szCs w:val="24"/>
        </w:rPr>
        <w:t>comes upon the scene of the ‘immediate aftermath’.</w:t>
      </w:r>
      <w:r w:rsidR="00A015C3">
        <w:rPr>
          <w:rStyle w:val="FootnoteReference"/>
          <w:rFonts w:cs="Times New Roman"/>
          <w:bCs/>
          <w:szCs w:val="24"/>
        </w:rPr>
        <w:footnoteReference w:id="157"/>
      </w:r>
      <w:r w:rsidR="00740C0F">
        <w:rPr>
          <w:rFonts w:ascii="Times New Roman" w:hAnsi="Times New Roman" w:cs="Times New Roman"/>
          <w:bCs/>
          <w:sz w:val="24"/>
          <w:szCs w:val="24"/>
        </w:rPr>
        <w:t xml:space="preserve"> </w:t>
      </w:r>
      <w:r w:rsidR="00081256">
        <w:rPr>
          <w:rFonts w:ascii="Times New Roman" w:hAnsi="Times New Roman" w:cs="Times New Roman"/>
          <w:bCs/>
          <w:sz w:val="24"/>
          <w:szCs w:val="24"/>
        </w:rPr>
        <w:t xml:space="preserve">To qualify, a claimant must </w:t>
      </w:r>
      <w:r w:rsidR="00FF5097">
        <w:rPr>
          <w:rFonts w:ascii="Times New Roman" w:hAnsi="Times New Roman" w:cs="Times New Roman"/>
          <w:bCs/>
          <w:sz w:val="24"/>
          <w:szCs w:val="24"/>
        </w:rPr>
        <w:t>actually see or hear the event itself</w:t>
      </w:r>
      <w:r w:rsidR="005A02EF">
        <w:rPr>
          <w:rFonts w:ascii="Times New Roman" w:hAnsi="Times New Roman" w:cs="Times New Roman"/>
          <w:bCs/>
          <w:sz w:val="24"/>
          <w:szCs w:val="24"/>
        </w:rPr>
        <w:t xml:space="preserve">; witnessing it through any other medium will not be enough. </w:t>
      </w:r>
      <w:r w:rsidR="00913701">
        <w:rPr>
          <w:rFonts w:ascii="Times New Roman" w:hAnsi="Times New Roman" w:cs="Times New Roman"/>
          <w:bCs/>
          <w:sz w:val="24"/>
          <w:szCs w:val="24"/>
        </w:rPr>
        <w:t>Furthermore</w:t>
      </w:r>
      <w:r w:rsidR="0040485D">
        <w:rPr>
          <w:rFonts w:ascii="Times New Roman" w:hAnsi="Times New Roman" w:cs="Times New Roman"/>
          <w:bCs/>
          <w:sz w:val="24"/>
          <w:szCs w:val="24"/>
        </w:rPr>
        <w:t>, the ‘immediate aftermath’ takes place in a narrow time frame</w:t>
      </w:r>
      <w:r w:rsidR="00322817">
        <w:rPr>
          <w:rFonts w:ascii="Times New Roman" w:hAnsi="Times New Roman" w:cs="Times New Roman"/>
          <w:bCs/>
          <w:sz w:val="24"/>
          <w:szCs w:val="24"/>
        </w:rPr>
        <w:t xml:space="preserve">. In </w:t>
      </w:r>
      <w:r w:rsidR="00322817">
        <w:rPr>
          <w:rFonts w:ascii="Times New Roman" w:hAnsi="Times New Roman" w:cs="Times New Roman"/>
          <w:bCs/>
          <w:i/>
          <w:iCs/>
          <w:sz w:val="24"/>
          <w:szCs w:val="24"/>
        </w:rPr>
        <w:t>McLoughlin</w:t>
      </w:r>
      <w:r w:rsidR="00322817">
        <w:rPr>
          <w:rFonts w:ascii="Times New Roman" w:hAnsi="Times New Roman" w:cs="Times New Roman"/>
          <w:bCs/>
          <w:sz w:val="24"/>
          <w:szCs w:val="24"/>
        </w:rPr>
        <w:t>, it was two hours</w:t>
      </w:r>
      <w:r w:rsidR="00981581">
        <w:rPr>
          <w:rFonts w:ascii="Times New Roman" w:hAnsi="Times New Roman" w:cs="Times New Roman"/>
          <w:bCs/>
          <w:sz w:val="24"/>
          <w:szCs w:val="24"/>
        </w:rPr>
        <w:t xml:space="preserve"> and pertained because the plaintiff’s surviving family members were still </w:t>
      </w:r>
      <w:r w:rsidR="00143A27">
        <w:rPr>
          <w:rFonts w:ascii="Times New Roman" w:hAnsi="Times New Roman" w:cs="Times New Roman"/>
          <w:bCs/>
          <w:sz w:val="24"/>
          <w:szCs w:val="24"/>
        </w:rPr>
        <w:t>‘covered with oil and mud and distraught with pain’.</w:t>
      </w:r>
      <w:r w:rsidR="00D478EE">
        <w:rPr>
          <w:rStyle w:val="FootnoteReference"/>
          <w:rFonts w:cs="Times New Roman"/>
          <w:bCs/>
          <w:szCs w:val="24"/>
        </w:rPr>
        <w:footnoteReference w:id="158"/>
      </w:r>
      <w:r w:rsidR="0072231B">
        <w:rPr>
          <w:rFonts w:ascii="Times New Roman" w:hAnsi="Times New Roman" w:cs="Times New Roman"/>
          <w:bCs/>
          <w:sz w:val="24"/>
          <w:szCs w:val="24"/>
        </w:rPr>
        <w:t xml:space="preserve"> In </w:t>
      </w:r>
      <w:r w:rsidR="0072231B">
        <w:rPr>
          <w:rFonts w:ascii="Times New Roman" w:hAnsi="Times New Roman" w:cs="Times New Roman"/>
          <w:bCs/>
          <w:i/>
          <w:iCs/>
          <w:sz w:val="24"/>
          <w:szCs w:val="24"/>
        </w:rPr>
        <w:t>Alcock</w:t>
      </w:r>
      <w:r w:rsidR="0072231B">
        <w:rPr>
          <w:rFonts w:ascii="Times New Roman" w:hAnsi="Times New Roman" w:cs="Times New Roman"/>
          <w:bCs/>
          <w:sz w:val="24"/>
          <w:szCs w:val="24"/>
        </w:rPr>
        <w:t xml:space="preserve">, by contrast, an eight-hour timeframe separating the disaster </w:t>
      </w:r>
      <w:r w:rsidR="002754F8">
        <w:rPr>
          <w:rFonts w:ascii="Times New Roman" w:hAnsi="Times New Roman" w:cs="Times New Roman"/>
          <w:bCs/>
          <w:sz w:val="24"/>
          <w:szCs w:val="24"/>
        </w:rPr>
        <w:t xml:space="preserve">and </w:t>
      </w:r>
      <w:r w:rsidR="00BE73BF">
        <w:rPr>
          <w:rFonts w:ascii="Times New Roman" w:hAnsi="Times New Roman" w:cs="Times New Roman"/>
          <w:bCs/>
          <w:sz w:val="24"/>
          <w:szCs w:val="24"/>
        </w:rPr>
        <w:t>a</w:t>
      </w:r>
      <w:r w:rsidR="002754F8">
        <w:rPr>
          <w:rFonts w:ascii="Times New Roman" w:hAnsi="Times New Roman" w:cs="Times New Roman"/>
          <w:bCs/>
          <w:sz w:val="24"/>
          <w:szCs w:val="24"/>
        </w:rPr>
        <w:t xml:space="preserve"> plaintiff’s identification of his </w:t>
      </w:r>
      <w:r w:rsidR="00ED0044">
        <w:rPr>
          <w:rFonts w:ascii="Times New Roman" w:hAnsi="Times New Roman" w:cs="Times New Roman"/>
          <w:bCs/>
          <w:sz w:val="24"/>
          <w:szCs w:val="24"/>
        </w:rPr>
        <w:t>brother-in-law’s</w:t>
      </w:r>
      <w:r w:rsidR="002754F8">
        <w:rPr>
          <w:rFonts w:ascii="Times New Roman" w:hAnsi="Times New Roman" w:cs="Times New Roman"/>
          <w:bCs/>
          <w:sz w:val="24"/>
          <w:szCs w:val="24"/>
        </w:rPr>
        <w:t xml:space="preserve"> body was deemed to </w:t>
      </w:r>
      <w:r w:rsidR="00841691">
        <w:rPr>
          <w:rFonts w:ascii="Times New Roman" w:hAnsi="Times New Roman" w:cs="Times New Roman"/>
          <w:bCs/>
          <w:sz w:val="24"/>
          <w:szCs w:val="24"/>
        </w:rPr>
        <w:t>stretch beyond the ‘immediate aftermath’.</w:t>
      </w:r>
      <w:r w:rsidR="00A07657">
        <w:rPr>
          <w:rStyle w:val="FootnoteReference"/>
          <w:rFonts w:cs="Times New Roman"/>
          <w:bCs/>
          <w:szCs w:val="24"/>
        </w:rPr>
        <w:footnoteReference w:id="159"/>
      </w:r>
      <w:r w:rsidR="009B3C81">
        <w:rPr>
          <w:rFonts w:ascii="Times New Roman" w:hAnsi="Times New Roman" w:cs="Times New Roman"/>
          <w:bCs/>
          <w:sz w:val="24"/>
          <w:szCs w:val="24"/>
        </w:rPr>
        <w:t xml:space="preserve"> </w:t>
      </w:r>
      <w:r w:rsidR="00493B21">
        <w:rPr>
          <w:rFonts w:ascii="Times New Roman" w:hAnsi="Times New Roman" w:cs="Times New Roman"/>
          <w:bCs/>
          <w:sz w:val="24"/>
          <w:szCs w:val="24"/>
        </w:rPr>
        <w:t>A</w:t>
      </w:r>
      <w:r w:rsidR="00927D1F">
        <w:rPr>
          <w:rFonts w:ascii="Times New Roman" w:hAnsi="Times New Roman" w:cs="Times New Roman"/>
          <w:bCs/>
          <w:sz w:val="24"/>
          <w:szCs w:val="24"/>
        </w:rPr>
        <w:t xml:space="preserve">nyone other </w:t>
      </w:r>
      <w:r w:rsidR="002A6DCF">
        <w:rPr>
          <w:rFonts w:ascii="Times New Roman" w:hAnsi="Times New Roman" w:cs="Times New Roman"/>
          <w:bCs/>
          <w:sz w:val="24"/>
          <w:szCs w:val="24"/>
        </w:rPr>
        <w:t>than</w:t>
      </w:r>
      <w:r w:rsidR="00927D1F">
        <w:rPr>
          <w:rFonts w:ascii="Times New Roman" w:hAnsi="Times New Roman" w:cs="Times New Roman"/>
          <w:bCs/>
          <w:sz w:val="24"/>
          <w:szCs w:val="24"/>
        </w:rPr>
        <w:t xml:space="preserve"> those present at the scene </w:t>
      </w:r>
      <w:r w:rsidR="00191B76">
        <w:rPr>
          <w:rFonts w:ascii="Times New Roman" w:hAnsi="Times New Roman" w:cs="Times New Roman"/>
          <w:bCs/>
          <w:sz w:val="24"/>
          <w:szCs w:val="24"/>
        </w:rPr>
        <w:t>or its immediate aftermath is unlikely to qualify.</w:t>
      </w:r>
    </w:p>
    <w:p w14:paraId="2E9F5264" w14:textId="70868CEC" w:rsidR="00207C20" w:rsidRDefault="003C77B4" w:rsidP="00915471">
      <w:pPr>
        <w:tabs>
          <w:tab w:val="left" w:pos="7864"/>
          <w:tab w:val="right" w:pos="9026"/>
        </w:tabs>
        <w:rPr>
          <w:rFonts w:ascii="Times New Roman" w:hAnsi="Times New Roman" w:cs="Times New Roman"/>
          <w:bCs/>
          <w:sz w:val="24"/>
          <w:szCs w:val="24"/>
        </w:rPr>
      </w:pPr>
      <w:r>
        <w:rPr>
          <w:rFonts w:ascii="Times New Roman" w:hAnsi="Times New Roman" w:cs="Times New Roman"/>
          <w:bCs/>
          <w:sz w:val="24"/>
          <w:szCs w:val="24"/>
        </w:rPr>
        <w:t>Third</w:t>
      </w:r>
      <w:r w:rsidR="00191B76">
        <w:rPr>
          <w:rFonts w:ascii="Times New Roman" w:hAnsi="Times New Roman" w:cs="Times New Roman"/>
          <w:bCs/>
          <w:sz w:val="24"/>
          <w:szCs w:val="24"/>
        </w:rPr>
        <w:t xml:space="preserve">, </w:t>
      </w:r>
      <w:r w:rsidR="00537BCA">
        <w:rPr>
          <w:rFonts w:ascii="Times New Roman" w:hAnsi="Times New Roman" w:cs="Times New Roman"/>
          <w:bCs/>
          <w:sz w:val="24"/>
          <w:szCs w:val="24"/>
        </w:rPr>
        <w:t>secondary victimhood depends upon the claimant experiencing a ‘sudden assault on the nervous system’</w:t>
      </w:r>
      <w:r w:rsidR="00313E74">
        <w:rPr>
          <w:rStyle w:val="FootnoteReference"/>
          <w:rFonts w:cs="Times New Roman"/>
          <w:bCs/>
          <w:szCs w:val="24"/>
        </w:rPr>
        <w:footnoteReference w:id="160"/>
      </w:r>
      <w:r w:rsidR="00241A63">
        <w:rPr>
          <w:rFonts w:ascii="Times New Roman" w:hAnsi="Times New Roman" w:cs="Times New Roman"/>
          <w:bCs/>
          <w:sz w:val="24"/>
          <w:szCs w:val="24"/>
        </w:rPr>
        <w:t xml:space="preserve"> or </w:t>
      </w:r>
      <w:r w:rsidR="004A36A0">
        <w:rPr>
          <w:rFonts w:ascii="Times New Roman" w:hAnsi="Times New Roman" w:cs="Times New Roman"/>
          <w:bCs/>
          <w:sz w:val="24"/>
          <w:szCs w:val="24"/>
        </w:rPr>
        <w:t>a ‘sudden appreciation by sight or sound of a horrifying event, which violently agitates the mind’.</w:t>
      </w:r>
      <w:r w:rsidR="001C0180">
        <w:rPr>
          <w:rStyle w:val="FootnoteReference"/>
          <w:rFonts w:cs="Times New Roman"/>
          <w:bCs/>
          <w:szCs w:val="24"/>
        </w:rPr>
        <w:footnoteReference w:id="161"/>
      </w:r>
      <w:r w:rsidR="00A96D13">
        <w:rPr>
          <w:rFonts w:ascii="Times New Roman" w:hAnsi="Times New Roman" w:cs="Times New Roman"/>
          <w:bCs/>
          <w:sz w:val="24"/>
          <w:szCs w:val="24"/>
        </w:rPr>
        <w:t xml:space="preserve"> </w:t>
      </w:r>
      <w:r w:rsidR="0061362B">
        <w:rPr>
          <w:rFonts w:ascii="Times New Roman" w:hAnsi="Times New Roman" w:cs="Times New Roman"/>
          <w:bCs/>
          <w:sz w:val="24"/>
          <w:szCs w:val="24"/>
        </w:rPr>
        <w:t>T</w:t>
      </w:r>
      <w:r w:rsidR="00083CC9">
        <w:rPr>
          <w:rFonts w:ascii="Times New Roman" w:hAnsi="Times New Roman" w:cs="Times New Roman"/>
          <w:bCs/>
          <w:sz w:val="24"/>
          <w:szCs w:val="24"/>
        </w:rPr>
        <w:t xml:space="preserve">he claimant’s psychiatric injury </w:t>
      </w:r>
      <w:r w:rsidR="0061362B">
        <w:rPr>
          <w:rFonts w:ascii="Times New Roman" w:hAnsi="Times New Roman" w:cs="Times New Roman"/>
          <w:bCs/>
          <w:sz w:val="24"/>
          <w:szCs w:val="24"/>
        </w:rPr>
        <w:t xml:space="preserve">therefore </w:t>
      </w:r>
      <w:r w:rsidR="00083CC9">
        <w:rPr>
          <w:rFonts w:ascii="Times New Roman" w:hAnsi="Times New Roman" w:cs="Times New Roman"/>
          <w:bCs/>
          <w:sz w:val="24"/>
          <w:szCs w:val="24"/>
        </w:rPr>
        <w:t>must occur in a certain way</w:t>
      </w:r>
      <w:r w:rsidR="002E5250">
        <w:rPr>
          <w:rFonts w:ascii="Times New Roman" w:hAnsi="Times New Roman" w:cs="Times New Roman"/>
          <w:bCs/>
          <w:sz w:val="24"/>
          <w:szCs w:val="24"/>
        </w:rPr>
        <w:t xml:space="preserve">; </w:t>
      </w:r>
      <w:r w:rsidR="00320D8D">
        <w:rPr>
          <w:rFonts w:ascii="Times New Roman" w:hAnsi="Times New Roman" w:cs="Times New Roman"/>
          <w:bCs/>
          <w:sz w:val="24"/>
          <w:szCs w:val="24"/>
        </w:rPr>
        <w:t>events which play out over a longer period of time will not</w:t>
      </w:r>
      <w:r w:rsidR="00B01047">
        <w:rPr>
          <w:rFonts w:ascii="Times New Roman" w:hAnsi="Times New Roman" w:cs="Times New Roman"/>
          <w:bCs/>
          <w:sz w:val="24"/>
          <w:szCs w:val="24"/>
        </w:rPr>
        <w:t xml:space="preserve"> amount to</w:t>
      </w:r>
      <w:r w:rsidR="00320D8D">
        <w:rPr>
          <w:rFonts w:ascii="Times New Roman" w:hAnsi="Times New Roman" w:cs="Times New Roman"/>
          <w:bCs/>
          <w:sz w:val="24"/>
          <w:szCs w:val="24"/>
        </w:rPr>
        <w:t xml:space="preserve"> a sudden shock.</w:t>
      </w:r>
      <w:r w:rsidR="00320D8D">
        <w:rPr>
          <w:rStyle w:val="FootnoteReference"/>
          <w:rFonts w:cs="Times New Roman"/>
          <w:bCs/>
          <w:szCs w:val="24"/>
        </w:rPr>
        <w:footnoteReference w:id="162"/>
      </w:r>
    </w:p>
    <w:p w14:paraId="6A590BC4" w14:textId="573F28E4" w:rsidR="00E07B95" w:rsidRDefault="00DD7834" w:rsidP="00915471">
      <w:pPr>
        <w:tabs>
          <w:tab w:val="left" w:pos="7864"/>
          <w:tab w:val="right" w:pos="9026"/>
        </w:tabs>
        <w:rPr>
          <w:rFonts w:ascii="Times New Roman" w:hAnsi="Times New Roman" w:cs="Times New Roman"/>
          <w:bCs/>
          <w:sz w:val="24"/>
          <w:szCs w:val="24"/>
        </w:rPr>
      </w:pPr>
      <w:r>
        <w:rPr>
          <w:rFonts w:ascii="Times New Roman" w:hAnsi="Times New Roman" w:cs="Times New Roman"/>
          <w:bCs/>
          <w:sz w:val="24"/>
          <w:szCs w:val="24"/>
        </w:rPr>
        <w:lastRenderedPageBreak/>
        <w:t xml:space="preserve">All this means that </w:t>
      </w:r>
      <w:r w:rsidR="00092498">
        <w:rPr>
          <w:rFonts w:ascii="Times New Roman" w:hAnsi="Times New Roman" w:cs="Times New Roman"/>
          <w:bCs/>
          <w:sz w:val="24"/>
          <w:szCs w:val="24"/>
        </w:rPr>
        <w:t xml:space="preserve">the </w:t>
      </w:r>
      <w:r w:rsidR="004C7D5D">
        <w:rPr>
          <w:rFonts w:ascii="Times New Roman" w:hAnsi="Times New Roman" w:cs="Times New Roman"/>
          <w:bCs/>
          <w:sz w:val="24"/>
          <w:szCs w:val="24"/>
        </w:rPr>
        <w:t>only</w:t>
      </w:r>
      <w:r w:rsidR="0078321E">
        <w:rPr>
          <w:rFonts w:ascii="Times New Roman" w:hAnsi="Times New Roman" w:cs="Times New Roman"/>
          <w:bCs/>
          <w:sz w:val="24"/>
          <w:szCs w:val="24"/>
        </w:rPr>
        <w:t xml:space="preserve"> people</w:t>
      </w:r>
      <w:r w:rsidR="00F2679D">
        <w:rPr>
          <w:rFonts w:ascii="Times New Roman" w:hAnsi="Times New Roman" w:cs="Times New Roman"/>
          <w:bCs/>
          <w:sz w:val="24"/>
          <w:szCs w:val="24"/>
        </w:rPr>
        <w:t xml:space="preserve"> to</w:t>
      </w:r>
      <w:r w:rsidR="0078321E">
        <w:rPr>
          <w:rFonts w:ascii="Times New Roman" w:hAnsi="Times New Roman" w:cs="Times New Roman"/>
          <w:bCs/>
          <w:sz w:val="24"/>
          <w:szCs w:val="24"/>
        </w:rPr>
        <w:t xml:space="preserve"> whom a defendant</w:t>
      </w:r>
      <w:r w:rsidR="00F2679D">
        <w:rPr>
          <w:rFonts w:ascii="Times New Roman" w:hAnsi="Times New Roman" w:cs="Times New Roman"/>
          <w:bCs/>
          <w:sz w:val="24"/>
          <w:szCs w:val="24"/>
        </w:rPr>
        <w:t xml:space="preserve"> will owe a duty</w:t>
      </w:r>
      <w:r w:rsidR="00CF2377">
        <w:rPr>
          <w:rFonts w:ascii="Times New Roman" w:hAnsi="Times New Roman" w:cs="Times New Roman"/>
          <w:bCs/>
          <w:sz w:val="24"/>
          <w:szCs w:val="24"/>
        </w:rPr>
        <w:t xml:space="preserve"> are</w:t>
      </w:r>
      <w:r w:rsidR="004D1EAC">
        <w:rPr>
          <w:rFonts w:ascii="Times New Roman" w:hAnsi="Times New Roman" w:cs="Times New Roman"/>
          <w:bCs/>
          <w:sz w:val="24"/>
          <w:szCs w:val="24"/>
        </w:rPr>
        <w:t xml:space="preserve"> </w:t>
      </w:r>
      <w:r w:rsidR="0099427E">
        <w:rPr>
          <w:rFonts w:ascii="Times New Roman" w:hAnsi="Times New Roman" w:cs="Times New Roman"/>
          <w:bCs/>
          <w:sz w:val="24"/>
          <w:szCs w:val="24"/>
        </w:rPr>
        <w:t>particularly close relatives</w:t>
      </w:r>
      <w:r w:rsidR="003E7DDD">
        <w:rPr>
          <w:rFonts w:ascii="Times New Roman" w:hAnsi="Times New Roman" w:cs="Times New Roman"/>
          <w:bCs/>
          <w:sz w:val="24"/>
          <w:szCs w:val="24"/>
        </w:rPr>
        <w:t xml:space="preserve"> of the immediate victim</w:t>
      </w:r>
      <w:r w:rsidR="0099427E">
        <w:rPr>
          <w:rFonts w:ascii="Times New Roman" w:hAnsi="Times New Roman" w:cs="Times New Roman"/>
          <w:bCs/>
          <w:sz w:val="24"/>
          <w:szCs w:val="24"/>
        </w:rPr>
        <w:t xml:space="preserve"> </w:t>
      </w:r>
      <w:r w:rsidR="00811E81">
        <w:rPr>
          <w:rFonts w:ascii="Times New Roman" w:hAnsi="Times New Roman" w:cs="Times New Roman"/>
          <w:bCs/>
          <w:sz w:val="24"/>
          <w:szCs w:val="24"/>
        </w:rPr>
        <w:t xml:space="preserve">who are by chance at or near the scene of an accident </w:t>
      </w:r>
      <w:r w:rsidR="00C94226">
        <w:rPr>
          <w:rFonts w:ascii="Times New Roman" w:hAnsi="Times New Roman" w:cs="Times New Roman"/>
          <w:bCs/>
          <w:sz w:val="24"/>
          <w:szCs w:val="24"/>
        </w:rPr>
        <w:t>and</w:t>
      </w:r>
      <w:r w:rsidR="00C02B24">
        <w:rPr>
          <w:rFonts w:ascii="Times New Roman" w:hAnsi="Times New Roman" w:cs="Times New Roman"/>
          <w:bCs/>
          <w:sz w:val="24"/>
          <w:szCs w:val="24"/>
        </w:rPr>
        <w:t xml:space="preserve"> are </w:t>
      </w:r>
      <w:r w:rsidR="00C94226">
        <w:rPr>
          <w:rFonts w:ascii="Times New Roman" w:hAnsi="Times New Roman" w:cs="Times New Roman"/>
          <w:bCs/>
          <w:sz w:val="24"/>
          <w:szCs w:val="24"/>
        </w:rPr>
        <w:t>so shocked</w:t>
      </w:r>
      <w:r w:rsidR="00AC4A8F">
        <w:rPr>
          <w:rFonts w:ascii="Times New Roman" w:hAnsi="Times New Roman" w:cs="Times New Roman"/>
          <w:bCs/>
          <w:sz w:val="24"/>
          <w:szCs w:val="24"/>
        </w:rPr>
        <w:t xml:space="preserve"> by what they see and hear</w:t>
      </w:r>
      <w:r w:rsidR="00C94226">
        <w:rPr>
          <w:rFonts w:ascii="Times New Roman" w:hAnsi="Times New Roman" w:cs="Times New Roman"/>
          <w:bCs/>
          <w:sz w:val="24"/>
          <w:szCs w:val="24"/>
        </w:rPr>
        <w:t xml:space="preserve"> that </w:t>
      </w:r>
      <w:r w:rsidR="00C02B24">
        <w:rPr>
          <w:rFonts w:ascii="Times New Roman" w:hAnsi="Times New Roman" w:cs="Times New Roman"/>
          <w:bCs/>
          <w:sz w:val="24"/>
          <w:szCs w:val="24"/>
        </w:rPr>
        <w:t xml:space="preserve">they develop a </w:t>
      </w:r>
      <w:r w:rsidR="00CE5EAC">
        <w:rPr>
          <w:rFonts w:ascii="Times New Roman" w:hAnsi="Times New Roman" w:cs="Times New Roman"/>
          <w:bCs/>
          <w:sz w:val="24"/>
          <w:szCs w:val="24"/>
        </w:rPr>
        <w:t>psychiatric</w:t>
      </w:r>
      <w:r w:rsidR="00C02B24">
        <w:rPr>
          <w:rFonts w:ascii="Times New Roman" w:hAnsi="Times New Roman" w:cs="Times New Roman"/>
          <w:bCs/>
          <w:sz w:val="24"/>
          <w:szCs w:val="24"/>
        </w:rPr>
        <w:t xml:space="preserve"> injury.</w:t>
      </w:r>
      <w:r w:rsidR="00FB605B">
        <w:rPr>
          <w:rFonts w:ascii="Times New Roman" w:hAnsi="Times New Roman" w:cs="Times New Roman"/>
          <w:bCs/>
          <w:sz w:val="24"/>
          <w:szCs w:val="24"/>
        </w:rPr>
        <w:t xml:space="preserve"> Not only that, but those close relatives must be people of ‘ordinary fortitude’ for whom a psychiatric illness would be a reasonably foreseeable consequence of the defendant’s actions. </w:t>
      </w:r>
      <w:r w:rsidR="00AC4A8F">
        <w:rPr>
          <w:rFonts w:ascii="Times New Roman" w:hAnsi="Times New Roman" w:cs="Times New Roman"/>
          <w:bCs/>
          <w:sz w:val="24"/>
          <w:szCs w:val="24"/>
        </w:rPr>
        <w:t xml:space="preserve">This ultra-specific </w:t>
      </w:r>
      <w:r w:rsidR="0013404B">
        <w:rPr>
          <w:rFonts w:ascii="Times New Roman" w:hAnsi="Times New Roman" w:cs="Times New Roman"/>
          <w:bCs/>
          <w:sz w:val="24"/>
          <w:szCs w:val="24"/>
        </w:rPr>
        <w:t>categorisation in no way</w:t>
      </w:r>
      <w:r w:rsidR="00DE7CE6">
        <w:rPr>
          <w:rFonts w:ascii="Times New Roman" w:hAnsi="Times New Roman" w:cs="Times New Roman"/>
          <w:bCs/>
          <w:sz w:val="24"/>
          <w:szCs w:val="24"/>
        </w:rPr>
        <w:t xml:space="preserve"> resembles how the law establishes duties of care </w:t>
      </w:r>
      <w:r w:rsidR="005856EC">
        <w:rPr>
          <w:rFonts w:ascii="Times New Roman" w:hAnsi="Times New Roman" w:cs="Times New Roman"/>
          <w:bCs/>
          <w:sz w:val="24"/>
          <w:szCs w:val="24"/>
        </w:rPr>
        <w:t>in cases involving physical injury</w:t>
      </w:r>
      <w:r w:rsidR="00400A39">
        <w:rPr>
          <w:rFonts w:ascii="Times New Roman" w:hAnsi="Times New Roman" w:cs="Times New Roman"/>
          <w:bCs/>
          <w:sz w:val="24"/>
          <w:szCs w:val="24"/>
        </w:rPr>
        <w:t>.</w:t>
      </w:r>
      <w:r w:rsidR="00BF7C2D">
        <w:rPr>
          <w:rFonts w:ascii="Times New Roman" w:hAnsi="Times New Roman" w:cs="Times New Roman"/>
          <w:bCs/>
          <w:sz w:val="24"/>
          <w:szCs w:val="24"/>
        </w:rPr>
        <w:t xml:space="preserve"> </w:t>
      </w:r>
      <w:r w:rsidR="00400A39">
        <w:rPr>
          <w:rFonts w:ascii="Times New Roman" w:hAnsi="Times New Roman" w:cs="Times New Roman"/>
          <w:bCs/>
          <w:sz w:val="24"/>
          <w:szCs w:val="24"/>
        </w:rPr>
        <w:t>A</w:t>
      </w:r>
      <w:r w:rsidR="00BF7C2D">
        <w:rPr>
          <w:rFonts w:ascii="Times New Roman" w:hAnsi="Times New Roman" w:cs="Times New Roman"/>
          <w:bCs/>
          <w:sz w:val="24"/>
          <w:szCs w:val="24"/>
        </w:rPr>
        <w:t xml:space="preserve"> </w:t>
      </w:r>
      <w:r w:rsidR="003E5F7D">
        <w:rPr>
          <w:rFonts w:ascii="Times New Roman" w:hAnsi="Times New Roman" w:cs="Times New Roman"/>
          <w:bCs/>
          <w:sz w:val="24"/>
          <w:szCs w:val="24"/>
        </w:rPr>
        <w:t>pedestrian</w:t>
      </w:r>
      <w:r w:rsidR="00BF7C2D">
        <w:rPr>
          <w:rFonts w:ascii="Times New Roman" w:hAnsi="Times New Roman" w:cs="Times New Roman"/>
          <w:bCs/>
          <w:sz w:val="24"/>
          <w:szCs w:val="24"/>
        </w:rPr>
        <w:t xml:space="preserve"> </w:t>
      </w:r>
      <w:r w:rsidR="003E5F7D">
        <w:rPr>
          <w:rFonts w:ascii="Times New Roman" w:hAnsi="Times New Roman" w:cs="Times New Roman"/>
          <w:bCs/>
          <w:sz w:val="24"/>
          <w:szCs w:val="24"/>
        </w:rPr>
        <w:t xml:space="preserve">who suffers a physical injury </w:t>
      </w:r>
      <w:r w:rsidR="00A740D3">
        <w:rPr>
          <w:rFonts w:ascii="Times New Roman" w:hAnsi="Times New Roman" w:cs="Times New Roman"/>
          <w:bCs/>
          <w:sz w:val="24"/>
          <w:szCs w:val="24"/>
        </w:rPr>
        <w:t xml:space="preserve">after he is hit by debris when </w:t>
      </w:r>
      <w:r w:rsidR="003E5F7D">
        <w:rPr>
          <w:rFonts w:ascii="Times New Roman" w:hAnsi="Times New Roman" w:cs="Times New Roman"/>
          <w:bCs/>
          <w:sz w:val="24"/>
          <w:szCs w:val="24"/>
        </w:rPr>
        <w:t>a careless motorist crashes into another car 20 yards away</w:t>
      </w:r>
      <w:r w:rsidR="00A740D3">
        <w:rPr>
          <w:rFonts w:ascii="Times New Roman" w:hAnsi="Times New Roman" w:cs="Times New Roman"/>
          <w:bCs/>
          <w:sz w:val="24"/>
          <w:szCs w:val="24"/>
        </w:rPr>
        <w:t xml:space="preserve"> </w:t>
      </w:r>
      <w:r w:rsidR="00400A39">
        <w:rPr>
          <w:rFonts w:ascii="Times New Roman" w:hAnsi="Times New Roman" w:cs="Times New Roman"/>
          <w:bCs/>
          <w:sz w:val="24"/>
          <w:szCs w:val="24"/>
        </w:rPr>
        <w:t>does not have to prove he is a person of ‘ordinary fortitude’ before he can recover damages, nor does the success of his claim turn on</w:t>
      </w:r>
      <w:r w:rsidR="00CD72BB">
        <w:rPr>
          <w:rFonts w:ascii="Times New Roman" w:hAnsi="Times New Roman" w:cs="Times New Roman"/>
          <w:bCs/>
          <w:sz w:val="24"/>
          <w:szCs w:val="24"/>
        </w:rPr>
        <w:t xml:space="preserve"> the nature or quality of</w:t>
      </w:r>
      <w:r w:rsidR="00400A39">
        <w:rPr>
          <w:rFonts w:ascii="Times New Roman" w:hAnsi="Times New Roman" w:cs="Times New Roman"/>
          <w:bCs/>
          <w:sz w:val="24"/>
          <w:szCs w:val="24"/>
        </w:rPr>
        <w:t xml:space="preserve"> his relationship with </w:t>
      </w:r>
      <w:r w:rsidR="00CD72BB">
        <w:rPr>
          <w:rFonts w:ascii="Times New Roman" w:hAnsi="Times New Roman" w:cs="Times New Roman"/>
          <w:bCs/>
          <w:sz w:val="24"/>
          <w:szCs w:val="24"/>
        </w:rPr>
        <w:t>anyone else at the scene</w:t>
      </w:r>
      <w:r w:rsidR="00400A39">
        <w:rPr>
          <w:rFonts w:ascii="Times New Roman" w:hAnsi="Times New Roman" w:cs="Times New Roman"/>
          <w:bCs/>
          <w:sz w:val="24"/>
          <w:szCs w:val="24"/>
        </w:rPr>
        <w:t>.</w:t>
      </w:r>
      <w:r w:rsidR="003E5F7D">
        <w:rPr>
          <w:rFonts w:ascii="Times New Roman" w:hAnsi="Times New Roman" w:cs="Times New Roman"/>
          <w:bCs/>
          <w:sz w:val="24"/>
          <w:szCs w:val="24"/>
        </w:rPr>
        <w:t xml:space="preserve"> </w:t>
      </w:r>
      <w:r w:rsidR="00DE7CE6">
        <w:rPr>
          <w:rFonts w:ascii="Times New Roman" w:hAnsi="Times New Roman" w:cs="Times New Roman"/>
          <w:bCs/>
          <w:sz w:val="24"/>
          <w:szCs w:val="24"/>
        </w:rPr>
        <w:t>As Hedley</w:t>
      </w:r>
      <w:r w:rsidR="006E4E5D">
        <w:rPr>
          <w:rFonts w:ascii="Times New Roman" w:hAnsi="Times New Roman" w:cs="Times New Roman"/>
          <w:bCs/>
          <w:sz w:val="24"/>
          <w:szCs w:val="24"/>
        </w:rPr>
        <w:t xml:space="preserve"> has</w:t>
      </w:r>
      <w:r w:rsidR="00DE7CE6">
        <w:rPr>
          <w:rFonts w:ascii="Times New Roman" w:hAnsi="Times New Roman" w:cs="Times New Roman"/>
          <w:bCs/>
          <w:sz w:val="24"/>
          <w:szCs w:val="24"/>
        </w:rPr>
        <w:t xml:space="preserve"> pointed out,</w:t>
      </w:r>
      <w:r w:rsidR="009D4C58">
        <w:rPr>
          <w:rFonts w:ascii="Times New Roman" w:hAnsi="Times New Roman" w:cs="Times New Roman"/>
          <w:bCs/>
          <w:sz w:val="24"/>
          <w:szCs w:val="24"/>
        </w:rPr>
        <w:t xml:space="preserve"> in ‘nervous shock’ cases</w:t>
      </w:r>
      <w:r w:rsidR="00DE7CE6">
        <w:rPr>
          <w:rFonts w:ascii="Times New Roman" w:hAnsi="Times New Roman" w:cs="Times New Roman"/>
          <w:bCs/>
          <w:sz w:val="24"/>
          <w:szCs w:val="24"/>
        </w:rPr>
        <w:t xml:space="preserve"> </w:t>
      </w:r>
      <w:r w:rsidR="006E4E5D">
        <w:rPr>
          <w:rFonts w:ascii="Times New Roman" w:hAnsi="Times New Roman" w:cs="Times New Roman"/>
          <w:bCs/>
          <w:sz w:val="24"/>
          <w:szCs w:val="24"/>
        </w:rPr>
        <w:t>a defendant is not liable ‘unless the precise victim is identifiable’.</w:t>
      </w:r>
      <w:r w:rsidR="006E4E5D">
        <w:rPr>
          <w:rStyle w:val="FootnoteReference"/>
          <w:rFonts w:cs="Times New Roman"/>
          <w:bCs/>
          <w:szCs w:val="24"/>
        </w:rPr>
        <w:footnoteReference w:id="163"/>
      </w:r>
      <w:r w:rsidR="004002FB">
        <w:rPr>
          <w:rFonts w:ascii="Times New Roman" w:hAnsi="Times New Roman" w:cs="Times New Roman"/>
          <w:bCs/>
          <w:sz w:val="24"/>
          <w:szCs w:val="24"/>
        </w:rPr>
        <w:t xml:space="preserve"> This test is ‘far stricter’ than that applied</w:t>
      </w:r>
      <w:r w:rsidR="00CC47FB">
        <w:rPr>
          <w:rFonts w:ascii="Times New Roman" w:hAnsi="Times New Roman" w:cs="Times New Roman"/>
          <w:bCs/>
          <w:sz w:val="24"/>
          <w:szCs w:val="24"/>
        </w:rPr>
        <w:t xml:space="preserve"> in </w:t>
      </w:r>
      <w:r w:rsidR="004829FF">
        <w:rPr>
          <w:rFonts w:ascii="Times New Roman" w:hAnsi="Times New Roman" w:cs="Times New Roman"/>
          <w:bCs/>
          <w:sz w:val="24"/>
          <w:szCs w:val="24"/>
        </w:rPr>
        <w:t>negligence</w:t>
      </w:r>
      <w:r w:rsidR="004002FB">
        <w:rPr>
          <w:rFonts w:ascii="Times New Roman" w:hAnsi="Times New Roman" w:cs="Times New Roman"/>
          <w:bCs/>
          <w:sz w:val="24"/>
          <w:szCs w:val="24"/>
        </w:rPr>
        <w:t xml:space="preserve"> generally</w:t>
      </w:r>
      <w:r w:rsidR="006D2A7F">
        <w:rPr>
          <w:rFonts w:ascii="Times New Roman" w:hAnsi="Times New Roman" w:cs="Times New Roman"/>
          <w:bCs/>
          <w:sz w:val="24"/>
          <w:szCs w:val="24"/>
        </w:rPr>
        <w:t>.</w:t>
      </w:r>
      <w:r w:rsidR="006D2A7F">
        <w:rPr>
          <w:rStyle w:val="FootnoteReference"/>
          <w:rFonts w:cs="Times New Roman"/>
          <w:bCs/>
          <w:szCs w:val="24"/>
        </w:rPr>
        <w:footnoteReference w:id="164"/>
      </w:r>
    </w:p>
    <w:p w14:paraId="05F8BD3D" w14:textId="3F44A134" w:rsidR="00904990" w:rsidRPr="00904990" w:rsidRDefault="00904990" w:rsidP="009D4C58">
      <w:pPr>
        <w:tabs>
          <w:tab w:val="left" w:pos="7864"/>
          <w:tab w:val="right" w:pos="9026"/>
        </w:tabs>
        <w:rPr>
          <w:rFonts w:ascii="Times New Roman" w:hAnsi="Times New Roman" w:cs="Times New Roman"/>
          <w:bCs/>
          <w:iCs/>
          <w:sz w:val="24"/>
          <w:szCs w:val="24"/>
        </w:rPr>
      </w:pPr>
      <w:r w:rsidRPr="00904990">
        <w:rPr>
          <w:rFonts w:ascii="Times New Roman" w:hAnsi="Times New Roman" w:cs="Times New Roman"/>
          <w:bCs/>
          <w:iCs/>
          <w:sz w:val="24"/>
          <w:szCs w:val="24"/>
        </w:rPr>
        <w:t>The law’s differential treatment of claimants with ‘psychosocial disabilities’</w:t>
      </w:r>
      <w:r w:rsidR="009D4C58">
        <w:rPr>
          <w:rFonts w:ascii="Times New Roman" w:hAnsi="Times New Roman" w:cs="Times New Roman"/>
          <w:bCs/>
          <w:iCs/>
          <w:sz w:val="24"/>
          <w:szCs w:val="24"/>
        </w:rPr>
        <w:t xml:space="preserve"> in this context</w:t>
      </w:r>
      <w:r w:rsidRPr="00904990">
        <w:rPr>
          <w:rFonts w:ascii="Times New Roman" w:hAnsi="Times New Roman" w:cs="Times New Roman"/>
          <w:bCs/>
          <w:iCs/>
          <w:sz w:val="24"/>
          <w:szCs w:val="24"/>
        </w:rPr>
        <w:t xml:space="preserve"> is a clear instance of discrimination contrary to Article 5(1) of the CRPD. The special rules</w:t>
      </w:r>
      <w:r w:rsidR="0089674C">
        <w:rPr>
          <w:rFonts w:ascii="Times New Roman" w:hAnsi="Times New Roman" w:cs="Times New Roman"/>
          <w:bCs/>
          <w:iCs/>
          <w:sz w:val="24"/>
          <w:szCs w:val="24"/>
        </w:rPr>
        <w:t xml:space="preserve"> </w:t>
      </w:r>
      <w:r w:rsidRPr="00904990">
        <w:rPr>
          <w:rFonts w:ascii="Times New Roman" w:hAnsi="Times New Roman" w:cs="Times New Roman"/>
          <w:bCs/>
          <w:iCs/>
          <w:sz w:val="24"/>
          <w:szCs w:val="24"/>
        </w:rPr>
        <w:t>use disability as an occasion to deploy a duty concept which is a</w:t>
      </w:r>
      <w:r w:rsidR="009C7303">
        <w:rPr>
          <w:rFonts w:ascii="Times New Roman" w:hAnsi="Times New Roman" w:cs="Times New Roman"/>
          <w:bCs/>
          <w:iCs/>
          <w:sz w:val="24"/>
          <w:szCs w:val="24"/>
        </w:rPr>
        <w:t xml:space="preserve"> departure from</w:t>
      </w:r>
      <w:r w:rsidRPr="00904990">
        <w:rPr>
          <w:rFonts w:ascii="Times New Roman" w:hAnsi="Times New Roman" w:cs="Times New Roman"/>
          <w:bCs/>
          <w:iCs/>
          <w:sz w:val="24"/>
          <w:szCs w:val="24"/>
        </w:rPr>
        <w:t xml:space="preserve"> the general </w:t>
      </w:r>
      <w:r w:rsidR="00EF5AB5">
        <w:rPr>
          <w:rFonts w:ascii="Times New Roman" w:hAnsi="Times New Roman" w:cs="Times New Roman"/>
          <w:bCs/>
          <w:iCs/>
          <w:sz w:val="24"/>
          <w:szCs w:val="24"/>
        </w:rPr>
        <w:t>principles</w:t>
      </w:r>
      <w:r w:rsidR="00EF5AB5" w:rsidRPr="00904990">
        <w:rPr>
          <w:rFonts w:ascii="Times New Roman" w:hAnsi="Times New Roman" w:cs="Times New Roman"/>
          <w:bCs/>
          <w:iCs/>
          <w:sz w:val="24"/>
          <w:szCs w:val="24"/>
        </w:rPr>
        <w:t xml:space="preserve"> </w:t>
      </w:r>
      <w:r w:rsidRPr="00904990">
        <w:rPr>
          <w:rFonts w:ascii="Times New Roman" w:hAnsi="Times New Roman" w:cs="Times New Roman"/>
          <w:bCs/>
          <w:iCs/>
          <w:sz w:val="24"/>
          <w:szCs w:val="24"/>
        </w:rPr>
        <w:t xml:space="preserve">of negligence. That concept puts claimants at a disadvantage by denying (or, at least, limiting) access to justice for persons with disabilities, contrary to Article 13 of the CRPD. Where the duty does arise, it imposes a more onerous burden on people suffering from psychosocial disabilities. This plainly runs counter to the tenets of equality and non-discrimination which </w:t>
      </w:r>
      <w:r>
        <w:rPr>
          <w:rFonts w:ascii="Times New Roman" w:hAnsi="Times New Roman" w:cs="Times New Roman"/>
          <w:bCs/>
          <w:iCs/>
          <w:sz w:val="24"/>
          <w:szCs w:val="24"/>
        </w:rPr>
        <w:t xml:space="preserve">underpin </w:t>
      </w:r>
      <w:r w:rsidRPr="00904990">
        <w:rPr>
          <w:rFonts w:ascii="Times New Roman" w:hAnsi="Times New Roman" w:cs="Times New Roman"/>
          <w:bCs/>
          <w:iCs/>
          <w:sz w:val="24"/>
          <w:szCs w:val="24"/>
        </w:rPr>
        <w:t xml:space="preserve">the CRPD. </w:t>
      </w:r>
    </w:p>
    <w:p w14:paraId="32807672" w14:textId="21655F59" w:rsidR="00904990" w:rsidRPr="00904990" w:rsidRDefault="00904990" w:rsidP="00904990">
      <w:pPr>
        <w:rPr>
          <w:sz w:val="24"/>
          <w:szCs w:val="24"/>
        </w:rPr>
      </w:pPr>
      <w:r w:rsidRPr="00904990">
        <w:rPr>
          <w:rFonts w:ascii="Times New Roman" w:hAnsi="Times New Roman" w:cs="Times New Roman"/>
          <w:bCs/>
          <w:iCs/>
          <w:sz w:val="24"/>
          <w:szCs w:val="24"/>
        </w:rPr>
        <w:t xml:space="preserve">Some might argue that since injury is integral to negligence, the law </w:t>
      </w:r>
      <w:r w:rsidRPr="00904990">
        <w:rPr>
          <w:rFonts w:ascii="Times New Roman" w:hAnsi="Times New Roman" w:cs="Times New Roman"/>
          <w:bCs/>
          <w:i/>
          <w:iCs/>
          <w:sz w:val="24"/>
          <w:szCs w:val="24"/>
        </w:rPr>
        <w:t>necessarily</w:t>
      </w:r>
      <w:r w:rsidRPr="00904990">
        <w:rPr>
          <w:rFonts w:ascii="Times New Roman" w:hAnsi="Times New Roman" w:cs="Times New Roman"/>
          <w:bCs/>
          <w:iCs/>
          <w:sz w:val="24"/>
          <w:szCs w:val="24"/>
        </w:rPr>
        <w:t xml:space="preserve"> discriminates on the basis of disability.</w:t>
      </w:r>
      <w:r w:rsidRPr="00904990">
        <w:rPr>
          <w:rStyle w:val="FootnoteReference"/>
          <w:rFonts w:cs="Times New Roman"/>
          <w:bCs/>
          <w:iCs/>
          <w:sz w:val="24"/>
          <w:szCs w:val="24"/>
        </w:rPr>
        <w:footnoteReference w:id="165"/>
      </w:r>
      <w:r w:rsidRPr="00904990">
        <w:rPr>
          <w:rFonts w:ascii="Times New Roman" w:hAnsi="Times New Roman" w:cs="Times New Roman"/>
          <w:bCs/>
          <w:iCs/>
          <w:sz w:val="24"/>
          <w:szCs w:val="24"/>
        </w:rPr>
        <w:t xml:space="preserve"> This is unconvincing: negligence is actionable</w:t>
      </w:r>
      <w:r w:rsidR="00136ABE">
        <w:rPr>
          <w:rFonts w:ascii="Times New Roman" w:hAnsi="Times New Roman" w:cs="Times New Roman"/>
          <w:bCs/>
          <w:iCs/>
          <w:sz w:val="24"/>
          <w:szCs w:val="24"/>
        </w:rPr>
        <w:t xml:space="preserve"> generally</w:t>
      </w:r>
      <w:r w:rsidRPr="00904990">
        <w:rPr>
          <w:rFonts w:ascii="Times New Roman" w:hAnsi="Times New Roman" w:cs="Times New Roman"/>
          <w:bCs/>
          <w:iCs/>
          <w:sz w:val="24"/>
          <w:szCs w:val="24"/>
        </w:rPr>
        <w:t xml:space="preserve"> on proof of damage, not disability. According to Lord </w:t>
      </w:r>
      <w:r w:rsidR="0020181E">
        <w:rPr>
          <w:rFonts w:ascii="Times New Roman" w:hAnsi="Times New Roman" w:cs="Times New Roman"/>
          <w:bCs/>
          <w:iCs/>
          <w:sz w:val="24"/>
          <w:szCs w:val="24"/>
        </w:rPr>
        <w:t>Hoffmann</w:t>
      </w:r>
      <w:r w:rsidRPr="00904990">
        <w:rPr>
          <w:rFonts w:ascii="Times New Roman" w:hAnsi="Times New Roman" w:cs="Times New Roman"/>
          <w:bCs/>
          <w:iCs/>
          <w:sz w:val="24"/>
          <w:szCs w:val="24"/>
        </w:rPr>
        <w:t xml:space="preserve">, ‘damage’ in this </w:t>
      </w:r>
      <w:r w:rsidRPr="00904990">
        <w:rPr>
          <w:rFonts w:ascii="Times New Roman" w:hAnsi="Times New Roman" w:cs="Times New Roman"/>
          <w:bCs/>
          <w:iCs/>
          <w:sz w:val="24"/>
          <w:szCs w:val="24"/>
        </w:rPr>
        <w:lastRenderedPageBreak/>
        <w:t>sense ‘is an abstract concept of being worse off, physically or economically, so that compensation is an appropriate remedy’.</w:t>
      </w:r>
      <w:r w:rsidRPr="00904990">
        <w:rPr>
          <w:rStyle w:val="FootnoteReference"/>
          <w:rFonts w:cs="Times New Roman"/>
          <w:bCs/>
          <w:iCs/>
          <w:sz w:val="24"/>
          <w:szCs w:val="24"/>
        </w:rPr>
        <w:footnoteReference w:id="166"/>
      </w:r>
      <w:r w:rsidRPr="00904990">
        <w:rPr>
          <w:rFonts w:ascii="Times New Roman" w:hAnsi="Times New Roman" w:cs="Times New Roman"/>
          <w:bCs/>
          <w:iCs/>
          <w:sz w:val="24"/>
          <w:szCs w:val="24"/>
        </w:rPr>
        <w:t xml:space="preserve"> It is not ordinarily limited to disabilities; instead, it is a general concept which applies to a multitude of injuries and losses. </w:t>
      </w:r>
      <w:r w:rsidR="00165A83">
        <w:rPr>
          <w:rFonts w:ascii="Times New Roman" w:hAnsi="Times New Roman" w:cs="Times New Roman"/>
          <w:bCs/>
          <w:iCs/>
          <w:sz w:val="24"/>
          <w:szCs w:val="24"/>
        </w:rPr>
        <w:t xml:space="preserve">The only relevant occasion on which the courts have afforded ‘damage’ a narrower meaning is in cases concerning psychiatric injuries, where the </w:t>
      </w:r>
      <w:r w:rsidRPr="00904990">
        <w:rPr>
          <w:rFonts w:ascii="Times New Roman" w:hAnsi="Times New Roman" w:cs="Times New Roman"/>
          <w:bCs/>
          <w:iCs/>
          <w:sz w:val="24"/>
          <w:szCs w:val="24"/>
        </w:rPr>
        <w:t xml:space="preserve">requirement of a </w:t>
      </w:r>
      <w:r w:rsidR="00136ABE" w:rsidRPr="00904990">
        <w:rPr>
          <w:rFonts w:ascii="Times New Roman" w:hAnsi="Times New Roman" w:cs="Times New Roman"/>
          <w:bCs/>
          <w:iCs/>
          <w:sz w:val="24"/>
          <w:szCs w:val="24"/>
        </w:rPr>
        <w:t>recognis</w:t>
      </w:r>
      <w:r w:rsidR="00136ABE">
        <w:rPr>
          <w:rFonts w:ascii="Times New Roman" w:hAnsi="Times New Roman" w:cs="Times New Roman"/>
          <w:bCs/>
          <w:iCs/>
          <w:sz w:val="24"/>
          <w:szCs w:val="24"/>
        </w:rPr>
        <w:t>able</w:t>
      </w:r>
      <w:r w:rsidR="00136ABE" w:rsidRPr="00904990">
        <w:rPr>
          <w:rFonts w:ascii="Times New Roman" w:hAnsi="Times New Roman" w:cs="Times New Roman"/>
          <w:bCs/>
          <w:iCs/>
          <w:sz w:val="24"/>
          <w:szCs w:val="24"/>
        </w:rPr>
        <w:t xml:space="preserve"> </w:t>
      </w:r>
      <w:r w:rsidRPr="00904990">
        <w:rPr>
          <w:rFonts w:ascii="Times New Roman" w:hAnsi="Times New Roman" w:cs="Times New Roman"/>
          <w:bCs/>
          <w:iCs/>
          <w:sz w:val="24"/>
          <w:szCs w:val="24"/>
        </w:rPr>
        <w:t>psychiatric injury plainly limits the scope of actionability to</w:t>
      </w:r>
      <w:r w:rsidR="00EF5AB5">
        <w:rPr>
          <w:rFonts w:ascii="Times New Roman" w:hAnsi="Times New Roman" w:cs="Times New Roman"/>
          <w:bCs/>
          <w:iCs/>
          <w:sz w:val="24"/>
          <w:szCs w:val="24"/>
        </w:rPr>
        <w:t xml:space="preserve"> what the CRPD apparatus would term</w:t>
      </w:r>
      <w:r w:rsidRPr="00904990">
        <w:rPr>
          <w:rFonts w:ascii="Times New Roman" w:hAnsi="Times New Roman" w:cs="Times New Roman"/>
          <w:bCs/>
          <w:iCs/>
          <w:sz w:val="24"/>
          <w:szCs w:val="24"/>
        </w:rPr>
        <w:t xml:space="preserve"> ‘psychosocial disabilities’.</w:t>
      </w:r>
      <w:r w:rsidR="002163D5">
        <w:rPr>
          <w:rStyle w:val="FootnoteReference"/>
          <w:rFonts w:cs="Times New Roman"/>
          <w:bCs/>
          <w:iCs/>
          <w:szCs w:val="24"/>
        </w:rPr>
        <w:footnoteReference w:id="167"/>
      </w:r>
    </w:p>
    <w:p w14:paraId="7180AEC0" w14:textId="069DFBDA" w:rsidR="007E4D62" w:rsidRDefault="00CA3E85" w:rsidP="007124DC">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The</w:t>
      </w:r>
      <w:r w:rsidR="00C63E35">
        <w:rPr>
          <w:rFonts w:ascii="Times New Roman" w:hAnsi="Times New Roman" w:cs="Times New Roman"/>
          <w:bCs/>
          <w:iCs/>
          <w:sz w:val="24"/>
          <w:szCs w:val="24"/>
        </w:rPr>
        <w:t xml:space="preserve"> courts have long justified the special rules</w:t>
      </w:r>
      <w:r w:rsidR="004F11A3">
        <w:rPr>
          <w:rFonts w:ascii="Times New Roman" w:hAnsi="Times New Roman" w:cs="Times New Roman"/>
          <w:bCs/>
          <w:iCs/>
          <w:sz w:val="24"/>
          <w:szCs w:val="24"/>
        </w:rPr>
        <w:t xml:space="preserve"> on the basis of public policy.</w:t>
      </w:r>
      <w:r w:rsidR="00077FB1">
        <w:rPr>
          <w:rFonts w:ascii="Times New Roman" w:hAnsi="Times New Roman" w:cs="Times New Roman"/>
          <w:bCs/>
          <w:iCs/>
          <w:sz w:val="24"/>
          <w:szCs w:val="24"/>
        </w:rPr>
        <w:t xml:space="preserve"> In </w:t>
      </w:r>
      <w:r w:rsidR="00077FB1">
        <w:rPr>
          <w:rFonts w:ascii="Times New Roman" w:hAnsi="Times New Roman" w:cs="Times New Roman"/>
          <w:bCs/>
          <w:i/>
          <w:iCs/>
          <w:sz w:val="24"/>
          <w:szCs w:val="24"/>
        </w:rPr>
        <w:t>White</w:t>
      </w:r>
      <w:r w:rsidR="00077FB1">
        <w:rPr>
          <w:rFonts w:ascii="Times New Roman" w:hAnsi="Times New Roman" w:cs="Times New Roman"/>
          <w:bCs/>
          <w:iCs/>
          <w:sz w:val="24"/>
          <w:szCs w:val="24"/>
        </w:rPr>
        <w:t xml:space="preserve">, Lord Steyn </w:t>
      </w:r>
      <w:r w:rsidR="00DB4CE2">
        <w:rPr>
          <w:rFonts w:ascii="Times New Roman" w:hAnsi="Times New Roman" w:cs="Times New Roman"/>
          <w:bCs/>
          <w:iCs/>
          <w:sz w:val="24"/>
          <w:szCs w:val="24"/>
        </w:rPr>
        <w:t>gave a number of examples</w:t>
      </w:r>
      <w:r w:rsidR="00AF36FD">
        <w:rPr>
          <w:rFonts w:ascii="Times New Roman" w:hAnsi="Times New Roman" w:cs="Times New Roman"/>
          <w:bCs/>
          <w:iCs/>
          <w:sz w:val="24"/>
          <w:szCs w:val="24"/>
        </w:rPr>
        <w:t xml:space="preserve">, </w:t>
      </w:r>
      <w:r w:rsidR="00E913B2">
        <w:rPr>
          <w:rFonts w:ascii="Times New Roman" w:hAnsi="Times New Roman" w:cs="Times New Roman"/>
          <w:bCs/>
          <w:iCs/>
          <w:sz w:val="24"/>
          <w:szCs w:val="24"/>
        </w:rPr>
        <w:t>such as</w:t>
      </w:r>
      <w:r w:rsidR="00AF36FD">
        <w:rPr>
          <w:rFonts w:ascii="Times New Roman" w:hAnsi="Times New Roman" w:cs="Times New Roman"/>
          <w:bCs/>
          <w:iCs/>
          <w:sz w:val="24"/>
          <w:szCs w:val="24"/>
        </w:rPr>
        <w:t xml:space="preserve"> the</w:t>
      </w:r>
      <w:r w:rsidR="00E913B2">
        <w:rPr>
          <w:rFonts w:ascii="Times New Roman" w:hAnsi="Times New Roman" w:cs="Times New Roman"/>
          <w:bCs/>
          <w:iCs/>
          <w:sz w:val="24"/>
          <w:szCs w:val="24"/>
        </w:rPr>
        <w:t xml:space="preserve"> evidential problems inherent in proving psychiatric injuries; concerns about the ‘unconscious’ effects of compensation;</w:t>
      </w:r>
      <w:r w:rsidR="00214BE2">
        <w:rPr>
          <w:rFonts w:ascii="Times New Roman" w:hAnsi="Times New Roman" w:cs="Times New Roman"/>
          <w:bCs/>
          <w:iCs/>
          <w:sz w:val="24"/>
          <w:szCs w:val="24"/>
        </w:rPr>
        <w:t xml:space="preserve"> and fears about the </w:t>
      </w:r>
      <w:r w:rsidR="00E913B2">
        <w:rPr>
          <w:rFonts w:ascii="Times New Roman" w:hAnsi="Times New Roman" w:cs="Times New Roman"/>
          <w:bCs/>
          <w:iCs/>
          <w:sz w:val="24"/>
          <w:szCs w:val="24"/>
        </w:rPr>
        <w:t>‘floodgates’ and ‘crushing’ liability.</w:t>
      </w:r>
      <w:r w:rsidR="008C37E1">
        <w:rPr>
          <w:rStyle w:val="FootnoteReference"/>
          <w:rFonts w:cs="Times New Roman"/>
          <w:bCs/>
          <w:iCs/>
          <w:szCs w:val="24"/>
        </w:rPr>
        <w:footnoteReference w:id="168"/>
      </w:r>
      <w:r w:rsidR="002A5E83">
        <w:rPr>
          <w:rFonts w:ascii="Times New Roman" w:hAnsi="Times New Roman" w:cs="Times New Roman"/>
          <w:bCs/>
          <w:iCs/>
          <w:sz w:val="24"/>
          <w:szCs w:val="24"/>
        </w:rPr>
        <w:t xml:space="preserve"> </w:t>
      </w:r>
      <w:r w:rsidR="009E1140">
        <w:rPr>
          <w:rFonts w:ascii="Times New Roman" w:hAnsi="Times New Roman" w:cs="Times New Roman"/>
          <w:bCs/>
          <w:iCs/>
          <w:sz w:val="24"/>
          <w:szCs w:val="24"/>
        </w:rPr>
        <w:t>There are many other</w:t>
      </w:r>
      <w:r w:rsidR="008C37E1">
        <w:rPr>
          <w:rFonts w:ascii="Times New Roman" w:hAnsi="Times New Roman" w:cs="Times New Roman"/>
          <w:bCs/>
          <w:iCs/>
          <w:sz w:val="24"/>
          <w:szCs w:val="24"/>
        </w:rPr>
        <w:t xml:space="preserve"> policy</w:t>
      </w:r>
      <w:r w:rsidR="009E1140">
        <w:rPr>
          <w:rFonts w:ascii="Times New Roman" w:hAnsi="Times New Roman" w:cs="Times New Roman"/>
          <w:bCs/>
          <w:iCs/>
          <w:sz w:val="24"/>
          <w:szCs w:val="24"/>
        </w:rPr>
        <w:t xml:space="preserve"> reasons</w:t>
      </w:r>
      <w:r w:rsidR="008C37E1">
        <w:rPr>
          <w:rFonts w:ascii="Times New Roman" w:hAnsi="Times New Roman" w:cs="Times New Roman"/>
          <w:bCs/>
          <w:iCs/>
          <w:sz w:val="24"/>
          <w:szCs w:val="24"/>
        </w:rPr>
        <w:t xml:space="preserve"> to which the courts have </w:t>
      </w:r>
      <w:r w:rsidR="002512CF">
        <w:rPr>
          <w:rFonts w:ascii="Times New Roman" w:hAnsi="Times New Roman" w:cs="Times New Roman"/>
          <w:bCs/>
          <w:iCs/>
          <w:sz w:val="24"/>
          <w:szCs w:val="24"/>
        </w:rPr>
        <w:t>had recourse</w:t>
      </w:r>
      <w:r w:rsidR="00686BCA">
        <w:rPr>
          <w:rFonts w:ascii="Times New Roman" w:hAnsi="Times New Roman" w:cs="Times New Roman"/>
          <w:bCs/>
          <w:iCs/>
          <w:sz w:val="24"/>
          <w:szCs w:val="24"/>
        </w:rPr>
        <w:t xml:space="preserve"> but limited space </w:t>
      </w:r>
      <w:r w:rsidR="008C37E1">
        <w:rPr>
          <w:rFonts w:ascii="Times New Roman" w:hAnsi="Times New Roman" w:cs="Times New Roman"/>
          <w:bCs/>
          <w:iCs/>
          <w:sz w:val="24"/>
          <w:szCs w:val="24"/>
        </w:rPr>
        <w:t>precludes a detailed rehearsal of them.</w:t>
      </w:r>
      <w:bookmarkStart w:id="34" w:name="_Ref31291999"/>
      <w:r w:rsidR="006934B8">
        <w:rPr>
          <w:rStyle w:val="FootnoteReference"/>
          <w:rFonts w:cs="Times New Roman"/>
          <w:bCs/>
          <w:iCs/>
          <w:szCs w:val="24"/>
        </w:rPr>
        <w:footnoteReference w:id="169"/>
      </w:r>
      <w:bookmarkEnd w:id="34"/>
      <w:r w:rsidR="008C37E1">
        <w:rPr>
          <w:rFonts w:ascii="Times New Roman" w:hAnsi="Times New Roman" w:cs="Times New Roman"/>
          <w:bCs/>
          <w:iCs/>
          <w:sz w:val="24"/>
          <w:szCs w:val="24"/>
        </w:rPr>
        <w:t xml:space="preserve"> However, it is worth asking whether they would </w:t>
      </w:r>
      <w:r w:rsidR="00172A05">
        <w:rPr>
          <w:rFonts w:ascii="Times New Roman" w:hAnsi="Times New Roman" w:cs="Times New Roman"/>
          <w:bCs/>
          <w:iCs/>
          <w:sz w:val="24"/>
          <w:szCs w:val="24"/>
        </w:rPr>
        <w:t>excuse</w:t>
      </w:r>
      <w:r w:rsidR="00727182">
        <w:rPr>
          <w:rFonts w:ascii="Times New Roman" w:hAnsi="Times New Roman" w:cs="Times New Roman"/>
          <w:bCs/>
          <w:iCs/>
          <w:sz w:val="24"/>
          <w:szCs w:val="24"/>
        </w:rPr>
        <w:t xml:space="preserve"> the special rules’ discriminatory effects</w:t>
      </w:r>
      <w:r w:rsidR="00172A05">
        <w:rPr>
          <w:rFonts w:ascii="Times New Roman" w:hAnsi="Times New Roman" w:cs="Times New Roman"/>
          <w:bCs/>
          <w:iCs/>
          <w:sz w:val="24"/>
          <w:szCs w:val="24"/>
        </w:rPr>
        <w:t>.</w:t>
      </w:r>
    </w:p>
    <w:p w14:paraId="581FE16A" w14:textId="462850CF" w:rsidR="005B155A" w:rsidRDefault="007E4D62" w:rsidP="00915471">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The simple answer is</w:t>
      </w:r>
      <w:r w:rsidR="00803471">
        <w:rPr>
          <w:rFonts w:ascii="Times New Roman" w:hAnsi="Times New Roman" w:cs="Times New Roman"/>
          <w:bCs/>
          <w:iCs/>
          <w:sz w:val="24"/>
          <w:szCs w:val="24"/>
        </w:rPr>
        <w:t xml:space="preserve"> that they would</w:t>
      </w:r>
      <w:r>
        <w:rPr>
          <w:rFonts w:ascii="Times New Roman" w:hAnsi="Times New Roman" w:cs="Times New Roman"/>
          <w:bCs/>
          <w:iCs/>
          <w:sz w:val="24"/>
          <w:szCs w:val="24"/>
        </w:rPr>
        <w:t xml:space="preserve"> </w:t>
      </w:r>
      <w:r w:rsidR="00803471">
        <w:rPr>
          <w:rFonts w:ascii="Times New Roman" w:hAnsi="Times New Roman" w:cs="Times New Roman"/>
          <w:bCs/>
          <w:iCs/>
          <w:sz w:val="24"/>
          <w:szCs w:val="24"/>
        </w:rPr>
        <w:t>not</w:t>
      </w:r>
      <w:r w:rsidR="00727182">
        <w:rPr>
          <w:rFonts w:ascii="Times New Roman" w:hAnsi="Times New Roman" w:cs="Times New Roman"/>
          <w:bCs/>
          <w:iCs/>
          <w:sz w:val="24"/>
          <w:szCs w:val="24"/>
        </w:rPr>
        <w:t xml:space="preserve">. The CRPD </w:t>
      </w:r>
      <w:r w:rsidR="00A55A80">
        <w:rPr>
          <w:rFonts w:ascii="Times New Roman" w:hAnsi="Times New Roman" w:cs="Times New Roman"/>
          <w:bCs/>
          <w:iCs/>
          <w:sz w:val="24"/>
          <w:szCs w:val="24"/>
        </w:rPr>
        <w:t>is absolute</w:t>
      </w:r>
      <w:r w:rsidR="00364311">
        <w:rPr>
          <w:rFonts w:ascii="Times New Roman" w:hAnsi="Times New Roman" w:cs="Times New Roman"/>
          <w:bCs/>
          <w:iCs/>
          <w:sz w:val="24"/>
          <w:szCs w:val="24"/>
        </w:rPr>
        <w:t>;</w:t>
      </w:r>
      <w:r w:rsidR="00BC48B3">
        <w:rPr>
          <w:rFonts w:ascii="Times New Roman" w:hAnsi="Times New Roman" w:cs="Times New Roman"/>
          <w:bCs/>
          <w:iCs/>
          <w:sz w:val="24"/>
          <w:szCs w:val="24"/>
        </w:rPr>
        <w:t xml:space="preserve"> </w:t>
      </w:r>
      <w:r w:rsidR="00364311">
        <w:rPr>
          <w:rFonts w:ascii="Times New Roman" w:hAnsi="Times New Roman" w:cs="Times New Roman"/>
          <w:bCs/>
          <w:iCs/>
          <w:sz w:val="24"/>
          <w:szCs w:val="24"/>
        </w:rPr>
        <w:t>n</w:t>
      </w:r>
      <w:r w:rsidR="00BC48B3">
        <w:rPr>
          <w:rFonts w:ascii="Times New Roman" w:hAnsi="Times New Roman" w:cs="Times New Roman"/>
          <w:bCs/>
          <w:iCs/>
          <w:sz w:val="24"/>
          <w:szCs w:val="24"/>
        </w:rPr>
        <w:t>owhere does it say that the domestic laws of a State Party can</w:t>
      </w:r>
      <w:r w:rsidR="00F42FE4">
        <w:rPr>
          <w:rFonts w:ascii="Times New Roman" w:hAnsi="Times New Roman" w:cs="Times New Roman"/>
          <w:bCs/>
          <w:iCs/>
          <w:sz w:val="24"/>
          <w:szCs w:val="24"/>
        </w:rPr>
        <w:t xml:space="preserve"> legitimately</w:t>
      </w:r>
      <w:r w:rsidR="00BC48B3">
        <w:rPr>
          <w:rFonts w:ascii="Times New Roman" w:hAnsi="Times New Roman" w:cs="Times New Roman"/>
          <w:bCs/>
          <w:iCs/>
          <w:sz w:val="24"/>
          <w:szCs w:val="24"/>
        </w:rPr>
        <w:t xml:space="preserve"> discriminate on the basis of disability where there is a pressing</w:t>
      </w:r>
      <w:r w:rsidR="006252A7">
        <w:rPr>
          <w:rFonts w:ascii="Times New Roman" w:hAnsi="Times New Roman" w:cs="Times New Roman"/>
          <w:bCs/>
          <w:iCs/>
          <w:sz w:val="24"/>
          <w:szCs w:val="24"/>
        </w:rPr>
        <w:t xml:space="preserve"> public policy</w:t>
      </w:r>
      <w:r w:rsidR="00BC48B3">
        <w:rPr>
          <w:rFonts w:ascii="Times New Roman" w:hAnsi="Times New Roman" w:cs="Times New Roman"/>
          <w:bCs/>
          <w:iCs/>
          <w:sz w:val="24"/>
          <w:szCs w:val="24"/>
        </w:rPr>
        <w:t xml:space="preserve"> </w:t>
      </w:r>
      <w:r w:rsidR="00B377F1">
        <w:rPr>
          <w:rFonts w:ascii="Times New Roman" w:hAnsi="Times New Roman" w:cs="Times New Roman"/>
          <w:bCs/>
          <w:iCs/>
          <w:sz w:val="24"/>
          <w:szCs w:val="24"/>
        </w:rPr>
        <w:t xml:space="preserve">reason to do so. In this way, the CRPD differs markedly from the ECHR, which </w:t>
      </w:r>
      <w:r w:rsidR="00E35C3D">
        <w:rPr>
          <w:rFonts w:ascii="Times New Roman" w:hAnsi="Times New Roman" w:cs="Times New Roman"/>
          <w:bCs/>
          <w:iCs/>
          <w:sz w:val="24"/>
          <w:szCs w:val="24"/>
        </w:rPr>
        <w:t>contains qualified rights</w:t>
      </w:r>
      <w:r w:rsidR="002740A1">
        <w:rPr>
          <w:rFonts w:ascii="Times New Roman" w:hAnsi="Times New Roman" w:cs="Times New Roman"/>
          <w:bCs/>
          <w:iCs/>
          <w:sz w:val="24"/>
          <w:szCs w:val="24"/>
        </w:rPr>
        <w:t xml:space="preserve"> to which</w:t>
      </w:r>
      <w:r w:rsidR="001A66A9">
        <w:rPr>
          <w:rFonts w:ascii="Times New Roman" w:hAnsi="Times New Roman" w:cs="Times New Roman"/>
          <w:bCs/>
          <w:iCs/>
          <w:sz w:val="24"/>
          <w:szCs w:val="24"/>
        </w:rPr>
        <w:t xml:space="preserve"> </w:t>
      </w:r>
      <w:r w:rsidR="00364311">
        <w:rPr>
          <w:rFonts w:ascii="Times New Roman" w:hAnsi="Times New Roman" w:cs="Times New Roman"/>
          <w:bCs/>
          <w:iCs/>
          <w:sz w:val="24"/>
          <w:szCs w:val="24"/>
        </w:rPr>
        <w:t>such</w:t>
      </w:r>
      <w:r w:rsidR="002740A1">
        <w:rPr>
          <w:rFonts w:ascii="Times New Roman" w:hAnsi="Times New Roman" w:cs="Times New Roman"/>
          <w:bCs/>
          <w:iCs/>
          <w:sz w:val="24"/>
          <w:szCs w:val="24"/>
        </w:rPr>
        <w:t xml:space="preserve"> </w:t>
      </w:r>
      <w:r w:rsidR="00DA744A">
        <w:rPr>
          <w:rFonts w:ascii="Times New Roman" w:hAnsi="Times New Roman" w:cs="Times New Roman"/>
          <w:bCs/>
          <w:iCs/>
          <w:sz w:val="24"/>
          <w:szCs w:val="24"/>
        </w:rPr>
        <w:t>caveats</w:t>
      </w:r>
      <w:r w:rsidR="001A66A9">
        <w:rPr>
          <w:rFonts w:ascii="Times New Roman" w:hAnsi="Times New Roman" w:cs="Times New Roman"/>
          <w:bCs/>
          <w:iCs/>
          <w:sz w:val="24"/>
          <w:szCs w:val="24"/>
        </w:rPr>
        <w:t xml:space="preserve"> </w:t>
      </w:r>
      <w:r w:rsidR="009C7303">
        <w:rPr>
          <w:rFonts w:ascii="Times New Roman" w:hAnsi="Times New Roman" w:cs="Times New Roman"/>
          <w:bCs/>
          <w:iCs/>
          <w:sz w:val="24"/>
          <w:szCs w:val="24"/>
        </w:rPr>
        <w:t xml:space="preserve">can </w:t>
      </w:r>
      <w:r w:rsidR="001A66A9">
        <w:rPr>
          <w:rFonts w:ascii="Times New Roman" w:hAnsi="Times New Roman" w:cs="Times New Roman"/>
          <w:bCs/>
          <w:iCs/>
          <w:sz w:val="24"/>
          <w:szCs w:val="24"/>
        </w:rPr>
        <w:t>apply</w:t>
      </w:r>
      <w:r w:rsidR="00E35C3D">
        <w:rPr>
          <w:rFonts w:ascii="Times New Roman" w:hAnsi="Times New Roman" w:cs="Times New Roman"/>
          <w:bCs/>
          <w:iCs/>
          <w:sz w:val="24"/>
          <w:szCs w:val="24"/>
        </w:rPr>
        <w:t>.</w:t>
      </w:r>
      <w:r w:rsidR="00E35C3D">
        <w:rPr>
          <w:rStyle w:val="FootnoteReference"/>
          <w:rFonts w:cs="Times New Roman"/>
          <w:bCs/>
          <w:iCs/>
          <w:szCs w:val="24"/>
        </w:rPr>
        <w:footnoteReference w:id="170"/>
      </w:r>
      <w:r w:rsidR="001A66A9">
        <w:rPr>
          <w:rFonts w:ascii="Times New Roman" w:hAnsi="Times New Roman" w:cs="Times New Roman"/>
          <w:bCs/>
          <w:iCs/>
          <w:sz w:val="24"/>
          <w:szCs w:val="24"/>
        </w:rPr>
        <w:t xml:space="preserve"> States Parties to the CRPD</w:t>
      </w:r>
      <w:r w:rsidR="00BC48B3">
        <w:rPr>
          <w:rFonts w:ascii="Times New Roman" w:hAnsi="Times New Roman" w:cs="Times New Roman"/>
          <w:bCs/>
          <w:iCs/>
          <w:sz w:val="24"/>
          <w:szCs w:val="24"/>
        </w:rPr>
        <w:t xml:space="preserve"> </w:t>
      </w:r>
      <w:r w:rsidR="0094217C">
        <w:rPr>
          <w:rFonts w:ascii="Times New Roman" w:hAnsi="Times New Roman" w:cs="Times New Roman"/>
          <w:bCs/>
          <w:iCs/>
          <w:sz w:val="24"/>
          <w:szCs w:val="24"/>
        </w:rPr>
        <w:t xml:space="preserve">undertake ‘to ensure and promote the full realisation of all human rights and fundamental freedoms for all persons with disabilities </w:t>
      </w:r>
      <w:r w:rsidR="0094217C">
        <w:rPr>
          <w:rFonts w:ascii="Times New Roman" w:hAnsi="Times New Roman" w:cs="Times New Roman"/>
          <w:bCs/>
          <w:i/>
          <w:iCs/>
          <w:sz w:val="24"/>
          <w:szCs w:val="24"/>
        </w:rPr>
        <w:t xml:space="preserve">without any discrimination of any kind </w:t>
      </w:r>
      <w:r w:rsidR="0094217C">
        <w:rPr>
          <w:rFonts w:ascii="Times New Roman" w:hAnsi="Times New Roman" w:cs="Times New Roman"/>
          <w:bCs/>
          <w:i/>
          <w:iCs/>
          <w:sz w:val="24"/>
          <w:szCs w:val="24"/>
        </w:rPr>
        <w:lastRenderedPageBreak/>
        <w:t>on the basis of disability</w:t>
      </w:r>
      <w:r w:rsidR="0094217C">
        <w:rPr>
          <w:rFonts w:ascii="Times New Roman" w:hAnsi="Times New Roman" w:cs="Times New Roman"/>
          <w:bCs/>
          <w:iCs/>
          <w:sz w:val="24"/>
          <w:szCs w:val="24"/>
        </w:rPr>
        <w:t>’.</w:t>
      </w:r>
      <w:r w:rsidR="000B7592">
        <w:rPr>
          <w:rStyle w:val="FootnoteReference"/>
          <w:rFonts w:cs="Times New Roman"/>
          <w:bCs/>
          <w:iCs/>
          <w:szCs w:val="24"/>
        </w:rPr>
        <w:footnoteReference w:id="171"/>
      </w:r>
      <w:r w:rsidR="001A66A9">
        <w:rPr>
          <w:rFonts w:ascii="Times New Roman" w:hAnsi="Times New Roman" w:cs="Times New Roman"/>
          <w:bCs/>
          <w:iCs/>
          <w:sz w:val="24"/>
          <w:szCs w:val="24"/>
        </w:rPr>
        <w:t xml:space="preserve"> </w:t>
      </w:r>
      <w:r w:rsidR="00921216">
        <w:rPr>
          <w:rFonts w:ascii="Times New Roman" w:hAnsi="Times New Roman" w:cs="Times New Roman"/>
          <w:bCs/>
          <w:iCs/>
          <w:sz w:val="24"/>
          <w:szCs w:val="24"/>
        </w:rPr>
        <w:t>It follows that</w:t>
      </w:r>
      <w:r w:rsidR="00941EE8">
        <w:rPr>
          <w:rFonts w:ascii="Times New Roman" w:hAnsi="Times New Roman" w:cs="Times New Roman"/>
          <w:bCs/>
          <w:iCs/>
          <w:sz w:val="24"/>
          <w:szCs w:val="24"/>
        </w:rPr>
        <w:t xml:space="preserve"> public policy justifications for the special rules are unlikely</w:t>
      </w:r>
      <w:r w:rsidR="00520684">
        <w:rPr>
          <w:rFonts w:ascii="Times New Roman" w:hAnsi="Times New Roman" w:cs="Times New Roman"/>
          <w:bCs/>
          <w:iCs/>
          <w:sz w:val="24"/>
          <w:szCs w:val="24"/>
        </w:rPr>
        <w:t xml:space="preserve"> ever</w:t>
      </w:r>
      <w:r w:rsidR="00941EE8">
        <w:rPr>
          <w:rFonts w:ascii="Times New Roman" w:hAnsi="Times New Roman" w:cs="Times New Roman"/>
          <w:bCs/>
          <w:iCs/>
          <w:sz w:val="24"/>
          <w:szCs w:val="24"/>
        </w:rPr>
        <w:t xml:space="preserve"> to </w:t>
      </w:r>
      <w:r w:rsidR="00464B8D">
        <w:rPr>
          <w:rFonts w:ascii="Times New Roman" w:hAnsi="Times New Roman" w:cs="Times New Roman"/>
          <w:bCs/>
          <w:iCs/>
          <w:sz w:val="24"/>
          <w:szCs w:val="24"/>
        </w:rPr>
        <w:t>be relevant</w:t>
      </w:r>
      <w:r w:rsidR="003F6E8A">
        <w:rPr>
          <w:rFonts w:ascii="Times New Roman" w:hAnsi="Times New Roman" w:cs="Times New Roman"/>
          <w:bCs/>
          <w:iCs/>
          <w:sz w:val="24"/>
          <w:szCs w:val="24"/>
        </w:rPr>
        <w:t>.</w:t>
      </w:r>
      <w:r w:rsidR="002E086F">
        <w:rPr>
          <w:rFonts w:ascii="Times New Roman" w:hAnsi="Times New Roman" w:cs="Times New Roman"/>
          <w:bCs/>
          <w:iCs/>
          <w:sz w:val="24"/>
          <w:szCs w:val="24"/>
        </w:rPr>
        <w:t xml:space="preserve"> </w:t>
      </w:r>
    </w:p>
    <w:p w14:paraId="5B570007" w14:textId="427E5B5B" w:rsidR="002E086F" w:rsidRDefault="002E086F" w:rsidP="00915471">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 xml:space="preserve">Even if the CRPD’s rights </w:t>
      </w:r>
      <w:r w:rsidRPr="00F611FF">
        <w:rPr>
          <w:rFonts w:ascii="Times New Roman" w:hAnsi="Times New Roman" w:cs="Times New Roman"/>
          <w:bCs/>
          <w:i/>
          <w:iCs/>
          <w:sz w:val="24"/>
          <w:szCs w:val="24"/>
        </w:rPr>
        <w:t>were</w:t>
      </w:r>
      <w:r>
        <w:rPr>
          <w:rFonts w:ascii="Times New Roman" w:hAnsi="Times New Roman" w:cs="Times New Roman"/>
          <w:bCs/>
          <w:iCs/>
          <w:sz w:val="24"/>
          <w:szCs w:val="24"/>
        </w:rPr>
        <w:t xml:space="preserve"> </w:t>
      </w:r>
      <w:r w:rsidR="00FB0241">
        <w:rPr>
          <w:rFonts w:ascii="Times New Roman" w:hAnsi="Times New Roman" w:cs="Times New Roman"/>
          <w:bCs/>
          <w:iCs/>
          <w:sz w:val="24"/>
          <w:szCs w:val="24"/>
        </w:rPr>
        <w:t>qualifiable</w:t>
      </w:r>
      <w:r>
        <w:rPr>
          <w:rFonts w:ascii="Times New Roman" w:hAnsi="Times New Roman" w:cs="Times New Roman"/>
          <w:bCs/>
          <w:iCs/>
          <w:sz w:val="24"/>
          <w:szCs w:val="24"/>
        </w:rPr>
        <w:t>, it is unlikely that</w:t>
      </w:r>
      <w:r w:rsidR="00950AA8">
        <w:rPr>
          <w:rFonts w:ascii="Times New Roman" w:hAnsi="Times New Roman" w:cs="Times New Roman"/>
          <w:bCs/>
          <w:iCs/>
          <w:sz w:val="24"/>
          <w:szCs w:val="24"/>
        </w:rPr>
        <w:t xml:space="preserve"> the public policy considerations which have proved</w:t>
      </w:r>
      <w:r w:rsidR="0069296C">
        <w:rPr>
          <w:rFonts w:ascii="Times New Roman" w:hAnsi="Times New Roman" w:cs="Times New Roman"/>
          <w:bCs/>
          <w:iCs/>
          <w:sz w:val="24"/>
          <w:szCs w:val="24"/>
        </w:rPr>
        <w:t xml:space="preserve"> to be so</w:t>
      </w:r>
      <w:r w:rsidR="00950AA8">
        <w:rPr>
          <w:rFonts w:ascii="Times New Roman" w:hAnsi="Times New Roman" w:cs="Times New Roman"/>
          <w:bCs/>
          <w:iCs/>
          <w:sz w:val="24"/>
          <w:szCs w:val="24"/>
        </w:rPr>
        <w:t xml:space="preserve"> influential before English courts would </w:t>
      </w:r>
      <w:r w:rsidR="007519C8">
        <w:rPr>
          <w:rFonts w:ascii="Times New Roman" w:hAnsi="Times New Roman" w:cs="Times New Roman"/>
          <w:bCs/>
          <w:iCs/>
          <w:sz w:val="24"/>
          <w:szCs w:val="24"/>
        </w:rPr>
        <w:t>have an</w:t>
      </w:r>
      <w:r w:rsidR="00754BD2">
        <w:rPr>
          <w:rFonts w:ascii="Times New Roman" w:hAnsi="Times New Roman" w:cs="Times New Roman"/>
          <w:bCs/>
          <w:iCs/>
          <w:sz w:val="24"/>
          <w:szCs w:val="24"/>
        </w:rPr>
        <w:t>y</w:t>
      </w:r>
      <w:r w:rsidR="007519C8">
        <w:rPr>
          <w:rFonts w:ascii="Times New Roman" w:hAnsi="Times New Roman" w:cs="Times New Roman"/>
          <w:bCs/>
          <w:iCs/>
          <w:sz w:val="24"/>
          <w:szCs w:val="24"/>
        </w:rPr>
        <w:t xml:space="preserve"> excusatory effect.</w:t>
      </w:r>
      <w:r w:rsidR="004D3470">
        <w:rPr>
          <w:rFonts w:ascii="Times New Roman" w:hAnsi="Times New Roman" w:cs="Times New Roman"/>
          <w:bCs/>
          <w:iCs/>
          <w:sz w:val="24"/>
          <w:szCs w:val="24"/>
        </w:rPr>
        <w:t xml:space="preserve"> According to the UN Human Rights Committee, not every differentiation will constitute discrimination ‘if the criteria for such differentiation are reasonable and objective</w:t>
      </w:r>
      <w:r w:rsidR="00304F03">
        <w:rPr>
          <w:rFonts w:ascii="Times New Roman" w:hAnsi="Times New Roman" w:cs="Times New Roman"/>
          <w:bCs/>
          <w:iCs/>
          <w:sz w:val="24"/>
          <w:szCs w:val="24"/>
        </w:rPr>
        <w:t xml:space="preserve"> and if the aim is to achieve a purpose which is legitimate</w:t>
      </w:r>
      <w:r w:rsidR="004D3470">
        <w:rPr>
          <w:rFonts w:ascii="Times New Roman" w:hAnsi="Times New Roman" w:cs="Times New Roman"/>
          <w:bCs/>
          <w:iCs/>
          <w:sz w:val="24"/>
          <w:szCs w:val="24"/>
        </w:rPr>
        <w:t>’.</w:t>
      </w:r>
      <w:r w:rsidR="004D3470">
        <w:rPr>
          <w:rStyle w:val="FootnoteReference"/>
          <w:rFonts w:cs="Times New Roman"/>
          <w:bCs/>
          <w:iCs/>
          <w:szCs w:val="24"/>
        </w:rPr>
        <w:footnoteReference w:id="172"/>
      </w:r>
      <w:r w:rsidR="00304F03">
        <w:rPr>
          <w:rFonts w:ascii="Times New Roman" w:hAnsi="Times New Roman" w:cs="Times New Roman"/>
          <w:bCs/>
          <w:iCs/>
          <w:sz w:val="24"/>
          <w:szCs w:val="24"/>
        </w:rPr>
        <w:t xml:space="preserve"> </w:t>
      </w:r>
      <w:r w:rsidR="00860536">
        <w:rPr>
          <w:rFonts w:ascii="Times New Roman" w:hAnsi="Times New Roman" w:cs="Times New Roman"/>
          <w:bCs/>
          <w:iCs/>
          <w:sz w:val="24"/>
          <w:szCs w:val="24"/>
        </w:rPr>
        <w:t xml:space="preserve">Leaving aside the </w:t>
      </w:r>
      <w:r w:rsidR="000150A1">
        <w:rPr>
          <w:rFonts w:ascii="Times New Roman" w:hAnsi="Times New Roman" w:cs="Times New Roman"/>
          <w:bCs/>
          <w:iCs/>
          <w:sz w:val="24"/>
          <w:szCs w:val="24"/>
        </w:rPr>
        <w:t>CRPD’s absolutist text</w:t>
      </w:r>
      <w:r w:rsidR="001C1122">
        <w:rPr>
          <w:rFonts w:ascii="Times New Roman" w:hAnsi="Times New Roman" w:cs="Times New Roman"/>
          <w:bCs/>
          <w:iCs/>
          <w:sz w:val="24"/>
          <w:szCs w:val="24"/>
        </w:rPr>
        <w:t xml:space="preserve">, </w:t>
      </w:r>
      <w:r w:rsidR="006928A7">
        <w:rPr>
          <w:rFonts w:ascii="Times New Roman" w:hAnsi="Times New Roman" w:cs="Times New Roman"/>
          <w:bCs/>
          <w:iCs/>
          <w:sz w:val="24"/>
          <w:szCs w:val="24"/>
        </w:rPr>
        <w:t xml:space="preserve">there is no way in which </w:t>
      </w:r>
      <w:r w:rsidR="00452026">
        <w:rPr>
          <w:rFonts w:ascii="Times New Roman" w:hAnsi="Times New Roman" w:cs="Times New Roman"/>
          <w:bCs/>
          <w:iCs/>
          <w:sz w:val="24"/>
          <w:szCs w:val="24"/>
        </w:rPr>
        <w:t>the</w:t>
      </w:r>
      <w:r w:rsidR="00796E57">
        <w:rPr>
          <w:rFonts w:ascii="Times New Roman" w:hAnsi="Times New Roman" w:cs="Times New Roman"/>
          <w:bCs/>
          <w:iCs/>
          <w:sz w:val="24"/>
          <w:szCs w:val="24"/>
        </w:rPr>
        <w:t xml:space="preserve"> policy reasons that justify tort law’s differential treatment </w:t>
      </w:r>
      <w:r w:rsidR="005237AD">
        <w:rPr>
          <w:rFonts w:ascii="Times New Roman" w:hAnsi="Times New Roman" w:cs="Times New Roman"/>
          <w:bCs/>
          <w:iCs/>
          <w:sz w:val="24"/>
          <w:szCs w:val="24"/>
        </w:rPr>
        <w:t xml:space="preserve">in </w:t>
      </w:r>
      <w:r w:rsidR="00796E57">
        <w:rPr>
          <w:rFonts w:ascii="Times New Roman" w:hAnsi="Times New Roman" w:cs="Times New Roman"/>
          <w:bCs/>
          <w:iCs/>
          <w:sz w:val="24"/>
          <w:szCs w:val="24"/>
        </w:rPr>
        <w:t xml:space="preserve">psychiatric injury cases </w:t>
      </w:r>
      <w:r w:rsidR="00731EAF">
        <w:rPr>
          <w:rFonts w:ascii="Times New Roman" w:hAnsi="Times New Roman" w:cs="Times New Roman"/>
          <w:bCs/>
          <w:iCs/>
          <w:sz w:val="24"/>
          <w:szCs w:val="24"/>
        </w:rPr>
        <w:t>would satisfy th</w:t>
      </w:r>
      <w:r w:rsidR="003C78A2">
        <w:rPr>
          <w:rFonts w:ascii="Times New Roman" w:hAnsi="Times New Roman" w:cs="Times New Roman"/>
          <w:bCs/>
          <w:iCs/>
          <w:sz w:val="24"/>
          <w:szCs w:val="24"/>
        </w:rPr>
        <w:t>at</w:t>
      </w:r>
      <w:r w:rsidR="00731EAF">
        <w:rPr>
          <w:rFonts w:ascii="Times New Roman" w:hAnsi="Times New Roman" w:cs="Times New Roman"/>
          <w:bCs/>
          <w:iCs/>
          <w:sz w:val="24"/>
          <w:szCs w:val="24"/>
        </w:rPr>
        <w:t xml:space="preserve"> ‘reasonable and objective’ threshold</w:t>
      </w:r>
      <w:r w:rsidR="00E260E8">
        <w:rPr>
          <w:rFonts w:ascii="Times New Roman" w:hAnsi="Times New Roman" w:cs="Times New Roman"/>
          <w:bCs/>
          <w:iCs/>
          <w:sz w:val="24"/>
          <w:szCs w:val="24"/>
        </w:rPr>
        <w:t xml:space="preserve"> in any case</w:t>
      </w:r>
      <w:r w:rsidR="0049280F">
        <w:rPr>
          <w:rFonts w:ascii="Times New Roman" w:hAnsi="Times New Roman" w:cs="Times New Roman"/>
          <w:bCs/>
          <w:iCs/>
          <w:sz w:val="24"/>
          <w:szCs w:val="24"/>
        </w:rPr>
        <w:t>. The</w:t>
      </w:r>
      <w:r w:rsidR="00C06227">
        <w:rPr>
          <w:rFonts w:ascii="Times New Roman" w:hAnsi="Times New Roman" w:cs="Times New Roman"/>
          <w:bCs/>
          <w:iCs/>
          <w:sz w:val="24"/>
          <w:szCs w:val="24"/>
        </w:rPr>
        <w:t>y</w:t>
      </w:r>
      <w:r w:rsidR="0049280F">
        <w:rPr>
          <w:rFonts w:ascii="Times New Roman" w:hAnsi="Times New Roman" w:cs="Times New Roman"/>
          <w:bCs/>
          <w:iCs/>
          <w:sz w:val="24"/>
          <w:szCs w:val="24"/>
        </w:rPr>
        <w:t xml:space="preserve"> have </w:t>
      </w:r>
      <w:r w:rsidR="009B27A4">
        <w:rPr>
          <w:rFonts w:ascii="Times New Roman" w:hAnsi="Times New Roman" w:cs="Times New Roman"/>
          <w:bCs/>
          <w:iCs/>
          <w:sz w:val="24"/>
          <w:szCs w:val="24"/>
        </w:rPr>
        <w:t xml:space="preserve">been repeatedly </w:t>
      </w:r>
      <w:r w:rsidR="00B71576">
        <w:rPr>
          <w:rFonts w:ascii="Times New Roman" w:hAnsi="Times New Roman" w:cs="Times New Roman"/>
          <w:bCs/>
          <w:iCs/>
          <w:sz w:val="24"/>
          <w:szCs w:val="24"/>
        </w:rPr>
        <w:t xml:space="preserve">and consistently </w:t>
      </w:r>
      <w:r w:rsidR="00F17B0C">
        <w:rPr>
          <w:rFonts w:ascii="Times New Roman" w:hAnsi="Times New Roman" w:cs="Times New Roman"/>
          <w:bCs/>
          <w:iCs/>
          <w:sz w:val="24"/>
          <w:szCs w:val="24"/>
        </w:rPr>
        <w:t xml:space="preserve">debunked </w:t>
      </w:r>
      <w:r w:rsidR="002D3A5B">
        <w:rPr>
          <w:rFonts w:ascii="Times New Roman" w:hAnsi="Times New Roman" w:cs="Times New Roman"/>
          <w:bCs/>
          <w:iCs/>
          <w:sz w:val="24"/>
          <w:szCs w:val="24"/>
        </w:rPr>
        <w:t>in the literature</w:t>
      </w:r>
      <w:r w:rsidR="006B35AC">
        <w:rPr>
          <w:rFonts w:ascii="Times New Roman" w:hAnsi="Times New Roman" w:cs="Times New Roman"/>
          <w:bCs/>
          <w:iCs/>
          <w:sz w:val="24"/>
          <w:szCs w:val="24"/>
        </w:rPr>
        <w:t xml:space="preserve"> over the years</w:t>
      </w:r>
      <w:r w:rsidR="002D3A5B">
        <w:rPr>
          <w:rFonts w:ascii="Times New Roman" w:hAnsi="Times New Roman" w:cs="Times New Roman"/>
          <w:bCs/>
          <w:iCs/>
          <w:sz w:val="24"/>
          <w:szCs w:val="24"/>
        </w:rPr>
        <w:t>.</w:t>
      </w:r>
      <w:bookmarkStart w:id="35" w:name="_Ref31128883"/>
      <w:r w:rsidR="009C4BD3">
        <w:rPr>
          <w:rStyle w:val="FootnoteReference"/>
          <w:rFonts w:cs="Times New Roman"/>
          <w:bCs/>
          <w:iCs/>
          <w:szCs w:val="24"/>
        </w:rPr>
        <w:footnoteReference w:id="173"/>
      </w:r>
      <w:bookmarkEnd w:id="35"/>
      <w:r w:rsidR="006B35AC">
        <w:rPr>
          <w:rFonts w:ascii="Times New Roman" w:hAnsi="Times New Roman" w:cs="Times New Roman"/>
          <w:bCs/>
          <w:iCs/>
          <w:sz w:val="24"/>
          <w:szCs w:val="24"/>
        </w:rPr>
        <w:t xml:space="preserve"> </w:t>
      </w:r>
      <w:r w:rsidR="00CE6C0D">
        <w:rPr>
          <w:rFonts w:ascii="Times New Roman" w:hAnsi="Times New Roman" w:cs="Times New Roman"/>
          <w:bCs/>
          <w:iCs/>
          <w:sz w:val="24"/>
          <w:szCs w:val="24"/>
        </w:rPr>
        <w:t xml:space="preserve">Even the courts </w:t>
      </w:r>
      <w:r w:rsidR="00ED2A52">
        <w:rPr>
          <w:rFonts w:ascii="Times New Roman" w:hAnsi="Times New Roman" w:cs="Times New Roman"/>
          <w:bCs/>
          <w:iCs/>
          <w:sz w:val="24"/>
          <w:szCs w:val="24"/>
        </w:rPr>
        <w:t>have begun to</w:t>
      </w:r>
      <w:r w:rsidR="0072157F">
        <w:rPr>
          <w:rFonts w:ascii="Times New Roman" w:hAnsi="Times New Roman" w:cs="Times New Roman"/>
          <w:bCs/>
          <w:iCs/>
          <w:sz w:val="24"/>
          <w:szCs w:val="24"/>
        </w:rPr>
        <w:t xml:space="preserve"> </w:t>
      </w:r>
      <w:r w:rsidR="00D740AA">
        <w:rPr>
          <w:rFonts w:ascii="Times New Roman" w:hAnsi="Times New Roman" w:cs="Times New Roman"/>
          <w:bCs/>
          <w:iCs/>
          <w:sz w:val="24"/>
          <w:szCs w:val="24"/>
        </w:rPr>
        <w:t>find</w:t>
      </w:r>
      <w:r w:rsidR="00136ABE">
        <w:rPr>
          <w:rFonts w:ascii="Times New Roman" w:hAnsi="Times New Roman" w:cs="Times New Roman"/>
          <w:bCs/>
          <w:iCs/>
          <w:sz w:val="24"/>
          <w:szCs w:val="24"/>
        </w:rPr>
        <w:t xml:space="preserve"> traditional</w:t>
      </w:r>
      <w:r w:rsidR="00790EA2">
        <w:rPr>
          <w:rFonts w:ascii="Times New Roman" w:hAnsi="Times New Roman" w:cs="Times New Roman"/>
          <w:bCs/>
          <w:iCs/>
          <w:sz w:val="24"/>
          <w:szCs w:val="24"/>
        </w:rPr>
        <w:t xml:space="preserve"> </w:t>
      </w:r>
      <w:r w:rsidR="00D740AA">
        <w:rPr>
          <w:rFonts w:ascii="Times New Roman" w:hAnsi="Times New Roman" w:cs="Times New Roman"/>
          <w:bCs/>
          <w:iCs/>
          <w:sz w:val="24"/>
          <w:szCs w:val="24"/>
        </w:rPr>
        <w:t>policy argument</w:t>
      </w:r>
      <w:r w:rsidR="00790EA2">
        <w:rPr>
          <w:rFonts w:ascii="Times New Roman" w:hAnsi="Times New Roman" w:cs="Times New Roman"/>
          <w:bCs/>
          <w:iCs/>
          <w:sz w:val="24"/>
          <w:szCs w:val="24"/>
        </w:rPr>
        <w:t>s</w:t>
      </w:r>
      <w:r w:rsidR="002B72FF">
        <w:rPr>
          <w:rFonts w:ascii="Times New Roman" w:hAnsi="Times New Roman" w:cs="Times New Roman"/>
          <w:bCs/>
          <w:iCs/>
          <w:sz w:val="24"/>
          <w:szCs w:val="24"/>
        </w:rPr>
        <w:t xml:space="preserve"> against the imposition of duties of care</w:t>
      </w:r>
      <w:r w:rsidR="00D740AA">
        <w:rPr>
          <w:rFonts w:ascii="Times New Roman" w:hAnsi="Times New Roman" w:cs="Times New Roman"/>
          <w:bCs/>
          <w:iCs/>
          <w:sz w:val="24"/>
          <w:szCs w:val="24"/>
        </w:rPr>
        <w:t xml:space="preserve"> </w:t>
      </w:r>
      <w:r w:rsidR="00790EA2">
        <w:rPr>
          <w:rFonts w:ascii="Times New Roman" w:hAnsi="Times New Roman" w:cs="Times New Roman"/>
          <w:bCs/>
          <w:iCs/>
          <w:sz w:val="24"/>
          <w:szCs w:val="24"/>
        </w:rPr>
        <w:t>unpersuasive</w:t>
      </w:r>
      <w:r w:rsidR="00D740AA">
        <w:rPr>
          <w:rFonts w:ascii="Times New Roman" w:hAnsi="Times New Roman" w:cs="Times New Roman"/>
          <w:bCs/>
          <w:iCs/>
          <w:sz w:val="24"/>
          <w:szCs w:val="24"/>
        </w:rPr>
        <w:t>.</w:t>
      </w:r>
      <w:r w:rsidR="00E676F0">
        <w:rPr>
          <w:rStyle w:val="FootnoteReference"/>
          <w:rFonts w:cs="Times New Roman"/>
          <w:bCs/>
          <w:iCs/>
          <w:szCs w:val="24"/>
        </w:rPr>
        <w:footnoteReference w:id="174"/>
      </w:r>
      <w:r w:rsidR="00415503">
        <w:rPr>
          <w:rFonts w:ascii="Times New Roman" w:hAnsi="Times New Roman" w:cs="Times New Roman"/>
          <w:bCs/>
          <w:iCs/>
          <w:sz w:val="24"/>
          <w:szCs w:val="24"/>
        </w:rPr>
        <w:t xml:space="preserve"> Against this backdrop, the </w:t>
      </w:r>
      <w:r w:rsidR="00453FA5">
        <w:rPr>
          <w:rFonts w:ascii="Times New Roman" w:hAnsi="Times New Roman" w:cs="Times New Roman"/>
          <w:bCs/>
          <w:iCs/>
          <w:sz w:val="24"/>
          <w:szCs w:val="24"/>
        </w:rPr>
        <w:t>continued influence of policy arguments in psychiatric injury cases make</w:t>
      </w:r>
      <w:r w:rsidR="00287314">
        <w:rPr>
          <w:rFonts w:ascii="Times New Roman" w:hAnsi="Times New Roman" w:cs="Times New Roman"/>
          <w:bCs/>
          <w:iCs/>
          <w:sz w:val="24"/>
          <w:szCs w:val="24"/>
        </w:rPr>
        <w:t>s</w:t>
      </w:r>
      <w:r w:rsidR="00453FA5">
        <w:rPr>
          <w:rFonts w:ascii="Times New Roman" w:hAnsi="Times New Roman" w:cs="Times New Roman"/>
          <w:bCs/>
          <w:iCs/>
          <w:sz w:val="24"/>
          <w:szCs w:val="24"/>
        </w:rPr>
        <w:t xml:space="preserve"> them a</w:t>
      </w:r>
      <w:r w:rsidR="00F44EC1">
        <w:rPr>
          <w:rFonts w:ascii="Times New Roman" w:hAnsi="Times New Roman" w:cs="Times New Roman"/>
          <w:bCs/>
          <w:iCs/>
          <w:sz w:val="24"/>
          <w:szCs w:val="24"/>
        </w:rPr>
        <w:t>n</w:t>
      </w:r>
      <w:r w:rsidR="00F96E4E">
        <w:rPr>
          <w:rFonts w:ascii="Times New Roman" w:hAnsi="Times New Roman" w:cs="Times New Roman"/>
          <w:bCs/>
          <w:iCs/>
          <w:sz w:val="24"/>
          <w:szCs w:val="24"/>
        </w:rPr>
        <w:t xml:space="preserve"> </w:t>
      </w:r>
      <w:r w:rsidR="00453FA5">
        <w:rPr>
          <w:rFonts w:ascii="Times New Roman" w:hAnsi="Times New Roman" w:cs="Times New Roman"/>
          <w:bCs/>
          <w:iCs/>
          <w:sz w:val="24"/>
          <w:szCs w:val="24"/>
        </w:rPr>
        <w:t>outlie</w:t>
      </w:r>
      <w:r w:rsidR="00F44EC1">
        <w:rPr>
          <w:rFonts w:ascii="Times New Roman" w:hAnsi="Times New Roman" w:cs="Times New Roman"/>
          <w:bCs/>
          <w:iCs/>
          <w:sz w:val="24"/>
          <w:szCs w:val="24"/>
        </w:rPr>
        <w:t>r.</w:t>
      </w:r>
      <w:r w:rsidR="005433B9">
        <w:rPr>
          <w:rFonts w:ascii="Times New Roman" w:hAnsi="Times New Roman" w:cs="Times New Roman"/>
          <w:bCs/>
          <w:iCs/>
          <w:sz w:val="24"/>
          <w:szCs w:val="24"/>
        </w:rPr>
        <w:t xml:space="preserve"> As Teff says, the special rules owe much to a ‘flawed socio-cultural legacy’</w:t>
      </w:r>
      <w:r w:rsidR="00530EB8">
        <w:rPr>
          <w:rFonts w:ascii="Times New Roman" w:hAnsi="Times New Roman" w:cs="Times New Roman"/>
          <w:bCs/>
          <w:iCs/>
          <w:sz w:val="24"/>
          <w:szCs w:val="24"/>
        </w:rPr>
        <w:t>,</w:t>
      </w:r>
      <w:r w:rsidR="00530EB8">
        <w:rPr>
          <w:rStyle w:val="FootnoteReference"/>
          <w:rFonts w:cs="Times New Roman"/>
          <w:bCs/>
          <w:iCs/>
          <w:szCs w:val="24"/>
        </w:rPr>
        <w:footnoteReference w:id="175"/>
      </w:r>
      <w:r w:rsidR="00530EB8">
        <w:rPr>
          <w:rFonts w:ascii="Times New Roman" w:hAnsi="Times New Roman" w:cs="Times New Roman"/>
          <w:bCs/>
          <w:iCs/>
          <w:sz w:val="24"/>
          <w:szCs w:val="24"/>
        </w:rPr>
        <w:t xml:space="preserve"> which</w:t>
      </w:r>
      <w:r w:rsidR="00831CA2">
        <w:rPr>
          <w:rFonts w:ascii="Times New Roman" w:hAnsi="Times New Roman" w:cs="Times New Roman"/>
          <w:bCs/>
          <w:iCs/>
          <w:sz w:val="24"/>
          <w:szCs w:val="24"/>
        </w:rPr>
        <w:t xml:space="preserve"> plainly</w:t>
      </w:r>
      <w:r w:rsidR="00530EB8">
        <w:rPr>
          <w:rFonts w:ascii="Times New Roman" w:hAnsi="Times New Roman" w:cs="Times New Roman"/>
          <w:bCs/>
          <w:iCs/>
          <w:sz w:val="24"/>
          <w:szCs w:val="24"/>
        </w:rPr>
        <w:t xml:space="preserve"> endures in the </w:t>
      </w:r>
      <w:r w:rsidR="00550528">
        <w:rPr>
          <w:rFonts w:ascii="Times New Roman" w:hAnsi="Times New Roman" w:cs="Times New Roman"/>
          <w:bCs/>
          <w:iCs/>
          <w:sz w:val="24"/>
          <w:szCs w:val="24"/>
        </w:rPr>
        <w:t>policy reasons that justify them.</w:t>
      </w:r>
      <w:r w:rsidR="004D0317">
        <w:rPr>
          <w:rFonts w:ascii="Times New Roman" w:hAnsi="Times New Roman" w:cs="Times New Roman"/>
          <w:bCs/>
          <w:iCs/>
          <w:sz w:val="24"/>
          <w:szCs w:val="24"/>
        </w:rPr>
        <w:t xml:space="preserve"> I</w:t>
      </w:r>
      <w:r w:rsidR="00F44EC1">
        <w:rPr>
          <w:rFonts w:ascii="Times New Roman" w:hAnsi="Times New Roman" w:cs="Times New Roman"/>
          <w:bCs/>
          <w:iCs/>
          <w:sz w:val="24"/>
          <w:szCs w:val="24"/>
        </w:rPr>
        <w:t xml:space="preserve">t is </w:t>
      </w:r>
      <w:r w:rsidR="004D0317">
        <w:rPr>
          <w:rFonts w:ascii="Times New Roman" w:hAnsi="Times New Roman" w:cs="Times New Roman"/>
          <w:bCs/>
          <w:iCs/>
          <w:sz w:val="24"/>
          <w:szCs w:val="24"/>
        </w:rPr>
        <w:t>unlikely that the</w:t>
      </w:r>
      <w:r w:rsidR="003C78A2">
        <w:rPr>
          <w:rFonts w:ascii="Times New Roman" w:hAnsi="Times New Roman" w:cs="Times New Roman"/>
          <w:bCs/>
          <w:iCs/>
          <w:sz w:val="24"/>
          <w:szCs w:val="24"/>
        </w:rPr>
        <w:t>y</w:t>
      </w:r>
      <w:r w:rsidR="00E228C7">
        <w:rPr>
          <w:rFonts w:ascii="Times New Roman" w:hAnsi="Times New Roman" w:cs="Times New Roman"/>
          <w:bCs/>
          <w:iCs/>
          <w:sz w:val="24"/>
          <w:szCs w:val="24"/>
        </w:rPr>
        <w:t xml:space="preserve"> would satisfy the ‘reasonable and objective’ threshold</w:t>
      </w:r>
      <w:r w:rsidR="006D22A1">
        <w:rPr>
          <w:rFonts w:ascii="Times New Roman" w:hAnsi="Times New Roman" w:cs="Times New Roman"/>
          <w:bCs/>
          <w:iCs/>
          <w:sz w:val="24"/>
          <w:szCs w:val="24"/>
        </w:rPr>
        <w:t>, even if differentiation were pe</w:t>
      </w:r>
      <w:r w:rsidR="005774FE">
        <w:rPr>
          <w:rFonts w:ascii="Times New Roman" w:hAnsi="Times New Roman" w:cs="Times New Roman"/>
          <w:bCs/>
          <w:iCs/>
          <w:sz w:val="24"/>
          <w:szCs w:val="24"/>
        </w:rPr>
        <w:t>rmissible under the CRPD</w:t>
      </w:r>
      <w:r w:rsidR="006D22A1">
        <w:rPr>
          <w:rFonts w:ascii="Times New Roman" w:hAnsi="Times New Roman" w:cs="Times New Roman"/>
          <w:bCs/>
          <w:iCs/>
          <w:sz w:val="24"/>
          <w:szCs w:val="24"/>
        </w:rPr>
        <w:t>.</w:t>
      </w:r>
    </w:p>
    <w:p w14:paraId="67D26CF9" w14:textId="41665130" w:rsidR="00A72C74" w:rsidRPr="00ED1C2E" w:rsidRDefault="00A72C74" w:rsidP="00ED1C2E">
      <w:pPr>
        <w:tabs>
          <w:tab w:val="left" w:pos="7864"/>
          <w:tab w:val="right" w:pos="9026"/>
        </w:tabs>
        <w:rPr>
          <w:rFonts w:ascii="Times New Roman" w:hAnsi="Times New Roman" w:cs="Times New Roman"/>
          <w:bCs/>
          <w:iCs/>
          <w:sz w:val="24"/>
          <w:szCs w:val="24"/>
        </w:rPr>
      </w:pPr>
      <w:r>
        <w:rPr>
          <w:rFonts w:ascii="Times New Roman" w:hAnsi="Times New Roman" w:cs="Times New Roman"/>
          <w:b/>
          <w:sz w:val="28"/>
          <w:szCs w:val="28"/>
        </w:rPr>
        <w:br w:type="page"/>
      </w:r>
    </w:p>
    <w:p w14:paraId="2B4308A3" w14:textId="13B0DE8F" w:rsidR="00751B2E" w:rsidRPr="00E154FA" w:rsidRDefault="00E154FA" w:rsidP="00E154FA">
      <w:pPr>
        <w:tabs>
          <w:tab w:val="left" w:pos="3631"/>
          <w:tab w:val="center" w:pos="4513"/>
        </w:tabs>
        <w:ind w:firstLine="0"/>
        <w:jc w:val="center"/>
        <w:rPr>
          <w:rFonts w:ascii="Times New Roman" w:hAnsi="Times New Roman" w:cs="Times New Roman"/>
          <w:b/>
          <w:sz w:val="24"/>
          <w:szCs w:val="24"/>
        </w:rPr>
      </w:pPr>
      <w:r w:rsidRPr="00E154FA">
        <w:rPr>
          <w:rFonts w:ascii="Times New Roman" w:hAnsi="Times New Roman" w:cs="Times New Roman"/>
          <w:b/>
          <w:sz w:val="24"/>
          <w:szCs w:val="24"/>
        </w:rPr>
        <w:lastRenderedPageBreak/>
        <w:t xml:space="preserve">PART </w:t>
      </w:r>
      <w:r w:rsidR="00EE6597">
        <w:rPr>
          <w:rFonts w:ascii="Times New Roman" w:hAnsi="Times New Roman" w:cs="Times New Roman"/>
          <w:b/>
          <w:sz w:val="24"/>
          <w:szCs w:val="24"/>
        </w:rPr>
        <w:t>3</w:t>
      </w:r>
      <w:r w:rsidRPr="00E154FA">
        <w:rPr>
          <w:rFonts w:ascii="Times New Roman" w:hAnsi="Times New Roman" w:cs="Times New Roman"/>
          <w:b/>
          <w:sz w:val="24"/>
          <w:szCs w:val="24"/>
        </w:rPr>
        <w:t xml:space="preserve">: </w:t>
      </w:r>
      <w:r w:rsidR="000E6986" w:rsidRPr="00E154FA">
        <w:rPr>
          <w:rFonts w:ascii="Times New Roman" w:hAnsi="Times New Roman" w:cs="Times New Roman"/>
          <w:b/>
          <w:sz w:val="24"/>
          <w:szCs w:val="24"/>
        </w:rPr>
        <w:t>REFORM</w:t>
      </w:r>
    </w:p>
    <w:p w14:paraId="03C2C1AB" w14:textId="77777777" w:rsidR="006B32CF" w:rsidRDefault="0016136D" w:rsidP="00F218DA">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Using</w:t>
      </w:r>
      <w:r w:rsidR="00E6776D">
        <w:rPr>
          <w:rFonts w:ascii="Times New Roman" w:hAnsi="Times New Roman" w:cs="Times New Roman"/>
          <w:sz w:val="24"/>
          <w:szCs w:val="24"/>
        </w:rPr>
        <w:t xml:space="preserve"> a</w:t>
      </w:r>
      <w:r>
        <w:rPr>
          <w:rFonts w:ascii="Times New Roman" w:hAnsi="Times New Roman" w:cs="Times New Roman"/>
          <w:sz w:val="24"/>
          <w:szCs w:val="24"/>
        </w:rPr>
        <w:t xml:space="preserve"> taxonomy</w:t>
      </w:r>
      <w:r w:rsidR="00E6776D">
        <w:rPr>
          <w:rFonts w:ascii="Times New Roman" w:hAnsi="Times New Roman" w:cs="Times New Roman"/>
          <w:sz w:val="24"/>
          <w:szCs w:val="24"/>
        </w:rPr>
        <w:t xml:space="preserve"> first devised by Jones</w:t>
      </w:r>
      <w:r w:rsidR="00EF7D05">
        <w:rPr>
          <w:rFonts w:ascii="Times New Roman" w:hAnsi="Times New Roman" w:cs="Times New Roman"/>
          <w:sz w:val="24"/>
          <w:szCs w:val="24"/>
        </w:rPr>
        <w:t xml:space="preserve">, this </w:t>
      </w:r>
      <w:r w:rsidR="00430DAE">
        <w:rPr>
          <w:rFonts w:ascii="Times New Roman" w:hAnsi="Times New Roman" w:cs="Times New Roman"/>
          <w:sz w:val="24"/>
          <w:szCs w:val="24"/>
        </w:rPr>
        <w:t>part</w:t>
      </w:r>
      <w:r w:rsidR="00EF7D05">
        <w:rPr>
          <w:rFonts w:ascii="Times New Roman" w:hAnsi="Times New Roman" w:cs="Times New Roman"/>
          <w:sz w:val="24"/>
          <w:szCs w:val="24"/>
        </w:rPr>
        <w:t xml:space="preserve"> evaluates the</w:t>
      </w:r>
      <w:r w:rsidR="008428A9">
        <w:rPr>
          <w:rFonts w:ascii="Times New Roman" w:hAnsi="Times New Roman" w:cs="Times New Roman"/>
          <w:sz w:val="24"/>
          <w:szCs w:val="24"/>
        </w:rPr>
        <w:t xml:space="preserve"> four</w:t>
      </w:r>
      <w:r w:rsidR="00351EDC">
        <w:rPr>
          <w:rFonts w:ascii="Times New Roman" w:hAnsi="Times New Roman" w:cs="Times New Roman"/>
          <w:sz w:val="24"/>
          <w:szCs w:val="24"/>
        </w:rPr>
        <w:t xml:space="preserve"> </w:t>
      </w:r>
      <w:r w:rsidR="001A6065">
        <w:rPr>
          <w:rFonts w:ascii="Times New Roman" w:hAnsi="Times New Roman" w:cs="Times New Roman"/>
          <w:sz w:val="24"/>
          <w:szCs w:val="24"/>
        </w:rPr>
        <w:t xml:space="preserve">main reform </w:t>
      </w:r>
      <w:r w:rsidR="00351EDC">
        <w:rPr>
          <w:rFonts w:ascii="Times New Roman" w:hAnsi="Times New Roman" w:cs="Times New Roman"/>
          <w:sz w:val="24"/>
          <w:szCs w:val="24"/>
        </w:rPr>
        <w:t>options</w:t>
      </w:r>
      <w:r w:rsidR="00346CC3">
        <w:rPr>
          <w:rFonts w:ascii="Times New Roman" w:hAnsi="Times New Roman" w:cs="Times New Roman"/>
          <w:sz w:val="24"/>
          <w:szCs w:val="24"/>
        </w:rPr>
        <w:t>:</w:t>
      </w:r>
      <w:r w:rsidR="004F57E7">
        <w:rPr>
          <w:rFonts w:ascii="Times New Roman" w:hAnsi="Times New Roman" w:cs="Times New Roman"/>
          <w:sz w:val="24"/>
          <w:szCs w:val="24"/>
        </w:rPr>
        <w:t xml:space="preserve"> </w:t>
      </w:r>
    </w:p>
    <w:p w14:paraId="61C5E667" w14:textId="77777777" w:rsidR="006B32CF" w:rsidRDefault="004F57E7" w:rsidP="0038566E">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w:t>
      </w:r>
      <w:r w:rsidR="00D97F77">
        <w:rPr>
          <w:rFonts w:ascii="Times New Roman" w:hAnsi="Times New Roman" w:cs="Times New Roman"/>
          <w:sz w:val="24"/>
          <w:szCs w:val="24"/>
        </w:rPr>
        <w:t>1</w:t>
      </w:r>
      <w:r>
        <w:rPr>
          <w:rFonts w:ascii="Times New Roman" w:hAnsi="Times New Roman" w:cs="Times New Roman"/>
          <w:sz w:val="24"/>
          <w:szCs w:val="24"/>
        </w:rPr>
        <w:t>)</w:t>
      </w:r>
      <w:r w:rsidR="00346CC3">
        <w:rPr>
          <w:rFonts w:ascii="Times New Roman" w:hAnsi="Times New Roman" w:cs="Times New Roman"/>
          <w:sz w:val="24"/>
          <w:szCs w:val="24"/>
        </w:rPr>
        <w:t xml:space="preserve"> </w:t>
      </w:r>
      <w:r w:rsidR="00594321">
        <w:rPr>
          <w:rFonts w:ascii="Times New Roman" w:hAnsi="Times New Roman" w:cs="Times New Roman"/>
          <w:sz w:val="24"/>
          <w:szCs w:val="24"/>
        </w:rPr>
        <w:t>retention</w:t>
      </w:r>
      <w:r w:rsidR="00346CC3">
        <w:rPr>
          <w:rFonts w:ascii="Times New Roman" w:hAnsi="Times New Roman" w:cs="Times New Roman"/>
          <w:sz w:val="24"/>
          <w:szCs w:val="24"/>
        </w:rPr>
        <w:t xml:space="preserve">, </w:t>
      </w:r>
    </w:p>
    <w:p w14:paraId="21A1E24C" w14:textId="77777777" w:rsidR="006B32CF" w:rsidRDefault="004F57E7" w:rsidP="0038566E">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w:t>
      </w:r>
      <w:r w:rsidR="00D97F77">
        <w:rPr>
          <w:rFonts w:ascii="Times New Roman" w:hAnsi="Times New Roman" w:cs="Times New Roman"/>
          <w:sz w:val="24"/>
          <w:szCs w:val="24"/>
        </w:rPr>
        <w:t>2</w:t>
      </w:r>
      <w:r>
        <w:rPr>
          <w:rFonts w:ascii="Times New Roman" w:hAnsi="Times New Roman" w:cs="Times New Roman"/>
          <w:sz w:val="24"/>
          <w:szCs w:val="24"/>
        </w:rPr>
        <w:t xml:space="preserve">) </w:t>
      </w:r>
      <w:r w:rsidR="00594321">
        <w:rPr>
          <w:rFonts w:ascii="Times New Roman" w:hAnsi="Times New Roman" w:cs="Times New Roman"/>
          <w:sz w:val="24"/>
          <w:szCs w:val="24"/>
        </w:rPr>
        <w:t>abolition</w:t>
      </w:r>
      <w:r w:rsidR="00346CC3">
        <w:rPr>
          <w:rFonts w:ascii="Times New Roman" w:hAnsi="Times New Roman" w:cs="Times New Roman"/>
          <w:sz w:val="24"/>
          <w:szCs w:val="24"/>
        </w:rPr>
        <w:t>,</w:t>
      </w:r>
      <w:r>
        <w:rPr>
          <w:rFonts w:ascii="Times New Roman" w:hAnsi="Times New Roman" w:cs="Times New Roman"/>
          <w:sz w:val="24"/>
          <w:szCs w:val="24"/>
        </w:rPr>
        <w:t xml:space="preserve"> </w:t>
      </w:r>
    </w:p>
    <w:p w14:paraId="108DD4C9" w14:textId="77777777" w:rsidR="006B32CF" w:rsidRDefault="004F57E7" w:rsidP="0038566E">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w:t>
      </w:r>
      <w:r w:rsidR="00D97F77">
        <w:rPr>
          <w:rFonts w:ascii="Times New Roman" w:hAnsi="Times New Roman" w:cs="Times New Roman"/>
          <w:sz w:val="24"/>
          <w:szCs w:val="24"/>
        </w:rPr>
        <w:t>3</w:t>
      </w:r>
      <w:r>
        <w:rPr>
          <w:rFonts w:ascii="Times New Roman" w:hAnsi="Times New Roman" w:cs="Times New Roman"/>
          <w:sz w:val="24"/>
          <w:szCs w:val="24"/>
        </w:rPr>
        <w:t>) ame</w:t>
      </w:r>
      <w:r w:rsidR="00346CC3">
        <w:rPr>
          <w:rFonts w:ascii="Times New Roman" w:hAnsi="Times New Roman" w:cs="Times New Roman"/>
          <w:sz w:val="24"/>
          <w:szCs w:val="24"/>
        </w:rPr>
        <w:t>nd</w:t>
      </w:r>
      <w:r w:rsidR="00225DD5">
        <w:rPr>
          <w:rFonts w:ascii="Times New Roman" w:hAnsi="Times New Roman" w:cs="Times New Roman"/>
          <w:sz w:val="24"/>
          <w:szCs w:val="24"/>
        </w:rPr>
        <w:t>ment,</w:t>
      </w:r>
      <w:r>
        <w:rPr>
          <w:rFonts w:ascii="Times New Roman" w:hAnsi="Times New Roman" w:cs="Times New Roman"/>
          <w:sz w:val="24"/>
          <w:szCs w:val="24"/>
        </w:rPr>
        <w:t xml:space="preserve"> and </w:t>
      </w:r>
    </w:p>
    <w:p w14:paraId="378E22BB" w14:textId="77777777" w:rsidR="006B32CF" w:rsidRDefault="004F57E7" w:rsidP="0038566E">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w:t>
      </w:r>
      <w:r w:rsidR="00D97F77">
        <w:rPr>
          <w:rFonts w:ascii="Times New Roman" w:hAnsi="Times New Roman" w:cs="Times New Roman"/>
          <w:sz w:val="24"/>
          <w:szCs w:val="24"/>
        </w:rPr>
        <w:t>4</w:t>
      </w:r>
      <w:r>
        <w:rPr>
          <w:rFonts w:ascii="Times New Roman" w:hAnsi="Times New Roman" w:cs="Times New Roman"/>
          <w:sz w:val="24"/>
          <w:szCs w:val="24"/>
        </w:rPr>
        <w:t>)</w:t>
      </w:r>
      <w:r w:rsidR="00950F3A">
        <w:rPr>
          <w:rFonts w:ascii="Times New Roman" w:hAnsi="Times New Roman" w:cs="Times New Roman"/>
          <w:sz w:val="24"/>
          <w:szCs w:val="24"/>
        </w:rPr>
        <w:t xml:space="preserve"> conceptual</w:t>
      </w:r>
      <w:r>
        <w:rPr>
          <w:rFonts w:ascii="Times New Roman" w:hAnsi="Times New Roman" w:cs="Times New Roman"/>
          <w:sz w:val="24"/>
          <w:szCs w:val="24"/>
        </w:rPr>
        <w:t xml:space="preserve"> </w:t>
      </w:r>
      <w:r w:rsidR="00E9101F">
        <w:rPr>
          <w:rFonts w:ascii="Times New Roman" w:hAnsi="Times New Roman" w:cs="Times New Roman"/>
          <w:sz w:val="24"/>
          <w:szCs w:val="24"/>
        </w:rPr>
        <w:t>unification</w:t>
      </w:r>
      <w:r w:rsidR="00D561E7">
        <w:rPr>
          <w:rFonts w:ascii="Times New Roman" w:hAnsi="Times New Roman" w:cs="Times New Roman"/>
          <w:sz w:val="24"/>
          <w:szCs w:val="24"/>
        </w:rPr>
        <w:t>.</w:t>
      </w:r>
      <w:r w:rsidR="00A85E67">
        <w:rPr>
          <w:rStyle w:val="FootnoteReference"/>
          <w:rFonts w:cs="Times New Roman"/>
          <w:szCs w:val="24"/>
        </w:rPr>
        <w:footnoteReference w:id="176"/>
      </w:r>
      <w:r w:rsidR="00F218DA">
        <w:rPr>
          <w:rFonts w:ascii="Times New Roman" w:hAnsi="Times New Roman" w:cs="Times New Roman"/>
          <w:sz w:val="24"/>
          <w:szCs w:val="24"/>
        </w:rPr>
        <w:t xml:space="preserve"> </w:t>
      </w:r>
    </w:p>
    <w:p w14:paraId="0E6D87EC" w14:textId="694040B2" w:rsidR="00C504F0" w:rsidRDefault="00351F65" w:rsidP="00F218DA">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 xml:space="preserve">There are two points worth making at this juncture. </w:t>
      </w:r>
      <w:r w:rsidR="006E7B6E">
        <w:rPr>
          <w:rFonts w:ascii="Times New Roman" w:hAnsi="Times New Roman" w:cs="Times New Roman"/>
          <w:sz w:val="24"/>
          <w:szCs w:val="24"/>
        </w:rPr>
        <w:t>First,</w:t>
      </w:r>
      <w:r w:rsidR="00167510">
        <w:rPr>
          <w:rFonts w:ascii="Times New Roman" w:hAnsi="Times New Roman" w:cs="Times New Roman"/>
          <w:sz w:val="24"/>
          <w:szCs w:val="24"/>
        </w:rPr>
        <w:t xml:space="preserve"> </w:t>
      </w:r>
      <w:r w:rsidR="008A0C5C">
        <w:rPr>
          <w:rFonts w:ascii="Times New Roman" w:hAnsi="Times New Roman" w:cs="Times New Roman"/>
          <w:sz w:val="24"/>
          <w:szCs w:val="24"/>
        </w:rPr>
        <w:t>Parliament</w:t>
      </w:r>
      <w:r w:rsidR="00B71FE6">
        <w:rPr>
          <w:rFonts w:ascii="Times New Roman" w:hAnsi="Times New Roman" w:cs="Times New Roman"/>
          <w:sz w:val="24"/>
          <w:szCs w:val="24"/>
        </w:rPr>
        <w:t xml:space="preserve"> is the most likely source of reform</w:t>
      </w:r>
      <w:r w:rsidR="006E7B6E">
        <w:rPr>
          <w:rFonts w:ascii="Times New Roman" w:hAnsi="Times New Roman" w:cs="Times New Roman"/>
          <w:sz w:val="24"/>
          <w:szCs w:val="24"/>
        </w:rPr>
        <w:t>.</w:t>
      </w:r>
      <w:r w:rsidR="00751D7D">
        <w:rPr>
          <w:rFonts w:ascii="Times New Roman" w:hAnsi="Times New Roman" w:cs="Times New Roman"/>
          <w:sz w:val="24"/>
          <w:szCs w:val="24"/>
        </w:rPr>
        <w:t xml:space="preserve"> The obvious reason for this is </w:t>
      </w:r>
      <w:r w:rsidR="000E0A8E">
        <w:rPr>
          <w:rFonts w:ascii="Times New Roman" w:hAnsi="Times New Roman" w:cs="Times New Roman"/>
          <w:sz w:val="24"/>
          <w:szCs w:val="24"/>
        </w:rPr>
        <w:t>that the CRPD imposes duties upon its States Parties</w:t>
      </w:r>
      <w:r w:rsidR="000C56DE">
        <w:rPr>
          <w:rFonts w:ascii="Times New Roman" w:hAnsi="Times New Roman" w:cs="Times New Roman"/>
          <w:sz w:val="24"/>
          <w:szCs w:val="24"/>
        </w:rPr>
        <w:t xml:space="preserve"> and</w:t>
      </w:r>
      <w:r w:rsidR="0093111A">
        <w:rPr>
          <w:rFonts w:ascii="Times New Roman" w:hAnsi="Times New Roman" w:cs="Times New Roman"/>
          <w:sz w:val="24"/>
          <w:szCs w:val="24"/>
        </w:rPr>
        <w:t xml:space="preserve"> </w:t>
      </w:r>
      <w:r w:rsidR="00756E3D">
        <w:rPr>
          <w:rFonts w:ascii="Times New Roman" w:hAnsi="Times New Roman" w:cs="Times New Roman"/>
          <w:sz w:val="24"/>
          <w:szCs w:val="24"/>
        </w:rPr>
        <w:t>its</w:t>
      </w:r>
      <w:r w:rsidR="0093111A">
        <w:rPr>
          <w:rFonts w:ascii="Times New Roman" w:hAnsi="Times New Roman" w:cs="Times New Roman"/>
          <w:sz w:val="24"/>
          <w:szCs w:val="24"/>
        </w:rPr>
        <w:t xml:space="preserve"> incorporation </w:t>
      </w:r>
      <w:r w:rsidR="002D14A2">
        <w:rPr>
          <w:rFonts w:ascii="Times New Roman" w:hAnsi="Times New Roman" w:cs="Times New Roman"/>
          <w:sz w:val="24"/>
          <w:szCs w:val="24"/>
        </w:rPr>
        <w:t>is</w:t>
      </w:r>
      <w:r w:rsidR="00101AC2">
        <w:rPr>
          <w:rFonts w:ascii="Times New Roman" w:hAnsi="Times New Roman" w:cs="Times New Roman"/>
          <w:sz w:val="24"/>
          <w:szCs w:val="24"/>
        </w:rPr>
        <w:t xml:space="preserve"> solely</w:t>
      </w:r>
      <w:r w:rsidR="002D14A2">
        <w:rPr>
          <w:rFonts w:ascii="Times New Roman" w:hAnsi="Times New Roman" w:cs="Times New Roman"/>
          <w:sz w:val="24"/>
          <w:szCs w:val="24"/>
        </w:rPr>
        <w:t xml:space="preserve"> a matter for Parliament</w:t>
      </w:r>
      <w:r w:rsidR="000E0A8E">
        <w:rPr>
          <w:rFonts w:ascii="Times New Roman" w:hAnsi="Times New Roman" w:cs="Times New Roman"/>
          <w:sz w:val="24"/>
          <w:szCs w:val="24"/>
        </w:rPr>
        <w:t>.</w:t>
      </w:r>
      <w:r w:rsidR="00E732A9">
        <w:rPr>
          <w:rStyle w:val="FootnoteReference"/>
          <w:rFonts w:cs="Times New Roman"/>
          <w:szCs w:val="24"/>
        </w:rPr>
        <w:footnoteReference w:id="177"/>
      </w:r>
      <w:r w:rsidR="000E0A8E">
        <w:rPr>
          <w:rFonts w:ascii="Times New Roman" w:hAnsi="Times New Roman" w:cs="Times New Roman"/>
          <w:sz w:val="24"/>
          <w:szCs w:val="24"/>
        </w:rPr>
        <w:t xml:space="preserve"> </w:t>
      </w:r>
      <w:r w:rsidR="00DF6D38">
        <w:rPr>
          <w:rFonts w:ascii="Times New Roman" w:hAnsi="Times New Roman" w:cs="Times New Roman"/>
          <w:sz w:val="24"/>
          <w:szCs w:val="24"/>
        </w:rPr>
        <w:t xml:space="preserve">This is not to say that judicial </w:t>
      </w:r>
      <w:r w:rsidR="000B7D3F">
        <w:rPr>
          <w:rFonts w:ascii="Times New Roman" w:hAnsi="Times New Roman" w:cs="Times New Roman"/>
          <w:sz w:val="24"/>
          <w:szCs w:val="24"/>
        </w:rPr>
        <w:t>innovation</w:t>
      </w:r>
      <w:r w:rsidR="00372D3F">
        <w:rPr>
          <w:rFonts w:ascii="Times New Roman" w:hAnsi="Times New Roman" w:cs="Times New Roman"/>
          <w:sz w:val="24"/>
          <w:szCs w:val="24"/>
        </w:rPr>
        <w:t xml:space="preserve"> </w:t>
      </w:r>
      <w:r w:rsidR="000B37AB">
        <w:rPr>
          <w:rFonts w:ascii="Times New Roman" w:hAnsi="Times New Roman" w:cs="Times New Roman"/>
          <w:sz w:val="24"/>
          <w:szCs w:val="24"/>
        </w:rPr>
        <w:t>is out of the question</w:t>
      </w:r>
      <w:r w:rsidR="00254C23">
        <w:rPr>
          <w:rFonts w:ascii="Times New Roman" w:hAnsi="Times New Roman" w:cs="Times New Roman"/>
          <w:sz w:val="24"/>
          <w:szCs w:val="24"/>
        </w:rPr>
        <w:t>: t</w:t>
      </w:r>
      <w:r w:rsidR="003A2279">
        <w:rPr>
          <w:rFonts w:ascii="Times New Roman" w:hAnsi="Times New Roman" w:cs="Times New Roman"/>
          <w:sz w:val="24"/>
          <w:szCs w:val="24"/>
        </w:rPr>
        <w:t>he courts have flirted with ‘theoretical equivalency’ between physical and psychiatric injuries.</w:t>
      </w:r>
      <w:r w:rsidR="003A2279">
        <w:rPr>
          <w:rStyle w:val="FootnoteReference"/>
          <w:rFonts w:cs="Times New Roman"/>
          <w:szCs w:val="24"/>
        </w:rPr>
        <w:footnoteReference w:id="178"/>
      </w:r>
      <w:r w:rsidR="003A2279">
        <w:rPr>
          <w:rFonts w:ascii="Times New Roman" w:hAnsi="Times New Roman" w:cs="Times New Roman"/>
          <w:sz w:val="24"/>
          <w:szCs w:val="24"/>
        </w:rPr>
        <w:t xml:space="preserve"> </w:t>
      </w:r>
      <w:r w:rsidR="00756E3D">
        <w:rPr>
          <w:rFonts w:ascii="Times New Roman" w:hAnsi="Times New Roman" w:cs="Times New Roman"/>
          <w:sz w:val="24"/>
          <w:szCs w:val="24"/>
        </w:rPr>
        <w:t>P</w:t>
      </w:r>
      <w:r w:rsidR="003A2279">
        <w:rPr>
          <w:rFonts w:ascii="Times New Roman" w:hAnsi="Times New Roman" w:cs="Times New Roman"/>
          <w:sz w:val="24"/>
          <w:szCs w:val="24"/>
        </w:rPr>
        <w:t xml:space="preserve">rior to </w:t>
      </w:r>
      <w:r w:rsidR="003A2279">
        <w:rPr>
          <w:rFonts w:ascii="Times New Roman" w:hAnsi="Times New Roman" w:cs="Times New Roman"/>
          <w:i/>
          <w:iCs/>
          <w:sz w:val="24"/>
          <w:szCs w:val="24"/>
        </w:rPr>
        <w:t>Alcock</w:t>
      </w:r>
      <w:r w:rsidR="003A2279">
        <w:rPr>
          <w:rFonts w:ascii="Times New Roman" w:hAnsi="Times New Roman" w:cs="Times New Roman"/>
          <w:sz w:val="24"/>
          <w:szCs w:val="24"/>
        </w:rPr>
        <w:t>, the lower courts applied a simple test of ‘reasonable foreseeability of psychiatric damage’ in two negligence cases.</w:t>
      </w:r>
      <w:r w:rsidR="003A2279">
        <w:rPr>
          <w:rStyle w:val="FootnoteReference"/>
          <w:rFonts w:cs="Times New Roman"/>
          <w:szCs w:val="24"/>
        </w:rPr>
        <w:footnoteReference w:id="179"/>
      </w:r>
      <w:r w:rsidR="003A2279">
        <w:rPr>
          <w:rFonts w:ascii="Times New Roman" w:hAnsi="Times New Roman" w:cs="Times New Roman"/>
          <w:sz w:val="24"/>
          <w:szCs w:val="24"/>
        </w:rPr>
        <w:t xml:space="preserve"> There was also optimism that improvements in scientific understanding </w:t>
      </w:r>
      <w:r w:rsidR="00756E3D">
        <w:rPr>
          <w:rFonts w:ascii="Times New Roman" w:hAnsi="Times New Roman" w:cs="Times New Roman"/>
          <w:sz w:val="24"/>
          <w:szCs w:val="24"/>
        </w:rPr>
        <w:t xml:space="preserve">would </w:t>
      </w:r>
      <w:r w:rsidR="003A2279">
        <w:rPr>
          <w:rFonts w:ascii="Times New Roman" w:hAnsi="Times New Roman" w:cs="Times New Roman"/>
          <w:sz w:val="24"/>
          <w:szCs w:val="24"/>
        </w:rPr>
        <w:t>lead the courts to change direction.</w:t>
      </w:r>
      <w:r w:rsidR="003A2279">
        <w:rPr>
          <w:rStyle w:val="FootnoteReference"/>
          <w:rFonts w:cs="Times New Roman"/>
          <w:szCs w:val="24"/>
        </w:rPr>
        <w:footnoteReference w:id="180"/>
      </w:r>
      <w:r w:rsidR="003A2279">
        <w:rPr>
          <w:rFonts w:ascii="Times New Roman" w:hAnsi="Times New Roman" w:cs="Times New Roman"/>
          <w:sz w:val="24"/>
          <w:szCs w:val="24"/>
        </w:rPr>
        <w:t xml:space="preserve"> However, they have since insisted on the differential treatment of psychiatric injury cases,</w:t>
      </w:r>
      <w:r w:rsidR="003A2279" w:rsidRPr="00087F79">
        <w:rPr>
          <w:rStyle w:val="FootnoteReference"/>
          <w:rFonts w:cs="Times New Roman"/>
          <w:szCs w:val="24"/>
        </w:rPr>
        <w:t xml:space="preserve"> </w:t>
      </w:r>
      <w:r w:rsidR="003A2279">
        <w:rPr>
          <w:rStyle w:val="FootnoteReference"/>
          <w:rFonts w:cs="Times New Roman"/>
          <w:szCs w:val="24"/>
        </w:rPr>
        <w:footnoteReference w:id="181"/>
      </w:r>
      <w:r w:rsidR="003A2279">
        <w:rPr>
          <w:rFonts w:ascii="Times New Roman" w:hAnsi="Times New Roman" w:cs="Times New Roman"/>
          <w:sz w:val="24"/>
          <w:szCs w:val="24"/>
        </w:rPr>
        <w:t xml:space="preserve"> repudiating any equivalency as a matter of law and overlooking any advances in scientific knowledge. There </w:t>
      </w:r>
      <w:r w:rsidR="009C7200">
        <w:rPr>
          <w:rFonts w:ascii="Times New Roman" w:hAnsi="Times New Roman" w:cs="Times New Roman"/>
          <w:sz w:val="24"/>
          <w:szCs w:val="24"/>
        </w:rPr>
        <w:t>may</w:t>
      </w:r>
      <w:r w:rsidR="003A2279">
        <w:rPr>
          <w:rFonts w:ascii="Times New Roman" w:hAnsi="Times New Roman" w:cs="Times New Roman"/>
          <w:sz w:val="24"/>
          <w:szCs w:val="24"/>
        </w:rPr>
        <w:t xml:space="preserve"> also</w:t>
      </w:r>
      <w:r w:rsidR="009C7200">
        <w:rPr>
          <w:rFonts w:ascii="Times New Roman" w:hAnsi="Times New Roman" w:cs="Times New Roman"/>
          <w:sz w:val="24"/>
          <w:szCs w:val="24"/>
        </w:rPr>
        <w:t xml:space="preserve"> be</w:t>
      </w:r>
      <w:r w:rsidR="003A2279">
        <w:rPr>
          <w:rFonts w:ascii="Times New Roman" w:hAnsi="Times New Roman" w:cs="Times New Roman"/>
          <w:sz w:val="24"/>
          <w:szCs w:val="24"/>
        </w:rPr>
        <w:t xml:space="preserve"> a question </w:t>
      </w:r>
      <w:r w:rsidR="006E2B50">
        <w:rPr>
          <w:rFonts w:ascii="Times New Roman" w:hAnsi="Times New Roman" w:cs="Times New Roman"/>
          <w:sz w:val="24"/>
          <w:szCs w:val="24"/>
        </w:rPr>
        <w:t>of</w:t>
      </w:r>
      <w:r w:rsidR="003A2279">
        <w:rPr>
          <w:rFonts w:ascii="Times New Roman" w:hAnsi="Times New Roman" w:cs="Times New Roman"/>
          <w:sz w:val="24"/>
          <w:szCs w:val="24"/>
        </w:rPr>
        <w:t xml:space="preserve"> practicalities: </w:t>
      </w:r>
      <w:r w:rsidR="00CC3BD0">
        <w:rPr>
          <w:rFonts w:ascii="Times New Roman" w:hAnsi="Times New Roman" w:cs="Times New Roman"/>
          <w:sz w:val="24"/>
          <w:szCs w:val="24"/>
        </w:rPr>
        <w:t>Teff argued that ‘court-led reform’ is ‘ill-suited to producing a coherent, comprehensive framework’</w:t>
      </w:r>
      <w:r w:rsidR="00C415EF">
        <w:rPr>
          <w:rFonts w:ascii="Times New Roman" w:hAnsi="Times New Roman" w:cs="Times New Roman"/>
          <w:sz w:val="24"/>
          <w:szCs w:val="24"/>
        </w:rPr>
        <w:t xml:space="preserve"> in this area</w:t>
      </w:r>
      <w:r w:rsidR="00CC3BD0">
        <w:rPr>
          <w:rFonts w:ascii="Times New Roman" w:hAnsi="Times New Roman" w:cs="Times New Roman"/>
          <w:sz w:val="24"/>
          <w:szCs w:val="24"/>
        </w:rPr>
        <w:t>.</w:t>
      </w:r>
      <w:r w:rsidR="00DE4030">
        <w:rPr>
          <w:rStyle w:val="FootnoteReference"/>
          <w:rFonts w:cs="Times New Roman"/>
          <w:szCs w:val="24"/>
        </w:rPr>
        <w:footnoteReference w:id="182"/>
      </w:r>
    </w:p>
    <w:p w14:paraId="4533786C" w14:textId="431DC4E9" w:rsidR="00F10AE4" w:rsidRDefault="000D449A"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Second,</w:t>
      </w:r>
      <w:r w:rsidR="00C504F0">
        <w:rPr>
          <w:rFonts w:ascii="Times New Roman" w:hAnsi="Times New Roman" w:cs="Times New Roman"/>
          <w:sz w:val="24"/>
          <w:szCs w:val="24"/>
        </w:rPr>
        <w:t xml:space="preserve"> </w:t>
      </w:r>
      <w:r w:rsidR="00001063">
        <w:rPr>
          <w:rFonts w:ascii="Times New Roman" w:hAnsi="Times New Roman" w:cs="Times New Roman"/>
          <w:sz w:val="24"/>
          <w:szCs w:val="24"/>
        </w:rPr>
        <w:t>there have</w:t>
      </w:r>
      <w:r w:rsidR="00982CC5">
        <w:rPr>
          <w:rFonts w:ascii="Times New Roman" w:hAnsi="Times New Roman" w:cs="Times New Roman"/>
          <w:sz w:val="24"/>
          <w:szCs w:val="24"/>
        </w:rPr>
        <w:t xml:space="preserve"> long</w:t>
      </w:r>
      <w:r w:rsidR="00001063">
        <w:rPr>
          <w:rFonts w:ascii="Times New Roman" w:hAnsi="Times New Roman" w:cs="Times New Roman"/>
          <w:sz w:val="24"/>
          <w:szCs w:val="24"/>
        </w:rPr>
        <w:t xml:space="preserve"> been calls to rectify the dissonance which the special rules bring to </w:t>
      </w:r>
      <w:r w:rsidR="00BE5DC1">
        <w:rPr>
          <w:rFonts w:ascii="Times New Roman" w:hAnsi="Times New Roman" w:cs="Times New Roman"/>
          <w:sz w:val="24"/>
          <w:szCs w:val="24"/>
        </w:rPr>
        <w:t>negligence</w:t>
      </w:r>
      <w:r w:rsidR="00001063">
        <w:rPr>
          <w:rFonts w:ascii="Times New Roman" w:hAnsi="Times New Roman" w:cs="Times New Roman"/>
          <w:sz w:val="24"/>
          <w:szCs w:val="24"/>
        </w:rPr>
        <w:t>.</w:t>
      </w:r>
      <w:r w:rsidR="00BE26CC">
        <w:rPr>
          <w:rFonts w:ascii="Times New Roman" w:hAnsi="Times New Roman" w:cs="Times New Roman"/>
          <w:sz w:val="24"/>
          <w:szCs w:val="24"/>
        </w:rPr>
        <w:t xml:space="preserve"> </w:t>
      </w:r>
      <w:r w:rsidR="0076102E">
        <w:rPr>
          <w:rFonts w:ascii="Times New Roman" w:hAnsi="Times New Roman" w:cs="Times New Roman"/>
          <w:sz w:val="24"/>
          <w:szCs w:val="24"/>
        </w:rPr>
        <w:t>Some</w:t>
      </w:r>
      <w:r w:rsidR="005848C1">
        <w:rPr>
          <w:rFonts w:ascii="Times New Roman" w:hAnsi="Times New Roman" w:cs="Times New Roman"/>
          <w:sz w:val="24"/>
          <w:szCs w:val="24"/>
        </w:rPr>
        <w:t xml:space="preserve"> have suggested </w:t>
      </w:r>
      <w:r w:rsidR="004037ED">
        <w:rPr>
          <w:rFonts w:ascii="Times New Roman" w:hAnsi="Times New Roman" w:cs="Times New Roman"/>
          <w:sz w:val="24"/>
          <w:szCs w:val="24"/>
        </w:rPr>
        <w:t>reforms</w:t>
      </w:r>
      <w:r w:rsidR="005848C1">
        <w:rPr>
          <w:rFonts w:ascii="Times New Roman" w:hAnsi="Times New Roman" w:cs="Times New Roman"/>
          <w:sz w:val="24"/>
          <w:szCs w:val="24"/>
        </w:rPr>
        <w:t xml:space="preserve"> which would, </w:t>
      </w:r>
      <w:r w:rsidR="00756E3D">
        <w:rPr>
          <w:rFonts w:ascii="Times New Roman" w:hAnsi="Times New Roman" w:cs="Times New Roman"/>
          <w:sz w:val="24"/>
          <w:szCs w:val="24"/>
        </w:rPr>
        <w:t>incidentally</w:t>
      </w:r>
      <w:r w:rsidR="005848C1">
        <w:rPr>
          <w:rFonts w:ascii="Times New Roman" w:hAnsi="Times New Roman" w:cs="Times New Roman"/>
          <w:sz w:val="24"/>
          <w:szCs w:val="24"/>
        </w:rPr>
        <w:t xml:space="preserve">, </w:t>
      </w:r>
      <w:r w:rsidR="00756E3D">
        <w:rPr>
          <w:rFonts w:ascii="Times New Roman" w:hAnsi="Times New Roman" w:cs="Times New Roman"/>
          <w:sz w:val="24"/>
          <w:szCs w:val="24"/>
        </w:rPr>
        <w:t>achieve compliance</w:t>
      </w:r>
      <w:r w:rsidR="005848C1">
        <w:rPr>
          <w:rFonts w:ascii="Times New Roman" w:hAnsi="Times New Roman" w:cs="Times New Roman"/>
          <w:sz w:val="24"/>
          <w:szCs w:val="24"/>
        </w:rPr>
        <w:t xml:space="preserve"> </w:t>
      </w:r>
      <w:r w:rsidR="005848C1">
        <w:rPr>
          <w:rFonts w:ascii="Times New Roman" w:hAnsi="Times New Roman" w:cs="Times New Roman"/>
          <w:sz w:val="24"/>
          <w:szCs w:val="24"/>
        </w:rPr>
        <w:lastRenderedPageBreak/>
        <w:t>with the CRPD.</w:t>
      </w:r>
      <w:r w:rsidR="00756E3D">
        <w:rPr>
          <w:rStyle w:val="FootnoteReference"/>
          <w:rFonts w:cs="Times New Roman"/>
          <w:szCs w:val="24"/>
        </w:rPr>
        <w:footnoteReference w:id="183"/>
      </w:r>
      <w:r w:rsidR="005848C1">
        <w:rPr>
          <w:rFonts w:ascii="Times New Roman" w:hAnsi="Times New Roman" w:cs="Times New Roman"/>
          <w:sz w:val="24"/>
          <w:szCs w:val="24"/>
        </w:rPr>
        <w:t xml:space="preserve"> </w:t>
      </w:r>
      <w:r w:rsidR="00A13B26">
        <w:rPr>
          <w:rFonts w:ascii="Times New Roman" w:hAnsi="Times New Roman" w:cs="Times New Roman"/>
          <w:sz w:val="24"/>
          <w:szCs w:val="24"/>
        </w:rPr>
        <w:t>We will see that other reform proposals</w:t>
      </w:r>
      <w:r w:rsidR="00074CB6">
        <w:rPr>
          <w:rFonts w:ascii="Times New Roman" w:hAnsi="Times New Roman" w:cs="Times New Roman"/>
          <w:sz w:val="24"/>
          <w:szCs w:val="24"/>
        </w:rPr>
        <w:t xml:space="preserve">, which may resolve problems in the common law, </w:t>
      </w:r>
      <w:r w:rsidR="00902EB8">
        <w:rPr>
          <w:rFonts w:ascii="Times New Roman" w:hAnsi="Times New Roman" w:cs="Times New Roman"/>
          <w:sz w:val="24"/>
          <w:szCs w:val="24"/>
        </w:rPr>
        <w:t>would</w:t>
      </w:r>
      <w:r w:rsidR="00074CB6">
        <w:rPr>
          <w:rFonts w:ascii="Times New Roman" w:hAnsi="Times New Roman" w:cs="Times New Roman"/>
          <w:sz w:val="24"/>
          <w:szCs w:val="24"/>
        </w:rPr>
        <w:t xml:space="preserve"> not </w:t>
      </w:r>
      <w:r w:rsidR="00895A38">
        <w:rPr>
          <w:rFonts w:ascii="Times New Roman" w:hAnsi="Times New Roman" w:cs="Times New Roman"/>
          <w:sz w:val="24"/>
          <w:szCs w:val="24"/>
        </w:rPr>
        <w:t>have the same</w:t>
      </w:r>
      <w:r w:rsidR="00676B86">
        <w:rPr>
          <w:rFonts w:ascii="Times New Roman" w:hAnsi="Times New Roman" w:cs="Times New Roman"/>
          <w:sz w:val="24"/>
          <w:szCs w:val="24"/>
        </w:rPr>
        <w:t xml:space="preserve"> </w:t>
      </w:r>
      <w:r w:rsidR="00895A38">
        <w:rPr>
          <w:rFonts w:ascii="Times New Roman" w:hAnsi="Times New Roman" w:cs="Times New Roman"/>
          <w:sz w:val="24"/>
          <w:szCs w:val="24"/>
        </w:rPr>
        <w:t>effect.</w:t>
      </w:r>
      <w:r w:rsidR="00E815FF">
        <w:rPr>
          <w:rFonts w:ascii="Times New Roman" w:hAnsi="Times New Roman" w:cs="Times New Roman"/>
          <w:sz w:val="24"/>
          <w:szCs w:val="24"/>
        </w:rPr>
        <w:t xml:space="preserve"> </w:t>
      </w:r>
      <w:r w:rsidR="000A79C1">
        <w:rPr>
          <w:rFonts w:ascii="Times New Roman" w:hAnsi="Times New Roman" w:cs="Times New Roman"/>
          <w:sz w:val="24"/>
          <w:szCs w:val="24"/>
        </w:rPr>
        <w:t>T</w:t>
      </w:r>
      <w:r w:rsidR="00895A38">
        <w:rPr>
          <w:rFonts w:ascii="Times New Roman" w:hAnsi="Times New Roman" w:cs="Times New Roman"/>
          <w:sz w:val="24"/>
          <w:szCs w:val="24"/>
        </w:rPr>
        <w:t>he CRPD has</w:t>
      </w:r>
      <w:r w:rsidR="000A79C1">
        <w:rPr>
          <w:rFonts w:ascii="Times New Roman" w:hAnsi="Times New Roman" w:cs="Times New Roman"/>
          <w:sz w:val="24"/>
          <w:szCs w:val="24"/>
        </w:rPr>
        <w:t xml:space="preserve"> therefore</w:t>
      </w:r>
      <w:r w:rsidR="00895A38">
        <w:rPr>
          <w:rFonts w:ascii="Times New Roman" w:hAnsi="Times New Roman" w:cs="Times New Roman"/>
          <w:sz w:val="24"/>
          <w:szCs w:val="24"/>
        </w:rPr>
        <w:t xml:space="preserve"> made the scope for reform in this area much narrower than it</w:t>
      </w:r>
      <w:r w:rsidR="00FA3563">
        <w:rPr>
          <w:rFonts w:ascii="Times New Roman" w:hAnsi="Times New Roman" w:cs="Times New Roman"/>
          <w:sz w:val="24"/>
          <w:szCs w:val="24"/>
        </w:rPr>
        <w:t xml:space="preserve"> used to be</w:t>
      </w:r>
      <w:r w:rsidR="00EE0041">
        <w:rPr>
          <w:rFonts w:ascii="Times New Roman" w:hAnsi="Times New Roman" w:cs="Times New Roman"/>
          <w:sz w:val="24"/>
          <w:szCs w:val="24"/>
        </w:rPr>
        <w:t>.</w:t>
      </w:r>
    </w:p>
    <w:p w14:paraId="410A9033" w14:textId="2CC02AE3" w:rsidR="005639CC" w:rsidRPr="00D97F77" w:rsidRDefault="005639CC" w:rsidP="00D97F77">
      <w:pPr>
        <w:pStyle w:val="ListParagraph"/>
        <w:numPr>
          <w:ilvl w:val="0"/>
          <w:numId w:val="44"/>
        </w:numPr>
        <w:tabs>
          <w:tab w:val="left" w:pos="7864"/>
          <w:tab w:val="right" w:pos="9026"/>
        </w:tabs>
        <w:rPr>
          <w:rFonts w:ascii="Times New Roman" w:hAnsi="Times New Roman" w:cs="Times New Roman"/>
          <w:bCs/>
          <w:i/>
          <w:iCs/>
          <w:sz w:val="24"/>
          <w:szCs w:val="24"/>
        </w:rPr>
      </w:pPr>
      <w:r w:rsidRPr="00D97F77">
        <w:rPr>
          <w:rFonts w:ascii="Times New Roman" w:hAnsi="Times New Roman" w:cs="Times New Roman"/>
          <w:bCs/>
          <w:i/>
          <w:iCs/>
          <w:sz w:val="24"/>
          <w:szCs w:val="24"/>
        </w:rPr>
        <w:t>Retention</w:t>
      </w:r>
    </w:p>
    <w:p w14:paraId="7371564A" w14:textId="212CA8E5" w:rsidR="00D95FBD" w:rsidRDefault="005639CC" w:rsidP="00D95FBD">
      <w:pPr>
        <w:tabs>
          <w:tab w:val="left" w:pos="7864"/>
          <w:tab w:val="right" w:pos="9026"/>
        </w:tabs>
        <w:ind w:firstLine="0"/>
        <w:rPr>
          <w:rFonts w:ascii="Times New Roman" w:hAnsi="Times New Roman" w:cs="Times New Roman"/>
          <w:sz w:val="24"/>
          <w:szCs w:val="24"/>
        </w:rPr>
      </w:pPr>
      <w:r w:rsidRPr="005639CC">
        <w:rPr>
          <w:rFonts w:ascii="Times New Roman" w:hAnsi="Times New Roman" w:cs="Times New Roman"/>
          <w:sz w:val="24"/>
          <w:szCs w:val="24"/>
        </w:rPr>
        <w:t>Retention of the current rules is not a viable option</w:t>
      </w:r>
      <w:r w:rsidR="00756E3D">
        <w:rPr>
          <w:rFonts w:ascii="Times New Roman" w:hAnsi="Times New Roman" w:cs="Times New Roman"/>
          <w:sz w:val="24"/>
          <w:szCs w:val="24"/>
        </w:rPr>
        <w:t xml:space="preserve"> and can be </w:t>
      </w:r>
      <w:r w:rsidR="00182500">
        <w:rPr>
          <w:rFonts w:ascii="Times New Roman" w:hAnsi="Times New Roman" w:cs="Times New Roman"/>
          <w:sz w:val="24"/>
          <w:szCs w:val="24"/>
        </w:rPr>
        <w:t>quickly</w:t>
      </w:r>
      <w:r w:rsidR="00756E3D">
        <w:rPr>
          <w:rFonts w:ascii="Times New Roman" w:hAnsi="Times New Roman" w:cs="Times New Roman"/>
          <w:sz w:val="24"/>
          <w:szCs w:val="24"/>
        </w:rPr>
        <w:t xml:space="preserve"> dismissed</w:t>
      </w:r>
      <w:r w:rsidRPr="005639CC">
        <w:rPr>
          <w:rFonts w:ascii="Times New Roman" w:hAnsi="Times New Roman" w:cs="Times New Roman"/>
          <w:sz w:val="24"/>
          <w:szCs w:val="24"/>
        </w:rPr>
        <w:t>.</w:t>
      </w:r>
    </w:p>
    <w:p w14:paraId="183D941B" w14:textId="2676848D" w:rsidR="000F0F15" w:rsidRPr="00D97F77" w:rsidRDefault="00F10AE4" w:rsidP="00D97F77">
      <w:pPr>
        <w:pStyle w:val="ListParagraph"/>
        <w:numPr>
          <w:ilvl w:val="0"/>
          <w:numId w:val="44"/>
        </w:numPr>
        <w:tabs>
          <w:tab w:val="left" w:pos="7864"/>
          <w:tab w:val="right" w:pos="9026"/>
        </w:tabs>
        <w:rPr>
          <w:rFonts w:ascii="Times New Roman" w:hAnsi="Times New Roman" w:cs="Times New Roman"/>
          <w:i/>
          <w:sz w:val="24"/>
          <w:szCs w:val="24"/>
        </w:rPr>
      </w:pPr>
      <w:r w:rsidRPr="00D97F77">
        <w:rPr>
          <w:rFonts w:ascii="Times New Roman" w:hAnsi="Times New Roman" w:cs="Times New Roman"/>
          <w:i/>
          <w:sz w:val="24"/>
          <w:szCs w:val="24"/>
        </w:rPr>
        <w:t>Abolition</w:t>
      </w:r>
    </w:p>
    <w:p w14:paraId="73C355BA" w14:textId="75296995" w:rsidR="00BC4E42" w:rsidRDefault="00782C86" w:rsidP="00435083">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Parliament</w:t>
      </w:r>
      <w:r w:rsidR="00087F79">
        <w:rPr>
          <w:rFonts w:ascii="Times New Roman" w:hAnsi="Times New Roman" w:cs="Times New Roman"/>
          <w:sz w:val="24"/>
          <w:szCs w:val="24"/>
        </w:rPr>
        <w:t xml:space="preserve"> could</w:t>
      </w:r>
      <w:r w:rsidR="0046032F">
        <w:rPr>
          <w:rFonts w:ascii="Times New Roman" w:hAnsi="Times New Roman" w:cs="Times New Roman"/>
          <w:sz w:val="24"/>
          <w:szCs w:val="24"/>
        </w:rPr>
        <w:t xml:space="preserve"> simply</w:t>
      </w:r>
      <w:r>
        <w:rPr>
          <w:rFonts w:ascii="Times New Roman" w:hAnsi="Times New Roman" w:cs="Times New Roman"/>
          <w:sz w:val="24"/>
          <w:szCs w:val="24"/>
        </w:rPr>
        <w:t xml:space="preserve"> </w:t>
      </w:r>
      <w:r w:rsidR="00067D78">
        <w:rPr>
          <w:rFonts w:ascii="Times New Roman" w:hAnsi="Times New Roman" w:cs="Times New Roman"/>
          <w:sz w:val="24"/>
          <w:szCs w:val="24"/>
        </w:rPr>
        <w:t xml:space="preserve">abolish </w:t>
      </w:r>
      <w:r w:rsidR="00985686">
        <w:rPr>
          <w:rFonts w:ascii="Times New Roman" w:hAnsi="Times New Roman" w:cs="Times New Roman"/>
          <w:sz w:val="24"/>
          <w:szCs w:val="24"/>
        </w:rPr>
        <w:t xml:space="preserve">recovery for </w:t>
      </w:r>
      <w:r w:rsidR="00DF7EED">
        <w:rPr>
          <w:rFonts w:ascii="Times New Roman" w:hAnsi="Times New Roman" w:cs="Times New Roman"/>
          <w:sz w:val="24"/>
          <w:szCs w:val="24"/>
        </w:rPr>
        <w:t>psychiatric injury</w:t>
      </w:r>
      <w:r w:rsidR="008142A8">
        <w:rPr>
          <w:rFonts w:ascii="Times New Roman" w:hAnsi="Times New Roman" w:cs="Times New Roman"/>
          <w:sz w:val="24"/>
          <w:szCs w:val="24"/>
        </w:rPr>
        <w:t xml:space="preserve">. The </w:t>
      </w:r>
      <w:r w:rsidR="002A6903">
        <w:rPr>
          <w:rFonts w:ascii="Times New Roman" w:hAnsi="Times New Roman" w:cs="Times New Roman"/>
          <w:sz w:val="24"/>
          <w:szCs w:val="24"/>
        </w:rPr>
        <w:t>best-known</w:t>
      </w:r>
      <w:r w:rsidR="008142A8">
        <w:rPr>
          <w:rFonts w:ascii="Times New Roman" w:hAnsi="Times New Roman" w:cs="Times New Roman"/>
          <w:sz w:val="24"/>
          <w:szCs w:val="24"/>
        </w:rPr>
        <w:t xml:space="preserve"> advocate </w:t>
      </w:r>
      <w:r w:rsidR="00BE194B">
        <w:rPr>
          <w:rFonts w:ascii="Times New Roman" w:hAnsi="Times New Roman" w:cs="Times New Roman"/>
          <w:sz w:val="24"/>
          <w:szCs w:val="24"/>
        </w:rPr>
        <w:t>of</w:t>
      </w:r>
      <w:r w:rsidR="008142A8">
        <w:rPr>
          <w:rFonts w:ascii="Times New Roman" w:hAnsi="Times New Roman" w:cs="Times New Roman"/>
          <w:sz w:val="24"/>
          <w:szCs w:val="24"/>
        </w:rPr>
        <w:t xml:space="preserve"> this is Jane Stapleton, who</w:t>
      </w:r>
      <w:r w:rsidR="00BE194B">
        <w:rPr>
          <w:rFonts w:ascii="Times New Roman" w:hAnsi="Times New Roman" w:cs="Times New Roman"/>
          <w:sz w:val="24"/>
          <w:szCs w:val="24"/>
        </w:rPr>
        <w:t xml:space="preserve"> said that</w:t>
      </w:r>
      <w:r w:rsidR="008142A8">
        <w:rPr>
          <w:rFonts w:ascii="Times New Roman" w:hAnsi="Times New Roman" w:cs="Times New Roman"/>
          <w:sz w:val="24"/>
          <w:szCs w:val="24"/>
        </w:rPr>
        <w:t xml:space="preserve"> the </w:t>
      </w:r>
      <w:r w:rsidR="00DC606F">
        <w:rPr>
          <w:rFonts w:ascii="Times New Roman" w:hAnsi="Times New Roman" w:cs="Times New Roman"/>
          <w:sz w:val="24"/>
          <w:szCs w:val="24"/>
        </w:rPr>
        <w:t xml:space="preserve">special rules </w:t>
      </w:r>
      <w:r w:rsidR="00A656BE">
        <w:rPr>
          <w:rFonts w:ascii="Times New Roman" w:hAnsi="Times New Roman" w:cs="Times New Roman"/>
          <w:sz w:val="24"/>
          <w:szCs w:val="24"/>
        </w:rPr>
        <w:t>‘bring the law into disrepute’</w:t>
      </w:r>
      <w:r w:rsidR="00DF7EED">
        <w:rPr>
          <w:rFonts w:ascii="Times New Roman" w:hAnsi="Times New Roman" w:cs="Times New Roman"/>
          <w:sz w:val="24"/>
          <w:szCs w:val="24"/>
        </w:rPr>
        <w:t xml:space="preserve"> and ought to be abolished to restore its ‘dignity’</w:t>
      </w:r>
      <w:r w:rsidR="00A656BE">
        <w:rPr>
          <w:rFonts w:ascii="Times New Roman" w:hAnsi="Times New Roman" w:cs="Times New Roman"/>
          <w:sz w:val="24"/>
          <w:szCs w:val="24"/>
        </w:rPr>
        <w:t>.</w:t>
      </w:r>
      <w:r w:rsidR="00A656BE">
        <w:rPr>
          <w:rStyle w:val="FootnoteReference"/>
          <w:rFonts w:cs="Times New Roman"/>
          <w:szCs w:val="24"/>
        </w:rPr>
        <w:footnoteReference w:id="184"/>
      </w:r>
    </w:p>
    <w:p w14:paraId="7F6BE443" w14:textId="248D76A7" w:rsidR="009608D1" w:rsidRDefault="0074791A">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It is true that a</w:t>
      </w:r>
      <w:r w:rsidR="007750F4">
        <w:rPr>
          <w:rFonts w:ascii="Times New Roman" w:hAnsi="Times New Roman" w:cs="Times New Roman"/>
          <w:sz w:val="24"/>
          <w:szCs w:val="24"/>
        </w:rPr>
        <w:t>bolition would</w:t>
      </w:r>
      <w:r>
        <w:rPr>
          <w:rFonts w:ascii="Times New Roman" w:hAnsi="Times New Roman" w:cs="Times New Roman"/>
          <w:sz w:val="24"/>
          <w:szCs w:val="24"/>
        </w:rPr>
        <w:t>,</w:t>
      </w:r>
      <w:r w:rsidR="007750F4">
        <w:rPr>
          <w:rFonts w:ascii="Times New Roman" w:hAnsi="Times New Roman" w:cs="Times New Roman"/>
          <w:sz w:val="24"/>
          <w:szCs w:val="24"/>
        </w:rPr>
        <w:t xml:space="preserve"> </w:t>
      </w:r>
      <w:r w:rsidR="00787679">
        <w:rPr>
          <w:rFonts w:ascii="Times New Roman" w:hAnsi="Times New Roman" w:cs="Times New Roman"/>
          <w:sz w:val="24"/>
          <w:szCs w:val="24"/>
        </w:rPr>
        <w:t>at a stroke</w:t>
      </w:r>
      <w:r>
        <w:rPr>
          <w:rFonts w:ascii="Times New Roman" w:hAnsi="Times New Roman" w:cs="Times New Roman"/>
          <w:sz w:val="24"/>
          <w:szCs w:val="24"/>
        </w:rPr>
        <w:t>,</w:t>
      </w:r>
      <w:r w:rsidR="00787679">
        <w:rPr>
          <w:rFonts w:ascii="Times New Roman" w:hAnsi="Times New Roman" w:cs="Times New Roman"/>
          <w:sz w:val="24"/>
          <w:szCs w:val="24"/>
        </w:rPr>
        <w:t xml:space="preserve"> eliminate tricky questions about what kind of psychiatric injury is actionable and when and how a duty of care will arise.</w:t>
      </w:r>
      <w:r w:rsidR="005B535E">
        <w:rPr>
          <w:rFonts w:ascii="Times New Roman" w:hAnsi="Times New Roman" w:cs="Times New Roman"/>
          <w:sz w:val="24"/>
          <w:szCs w:val="24"/>
        </w:rPr>
        <w:t xml:space="preserve"> It would also be</w:t>
      </w:r>
      <w:r w:rsidR="008C0015">
        <w:rPr>
          <w:rFonts w:ascii="Times New Roman" w:hAnsi="Times New Roman" w:cs="Times New Roman"/>
          <w:sz w:val="24"/>
          <w:szCs w:val="24"/>
        </w:rPr>
        <w:t xml:space="preserve"> </w:t>
      </w:r>
      <w:r w:rsidR="0030334A">
        <w:rPr>
          <w:rFonts w:ascii="Times New Roman" w:hAnsi="Times New Roman" w:cs="Times New Roman"/>
          <w:sz w:val="24"/>
          <w:szCs w:val="24"/>
        </w:rPr>
        <w:t>of a piece with</w:t>
      </w:r>
      <w:r w:rsidR="008C0015">
        <w:rPr>
          <w:rFonts w:ascii="Times New Roman" w:hAnsi="Times New Roman" w:cs="Times New Roman"/>
          <w:sz w:val="24"/>
          <w:szCs w:val="24"/>
        </w:rPr>
        <w:t xml:space="preserve"> the CRPD:</w:t>
      </w:r>
      <w:r>
        <w:rPr>
          <w:rFonts w:ascii="Times New Roman" w:hAnsi="Times New Roman" w:cs="Times New Roman"/>
          <w:sz w:val="24"/>
          <w:szCs w:val="24"/>
        </w:rPr>
        <w:t xml:space="preserve"> </w:t>
      </w:r>
      <w:r w:rsidR="008C0015">
        <w:rPr>
          <w:rFonts w:ascii="Times New Roman" w:hAnsi="Times New Roman" w:cs="Times New Roman"/>
          <w:sz w:val="24"/>
          <w:szCs w:val="24"/>
        </w:rPr>
        <w:t>a</w:t>
      </w:r>
      <w:r w:rsidR="000626F4">
        <w:rPr>
          <w:rFonts w:ascii="Times New Roman" w:hAnsi="Times New Roman" w:cs="Times New Roman"/>
          <w:sz w:val="24"/>
          <w:szCs w:val="24"/>
        </w:rPr>
        <w:t xml:space="preserve">bolition </w:t>
      </w:r>
      <w:r w:rsidR="00AF5AE8">
        <w:rPr>
          <w:rFonts w:ascii="Times New Roman" w:hAnsi="Times New Roman" w:cs="Times New Roman"/>
          <w:sz w:val="24"/>
          <w:szCs w:val="24"/>
        </w:rPr>
        <w:t>is one way to</w:t>
      </w:r>
      <w:r w:rsidR="000626F4">
        <w:rPr>
          <w:rFonts w:ascii="Times New Roman" w:hAnsi="Times New Roman" w:cs="Times New Roman"/>
          <w:sz w:val="24"/>
          <w:szCs w:val="24"/>
        </w:rPr>
        <w:t xml:space="preserve"> </w:t>
      </w:r>
      <w:r>
        <w:rPr>
          <w:rFonts w:ascii="Times New Roman" w:hAnsi="Times New Roman" w:cs="Times New Roman"/>
          <w:sz w:val="24"/>
          <w:szCs w:val="24"/>
        </w:rPr>
        <w:t>solve</w:t>
      </w:r>
      <w:r w:rsidR="000626F4">
        <w:rPr>
          <w:rFonts w:ascii="Times New Roman" w:hAnsi="Times New Roman" w:cs="Times New Roman"/>
          <w:sz w:val="24"/>
          <w:szCs w:val="24"/>
        </w:rPr>
        <w:t xml:space="preserve"> conflicts </w:t>
      </w:r>
      <w:r w:rsidR="003E4A65">
        <w:rPr>
          <w:rFonts w:ascii="Times New Roman" w:hAnsi="Times New Roman" w:cs="Times New Roman"/>
          <w:sz w:val="24"/>
          <w:szCs w:val="24"/>
        </w:rPr>
        <w:t>with</w:t>
      </w:r>
      <w:r w:rsidR="005F383B">
        <w:rPr>
          <w:rFonts w:ascii="Times New Roman" w:hAnsi="Times New Roman" w:cs="Times New Roman"/>
          <w:sz w:val="24"/>
          <w:szCs w:val="24"/>
        </w:rPr>
        <w:t xml:space="preserve"> a State Party’s domestic legal framework.</w:t>
      </w:r>
      <w:r w:rsidR="003E4A65">
        <w:rPr>
          <w:rFonts w:ascii="Times New Roman" w:hAnsi="Times New Roman" w:cs="Times New Roman"/>
          <w:sz w:val="24"/>
          <w:szCs w:val="24"/>
        </w:rPr>
        <w:t xml:space="preserve"> </w:t>
      </w:r>
      <w:r w:rsidR="005D54CF">
        <w:rPr>
          <w:rFonts w:ascii="Times New Roman" w:hAnsi="Times New Roman" w:cs="Times New Roman"/>
          <w:sz w:val="24"/>
          <w:szCs w:val="24"/>
        </w:rPr>
        <w:t>The problem</w:t>
      </w:r>
      <w:r w:rsidR="0046604B">
        <w:rPr>
          <w:rFonts w:ascii="Times New Roman" w:hAnsi="Times New Roman" w:cs="Times New Roman"/>
          <w:sz w:val="24"/>
          <w:szCs w:val="24"/>
        </w:rPr>
        <w:t xml:space="preserve"> is that it would </w:t>
      </w:r>
      <w:r w:rsidR="00182500">
        <w:rPr>
          <w:rFonts w:ascii="Times New Roman" w:hAnsi="Times New Roman" w:cs="Times New Roman"/>
          <w:sz w:val="24"/>
          <w:szCs w:val="24"/>
        </w:rPr>
        <w:t xml:space="preserve">instantly </w:t>
      </w:r>
      <w:r w:rsidR="0046604B">
        <w:rPr>
          <w:rFonts w:ascii="Times New Roman" w:hAnsi="Times New Roman" w:cs="Times New Roman"/>
          <w:sz w:val="24"/>
          <w:szCs w:val="24"/>
        </w:rPr>
        <w:t>make a bad situation worse.</w:t>
      </w:r>
      <w:r w:rsidR="007D55C2">
        <w:rPr>
          <w:rFonts w:ascii="Times New Roman" w:hAnsi="Times New Roman" w:cs="Times New Roman"/>
          <w:sz w:val="24"/>
          <w:szCs w:val="24"/>
        </w:rPr>
        <w:t xml:space="preserve"> Most obviously, it </w:t>
      </w:r>
      <w:r w:rsidR="00F14408">
        <w:rPr>
          <w:rFonts w:ascii="Times New Roman" w:hAnsi="Times New Roman" w:cs="Times New Roman"/>
          <w:sz w:val="24"/>
          <w:szCs w:val="24"/>
        </w:rPr>
        <w:t>would ‘diminish justice’, since it would ‘effectively minimise the significance of psychiatric injury’.</w:t>
      </w:r>
      <w:r w:rsidR="00F14408">
        <w:rPr>
          <w:rStyle w:val="FootnoteReference"/>
          <w:rFonts w:cs="Times New Roman"/>
          <w:szCs w:val="24"/>
        </w:rPr>
        <w:footnoteReference w:id="185"/>
      </w:r>
      <w:r w:rsidR="009F7E28">
        <w:rPr>
          <w:rFonts w:ascii="Times New Roman" w:hAnsi="Times New Roman" w:cs="Times New Roman"/>
          <w:sz w:val="24"/>
          <w:szCs w:val="24"/>
        </w:rPr>
        <w:t xml:space="preserve"> </w:t>
      </w:r>
      <w:r w:rsidR="00EA2298">
        <w:rPr>
          <w:rFonts w:ascii="Times New Roman" w:hAnsi="Times New Roman" w:cs="Times New Roman"/>
          <w:sz w:val="24"/>
          <w:szCs w:val="24"/>
        </w:rPr>
        <w:t xml:space="preserve">More importantly, abolition would </w:t>
      </w:r>
      <w:r w:rsidR="00DA326A">
        <w:rPr>
          <w:rFonts w:ascii="Times New Roman" w:hAnsi="Times New Roman" w:cs="Times New Roman"/>
          <w:sz w:val="24"/>
          <w:szCs w:val="24"/>
        </w:rPr>
        <w:t xml:space="preserve">do nothing to tackle discrimination on the basis of disability. In fact, it would </w:t>
      </w:r>
      <w:r w:rsidR="007D55C2">
        <w:rPr>
          <w:rFonts w:ascii="Times New Roman" w:hAnsi="Times New Roman" w:cs="Times New Roman"/>
          <w:sz w:val="24"/>
          <w:szCs w:val="24"/>
        </w:rPr>
        <w:t>aggravate</w:t>
      </w:r>
      <w:r w:rsidR="00DA326A">
        <w:rPr>
          <w:rFonts w:ascii="Times New Roman" w:hAnsi="Times New Roman" w:cs="Times New Roman"/>
          <w:sz w:val="24"/>
          <w:szCs w:val="24"/>
        </w:rPr>
        <w:t xml:space="preserve"> i</w:t>
      </w:r>
      <w:r w:rsidR="00C850DA">
        <w:rPr>
          <w:rFonts w:ascii="Times New Roman" w:hAnsi="Times New Roman" w:cs="Times New Roman"/>
          <w:sz w:val="24"/>
          <w:szCs w:val="24"/>
        </w:rPr>
        <w:t>t</w:t>
      </w:r>
      <w:r w:rsidR="00DA326A">
        <w:rPr>
          <w:rFonts w:ascii="Times New Roman" w:hAnsi="Times New Roman" w:cs="Times New Roman"/>
          <w:sz w:val="24"/>
          <w:szCs w:val="24"/>
        </w:rPr>
        <w:t>: while the law would</w:t>
      </w:r>
      <w:r w:rsidR="00C850DA">
        <w:rPr>
          <w:rFonts w:ascii="Times New Roman" w:hAnsi="Times New Roman" w:cs="Times New Roman"/>
          <w:sz w:val="24"/>
          <w:szCs w:val="24"/>
        </w:rPr>
        <w:t xml:space="preserve"> continue to </w:t>
      </w:r>
      <w:r w:rsidR="00DA326A">
        <w:rPr>
          <w:rFonts w:ascii="Times New Roman" w:hAnsi="Times New Roman" w:cs="Times New Roman"/>
          <w:sz w:val="24"/>
          <w:szCs w:val="24"/>
        </w:rPr>
        <w:t xml:space="preserve">allow </w:t>
      </w:r>
      <w:r w:rsidR="00DA326A" w:rsidRPr="0038566E">
        <w:rPr>
          <w:rFonts w:ascii="Times New Roman" w:hAnsi="Times New Roman" w:cs="Times New Roman"/>
          <w:sz w:val="24"/>
          <w:szCs w:val="24"/>
        </w:rPr>
        <w:t>physically</w:t>
      </w:r>
      <w:r w:rsidR="00DA326A">
        <w:rPr>
          <w:rFonts w:ascii="Times New Roman" w:hAnsi="Times New Roman" w:cs="Times New Roman"/>
          <w:i/>
          <w:iCs/>
          <w:sz w:val="24"/>
          <w:szCs w:val="24"/>
        </w:rPr>
        <w:t>-</w:t>
      </w:r>
      <w:r w:rsidR="00DA326A">
        <w:rPr>
          <w:rFonts w:ascii="Times New Roman" w:hAnsi="Times New Roman" w:cs="Times New Roman"/>
          <w:sz w:val="24"/>
          <w:szCs w:val="24"/>
        </w:rPr>
        <w:t xml:space="preserve">injured claimants to </w:t>
      </w:r>
      <w:r w:rsidR="00151A21">
        <w:rPr>
          <w:rFonts w:ascii="Times New Roman" w:hAnsi="Times New Roman" w:cs="Times New Roman"/>
          <w:sz w:val="24"/>
          <w:szCs w:val="24"/>
        </w:rPr>
        <w:t xml:space="preserve">recover compensation, it would </w:t>
      </w:r>
      <w:r w:rsidR="007D158C">
        <w:rPr>
          <w:rFonts w:ascii="Times New Roman" w:hAnsi="Times New Roman" w:cs="Times New Roman"/>
          <w:sz w:val="24"/>
          <w:szCs w:val="24"/>
        </w:rPr>
        <w:t xml:space="preserve">deny </w:t>
      </w:r>
      <w:r w:rsidR="006304C1">
        <w:rPr>
          <w:rFonts w:ascii="Times New Roman" w:hAnsi="Times New Roman" w:cs="Times New Roman"/>
          <w:sz w:val="24"/>
          <w:szCs w:val="24"/>
        </w:rPr>
        <w:t xml:space="preserve">liability for </w:t>
      </w:r>
      <w:r w:rsidR="006304C1" w:rsidRPr="00062ADA">
        <w:rPr>
          <w:rFonts w:ascii="Times New Roman" w:hAnsi="Times New Roman" w:cs="Times New Roman"/>
          <w:sz w:val="24"/>
          <w:szCs w:val="24"/>
        </w:rPr>
        <w:t>psychiatric</w:t>
      </w:r>
      <w:r w:rsidR="006304C1">
        <w:rPr>
          <w:rFonts w:ascii="Times New Roman" w:hAnsi="Times New Roman" w:cs="Times New Roman"/>
          <w:i/>
          <w:iCs/>
          <w:sz w:val="24"/>
          <w:szCs w:val="24"/>
        </w:rPr>
        <w:t xml:space="preserve"> </w:t>
      </w:r>
      <w:r w:rsidR="006304C1">
        <w:rPr>
          <w:rFonts w:ascii="Times New Roman" w:hAnsi="Times New Roman" w:cs="Times New Roman"/>
          <w:sz w:val="24"/>
          <w:szCs w:val="24"/>
        </w:rPr>
        <w:t xml:space="preserve">injuries </w:t>
      </w:r>
      <w:r w:rsidR="00062ADA" w:rsidRPr="00DE6A4B">
        <w:rPr>
          <w:rFonts w:ascii="Times New Roman" w:hAnsi="Times New Roman" w:cs="Times New Roman"/>
          <w:iCs/>
          <w:sz w:val="24"/>
          <w:szCs w:val="24"/>
        </w:rPr>
        <w:t>entire</w:t>
      </w:r>
      <w:r w:rsidR="00DE6A4B" w:rsidRPr="00DE6A4B">
        <w:rPr>
          <w:rFonts w:ascii="Times New Roman" w:hAnsi="Times New Roman" w:cs="Times New Roman"/>
          <w:iCs/>
          <w:sz w:val="24"/>
          <w:szCs w:val="24"/>
        </w:rPr>
        <w:t>l</w:t>
      </w:r>
      <w:r w:rsidR="00062ADA" w:rsidRPr="00DE6A4B">
        <w:rPr>
          <w:rFonts w:ascii="Times New Roman" w:hAnsi="Times New Roman" w:cs="Times New Roman"/>
          <w:iCs/>
          <w:sz w:val="24"/>
          <w:szCs w:val="24"/>
        </w:rPr>
        <w:t>y</w:t>
      </w:r>
      <w:r w:rsidR="006304C1">
        <w:rPr>
          <w:rFonts w:ascii="Times New Roman" w:hAnsi="Times New Roman" w:cs="Times New Roman"/>
          <w:i/>
          <w:iCs/>
          <w:sz w:val="24"/>
          <w:szCs w:val="24"/>
        </w:rPr>
        <w:t>.</w:t>
      </w:r>
      <w:r w:rsidR="003244FC">
        <w:rPr>
          <w:rFonts w:ascii="Times New Roman" w:hAnsi="Times New Roman" w:cs="Times New Roman"/>
          <w:i/>
          <w:iCs/>
          <w:sz w:val="24"/>
          <w:szCs w:val="24"/>
        </w:rPr>
        <w:t xml:space="preserve"> </w:t>
      </w:r>
      <w:r w:rsidR="00BE194B">
        <w:rPr>
          <w:rFonts w:ascii="Times New Roman" w:hAnsi="Times New Roman" w:cs="Times New Roman"/>
          <w:sz w:val="24"/>
          <w:szCs w:val="24"/>
        </w:rPr>
        <w:t>W</w:t>
      </w:r>
      <w:r w:rsidR="006304C1">
        <w:rPr>
          <w:rFonts w:ascii="Times New Roman" w:hAnsi="Times New Roman" w:cs="Times New Roman"/>
          <w:sz w:val="24"/>
          <w:szCs w:val="24"/>
        </w:rPr>
        <w:t>hereas under the current rules</w:t>
      </w:r>
      <w:r w:rsidR="003244FC">
        <w:rPr>
          <w:rFonts w:ascii="Times New Roman" w:hAnsi="Times New Roman" w:cs="Times New Roman"/>
          <w:sz w:val="24"/>
          <w:szCs w:val="24"/>
        </w:rPr>
        <w:t xml:space="preserve"> at least</w:t>
      </w:r>
      <w:r w:rsidR="006304C1">
        <w:rPr>
          <w:rFonts w:ascii="Times New Roman" w:hAnsi="Times New Roman" w:cs="Times New Roman"/>
          <w:sz w:val="24"/>
          <w:szCs w:val="24"/>
        </w:rPr>
        <w:t xml:space="preserve"> </w:t>
      </w:r>
      <w:r w:rsidR="006304C1">
        <w:rPr>
          <w:rFonts w:ascii="Times New Roman" w:hAnsi="Times New Roman" w:cs="Times New Roman"/>
          <w:i/>
          <w:iCs/>
          <w:sz w:val="24"/>
          <w:szCs w:val="24"/>
        </w:rPr>
        <w:t xml:space="preserve">some </w:t>
      </w:r>
      <w:r w:rsidR="006304C1">
        <w:rPr>
          <w:rFonts w:ascii="Times New Roman" w:hAnsi="Times New Roman" w:cs="Times New Roman"/>
          <w:sz w:val="24"/>
          <w:szCs w:val="24"/>
        </w:rPr>
        <w:t xml:space="preserve">claimants can </w:t>
      </w:r>
      <w:r w:rsidR="004B4DA4">
        <w:rPr>
          <w:rFonts w:ascii="Times New Roman" w:hAnsi="Times New Roman" w:cs="Times New Roman"/>
          <w:sz w:val="24"/>
          <w:szCs w:val="24"/>
        </w:rPr>
        <w:t>recover compensation</w:t>
      </w:r>
      <w:r w:rsidR="006304C1">
        <w:rPr>
          <w:rFonts w:ascii="Times New Roman" w:hAnsi="Times New Roman" w:cs="Times New Roman"/>
          <w:sz w:val="24"/>
          <w:szCs w:val="24"/>
        </w:rPr>
        <w:t>,</w:t>
      </w:r>
      <w:r w:rsidR="00FE7DCC">
        <w:rPr>
          <w:rFonts w:ascii="Times New Roman" w:hAnsi="Times New Roman" w:cs="Times New Roman"/>
          <w:sz w:val="24"/>
          <w:szCs w:val="24"/>
        </w:rPr>
        <w:t xml:space="preserve"> under Stapleton’s scheme</w:t>
      </w:r>
      <w:r w:rsidR="006304C1">
        <w:rPr>
          <w:rFonts w:ascii="Times New Roman" w:hAnsi="Times New Roman" w:cs="Times New Roman"/>
          <w:sz w:val="24"/>
          <w:szCs w:val="24"/>
        </w:rPr>
        <w:t xml:space="preserve"> </w:t>
      </w:r>
      <w:r w:rsidR="006304C1">
        <w:rPr>
          <w:rFonts w:ascii="Times New Roman" w:hAnsi="Times New Roman" w:cs="Times New Roman"/>
          <w:i/>
          <w:iCs/>
          <w:sz w:val="24"/>
          <w:szCs w:val="24"/>
        </w:rPr>
        <w:t xml:space="preserve">no </w:t>
      </w:r>
      <w:r w:rsidR="006304C1">
        <w:rPr>
          <w:rFonts w:ascii="Times New Roman" w:hAnsi="Times New Roman" w:cs="Times New Roman"/>
          <w:sz w:val="24"/>
          <w:szCs w:val="24"/>
        </w:rPr>
        <w:t xml:space="preserve">claimant </w:t>
      </w:r>
      <w:r w:rsidR="004B4DA4">
        <w:rPr>
          <w:rFonts w:ascii="Times New Roman" w:hAnsi="Times New Roman" w:cs="Times New Roman"/>
          <w:sz w:val="24"/>
          <w:szCs w:val="24"/>
        </w:rPr>
        <w:t>c</w:t>
      </w:r>
      <w:r w:rsidR="006304C1">
        <w:rPr>
          <w:rFonts w:ascii="Times New Roman" w:hAnsi="Times New Roman" w:cs="Times New Roman"/>
          <w:sz w:val="24"/>
          <w:szCs w:val="24"/>
        </w:rPr>
        <w:t xml:space="preserve">ould ever </w:t>
      </w:r>
      <w:r w:rsidR="004B4DA4">
        <w:rPr>
          <w:rFonts w:ascii="Times New Roman" w:hAnsi="Times New Roman" w:cs="Times New Roman"/>
          <w:sz w:val="24"/>
          <w:szCs w:val="24"/>
        </w:rPr>
        <w:t>succeed</w:t>
      </w:r>
      <w:r w:rsidR="006304C1">
        <w:rPr>
          <w:rFonts w:ascii="Times New Roman" w:hAnsi="Times New Roman" w:cs="Times New Roman"/>
          <w:sz w:val="24"/>
          <w:szCs w:val="24"/>
        </w:rPr>
        <w:t>.</w:t>
      </w:r>
      <w:r w:rsidR="00811D10">
        <w:rPr>
          <w:rFonts w:ascii="Times New Roman" w:hAnsi="Times New Roman" w:cs="Times New Roman"/>
          <w:sz w:val="24"/>
          <w:szCs w:val="24"/>
        </w:rPr>
        <w:t xml:space="preserve"> </w:t>
      </w:r>
      <w:r w:rsidR="00E85411">
        <w:rPr>
          <w:rFonts w:ascii="Times New Roman" w:hAnsi="Times New Roman" w:cs="Times New Roman"/>
          <w:sz w:val="24"/>
          <w:szCs w:val="24"/>
        </w:rPr>
        <w:t>This is as clear an example of unequal treatment</w:t>
      </w:r>
      <w:r w:rsidR="00811D10">
        <w:rPr>
          <w:rFonts w:ascii="Times New Roman" w:hAnsi="Times New Roman" w:cs="Times New Roman"/>
          <w:sz w:val="24"/>
          <w:szCs w:val="24"/>
        </w:rPr>
        <w:t xml:space="preserve"> </w:t>
      </w:r>
      <w:r w:rsidR="00CD6D63">
        <w:rPr>
          <w:rFonts w:ascii="Times New Roman" w:hAnsi="Times New Roman" w:cs="Times New Roman"/>
          <w:sz w:val="24"/>
          <w:szCs w:val="24"/>
        </w:rPr>
        <w:t>as</w:t>
      </w:r>
      <w:r w:rsidR="00E85411">
        <w:rPr>
          <w:rFonts w:ascii="Times New Roman" w:hAnsi="Times New Roman" w:cs="Times New Roman"/>
          <w:sz w:val="24"/>
          <w:szCs w:val="24"/>
        </w:rPr>
        <w:t xml:space="preserve"> </w:t>
      </w:r>
      <w:r w:rsidR="003244FC">
        <w:rPr>
          <w:rFonts w:ascii="Times New Roman" w:hAnsi="Times New Roman" w:cs="Times New Roman"/>
          <w:sz w:val="24"/>
          <w:szCs w:val="24"/>
        </w:rPr>
        <w:t xml:space="preserve">one can </w:t>
      </w:r>
      <w:r w:rsidR="00C347F8">
        <w:rPr>
          <w:rFonts w:ascii="Times New Roman" w:hAnsi="Times New Roman" w:cs="Times New Roman"/>
          <w:sz w:val="24"/>
          <w:szCs w:val="24"/>
        </w:rPr>
        <w:t>expect</w:t>
      </w:r>
      <w:r w:rsidR="003244FC">
        <w:rPr>
          <w:rFonts w:ascii="Times New Roman" w:hAnsi="Times New Roman" w:cs="Times New Roman"/>
          <w:sz w:val="24"/>
          <w:szCs w:val="24"/>
        </w:rPr>
        <w:t xml:space="preserve"> to find</w:t>
      </w:r>
      <w:r w:rsidR="005E1B9A">
        <w:rPr>
          <w:rFonts w:ascii="Times New Roman" w:hAnsi="Times New Roman" w:cs="Times New Roman"/>
          <w:sz w:val="24"/>
          <w:szCs w:val="24"/>
        </w:rPr>
        <w:t>. For that reason,</w:t>
      </w:r>
      <w:r w:rsidR="00C347F8">
        <w:rPr>
          <w:rFonts w:ascii="Times New Roman" w:hAnsi="Times New Roman" w:cs="Times New Roman"/>
          <w:sz w:val="24"/>
          <w:szCs w:val="24"/>
        </w:rPr>
        <w:t xml:space="preserve"> </w:t>
      </w:r>
      <w:r w:rsidR="0035009E">
        <w:rPr>
          <w:rFonts w:ascii="Times New Roman" w:hAnsi="Times New Roman" w:cs="Times New Roman"/>
          <w:sz w:val="24"/>
          <w:szCs w:val="24"/>
        </w:rPr>
        <w:t xml:space="preserve">abolition </w:t>
      </w:r>
      <w:r w:rsidR="00704DDD">
        <w:rPr>
          <w:rFonts w:ascii="Times New Roman" w:hAnsi="Times New Roman" w:cs="Times New Roman"/>
          <w:sz w:val="24"/>
          <w:szCs w:val="24"/>
        </w:rPr>
        <w:t>would</w:t>
      </w:r>
      <w:r w:rsidR="00ED4870">
        <w:rPr>
          <w:rFonts w:ascii="Times New Roman" w:hAnsi="Times New Roman" w:cs="Times New Roman"/>
          <w:sz w:val="24"/>
          <w:szCs w:val="24"/>
        </w:rPr>
        <w:t xml:space="preserve"> do nothing to</w:t>
      </w:r>
      <w:r w:rsidR="00E625C4">
        <w:rPr>
          <w:rFonts w:ascii="Times New Roman" w:hAnsi="Times New Roman" w:cs="Times New Roman"/>
          <w:sz w:val="24"/>
          <w:szCs w:val="24"/>
        </w:rPr>
        <w:t xml:space="preserve"> align </w:t>
      </w:r>
      <w:r w:rsidR="00ED4870">
        <w:rPr>
          <w:rFonts w:ascii="Times New Roman" w:hAnsi="Times New Roman" w:cs="Times New Roman"/>
          <w:sz w:val="24"/>
          <w:szCs w:val="24"/>
        </w:rPr>
        <w:t>the tort of negligence with the CRPD.</w:t>
      </w:r>
    </w:p>
    <w:p w14:paraId="320E8067" w14:textId="1D06582F" w:rsidR="00372ABE" w:rsidRPr="00552A45" w:rsidRDefault="00FA1AD1" w:rsidP="00D97F77">
      <w:pPr>
        <w:pStyle w:val="ListParagraph"/>
        <w:numPr>
          <w:ilvl w:val="0"/>
          <w:numId w:val="44"/>
        </w:numPr>
        <w:tabs>
          <w:tab w:val="left" w:pos="7864"/>
          <w:tab w:val="right" w:pos="9026"/>
        </w:tabs>
        <w:rPr>
          <w:rFonts w:ascii="Times New Roman" w:hAnsi="Times New Roman" w:cs="Times New Roman"/>
          <w:i/>
          <w:sz w:val="24"/>
          <w:szCs w:val="24"/>
        </w:rPr>
      </w:pPr>
      <w:r w:rsidRPr="00552A45">
        <w:rPr>
          <w:rFonts w:ascii="Times New Roman" w:hAnsi="Times New Roman" w:cs="Times New Roman"/>
          <w:i/>
          <w:sz w:val="24"/>
          <w:szCs w:val="24"/>
        </w:rPr>
        <w:lastRenderedPageBreak/>
        <w:t>Amendment</w:t>
      </w:r>
    </w:p>
    <w:p w14:paraId="657DFADA" w14:textId="61E568FB" w:rsidR="00C34C76" w:rsidRDefault="00BA7427" w:rsidP="00435083">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The idea that the</w:t>
      </w:r>
      <w:r w:rsidR="00C94CA6">
        <w:rPr>
          <w:rFonts w:ascii="Times New Roman" w:hAnsi="Times New Roman" w:cs="Times New Roman"/>
          <w:sz w:val="24"/>
          <w:szCs w:val="24"/>
        </w:rPr>
        <w:t xml:space="preserve"> special</w:t>
      </w:r>
      <w:r>
        <w:rPr>
          <w:rFonts w:ascii="Times New Roman" w:hAnsi="Times New Roman" w:cs="Times New Roman"/>
          <w:sz w:val="24"/>
          <w:szCs w:val="24"/>
        </w:rPr>
        <w:t xml:space="preserve"> rules might simply be amended </w:t>
      </w:r>
      <w:r w:rsidR="009F1F0B">
        <w:rPr>
          <w:rFonts w:ascii="Times New Roman" w:hAnsi="Times New Roman" w:cs="Times New Roman"/>
          <w:sz w:val="24"/>
          <w:szCs w:val="24"/>
        </w:rPr>
        <w:t>is a long-standing feature of the literature.</w:t>
      </w:r>
      <w:r w:rsidR="00351689">
        <w:rPr>
          <w:rFonts w:ascii="Times New Roman" w:hAnsi="Times New Roman" w:cs="Times New Roman"/>
          <w:sz w:val="24"/>
          <w:szCs w:val="24"/>
        </w:rPr>
        <w:t xml:space="preserve"> </w:t>
      </w:r>
      <w:r w:rsidR="004D7B5D">
        <w:rPr>
          <w:rFonts w:ascii="Times New Roman" w:hAnsi="Times New Roman" w:cs="Times New Roman"/>
          <w:sz w:val="24"/>
          <w:szCs w:val="24"/>
        </w:rPr>
        <w:t xml:space="preserve">Towards the more conservative end of the spectrum lie the Law Commission’s proposals </w:t>
      </w:r>
      <w:r w:rsidR="001E54A8">
        <w:rPr>
          <w:rFonts w:ascii="Times New Roman" w:hAnsi="Times New Roman" w:cs="Times New Roman"/>
          <w:sz w:val="24"/>
          <w:szCs w:val="24"/>
        </w:rPr>
        <w:t xml:space="preserve">for ‘minimalist intervention’ </w:t>
      </w:r>
      <w:r w:rsidR="00FD0709">
        <w:rPr>
          <w:rFonts w:ascii="Times New Roman" w:hAnsi="Times New Roman" w:cs="Times New Roman"/>
          <w:sz w:val="24"/>
          <w:szCs w:val="24"/>
        </w:rPr>
        <w:t>in</w:t>
      </w:r>
      <w:r w:rsidR="004D7B5D">
        <w:rPr>
          <w:rFonts w:ascii="Times New Roman" w:hAnsi="Times New Roman" w:cs="Times New Roman"/>
          <w:sz w:val="24"/>
          <w:szCs w:val="24"/>
        </w:rPr>
        <w:t xml:space="preserve"> 1998.</w:t>
      </w:r>
      <w:r w:rsidR="004D7B5D">
        <w:rPr>
          <w:rStyle w:val="FootnoteReference"/>
          <w:rFonts w:cs="Times New Roman"/>
          <w:szCs w:val="24"/>
        </w:rPr>
        <w:footnoteReference w:id="186"/>
      </w:r>
      <w:r w:rsidR="007C3DB3">
        <w:rPr>
          <w:rFonts w:ascii="Times New Roman" w:hAnsi="Times New Roman" w:cs="Times New Roman"/>
          <w:sz w:val="24"/>
          <w:szCs w:val="24"/>
        </w:rPr>
        <w:t xml:space="preserve"> </w:t>
      </w:r>
      <w:r w:rsidR="00C220DB">
        <w:rPr>
          <w:rFonts w:ascii="Times New Roman" w:hAnsi="Times New Roman" w:cs="Times New Roman"/>
          <w:sz w:val="24"/>
          <w:szCs w:val="24"/>
        </w:rPr>
        <w:t xml:space="preserve">Stating that it remained persuaded by the </w:t>
      </w:r>
      <w:r w:rsidR="00E60986">
        <w:rPr>
          <w:rFonts w:ascii="Times New Roman" w:hAnsi="Times New Roman" w:cs="Times New Roman"/>
          <w:sz w:val="24"/>
          <w:szCs w:val="24"/>
        </w:rPr>
        <w:t>‘floodgates argument’</w:t>
      </w:r>
      <w:r w:rsidR="00C220DB">
        <w:rPr>
          <w:rFonts w:ascii="Times New Roman" w:hAnsi="Times New Roman" w:cs="Times New Roman"/>
          <w:sz w:val="24"/>
          <w:szCs w:val="24"/>
        </w:rPr>
        <w:t xml:space="preserve">, the Law Commission concluded that </w:t>
      </w:r>
      <w:r w:rsidR="00E60986">
        <w:rPr>
          <w:rFonts w:ascii="Times New Roman" w:hAnsi="Times New Roman" w:cs="Times New Roman"/>
          <w:sz w:val="24"/>
          <w:szCs w:val="24"/>
        </w:rPr>
        <w:t>‘special</w:t>
      </w:r>
      <w:r w:rsidR="00C220DB">
        <w:rPr>
          <w:rFonts w:ascii="Times New Roman" w:hAnsi="Times New Roman" w:cs="Times New Roman"/>
          <w:sz w:val="24"/>
          <w:szCs w:val="24"/>
        </w:rPr>
        <w:t xml:space="preserve"> limitations</w:t>
      </w:r>
      <w:r w:rsidR="004B4DA4">
        <w:rPr>
          <w:rFonts w:ascii="Times New Roman" w:hAnsi="Times New Roman" w:cs="Times New Roman"/>
          <w:sz w:val="24"/>
          <w:szCs w:val="24"/>
        </w:rPr>
        <w:t>’</w:t>
      </w:r>
      <w:r w:rsidR="00C220DB">
        <w:rPr>
          <w:rFonts w:ascii="Times New Roman" w:hAnsi="Times New Roman" w:cs="Times New Roman"/>
          <w:sz w:val="24"/>
          <w:szCs w:val="24"/>
        </w:rPr>
        <w:t xml:space="preserve"> should continue to apply </w:t>
      </w:r>
      <w:r w:rsidR="00AF4EFD">
        <w:rPr>
          <w:rFonts w:ascii="Times New Roman" w:hAnsi="Times New Roman" w:cs="Times New Roman"/>
          <w:sz w:val="24"/>
          <w:szCs w:val="24"/>
        </w:rPr>
        <w:t>in secondary victim cases.</w:t>
      </w:r>
      <w:r w:rsidR="00FC7C6C">
        <w:rPr>
          <w:rStyle w:val="FootnoteReference"/>
          <w:rFonts w:cs="Times New Roman"/>
          <w:szCs w:val="24"/>
        </w:rPr>
        <w:footnoteReference w:id="187"/>
      </w:r>
      <w:r w:rsidR="00406ABE">
        <w:rPr>
          <w:rFonts w:ascii="Times New Roman" w:hAnsi="Times New Roman" w:cs="Times New Roman"/>
          <w:sz w:val="24"/>
          <w:szCs w:val="24"/>
        </w:rPr>
        <w:t xml:space="preserve"> </w:t>
      </w:r>
      <w:r w:rsidR="00296114">
        <w:rPr>
          <w:rFonts w:ascii="Times New Roman" w:hAnsi="Times New Roman" w:cs="Times New Roman"/>
          <w:sz w:val="24"/>
          <w:szCs w:val="24"/>
        </w:rPr>
        <w:t>It</w:t>
      </w:r>
      <w:r w:rsidR="002F289B">
        <w:rPr>
          <w:rFonts w:ascii="Times New Roman" w:hAnsi="Times New Roman" w:cs="Times New Roman"/>
          <w:sz w:val="24"/>
          <w:szCs w:val="24"/>
        </w:rPr>
        <w:t xml:space="preserve">s central recommendation </w:t>
      </w:r>
      <w:r w:rsidR="00AB40DF">
        <w:rPr>
          <w:rFonts w:ascii="Times New Roman" w:hAnsi="Times New Roman" w:cs="Times New Roman"/>
          <w:sz w:val="24"/>
          <w:szCs w:val="24"/>
        </w:rPr>
        <w:t xml:space="preserve">was that a </w:t>
      </w:r>
      <w:r w:rsidR="00CD6D63">
        <w:rPr>
          <w:rFonts w:ascii="Times New Roman" w:hAnsi="Times New Roman" w:cs="Times New Roman"/>
          <w:sz w:val="24"/>
          <w:szCs w:val="24"/>
        </w:rPr>
        <w:t>claimant</w:t>
      </w:r>
      <w:r w:rsidR="00AB40DF">
        <w:rPr>
          <w:rFonts w:ascii="Times New Roman" w:hAnsi="Times New Roman" w:cs="Times New Roman"/>
          <w:sz w:val="24"/>
          <w:szCs w:val="24"/>
        </w:rPr>
        <w:t xml:space="preserve"> who has a ‘close tie of love and affection’ with the immediate victim of the defendant’s negligence</w:t>
      </w:r>
      <w:r w:rsidR="000C3EFA">
        <w:rPr>
          <w:rFonts w:ascii="Times New Roman" w:hAnsi="Times New Roman" w:cs="Times New Roman"/>
          <w:sz w:val="24"/>
          <w:szCs w:val="24"/>
        </w:rPr>
        <w:t xml:space="preserve"> should be entitled to recover damages for psychiatric injury</w:t>
      </w:r>
      <w:r w:rsidR="00F156B7">
        <w:rPr>
          <w:rFonts w:ascii="Times New Roman" w:hAnsi="Times New Roman" w:cs="Times New Roman"/>
          <w:sz w:val="24"/>
          <w:szCs w:val="24"/>
        </w:rPr>
        <w:t>. This should happen</w:t>
      </w:r>
      <w:r w:rsidR="00DF10FF">
        <w:rPr>
          <w:rFonts w:ascii="Times New Roman" w:hAnsi="Times New Roman" w:cs="Times New Roman"/>
          <w:sz w:val="24"/>
          <w:szCs w:val="24"/>
        </w:rPr>
        <w:t xml:space="preserve"> ‘regardless of </w:t>
      </w:r>
      <w:r w:rsidR="00CD6D63">
        <w:rPr>
          <w:rFonts w:ascii="Times New Roman" w:hAnsi="Times New Roman" w:cs="Times New Roman"/>
          <w:sz w:val="24"/>
          <w:szCs w:val="24"/>
        </w:rPr>
        <w:t>[his]</w:t>
      </w:r>
      <w:r w:rsidR="00DF10FF">
        <w:rPr>
          <w:rFonts w:ascii="Times New Roman" w:hAnsi="Times New Roman" w:cs="Times New Roman"/>
          <w:sz w:val="24"/>
          <w:szCs w:val="24"/>
        </w:rPr>
        <w:t xml:space="preserve"> closeness to the accident</w:t>
      </w:r>
      <w:r w:rsidR="004B4DA4">
        <w:rPr>
          <w:rFonts w:ascii="Times New Roman" w:hAnsi="Times New Roman" w:cs="Times New Roman"/>
          <w:sz w:val="24"/>
          <w:szCs w:val="24"/>
        </w:rPr>
        <w:t>…</w:t>
      </w:r>
      <w:r w:rsidR="00DF10FF">
        <w:rPr>
          <w:rFonts w:ascii="Times New Roman" w:hAnsi="Times New Roman" w:cs="Times New Roman"/>
          <w:sz w:val="24"/>
          <w:szCs w:val="24"/>
        </w:rPr>
        <w:t xml:space="preserve"> or the means by which </w:t>
      </w:r>
      <w:r w:rsidR="00CD6D63">
        <w:rPr>
          <w:rFonts w:ascii="Times New Roman" w:hAnsi="Times New Roman" w:cs="Times New Roman"/>
          <w:sz w:val="24"/>
          <w:szCs w:val="24"/>
        </w:rPr>
        <w:t>[he]</w:t>
      </w:r>
      <w:r w:rsidR="00DF10FF">
        <w:rPr>
          <w:rFonts w:ascii="Times New Roman" w:hAnsi="Times New Roman" w:cs="Times New Roman"/>
          <w:sz w:val="24"/>
          <w:szCs w:val="24"/>
        </w:rPr>
        <w:t xml:space="preserve"> learns of it’.</w:t>
      </w:r>
      <w:r w:rsidR="00F64E30">
        <w:rPr>
          <w:rStyle w:val="FootnoteReference"/>
          <w:rFonts w:cs="Times New Roman"/>
          <w:szCs w:val="24"/>
        </w:rPr>
        <w:footnoteReference w:id="188"/>
      </w:r>
      <w:r w:rsidR="00F70221">
        <w:rPr>
          <w:rFonts w:ascii="Times New Roman" w:hAnsi="Times New Roman" w:cs="Times New Roman"/>
          <w:sz w:val="24"/>
          <w:szCs w:val="24"/>
        </w:rPr>
        <w:t xml:space="preserve"> </w:t>
      </w:r>
      <w:r w:rsidR="00D14C23">
        <w:rPr>
          <w:rFonts w:ascii="Times New Roman" w:hAnsi="Times New Roman" w:cs="Times New Roman"/>
          <w:sz w:val="24"/>
          <w:szCs w:val="24"/>
        </w:rPr>
        <w:t xml:space="preserve">The Commission said that Parliament should define what constitutes a ‘close tie of love and affection’ </w:t>
      </w:r>
      <w:r w:rsidR="00CD6D63">
        <w:rPr>
          <w:rFonts w:ascii="Times New Roman" w:hAnsi="Times New Roman" w:cs="Times New Roman"/>
          <w:sz w:val="24"/>
          <w:szCs w:val="24"/>
        </w:rPr>
        <w:t>using</w:t>
      </w:r>
      <w:r w:rsidR="00E64B7C">
        <w:rPr>
          <w:rFonts w:ascii="Times New Roman" w:hAnsi="Times New Roman" w:cs="Times New Roman"/>
          <w:sz w:val="24"/>
          <w:szCs w:val="24"/>
        </w:rPr>
        <w:t xml:space="preserve"> a ‘fixed list’ of qualifying relationships.</w:t>
      </w:r>
      <w:r w:rsidR="008D72FE">
        <w:rPr>
          <w:rStyle w:val="FootnoteReference"/>
          <w:rFonts w:cs="Times New Roman"/>
          <w:szCs w:val="24"/>
        </w:rPr>
        <w:footnoteReference w:id="189"/>
      </w:r>
      <w:r w:rsidR="00D73A54">
        <w:rPr>
          <w:rFonts w:ascii="Times New Roman" w:hAnsi="Times New Roman" w:cs="Times New Roman"/>
          <w:sz w:val="24"/>
          <w:szCs w:val="24"/>
        </w:rPr>
        <w:t xml:space="preserve"> Beyond that, the Commission recommended that the </w:t>
      </w:r>
      <w:r w:rsidR="00CB277B">
        <w:rPr>
          <w:rFonts w:ascii="Times New Roman" w:hAnsi="Times New Roman" w:cs="Times New Roman"/>
          <w:sz w:val="24"/>
          <w:szCs w:val="24"/>
        </w:rPr>
        <w:t>duty rules should remain untouched</w:t>
      </w:r>
      <w:r w:rsidR="009521FD">
        <w:rPr>
          <w:rFonts w:ascii="Times New Roman" w:hAnsi="Times New Roman" w:cs="Times New Roman"/>
          <w:sz w:val="24"/>
          <w:szCs w:val="24"/>
        </w:rPr>
        <w:t>, including the requirement that there be a ‘recognisable psychiatric illness’</w:t>
      </w:r>
      <w:r w:rsidR="00B10C17">
        <w:rPr>
          <w:rFonts w:ascii="Times New Roman" w:hAnsi="Times New Roman" w:cs="Times New Roman"/>
          <w:sz w:val="24"/>
          <w:szCs w:val="24"/>
        </w:rPr>
        <w:t xml:space="preserve"> as a prelude to recovery.</w:t>
      </w:r>
      <w:r w:rsidR="00B17507">
        <w:rPr>
          <w:rStyle w:val="FootnoteReference"/>
          <w:rFonts w:cs="Times New Roman"/>
          <w:szCs w:val="24"/>
        </w:rPr>
        <w:footnoteReference w:id="190"/>
      </w:r>
    </w:p>
    <w:p w14:paraId="62110301" w14:textId="136FE053" w:rsidR="00862ED2" w:rsidRDefault="009861D4"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The</w:t>
      </w:r>
      <w:r w:rsidR="0033445E">
        <w:rPr>
          <w:rFonts w:ascii="Times New Roman" w:hAnsi="Times New Roman" w:cs="Times New Roman"/>
          <w:sz w:val="24"/>
          <w:szCs w:val="24"/>
        </w:rPr>
        <w:t xml:space="preserve"> Law</w:t>
      </w:r>
      <w:r>
        <w:rPr>
          <w:rFonts w:ascii="Times New Roman" w:hAnsi="Times New Roman" w:cs="Times New Roman"/>
          <w:sz w:val="24"/>
          <w:szCs w:val="24"/>
        </w:rPr>
        <w:t xml:space="preserve"> Commission</w:t>
      </w:r>
      <w:r w:rsidR="0033445E">
        <w:rPr>
          <w:rFonts w:ascii="Times New Roman" w:hAnsi="Times New Roman" w:cs="Times New Roman"/>
          <w:sz w:val="24"/>
          <w:szCs w:val="24"/>
        </w:rPr>
        <w:t>’s proposal</w:t>
      </w:r>
      <w:r w:rsidR="00C34C76">
        <w:rPr>
          <w:rFonts w:ascii="Times New Roman" w:hAnsi="Times New Roman" w:cs="Times New Roman"/>
          <w:sz w:val="24"/>
          <w:szCs w:val="24"/>
        </w:rPr>
        <w:t>s</w:t>
      </w:r>
      <w:r w:rsidR="0033445E">
        <w:rPr>
          <w:rFonts w:ascii="Times New Roman" w:hAnsi="Times New Roman" w:cs="Times New Roman"/>
          <w:sz w:val="24"/>
          <w:szCs w:val="24"/>
        </w:rPr>
        <w:t xml:space="preserve"> </w:t>
      </w:r>
      <w:r w:rsidR="008B783E">
        <w:rPr>
          <w:rFonts w:ascii="Times New Roman" w:hAnsi="Times New Roman" w:cs="Times New Roman"/>
          <w:sz w:val="24"/>
          <w:szCs w:val="24"/>
        </w:rPr>
        <w:t>enjoyed some contemporary support.</w:t>
      </w:r>
      <w:r w:rsidR="00AC5C92">
        <w:rPr>
          <w:rFonts w:ascii="Times New Roman" w:hAnsi="Times New Roman" w:cs="Times New Roman"/>
          <w:sz w:val="24"/>
          <w:szCs w:val="24"/>
        </w:rPr>
        <w:t xml:space="preserve"> </w:t>
      </w:r>
      <w:r w:rsidR="00E007BB">
        <w:rPr>
          <w:rFonts w:ascii="Times New Roman" w:hAnsi="Times New Roman" w:cs="Times New Roman"/>
          <w:sz w:val="24"/>
          <w:szCs w:val="24"/>
        </w:rPr>
        <w:t xml:space="preserve">Writing in the mid-1990s, </w:t>
      </w:r>
      <w:r w:rsidR="00230148">
        <w:rPr>
          <w:rFonts w:ascii="Times New Roman" w:hAnsi="Times New Roman" w:cs="Times New Roman"/>
          <w:sz w:val="24"/>
          <w:szCs w:val="24"/>
        </w:rPr>
        <w:t>Handford said that</w:t>
      </w:r>
      <w:r w:rsidR="00E007BB">
        <w:rPr>
          <w:rFonts w:ascii="Times New Roman" w:hAnsi="Times New Roman" w:cs="Times New Roman"/>
          <w:sz w:val="24"/>
          <w:szCs w:val="24"/>
        </w:rPr>
        <w:t xml:space="preserve"> </w:t>
      </w:r>
      <w:r w:rsidR="00CD6D63">
        <w:rPr>
          <w:rFonts w:ascii="Times New Roman" w:hAnsi="Times New Roman" w:cs="Times New Roman"/>
          <w:sz w:val="24"/>
          <w:szCs w:val="24"/>
        </w:rPr>
        <w:t xml:space="preserve">its </w:t>
      </w:r>
      <w:r w:rsidR="00E007BB">
        <w:rPr>
          <w:rFonts w:ascii="Times New Roman" w:hAnsi="Times New Roman" w:cs="Times New Roman"/>
          <w:sz w:val="24"/>
          <w:szCs w:val="24"/>
        </w:rPr>
        <w:t>approach</w:t>
      </w:r>
      <w:r w:rsidR="00230148">
        <w:rPr>
          <w:rFonts w:ascii="Times New Roman" w:hAnsi="Times New Roman" w:cs="Times New Roman"/>
          <w:sz w:val="24"/>
          <w:szCs w:val="24"/>
        </w:rPr>
        <w:t xml:space="preserve"> </w:t>
      </w:r>
      <w:r w:rsidR="00547298">
        <w:rPr>
          <w:rFonts w:ascii="Times New Roman" w:hAnsi="Times New Roman" w:cs="Times New Roman"/>
          <w:sz w:val="24"/>
          <w:szCs w:val="24"/>
        </w:rPr>
        <w:t>accorded with medical opinion</w:t>
      </w:r>
      <w:r w:rsidR="0017497C">
        <w:rPr>
          <w:rFonts w:ascii="Times New Roman" w:hAnsi="Times New Roman" w:cs="Times New Roman"/>
          <w:sz w:val="24"/>
          <w:szCs w:val="24"/>
        </w:rPr>
        <w:t>;</w:t>
      </w:r>
      <w:r w:rsidR="0017497C">
        <w:rPr>
          <w:rStyle w:val="FootnoteReference"/>
          <w:rFonts w:cs="Times New Roman"/>
          <w:szCs w:val="24"/>
        </w:rPr>
        <w:footnoteReference w:id="191"/>
      </w:r>
      <w:r w:rsidR="0017497C">
        <w:rPr>
          <w:rFonts w:ascii="Times New Roman" w:hAnsi="Times New Roman" w:cs="Times New Roman"/>
          <w:sz w:val="24"/>
          <w:szCs w:val="24"/>
        </w:rPr>
        <w:t xml:space="preserve"> later, he said that</w:t>
      </w:r>
      <w:r w:rsidR="00B20CA0">
        <w:rPr>
          <w:rFonts w:ascii="Times New Roman" w:hAnsi="Times New Roman" w:cs="Times New Roman"/>
          <w:sz w:val="24"/>
          <w:szCs w:val="24"/>
        </w:rPr>
        <w:t xml:space="preserve"> a sharper</w:t>
      </w:r>
      <w:r w:rsidR="0017497C">
        <w:rPr>
          <w:rFonts w:ascii="Times New Roman" w:hAnsi="Times New Roman" w:cs="Times New Roman"/>
          <w:sz w:val="24"/>
          <w:szCs w:val="24"/>
        </w:rPr>
        <w:t xml:space="preserve"> focus on the relationship question would lead </w:t>
      </w:r>
      <w:r w:rsidR="00C34C76">
        <w:rPr>
          <w:rFonts w:ascii="Times New Roman" w:hAnsi="Times New Roman" w:cs="Times New Roman"/>
          <w:sz w:val="24"/>
          <w:szCs w:val="24"/>
        </w:rPr>
        <w:t>to</w:t>
      </w:r>
      <w:r w:rsidR="0017497C">
        <w:rPr>
          <w:rFonts w:ascii="Times New Roman" w:hAnsi="Times New Roman" w:cs="Times New Roman"/>
          <w:sz w:val="24"/>
          <w:szCs w:val="24"/>
        </w:rPr>
        <w:t xml:space="preserve"> a ‘more satisfying jurisprudential development’ than one which makes liability depend on questions of proximity</w:t>
      </w:r>
      <w:r w:rsidR="009D0631">
        <w:rPr>
          <w:rFonts w:ascii="Times New Roman" w:hAnsi="Times New Roman" w:cs="Times New Roman"/>
          <w:sz w:val="24"/>
          <w:szCs w:val="24"/>
        </w:rPr>
        <w:t>.</w:t>
      </w:r>
      <w:r w:rsidR="008E73CF">
        <w:rPr>
          <w:rStyle w:val="FootnoteReference"/>
          <w:rFonts w:cs="Times New Roman"/>
          <w:szCs w:val="24"/>
        </w:rPr>
        <w:footnoteReference w:id="192"/>
      </w:r>
      <w:r w:rsidR="007F59C5">
        <w:rPr>
          <w:rFonts w:ascii="Times New Roman" w:hAnsi="Times New Roman" w:cs="Times New Roman"/>
          <w:sz w:val="24"/>
          <w:szCs w:val="24"/>
        </w:rPr>
        <w:t xml:space="preserve"> Others were critical: </w:t>
      </w:r>
      <w:r w:rsidR="00E971D2">
        <w:rPr>
          <w:rFonts w:ascii="Times New Roman" w:hAnsi="Times New Roman" w:cs="Times New Roman"/>
          <w:sz w:val="24"/>
          <w:szCs w:val="24"/>
        </w:rPr>
        <w:t xml:space="preserve">Wessely said that the retention of the </w:t>
      </w:r>
      <w:r w:rsidR="00607B8A">
        <w:rPr>
          <w:rFonts w:ascii="Times New Roman" w:hAnsi="Times New Roman" w:cs="Times New Roman"/>
          <w:sz w:val="24"/>
          <w:szCs w:val="24"/>
        </w:rPr>
        <w:t>‘recognisable psychiatric illness’ requirement gave ‘too high a credence to psychiatric nosology and classification’</w:t>
      </w:r>
      <w:r w:rsidR="00D95654">
        <w:rPr>
          <w:rFonts w:ascii="Times New Roman" w:hAnsi="Times New Roman" w:cs="Times New Roman"/>
          <w:sz w:val="24"/>
          <w:szCs w:val="24"/>
        </w:rPr>
        <w:t>.</w:t>
      </w:r>
      <w:r w:rsidR="004D7323">
        <w:rPr>
          <w:rStyle w:val="FootnoteReference"/>
          <w:rFonts w:cs="Times New Roman"/>
          <w:szCs w:val="24"/>
        </w:rPr>
        <w:footnoteReference w:id="193"/>
      </w:r>
      <w:r w:rsidR="00A876B7">
        <w:rPr>
          <w:rFonts w:ascii="Times New Roman" w:hAnsi="Times New Roman" w:cs="Times New Roman"/>
          <w:sz w:val="24"/>
          <w:szCs w:val="24"/>
        </w:rPr>
        <w:t xml:space="preserve"> Perhaps the biggest shortcoming was that the Commission’s recommendations predated </w:t>
      </w:r>
      <w:r w:rsidR="00A876B7">
        <w:rPr>
          <w:rFonts w:ascii="Times New Roman" w:hAnsi="Times New Roman" w:cs="Times New Roman"/>
          <w:i/>
          <w:iCs/>
          <w:sz w:val="24"/>
          <w:szCs w:val="24"/>
        </w:rPr>
        <w:t>White</w:t>
      </w:r>
      <w:r w:rsidR="00234999">
        <w:rPr>
          <w:rFonts w:ascii="Times New Roman" w:hAnsi="Times New Roman" w:cs="Times New Roman"/>
          <w:sz w:val="24"/>
          <w:szCs w:val="24"/>
        </w:rPr>
        <w:t xml:space="preserve">, meaning that </w:t>
      </w:r>
      <w:r w:rsidR="00A33835">
        <w:rPr>
          <w:rFonts w:ascii="Times New Roman" w:hAnsi="Times New Roman" w:cs="Times New Roman"/>
          <w:sz w:val="24"/>
          <w:szCs w:val="24"/>
        </w:rPr>
        <w:t>they</w:t>
      </w:r>
      <w:r w:rsidR="00FD0709">
        <w:rPr>
          <w:rFonts w:ascii="Times New Roman" w:hAnsi="Times New Roman" w:cs="Times New Roman"/>
          <w:sz w:val="24"/>
          <w:szCs w:val="24"/>
        </w:rPr>
        <w:t xml:space="preserve"> </w:t>
      </w:r>
      <w:r w:rsidR="00FD0709">
        <w:rPr>
          <w:rFonts w:ascii="Times New Roman" w:hAnsi="Times New Roman" w:cs="Times New Roman"/>
          <w:sz w:val="24"/>
          <w:szCs w:val="24"/>
        </w:rPr>
        <w:lastRenderedPageBreak/>
        <w:t>soon</w:t>
      </w:r>
      <w:r w:rsidR="00A33835">
        <w:rPr>
          <w:rFonts w:ascii="Times New Roman" w:hAnsi="Times New Roman" w:cs="Times New Roman"/>
          <w:sz w:val="24"/>
          <w:szCs w:val="24"/>
        </w:rPr>
        <w:t xml:space="preserve"> reflected an obsolete rubric.</w:t>
      </w:r>
      <w:r w:rsidR="00D95654">
        <w:rPr>
          <w:rFonts w:ascii="Times New Roman" w:hAnsi="Times New Roman" w:cs="Times New Roman"/>
          <w:sz w:val="24"/>
          <w:szCs w:val="24"/>
        </w:rPr>
        <w:t xml:space="preserve"> HM Government</w:t>
      </w:r>
      <w:r w:rsidR="00D5563B">
        <w:rPr>
          <w:rFonts w:ascii="Times New Roman" w:hAnsi="Times New Roman" w:cs="Times New Roman"/>
          <w:sz w:val="24"/>
          <w:szCs w:val="24"/>
        </w:rPr>
        <w:t xml:space="preserve"> subsequently</w:t>
      </w:r>
      <w:r w:rsidR="00D95654">
        <w:rPr>
          <w:rFonts w:ascii="Times New Roman" w:hAnsi="Times New Roman" w:cs="Times New Roman"/>
          <w:sz w:val="24"/>
          <w:szCs w:val="24"/>
        </w:rPr>
        <w:t xml:space="preserve"> rejected the Law </w:t>
      </w:r>
      <w:r w:rsidR="00376422">
        <w:rPr>
          <w:rFonts w:ascii="Times New Roman" w:hAnsi="Times New Roman" w:cs="Times New Roman"/>
          <w:sz w:val="24"/>
          <w:szCs w:val="24"/>
        </w:rPr>
        <w:t>Commission’s recommendations, preferring to leave the</w:t>
      </w:r>
      <w:r w:rsidR="004B4DA4">
        <w:rPr>
          <w:rFonts w:ascii="Times New Roman" w:hAnsi="Times New Roman" w:cs="Times New Roman"/>
          <w:sz w:val="24"/>
          <w:szCs w:val="24"/>
        </w:rPr>
        <w:t xml:space="preserve"> matter</w:t>
      </w:r>
      <w:r w:rsidR="00376422">
        <w:rPr>
          <w:rFonts w:ascii="Times New Roman" w:hAnsi="Times New Roman" w:cs="Times New Roman"/>
          <w:sz w:val="24"/>
          <w:szCs w:val="24"/>
        </w:rPr>
        <w:t xml:space="preserve"> to the courts.</w:t>
      </w:r>
      <w:r w:rsidR="00C0138B">
        <w:rPr>
          <w:rStyle w:val="FootnoteReference"/>
          <w:rFonts w:cs="Times New Roman"/>
          <w:szCs w:val="24"/>
        </w:rPr>
        <w:footnoteReference w:id="194"/>
      </w:r>
      <w:r w:rsidR="00334DA5">
        <w:rPr>
          <w:rFonts w:ascii="Times New Roman" w:hAnsi="Times New Roman" w:cs="Times New Roman"/>
          <w:sz w:val="24"/>
          <w:szCs w:val="24"/>
        </w:rPr>
        <w:t xml:space="preserve"> While they later resurfaced in the Negligence and Damages Bill, the proposals never reached the statute book.</w:t>
      </w:r>
      <w:r w:rsidR="00885E45">
        <w:rPr>
          <w:rStyle w:val="FootnoteReference"/>
          <w:rFonts w:cs="Times New Roman"/>
          <w:szCs w:val="24"/>
        </w:rPr>
        <w:footnoteReference w:id="195"/>
      </w:r>
    </w:p>
    <w:p w14:paraId="2A6F0AA0" w14:textId="0B7B876C" w:rsidR="00066519" w:rsidRDefault="00351689"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T</w:t>
      </w:r>
      <w:r w:rsidR="0081565E">
        <w:rPr>
          <w:rFonts w:ascii="Times New Roman" w:hAnsi="Times New Roman" w:cs="Times New Roman"/>
          <w:sz w:val="24"/>
          <w:szCs w:val="24"/>
        </w:rPr>
        <w:t>he</w:t>
      </w:r>
      <w:r w:rsidR="00AD38D2">
        <w:rPr>
          <w:rFonts w:ascii="Times New Roman" w:hAnsi="Times New Roman" w:cs="Times New Roman"/>
          <w:sz w:val="24"/>
          <w:szCs w:val="24"/>
        </w:rPr>
        <w:t xml:space="preserve"> Law Commission’s</w:t>
      </w:r>
      <w:r>
        <w:rPr>
          <w:rFonts w:ascii="Times New Roman" w:hAnsi="Times New Roman" w:cs="Times New Roman"/>
          <w:sz w:val="24"/>
          <w:szCs w:val="24"/>
        </w:rPr>
        <w:t xml:space="preserve"> </w:t>
      </w:r>
      <w:r w:rsidR="00147BFB">
        <w:rPr>
          <w:rFonts w:ascii="Times New Roman" w:hAnsi="Times New Roman" w:cs="Times New Roman"/>
          <w:sz w:val="24"/>
          <w:szCs w:val="24"/>
        </w:rPr>
        <w:t xml:space="preserve">recommendations </w:t>
      </w:r>
      <w:r w:rsidR="004A31BA">
        <w:rPr>
          <w:rFonts w:ascii="Times New Roman" w:hAnsi="Times New Roman" w:cs="Times New Roman"/>
          <w:sz w:val="24"/>
          <w:szCs w:val="24"/>
        </w:rPr>
        <w:t>would have made it easier for</w:t>
      </w:r>
      <w:r>
        <w:rPr>
          <w:rFonts w:ascii="Times New Roman" w:hAnsi="Times New Roman" w:cs="Times New Roman"/>
          <w:sz w:val="24"/>
          <w:szCs w:val="24"/>
        </w:rPr>
        <w:t xml:space="preserve"> secondary victims</w:t>
      </w:r>
      <w:r w:rsidR="004A31BA">
        <w:rPr>
          <w:rFonts w:ascii="Times New Roman" w:hAnsi="Times New Roman" w:cs="Times New Roman"/>
          <w:sz w:val="24"/>
          <w:szCs w:val="24"/>
        </w:rPr>
        <w:t xml:space="preserve"> </w:t>
      </w:r>
      <w:r>
        <w:rPr>
          <w:rFonts w:ascii="Times New Roman" w:hAnsi="Times New Roman" w:cs="Times New Roman"/>
          <w:sz w:val="24"/>
          <w:szCs w:val="24"/>
        </w:rPr>
        <w:t>to establish</w:t>
      </w:r>
      <w:r w:rsidR="004A31BA">
        <w:rPr>
          <w:rFonts w:ascii="Times New Roman" w:hAnsi="Times New Roman" w:cs="Times New Roman"/>
          <w:sz w:val="24"/>
          <w:szCs w:val="24"/>
        </w:rPr>
        <w:t xml:space="preserve"> </w:t>
      </w:r>
      <w:r>
        <w:rPr>
          <w:rFonts w:ascii="Times New Roman" w:hAnsi="Times New Roman" w:cs="Times New Roman"/>
          <w:sz w:val="24"/>
          <w:szCs w:val="24"/>
        </w:rPr>
        <w:t>duties of care</w:t>
      </w:r>
      <w:r w:rsidR="004A31BA">
        <w:rPr>
          <w:rFonts w:ascii="Times New Roman" w:hAnsi="Times New Roman" w:cs="Times New Roman"/>
          <w:sz w:val="24"/>
          <w:szCs w:val="24"/>
        </w:rPr>
        <w:t>.</w:t>
      </w:r>
      <w:r w:rsidR="00940BB3">
        <w:rPr>
          <w:rFonts w:ascii="Times New Roman" w:hAnsi="Times New Roman" w:cs="Times New Roman"/>
          <w:sz w:val="24"/>
          <w:szCs w:val="24"/>
        </w:rPr>
        <w:t xml:space="preserve"> </w:t>
      </w:r>
      <w:r w:rsidR="009046A5">
        <w:rPr>
          <w:rFonts w:ascii="Times New Roman" w:hAnsi="Times New Roman" w:cs="Times New Roman"/>
          <w:sz w:val="24"/>
          <w:szCs w:val="24"/>
        </w:rPr>
        <w:t xml:space="preserve">An expanded list of </w:t>
      </w:r>
      <w:r w:rsidR="004C2F74">
        <w:rPr>
          <w:rFonts w:ascii="Times New Roman" w:hAnsi="Times New Roman" w:cs="Times New Roman"/>
          <w:sz w:val="24"/>
          <w:szCs w:val="24"/>
        </w:rPr>
        <w:t>qualifying relationships</w:t>
      </w:r>
      <w:r w:rsidR="009046A5">
        <w:rPr>
          <w:rFonts w:ascii="Times New Roman" w:hAnsi="Times New Roman" w:cs="Times New Roman"/>
          <w:sz w:val="24"/>
          <w:szCs w:val="24"/>
        </w:rPr>
        <w:t xml:space="preserve"> </w:t>
      </w:r>
      <w:r w:rsidR="002720CA">
        <w:rPr>
          <w:rFonts w:ascii="Times New Roman" w:hAnsi="Times New Roman" w:cs="Times New Roman"/>
          <w:sz w:val="24"/>
          <w:szCs w:val="24"/>
        </w:rPr>
        <w:t>including</w:t>
      </w:r>
      <w:r w:rsidR="009046A5">
        <w:rPr>
          <w:rFonts w:ascii="Times New Roman" w:hAnsi="Times New Roman" w:cs="Times New Roman"/>
          <w:sz w:val="24"/>
          <w:szCs w:val="24"/>
        </w:rPr>
        <w:t xml:space="preserve">, </w:t>
      </w:r>
      <w:r w:rsidR="00DF761D" w:rsidRPr="00C5504D">
        <w:rPr>
          <w:rFonts w:ascii="Times New Roman" w:hAnsi="Times New Roman" w:cs="Times New Roman"/>
          <w:sz w:val="24"/>
          <w:szCs w:val="24"/>
        </w:rPr>
        <w:t>inter alia</w:t>
      </w:r>
      <w:r w:rsidR="009046A5">
        <w:rPr>
          <w:rFonts w:ascii="Times New Roman" w:hAnsi="Times New Roman" w:cs="Times New Roman"/>
          <w:sz w:val="24"/>
          <w:szCs w:val="24"/>
        </w:rPr>
        <w:t>,</w:t>
      </w:r>
      <w:r w:rsidR="004C2F74">
        <w:rPr>
          <w:rFonts w:ascii="Times New Roman" w:hAnsi="Times New Roman" w:cs="Times New Roman"/>
          <w:sz w:val="24"/>
          <w:szCs w:val="24"/>
        </w:rPr>
        <w:t xml:space="preserve"> </w:t>
      </w:r>
      <w:r w:rsidR="007A2F8E">
        <w:rPr>
          <w:rFonts w:ascii="Times New Roman" w:hAnsi="Times New Roman" w:cs="Times New Roman"/>
          <w:sz w:val="24"/>
          <w:szCs w:val="24"/>
        </w:rPr>
        <w:t>siblings</w:t>
      </w:r>
      <w:r w:rsidR="00DF761D">
        <w:rPr>
          <w:rFonts w:ascii="Times New Roman" w:hAnsi="Times New Roman" w:cs="Times New Roman"/>
          <w:sz w:val="24"/>
          <w:szCs w:val="24"/>
        </w:rPr>
        <w:t>, grandparents, and aunts</w:t>
      </w:r>
      <w:r w:rsidR="007A2F8E">
        <w:rPr>
          <w:rFonts w:ascii="Times New Roman" w:hAnsi="Times New Roman" w:cs="Times New Roman"/>
          <w:sz w:val="24"/>
          <w:szCs w:val="24"/>
        </w:rPr>
        <w:t>/</w:t>
      </w:r>
      <w:r w:rsidR="00DF761D">
        <w:rPr>
          <w:rFonts w:ascii="Times New Roman" w:hAnsi="Times New Roman" w:cs="Times New Roman"/>
          <w:sz w:val="24"/>
          <w:szCs w:val="24"/>
        </w:rPr>
        <w:t>uncles</w:t>
      </w:r>
      <w:r w:rsidR="00724AF2">
        <w:rPr>
          <w:rFonts w:ascii="Times New Roman" w:hAnsi="Times New Roman" w:cs="Times New Roman"/>
          <w:sz w:val="24"/>
          <w:szCs w:val="24"/>
        </w:rPr>
        <w:t xml:space="preserve">, coupled with the </w:t>
      </w:r>
      <w:r w:rsidR="009046A5">
        <w:rPr>
          <w:rFonts w:ascii="Times New Roman" w:hAnsi="Times New Roman" w:cs="Times New Roman"/>
          <w:sz w:val="24"/>
          <w:szCs w:val="24"/>
        </w:rPr>
        <w:t>absence</w:t>
      </w:r>
      <w:r w:rsidR="00724AF2">
        <w:rPr>
          <w:rFonts w:ascii="Times New Roman" w:hAnsi="Times New Roman" w:cs="Times New Roman"/>
          <w:sz w:val="24"/>
          <w:szCs w:val="24"/>
        </w:rPr>
        <w:t xml:space="preserve"> of the proximity and </w:t>
      </w:r>
      <w:r w:rsidR="002720CA">
        <w:rPr>
          <w:rFonts w:ascii="Times New Roman" w:hAnsi="Times New Roman" w:cs="Times New Roman"/>
          <w:sz w:val="24"/>
          <w:szCs w:val="24"/>
        </w:rPr>
        <w:t>‘</w:t>
      </w:r>
      <w:r w:rsidR="00724AF2">
        <w:rPr>
          <w:rFonts w:ascii="Times New Roman" w:hAnsi="Times New Roman" w:cs="Times New Roman"/>
          <w:sz w:val="24"/>
          <w:szCs w:val="24"/>
        </w:rPr>
        <w:t>sudden shock</w:t>
      </w:r>
      <w:r w:rsidR="002720CA">
        <w:rPr>
          <w:rFonts w:ascii="Times New Roman" w:hAnsi="Times New Roman" w:cs="Times New Roman"/>
          <w:sz w:val="24"/>
          <w:szCs w:val="24"/>
        </w:rPr>
        <w:t>’</w:t>
      </w:r>
      <w:r w:rsidR="00724AF2">
        <w:rPr>
          <w:rFonts w:ascii="Times New Roman" w:hAnsi="Times New Roman" w:cs="Times New Roman"/>
          <w:sz w:val="24"/>
          <w:szCs w:val="24"/>
        </w:rPr>
        <w:t xml:space="preserve"> requirements</w:t>
      </w:r>
      <w:r w:rsidR="009046A5">
        <w:rPr>
          <w:rFonts w:ascii="Times New Roman" w:hAnsi="Times New Roman" w:cs="Times New Roman"/>
          <w:sz w:val="24"/>
          <w:szCs w:val="24"/>
        </w:rPr>
        <w:t>, would have led to different outcome</w:t>
      </w:r>
      <w:r w:rsidR="00350696">
        <w:rPr>
          <w:rFonts w:ascii="Times New Roman" w:hAnsi="Times New Roman" w:cs="Times New Roman"/>
          <w:sz w:val="24"/>
          <w:szCs w:val="24"/>
        </w:rPr>
        <w:t>s</w:t>
      </w:r>
      <w:r w:rsidR="009046A5">
        <w:rPr>
          <w:rFonts w:ascii="Times New Roman" w:hAnsi="Times New Roman" w:cs="Times New Roman"/>
          <w:sz w:val="24"/>
          <w:szCs w:val="24"/>
        </w:rPr>
        <w:t xml:space="preserve"> in</w:t>
      </w:r>
      <w:r w:rsidR="00E5098B">
        <w:rPr>
          <w:rFonts w:ascii="Times New Roman" w:hAnsi="Times New Roman" w:cs="Times New Roman"/>
          <w:sz w:val="24"/>
          <w:szCs w:val="24"/>
        </w:rPr>
        <w:t xml:space="preserve"> </w:t>
      </w:r>
      <w:r w:rsidR="009046A5">
        <w:rPr>
          <w:rFonts w:ascii="Times New Roman" w:hAnsi="Times New Roman" w:cs="Times New Roman"/>
          <w:i/>
          <w:iCs/>
          <w:sz w:val="24"/>
          <w:szCs w:val="24"/>
        </w:rPr>
        <w:t>Alcock</w:t>
      </w:r>
      <w:r w:rsidR="009046A5">
        <w:rPr>
          <w:rFonts w:ascii="Times New Roman" w:hAnsi="Times New Roman" w:cs="Times New Roman"/>
          <w:sz w:val="24"/>
          <w:szCs w:val="24"/>
        </w:rPr>
        <w:t>, for example.</w:t>
      </w:r>
      <w:r w:rsidR="008E0F0A">
        <w:rPr>
          <w:rFonts w:ascii="Times New Roman" w:hAnsi="Times New Roman" w:cs="Times New Roman"/>
          <w:sz w:val="24"/>
          <w:szCs w:val="24"/>
        </w:rPr>
        <w:t xml:space="preserve"> </w:t>
      </w:r>
      <w:r w:rsidR="007A2F8E">
        <w:rPr>
          <w:rFonts w:ascii="Times New Roman" w:hAnsi="Times New Roman" w:cs="Times New Roman"/>
          <w:sz w:val="24"/>
          <w:szCs w:val="24"/>
        </w:rPr>
        <w:t>The problem is that they</w:t>
      </w:r>
      <w:r w:rsidR="00E5098B">
        <w:rPr>
          <w:rFonts w:ascii="Times New Roman" w:hAnsi="Times New Roman" w:cs="Times New Roman"/>
          <w:sz w:val="24"/>
          <w:szCs w:val="24"/>
        </w:rPr>
        <w:t xml:space="preserve"> would</w:t>
      </w:r>
      <w:r w:rsidR="00607C56">
        <w:rPr>
          <w:rFonts w:ascii="Times New Roman" w:hAnsi="Times New Roman" w:cs="Times New Roman"/>
          <w:sz w:val="24"/>
          <w:szCs w:val="24"/>
        </w:rPr>
        <w:t xml:space="preserve"> </w:t>
      </w:r>
      <w:r w:rsidR="00CD6D63">
        <w:rPr>
          <w:rFonts w:ascii="Times New Roman" w:hAnsi="Times New Roman" w:cs="Times New Roman"/>
          <w:sz w:val="24"/>
          <w:szCs w:val="24"/>
        </w:rPr>
        <w:t>do</w:t>
      </w:r>
      <w:r w:rsidR="00E5098B">
        <w:rPr>
          <w:rFonts w:ascii="Times New Roman" w:hAnsi="Times New Roman" w:cs="Times New Roman"/>
          <w:sz w:val="24"/>
          <w:szCs w:val="24"/>
        </w:rPr>
        <w:t xml:space="preserve"> nothing to </w:t>
      </w:r>
      <w:r w:rsidR="00B418BE">
        <w:rPr>
          <w:rFonts w:ascii="Times New Roman" w:hAnsi="Times New Roman" w:cs="Times New Roman"/>
          <w:sz w:val="24"/>
          <w:szCs w:val="24"/>
        </w:rPr>
        <w:t>bring the rules into compliance with the CRPD.</w:t>
      </w:r>
      <w:r w:rsidR="00673B7C">
        <w:rPr>
          <w:rFonts w:ascii="Times New Roman" w:hAnsi="Times New Roman" w:cs="Times New Roman"/>
          <w:sz w:val="24"/>
          <w:szCs w:val="24"/>
        </w:rPr>
        <w:t xml:space="preserve"> This is because the Commission retained </w:t>
      </w:r>
      <w:r w:rsidR="00B418BE">
        <w:rPr>
          <w:rFonts w:ascii="Times New Roman" w:hAnsi="Times New Roman" w:cs="Times New Roman"/>
          <w:sz w:val="24"/>
          <w:szCs w:val="24"/>
        </w:rPr>
        <w:t>the requirement of a ‘recognisable psychiatric illness’</w:t>
      </w:r>
      <w:r w:rsidR="00673B7C">
        <w:rPr>
          <w:rFonts w:ascii="Times New Roman" w:hAnsi="Times New Roman" w:cs="Times New Roman"/>
          <w:sz w:val="24"/>
          <w:szCs w:val="24"/>
        </w:rPr>
        <w:t xml:space="preserve"> as </w:t>
      </w:r>
      <w:r w:rsidR="00607C56">
        <w:rPr>
          <w:rFonts w:ascii="Times New Roman" w:hAnsi="Times New Roman" w:cs="Times New Roman"/>
          <w:sz w:val="24"/>
          <w:szCs w:val="24"/>
        </w:rPr>
        <w:t>an</w:t>
      </w:r>
      <w:r w:rsidR="00673B7C">
        <w:rPr>
          <w:rFonts w:ascii="Times New Roman" w:hAnsi="Times New Roman" w:cs="Times New Roman"/>
          <w:sz w:val="24"/>
          <w:szCs w:val="24"/>
        </w:rPr>
        <w:t xml:space="preserve"> animating concept</w:t>
      </w:r>
      <w:r w:rsidR="00B418BE">
        <w:rPr>
          <w:rFonts w:ascii="Times New Roman" w:hAnsi="Times New Roman" w:cs="Times New Roman"/>
          <w:sz w:val="24"/>
          <w:szCs w:val="24"/>
        </w:rPr>
        <w:t>.</w:t>
      </w:r>
      <w:r w:rsidR="002720CA">
        <w:rPr>
          <w:rFonts w:ascii="Times New Roman" w:hAnsi="Times New Roman" w:cs="Times New Roman"/>
          <w:sz w:val="24"/>
          <w:szCs w:val="24"/>
        </w:rPr>
        <w:t xml:space="preserve"> </w:t>
      </w:r>
      <w:r w:rsidR="004C0A3E">
        <w:rPr>
          <w:rFonts w:ascii="Times New Roman" w:hAnsi="Times New Roman" w:cs="Times New Roman"/>
          <w:sz w:val="24"/>
          <w:szCs w:val="24"/>
        </w:rPr>
        <w:t>Even</w:t>
      </w:r>
      <w:r w:rsidR="005267CF">
        <w:rPr>
          <w:rFonts w:ascii="Times New Roman" w:hAnsi="Times New Roman" w:cs="Times New Roman"/>
          <w:sz w:val="24"/>
          <w:szCs w:val="24"/>
        </w:rPr>
        <w:t xml:space="preserve"> </w:t>
      </w:r>
      <w:r w:rsidR="00C61931">
        <w:rPr>
          <w:rFonts w:ascii="Times New Roman" w:hAnsi="Times New Roman" w:cs="Times New Roman"/>
          <w:sz w:val="24"/>
          <w:szCs w:val="24"/>
        </w:rPr>
        <w:t xml:space="preserve">the Commission’s </w:t>
      </w:r>
      <w:r w:rsidR="005267CF">
        <w:rPr>
          <w:rFonts w:ascii="Times New Roman" w:hAnsi="Times New Roman" w:cs="Times New Roman"/>
          <w:sz w:val="24"/>
          <w:szCs w:val="24"/>
        </w:rPr>
        <w:t>expanded pool of qualifying relationships</w:t>
      </w:r>
      <w:r w:rsidR="00C61931">
        <w:rPr>
          <w:rFonts w:ascii="Times New Roman" w:hAnsi="Times New Roman" w:cs="Times New Roman"/>
          <w:sz w:val="24"/>
          <w:szCs w:val="24"/>
        </w:rPr>
        <w:t xml:space="preserve"> would </w:t>
      </w:r>
      <w:r w:rsidR="00B11420">
        <w:rPr>
          <w:rFonts w:ascii="Times New Roman" w:hAnsi="Times New Roman" w:cs="Times New Roman"/>
          <w:sz w:val="24"/>
          <w:szCs w:val="24"/>
        </w:rPr>
        <w:t>fall</w:t>
      </w:r>
      <w:r w:rsidR="00BD4EA6">
        <w:rPr>
          <w:rFonts w:ascii="Times New Roman" w:hAnsi="Times New Roman" w:cs="Times New Roman"/>
          <w:sz w:val="24"/>
          <w:szCs w:val="24"/>
        </w:rPr>
        <w:t>. To allow recovery</w:t>
      </w:r>
      <w:r w:rsidR="00C61931">
        <w:rPr>
          <w:rFonts w:ascii="Times New Roman" w:hAnsi="Times New Roman" w:cs="Times New Roman"/>
          <w:sz w:val="24"/>
          <w:szCs w:val="24"/>
        </w:rPr>
        <w:t xml:space="preserve"> </w:t>
      </w:r>
      <w:r w:rsidR="00BD4EA6">
        <w:rPr>
          <w:rFonts w:ascii="Times New Roman" w:hAnsi="Times New Roman" w:cs="Times New Roman"/>
          <w:sz w:val="24"/>
          <w:szCs w:val="24"/>
        </w:rPr>
        <w:t>by some claimants</w:t>
      </w:r>
      <w:r w:rsidR="009B0726">
        <w:rPr>
          <w:rFonts w:ascii="Times New Roman" w:hAnsi="Times New Roman" w:cs="Times New Roman"/>
          <w:sz w:val="24"/>
          <w:szCs w:val="24"/>
        </w:rPr>
        <w:t xml:space="preserve"> with mental impairments</w:t>
      </w:r>
      <w:r w:rsidR="00BD4EA6">
        <w:rPr>
          <w:rFonts w:ascii="Times New Roman" w:hAnsi="Times New Roman" w:cs="Times New Roman"/>
          <w:sz w:val="24"/>
          <w:szCs w:val="24"/>
        </w:rPr>
        <w:t>, but not others, because of the nature of their relationship with the immediate victim</w:t>
      </w:r>
      <w:r w:rsidR="009B0726">
        <w:rPr>
          <w:rFonts w:ascii="Times New Roman" w:hAnsi="Times New Roman" w:cs="Times New Roman"/>
          <w:sz w:val="24"/>
          <w:szCs w:val="24"/>
        </w:rPr>
        <w:t xml:space="preserve"> would be to </w:t>
      </w:r>
      <w:r w:rsidR="0043453E">
        <w:rPr>
          <w:rFonts w:ascii="Times New Roman" w:hAnsi="Times New Roman" w:cs="Times New Roman"/>
          <w:sz w:val="24"/>
          <w:szCs w:val="24"/>
        </w:rPr>
        <w:t>assume</w:t>
      </w:r>
      <w:r w:rsidR="00312004">
        <w:rPr>
          <w:rFonts w:ascii="Times New Roman" w:hAnsi="Times New Roman" w:cs="Times New Roman"/>
          <w:sz w:val="24"/>
          <w:szCs w:val="24"/>
        </w:rPr>
        <w:t>, contrary to Article 5(1) of the CRPD,</w:t>
      </w:r>
      <w:r w:rsidR="0043453E">
        <w:rPr>
          <w:rFonts w:ascii="Times New Roman" w:hAnsi="Times New Roman" w:cs="Times New Roman"/>
          <w:sz w:val="24"/>
          <w:szCs w:val="24"/>
        </w:rPr>
        <w:t xml:space="preserve"> that</w:t>
      </w:r>
      <w:r w:rsidR="00FB0202">
        <w:rPr>
          <w:rFonts w:ascii="Times New Roman" w:hAnsi="Times New Roman" w:cs="Times New Roman"/>
          <w:sz w:val="24"/>
          <w:szCs w:val="24"/>
        </w:rPr>
        <w:t xml:space="preserve"> not everyone is entitled to equal </w:t>
      </w:r>
      <w:r w:rsidR="0043453E">
        <w:rPr>
          <w:rFonts w:ascii="Times New Roman" w:hAnsi="Times New Roman" w:cs="Times New Roman"/>
          <w:sz w:val="24"/>
          <w:szCs w:val="24"/>
        </w:rPr>
        <w:t>benefit</w:t>
      </w:r>
      <w:r w:rsidR="00FB0202">
        <w:rPr>
          <w:rFonts w:ascii="Times New Roman" w:hAnsi="Times New Roman" w:cs="Times New Roman"/>
          <w:sz w:val="24"/>
          <w:szCs w:val="24"/>
        </w:rPr>
        <w:t xml:space="preserve"> of the law.</w:t>
      </w:r>
      <w:r w:rsidR="0043453E">
        <w:rPr>
          <w:rStyle w:val="FootnoteReference"/>
          <w:rFonts w:cs="Times New Roman"/>
          <w:szCs w:val="24"/>
        </w:rPr>
        <w:footnoteReference w:id="196"/>
      </w:r>
      <w:r w:rsidR="0043453E">
        <w:rPr>
          <w:rFonts w:ascii="Times New Roman" w:hAnsi="Times New Roman" w:cs="Times New Roman"/>
          <w:sz w:val="24"/>
          <w:szCs w:val="24"/>
        </w:rPr>
        <w:t xml:space="preserve"> </w:t>
      </w:r>
    </w:p>
    <w:p w14:paraId="30A0B32E" w14:textId="2F5A26A4" w:rsidR="00380AAB" w:rsidRDefault="00066519"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Yet i</w:t>
      </w:r>
      <w:r w:rsidR="000977DD">
        <w:rPr>
          <w:rFonts w:ascii="Times New Roman" w:hAnsi="Times New Roman" w:cs="Times New Roman"/>
          <w:sz w:val="24"/>
          <w:szCs w:val="24"/>
        </w:rPr>
        <w:t>f the sticking point is the retention of the ‘recognis</w:t>
      </w:r>
      <w:r w:rsidR="00712240">
        <w:rPr>
          <w:rFonts w:ascii="Times New Roman" w:hAnsi="Times New Roman" w:cs="Times New Roman"/>
          <w:sz w:val="24"/>
          <w:szCs w:val="24"/>
        </w:rPr>
        <w:t>able</w:t>
      </w:r>
      <w:r w:rsidR="000977DD">
        <w:rPr>
          <w:rFonts w:ascii="Times New Roman" w:hAnsi="Times New Roman" w:cs="Times New Roman"/>
          <w:sz w:val="24"/>
          <w:szCs w:val="24"/>
        </w:rPr>
        <w:t xml:space="preserve"> psychiatric injury’</w:t>
      </w:r>
      <w:r w:rsidR="00034991">
        <w:rPr>
          <w:rFonts w:ascii="Times New Roman" w:hAnsi="Times New Roman" w:cs="Times New Roman"/>
          <w:sz w:val="24"/>
          <w:szCs w:val="24"/>
        </w:rPr>
        <w:t xml:space="preserve"> requirement</w:t>
      </w:r>
      <w:r w:rsidR="000977DD">
        <w:rPr>
          <w:rFonts w:ascii="Times New Roman" w:hAnsi="Times New Roman" w:cs="Times New Roman"/>
          <w:sz w:val="24"/>
          <w:szCs w:val="24"/>
        </w:rPr>
        <w:t xml:space="preserve">, then the </w:t>
      </w:r>
      <w:r w:rsidR="00067E6F">
        <w:rPr>
          <w:rFonts w:ascii="Times New Roman" w:hAnsi="Times New Roman" w:cs="Times New Roman"/>
          <w:sz w:val="24"/>
          <w:szCs w:val="24"/>
        </w:rPr>
        <w:t xml:space="preserve">solution </w:t>
      </w:r>
      <w:r w:rsidR="00570487">
        <w:rPr>
          <w:rFonts w:ascii="Times New Roman" w:hAnsi="Times New Roman" w:cs="Times New Roman"/>
          <w:sz w:val="24"/>
          <w:szCs w:val="24"/>
        </w:rPr>
        <w:t>might be</w:t>
      </w:r>
      <w:r w:rsidR="00067E6F">
        <w:rPr>
          <w:rFonts w:ascii="Times New Roman" w:hAnsi="Times New Roman" w:cs="Times New Roman"/>
          <w:sz w:val="24"/>
          <w:szCs w:val="24"/>
        </w:rPr>
        <w:t xml:space="preserve"> to</w:t>
      </w:r>
      <w:r w:rsidR="00C6479A">
        <w:rPr>
          <w:rFonts w:ascii="Times New Roman" w:hAnsi="Times New Roman" w:cs="Times New Roman"/>
          <w:sz w:val="24"/>
          <w:szCs w:val="24"/>
        </w:rPr>
        <w:t xml:space="preserve"> amend the rules so that they are </w:t>
      </w:r>
      <w:r w:rsidR="00FC7470">
        <w:rPr>
          <w:rFonts w:ascii="Times New Roman" w:hAnsi="Times New Roman" w:cs="Times New Roman"/>
          <w:sz w:val="24"/>
          <w:szCs w:val="24"/>
        </w:rPr>
        <w:t>no longer</w:t>
      </w:r>
      <w:r w:rsidR="00C6479A">
        <w:rPr>
          <w:rFonts w:ascii="Times New Roman" w:hAnsi="Times New Roman" w:cs="Times New Roman"/>
          <w:sz w:val="24"/>
          <w:szCs w:val="24"/>
        </w:rPr>
        <w:t xml:space="preserve"> animated</w:t>
      </w:r>
      <w:r w:rsidR="00BA0B5E">
        <w:rPr>
          <w:rFonts w:ascii="Times New Roman" w:hAnsi="Times New Roman" w:cs="Times New Roman"/>
          <w:sz w:val="24"/>
          <w:szCs w:val="24"/>
        </w:rPr>
        <w:t xml:space="preserve"> in this way.</w:t>
      </w:r>
      <w:r w:rsidR="00CA413D">
        <w:rPr>
          <w:rFonts w:ascii="Times New Roman" w:hAnsi="Times New Roman" w:cs="Times New Roman"/>
          <w:sz w:val="24"/>
          <w:szCs w:val="24"/>
        </w:rPr>
        <w:t xml:space="preserve"> Mulheron</w:t>
      </w:r>
      <w:r w:rsidR="004234A8">
        <w:rPr>
          <w:rFonts w:ascii="Times New Roman" w:hAnsi="Times New Roman" w:cs="Times New Roman"/>
          <w:sz w:val="24"/>
          <w:szCs w:val="24"/>
        </w:rPr>
        <w:t xml:space="preserve"> has argued</w:t>
      </w:r>
      <w:r w:rsidR="00CA413D">
        <w:rPr>
          <w:rFonts w:ascii="Times New Roman" w:hAnsi="Times New Roman" w:cs="Times New Roman"/>
          <w:sz w:val="24"/>
          <w:szCs w:val="24"/>
        </w:rPr>
        <w:t xml:space="preserve"> that the</w:t>
      </w:r>
      <w:r w:rsidR="004234A8">
        <w:rPr>
          <w:rFonts w:ascii="Times New Roman" w:hAnsi="Times New Roman" w:cs="Times New Roman"/>
          <w:sz w:val="24"/>
          <w:szCs w:val="24"/>
        </w:rPr>
        <w:t xml:space="preserve"> requirement</w:t>
      </w:r>
      <w:r w:rsidR="00CA413D">
        <w:rPr>
          <w:rFonts w:ascii="Times New Roman" w:hAnsi="Times New Roman" w:cs="Times New Roman"/>
          <w:sz w:val="24"/>
          <w:szCs w:val="24"/>
        </w:rPr>
        <w:t xml:space="preserve"> </w:t>
      </w:r>
      <w:r w:rsidR="004234A8">
        <w:rPr>
          <w:rFonts w:ascii="Times New Roman" w:hAnsi="Times New Roman" w:cs="Times New Roman"/>
          <w:sz w:val="24"/>
          <w:szCs w:val="24"/>
        </w:rPr>
        <w:t>‘</w:t>
      </w:r>
      <w:r w:rsidR="00CA413D">
        <w:rPr>
          <w:rFonts w:ascii="Times New Roman" w:hAnsi="Times New Roman" w:cs="Times New Roman"/>
          <w:sz w:val="24"/>
          <w:szCs w:val="24"/>
        </w:rPr>
        <w:t>is neither legally nor medically supportable in the modern era’.</w:t>
      </w:r>
      <w:bookmarkStart w:id="36" w:name="_Ref31214444"/>
      <w:r w:rsidR="00626E64">
        <w:rPr>
          <w:rStyle w:val="FootnoteReference"/>
          <w:rFonts w:cs="Times New Roman"/>
          <w:szCs w:val="24"/>
        </w:rPr>
        <w:footnoteReference w:id="197"/>
      </w:r>
      <w:bookmarkEnd w:id="36"/>
      <w:r w:rsidR="003E16DC">
        <w:rPr>
          <w:rFonts w:ascii="Times New Roman" w:hAnsi="Times New Roman" w:cs="Times New Roman"/>
          <w:sz w:val="24"/>
          <w:szCs w:val="24"/>
        </w:rPr>
        <w:t xml:space="preserve"> </w:t>
      </w:r>
      <w:r w:rsidR="005E0D25">
        <w:rPr>
          <w:rFonts w:ascii="Times New Roman" w:hAnsi="Times New Roman" w:cs="Times New Roman"/>
          <w:sz w:val="24"/>
          <w:szCs w:val="24"/>
        </w:rPr>
        <w:t>She prefers</w:t>
      </w:r>
      <w:r w:rsidR="00D7716E">
        <w:rPr>
          <w:rFonts w:ascii="Times New Roman" w:hAnsi="Times New Roman" w:cs="Times New Roman"/>
          <w:sz w:val="24"/>
          <w:szCs w:val="24"/>
        </w:rPr>
        <w:t xml:space="preserve"> a threshold of actionable damage set at the level of </w:t>
      </w:r>
      <w:r w:rsidR="00F63449">
        <w:rPr>
          <w:rFonts w:ascii="Times New Roman" w:hAnsi="Times New Roman" w:cs="Times New Roman"/>
          <w:sz w:val="24"/>
          <w:szCs w:val="24"/>
        </w:rPr>
        <w:t>‘grievous mental harm’</w:t>
      </w:r>
      <w:r w:rsidR="00D7716E">
        <w:rPr>
          <w:rFonts w:ascii="Times New Roman" w:hAnsi="Times New Roman" w:cs="Times New Roman"/>
          <w:sz w:val="24"/>
          <w:szCs w:val="24"/>
        </w:rPr>
        <w:t xml:space="preserve">, which would also </w:t>
      </w:r>
      <w:r w:rsidR="009F27DD">
        <w:rPr>
          <w:rFonts w:ascii="Times New Roman" w:hAnsi="Times New Roman" w:cs="Times New Roman"/>
          <w:sz w:val="24"/>
          <w:szCs w:val="24"/>
        </w:rPr>
        <w:t>have the advantage of allowing the courts to jettison the ‘sudden shock’ requirement.</w:t>
      </w:r>
      <w:r w:rsidR="0075300E">
        <w:rPr>
          <w:rStyle w:val="FootnoteReference"/>
          <w:rFonts w:cs="Times New Roman"/>
          <w:szCs w:val="24"/>
        </w:rPr>
        <w:footnoteReference w:id="198"/>
      </w:r>
      <w:r w:rsidR="00960D32">
        <w:rPr>
          <w:rFonts w:ascii="Times New Roman" w:hAnsi="Times New Roman" w:cs="Times New Roman"/>
          <w:sz w:val="24"/>
          <w:szCs w:val="24"/>
        </w:rPr>
        <w:t xml:space="preserve"> </w:t>
      </w:r>
      <w:r w:rsidR="000E637C">
        <w:rPr>
          <w:rFonts w:ascii="Times New Roman" w:hAnsi="Times New Roman" w:cs="Times New Roman"/>
          <w:sz w:val="24"/>
          <w:szCs w:val="24"/>
        </w:rPr>
        <w:t>Othe</w:t>
      </w:r>
      <w:r w:rsidR="00596ED0">
        <w:rPr>
          <w:rFonts w:ascii="Times New Roman" w:hAnsi="Times New Roman" w:cs="Times New Roman"/>
          <w:sz w:val="24"/>
          <w:szCs w:val="24"/>
        </w:rPr>
        <w:t>r</w:t>
      </w:r>
      <w:r w:rsidR="004B4DA4">
        <w:rPr>
          <w:rFonts w:ascii="Times New Roman" w:hAnsi="Times New Roman" w:cs="Times New Roman"/>
          <w:sz w:val="24"/>
          <w:szCs w:val="24"/>
        </w:rPr>
        <w:t>s</w:t>
      </w:r>
      <w:r w:rsidR="00132159">
        <w:rPr>
          <w:rFonts w:ascii="Times New Roman" w:hAnsi="Times New Roman" w:cs="Times New Roman"/>
          <w:sz w:val="24"/>
          <w:szCs w:val="24"/>
        </w:rPr>
        <w:t xml:space="preserve"> have proposed alternatives</w:t>
      </w:r>
      <w:r w:rsidR="004B4DA4">
        <w:rPr>
          <w:rFonts w:ascii="Times New Roman" w:hAnsi="Times New Roman" w:cs="Times New Roman"/>
          <w:sz w:val="24"/>
          <w:szCs w:val="24"/>
        </w:rPr>
        <w:t xml:space="preserve"> like</w:t>
      </w:r>
      <w:r w:rsidR="00132159">
        <w:rPr>
          <w:rFonts w:ascii="Times New Roman" w:hAnsi="Times New Roman" w:cs="Times New Roman"/>
          <w:sz w:val="24"/>
          <w:szCs w:val="24"/>
        </w:rPr>
        <w:t xml:space="preserve"> ‘moderately severe mental or emotional harm’</w:t>
      </w:r>
      <w:r w:rsidR="00B20C78">
        <w:rPr>
          <w:rStyle w:val="FootnoteReference"/>
          <w:rFonts w:cs="Times New Roman"/>
          <w:szCs w:val="24"/>
        </w:rPr>
        <w:footnoteReference w:id="199"/>
      </w:r>
      <w:r w:rsidR="00132159">
        <w:rPr>
          <w:rFonts w:ascii="Times New Roman" w:hAnsi="Times New Roman" w:cs="Times New Roman"/>
          <w:sz w:val="24"/>
          <w:szCs w:val="24"/>
        </w:rPr>
        <w:t xml:space="preserve"> or ‘serious emotional distress’.</w:t>
      </w:r>
      <w:r w:rsidR="00C0153C">
        <w:rPr>
          <w:rStyle w:val="FootnoteReference"/>
          <w:rFonts w:cs="Times New Roman"/>
          <w:szCs w:val="24"/>
        </w:rPr>
        <w:footnoteReference w:id="200"/>
      </w:r>
    </w:p>
    <w:p w14:paraId="4F0D2200" w14:textId="55FA9DA0" w:rsidR="00CA413D" w:rsidRPr="000E0AAD" w:rsidRDefault="00FC6BE2"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lastRenderedPageBreak/>
        <w:t xml:space="preserve">At the </w:t>
      </w:r>
      <w:r w:rsidR="00380AAB">
        <w:rPr>
          <w:rFonts w:ascii="Times New Roman" w:hAnsi="Times New Roman" w:cs="Times New Roman"/>
          <w:sz w:val="24"/>
          <w:szCs w:val="24"/>
        </w:rPr>
        <w:t>core of the case for abandoning the</w:t>
      </w:r>
      <w:r w:rsidR="00667F91">
        <w:rPr>
          <w:rFonts w:ascii="Times New Roman" w:hAnsi="Times New Roman" w:cs="Times New Roman"/>
          <w:sz w:val="24"/>
          <w:szCs w:val="24"/>
        </w:rPr>
        <w:t xml:space="preserve"> clinical-recognition</w:t>
      </w:r>
      <w:r w:rsidR="00380AAB">
        <w:rPr>
          <w:rFonts w:ascii="Times New Roman" w:hAnsi="Times New Roman" w:cs="Times New Roman"/>
          <w:sz w:val="24"/>
          <w:szCs w:val="24"/>
        </w:rPr>
        <w:t xml:space="preserve"> requirement is an aversion to </w:t>
      </w:r>
      <w:r w:rsidR="004322DA">
        <w:rPr>
          <w:rFonts w:ascii="Times New Roman" w:hAnsi="Times New Roman" w:cs="Times New Roman"/>
          <w:sz w:val="24"/>
          <w:szCs w:val="24"/>
        </w:rPr>
        <w:t>its</w:t>
      </w:r>
      <w:r w:rsidR="00380AAB">
        <w:rPr>
          <w:rFonts w:ascii="Times New Roman" w:hAnsi="Times New Roman" w:cs="Times New Roman"/>
          <w:sz w:val="24"/>
          <w:szCs w:val="24"/>
        </w:rPr>
        <w:t xml:space="preserve"> highly </w:t>
      </w:r>
      <w:r w:rsidR="008A42A9">
        <w:rPr>
          <w:rFonts w:ascii="Times New Roman" w:hAnsi="Times New Roman" w:cs="Times New Roman"/>
          <w:sz w:val="24"/>
          <w:szCs w:val="24"/>
        </w:rPr>
        <w:t>medicalised approach</w:t>
      </w:r>
      <w:r w:rsidR="00F842E0">
        <w:rPr>
          <w:rFonts w:ascii="Times New Roman" w:hAnsi="Times New Roman" w:cs="Times New Roman"/>
          <w:sz w:val="24"/>
          <w:szCs w:val="24"/>
        </w:rPr>
        <w:t>.</w:t>
      </w:r>
      <w:r w:rsidR="00E717E2">
        <w:rPr>
          <w:rStyle w:val="FootnoteReference"/>
          <w:rFonts w:cs="Times New Roman"/>
          <w:szCs w:val="24"/>
        </w:rPr>
        <w:footnoteReference w:id="201"/>
      </w:r>
      <w:r w:rsidR="00EB1725">
        <w:rPr>
          <w:rFonts w:ascii="Times New Roman" w:hAnsi="Times New Roman" w:cs="Times New Roman"/>
          <w:sz w:val="24"/>
          <w:szCs w:val="24"/>
        </w:rPr>
        <w:t xml:space="preserve"> </w:t>
      </w:r>
      <w:r w:rsidR="007B51C8">
        <w:rPr>
          <w:rFonts w:ascii="Times New Roman" w:hAnsi="Times New Roman" w:cs="Times New Roman"/>
          <w:sz w:val="24"/>
          <w:szCs w:val="24"/>
        </w:rPr>
        <w:t>For some, the requirement sets the bar too high</w:t>
      </w:r>
      <w:r w:rsidR="003A747D">
        <w:rPr>
          <w:rFonts w:ascii="Times New Roman" w:hAnsi="Times New Roman" w:cs="Times New Roman"/>
          <w:sz w:val="24"/>
          <w:szCs w:val="24"/>
        </w:rPr>
        <w:t>.</w:t>
      </w:r>
      <w:r w:rsidR="00380AAB">
        <w:rPr>
          <w:rFonts w:ascii="Times New Roman" w:hAnsi="Times New Roman" w:cs="Times New Roman"/>
          <w:sz w:val="24"/>
          <w:szCs w:val="24"/>
        </w:rPr>
        <w:t xml:space="preserve"> </w:t>
      </w:r>
      <w:r w:rsidR="003A747D">
        <w:rPr>
          <w:rFonts w:ascii="Times New Roman" w:hAnsi="Times New Roman" w:cs="Times New Roman"/>
          <w:sz w:val="24"/>
          <w:szCs w:val="24"/>
        </w:rPr>
        <w:t xml:space="preserve">Case points out that there is </w:t>
      </w:r>
      <w:r w:rsidR="00C4116E">
        <w:rPr>
          <w:rFonts w:ascii="Times New Roman" w:hAnsi="Times New Roman" w:cs="Times New Roman"/>
          <w:sz w:val="24"/>
          <w:szCs w:val="24"/>
        </w:rPr>
        <w:t>‘little logical appeal’</w:t>
      </w:r>
      <w:r w:rsidR="007B51C8">
        <w:rPr>
          <w:rFonts w:ascii="Times New Roman" w:hAnsi="Times New Roman" w:cs="Times New Roman"/>
          <w:sz w:val="24"/>
          <w:szCs w:val="24"/>
        </w:rPr>
        <w:t xml:space="preserve"> </w:t>
      </w:r>
      <w:r w:rsidR="00C4116E">
        <w:rPr>
          <w:rFonts w:ascii="Times New Roman" w:hAnsi="Times New Roman" w:cs="Times New Roman"/>
          <w:sz w:val="24"/>
          <w:szCs w:val="24"/>
        </w:rPr>
        <w:t xml:space="preserve">in </w:t>
      </w:r>
      <w:r w:rsidR="00F8064B">
        <w:rPr>
          <w:rFonts w:ascii="Times New Roman" w:hAnsi="Times New Roman" w:cs="Times New Roman"/>
          <w:sz w:val="24"/>
          <w:szCs w:val="24"/>
        </w:rPr>
        <w:t>distinguishing recognised psychiatric disorders from ordinary emotional responses</w:t>
      </w:r>
      <w:r w:rsidR="003A747D">
        <w:rPr>
          <w:rFonts w:ascii="Times New Roman" w:hAnsi="Times New Roman" w:cs="Times New Roman"/>
          <w:sz w:val="24"/>
          <w:szCs w:val="24"/>
        </w:rPr>
        <w:t>: if trivial physical injuries can</w:t>
      </w:r>
      <w:r w:rsidR="00380AAB">
        <w:rPr>
          <w:rFonts w:ascii="Times New Roman" w:hAnsi="Times New Roman" w:cs="Times New Roman"/>
          <w:sz w:val="24"/>
          <w:szCs w:val="24"/>
        </w:rPr>
        <w:t xml:space="preserve"> sound in damages</w:t>
      </w:r>
      <w:r w:rsidR="003A747D">
        <w:rPr>
          <w:rFonts w:ascii="Times New Roman" w:hAnsi="Times New Roman" w:cs="Times New Roman"/>
          <w:sz w:val="24"/>
          <w:szCs w:val="24"/>
        </w:rPr>
        <w:t xml:space="preserve">, why </w:t>
      </w:r>
      <w:r w:rsidR="00380AAB">
        <w:rPr>
          <w:rFonts w:ascii="Times New Roman" w:hAnsi="Times New Roman" w:cs="Times New Roman"/>
          <w:sz w:val="24"/>
          <w:szCs w:val="24"/>
        </w:rPr>
        <w:t>cannot</w:t>
      </w:r>
      <w:r w:rsidR="003A747D">
        <w:rPr>
          <w:rFonts w:ascii="Times New Roman" w:hAnsi="Times New Roman" w:cs="Times New Roman"/>
          <w:sz w:val="24"/>
          <w:szCs w:val="24"/>
        </w:rPr>
        <w:t xml:space="preserve"> trivial emotional injuries?</w:t>
      </w:r>
      <w:bookmarkStart w:id="37" w:name="_Ref31293946"/>
      <w:r w:rsidR="00AF3008">
        <w:rPr>
          <w:rStyle w:val="FootnoteReference"/>
          <w:rFonts w:cs="Times New Roman"/>
          <w:szCs w:val="24"/>
        </w:rPr>
        <w:footnoteReference w:id="202"/>
      </w:r>
      <w:bookmarkEnd w:id="37"/>
      <w:r w:rsidR="006B5549">
        <w:rPr>
          <w:rFonts w:ascii="Times New Roman" w:hAnsi="Times New Roman" w:cs="Times New Roman"/>
          <w:sz w:val="24"/>
          <w:szCs w:val="24"/>
        </w:rPr>
        <w:t xml:space="preserve"> Others argue that the requirement</w:t>
      </w:r>
      <w:r w:rsidR="00380AAB">
        <w:rPr>
          <w:rFonts w:ascii="Times New Roman" w:hAnsi="Times New Roman" w:cs="Times New Roman"/>
          <w:sz w:val="24"/>
          <w:szCs w:val="24"/>
        </w:rPr>
        <w:t xml:space="preserve"> in fact </w:t>
      </w:r>
      <w:r w:rsidR="006B5549">
        <w:rPr>
          <w:rFonts w:ascii="Times New Roman" w:hAnsi="Times New Roman" w:cs="Times New Roman"/>
          <w:sz w:val="24"/>
          <w:szCs w:val="24"/>
        </w:rPr>
        <w:t>sets the bar too low.</w:t>
      </w:r>
      <w:r w:rsidR="00DC4FD8">
        <w:rPr>
          <w:rFonts w:ascii="Times New Roman" w:hAnsi="Times New Roman" w:cs="Times New Roman"/>
          <w:sz w:val="24"/>
          <w:szCs w:val="24"/>
        </w:rPr>
        <w:t xml:space="preserve"> Ahuja</w:t>
      </w:r>
      <w:r w:rsidR="00280D52">
        <w:rPr>
          <w:rFonts w:ascii="Times New Roman" w:hAnsi="Times New Roman" w:cs="Times New Roman"/>
          <w:sz w:val="24"/>
          <w:szCs w:val="24"/>
        </w:rPr>
        <w:t xml:space="preserve"> </w:t>
      </w:r>
      <w:r w:rsidR="001774FB">
        <w:rPr>
          <w:rFonts w:ascii="Times New Roman" w:hAnsi="Times New Roman" w:cs="Times New Roman"/>
          <w:sz w:val="24"/>
          <w:szCs w:val="24"/>
        </w:rPr>
        <w:t>explains</w:t>
      </w:r>
      <w:r w:rsidR="00380AAB">
        <w:rPr>
          <w:rFonts w:ascii="Times New Roman" w:hAnsi="Times New Roman" w:cs="Times New Roman"/>
          <w:sz w:val="24"/>
          <w:szCs w:val="24"/>
        </w:rPr>
        <w:t xml:space="preserve"> that </w:t>
      </w:r>
      <w:r w:rsidR="00BE50AD">
        <w:rPr>
          <w:rFonts w:ascii="Times New Roman" w:hAnsi="Times New Roman" w:cs="Times New Roman"/>
          <w:sz w:val="24"/>
          <w:szCs w:val="24"/>
        </w:rPr>
        <w:t>a person with a snake phobia could be diagnosed with a psychiatric disorder under the ICD-10. This is despite the fact that he lives in New York City and has no occasion ever to encounter a snake in his day-to-day life.</w:t>
      </w:r>
      <w:r w:rsidR="0094641B">
        <w:rPr>
          <w:rStyle w:val="FootnoteReference"/>
          <w:rFonts w:cs="Times New Roman"/>
          <w:szCs w:val="24"/>
        </w:rPr>
        <w:footnoteReference w:id="203"/>
      </w:r>
      <w:r w:rsidR="009C407A">
        <w:rPr>
          <w:rFonts w:ascii="Times New Roman" w:hAnsi="Times New Roman" w:cs="Times New Roman"/>
          <w:sz w:val="24"/>
          <w:szCs w:val="24"/>
        </w:rPr>
        <w:t xml:space="preserve"> The requirement of </w:t>
      </w:r>
      <w:r w:rsidR="00F940E6">
        <w:rPr>
          <w:rFonts w:ascii="Times New Roman" w:hAnsi="Times New Roman" w:cs="Times New Roman"/>
          <w:sz w:val="24"/>
          <w:szCs w:val="24"/>
        </w:rPr>
        <w:t>c</w:t>
      </w:r>
      <w:r w:rsidR="000E0AAD">
        <w:rPr>
          <w:rFonts w:ascii="Times New Roman" w:hAnsi="Times New Roman" w:cs="Times New Roman"/>
          <w:sz w:val="24"/>
          <w:szCs w:val="24"/>
        </w:rPr>
        <w:t>linical</w:t>
      </w:r>
      <w:r w:rsidR="00F940E6">
        <w:rPr>
          <w:rFonts w:ascii="Times New Roman" w:hAnsi="Times New Roman" w:cs="Times New Roman"/>
          <w:sz w:val="24"/>
          <w:szCs w:val="24"/>
        </w:rPr>
        <w:t xml:space="preserve"> </w:t>
      </w:r>
      <w:r w:rsidR="000E0AAD">
        <w:rPr>
          <w:rFonts w:ascii="Times New Roman" w:hAnsi="Times New Roman" w:cs="Times New Roman"/>
          <w:sz w:val="24"/>
          <w:szCs w:val="24"/>
        </w:rPr>
        <w:t>recogni</w:t>
      </w:r>
      <w:r w:rsidR="00F940E6">
        <w:rPr>
          <w:rFonts w:ascii="Times New Roman" w:hAnsi="Times New Roman" w:cs="Times New Roman"/>
          <w:sz w:val="24"/>
          <w:szCs w:val="24"/>
        </w:rPr>
        <w:t>tion</w:t>
      </w:r>
      <w:r w:rsidR="000E0AAD">
        <w:rPr>
          <w:rFonts w:ascii="Times New Roman" w:hAnsi="Times New Roman" w:cs="Times New Roman"/>
          <w:sz w:val="24"/>
          <w:szCs w:val="24"/>
        </w:rPr>
        <w:t xml:space="preserve"> </w:t>
      </w:r>
      <w:r w:rsidR="009C407A">
        <w:rPr>
          <w:rFonts w:ascii="Times New Roman" w:hAnsi="Times New Roman" w:cs="Times New Roman"/>
          <w:sz w:val="24"/>
          <w:szCs w:val="24"/>
        </w:rPr>
        <w:t>therefore misses the point; what</w:t>
      </w:r>
      <w:r w:rsidR="000E0AAD">
        <w:rPr>
          <w:rFonts w:ascii="Times New Roman" w:hAnsi="Times New Roman" w:cs="Times New Roman"/>
          <w:sz w:val="24"/>
          <w:szCs w:val="24"/>
        </w:rPr>
        <w:t xml:space="preserve"> should matter is the </w:t>
      </w:r>
      <w:r w:rsidR="000E0AAD">
        <w:rPr>
          <w:rFonts w:ascii="Times New Roman" w:hAnsi="Times New Roman" w:cs="Times New Roman"/>
          <w:i/>
          <w:iCs/>
          <w:sz w:val="24"/>
          <w:szCs w:val="24"/>
        </w:rPr>
        <w:t>severity of the claimant’s distress</w:t>
      </w:r>
      <w:r w:rsidR="000E0AAD">
        <w:rPr>
          <w:rFonts w:ascii="Times New Roman" w:hAnsi="Times New Roman" w:cs="Times New Roman"/>
          <w:sz w:val="24"/>
          <w:szCs w:val="24"/>
        </w:rPr>
        <w:t xml:space="preserve">, not the label that might be attached to </w:t>
      </w:r>
      <w:r w:rsidR="008E19E5">
        <w:rPr>
          <w:rFonts w:ascii="Times New Roman" w:hAnsi="Times New Roman" w:cs="Times New Roman"/>
          <w:sz w:val="24"/>
          <w:szCs w:val="24"/>
        </w:rPr>
        <w:t>it</w:t>
      </w:r>
      <w:r w:rsidR="000E0AAD">
        <w:rPr>
          <w:rFonts w:ascii="Times New Roman" w:hAnsi="Times New Roman" w:cs="Times New Roman"/>
          <w:sz w:val="24"/>
          <w:szCs w:val="24"/>
        </w:rPr>
        <w:t>.</w:t>
      </w:r>
      <w:r w:rsidR="00CE0F44">
        <w:rPr>
          <w:rStyle w:val="FootnoteReference"/>
          <w:rFonts w:cs="Times New Roman"/>
          <w:szCs w:val="24"/>
        </w:rPr>
        <w:footnoteReference w:id="204"/>
      </w:r>
      <w:r w:rsidR="00F33033">
        <w:rPr>
          <w:rFonts w:ascii="Times New Roman" w:hAnsi="Times New Roman" w:cs="Times New Roman"/>
          <w:sz w:val="24"/>
          <w:szCs w:val="24"/>
        </w:rPr>
        <w:t xml:space="preserve"> </w:t>
      </w:r>
      <w:r w:rsidR="00D5741F">
        <w:rPr>
          <w:rFonts w:ascii="Times New Roman" w:hAnsi="Times New Roman" w:cs="Times New Roman"/>
          <w:sz w:val="24"/>
          <w:szCs w:val="24"/>
        </w:rPr>
        <w:t xml:space="preserve">For a range of reasons, </w:t>
      </w:r>
      <w:r w:rsidR="00D5054D">
        <w:rPr>
          <w:rFonts w:ascii="Times New Roman" w:hAnsi="Times New Roman" w:cs="Times New Roman"/>
          <w:sz w:val="24"/>
          <w:szCs w:val="24"/>
        </w:rPr>
        <w:t>abandoning the need for a diagnostic label</w:t>
      </w:r>
      <w:r w:rsidR="00640F48">
        <w:rPr>
          <w:rFonts w:ascii="Times New Roman" w:hAnsi="Times New Roman" w:cs="Times New Roman"/>
          <w:sz w:val="24"/>
          <w:szCs w:val="24"/>
        </w:rPr>
        <w:t xml:space="preserve"> would be a welcome reform.</w:t>
      </w:r>
    </w:p>
    <w:p w14:paraId="3CF8617B" w14:textId="5D07E53C" w:rsidR="00002709" w:rsidRDefault="00D5054D"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This</w:t>
      </w:r>
      <w:r w:rsidR="00D67EBD">
        <w:rPr>
          <w:rFonts w:ascii="Times New Roman" w:hAnsi="Times New Roman" w:cs="Times New Roman"/>
          <w:sz w:val="24"/>
          <w:szCs w:val="24"/>
        </w:rPr>
        <w:t xml:space="preserve"> is</w:t>
      </w:r>
      <w:r w:rsidR="00E719F8">
        <w:rPr>
          <w:rFonts w:ascii="Times New Roman" w:hAnsi="Times New Roman" w:cs="Times New Roman"/>
          <w:sz w:val="24"/>
          <w:szCs w:val="24"/>
        </w:rPr>
        <w:t xml:space="preserve"> precisely the approach that the Supreme Court of Canada took in </w:t>
      </w:r>
      <w:r w:rsidR="00E719F8">
        <w:rPr>
          <w:rFonts w:ascii="Times New Roman" w:hAnsi="Times New Roman" w:cs="Times New Roman"/>
          <w:i/>
          <w:iCs/>
          <w:sz w:val="24"/>
          <w:szCs w:val="24"/>
        </w:rPr>
        <w:t>Saadati v Moorhead</w:t>
      </w:r>
      <w:r w:rsidR="00E719F8">
        <w:rPr>
          <w:rFonts w:ascii="Times New Roman" w:hAnsi="Times New Roman" w:cs="Times New Roman"/>
          <w:sz w:val="24"/>
          <w:szCs w:val="24"/>
        </w:rPr>
        <w:t>.</w:t>
      </w:r>
      <w:r w:rsidR="00741880">
        <w:rPr>
          <w:rStyle w:val="FootnoteReference"/>
          <w:rFonts w:cs="Times New Roman"/>
          <w:szCs w:val="24"/>
        </w:rPr>
        <w:footnoteReference w:id="205"/>
      </w:r>
      <w:r w:rsidR="00CB2D28">
        <w:rPr>
          <w:rFonts w:ascii="Times New Roman" w:hAnsi="Times New Roman" w:cs="Times New Roman"/>
          <w:sz w:val="24"/>
          <w:szCs w:val="24"/>
        </w:rPr>
        <w:t xml:space="preserve"> </w:t>
      </w:r>
      <w:r w:rsidR="000039C1">
        <w:rPr>
          <w:rFonts w:ascii="Times New Roman" w:hAnsi="Times New Roman" w:cs="Times New Roman"/>
          <w:sz w:val="24"/>
          <w:szCs w:val="24"/>
        </w:rPr>
        <w:t xml:space="preserve">The </w:t>
      </w:r>
      <w:r w:rsidR="00CB2D28">
        <w:rPr>
          <w:rFonts w:ascii="Times New Roman" w:hAnsi="Times New Roman" w:cs="Times New Roman"/>
          <w:sz w:val="24"/>
          <w:szCs w:val="24"/>
        </w:rPr>
        <w:t xml:space="preserve">Court </w:t>
      </w:r>
      <w:r w:rsidR="001446F5">
        <w:rPr>
          <w:rFonts w:ascii="Times New Roman" w:hAnsi="Times New Roman" w:cs="Times New Roman"/>
          <w:sz w:val="24"/>
          <w:szCs w:val="24"/>
        </w:rPr>
        <w:t>said</w:t>
      </w:r>
      <w:r w:rsidR="00CB2D28">
        <w:rPr>
          <w:rFonts w:ascii="Times New Roman" w:hAnsi="Times New Roman" w:cs="Times New Roman"/>
          <w:sz w:val="24"/>
          <w:szCs w:val="24"/>
        </w:rPr>
        <w:t xml:space="preserve"> </w:t>
      </w:r>
      <w:r w:rsidR="001676CC">
        <w:rPr>
          <w:rFonts w:ascii="Times New Roman" w:hAnsi="Times New Roman" w:cs="Times New Roman"/>
          <w:sz w:val="24"/>
          <w:szCs w:val="24"/>
        </w:rPr>
        <w:t>that the requirement of a ‘recognisable psychiatric illness’ was ‘premised upon dubious perceptions of psychiatry and of mental illness in general’.</w:t>
      </w:r>
      <w:r w:rsidR="008614CB">
        <w:rPr>
          <w:rStyle w:val="FootnoteReference"/>
          <w:rFonts w:cs="Times New Roman"/>
          <w:szCs w:val="24"/>
        </w:rPr>
        <w:footnoteReference w:id="206"/>
      </w:r>
      <w:r w:rsidR="001676CC">
        <w:rPr>
          <w:rFonts w:ascii="Times New Roman" w:hAnsi="Times New Roman" w:cs="Times New Roman"/>
          <w:sz w:val="24"/>
          <w:szCs w:val="24"/>
        </w:rPr>
        <w:t xml:space="preserve"> </w:t>
      </w:r>
      <w:r w:rsidR="0021102F">
        <w:rPr>
          <w:rFonts w:ascii="Times New Roman" w:hAnsi="Times New Roman" w:cs="Times New Roman"/>
          <w:sz w:val="24"/>
          <w:szCs w:val="24"/>
        </w:rPr>
        <w:t xml:space="preserve">To insist upon it </w:t>
      </w:r>
      <w:r w:rsidR="00BB5E47">
        <w:rPr>
          <w:rFonts w:ascii="Times New Roman" w:hAnsi="Times New Roman" w:cs="Times New Roman"/>
          <w:sz w:val="24"/>
          <w:szCs w:val="24"/>
        </w:rPr>
        <w:t>was to treat physical and mental illnesses differently</w:t>
      </w:r>
      <w:r w:rsidR="0056272B">
        <w:rPr>
          <w:rFonts w:ascii="Times New Roman" w:hAnsi="Times New Roman" w:cs="Times New Roman"/>
          <w:sz w:val="24"/>
          <w:szCs w:val="24"/>
        </w:rPr>
        <w:t xml:space="preserve"> and accord unequal protection to victims of mental injury ‘for no principled reason</w:t>
      </w:r>
      <w:r w:rsidR="00F176EC">
        <w:rPr>
          <w:rFonts w:ascii="Times New Roman" w:hAnsi="Times New Roman" w:cs="Times New Roman"/>
          <w:sz w:val="24"/>
          <w:szCs w:val="24"/>
        </w:rPr>
        <w:t>’</w:t>
      </w:r>
      <w:r w:rsidR="00C76DD3">
        <w:rPr>
          <w:rFonts w:ascii="Times New Roman" w:hAnsi="Times New Roman" w:cs="Times New Roman"/>
          <w:sz w:val="24"/>
          <w:szCs w:val="24"/>
        </w:rPr>
        <w:t>.</w:t>
      </w:r>
      <w:r w:rsidR="00C76DD3">
        <w:rPr>
          <w:rStyle w:val="FootnoteReference"/>
          <w:rFonts w:cs="Times New Roman"/>
          <w:szCs w:val="24"/>
        </w:rPr>
        <w:footnoteReference w:id="207"/>
      </w:r>
      <w:r w:rsidR="00A120CF">
        <w:rPr>
          <w:rFonts w:ascii="Times New Roman" w:hAnsi="Times New Roman" w:cs="Times New Roman"/>
          <w:sz w:val="24"/>
          <w:szCs w:val="24"/>
        </w:rPr>
        <w:t xml:space="preserve"> Brown J held that </w:t>
      </w:r>
      <w:r w:rsidR="004749AD">
        <w:rPr>
          <w:rFonts w:ascii="Times New Roman" w:hAnsi="Times New Roman" w:cs="Times New Roman"/>
          <w:sz w:val="24"/>
          <w:szCs w:val="24"/>
        </w:rPr>
        <w:t>all that is required is that the defendant foresaw an injury to the claimant</w:t>
      </w:r>
      <w:r w:rsidR="000312F8">
        <w:rPr>
          <w:rFonts w:ascii="Times New Roman" w:hAnsi="Times New Roman" w:cs="Times New Roman"/>
          <w:sz w:val="24"/>
          <w:szCs w:val="24"/>
        </w:rPr>
        <w:t xml:space="preserve"> –</w:t>
      </w:r>
      <w:r w:rsidR="000039C1">
        <w:rPr>
          <w:rFonts w:ascii="Times New Roman" w:hAnsi="Times New Roman" w:cs="Times New Roman"/>
          <w:sz w:val="24"/>
          <w:szCs w:val="24"/>
        </w:rPr>
        <w:t xml:space="preserve"> </w:t>
      </w:r>
      <w:r w:rsidR="000312F8">
        <w:rPr>
          <w:rFonts w:ascii="Times New Roman" w:hAnsi="Times New Roman" w:cs="Times New Roman"/>
          <w:sz w:val="24"/>
          <w:szCs w:val="24"/>
        </w:rPr>
        <w:t xml:space="preserve">a particular label </w:t>
      </w:r>
      <w:r w:rsidR="000039C1">
        <w:rPr>
          <w:rFonts w:ascii="Times New Roman" w:hAnsi="Times New Roman" w:cs="Times New Roman"/>
          <w:sz w:val="24"/>
          <w:szCs w:val="24"/>
        </w:rPr>
        <w:t>for</w:t>
      </w:r>
      <w:r w:rsidR="000312F8">
        <w:rPr>
          <w:rFonts w:ascii="Times New Roman" w:hAnsi="Times New Roman" w:cs="Times New Roman"/>
          <w:sz w:val="24"/>
          <w:szCs w:val="24"/>
        </w:rPr>
        <w:t xml:space="preserve"> the claimant’s</w:t>
      </w:r>
      <w:r w:rsidR="000039C1">
        <w:rPr>
          <w:rFonts w:ascii="Times New Roman" w:hAnsi="Times New Roman" w:cs="Times New Roman"/>
          <w:sz w:val="24"/>
          <w:szCs w:val="24"/>
        </w:rPr>
        <w:t xml:space="preserve"> psychiatric</w:t>
      </w:r>
      <w:r w:rsidR="000312F8">
        <w:rPr>
          <w:rFonts w:ascii="Times New Roman" w:hAnsi="Times New Roman" w:cs="Times New Roman"/>
          <w:sz w:val="24"/>
          <w:szCs w:val="24"/>
        </w:rPr>
        <w:t xml:space="preserve"> injury </w:t>
      </w:r>
      <w:r w:rsidR="00B52D08">
        <w:rPr>
          <w:rFonts w:ascii="Times New Roman" w:hAnsi="Times New Roman" w:cs="Times New Roman"/>
          <w:sz w:val="24"/>
          <w:szCs w:val="24"/>
        </w:rPr>
        <w:t>was unnecessary</w:t>
      </w:r>
      <w:r w:rsidR="00102F0B">
        <w:rPr>
          <w:rFonts w:ascii="Times New Roman" w:hAnsi="Times New Roman" w:cs="Times New Roman"/>
          <w:sz w:val="24"/>
          <w:szCs w:val="24"/>
        </w:rPr>
        <w:t>.</w:t>
      </w:r>
    </w:p>
    <w:p w14:paraId="683D61CE" w14:textId="6A5925DA" w:rsidR="00726C56" w:rsidRDefault="00FC3189"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S</w:t>
      </w:r>
      <w:r w:rsidR="00997DBA">
        <w:rPr>
          <w:rFonts w:ascii="Times New Roman" w:hAnsi="Times New Roman" w:cs="Times New Roman"/>
          <w:sz w:val="24"/>
          <w:szCs w:val="24"/>
        </w:rPr>
        <w:t xml:space="preserve">crapping the </w:t>
      </w:r>
      <w:r w:rsidR="006E6C1D">
        <w:rPr>
          <w:rFonts w:ascii="Times New Roman" w:hAnsi="Times New Roman" w:cs="Times New Roman"/>
          <w:sz w:val="24"/>
          <w:szCs w:val="24"/>
        </w:rPr>
        <w:t>‘recognis</w:t>
      </w:r>
      <w:r w:rsidR="00EA13C5">
        <w:rPr>
          <w:rFonts w:ascii="Times New Roman" w:hAnsi="Times New Roman" w:cs="Times New Roman"/>
          <w:sz w:val="24"/>
          <w:szCs w:val="24"/>
        </w:rPr>
        <w:t>able</w:t>
      </w:r>
      <w:r w:rsidR="006E6C1D">
        <w:rPr>
          <w:rFonts w:ascii="Times New Roman" w:hAnsi="Times New Roman" w:cs="Times New Roman"/>
          <w:sz w:val="24"/>
          <w:szCs w:val="24"/>
        </w:rPr>
        <w:t xml:space="preserve"> psychiatric injury’ requirement</w:t>
      </w:r>
      <w:r w:rsidR="00997DBA">
        <w:rPr>
          <w:rFonts w:ascii="Times New Roman" w:hAnsi="Times New Roman" w:cs="Times New Roman"/>
          <w:sz w:val="24"/>
          <w:szCs w:val="24"/>
        </w:rPr>
        <w:t xml:space="preserve"> </w:t>
      </w:r>
      <w:r>
        <w:rPr>
          <w:rFonts w:ascii="Times New Roman" w:hAnsi="Times New Roman" w:cs="Times New Roman"/>
          <w:sz w:val="24"/>
          <w:szCs w:val="24"/>
        </w:rPr>
        <w:t xml:space="preserve">in this way </w:t>
      </w:r>
      <w:r w:rsidR="00F91CFB">
        <w:rPr>
          <w:rFonts w:ascii="Times New Roman" w:hAnsi="Times New Roman" w:cs="Times New Roman"/>
          <w:sz w:val="24"/>
          <w:szCs w:val="24"/>
        </w:rPr>
        <w:t>is</w:t>
      </w:r>
      <w:r>
        <w:rPr>
          <w:rFonts w:ascii="Times New Roman" w:hAnsi="Times New Roman" w:cs="Times New Roman"/>
          <w:sz w:val="24"/>
          <w:szCs w:val="24"/>
        </w:rPr>
        <w:t xml:space="preserve"> essential if the law of negligence </w:t>
      </w:r>
      <w:r w:rsidR="00942420">
        <w:rPr>
          <w:rFonts w:ascii="Times New Roman" w:hAnsi="Times New Roman" w:cs="Times New Roman"/>
          <w:sz w:val="24"/>
          <w:szCs w:val="24"/>
        </w:rPr>
        <w:t>is to comply with the CRPD.</w:t>
      </w:r>
      <w:r w:rsidR="00F91CFB">
        <w:rPr>
          <w:rFonts w:ascii="Times New Roman" w:hAnsi="Times New Roman" w:cs="Times New Roman"/>
          <w:sz w:val="24"/>
          <w:szCs w:val="24"/>
        </w:rPr>
        <w:t xml:space="preserve"> </w:t>
      </w:r>
      <w:r w:rsidR="00FB49EE">
        <w:rPr>
          <w:rFonts w:ascii="Times New Roman" w:hAnsi="Times New Roman" w:cs="Times New Roman"/>
          <w:sz w:val="24"/>
          <w:szCs w:val="24"/>
        </w:rPr>
        <w:t>Without even citing the CRPD, the Court</w:t>
      </w:r>
      <w:r w:rsidR="000F30CD">
        <w:rPr>
          <w:rFonts w:ascii="Times New Roman" w:hAnsi="Times New Roman" w:cs="Times New Roman"/>
          <w:sz w:val="24"/>
          <w:szCs w:val="24"/>
        </w:rPr>
        <w:t xml:space="preserve"> in </w:t>
      </w:r>
      <w:r w:rsidR="0030578F">
        <w:rPr>
          <w:rFonts w:ascii="Times New Roman" w:hAnsi="Times New Roman" w:cs="Times New Roman"/>
          <w:i/>
          <w:iCs/>
          <w:sz w:val="24"/>
          <w:szCs w:val="24"/>
        </w:rPr>
        <w:lastRenderedPageBreak/>
        <w:t>S</w:t>
      </w:r>
      <w:r w:rsidR="000F30CD">
        <w:rPr>
          <w:rFonts w:ascii="Times New Roman" w:hAnsi="Times New Roman" w:cs="Times New Roman"/>
          <w:i/>
          <w:iCs/>
          <w:sz w:val="24"/>
          <w:szCs w:val="24"/>
        </w:rPr>
        <w:t>aadati</w:t>
      </w:r>
      <w:r w:rsidR="00FB49EE">
        <w:rPr>
          <w:rFonts w:ascii="Times New Roman" w:hAnsi="Times New Roman" w:cs="Times New Roman"/>
          <w:sz w:val="24"/>
          <w:szCs w:val="24"/>
        </w:rPr>
        <w:t xml:space="preserve"> </w:t>
      </w:r>
      <w:r w:rsidR="00F940E6">
        <w:rPr>
          <w:rFonts w:ascii="Times New Roman" w:hAnsi="Times New Roman" w:cs="Times New Roman"/>
          <w:sz w:val="24"/>
          <w:szCs w:val="24"/>
        </w:rPr>
        <w:t>adopted</w:t>
      </w:r>
      <w:r w:rsidR="00EA13C5">
        <w:rPr>
          <w:rFonts w:ascii="Times New Roman" w:hAnsi="Times New Roman" w:cs="Times New Roman"/>
          <w:sz w:val="24"/>
          <w:szCs w:val="24"/>
        </w:rPr>
        <w:t xml:space="preserve"> what could easily be</w:t>
      </w:r>
      <w:r w:rsidR="005F4DF0">
        <w:rPr>
          <w:rFonts w:ascii="Times New Roman" w:hAnsi="Times New Roman" w:cs="Times New Roman"/>
          <w:sz w:val="24"/>
          <w:szCs w:val="24"/>
        </w:rPr>
        <w:t xml:space="preserve"> its language </w:t>
      </w:r>
      <w:r w:rsidR="003F4711">
        <w:rPr>
          <w:rFonts w:ascii="Times New Roman" w:hAnsi="Times New Roman" w:cs="Times New Roman"/>
          <w:sz w:val="24"/>
          <w:szCs w:val="24"/>
        </w:rPr>
        <w:t xml:space="preserve">to condemn </w:t>
      </w:r>
      <w:r w:rsidR="001002F6">
        <w:rPr>
          <w:rFonts w:ascii="Times New Roman" w:hAnsi="Times New Roman" w:cs="Times New Roman"/>
          <w:sz w:val="24"/>
          <w:szCs w:val="24"/>
        </w:rPr>
        <w:t xml:space="preserve">the </w:t>
      </w:r>
      <w:r w:rsidR="00F35759">
        <w:rPr>
          <w:rFonts w:ascii="Times New Roman" w:hAnsi="Times New Roman" w:cs="Times New Roman"/>
          <w:sz w:val="24"/>
          <w:szCs w:val="24"/>
        </w:rPr>
        <w:t xml:space="preserve">discriminatory </w:t>
      </w:r>
      <w:r w:rsidR="000C2C12">
        <w:rPr>
          <w:rFonts w:ascii="Times New Roman" w:hAnsi="Times New Roman" w:cs="Times New Roman"/>
          <w:sz w:val="24"/>
          <w:szCs w:val="24"/>
        </w:rPr>
        <w:t xml:space="preserve">fulcrum on </w:t>
      </w:r>
      <w:r w:rsidR="00496CD2">
        <w:rPr>
          <w:rFonts w:ascii="Times New Roman" w:hAnsi="Times New Roman" w:cs="Times New Roman"/>
          <w:sz w:val="24"/>
          <w:szCs w:val="24"/>
        </w:rPr>
        <w:t>which the special rules turn.</w:t>
      </w:r>
      <w:r w:rsidR="000C2C12">
        <w:rPr>
          <w:rFonts w:ascii="Times New Roman" w:hAnsi="Times New Roman" w:cs="Times New Roman"/>
          <w:sz w:val="24"/>
          <w:szCs w:val="24"/>
        </w:rPr>
        <w:t xml:space="preserve"> </w:t>
      </w:r>
      <w:r w:rsidR="006B0DB1">
        <w:rPr>
          <w:rFonts w:ascii="Times New Roman" w:hAnsi="Times New Roman" w:cs="Times New Roman"/>
          <w:i/>
          <w:iCs/>
          <w:sz w:val="24"/>
          <w:szCs w:val="24"/>
        </w:rPr>
        <w:t xml:space="preserve">Saadati </w:t>
      </w:r>
      <w:r w:rsidR="006B0DB1">
        <w:rPr>
          <w:rFonts w:ascii="Times New Roman" w:hAnsi="Times New Roman" w:cs="Times New Roman"/>
          <w:sz w:val="24"/>
          <w:szCs w:val="24"/>
        </w:rPr>
        <w:t>could</w:t>
      </w:r>
      <w:r w:rsidR="00EA13C5">
        <w:rPr>
          <w:rFonts w:ascii="Times New Roman" w:hAnsi="Times New Roman" w:cs="Times New Roman"/>
          <w:sz w:val="24"/>
          <w:szCs w:val="24"/>
        </w:rPr>
        <w:t xml:space="preserve"> therefore</w:t>
      </w:r>
      <w:r w:rsidR="006B0DB1">
        <w:rPr>
          <w:rFonts w:ascii="Times New Roman" w:hAnsi="Times New Roman" w:cs="Times New Roman"/>
          <w:sz w:val="24"/>
          <w:szCs w:val="24"/>
        </w:rPr>
        <w:t xml:space="preserve"> be hailed as the first psychiatric injury case</w:t>
      </w:r>
      <w:r w:rsidR="00AA17DD">
        <w:rPr>
          <w:rFonts w:ascii="Times New Roman" w:hAnsi="Times New Roman" w:cs="Times New Roman"/>
          <w:sz w:val="24"/>
          <w:szCs w:val="24"/>
        </w:rPr>
        <w:t xml:space="preserve"> in the common law world</w:t>
      </w:r>
      <w:r w:rsidR="00B53BA3">
        <w:rPr>
          <w:rFonts w:ascii="Times New Roman" w:hAnsi="Times New Roman" w:cs="Times New Roman"/>
          <w:sz w:val="24"/>
          <w:szCs w:val="24"/>
        </w:rPr>
        <w:t xml:space="preserve"> which </w:t>
      </w:r>
      <w:r w:rsidR="00CF149D">
        <w:rPr>
          <w:rFonts w:ascii="Times New Roman" w:hAnsi="Times New Roman" w:cs="Times New Roman"/>
          <w:sz w:val="24"/>
          <w:szCs w:val="24"/>
        </w:rPr>
        <w:t>embodies</w:t>
      </w:r>
      <w:r w:rsidR="00B53BA3">
        <w:rPr>
          <w:rFonts w:ascii="Times New Roman" w:hAnsi="Times New Roman" w:cs="Times New Roman"/>
          <w:sz w:val="24"/>
          <w:szCs w:val="24"/>
        </w:rPr>
        <w:t xml:space="preserve"> the spirit of the CRPD.</w:t>
      </w:r>
      <w:r w:rsidR="002873A1">
        <w:rPr>
          <w:rFonts w:ascii="Times New Roman" w:hAnsi="Times New Roman" w:cs="Times New Roman"/>
          <w:sz w:val="24"/>
          <w:szCs w:val="24"/>
        </w:rPr>
        <w:t xml:space="preserve"> The biggest obstacle to CRPD</w:t>
      </w:r>
      <w:r w:rsidR="00C04332">
        <w:rPr>
          <w:rFonts w:ascii="Times New Roman" w:hAnsi="Times New Roman" w:cs="Times New Roman"/>
          <w:sz w:val="24"/>
          <w:szCs w:val="24"/>
        </w:rPr>
        <w:t>-</w:t>
      </w:r>
      <w:r w:rsidR="002873A1">
        <w:rPr>
          <w:rFonts w:ascii="Times New Roman" w:hAnsi="Times New Roman" w:cs="Times New Roman"/>
          <w:sz w:val="24"/>
          <w:szCs w:val="24"/>
        </w:rPr>
        <w:t xml:space="preserve">compliance is </w:t>
      </w:r>
      <w:r w:rsidR="003F6BA4">
        <w:rPr>
          <w:rFonts w:ascii="Times New Roman" w:hAnsi="Times New Roman" w:cs="Times New Roman"/>
          <w:sz w:val="24"/>
          <w:szCs w:val="24"/>
        </w:rPr>
        <w:t xml:space="preserve">a rule which </w:t>
      </w:r>
      <w:r w:rsidR="00F44467">
        <w:rPr>
          <w:rFonts w:ascii="Times New Roman" w:hAnsi="Times New Roman" w:cs="Times New Roman"/>
          <w:sz w:val="24"/>
          <w:szCs w:val="24"/>
        </w:rPr>
        <w:t>distinguishes claimants on the basis of disability.</w:t>
      </w:r>
      <w:r w:rsidR="00C84039">
        <w:rPr>
          <w:rFonts w:ascii="Times New Roman" w:hAnsi="Times New Roman" w:cs="Times New Roman"/>
          <w:sz w:val="24"/>
          <w:szCs w:val="24"/>
        </w:rPr>
        <w:t xml:space="preserve"> Replacing it with a disability-neutral alternative should therefore be a priority</w:t>
      </w:r>
      <w:r w:rsidR="007213A0">
        <w:rPr>
          <w:rFonts w:ascii="Times New Roman" w:hAnsi="Times New Roman" w:cs="Times New Roman"/>
          <w:sz w:val="24"/>
          <w:szCs w:val="24"/>
        </w:rPr>
        <w:t>.</w:t>
      </w:r>
    </w:p>
    <w:p w14:paraId="6656BD44" w14:textId="5D729729" w:rsidR="00FF4C58" w:rsidRDefault="001820BF"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However</w:t>
      </w:r>
      <w:r w:rsidR="00C7624F">
        <w:rPr>
          <w:rFonts w:ascii="Times New Roman" w:hAnsi="Times New Roman" w:cs="Times New Roman"/>
          <w:sz w:val="24"/>
          <w:szCs w:val="24"/>
        </w:rPr>
        <w:t>,</w:t>
      </w:r>
      <w:r w:rsidR="00634AC2">
        <w:rPr>
          <w:rFonts w:ascii="Times New Roman" w:hAnsi="Times New Roman" w:cs="Times New Roman"/>
          <w:sz w:val="24"/>
          <w:szCs w:val="24"/>
        </w:rPr>
        <w:t xml:space="preserve"> </w:t>
      </w:r>
      <w:r w:rsidR="006618E4">
        <w:rPr>
          <w:rFonts w:ascii="Times New Roman" w:hAnsi="Times New Roman" w:cs="Times New Roman"/>
          <w:sz w:val="24"/>
          <w:szCs w:val="24"/>
        </w:rPr>
        <w:t xml:space="preserve">replacing </w:t>
      </w:r>
      <w:r w:rsidR="009136B6">
        <w:rPr>
          <w:rFonts w:ascii="Times New Roman" w:hAnsi="Times New Roman" w:cs="Times New Roman"/>
          <w:sz w:val="24"/>
          <w:szCs w:val="24"/>
        </w:rPr>
        <w:t xml:space="preserve">‘recognised </w:t>
      </w:r>
      <w:r w:rsidR="00E620C1">
        <w:rPr>
          <w:rFonts w:ascii="Times New Roman" w:hAnsi="Times New Roman" w:cs="Times New Roman"/>
          <w:sz w:val="24"/>
          <w:szCs w:val="24"/>
        </w:rPr>
        <w:t>psychiatric injury’</w:t>
      </w:r>
      <w:r w:rsidR="009136B6">
        <w:rPr>
          <w:rFonts w:ascii="Times New Roman" w:hAnsi="Times New Roman" w:cs="Times New Roman"/>
          <w:sz w:val="24"/>
          <w:szCs w:val="24"/>
        </w:rPr>
        <w:t xml:space="preserve"> with something like </w:t>
      </w:r>
      <w:r w:rsidR="0093757E">
        <w:rPr>
          <w:rFonts w:ascii="Times New Roman" w:hAnsi="Times New Roman" w:cs="Times New Roman"/>
          <w:sz w:val="24"/>
          <w:szCs w:val="24"/>
        </w:rPr>
        <w:t>‘grievous mental harm’</w:t>
      </w:r>
      <w:r w:rsidR="00E61784">
        <w:rPr>
          <w:rFonts w:ascii="Times New Roman" w:hAnsi="Times New Roman" w:cs="Times New Roman"/>
          <w:sz w:val="24"/>
          <w:szCs w:val="24"/>
        </w:rPr>
        <w:t xml:space="preserve"> or ‘moderately severe mental or emotional harm’</w:t>
      </w:r>
      <w:r w:rsidR="009136B6">
        <w:rPr>
          <w:rFonts w:ascii="Times New Roman" w:hAnsi="Times New Roman" w:cs="Times New Roman"/>
          <w:sz w:val="24"/>
          <w:szCs w:val="24"/>
        </w:rPr>
        <w:t xml:space="preserve"> may not be</w:t>
      </w:r>
      <w:r w:rsidR="000039C1">
        <w:rPr>
          <w:rFonts w:ascii="Times New Roman" w:hAnsi="Times New Roman" w:cs="Times New Roman"/>
          <w:sz w:val="24"/>
          <w:szCs w:val="24"/>
        </w:rPr>
        <w:t xml:space="preserve"> as straightforward as it s</w:t>
      </w:r>
      <w:r w:rsidR="001D5AB9">
        <w:rPr>
          <w:rFonts w:ascii="Times New Roman" w:hAnsi="Times New Roman" w:cs="Times New Roman"/>
          <w:sz w:val="24"/>
          <w:szCs w:val="24"/>
        </w:rPr>
        <w:t>eems.</w:t>
      </w:r>
      <w:r w:rsidR="00F91F90">
        <w:rPr>
          <w:rFonts w:ascii="Times New Roman" w:hAnsi="Times New Roman" w:cs="Times New Roman"/>
          <w:sz w:val="24"/>
          <w:szCs w:val="24"/>
        </w:rPr>
        <w:t xml:space="preserve"> </w:t>
      </w:r>
      <w:r w:rsidR="002B5C2F">
        <w:rPr>
          <w:rFonts w:ascii="Times New Roman" w:hAnsi="Times New Roman" w:cs="Times New Roman"/>
          <w:sz w:val="24"/>
          <w:szCs w:val="24"/>
        </w:rPr>
        <w:t>I</w:t>
      </w:r>
      <w:r w:rsidR="00246754">
        <w:rPr>
          <w:rFonts w:ascii="Times New Roman" w:hAnsi="Times New Roman" w:cs="Times New Roman"/>
          <w:sz w:val="24"/>
          <w:szCs w:val="24"/>
        </w:rPr>
        <w:t>t raise</w:t>
      </w:r>
      <w:r w:rsidR="002B5C2F">
        <w:rPr>
          <w:rFonts w:ascii="Times New Roman" w:hAnsi="Times New Roman" w:cs="Times New Roman"/>
          <w:sz w:val="24"/>
          <w:szCs w:val="24"/>
        </w:rPr>
        <w:t>s</w:t>
      </w:r>
      <w:r w:rsidR="00246754">
        <w:rPr>
          <w:rFonts w:ascii="Times New Roman" w:hAnsi="Times New Roman" w:cs="Times New Roman"/>
          <w:sz w:val="24"/>
          <w:szCs w:val="24"/>
        </w:rPr>
        <w:t xml:space="preserve"> </w:t>
      </w:r>
      <w:r w:rsidR="006D1375">
        <w:rPr>
          <w:rFonts w:ascii="Times New Roman" w:hAnsi="Times New Roman" w:cs="Times New Roman"/>
          <w:sz w:val="24"/>
          <w:szCs w:val="24"/>
        </w:rPr>
        <w:t xml:space="preserve">a </w:t>
      </w:r>
      <w:r w:rsidR="00246754">
        <w:rPr>
          <w:rFonts w:ascii="Times New Roman" w:hAnsi="Times New Roman" w:cs="Times New Roman"/>
          <w:sz w:val="24"/>
          <w:szCs w:val="24"/>
        </w:rPr>
        <w:t xml:space="preserve">tricky question about </w:t>
      </w:r>
      <w:r w:rsidR="00246754">
        <w:rPr>
          <w:rFonts w:ascii="Times New Roman" w:hAnsi="Times New Roman" w:cs="Times New Roman"/>
          <w:i/>
          <w:iCs/>
          <w:sz w:val="24"/>
          <w:szCs w:val="24"/>
        </w:rPr>
        <w:t xml:space="preserve">what </w:t>
      </w:r>
      <w:r w:rsidR="00246754">
        <w:rPr>
          <w:rFonts w:ascii="Times New Roman" w:hAnsi="Times New Roman" w:cs="Times New Roman"/>
          <w:sz w:val="24"/>
          <w:szCs w:val="24"/>
        </w:rPr>
        <w:t>will qualify</w:t>
      </w:r>
      <w:r w:rsidR="00E61784">
        <w:rPr>
          <w:rFonts w:ascii="Times New Roman" w:hAnsi="Times New Roman" w:cs="Times New Roman"/>
          <w:sz w:val="24"/>
          <w:szCs w:val="24"/>
        </w:rPr>
        <w:t xml:space="preserve"> as actionable damage</w:t>
      </w:r>
      <w:r w:rsidR="00032865">
        <w:rPr>
          <w:rFonts w:ascii="Times New Roman" w:hAnsi="Times New Roman" w:cs="Times New Roman"/>
          <w:sz w:val="24"/>
          <w:szCs w:val="24"/>
        </w:rPr>
        <w:t xml:space="preserve"> </w:t>
      </w:r>
      <w:r w:rsidR="000039C1">
        <w:rPr>
          <w:rFonts w:ascii="Times New Roman" w:hAnsi="Times New Roman" w:cs="Times New Roman"/>
          <w:sz w:val="24"/>
          <w:szCs w:val="24"/>
        </w:rPr>
        <w:t>when</w:t>
      </w:r>
      <w:r w:rsidR="00032865">
        <w:rPr>
          <w:rFonts w:ascii="Times New Roman" w:hAnsi="Times New Roman" w:cs="Times New Roman"/>
          <w:sz w:val="24"/>
          <w:szCs w:val="24"/>
        </w:rPr>
        <w:t xml:space="preserve"> no</w:t>
      </w:r>
      <w:r w:rsidR="00DB7236">
        <w:rPr>
          <w:rFonts w:ascii="Times New Roman" w:hAnsi="Times New Roman" w:cs="Times New Roman"/>
          <w:sz w:val="24"/>
          <w:szCs w:val="24"/>
        </w:rPr>
        <w:t xml:space="preserve"> diagnostic</w:t>
      </w:r>
      <w:r w:rsidR="00032865">
        <w:rPr>
          <w:rFonts w:ascii="Times New Roman" w:hAnsi="Times New Roman" w:cs="Times New Roman"/>
          <w:sz w:val="24"/>
          <w:szCs w:val="24"/>
        </w:rPr>
        <w:t xml:space="preserve"> label can be applied to a claimant’s disorder</w:t>
      </w:r>
      <w:r w:rsidR="005A0D7C">
        <w:rPr>
          <w:rFonts w:ascii="Times New Roman" w:hAnsi="Times New Roman" w:cs="Times New Roman"/>
          <w:sz w:val="24"/>
          <w:szCs w:val="24"/>
        </w:rPr>
        <w:t xml:space="preserve">, whilst doing nothing to reduce the </w:t>
      </w:r>
      <w:r w:rsidR="00061671">
        <w:rPr>
          <w:rFonts w:ascii="Times New Roman" w:hAnsi="Times New Roman" w:cs="Times New Roman"/>
          <w:sz w:val="24"/>
          <w:szCs w:val="24"/>
        </w:rPr>
        <w:t>utility</w:t>
      </w:r>
      <w:r w:rsidR="005A0D7C">
        <w:rPr>
          <w:rFonts w:ascii="Times New Roman" w:hAnsi="Times New Roman" w:cs="Times New Roman"/>
          <w:sz w:val="24"/>
          <w:szCs w:val="24"/>
        </w:rPr>
        <w:t xml:space="preserve"> of such labels where they do exist.</w:t>
      </w:r>
      <w:r w:rsidR="00246754">
        <w:rPr>
          <w:rFonts w:ascii="Times New Roman" w:hAnsi="Times New Roman" w:cs="Times New Roman"/>
          <w:sz w:val="24"/>
          <w:szCs w:val="24"/>
        </w:rPr>
        <w:t xml:space="preserve"> The advantage of the current scheme is that there is magic in</w:t>
      </w:r>
      <w:r w:rsidR="00347907">
        <w:rPr>
          <w:rFonts w:ascii="Times New Roman" w:hAnsi="Times New Roman" w:cs="Times New Roman"/>
          <w:sz w:val="24"/>
          <w:szCs w:val="24"/>
        </w:rPr>
        <w:t xml:space="preserve"> </w:t>
      </w:r>
      <w:r w:rsidR="000039C1">
        <w:rPr>
          <w:rFonts w:ascii="Times New Roman" w:hAnsi="Times New Roman" w:cs="Times New Roman"/>
          <w:sz w:val="24"/>
          <w:szCs w:val="24"/>
        </w:rPr>
        <w:t xml:space="preserve">diagnostic </w:t>
      </w:r>
      <w:r w:rsidR="00246754">
        <w:rPr>
          <w:rFonts w:ascii="Times New Roman" w:hAnsi="Times New Roman" w:cs="Times New Roman"/>
          <w:sz w:val="24"/>
          <w:szCs w:val="24"/>
        </w:rPr>
        <w:t>label</w:t>
      </w:r>
      <w:r w:rsidR="00917C44">
        <w:rPr>
          <w:rFonts w:ascii="Times New Roman" w:hAnsi="Times New Roman" w:cs="Times New Roman"/>
          <w:sz w:val="24"/>
          <w:szCs w:val="24"/>
        </w:rPr>
        <w:t>s.</w:t>
      </w:r>
      <w:r w:rsidR="009C5F86">
        <w:rPr>
          <w:rFonts w:ascii="Times New Roman" w:hAnsi="Times New Roman" w:cs="Times New Roman"/>
          <w:sz w:val="24"/>
          <w:szCs w:val="24"/>
        </w:rPr>
        <w:t xml:space="preserve"> Although this</w:t>
      </w:r>
      <w:r w:rsidR="00032865">
        <w:rPr>
          <w:rFonts w:ascii="Times New Roman" w:hAnsi="Times New Roman" w:cs="Times New Roman"/>
          <w:sz w:val="24"/>
          <w:szCs w:val="24"/>
        </w:rPr>
        <w:t xml:space="preserve"> gives them an undeserved special quality</w:t>
      </w:r>
      <w:r w:rsidR="009C5F86">
        <w:rPr>
          <w:rFonts w:ascii="Times New Roman" w:hAnsi="Times New Roman" w:cs="Times New Roman"/>
          <w:sz w:val="24"/>
          <w:szCs w:val="24"/>
        </w:rPr>
        <w:t>,</w:t>
      </w:r>
      <w:r w:rsidR="009C5F86">
        <w:rPr>
          <w:rStyle w:val="FootnoteReference"/>
          <w:rFonts w:cs="Times New Roman"/>
          <w:szCs w:val="24"/>
        </w:rPr>
        <w:footnoteReference w:id="208"/>
      </w:r>
      <w:r w:rsidR="009C5F86">
        <w:rPr>
          <w:rFonts w:ascii="Times New Roman" w:hAnsi="Times New Roman" w:cs="Times New Roman"/>
          <w:sz w:val="24"/>
          <w:szCs w:val="24"/>
        </w:rPr>
        <w:t xml:space="preserve"> it at least </w:t>
      </w:r>
      <w:r w:rsidR="00917C44">
        <w:rPr>
          <w:rFonts w:ascii="Times New Roman" w:hAnsi="Times New Roman" w:cs="Times New Roman"/>
          <w:sz w:val="24"/>
          <w:szCs w:val="24"/>
        </w:rPr>
        <w:t>makes the identification of actionable mental harm straightforward.</w:t>
      </w:r>
      <w:r w:rsidR="00ED2455">
        <w:rPr>
          <w:rFonts w:ascii="Times New Roman" w:hAnsi="Times New Roman" w:cs="Times New Roman"/>
          <w:sz w:val="24"/>
          <w:szCs w:val="24"/>
        </w:rPr>
        <w:t xml:space="preserve"> </w:t>
      </w:r>
      <w:r w:rsidR="00157966">
        <w:rPr>
          <w:rFonts w:ascii="Times New Roman" w:hAnsi="Times New Roman" w:cs="Times New Roman"/>
          <w:sz w:val="24"/>
          <w:szCs w:val="24"/>
        </w:rPr>
        <w:t>By contrast, u</w:t>
      </w:r>
      <w:r w:rsidR="00AE27B4">
        <w:rPr>
          <w:rFonts w:ascii="Times New Roman" w:hAnsi="Times New Roman" w:cs="Times New Roman"/>
          <w:sz w:val="24"/>
          <w:szCs w:val="24"/>
        </w:rPr>
        <w:t xml:space="preserve">nder a purportedly ‘disability-neutral’ scheme, this task becomes much harder. </w:t>
      </w:r>
    </w:p>
    <w:p w14:paraId="0408BF1F" w14:textId="6B67D7EC" w:rsidR="00206EA9" w:rsidRDefault="00CC6DAA" w:rsidP="00445509">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Mulheron suggests that medical science is now ‘sufficiently developed to assist the court to decide whether the necessary threshold of “mental injury” has been met’.</w:t>
      </w:r>
      <w:r w:rsidR="00E87324">
        <w:rPr>
          <w:rStyle w:val="FootnoteReference"/>
          <w:rFonts w:cs="Times New Roman"/>
          <w:szCs w:val="24"/>
        </w:rPr>
        <w:footnoteReference w:id="209"/>
      </w:r>
      <w:r w:rsidR="00E87324">
        <w:rPr>
          <w:rFonts w:ascii="Times New Roman" w:hAnsi="Times New Roman" w:cs="Times New Roman"/>
          <w:sz w:val="24"/>
          <w:szCs w:val="24"/>
        </w:rPr>
        <w:t xml:space="preserve"> The problem is </w:t>
      </w:r>
      <w:r w:rsidR="008F7475">
        <w:rPr>
          <w:rFonts w:ascii="Times New Roman" w:hAnsi="Times New Roman" w:cs="Times New Roman"/>
          <w:sz w:val="24"/>
          <w:szCs w:val="24"/>
        </w:rPr>
        <w:t>this</w:t>
      </w:r>
      <w:r w:rsidR="00E87324">
        <w:rPr>
          <w:rFonts w:ascii="Times New Roman" w:hAnsi="Times New Roman" w:cs="Times New Roman"/>
          <w:sz w:val="24"/>
          <w:szCs w:val="24"/>
        </w:rPr>
        <w:t xml:space="preserve"> still suggests that there is a</w:t>
      </w:r>
      <w:r w:rsidR="000039C1">
        <w:rPr>
          <w:rFonts w:ascii="Times New Roman" w:hAnsi="Times New Roman" w:cs="Times New Roman"/>
          <w:sz w:val="24"/>
          <w:szCs w:val="24"/>
        </w:rPr>
        <w:t xml:space="preserve"> residual</w:t>
      </w:r>
      <w:r w:rsidR="00E87324">
        <w:rPr>
          <w:rFonts w:ascii="Times New Roman" w:hAnsi="Times New Roman" w:cs="Times New Roman"/>
          <w:sz w:val="24"/>
          <w:szCs w:val="24"/>
        </w:rPr>
        <w:t xml:space="preserve"> role for psychiatric or psychological experts </w:t>
      </w:r>
      <w:r w:rsidR="006D5BD3">
        <w:rPr>
          <w:rFonts w:ascii="Times New Roman" w:hAnsi="Times New Roman" w:cs="Times New Roman"/>
          <w:sz w:val="24"/>
          <w:szCs w:val="24"/>
        </w:rPr>
        <w:t xml:space="preserve">to attribute </w:t>
      </w:r>
      <w:r w:rsidR="001B4AC1">
        <w:rPr>
          <w:rFonts w:ascii="Times New Roman" w:hAnsi="Times New Roman" w:cs="Times New Roman"/>
          <w:sz w:val="24"/>
          <w:szCs w:val="24"/>
        </w:rPr>
        <w:t>a particular disorder or condition to the claimant</w:t>
      </w:r>
      <w:r w:rsidR="005B64AD">
        <w:rPr>
          <w:rFonts w:ascii="Times New Roman" w:hAnsi="Times New Roman" w:cs="Times New Roman"/>
          <w:sz w:val="24"/>
          <w:szCs w:val="24"/>
        </w:rPr>
        <w:t xml:space="preserve"> in order to evidence</w:t>
      </w:r>
      <w:r w:rsidR="00322370">
        <w:rPr>
          <w:rFonts w:ascii="Times New Roman" w:hAnsi="Times New Roman" w:cs="Times New Roman"/>
          <w:sz w:val="24"/>
          <w:szCs w:val="24"/>
        </w:rPr>
        <w:t xml:space="preserve"> her </w:t>
      </w:r>
      <w:r w:rsidR="00860DD1">
        <w:rPr>
          <w:rFonts w:ascii="Times New Roman" w:hAnsi="Times New Roman" w:cs="Times New Roman"/>
          <w:sz w:val="24"/>
          <w:szCs w:val="24"/>
        </w:rPr>
        <w:t>d</w:t>
      </w:r>
      <w:r w:rsidR="00322370">
        <w:rPr>
          <w:rFonts w:ascii="Times New Roman" w:hAnsi="Times New Roman" w:cs="Times New Roman"/>
          <w:sz w:val="24"/>
          <w:szCs w:val="24"/>
        </w:rPr>
        <w:t>amage.</w:t>
      </w:r>
      <w:r w:rsidR="00FC2772">
        <w:rPr>
          <w:rFonts w:ascii="Times New Roman" w:hAnsi="Times New Roman" w:cs="Times New Roman"/>
          <w:sz w:val="24"/>
          <w:szCs w:val="24"/>
        </w:rPr>
        <w:t xml:space="preserve"> </w:t>
      </w:r>
      <w:r w:rsidR="007A6D54">
        <w:rPr>
          <w:rFonts w:ascii="Times New Roman" w:hAnsi="Times New Roman" w:cs="Times New Roman"/>
          <w:sz w:val="24"/>
          <w:szCs w:val="24"/>
        </w:rPr>
        <w:t>If so,</w:t>
      </w:r>
      <w:r w:rsidR="00CA1186">
        <w:rPr>
          <w:rFonts w:ascii="Times New Roman" w:hAnsi="Times New Roman" w:cs="Times New Roman"/>
          <w:sz w:val="24"/>
          <w:szCs w:val="24"/>
        </w:rPr>
        <w:t xml:space="preserve"> the practice of labelling may creep into an</w:t>
      </w:r>
      <w:r w:rsidR="007A6D54">
        <w:rPr>
          <w:rFonts w:ascii="Times New Roman" w:hAnsi="Times New Roman" w:cs="Times New Roman"/>
          <w:sz w:val="24"/>
          <w:szCs w:val="24"/>
        </w:rPr>
        <w:t xml:space="preserve"> ostensibly ‘disability-neutral’ </w:t>
      </w:r>
      <w:r w:rsidR="00CA1186">
        <w:rPr>
          <w:rFonts w:ascii="Times New Roman" w:hAnsi="Times New Roman" w:cs="Times New Roman"/>
          <w:sz w:val="24"/>
          <w:szCs w:val="24"/>
        </w:rPr>
        <w:t>framework, th</w:t>
      </w:r>
      <w:r w:rsidR="00E911C9">
        <w:rPr>
          <w:rFonts w:ascii="Times New Roman" w:hAnsi="Times New Roman" w:cs="Times New Roman"/>
          <w:sz w:val="24"/>
          <w:szCs w:val="24"/>
        </w:rPr>
        <w:t xml:space="preserve">us failing to </w:t>
      </w:r>
      <w:r w:rsidR="00254389">
        <w:rPr>
          <w:rFonts w:ascii="Times New Roman" w:hAnsi="Times New Roman" w:cs="Times New Roman"/>
          <w:sz w:val="24"/>
          <w:szCs w:val="24"/>
        </w:rPr>
        <w:t xml:space="preserve">tackle the very discrimination </w:t>
      </w:r>
      <w:r w:rsidR="00E31D14">
        <w:rPr>
          <w:rFonts w:ascii="Times New Roman" w:hAnsi="Times New Roman" w:cs="Times New Roman"/>
          <w:sz w:val="24"/>
          <w:szCs w:val="24"/>
        </w:rPr>
        <w:t>against persons with mental disabilities to which the CRPD takes exception. It is true that the inclusion of ‘emotional distress’ as a type of actionable damage might mitigate this problem</w:t>
      </w:r>
      <w:r w:rsidR="003F22A9">
        <w:rPr>
          <w:rFonts w:ascii="Times New Roman" w:hAnsi="Times New Roman" w:cs="Times New Roman"/>
          <w:sz w:val="24"/>
          <w:szCs w:val="24"/>
        </w:rPr>
        <w:t>.</w:t>
      </w:r>
      <w:r w:rsidR="00621D22">
        <w:rPr>
          <w:rFonts w:ascii="Times New Roman" w:hAnsi="Times New Roman" w:cs="Times New Roman"/>
          <w:sz w:val="24"/>
          <w:szCs w:val="24"/>
        </w:rPr>
        <w:t xml:space="preserve"> But</w:t>
      </w:r>
      <w:r w:rsidR="00C35881">
        <w:rPr>
          <w:rFonts w:ascii="Times New Roman" w:hAnsi="Times New Roman" w:cs="Times New Roman"/>
          <w:sz w:val="24"/>
          <w:szCs w:val="24"/>
        </w:rPr>
        <w:t xml:space="preserve"> this</w:t>
      </w:r>
      <w:r w:rsidR="00621D22">
        <w:rPr>
          <w:rFonts w:ascii="Times New Roman" w:hAnsi="Times New Roman" w:cs="Times New Roman"/>
          <w:sz w:val="24"/>
          <w:szCs w:val="24"/>
        </w:rPr>
        <w:t xml:space="preserve"> raises an obvious question about </w:t>
      </w:r>
      <w:r w:rsidR="00621D22">
        <w:rPr>
          <w:rFonts w:ascii="Times New Roman" w:hAnsi="Times New Roman" w:cs="Times New Roman"/>
          <w:i/>
          <w:sz w:val="24"/>
          <w:szCs w:val="24"/>
        </w:rPr>
        <w:t xml:space="preserve">how </w:t>
      </w:r>
      <w:r w:rsidR="00621D22">
        <w:rPr>
          <w:rFonts w:ascii="Times New Roman" w:hAnsi="Times New Roman" w:cs="Times New Roman"/>
          <w:sz w:val="24"/>
          <w:szCs w:val="24"/>
        </w:rPr>
        <w:t>a claimant might</w:t>
      </w:r>
      <w:r w:rsidR="00C35881">
        <w:rPr>
          <w:rFonts w:ascii="Times New Roman" w:hAnsi="Times New Roman" w:cs="Times New Roman"/>
          <w:sz w:val="24"/>
          <w:szCs w:val="24"/>
        </w:rPr>
        <w:t xml:space="preserve"> reliably</w:t>
      </w:r>
      <w:r w:rsidR="00621D22">
        <w:rPr>
          <w:rFonts w:ascii="Times New Roman" w:hAnsi="Times New Roman" w:cs="Times New Roman"/>
          <w:sz w:val="24"/>
          <w:szCs w:val="24"/>
        </w:rPr>
        <w:t xml:space="preserve"> prove her ‘emotional distress’</w:t>
      </w:r>
      <w:r w:rsidR="00C35881">
        <w:rPr>
          <w:rFonts w:ascii="Times New Roman" w:hAnsi="Times New Roman" w:cs="Times New Roman"/>
          <w:sz w:val="24"/>
          <w:szCs w:val="24"/>
        </w:rPr>
        <w:t xml:space="preserve">. The current practice of applying a psychiatric label </w:t>
      </w:r>
      <w:r w:rsidR="003F7303">
        <w:rPr>
          <w:rFonts w:ascii="Times New Roman" w:hAnsi="Times New Roman" w:cs="Times New Roman"/>
          <w:sz w:val="24"/>
          <w:szCs w:val="24"/>
        </w:rPr>
        <w:t>to a claimant’s condition</w:t>
      </w:r>
      <w:r w:rsidR="00C35881">
        <w:rPr>
          <w:rFonts w:ascii="Times New Roman" w:hAnsi="Times New Roman" w:cs="Times New Roman"/>
          <w:sz w:val="24"/>
          <w:szCs w:val="24"/>
        </w:rPr>
        <w:t xml:space="preserve"> </w:t>
      </w:r>
      <w:r w:rsidR="003F7303">
        <w:rPr>
          <w:rFonts w:ascii="Times New Roman" w:hAnsi="Times New Roman" w:cs="Times New Roman"/>
          <w:sz w:val="24"/>
          <w:szCs w:val="24"/>
        </w:rPr>
        <w:t>lend</w:t>
      </w:r>
      <w:r w:rsidR="00C35881">
        <w:rPr>
          <w:rFonts w:ascii="Times New Roman" w:hAnsi="Times New Roman" w:cs="Times New Roman"/>
          <w:sz w:val="24"/>
          <w:szCs w:val="24"/>
        </w:rPr>
        <w:t xml:space="preserve">s probative force to her claim. Proving ‘emotional distress’ </w:t>
      </w:r>
      <w:r w:rsidR="00C35881">
        <w:rPr>
          <w:rFonts w:ascii="Times New Roman" w:hAnsi="Times New Roman" w:cs="Times New Roman"/>
          <w:sz w:val="24"/>
          <w:szCs w:val="24"/>
        </w:rPr>
        <w:lastRenderedPageBreak/>
        <w:t xml:space="preserve">would presumably require something more nuanced and less amenable to objective justification. If so then the impulse to apply </w:t>
      </w:r>
      <w:r w:rsidR="00C35881" w:rsidRPr="0038566E">
        <w:rPr>
          <w:rFonts w:ascii="Times New Roman" w:hAnsi="Times New Roman" w:cs="Times New Roman"/>
          <w:i/>
          <w:sz w:val="24"/>
          <w:szCs w:val="24"/>
        </w:rPr>
        <w:t>some kind</w:t>
      </w:r>
      <w:r w:rsidR="00C35881">
        <w:rPr>
          <w:rFonts w:ascii="Times New Roman" w:hAnsi="Times New Roman" w:cs="Times New Roman"/>
          <w:sz w:val="24"/>
          <w:szCs w:val="24"/>
        </w:rPr>
        <w:t xml:space="preserve"> of label may </w:t>
      </w:r>
      <w:r w:rsidR="00F32110">
        <w:rPr>
          <w:rFonts w:ascii="Times New Roman" w:hAnsi="Times New Roman" w:cs="Times New Roman"/>
          <w:sz w:val="24"/>
          <w:szCs w:val="24"/>
        </w:rPr>
        <w:t>endure</w:t>
      </w:r>
      <w:r w:rsidR="00C35881">
        <w:rPr>
          <w:rFonts w:ascii="Times New Roman" w:hAnsi="Times New Roman" w:cs="Times New Roman"/>
          <w:sz w:val="24"/>
          <w:szCs w:val="24"/>
        </w:rPr>
        <w:t xml:space="preserve">, thereby potentially </w:t>
      </w:r>
      <w:r w:rsidR="00FB6A91">
        <w:rPr>
          <w:rFonts w:ascii="Times New Roman" w:hAnsi="Times New Roman" w:cs="Times New Roman"/>
          <w:sz w:val="24"/>
          <w:szCs w:val="24"/>
        </w:rPr>
        <w:t>render</w:t>
      </w:r>
      <w:r w:rsidR="00C35881">
        <w:rPr>
          <w:rFonts w:ascii="Times New Roman" w:hAnsi="Times New Roman" w:cs="Times New Roman"/>
          <w:sz w:val="24"/>
          <w:szCs w:val="24"/>
        </w:rPr>
        <w:t>ing</w:t>
      </w:r>
      <w:r w:rsidR="00FB6A91">
        <w:rPr>
          <w:rFonts w:ascii="Times New Roman" w:hAnsi="Times New Roman" w:cs="Times New Roman"/>
          <w:sz w:val="24"/>
          <w:szCs w:val="24"/>
        </w:rPr>
        <w:t xml:space="preserve"> </w:t>
      </w:r>
      <w:r w:rsidR="00C35881">
        <w:rPr>
          <w:rFonts w:ascii="Times New Roman" w:hAnsi="Times New Roman" w:cs="Times New Roman"/>
          <w:sz w:val="24"/>
          <w:szCs w:val="24"/>
        </w:rPr>
        <w:t>‘</w:t>
      </w:r>
      <w:r w:rsidR="00FB6A91">
        <w:rPr>
          <w:rFonts w:ascii="Times New Roman" w:hAnsi="Times New Roman" w:cs="Times New Roman"/>
          <w:sz w:val="24"/>
          <w:szCs w:val="24"/>
        </w:rPr>
        <w:t>disability-neutral</w:t>
      </w:r>
      <w:r w:rsidR="00C35881">
        <w:rPr>
          <w:rFonts w:ascii="Times New Roman" w:hAnsi="Times New Roman" w:cs="Times New Roman"/>
          <w:sz w:val="24"/>
          <w:szCs w:val="24"/>
        </w:rPr>
        <w:t>ity’</w:t>
      </w:r>
      <w:r w:rsidR="00FB6A91">
        <w:rPr>
          <w:rFonts w:ascii="Times New Roman" w:hAnsi="Times New Roman" w:cs="Times New Roman"/>
          <w:sz w:val="24"/>
          <w:szCs w:val="24"/>
        </w:rPr>
        <w:t xml:space="preserve"> nothing more than a legal fiction.</w:t>
      </w:r>
      <w:r w:rsidR="00621D22">
        <w:rPr>
          <w:rFonts w:ascii="Times New Roman" w:hAnsi="Times New Roman" w:cs="Times New Roman"/>
          <w:sz w:val="24"/>
          <w:szCs w:val="24"/>
        </w:rPr>
        <w:t xml:space="preserve"> </w:t>
      </w:r>
      <w:r w:rsidR="00FF4C58">
        <w:rPr>
          <w:rFonts w:ascii="Times New Roman" w:hAnsi="Times New Roman" w:cs="Times New Roman"/>
          <w:sz w:val="24"/>
          <w:szCs w:val="24"/>
        </w:rPr>
        <w:t xml:space="preserve">Perhaps not all claimants who </w:t>
      </w:r>
      <w:r w:rsidR="00D54E54">
        <w:rPr>
          <w:rFonts w:ascii="Times New Roman" w:hAnsi="Times New Roman" w:cs="Times New Roman"/>
          <w:sz w:val="24"/>
          <w:szCs w:val="24"/>
        </w:rPr>
        <w:t>suffer</w:t>
      </w:r>
      <w:r w:rsidR="00FF4C58">
        <w:rPr>
          <w:rFonts w:ascii="Times New Roman" w:hAnsi="Times New Roman" w:cs="Times New Roman"/>
          <w:sz w:val="24"/>
          <w:szCs w:val="24"/>
        </w:rPr>
        <w:t xml:space="preserve"> ‘grievous mental harm’ will have a psychosocial disability, but if everyone with a psychosocial disability </w:t>
      </w:r>
      <w:r w:rsidR="00D54E54">
        <w:rPr>
          <w:rFonts w:ascii="Times New Roman" w:hAnsi="Times New Roman" w:cs="Times New Roman"/>
          <w:sz w:val="24"/>
          <w:szCs w:val="24"/>
        </w:rPr>
        <w:t>suffers</w:t>
      </w:r>
      <w:r w:rsidR="00FF4C58">
        <w:rPr>
          <w:rFonts w:ascii="Times New Roman" w:hAnsi="Times New Roman" w:cs="Times New Roman"/>
          <w:sz w:val="24"/>
          <w:szCs w:val="24"/>
        </w:rPr>
        <w:t xml:space="preserve"> ‘grievous mental harm’</w:t>
      </w:r>
      <w:r w:rsidR="00EA13C5">
        <w:rPr>
          <w:rFonts w:ascii="Times New Roman" w:hAnsi="Times New Roman" w:cs="Times New Roman"/>
          <w:sz w:val="24"/>
          <w:szCs w:val="24"/>
        </w:rPr>
        <w:t>,</w:t>
      </w:r>
      <w:r w:rsidR="00FF4C58">
        <w:rPr>
          <w:rFonts w:ascii="Times New Roman" w:hAnsi="Times New Roman" w:cs="Times New Roman"/>
          <w:sz w:val="24"/>
          <w:szCs w:val="24"/>
        </w:rPr>
        <w:t xml:space="preserve"> and there</w:t>
      </w:r>
      <w:r w:rsidR="00DD65B8">
        <w:rPr>
          <w:rFonts w:ascii="Times New Roman" w:hAnsi="Times New Roman" w:cs="Times New Roman"/>
          <w:sz w:val="24"/>
          <w:szCs w:val="24"/>
        </w:rPr>
        <w:t>upon</w:t>
      </w:r>
      <w:r w:rsidR="00FF4C58">
        <w:rPr>
          <w:rFonts w:ascii="Times New Roman" w:hAnsi="Times New Roman" w:cs="Times New Roman"/>
          <w:sz w:val="24"/>
          <w:szCs w:val="24"/>
        </w:rPr>
        <w:t xml:space="preserve"> experiences differential treatment</w:t>
      </w:r>
      <w:r w:rsidR="00EA13C5">
        <w:rPr>
          <w:rFonts w:ascii="Times New Roman" w:hAnsi="Times New Roman" w:cs="Times New Roman"/>
          <w:sz w:val="24"/>
          <w:szCs w:val="24"/>
        </w:rPr>
        <w:t>,</w:t>
      </w:r>
      <w:r w:rsidR="00FF4C58">
        <w:rPr>
          <w:rFonts w:ascii="Times New Roman" w:hAnsi="Times New Roman" w:cs="Times New Roman"/>
          <w:sz w:val="24"/>
          <w:szCs w:val="24"/>
        </w:rPr>
        <w:t xml:space="preserve"> then the law will still</w:t>
      </w:r>
      <w:r w:rsidR="00570C59">
        <w:rPr>
          <w:rFonts w:ascii="Times New Roman" w:hAnsi="Times New Roman" w:cs="Times New Roman"/>
          <w:sz w:val="24"/>
          <w:szCs w:val="24"/>
        </w:rPr>
        <w:t xml:space="preserve"> indirectly</w:t>
      </w:r>
      <w:r w:rsidR="00FF4C58">
        <w:rPr>
          <w:rFonts w:ascii="Times New Roman" w:hAnsi="Times New Roman" w:cs="Times New Roman"/>
          <w:sz w:val="24"/>
          <w:szCs w:val="24"/>
        </w:rPr>
        <w:t xml:space="preserve"> discriminate on</w:t>
      </w:r>
      <w:r w:rsidR="00C35881">
        <w:rPr>
          <w:rFonts w:ascii="Times New Roman" w:hAnsi="Times New Roman" w:cs="Times New Roman"/>
          <w:sz w:val="24"/>
          <w:szCs w:val="24"/>
        </w:rPr>
        <w:t xml:space="preserve"> an improper</w:t>
      </w:r>
      <w:r w:rsidR="00FF4C58">
        <w:rPr>
          <w:rFonts w:ascii="Times New Roman" w:hAnsi="Times New Roman" w:cs="Times New Roman"/>
          <w:sz w:val="24"/>
          <w:szCs w:val="24"/>
        </w:rPr>
        <w:t xml:space="preserve"> basis.</w:t>
      </w:r>
    </w:p>
    <w:p w14:paraId="163EBB8B" w14:textId="001F611B" w:rsidR="00FF7731" w:rsidRPr="00552A45" w:rsidRDefault="00B75A46" w:rsidP="00D97F77">
      <w:pPr>
        <w:pStyle w:val="ListParagraph"/>
        <w:numPr>
          <w:ilvl w:val="0"/>
          <w:numId w:val="44"/>
        </w:numPr>
        <w:tabs>
          <w:tab w:val="left" w:pos="7864"/>
          <w:tab w:val="right" w:pos="9026"/>
        </w:tabs>
        <w:rPr>
          <w:rFonts w:ascii="Times New Roman" w:hAnsi="Times New Roman" w:cs="Times New Roman"/>
          <w:i/>
          <w:sz w:val="24"/>
          <w:szCs w:val="24"/>
        </w:rPr>
      </w:pPr>
      <w:r w:rsidRPr="00552A45">
        <w:rPr>
          <w:rFonts w:ascii="Times New Roman" w:hAnsi="Times New Roman" w:cs="Times New Roman"/>
          <w:i/>
          <w:sz w:val="24"/>
          <w:szCs w:val="24"/>
        </w:rPr>
        <w:t>Conceptual u</w:t>
      </w:r>
      <w:r w:rsidR="00E9101F" w:rsidRPr="00552A45">
        <w:rPr>
          <w:rFonts w:ascii="Times New Roman" w:hAnsi="Times New Roman" w:cs="Times New Roman"/>
          <w:i/>
          <w:sz w:val="24"/>
          <w:szCs w:val="24"/>
        </w:rPr>
        <w:t>nification</w:t>
      </w:r>
    </w:p>
    <w:p w14:paraId="7D219A16" w14:textId="076080C1" w:rsidR="00420BCB" w:rsidRDefault="00C57E19" w:rsidP="00435083">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 xml:space="preserve">The </w:t>
      </w:r>
      <w:r w:rsidR="002476F8">
        <w:rPr>
          <w:rFonts w:ascii="Times New Roman" w:hAnsi="Times New Roman" w:cs="Times New Roman"/>
          <w:sz w:val="24"/>
          <w:szCs w:val="24"/>
        </w:rPr>
        <w:t xml:space="preserve">fourth option </w:t>
      </w:r>
      <w:r w:rsidR="00E9101F">
        <w:rPr>
          <w:rFonts w:ascii="Times New Roman" w:hAnsi="Times New Roman" w:cs="Times New Roman"/>
          <w:sz w:val="24"/>
          <w:szCs w:val="24"/>
        </w:rPr>
        <w:t xml:space="preserve">is to </w:t>
      </w:r>
      <w:r w:rsidR="00B75A46">
        <w:rPr>
          <w:rFonts w:ascii="Times New Roman" w:hAnsi="Times New Roman" w:cs="Times New Roman"/>
          <w:sz w:val="24"/>
          <w:szCs w:val="24"/>
        </w:rPr>
        <w:t xml:space="preserve">unify different conceptions of damage </w:t>
      </w:r>
      <w:r w:rsidR="00D97058">
        <w:rPr>
          <w:rFonts w:ascii="Times New Roman" w:hAnsi="Times New Roman" w:cs="Times New Roman"/>
          <w:sz w:val="24"/>
          <w:szCs w:val="24"/>
        </w:rPr>
        <w:t>within a single duty of care.</w:t>
      </w:r>
      <w:r w:rsidR="001D0958">
        <w:rPr>
          <w:rFonts w:ascii="Times New Roman" w:hAnsi="Times New Roman" w:cs="Times New Roman"/>
          <w:sz w:val="24"/>
          <w:szCs w:val="24"/>
        </w:rPr>
        <w:t xml:space="preserve"> Rather than employing different rules depending on whether a claimant’s </w:t>
      </w:r>
      <w:r w:rsidR="009D53C0">
        <w:rPr>
          <w:rFonts w:ascii="Times New Roman" w:hAnsi="Times New Roman" w:cs="Times New Roman"/>
          <w:sz w:val="24"/>
          <w:szCs w:val="24"/>
        </w:rPr>
        <w:t>injury</w:t>
      </w:r>
      <w:r w:rsidR="001D0958">
        <w:rPr>
          <w:rFonts w:ascii="Times New Roman" w:hAnsi="Times New Roman" w:cs="Times New Roman"/>
          <w:sz w:val="24"/>
          <w:szCs w:val="24"/>
        </w:rPr>
        <w:t xml:space="preserve"> is physical or psychiatric,</w:t>
      </w:r>
      <w:r w:rsidR="00E9101F">
        <w:rPr>
          <w:rFonts w:ascii="Times New Roman" w:hAnsi="Times New Roman" w:cs="Times New Roman"/>
          <w:sz w:val="24"/>
          <w:szCs w:val="24"/>
        </w:rPr>
        <w:t xml:space="preserve"> </w:t>
      </w:r>
      <w:r w:rsidR="001D0958">
        <w:rPr>
          <w:rFonts w:ascii="Times New Roman" w:hAnsi="Times New Roman" w:cs="Times New Roman"/>
          <w:sz w:val="24"/>
          <w:szCs w:val="24"/>
        </w:rPr>
        <w:t>the court would simply ask whether</w:t>
      </w:r>
      <w:r w:rsidR="009D53C0">
        <w:rPr>
          <w:rFonts w:ascii="Times New Roman" w:hAnsi="Times New Roman" w:cs="Times New Roman"/>
          <w:sz w:val="24"/>
          <w:szCs w:val="24"/>
        </w:rPr>
        <w:t xml:space="preserve"> </w:t>
      </w:r>
      <w:r w:rsidR="009D53C0" w:rsidRPr="0038566E">
        <w:rPr>
          <w:rFonts w:ascii="Times New Roman" w:hAnsi="Times New Roman" w:cs="Times New Roman"/>
          <w:i/>
          <w:iCs/>
          <w:sz w:val="24"/>
          <w:szCs w:val="24"/>
        </w:rPr>
        <w:t>personal injury</w:t>
      </w:r>
      <w:r w:rsidR="009D53C0">
        <w:rPr>
          <w:rFonts w:ascii="Times New Roman" w:hAnsi="Times New Roman" w:cs="Times New Roman"/>
          <w:sz w:val="24"/>
          <w:szCs w:val="24"/>
        </w:rPr>
        <w:t xml:space="preserve"> was reasonably foreseeable in the given circumstances</w:t>
      </w:r>
      <w:r w:rsidR="00752A85">
        <w:rPr>
          <w:rFonts w:ascii="Times New Roman" w:hAnsi="Times New Roman" w:cs="Times New Roman"/>
          <w:sz w:val="24"/>
          <w:szCs w:val="24"/>
        </w:rPr>
        <w:t>.</w:t>
      </w:r>
      <w:r w:rsidR="002A510C">
        <w:rPr>
          <w:rFonts w:ascii="Times New Roman" w:hAnsi="Times New Roman" w:cs="Times New Roman"/>
          <w:sz w:val="24"/>
          <w:szCs w:val="24"/>
        </w:rPr>
        <w:t xml:space="preserve"> If so, then</w:t>
      </w:r>
      <w:r w:rsidR="00AC1526">
        <w:rPr>
          <w:rFonts w:ascii="Times New Roman" w:hAnsi="Times New Roman" w:cs="Times New Roman"/>
          <w:sz w:val="24"/>
          <w:szCs w:val="24"/>
        </w:rPr>
        <w:t xml:space="preserve"> </w:t>
      </w:r>
      <w:r w:rsidR="00934CDE">
        <w:rPr>
          <w:rFonts w:ascii="Times New Roman" w:hAnsi="Times New Roman" w:cs="Times New Roman"/>
          <w:sz w:val="24"/>
          <w:szCs w:val="24"/>
        </w:rPr>
        <w:t>the defendant would owe the claimant a duty of care.</w:t>
      </w:r>
      <w:r w:rsidR="001F1282">
        <w:rPr>
          <w:rFonts w:ascii="Times New Roman" w:hAnsi="Times New Roman" w:cs="Times New Roman"/>
          <w:sz w:val="24"/>
          <w:szCs w:val="24"/>
        </w:rPr>
        <w:t xml:space="preserve"> </w:t>
      </w:r>
      <w:r w:rsidR="00B662B5">
        <w:rPr>
          <w:rFonts w:ascii="Times New Roman" w:hAnsi="Times New Roman" w:cs="Times New Roman"/>
          <w:sz w:val="24"/>
          <w:szCs w:val="24"/>
        </w:rPr>
        <w:t xml:space="preserve">‘Personal injury’ in this context </w:t>
      </w:r>
      <w:r w:rsidR="00C83CD3">
        <w:rPr>
          <w:rFonts w:ascii="Times New Roman" w:hAnsi="Times New Roman" w:cs="Times New Roman"/>
          <w:sz w:val="24"/>
          <w:szCs w:val="24"/>
        </w:rPr>
        <w:t>would</w:t>
      </w:r>
      <w:r w:rsidR="00BC7E12">
        <w:rPr>
          <w:rFonts w:ascii="Times New Roman" w:hAnsi="Times New Roman" w:cs="Times New Roman"/>
          <w:sz w:val="24"/>
          <w:szCs w:val="24"/>
        </w:rPr>
        <w:t xml:space="preserve">, as in </w:t>
      </w:r>
      <w:r w:rsidR="00BC7E12">
        <w:rPr>
          <w:rFonts w:ascii="Times New Roman" w:hAnsi="Times New Roman" w:cs="Times New Roman"/>
          <w:i/>
          <w:iCs/>
          <w:sz w:val="24"/>
          <w:szCs w:val="24"/>
        </w:rPr>
        <w:t>Page</w:t>
      </w:r>
      <w:r w:rsidR="00BC7E12">
        <w:rPr>
          <w:rFonts w:ascii="Times New Roman" w:hAnsi="Times New Roman" w:cs="Times New Roman"/>
          <w:sz w:val="24"/>
          <w:szCs w:val="24"/>
        </w:rPr>
        <w:t>,</w:t>
      </w:r>
      <w:r w:rsidR="00C83CD3">
        <w:rPr>
          <w:rFonts w:ascii="Times New Roman" w:hAnsi="Times New Roman" w:cs="Times New Roman"/>
          <w:sz w:val="24"/>
          <w:szCs w:val="24"/>
        </w:rPr>
        <w:t xml:space="preserve"> include physical and psychiatric injuries</w:t>
      </w:r>
      <w:r w:rsidR="001F1282">
        <w:rPr>
          <w:rFonts w:ascii="Times New Roman" w:hAnsi="Times New Roman" w:cs="Times New Roman"/>
          <w:sz w:val="24"/>
          <w:szCs w:val="24"/>
        </w:rPr>
        <w:t xml:space="preserve"> and perhaps even severe emotional distress</w:t>
      </w:r>
      <w:r w:rsidR="00F32110">
        <w:rPr>
          <w:rFonts w:ascii="Times New Roman" w:hAnsi="Times New Roman" w:cs="Times New Roman"/>
          <w:sz w:val="24"/>
          <w:szCs w:val="24"/>
        </w:rPr>
        <w:t xml:space="preserve"> (assuming one can evidence such a thing without requiring the attribution of an impairment)</w:t>
      </w:r>
      <w:r w:rsidR="001F1282">
        <w:rPr>
          <w:rFonts w:ascii="Times New Roman" w:hAnsi="Times New Roman" w:cs="Times New Roman"/>
          <w:sz w:val="24"/>
          <w:szCs w:val="24"/>
        </w:rPr>
        <w:t xml:space="preserve">, thereby decoupling </w:t>
      </w:r>
      <w:r w:rsidR="001E2F57">
        <w:rPr>
          <w:rFonts w:ascii="Times New Roman" w:hAnsi="Times New Roman" w:cs="Times New Roman"/>
          <w:sz w:val="24"/>
          <w:szCs w:val="24"/>
        </w:rPr>
        <w:t xml:space="preserve">conceptions of actionable damage </w:t>
      </w:r>
      <w:r w:rsidR="0056496E">
        <w:rPr>
          <w:rFonts w:ascii="Times New Roman" w:hAnsi="Times New Roman" w:cs="Times New Roman"/>
          <w:sz w:val="24"/>
          <w:szCs w:val="24"/>
        </w:rPr>
        <w:t>from</w:t>
      </w:r>
      <w:r w:rsidR="005316CC">
        <w:rPr>
          <w:rFonts w:ascii="Times New Roman" w:hAnsi="Times New Roman" w:cs="Times New Roman"/>
          <w:sz w:val="24"/>
          <w:szCs w:val="24"/>
        </w:rPr>
        <w:t xml:space="preserve"> psychosocial disabilities</w:t>
      </w:r>
      <w:r w:rsidR="0056496E">
        <w:rPr>
          <w:rFonts w:ascii="Times New Roman" w:hAnsi="Times New Roman" w:cs="Times New Roman"/>
          <w:sz w:val="24"/>
          <w:szCs w:val="24"/>
        </w:rPr>
        <w:t>.</w:t>
      </w:r>
      <w:r w:rsidR="00572080">
        <w:rPr>
          <w:rFonts w:ascii="Times New Roman" w:hAnsi="Times New Roman" w:cs="Times New Roman"/>
          <w:sz w:val="24"/>
          <w:szCs w:val="24"/>
        </w:rPr>
        <w:t xml:space="preserve"> This in turn would render unnecessary </w:t>
      </w:r>
      <w:r w:rsidR="00515A8E">
        <w:rPr>
          <w:rFonts w:ascii="Times New Roman" w:hAnsi="Times New Roman" w:cs="Times New Roman"/>
          <w:sz w:val="24"/>
          <w:szCs w:val="24"/>
        </w:rPr>
        <w:t>the distinction between primary and secondary victims</w:t>
      </w:r>
      <w:r w:rsidR="00D6189A">
        <w:rPr>
          <w:rFonts w:ascii="Times New Roman" w:hAnsi="Times New Roman" w:cs="Times New Roman"/>
          <w:sz w:val="24"/>
          <w:szCs w:val="24"/>
        </w:rPr>
        <w:t xml:space="preserve">, since </w:t>
      </w:r>
      <w:r w:rsidR="002E3A0D">
        <w:rPr>
          <w:rFonts w:ascii="Times New Roman" w:hAnsi="Times New Roman" w:cs="Times New Roman"/>
          <w:sz w:val="24"/>
          <w:szCs w:val="24"/>
        </w:rPr>
        <w:t>there would be no need to</w:t>
      </w:r>
      <w:r w:rsidR="000249E9">
        <w:rPr>
          <w:rFonts w:ascii="Times New Roman" w:hAnsi="Times New Roman" w:cs="Times New Roman"/>
          <w:sz w:val="24"/>
          <w:szCs w:val="24"/>
        </w:rPr>
        <w:t xml:space="preserve"> treat claimants any differently on the basis of their disability and how it was caused.</w:t>
      </w:r>
      <w:r w:rsidR="0024495A">
        <w:rPr>
          <w:rFonts w:ascii="Times New Roman" w:hAnsi="Times New Roman" w:cs="Times New Roman"/>
          <w:sz w:val="24"/>
          <w:szCs w:val="24"/>
        </w:rPr>
        <w:t xml:space="preserve"> </w:t>
      </w:r>
      <w:r w:rsidR="000D24A2">
        <w:rPr>
          <w:rFonts w:ascii="Times New Roman" w:hAnsi="Times New Roman" w:cs="Times New Roman"/>
          <w:sz w:val="24"/>
          <w:szCs w:val="24"/>
        </w:rPr>
        <w:t xml:space="preserve">The duty of care would </w:t>
      </w:r>
      <w:r w:rsidR="004E01C9">
        <w:rPr>
          <w:rFonts w:ascii="Times New Roman" w:hAnsi="Times New Roman" w:cs="Times New Roman"/>
          <w:sz w:val="24"/>
          <w:szCs w:val="24"/>
        </w:rPr>
        <w:t>consequently</w:t>
      </w:r>
      <w:r w:rsidR="000D24A2">
        <w:rPr>
          <w:rFonts w:ascii="Times New Roman" w:hAnsi="Times New Roman" w:cs="Times New Roman"/>
          <w:sz w:val="24"/>
          <w:szCs w:val="24"/>
        </w:rPr>
        <w:t xml:space="preserve"> be wholly disability-neutral</w:t>
      </w:r>
      <w:r w:rsidR="00C629F8">
        <w:rPr>
          <w:rFonts w:ascii="Times New Roman" w:hAnsi="Times New Roman" w:cs="Times New Roman"/>
          <w:sz w:val="24"/>
          <w:szCs w:val="24"/>
        </w:rPr>
        <w:t xml:space="preserve"> and comply with</w:t>
      </w:r>
      <w:r w:rsidR="00B57BEB">
        <w:rPr>
          <w:rFonts w:ascii="Times New Roman" w:hAnsi="Times New Roman" w:cs="Times New Roman"/>
          <w:sz w:val="24"/>
          <w:szCs w:val="24"/>
        </w:rPr>
        <w:t xml:space="preserve"> the CRPD.</w:t>
      </w:r>
    </w:p>
    <w:p w14:paraId="4D4B6C30" w14:textId="3C2E7711" w:rsidR="00491FA7" w:rsidRDefault="00F32110"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T</w:t>
      </w:r>
      <w:r w:rsidR="000D5FCC">
        <w:rPr>
          <w:rFonts w:ascii="Times New Roman" w:hAnsi="Times New Roman" w:cs="Times New Roman"/>
          <w:sz w:val="24"/>
          <w:szCs w:val="24"/>
        </w:rPr>
        <w:t xml:space="preserve">he case for conceptual unification is not an unfamiliar one. </w:t>
      </w:r>
      <w:r w:rsidR="00C51254">
        <w:rPr>
          <w:rFonts w:ascii="Times New Roman" w:hAnsi="Times New Roman" w:cs="Times New Roman"/>
          <w:sz w:val="24"/>
          <w:szCs w:val="24"/>
        </w:rPr>
        <w:t xml:space="preserve">Long before the </w:t>
      </w:r>
      <w:r w:rsidR="00956F6F">
        <w:rPr>
          <w:rFonts w:ascii="Times New Roman" w:hAnsi="Times New Roman" w:cs="Times New Roman"/>
          <w:sz w:val="24"/>
          <w:szCs w:val="24"/>
        </w:rPr>
        <w:t>divergence</w:t>
      </w:r>
      <w:r w:rsidR="00C51254">
        <w:rPr>
          <w:rFonts w:ascii="Times New Roman" w:hAnsi="Times New Roman" w:cs="Times New Roman"/>
          <w:sz w:val="24"/>
          <w:szCs w:val="24"/>
        </w:rPr>
        <w:t xml:space="preserve"> that began in </w:t>
      </w:r>
      <w:r w:rsidR="00C51254">
        <w:rPr>
          <w:rFonts w:ascii="Times New Roman" w:hAnsi="Times New Roman" w:cs="Times New Roman"/>
          <w:i/>
          <w:sz w:val="24"/>
          <w:szCs w:val="24"/>
        </w:rPr>
        <w:t>McLoughlin</w:t>
      </w:r>
      <w:r w:rsidR="00C51254">
        <w:rPr>
          <w:rFonts w:ascii="Times New Roman" w:hAnsi="Times New Roman" w:cs="Times New Roman"/>
          <w:sz w:val="24"/>
          <w:szCs w:val="24"/>
        </w:rPr>
        <w:t xml:space="preserve">, </w:t>
      </w:r>
      <w:r w:rsidR="00D22CC6">
        <w:rPr>
          <w:rFonts w:ascii="Times New Roman" w:hAnsi="Times New Roman" w:cs="Times New Roman"/>
          <w:sz w:val="24"/>
          <w:szCs w:val="24"/>
        </w:rPr>
        <w:t>Goodhart argued that</w:t>
      </w:r>
      <w:r w:rsidR="00C66BBB">
        <w:rPr>
          <w:rFonts w:ascii="Times New Roman" w:hAnsi="Times New Roman" w:cs="Times New Roman"/>
          <w:sz w:val="24"/>
          <w:szCs w:val="24"/>
        </w:rPr>
        <w:t xml:space="preserve"> a test based on ‘reasonable foresight’ was ‘the only rational and satisfactory’ one in cases of nervous shock.</w:t>
      </w:r>
      <w:r w:rsidR="00734939">
        <w:rPr>
          <w:rStyle w:val="FootnoteReference"/>
          <w:rFonts w:cs="Times New Roman"/>
          <w:szCs w:val="24"/>
        </w:rPr>
        <w:footnoteReference w:id="210"/>
      </w:r>
      <w:r w:rsidR="00757BB9">
        <w:rPr>
          <w:rFonts w:ascii="Times New Roman" w:hAnsi="Times New Roman" w:cs="Times New Roman"/>
          <w:sz w:val="24"/>
          <w:szCs w:val="24"/>
        </w:rPr>
        <w:t xml:space="preserve"> </w:t>
      </w:r>
      <w:r w:rsidR="00F20F20">
        <w:rPr>
          <w:rFonts w:ascii="Times New Roman" w:hAnsi="Times New Roman" w:cs="Times New Roman"/>
          <w:sz w:val="24"/>
          <w:szCs w:val="24"/>
        </w:rPr>
        <w:t>From the US perspective, Bell advocated a ‘full recovery rule’</w:t>
      </w:r>
      <w:r w:rsidR="00C51254">
        <w:rPr>
          <w:rFonts w:ascii="Times New Roman" w:hAnsi="Times New Roman" w:cs="Times New Roman"/>
          <w:sz w:val="24"/>
          <w:szCs w:val="24"/>
        </w:rPr>
        <w:t xml:space="preserve"> as a way of reinforcing economic incentives: it would </w:t>
      </w:r>
      <w:r w:rsidR="00F20F20">
        <w:rPr>
          <w:rFonts w:ascii="Times New Roman" w:hAnsi="Times New Roman" w:cs="Times New Roman"/>
          <w:sz w:val="24"/>
          <w:szCs w:val="24"/>
        </w:rPr>
        <w:t>deter careless behaviour and reduce accident costs.</w:t>
      </w:r>
      <w:r w:rsidR="00F20F20">
        <w:rPr>
          <w:rStyle w:val="FootnoteReference"/>
          <w:rFonts w:cs="Times New Roman"/>
          <w:szCs w:val="24"/>
        </w:rPr>
        <w:footnoteReference w:id="211"/>
      </w:r>
      <w:r w:rsidR="00AE3D9A">
        <w:rPr>
          <w:rFonts w:ascii="Times New Roman" w:hAnsi="Times New Roman" w:cs="Times New Roman"/>
          <w:sz w:val="24"/>
          <w:szCs w:val="24"/>
        </w:rPr>
        <w:t xml:space="preserve"> </w:t>
      </w:r>
      <w:r w:rsidR="007F77C8">
        <w:rPr>
          <w:rFonts w:ascii="Times New Roman" w:hAnsi="Times New Roman" w:cs="Times New Roman"/>
          <w:sz w:val="24"/>
          <w:szCs w:val="24"/>
        </w:rPr>
        <w:t>Later</w:t>
      </w:r>
      <w:r w:rsidR="00AE3D9A">
        <w:rPr>
          <w:rFonts w:ascii="Times New Roman" w:hAnsi="Times New Roman" w:cs="Times New Roman"/>
          <w:sz w:val="24"/>
          <w:szCs w:val="24"/>
        </w:rPr>
        <w:t>,</w:t>
      </w:r>
      <w:r w:rsidR="00C370BB">
        <w:rPr>
          <w:rFonts w:ascii="Times New Roman" w:hAnsi="Times New Roman" w:cs="Times New Roman"/>
          <w:sz w:val="24"/>
          <w:szCs w:val="24"/>
        </w:rPr>
        <w:t xml:space="preserve"> </w:t>
      </w:r>
      <w:r w:rsidR="00306AE6">
        <w:rPr>
          <w:rFonts w:ascii="Times New Roman" w:hAnsi="Times New Roman" w:cs="Times New Roman"/>
          <w:sz w:val="24"/>
          <w:szCs w:val="24"/>
        </w:rPr>
        <w:t>Butler</w:t>
      </w:r>
      <w:r w:rsidR="007F77C8">
        <w:rPr>
          <w:rFonts w:ascii="Times New Roman" w:hAnsi="Times New Roman" w:cs="Times New Roman"/>
          <w:sz w:val="24"/>
          <w:szCs w:val="24"/>
        </w:rPr>
        <w:t xml:space="preserve"> made a compelling moral case for </w:t>
      </w:r>
      <w:r w:rsidR="00D54E54">
        <w:rPr>
          <w:rFonts w:ascii="Times New Roman" w:hAnsi="Times New Roman" w:cs="Times New Roman"/>
          <w:sz w:val="24"/>
          <w:szCs w:val="24"/>
        </w:rPr>
        <w:lastRenderedPageBreak/>
        <w:t>it</w:t>
      </w:r>
      <w:r w:rsidR="00306AE6">
        <w:rPr>
          <w:rFonts w:ascii="Times New Roman" w:hAnsi="Times New Roman" w:cs="Times New Roman"/>
          <w:sz w:val="24"/>
          <w:szCs w:val="24"/>
        </w:rPr>
        <w:t>: if a sound mind in a damaged body can achieve much, but a damaged mind in a sound body may achieve little, then the integrity of the psyche is as worthy of protection as</w:t>
      </w:r>
      <w:r w:rsidR="00CC0212">
        <w:rPr>
          <w:rFonts w:ascii="Times New Roman" w:hAnsi="Times New Roman" w:cs="Times New Roman"/>
          <w:sz w:val="24"/>
          <w:szCs w:val="24"/>
        </w:rPr>
        <w:t xml:space="preserve"> the</w:t>
      </w:r>
      <w:r w:rsidR="00306AE6">
        <w:rPr>
          <w:rFonts w:ascii="Times New Roman" w:hAnsi="Times New Roman" w:cs="Times New Roman"/>
          <w:sz w:val="24"/>
          <w:szCs w:val="24"/>
        </w:rPr>
        <w:t xml:space="preserve"> integrity of the body.</w:t>
      </w:r>
      <w:r w:rsidR="00DA3B74">
        <w:rPr>
          <w:rStyle w:val="FootnoteReference"/>
          <w:rFonts w:cs="Times New Roman"/>
          <w:szCs w:val="24"/>
        </w:rPr>
        <w:footnoteReference w:id="212"/>
      </w:r>
      <w:r w:rsidR="00BB4AA2">
        <w:rPr>
          <w:rFonts w:ascii="Times New Roman" w:hAnsi="Times New Roman" w:cs="Times New Roman"/>
          <w:sz w:val="24"/>
          <w:szCs w:val="24"/>
        </w:rPr>
        <w:t xml:space="preserve"> </w:t>
      </w:r>
      <w:r w:rsidR="00F20D5D">
        <w:rPr>
          <w:rFonts w:ascii="Times New Roman" w:hAnsi="Times New Roman" w:cs="Times New Roman"/>
          <w:sz w:val="24"/>
          <w:szCs w:val="24"/>
        </w:rPr>
        <w:t>Similarly,</w:t>
      </w:r>
      <w:r w:rsidR="002135B0">
        <w:rPr>
          <w:rFonts w:ascii="Times New Roman" w:hAnsi="Times New Roman" w:cs="Times New Roman"/>
          <w:sz w:val="24"/>
          <w:szCs w:val="24"/>
        </w:rPr>
        <w:t xml:space="preserve"> Ahuja</w:t>
      </w:r>
      <w:r w:rsidR="007F77C8">
        <w:rPr>
          <w:rFonts w:ascii="Times New Roman" w:hAnsi="Times New Roman" w:cs="Times New Roman"/>
          <w:sz w:val="24"/>
          <w:szCs w:val="24"/>
        </w:rPr>
        <w:t xml:space="preserve"> has</w:t>
      </w:r>
      <w:r w:rsidR="002135B0">
        <w:rPr>
          <w:rFonts w:ascii="Times New Roman" w:hAnsi="Times New Roman" w:cs="Times New Roman"/>
          <w:sz w:val="24"/>
          <w:szCs w:val="24"/>
        </w:rPr>
        <w:t xml:space="preserve"> argued that a comparatively simple ‘reasonable foreseeability’ test would achieve a more effective alignment with scientific understanding of mental harms.</w:t>
      </w:r>
      <w:r w:rsidR="00956F6F">
        <w:rPr>
          <w:rStyle w:val="FootnoteReference"/>
          <w:rFonts w:cs="Times New Roman"/>
          <w:szCs w:val="24"/>
        </w:rPr>
        <w:footnoteReference w:id="213"/>
      </w:r>
      <w:r w:rsidR="007F77C8">
        <w:rPr>
          <w:rFonts w:ascii="Times New Roman" w:hAnsi="Times New Roman" w:cs="Times New Roman"/>
          <w:sz w:val="24"/>
          <w:szCs w:val="24"/>
        </w:rPr>
        <w:t xml:space="preserve"> </w:t>
      </w:r>
      <w:r w:rsidR="00B103C3">
        <w:rPr>
          <w:rFonts w:ascii="Times New Roman" w:hAnsi="Times New Roman" w:cs="Times New Roman"/>
          <w:sz w:val="24"/>
          <w:szCs w:val="24"/>
        </w:rPr>
        <w:t>From a range of perspectives, and for some time,</w:t>
      </w:r>
      <w:r w:rsidR="0090175C">
        <w:rPr>
          <w:rFonts w:ascii="Times New Roman" w:hAnsi="Times New Roman" w:cs="Times New Roman"/>
          <w:sz w:val="24"/>
          <w:szCs w:val="24"/>
        </w:rPr>
        <w:t xml:space="preserve"> the case for conceptual unification has been made without reference to </w:t>
      </w:r>
      <w:r w:rsidR="002524D1">
        <w:rPr>
          <w:rFonts w:ascii="Times New Roman" w:hAnsi="Times New Roman" w:cs="Times New Roman"/>
          <w:sz w:val="24"/>
          <w:szCs w:val="24"/>
        </w:rPr>
        <w:t xml:space="preserve">the social model </w:t>
      </w:r>
      <w:r w:rsidR="00A70BB3">
        <w:rPr>
          <w:rFonts w:ascii="Times New Roman" w:hAnsi="Times New Roman" w:cs="Times New Roman"/>
          <w:sz w:val="24"/>
          <w:szCs w:val="24"/>
        </w:rPr>
        <w:t>disability</w:t>
      </w:r>
      <w:r w:rsidR="00B103C3">
        <w:rPr>
          <w:rFonts w:ascii="Times New Roman" w:hAnsi="Times New Roman" w:cs="Times New Roman"/>
          <w:sz w:val="24"/>
          <w:szCs w:val="24"/>
        </w:rPr>
        <w:t xml:space="preserve">.  </w:t>
      </w:r>
    </w:p>
    <w:p w14:paraId="3958B693" w14:textId="3948D61F" w:rsidR="003136DF" w:rsidRDefault="000D5FCC" w:rsidP="00915471">
      <w:pPr>
        <w:tabs>
          <w:tab w:val="left" w:pos="7864"/>
          <w:tab w:val="right" w:pos="9026"/>
        </w:tabs>
        <w:rPr>
          <w:rFonts w:ascii="Times New Roman" w:hAnsi="Times New Roman" w:cs="Times New Roman"/>
          <w:bCs/>
          <w:iCs/>
          <w:sz w:val="24"/>
          <w:szCs w:val="24"/>
        </w:rPr>
      </w:pPr>
      <w:r>
        <w:rPr>
          <w:rFonts w:ascii="Times New Roman" w:hAnsi="Times New Roman" w:cs="Times New Roman"/>
          <w:sz w:val="24"/>
          <w:szCs w:val="24"/>
        </w:rPr>
        <w:t>The CRPD does not therefore point to a conclusion that common lawyers</w:t>
      </w:r>
      <w:r w:rsidR="00B5087B">
        <w:rPr>
          <w:rFonts w:ascii="Times New Roman" w:hAnsi="Times New Roman" w:cs="Times New Roman"/>
          <w:sz w:val="24"/>
          <w:szCs w:val="24"/>
        </w:rPr>
        <w:t xml:space="preserve"> </w:t>
      </w:r>
      <w:r>
        <w:rPr>
          <w:rFonts w:ascii="Times New Roman" w:hAnsi="Times New Roman" w:cs="Times New Roman"/>
          <w:sz w:val="24"/>
          <w:szCs w:val="24"/>
        </w:rPr>
        <w:t>have not already reached</w:t>
      </w:r>
      <w:r w:rsidR="000C2C2B">
        <w:rPr>
          <w:rFonts w:ascii="Times New Roman" w:hAnsi="Times New Roman" w:cs="Times New Roman"/>
          <w:sz w:val="24"/>
          <w:szCs w:val="24"/>
        </w:rPr>
        <w:t xml:space="preserve"> </w:t>
      </w:r>
      <w:r w:rsidR="00691950">
        <w:rPr>
          <w:rFonts w:ascii="Times New Roman" w:hAnsi="Times New Roman" w:cs="Times New Roman"/>
          <w:sz w:val="24"/>
          <w:szCs w:val="24"/>
        </w:rPr>
        <w:t>by</w:t>
      </w:r>
      <w:r w:rsidR="000C2C2B">
        <w:rPr>
          <w:rFonts w:ascii="Times New Roman" w:hAnsi="Times New Roman" w:cs="Times New Roman"/>
          <w:sz w:val="24"/>
          <w:szCs w:val="24"/>
        </w:rPr>
        <w:t xml:space="preserve"> other </w:t>
      </w:r>
      <w:r w:rsidR="00691950">
        <w:rPr>
          <w:rFonts w:ascii="Times New Roman" w:hAnsi="Times New Roman" w:cs="Times New Roman"/>
          <w:sz w:val="24"/>
          <w:szCs w:val="24"/>
        </w:rPr>
        <w:t>means</w:t>
      </w:r>
      <w:r>
        <w:rPr>
          <w:rFonts w:ascii="Times New Roman" w:hAnsi="Times New Roman" w:cs="Times New Roman"/>
          <w:sz w:val="24"/>
          <w:szCs w:val="24"/>
        </w:rPr>
        <w:t xml:space="preserve">. Rather, it </w:t>
      </w:r>
      <w:r w:rsidR="00165DDD">
        <w:rPr>
          <w:rFonts w:ascii="Times New Roman" w:hAnsi="Times New Roman" w:cs="Times New Roman"/>
          <w:sz w:val="24"/>
          <w:szCs w:val="24"/>
        </w:rPr>
        <w:t xml:space="preserve">offers another reason to </w:t>
      </w:r>
      <w:r w:rsidR="004957C2">
        <w:rPr>
          <w:rFonts w:ascii="Times New Roman" w:hAnsi="Times New Roman" w:cs="Times New Roman"/>
          <w:sz w:val="24"/>
          <w:szCs w:val="24"/>
        </w:rPr>
        <w:t xml:space="preserve">prefer </w:t>
      </w:r>
      <w:r w:rsidR="00372D4F">
        <w:rPr>
          <w:rFonts w:ascii="Times New Roman" w:hAnsi="Times New Roman" w:cs="Times New Roman"/>
          <w:sz w:val="24"/>
          <w:szCs w:val="24"/>
        </w:rPr>
        <w:t>a unified approach.</w:t>
      </w:r>
      <w:r w:rsidR="00A8180A">
        <w:rPr>
          <w:rFonts w:ascii="Times New Roman" w:hAnsi="Times New Roman" w:cs="Times New Roman"/>
          <w:sz w:val="24"/>
          <w:szCs w:val="24"/>
        </w:rPr>
        <w:t xml:space="preserve"> </w:t>
      </w:r>
      <w:r w:rsidR="00372D4F">
        <w:rPr>
          <w:rFonts w:ascii="Times New Roman" w:hAnsi="Times New Roman" w:cs="Times New Roman"/>
          <w:sz w:val="24"/>
          <w:szCs w:val="24"/>
        </w:rPr>
        <w:t>Some may remain unconvinced</w:t>
      </w:r>
      <w:r w:rsidR="00B5420E">
        <w:rPr>
          <w:rFonts w:ascii="Times New Roman" w:hAnsi="Times New Roman" w:cs="Times New Roman"/>
          <w:bCs/>
          <w:iCs/>
          <w:sz w:val="24"/>
          <w:szCs w:val="24"/>
        </w:rPr>
        <w:t xml:space="preserve">. First, the CRPD does not explicitly refer to the sort of horizontal obligations between private parties that are the preserve of negligence; rather, it is concerned with the vertical duties between </w:t>
      </w:r>
      <w:r w:rsidR="00D54E54">
        <w:rPr>
          <w:rFonts w:ascii="Times New Roman" w:hAnsi="Times New Roman" w:cs="Times New Roman"/>
          <w:bCs/>
          <w:iCs/>
          <w:sz w:val="24"/>
          <w:szCs w:val="24"/>
        </w:rPr>
        <w:t>states</w:t>
      </w:r>
      <w:r w:rsidR="00B5420E">
        <w:rPr>
          <w:rFonts w:ascii="Times New Roman" w:hAnsi="Times New Roman" w:cs="Times New Roman"/>
          <w:bCs/>
          <w:iCs/>
          <w:sz w:val="24"/>
          <w:szCs w:val="24"/>
        </w:rPr>
        <w:t xml:space="preserve"> and their citizens. Nowhere in the Committee’s various reports does it mention </w:t>
      </w:r>
      <w:r w:rsidR="00316E5D">
        <w:rPr>
          <w:rFonts w:ascii="Times New Roman" w:hAnsi="Times New Roman" w:cs="Times New Roman"/>
          <w:bCs/>
          <w:iCs/>
          <w:sz w:val="24"/>
          <w:szCs w:val="24"/>
        </w:rPr>
        <w:t>laws governing</w:t>
      </w:r>
      <w:r w:rsidR="00B5420E">
        <w:rPr>
          <w:rFonts w:ascii="Times New Roman" w:hAnsi="Times New Roman" w:cs="Times New Roman"/>
          <w:bCs/>
          <w:iCs/>
          <w:sz w:val="24"/>
          <w:szCs w:val="24"/>
        </w:rPr>
        <w:t xml:space="preserve"> compensation </w:t>
      </w:r>
      <w:r w:rsidR="00316E5D">
        <w:rPr>
          <w:rFonts w:ascii="Times New Roman" w:hAnsi="Times New Roman" w:cs="Times New Roman"/>
          <w:bCs/>
          <w:iCs/>
          <w:sz w:val="24"/>
          <w:szCs w:val="24"/>
        </w:rPr>
        <w:t>for</w:t>
      </w:r>
      <w:r w:rsidR="00B5420E">
        <w:rPr>
          <w:rFonts w:ascii="Times New Roman" w:hAnsi="Times New Roman" w:cs="Times New Roman"/>
          <w:bCs/>
          <w:iCs/>
          <w:sz w:val="24"/>
          <w:szCs w:val="24"/>
        </w:rPr>
        <w:t xml:space="preserve"> negligently-caused psychiatric injuries. </w:t>
      </w:r>
      <w:r w:rsidR="00316E5D">
        <w:rPr>
          <w:rFonts w:ascii="Times New Roman" w:hAnsi="Times New Roman" w:cs="Times New Roman"/>
          <w:bCs/>
          <w:iCs/>
          <w:sz w:val="24"/>
          <w:szCs w:val="24"/>
        </w:rPr>
        <w:t xml:space="preserve">Perhaps </w:t>
      </w:r>
      <w:r w:rsidR="00B5420E">
        <w:rPr>
          <w:rFonts w:ascii="Times New Roman" w:hAnsi="Times New Roman" w:cs="Times New Roman"/>
          <w:bCs/>
          <w:iCs/>
          <w:sz w:val="24"/>
          <w:szCs w:val="24"/>
        </w:rPr>
        <w:t>psychiatric injuries occasioned by negligence were not within the contemplation of the CRPD’s authors and therefore remain outside its scope.</w:t>
      </w:r>
      <w:r w:rsidR="00E117DB">
        <w:rPr>
          <w:rFonts w:ascii="Times New Roman" w:hAnsi="Times New Roman" w:cs="Times New Roman"/>
          <w:bCs/>
          <w:iCs/>
          <w:sz w:val="24"/>
          <w:szCs w:val="24"/>
        </w:rPr>
        <w:t xml:space="preserve"> Second, even if the CRPD </w:t>
      </w:r>
      <w:r w:rsidR="00E117DB" w:rsidRPr="00B81A60">
        <w:rPr>
          <w:rFonts w:ascii="Times New Roman" w:hAnsi="Times New Roman" w:cs="Times New Roman"/>
          <w:bCs/>
          <w:i/>
          <w:sz w:val="24"/>
          <w:szCs w:val="24"/>
        </w:rPr>
        <w:t>is</w:t>
      </w:r>
      <w:r w:rsidR="00E117DB">
        <w:rPr>
          <w:rFonts w:ascii="Times New Roman" w:hAnsi="Times New Roman" w:cs="Times New Roman"/>
          <w:bCs/>
          <w:iCs/>
          <w:sz w:val="24"/>
          <w:szCs w:val="24"/>
        </w:rPr>
        <w:t xml:space="preserve"> relevant to the duty concept, the fact that its implications in more obvious contexts remain highly contested suggests that any bearing the Convention may have on negligence is unlikely to be a priority.</w:t>
      </w:r>
    </w:p>
    <w:p w14:paraId="6951EC72" w14:textId="440A5188" w:rsidR="003136DF" w:rsidRDefault="003136DF" w:rsidP="00915471">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Th</w:t>
      </w:r>
      <w:r w:rsidR="00E117DB">
        <w:rPr>
          <w:rFonts w:ascii="Times New Roman" w:hAnsi="Times New Roman" w:cs="Times New Roman"/>
          <w:bCs/>
          <w:iCs/>
          <w:sz w:val="24"/>
          <w:szCs w:val="24"/>
        </w:rPr>
        <w:t>e</w:t>
      </w:r>
      <w:r>
        <w:rPr>
          <w:rFonts w:ascii="Times New Roman" w:hAnsi="Times New Roman" w:cs="Times New Roman"/>
          <w:bCs/>
          <w:iCs/>
          <w:sz w:val="24"/>
          <w:szCs w:val="24"/>
        </w:rPr>
        <w:t>s</w:t>
      </w:r>
      <w:r w:rsidR="00E117DB">
        <w:rPr>
          <w:rFonts w:ascii="Times New Roman" w:hAnsi="Times New Roman" w:cs="Times New Roman"/>
          <w:bCs/>
          <w:iCs/>
          <w:sz w:val="24"/>
          <w:szCs w:val="24"/>
        </w:rPr>
        <w:t>e</w:t>
      </w:r>
      <w:r>
        <w:rPr>
          <w:rFonts w:ascii="Times New Roman" w:hAnsi="Times New Roman" w:cs="Times New Roman"/>
          <w:bCs/>
          <w:iCs/>
          <w:sz w:val="24"/>
          <w:szCs w:val="24"/>
        </w:rPr>
        <w:t xml:space="preserve"> objection</w:t>
      </w:r>
      <w:r w:rsidR="00E117DB">
        <w:rPr>
          <w:rFonts w:ascii="Times New Roman" w:hAnsi="Times New Roman" w:cs="Times New Roman"/>
          <w:bCs/>
          <w:iCs/>
          <w:sz w:val="24"/>
          <w:szCs w:val="24"/>
        </w:rPr>
        <w:t>s</w:t>
      </w:r>
      <w:r>
        <w:rPr>
          <w:rFonts w:ascii="Times New Roman" w:hAnsi="Times New Roman" w:cs="Times New Roman"/>
          <w:bCs/>
          <w:iCs/>
          <w:sz w:val="24"/>
          <w:szCs w:val="24"/>
        </w:rPr>
        <w:t xml:space="preserve"> </w:t>
      </w:r>
      <w:r w:rsidR="00E117DB">
        <w:rPr>
          <w:rFonts w:ascii="Times New Roman" w:hAnsi="Times New Roman" w:cs="Times New Roman"/>
          <w:bCs/>
          <w:iCs/>
          <w:sz w:val="24"/>
          <w:szCs w:val="24"/>
        </w:rPr>
        <w:t>are</w:t>
      </w:r>
      <w:r>
        <w:rPr>
          <w:rFonts w:ascii="Times New Roman" w:hAnsi="Times New Roman" w:cs="Times New Roman"/>
          <w:bCs/>
          <w:iCs/>
          <w:sz w:val="24"/>
          <w:szCs w:val="24"/>
        </w:rPr>
        <w:t xml:space="preserve"> difficult to maintain in </w:t>
      </w:r>
      <w:r w:rsidR="00E117DB">
        <w:rPr>
          <w:rFonts w:ascii="Times New Roman" w:hAnsi="Times New Roman" w:cs="Times New Roman"/>
          <w:bCs/>
          <w:iCs/>
          <w:sz w:val="24"/>
          <w:szCs w:val="24"/>
        </w:rPr>
        <w:t>light</w:t>
      </w:r>
      <w:r>
        <w:rPr>
          <w:rFonts w:ascii="Times New Roman" w:hAnsi="Times New Roman" w:cs="Times New Roman"/>
          <w:bCs/>
          <w:iCs/>
          <w:sz w:val="24"/>
          <w:szCs w:val="24"/>
        </w:rPr>
        <w:t xml:space="preserve"> of the CRPD’s radical transcendence of the vertical</w:t>
      </w:r>
      <w:r w:rsidR="00E117DB">
        <w:rPr>
          <w:rFonts w:ascii="Times New Roman" w:hAnsi="Times New Roman" w:cs="Times New Roman"/>
          <w:bCs/>
          <w:iCs/>
          <w:sz w:val="24"/>
          <w:szCs w:val="24"/>
        </w:rPr>
        <w:t>-horizontal</w:t>
      </w:r>
      <w:r>
        <w:rPr>
          <w:rFonts w:ascii="Times New Roman" w:hAnsi="Times New Roman" w:cs="Times New Roman"/>
          <w:bCs/>
          <w:iCs/>
          <w:sz w:val="24"/>
          <w:szCs w:val="24"/>
        </w:rPr>
        <w:t xml:space="preserve"> divide. While it may be true that the CRPD’s authors did not</w:t>
      </w:r>
      <w:r w:rsidR="00E117DB">
        <w:rPr>
          <w:rFonts w:ascii="Times New Roman" w:hAnsi="Times New Roman" w:cs="Times New Roman"/>
          <w:bCs/>
          <w:iCs/>
          <w:sz w:val="24"/>
          <w:szCs w:val="24"/>
        </w:rPr>
        <w:t xml:space="preserve"> specifically have in their contemplation</w:t>
      </w:r>
      <w:r>
        <w:rPr>
          <w:rFonts w:ascii="Times New Roman" w:hAnsi="Times New Roman" w:cs="Times New Roman"/>
          <w:bCs/>
          <w:iCs/>
          <w:sz w:val="24"/>
          <w:szCs w:val="24"/>
        </w:rPr>
        <w:t xml:space="preserve"> </w:t>
      </w:r>
      <w:r w:rsidR="00E117DB">
        <w:rPr>
          <w:rFonts w:ascii="Times New Roman" w:hAnsi="Times New Roman" w:cs="Times New Roman"/>
          <w:bCs/>
          <w:iCs/>
          <w:sz w:val="24"/>
          <w:szCs w:val="24"/>
        </w:rPr>
        <w:t>laws pertaining to private</w:t>
      </w:r>
      <w:r>
        <w:rPr>
          <w:rFonts w:ascii="Times New Roman" w:hAnsi="Times New Roman" w:cs="Times New Roman"/>
          <w:bCs/>
          <w:iCs/>
          <w:sz w:val="24"/>
          <w:szCs w:val="24"/>
        </w:rPr>
        <w:t xml:space="preserve"> liability for psychiatric damage, their ambitions were indisputably expansive.</w:t>
      </w:r>
      <w:r w:rsidR="00E117DB">
        <w:rPr>
          <w:rFonts w:ascii="Times New Roman" w:hAnsi="Times New Roman" w:cs="Times New Roman"/>
          <w:bCs/>
          <w:iCs/>
          <w:sz w:val="24"/>
          <w:szCs w:val="24"/>
        </w:rPr>
        <w:t xml:space="preserve"> The CRPD is clear that States Parties must modify or abolish laws that constitute discrimination against persons with disabilities. The special rules in negligence plainly do that. The fact that they </w:t>
      </w:r>
      <w:r w:rsidR="00EC4ADF">
        <w:rPr>
          <w:rFonts w:ascii="Times New Roman" w:hAnsi="Times New Roman" w:cs="Times New Roman"/>
          <w:bCs/>
          <w:iCs/>
          <w:sz w:val="24"/>
          <w:szCs w:val="24"/>
        </w:rPr>
        <w:t>relate</w:t>
      </w:r>
      <w:r w:rsidR="00E117DB">
        <w:rPr>
          <w:rFonts w:ascii="Times New Roman" w:hAnsi="Times New Roman" w:cs="Times New Roman"/>
          <w:bCs/>
          <w:iCs/>
          <w:sz w:val="24"/>
          <w:szCs w:val="24"/>
        </w:rPr>
        <w:t xml:space="preserve"> to obligations </w:t>
      </w:r>
      <w:r w:rsidR="00316E5D">
        <w:rPr>
          <w:rFonts w:ascii="Times New Roman" w:hAnsi="Times New Roman" w:cs="Times New Roman"/>
          <w:bCs/>
          <w:iCs/>
          <w:sz w:val="24"/>
          <w:szCs w:val="24"/>
        </w:rPr>
        <w:t>between</w:t>
      </w:r>
      <w:r w:rsidR="00E117DB">
        <w:rPr>
          <w:rFonts w:ascii="Times New Roman" w:hAnsi="Times New Roman" w:cs="Times New Roman"/>
          <w:bCs/>
          <w:iCs/>
          <w:sz w:val="24"/>
          <w:szCs w:val="24"/>
        </w:rPr>
        <w:t xml:space="preserve"> </w:t>
      </w:r>
      <w:r w:rsidR="008D1812">
        <w:rPr>
          <w:rFonts w:ascii="Times New Roman" w:hAnsi="Times New Roman" w:cs="Times New Roman"/>
          <w:bCs/>
          <w:iCs/>
          <w:sz w:val="24"/>
          <w:szCs w:val="24"/>
        </w:rPr>
        <w:t xml:space="preserve">private individuals </w:t>
      </w:r>
      <w:r w:rsidR="00316E5D">
        <w:rPr>
          <w:rFonts w:ascii="Times New Roman" w:hAnsi="Times New Roman" w:cs="Times New Roman"/>
          <w:bCs/>
          <w:iCs/>
          <w:sz w:val="24"/>
          <w:szCs w:val="24"/>
        </w:rPr>
        <w:lastRenderedPageBreak/>
        <w:t>is</w:t>
      </w:r>
      <w:r w:rsidR="008D1812">
        <w:rPr>
          <w:rFonts w:ascii="Times New Roman" w:hAnsi="Times New Roman" w:cs="Times New Roman"/>
          <w:bCs/>
          <w:iCs/>
          <w:sz w:val="24"/>
          <w:szCs w:val="24"/>
        </w:rPr>
        <w:t xml:space="preserve"> neither here nor there: the rules are part of the UK’s legal framework and therefore the state is under </w:t>
      </w:r>
      <w:r w:rsidR="00316E5D">
        <w:rPr>
          <w:rFonts w:ascii="Times New Roman" w:hAnsi="Times New Roman" w:cs="Times New Roman"/>
          <w:bCs/>
          <w:iCs/>
          <w:sz w:val="24"/>
          <w:szCs w:val="24"/>
        </w:rPr>
        <w:t>a duty</w:t>
      </w:r>
      <w:r w:rsidR="008D1812">
        <w:rPr>
          <w:rFonts w:ascii="Times New Roman" w:hAnsi="Times New Roman" w:cs="Times New Roman"/>
          <w:bCs/>
          <w:iCs/>
          <w:sz w:val="24"/>
          <w:szCs w:val="24"/>
        </w:rPr>
        <w:t xml:space="preserve"> to fix them. Furthermore, just because the CRPD raises </w:t>
      </w:r>
      <w:r w:rsidR="00D54E54">
        <w:rPr>
          <w:rFonts w:ascii="Times New Roman" w:hAnsi="Times New Roman" w:cs="Times New Roman"/>
          <w:bCs/>
          <w:iCs/>
          <w:sz w:val="24"/>
          <w:szCs w:val="24"/>
        </w:rPr>
        <w:t xml:space="preserve">more </w:t>
      </w:r>
      <w:r w:rsidR="008D1812">
        <w:rPr>
          <w:rFonts w:ascii="Times New Roman" w:hAnsi="Times New Roman" w:cs="Times New Roman"/>
          <w:bCs/>
          <w:iCs/>
          <w:sz w:val="24"/>
          <w:szCs w:val="24"/>
        </w:rPr>
        <w:t xml:space="preserve">pressing concerns </w:t>
      </w:r>
      <w:r w:rsidR="00D54E54">
        <w:rPr>
          <w:rFonts w:ascii="Times New Roman" w:hAnsi="Times New Roman" w:cs="Times New Roman"/>
          <w:bCs/>
          <w:iCs/>
          <w:sz w:val="24"/>
          <w:szCs w:val="24"/>
        </w:rPr>
        <w:t>for</w:t>
      </w:r>
      <w:r w:rsidR="008D1812">
        <w:rPr>
          <w:rFonts w:ascii="Times New Roman" w:hAnsi="Times New Roman" w:cs="Times New Roman"/>
          <w:bCs/>
          <w:iCs/>
          <w:sz w:val="24"/>
          <w:szCs w:val="24"/>
        </w:rPr>
        <w:t xml:space="preserve"> mental health law </w:t>
      </w:r>
      <w:r w:rsidR="00316E5D">
        <w:rPr>
          <w:rFonts w:ascii="Times New Roman" w:hAnsi="Times New Roman" w:cs="Times New Roman"/>
          <w:bCs/>
          <w:iCs/>
          <w:sz w:val="24"/>
          <w:szCs w:val="24"/>
        </w:rPr>
        <w:t>does</w:t>
      </w:r>
      <w:r w:rsidR="008D1812">
        <w:rPr>
          <w:rFonts w:ascii="Times New Roman" w:hAnsi="Times New Roman" w:cs="Times New Roman"/>
          <w:bCs/>
          <w:iCs/>
          <w:sz w:val="24"/>
          <w:szCs w:val="24"/>
        </w:rPr>
        <w:t xml:space="preserve"> not mean that its wider significance </w:t>
      </w:r>
      <w:r w:rsidR="00316E5D">
        <w:rPr>
          <w:rFonts w:ascii="Times New Roman" w:hAnsi="Times New Roman" w:cs="Times New Roman"/>
          <w:bCs/>
          <w:iCs/>
          <w:sz w:val="24"/>
          <w:szCs w:val="24"/>
        </w:rPr>
        <w:t>can be</w:t>
      </w:r>
      <w:r w:rsidR="008D1812">
        <w:rPr>
          <w:rFonts w:ascii="Times New Roman" w:hAnsi="Times New Roman" w:cs="Times New Roman"/>
          <w:bCs/>
          <w:iCs/>
          <w:sz w:val="24"/>
          <w:szCs w:val="24"/>
        </w:rPr>
        <w:t xml:space="preserve"> overlooked. </w:t>
      </w:r>
      <w:r w:rsidR="008F449E">
        <w:rPr>
          <w:rFonts w:ascii="Times New Roman" w:hAnsi="Times New Roman" w:cs="Times New Roman"/>
          <w:sz w:val="24"/>
          <w:szCs w:val="24"/>
        </w:rPr>
        <w:t xml:space="preserve">It has always puzzled the present author that the rules governing liability for psychiatric injuries are seldom located under the umbrella of mental health law. </w:t>
      </w:r>
      <w:r w:rsidR="00316E5D">
        <w:rPr>
          <w:rFonts w:ascii="Times New Roman" w:hAnsi="Times New Roman" w:cs="Times New Roman"/>
          <w:sz w:val="24"/>
          <w:szCs w:val="24"/>
        </w:rPr>
        <w:t>T</w:t>
      </w:r>
      <w:r w:rsidR="008F449E">
        <w:rPr>
          <w:rFonts w:ascii="Times New Roman" w:hAnsi="Times New Roman" w:cs="Times New Roman"/>
          <w:sz w:val="24"/>
          <w:szCs w:val="24"/>
        </w:rPr>
        <w:t>he rules directly pertain to persons with psychosocial disabilities and constitute a specific legal response to their circumstances.</w:t>
      </w:r>
      <w:r w:rsidR="008F449E">
        <w:rPr>
          <w:rFonts w:ascii="Times New Roman" w:hAnsi="Times New Roman" w:cs="Times New Roman"/>
          <w:bCs/>
          <w:iCs/>
          <w:sz w:val="24"/>
          <w:szCs w:val="24"/>
        </w:rPr>
        <w:t xml:space="preserve"> A rigid delineation of the boundaries of mental health law falsely excludes the special rules from a domain in which their relevance to the CRPD might have been much more apparent. When </w:t>
      </w:r>
      <w:r w:rsidR="00316E5D">
        <w:rPr>
          <w:rFonts w:ascii="Times New Roman" w:hAnsi="Times New Roman" w:cs="Times New Roman"/>
          <w:bCs/>
          <w:iCs/>
          <w:sz w:val="24"/>
          <w:szCs w:val="24"/>
        </w:rPr>
        <w:t>located within</w:t>
      </w:r>
      <w:r w:rsidR="008F449E">
        <w:rPr>
          <w:rFonts w:ascii="Times New Roman" w:hAnsi="Times New Roman" w:cs="Times New Roman"/>
          <w:bCs/>
          <w:iCs/>
          <w:sz w:val="24"/>
          <w:szCs w:val="24"/>
        </w:rPr>
        <w:t xml:space="preserve"> mental health law, the special rules’ conflict with the CRPD seems just as urgent as the tensions that exist elsewhere.  </w:t>
      </w:r>
    </w:p>
    <w:p w14:paraId="1DC487F2" w14:textId="550BD0A6" w:rsidR="001E3DEF" w:rsidRDefault="00E67755">
      <w:pPr>
        <w:tabs>
          <w:tab w:val="left" w:pos="7864"/>
          <w:tab w:val="right" w:pos="9026"/>
        </w:tabs>
        <w:rPr>
          <w:rFonts w:ascii="Times New Roman" w:hAnsi="Times New Roman" w:cs="Times New Roman"/>
          <w:sz w:val="24"/>
          <w:szCs w:val="24"/>
        </w:rPr>
      </w:pPr>
      <w:r>
        <w:rPr>
          <w:rFonts w:ascii="Times New Roman" w:hAnsi="Times New Roman" w:cs="Times New Roman"/>
          <w:bCs/>
          <w:iCs/>
          <w:sz w:val="24"/>
          <w:szCs w:val="24"/>
        </w:rPr>
        <w:t xml:space="preserve">Another point of contention might be the </w:t>
      </w:r>
      <w:r w:rsidR="00CC09B6">
        <w:rPr>
          <w:rFonts w:ascii="Times New Roman" w:hAnsi="Times New Roman" w:cs="Times New Roman"/>
          <w:sz w:val="24"/>
          <w:szCs w:val="24"/>
        </w:rPr>
        <w:t>expansion of the scope of liability that a straightforward test of ‘reasonable foreseeability’ would entail.</w:t>
      </w:r>
      <w:r w:rsidR="00F24E47">
        <w:rPr>
          <w:rFonts w:ascii="Times New Roman" w:hAnsi="Times New Roman" w:cs="Times New Roman"/>
          <w:sz w:val="24"/>
          <w:szCs w:val="24"/>
        </w:rPr>
        <w:t xml:space="preserve"> Case </w:t>
      </w:r>
      <w:r w:rsidR="0075146A">
        <w:rPr>
          <w:rFonts w:ascii="Times New Roman" w:hAnsi="Times New Roman" w:cs="Times New Roman"/>
          <w:sz w:val="24"/>
          <w:szCs w:val="24"/>
        </w:rPr>
        <w:t>is</w:t>
      </w:r>
      <w:r w:rsidR="00F24E47">
        <w:rPr>
          <w:rFonts w:ascii="Times New Roman" w:hAnsi="Times New Roman" w:cs="Times New Roman"/>
          <w:sz w:val="24"/>
          <w:szCs w:val="24"/>
        </w:rPr>
        <w:t xml:space="preserve"> right that the logical corollary may be the revival of breach, causation and remoteness as</w:t>
      </w:r>
      <w:r w:rsidR="008736FA">
        <w:rPr>
          <w:rFonts w:ascii="Times New Roman" w:hAnsi="Times New Roman" w:cs="Times New Roman"/>
          <w:sz w:val="24"/>
          <w:szCs w:val="24"/>
        </w:rPr>
        <w:t xml:space="preserve"> renewed</w:t>
      </w:r>
      <w:r w:rsidR="00F24E47">
        <w:rPr>
          <w:rFonts w:ascii="Times New Roman" w:hAnsi="Times New Roman" w:cs="Times New Roman"/>
          <w:sz w:val="24"/>
          <w:szCs w:val="24"/>
        </w:rPr>
        <w:t xml:space="preserve"> </w:t>
      </w:r>
      <w:r w:rsidR="003D226C">
        <w:rPr>
          <w:rFonts w:ascii="Times New Roman" w:hAnsi="Times New Roman" w:cs="Times New Roman"/>
          <w:sz w:val="24"/>
          <w:szCs w:val="24"/>
        </w:rPr>
        <w:t>sites</w:t>
      </w:r>
      <w:r w:rsidR="00F24E47">
        <w:rPr>
          <w:rFonts w:ascii="Times New Roman" w:hAnsi="Times New Roman" w:cs="Times New Roman"/>
          <w:sz w:val="24"/>
          <w:szCs w:val="24"/>
        </w:rPr>
        <w:t xml:space="preserve"> of disputation.</w:t>
      </w:r>
      <w:r w:rsidR="00F24E47">
        <w:rPr>
          <w:rStyle w:val="FootnoteReference"/>
          <w:rFonts w:cs="Times New Roman"/>
          <w:szCs w:val="24"/>
        </w:rPr>
        <w:footnoteReference w:id="214"/>
      </w:r>
      <w:r w:rsidR="00F5598F">
        <w:rPr>
          <w:rFonts w:ascii="Times New Roman" w:hAnsi="Times New Roman" w:cs="Times New Roman"/>
          <w:sz w:val="24"/>
          <w:szCs w:val="24"/>
        </w:rPr>
        <w:t xml:space="preserve"> The courts would therefore apply other brakes </w:t>
      </w:r>
      <w:r w:rsidR="00316E5D">
        <w:rPr>
          <w:rFonts w:ascii="Times New Roman" w:hAnsi="Times New Roman" w:cs="Times New Roman"/>
          <w:sz w:val="24"/>
          <w:szCs w:val="24"/>
        </w:rPr>
        <w:t>to</w:t>
      </w:r>
      <w:r w:rsidR="00F5598F">
        <w:rPr>
          <w:rFonts w:ascii="Times New Roman" w:hAnsi="Times New Roman" w:cs="Times New Roman"/>
          <w:sz w:val="24"/>
          <w:szCs w:val="24"/>
        </w:rPr>
        <w:t xml:space="preserve"> prevent a </w:t>
      </w:r>
      <w:r w:rsidR="00BB76C7">
        <w:rPr>
          <w:rFonts w:ascii="Times New Roman" w:hAnsi="Times New Roman" w:cs="Times New Roman"/>
          <w:sz w:val="24"/>
          <w:szCs w:val="24"/>
        </w:rPr>
        <w:t xml:space="preserve">more generous duty </w:t>
      </w:r>
      <w:r w:rsidR="00F5598F">
        <w:rPr>
          <w:rFonts w:ascii="Times New Roman" w:hAnsi="Times New Roman" w:cs="Times New Roman"/>
          <w:sz w:val="24"/>
          <w:szCs w:val="24"/>
        </w:rPr>
        <w:t>from triggering a rise in</w:t>
      </w:r>
      <w:r w:rsidR="00BB76C7">
        <w:rPr>
          <w:rFonts w:ascii="Times New Roman" w:hAnsi="Times New Roman" w:cs="Times New Roman"/>
          <w:sz w:val="24"/>
          <w:szCs w:val="24"/>
        </w:rPr>
        <w:t xml:space="preserve"> the number of</w:t>
      </w:r>
      <w:r w:rsidR="003136DF">
        <w:rPr>
          <w:rFonts w:ascii="Times New Roman" w:hAnsi="Times New Roman" w:cs="Times New Roman"/>
          <w:sz w:val="24"/>
          <w:szCs w:val="24"/>
        </w:rPr>
        <w:t xml:space="preserve"> successful</w:t>
      </w:r>
      <w:r w:rsidR="00BB76C7">
        <w:rPr>
          <w:rFonts w:ascii="Times New Roman" w:hAnsi="Times New Roman" w:cs="Times New Roman"/>
          <w:sz w:val="24"/>
          <w:szCs w:val="24"/>
        </w:rPr>
        <w:t xml:space="preserve"> claims.</w:t>
      </w:r>
      <w:r w:rsidR="00F5598F">
        <w:rPr>
          <w:rFonts w:ascii="Times New Roman" w:hAnsi="Times New Roman" w:cs="Times New Roman"/>
          <w:sz w:val="24"/>
          <w:szCs w:val="24"/>
        </w:rPr>
        <w:t xml:space="preserve"> But this raises an obvious question: </w:t>
      </w:r>
      <w:r w:rsidR="00F5598F">
        <w:rPr>
          <w:rFonts w:ascii="Times New Roman" w:hAnsi="Times New Roman" w:cs="Times New Roman"/>
          <w:i/>
          <w:sz w:val="24"/>
          <w:szCs w:val="24"/>
        </w:rPr>
        <w:t xml:space="preserve">why </w:t>
      </w:r>
      <w:r w:rsidR="00F5598F" w:rsidRPr="0038566E">
        <w:rPr>
          <w:rFonts w:ascii="Times New Roman" w:hAnsi="Times New Roman" w:cs="Times New Roman"/>
          <w:i/>
          <w:sz w:val="24"/>
          <w:szCs w:val="24"/>
        </w:rPr>
        <w:t>should they do that</w:t>
      </w:r>
      <w:r w:rsidR="00F5598F">
        <w:rPr>
          <w:rFonts w:ascii="Times New Roman" w:hAnsi="Times New Roman" w:cs="Times New Roman"/>
          <w:sz w:val="24"/>
          <w:szCs w:val="24"/>
        </w:rPr>
        <w:t xml:space="preserve">? </w:t>
      </w:r>
      <w:r w:rsidR="00316E5D">
        <w:rPr>
          <w:rFonts w:ascii="Times New Roman" w:hAnsi="Times New Roman" w:cs="Times New Roman"/>
          <w:sz w:val="24"/>
          <w:szCs w:val="24"/>
        </w:rPr>
        <w:t>R</w:t>
      </w:r>
      <w:r w:rsidR="00F5598F">
        <w:rPr>
          <w:rFonts w:ascii="Times New Roman" w:hAnsi="Times New Roman" w:cs="Times New Roman"/>
          <w:sz w:val="24"/>
          <w:szCs w:val="24"/>
        </w:rPr>
        <w:t xml:space="preserve">estrictions on liability for psychiatric </w:t>
      </w:r>
      <w:r w:rsidR="00A811EB">
        <w:rPr>
          <w:rFonts w:ascii="Times New Roman" w:hAnsi="Times New Roman" w:cs="Times New Roman"/>
          <w:sz w:val="24"/>
          <w:szCs w:val="24"/>
        </w:rPr>
        <w:t>injury</w:t>
      </w:r>
      <w:r w:rsidR="00F5598F">
        <w:rPr>
          <w:rFonts w:ascii="Times New Roman" w:hAnsi="Times New Roman" w:cs="Times New Roman"/>
          <w:sz w:val="24"/>
          <w:szCs w:val="24"/>
        </w:rPr>
        <w:t xml:space="preserve"> </w:t>
      </w:r>
      <w:r w:rsidR="00316E5D">
        <w:rPr>
          <w:rFonts w:ascii="Times New Roman" w:hAnsi="Times New Roman" w:cs="Times New Roman"/>
          <w:sz w:val="24"/>
          <w:szCs w:val="24"/>
        </w:rPr>
        <w:t>seem</w:t>
      </w:r>
      <w:r w:rsidR="00F5598F">
        <w:rPr>
          <w:rFonts w:ascii="Times New Roman" w:hAnsi="Times New Roman" w:cs="Times New Roman"/>
          <w:sz w:val="24"/>
          <w:szCs w:val="24"/>
        </w:rPr>
        <w:t xml:space="preserve"> jarring in an era</w:t>
      </w:r>
      <w:r w:rsidR="00316E5D">
        <w:rPr>
          <w:rFonts w:ascii="Times New Roman" w:hAnsi="Times New Roman" w:cs="Times New Roman"/>
          <w:sz w:val="24"/>
          <w:szCs w:val="24"/>
        </w:rPr>
        <w:t xml:space="preserve"> defined by </w:t>
      </w:r>
      <w:r w:rsidR="00F5598F">
        <w:rPr>
          <w:rFonts w:ascii="Times New Roman" w:hAnsi="Times New Roman" w:cs="Times New Roman"/>
          <w:sz w:val="24"/>
          <w:szCs w:val="24"/>
        </w:rPr>
        <w:t>more sympathetic attitudes to</w:t>
      </w:r>
      <w:r w:rsidR="00316E5D">
        <w:rPr>
          <w:rFonts w:ascii="Times New Roman" w:hAnsi="Times New Roman" w:cs="Times New Roman"/>
          <w:sz w:val="24"/>
          <w:szCs w:val="24"/>
        </w:rPr>
        <w:t>wards</w:t>
      </w:r>
      <w:r w:rsidR="00F5598F">
        <w:rPr>
          <w:rFonts w:ascii="Times New Roman" w:hAnsi="Times New Roman" w:cs="Times New Roman"/>
          <w:sz w:val="24"/>
          <w:szCs w:val="24"/>
        </w:rPr>
        <w:t xml:space="preserve"> mental health.</w:t>
      </w:r>
      <w:r w:rsidR="003331B9">
        <w:rPr>
          <w:rFonts w:ascii="Times New Roman" w:hAnsi="Times New Roman" w:cs="Times New Roman"/>
          <w:sz w:val="24"/>
          <w:szCs w:val="24"/>
        </w:rPr>
        <w:t xml:space="preserve"> To say that a person who has suffered a mental impairment at the hands of a careless defendant should not be allowed to recover in case it ‘opens the floodgates’ to other such claims seems</w:t>
      </w:r>
      <w:r w:rsidR="00316E5D">
        <w:rPr>
          <w:rFonts w:ascii="Times New Roman" w:hAnsi="Times New Roman" w:cs="Times New Roman"/>
          <w:sz w:val="24"/>
          <w:szCs w:val="24"/>
        </w:rPr>
        <w:t xml:space="preserve"> profoundly</w:t>
      </w:r>
      <w:r w:rsidR="003331B9">
        <w:rPr>
          <w:rFonts w:ascii="Times New Roman" w:hAnsi="Times New Roman" w:cs="Times New Roman"/>
          <w:sz w:val="24"/>
          <w:szCs w:val="24"/>
        </w:rPr>
        <w:t xml:space="preserve"> out of touch. </w:t>
      </w:r>
      <w:r w:rsidR="006619A3">
        <w:rPr>
          <w:rFonts w:ascii="Times New Roman" w:hAnsi="Times New Roman" w:cs="Times New Roman"/>
          <w:sz w:val="24"/>
          <w:szCs w:val="24"/>
        </w:rPr>
        <w:t>Such a</w:t>
      </w:r>
      <w:r w:rsidR="00316E5D">
        <w:rPr>
          <w:rFonts w:ascii="Times New Roman" w:hAnsi="Times New Roman" w:cs="Times New Roman"/>
          <w:sz w:val="24"/>
          <w:szCs w:val="24"/>
        </w:rPr>
        <w:t>rguments</w:t>
      </w:r>
      <w:r w:rsidR="006619A3">
        <w:rPr>
          <w:rFonts w:ascii="Times New Roman" w:hAnsi="Times New Roman" w:cs="Times New Roman"/>
          <w:sz w:val="24"/>
          <w:szCs w:val="24"/>
        </w:rPr>
        <w:t xml:space="preserve"> appear to be predicated on the </w:t>
      </w:r>
      <w:r w:rsidR="00316E5D">
        <w:rPr>
          <w:rFonts w:ascii="Times New Roman" w:hAnsi="Times New Roman" w:cs="Times New Roman"/>
          <w:sz w:val="24"/>
          <w:szCs w:val="24"/>
        </w:rPr>
        <w:t>same</w:t>
      </w:r>
      <w:r w:rsidR="006619A3">
        <w:rPr>
          <w:rFonts w:ascii="Times New Roman" w:hAnsi="Times New Roman" w:cs="Times New Roman"/>
          <w:sz w:val="24"/>
          <w:szCs w:val="24"/>
        </w:rPr>
        <w:t xml:space="preserve"> assumptions that </w:t>
      </w:r>
      <w:r w:rsidR="00316E5D">
        <w:rPr>
          <w:rFonts w:ascii="Times New Roman" w:hAnsi="Times New Roman" w:cs="Times New Roman"/>
          <w:sz w:val="24"/>
          <w:szCs w:val="24"/>
        </w:rPr>
        <w:t>justified</w:t>
      </w:r>
      <w:r w:rsidR="006619A3">
        <w:rPr>
          <w:rFonts w:ascii="Times New Roman" w:hAnsi="Times New Roman" w:cs="Times New Roman"/>
          <w:sz w:val="24"/>
          <w:szCs w:val="24"/>
        </w:rPr>
        <w:t xml:space="preserve"> the special rules</w:t>
      </w:r>
      <w:r w:rsidR="00316E5D">
        <w:rPr>
          <w:rFonts w:ascii="Times New Roman" w:hAnsi="Times New Roman" w:cs="Times New Roman"/>
          <w:sz w:val="24"/>
          <w:szCs w:val="24"/>
        </w:rPr>
        <w:t xml:space="preserve"> in the first place</w:t>
      </w:r>
      <w:r w:rsidR="006619A3">
        <w:rPr>
          <w:rFonts w:ascii="Times New Roman" w:hAnsi="Times New Roman" w:cs="Times New Roman"/>
          <w:sz w:val="24"/>
          <w:szCs w:val="24"/>
        </w:rPr>
        <w:t xml:space="preserve">; namely, that psychosocial disabilities are less deserving of respect than their physical analogues. </w:t>
      </w:r>
      <w:r w:rsidR="00316E5D">
        <w:rPr>
          <w:rFonts w:ascii="Times New Roman" w:hAnsi="Times New Roman" w:cs="Times New Roman"/>
          <w:sz w:val="24"/>
          <w:szCs w:val="24"/>
        </w:rPr>
        <w:t>T</w:t>
      </w:r>
      <w:r w:rsidR="006619A3">
        <w:rPr>
          <w:rFonts w:ascii="Times New Roman" w:hAnsi="Times New Roman" w:cs="Times New Roman"/>
          <w:sz w:val="24"/>
          <w:szCs w:val="24"/>
        </w:rPr>
        <w:t>he onus</w:t>
      </w:r>
      <w:r w:rsidR="00BC3CCD">
        <w:rPr>
          <w:rFonts w:ascii="Times New Roman" w:hAnsi="Times New Roman" w:cs="Times New Roman"/>
          <w:sz w:val="24"/>
          <w:szCs w:val="24"/>
        </w:rPr>
        <w:t xml:space="preserve"> should</w:t>
      </w:r>
      <w:r w:rsidR="006619A3">
        <w:rPr>
          <w:rFonts w:ascii="Times New Roman" w:hAnsi="Times New Roman" w:cs="Times New Roman"/>
          <w:sz w:val="24"/>
          <w:szCs w:val="24"/>
        </w:rPr>
        <w:t xml:space="preserve"> fall on those </w:t>
      </w:r>
      <w:r w:rsidR="00BC3CCD">
        <w:rPr>
          <w:rFonts w:ascii="Times New Roman" w:hAnsi="Times New Roman" w:cs="Times New Roman"/>
          <w:sz w:val="24"/>
          <w:szCs w:val="24"/>
        </w:rPr>
        <w:t>who think that psychiatric illness</w:t>
      </w:r>
      <w:r w:rsidR="00316E5D">
        <w:rPr>
          <w:rFonts w:ascii="Times New Roman" w:hAnsi="Times New Roman" w:cs="Times New Roman"/>
          <w:sz w:val="24"/>
          <w:szCs w:val="24"/>
        </w:rPr>
        <w:t xml:space="preserve"> continues to warrant</w:t>
      </w:r>
      <w:r w:rsidR="00BC3CCD">
        <w:rPr>
          <w:rFonts w:ascii="Times New Roman" w:hAnsi="Times New Roman" w:cs="Times New Roman"/>
          <w:sz w:val="24"/>
          <w:szCs w:val="24"/>
        </w:rPr>
        <w:t xml:space="preserve"> distinct legal treatment to explain why that should be. </w:t>
      </w:r>
      <w:r w:rsidR="006619A3">
        <w:rPr>
          <w:rFonts w:ascii="Times New Roman" w:hAnsi="Times New Roman" w:cs="Times New Roman"/>
          <w:sz w:val="24"/>
          <w:szCs w:val="24"/>
        </w:rPr>
        <w:t xml:space="preserve"> </w:t>
      </w:r>
      <w:r w:rsidR="003331B9">
        <w:rPr>
          <w:rFonts w:ascii="Times New Roman" w:hAnsi="Times New Roman" w:cs="Times New Roman"/>
          <w:sz w:val="24"/>
          <w:szCs w:val="24"/>
        </w:rPr>
        <w:t xml:space="preserve"> </w:t>
      </w:r>
      <w:r w:rsidR="00F5598F">
        <w:rPr>
          <w:rFonts w:ascii="Times New Roman" w:hAnsi="Times New Roman" w:cs="Times New Roman"/>
          <w:sz w:val="24"/>
          <w:szCs w:val="24"/>
        </w:rPr>
        <w:t xml:space="preserve">       </w:t>
      </w:r>
    </w:p>
    <w:p w14:paraId="63CCF45F" w14:textId="7D926C62" w:rsidR="00984F94" w:rsidRDefault="00984F94" w:rsidP="00984F94">
      <w:pPr>
        <w:tabs>
          <w:tab w:val="left" w:pos="7864"/>
          <w:tab w:val="right" w:pos="9026"/>
        </w:tabs>
        <w:rPr>
          <w:rFonts w:ascii="Times New Roman" w:hAnsi="Times New Roman" w:cs="Times New Roman"/>
          <w:bCs/>
          <w:iCs/>
          <w:sz w:val="24"/>
          <w:szCs w:val="24"/>
        </w:rPr>
      </w:pPr>
      <w:r>
        <w:rPr>
          <w:rFonts w:ascii="Times New Roman" w:hAnsi="Times New Roman" w:cs="Times New Roman"/>
          <w:sz w:val="24"/>
          <w:szCs w:val="24"/>
        </w:rPr>
        <w:lastRenderedPageBreak/>
        <w:t xml:space="preserve">Indeed, the CRPD might actually lend </w:t>
      </w:r>
      <w:r>
        <w:rPr>
          <w:rFonts w:ascii="Times New Roman" w:hAnsi="Times New Roman" w:cs="Times New Roman"/>
          <w:bCs/>
          <w:iCs/>
          <w:sz w:val="24"/>
          <w:szCs w:val="24"/>
        </w:rPr>
        <w:t>theoretical heft to tort doctrine</w:t>
      </w:r>
      <w:r w:rsidR="009A0A21">
        <w:rPr>
          <w:rFonts w:ascii="Times New Roman" w:hAnsi="Times New Roman" w:cs="Times New Roman"/>
          <w:bCs/>
          <w:iCs/>
          <w:sz w:val="24"/>
          <w:szCs w:val="24"/>
        </w:rPr>
        <w:t xml:space="preserve"> which </w:t>
      </w:r>
      <w:r w:rsidR="009A0A21" w:rsidRPr="0038566E">
        <w:rPr>
          <w:rFonts w:ascii="Times New Roman" w:hAnsi="Times New Roman" w:cs="Times New Roman"/>
          <w:bCs/>
          <w:i/>
          <w:iCs/>
          <w:sz w:val="24"/>
          <w:szCs w:val="24"/>
        </w:rPr>
        <w:t>strengthens</w:t>
      </w:r>
      <w:r w:rsidR="009A0A21">
        <w:rPr>
          <w:rFonts w:ascii="Times New Roman" w:hAnsi="Times New Roman" w:cs="Times New Roman"/>
          <w:bCs/>
          <w:iCs/>
          <w:sz w:val="24"/>
          <w:szCs w:val="24"/>
        </w:rPr>
        <w:t xml:space="preserve"> the common law</w:t>
      </w:r>
      <w:r>
        <w:rPr>
          <w:rFonts w:ascii="Times New Roman" w:hAnsi="Times New Roman" w:cs="Times New Roman"/>
          <w:bCs/>
          <w:iCs/>
          <w:sz w:val="24"/>
          <w:szCs w:val="24"/>
        </w:rPr>
        <w:t>. It will be recalled that Article 17 contains the contested ‘right to integrity’. It is central to rights-based theories of tort law that people have rights which impose a corresponding duty on others to protect. In Beever’s view, conceptions of rights are ‘utterly foundational’ to negligence.</w:t>
      </w:r>
      <w:r>
        <w:rPr>
          <w:rStyle w:val="FootnoteReference"/>
          <w:rFonts w:cs="Times New Roman"/>
          <w:bCs/>
          <w:iCs/>
          <w:szCs w:val="24"/>
        </w:rPr>
        <w:footnoteReference w:id="215"/>
      </w:r>
      <w:r>
        <w:rPr>
          <w:rFonts w:ascii="Times New Roman" w:hAnsi="Times New Roman" w:cs="Times New Roman"/>
          <w:bCs/>
          <w:iCs/>
          <w:sz w:val="24"/>
          <w:szCs w:val="24"/>
        </w:rPr>
        <w:t xml:space="preserve"> For example, A has a </w:t>
      </w:r>
      <w:r w:rsidRPr="008F70C6">
        <w:rPr>
          <w:rFonts w:ascii="Times New Roman" w:hAnsi="Times New Roman" w:cs="Times New Roman"/>
          <w:bCs/>
          <w:i/>
          <w:sz w:val="24"/>
          <w:szCs w:val="24"/>
        </w:rPr>
        <w:t>right</w:t>
      </w:r>
      <w:r>
        <w:rPr>
          <w:rFonts w:ascii="Times New Roman" w:hAnsi="Times New Roman" w:cs="Times New Roman"/>
          <w:bCs/>
          <w:iCs/>
          <w:sz w:val="24"/>
          <w:szCs w:val="24"/>
        </w:rPr>
        <w:t xml:space="preserve"> to bodily integrity and therefore B has a </w:t>
      </w:r>
      <w:r>
        <w:rPr>
          <w:rFonts w:ascii="Times New Roman" w:hAnsi="Times New Roman" w:cs="Times New Roman"/>
          <w:bCs/>
          <w:i/>
          <w:sz w:val="24"/>
          <w:szCs w:val="24"/>
        </w:rPr>
        <w:t xml:space="preserve">duty </w:t>
      </w:r>
      <w:r>
        <w:rPr>
          <w:rFonts w:ascii="Times New Roman" w:hAnsi="Times New Roman" w:cs="Times New Roman"/>
          <w:bCs/>
          <w:iCs/>
          <w:sz w:val="24"/>
          <w:szCs w:val="24"/>
        </w:rPr>
        <w:t xml:space="preserve">to avoid violating </w:t>
      </w:r>
      <w:r w:rsidR="00316E5D">
        <w:rPr>
          <w:rFonts w:ascii="Times New Roman" w:hAnsi="Times New Roman" w:cs="Times New Roman"/>
          <w:bCs/>
          <w:iCs/>
          <w:sz w:val="24"/>
          <w:szCs w:val="24"/>
        </w:rPr>
        <w:t>it</w:t>
      </w:r>
      <w:r>
        <w:rPr>
          <w:rFonts w:ascii="Times New Roman" w:hAnsi="Times New Roman" w:cs="Times New Roman"/>
          <w:bCs/>
          <w:iCs/>
          <w:sz w:val="24"/>
          <w:szCs w:val="24"/>
        </w:rPr>
        <w:t>. According to this theory, the basis of negligence is a ‘primary right’ that the law must protect.</w:t>
      </w:r>
      <w:r>
        <w:rPr>
          <w:rStyle w:val="FootnoteReference"/>
          <w:rFonts w:cs="Times New Roman"/>
          <w:bCs/>
          <w:iCs/>
          <w:szCs w:val="24"/>
        </w:rPr>
        <w:footnoteReference w:id="216"/>
      </w:r>
      <w:r>
        <w:rPr>
          <w:rFonts w:ascii="Times New Roman" w:hAnsi="Times New Roman" w:cs="Times New Roman"/>
          <w:bCs/>
          <w:iCs/>
          <w:sz w:val="24"/>
          <w:szCs w:val="24"/>
        </w:rPr>
        <w:t xml:space="preserve"> From this it follows that tort law serves a corrective function, in that it identifies primary rights and corrects contraventions of them.</w:t>
      </w:r>
      <w:r>
        <w:rPr>
          <w:rStyle w:val="FootnoteReference"/>
          <w:rFonts w:cs="Times New Roman"/>
          <w:bCs/>
          <w:iCs/>
          <w:szCs w:val="24"/>
        </w:rPr>
        <w:footnoteReference w:id="217"/>
      </w:r>
      <w:r>
        <w:rPr>
          <w:rFonts w:ascii="Times New Roman" w:hAnsi="Times New Roman" w:cs="Times New Roman"/>
          <w:bCs/>
          <w:iCs/>
          <w:sz w:val="24"/>
          <w:szCs w:val="24"/>
        </w:rPr>
        <w:t xml:space="preserve"> For Beever, the problem with ‘nervous shock’ is that the law has struggled to define what the primary right is.</w:t>
      </w:r>
      <w:r>
        <w:rPr>
          <w:rStyle w:val="FootnoteReference"/>
          <w:rFonts w:cs="Times New Roman"/>
          <w:bCs/>
          <w:iCs/>
          <w:szCs w:val="24"/>
        </w:rPr>
        <w:footnoteReference w:id="218"/>
      </w:r>
      <w:r>
        <w:rPr>
          <w:rFonts w:ascii="Times New Roman" w:hAnsi="Times New Roman" w:cs="Times New Roman"/>
          <w:bCs/>
          <w:iCs/>
          <w:sz w:val="24"/>
          <w:szCs w:val="24"/>
        </w:rPr>
        <w:t xml:space="preserve"> In his view, there is no clear right to ‘psychological integrity’.</w:t>
      </w:r>
      <w:r>
        <w:rPr>
          <w:rStyle w:val="FootnoteReference"/>
          <w:rFonts w:cs="Times New Roman"/>
          <w:bCs/>
          <w:iCs/>
          <w:szCs w:val="24"/>
        </w:rPr>
        <w:footnoteReference w:id="219"/>
      </w:r>
      <w:r>
        <w:rPr>
          <w:rFonts w:ascii="Times New Roman" w:hAnsi="Times New Roman" w:cs="Times New Roman"/>
          <w:bCs/>
          <w:iCs/>
          <w:sz w:val="24"/>
          <w:szCs w:val="24"/>
        </w:rPr>
        <w:t xml:space="preserve"> As a result, the law is incoherent and confusing. The identification of a primary right is therefore essential if the duty concept is to serve the interests of justice. </w:t>
      </w:r>
    </w:p>
    <w:p w14:paraId="48C7C045" w14:textId="7554DCBE" w:rsidR="00984F94" w:rsidRDefault="00984F94" w:rsidP="00984F94">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t xml:space="preserve">Not everyone agrees about the absence of a right to psychological integrity. Stevens believes that the idea that each of us has a right which is good against others that they take care not to damage our physical </w:t>
      </w:r>
      <w:r w:rsidRPr="00D96E56">
        <w:rPr>
          <w:rFonts w:ascii="Times New Roman" w:hAnsi="Times New Roman" w:cs="Times New Roman"/>
          <w:bCs/>
          <w:i/>
          <w:iCs/>
          <w:sz w:val="24"/>
          <w:szCs w:val="24"/>
        </w:rPr>
        <w:t>and</w:t>
      </w:r>
      <w:r>
        <w:rPr>
          <w:rFonts w:ascii="Times New Roman" w:hAnsi="Times New Roman" w:cs="Times New Roman"/>
          <w:bCs/>
          <w:iCs/>
          <w:sz w:val="24"/>
          <w:szCs w:val="24"/>
        </w:rPr>
        <w:t xml:space="preserve"> mental health has existed since at least </w:t>
      </w:r>
      <w:r>
        <w:rPr>
          <w:rFonts w:ascii="Times New Roman" w:hAnsi="Times New Roman" w:cs="Times New Roman"/>
          <w:bCs/>
          <w:i/>
          <w:sz w:val="24"/>
          <w:szCs w:val="24"/>
        </w:rPr>
        <w:t>McLoughlin v O’Brian</w:t>
      </w:r>
      <w:r>
        <w:rPr>
          <w:rFonts w:ascii="Times New Roman" w:hAnsi="Times New Roman" w:cs="Times New Roman"/>
          <w:bCs/>
          <w:iCs/>
          <w:sz w:val="24"/>
          <w:szCs w:val="24"/>
        </w:rPr>
        <w:t>.</w:t>
      </w:r>
      <w:r>
        <w:rPr>
          <w:rStyle w:val="FootnoteReference"/>
          <w:rFonts w:cs="Times New Roman"/>
          <w:bCs/>
          <w:iCs/>
          <w:szCs w:val="24"/>
        </w:rPr>
        <w:footnoteReference w:id="220"/>
      </w:r>
      <w:r>
        <w:rPr>
          <w:rFonts w:ascii="Times New Roman" w:hAnsi="Times New Roman" w:cs="Times New Roman"/>
          <w:bCs/>
          <w:iCs/>
          <w:sz w:val="24"/>
          <w:szCs w:val="24"/>
        </w:rPr>
        <w:t xml:space="preserve"> If tort law protects claimants’ rights in this way, and if we have a right to physical and mental health as Stevens describes, then the law should redress the consequences of any violations of that right even-handedly. It should not draw unconvincing distinctions between physical and mental harms and apply different thresholds which favour recovery in one case but not the other.</w:t>
      </w:r>
    </w:p>
    <w:p w14:paraId="6BDF76B3" w14:textId="417D8185" w:rsidR="00984F94" w:rsidRPr="007720CF" w:rsidRDefault="00984F94" w:rsidP="007720CF">
      <w:pPr>
        <w:tabs>
          <w:tab w:val="left" w:pos="7864"/>
          <w:tab w:val="right" w:pos="9026"/>
        </w:tabs>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Beever and Stevens would agree that tort law is about the protection of rights inherent in all claimants, although they may disagree on whether a right to mental or psychological integrity exists. It is submitted that Article 17 gives a definitive answer to this problem. According to it, </w:t>
      </w:r>
      <w:r w:rsidRPr="00614109">
        <w:rPr>
          <w:rFonts w:ascii="Times New Roman" w:hAnsi="Times New Roman" w:cs="Times New Roman"/>
          <w:bCs/>
          <w:iCs/>
          <w:sz w:val="24"/>
          <w:szCs w:val="24"/>
        </w:rPr>
        <w:t>every person</w:t>
      </w:r>
      <w:r>
        <w:rPr>
          <w:rFonts w:ascii="Times New Roman" w:hAnsi="Times New Roman" w:cs="Times New Roman"/>
          <w:bCs/>
          <w:iCs/>
          <w:sz w:val="24"/>
          <w:szCs w:val="24"/>
        </w:rPr>
        <w:t xml:space="preserve"> with disabilities has a right to respect for </w:t>
      </w:r>
      <w:r w:rsidR="00D54E54">
        <w:rPr>
          <w:rFonts w:ascii="Times New Roman" w:hAnsi="Times New Roman" w:cs="Times New Roman"/>
          <w:bCs/>
          <w:iCs/>
          <w:sz w:val="24"/>
          <w:szCs w:val="24"/>
        </w:rPr>
        <w:t>his/her</w:t>
      </w:r>
      <w:r>
        <w:rPr>
          <w:rFonts w:ascii="Times New Roman" w:hAnsi="Times New Roman" w:cs="Times New Roman"/>
          <w:bCs/>
          <w:iCs/>
          <w:sz w:val="24"/>
          <w:szCs w:val="24"/>
        </w:rPr>
        <w:t xml:space="preserve"> physical </w:t>
      </w:r>
      <w:r w:rsidRPr="009149F5">
        <w:rPr>
          <w:rFonts w:ascii="Times New Roman" w:hAnsi="Times New Roman" w:cs="Times New Roman"/>
          <w:bCs/>
          <w:i/>
          <w:sz w:val="24"/>
          <w:szCs w:val="24"/>
        </w:rPr>
        <w:t>and</w:t>
      </w:r>
      <w:r>
        <w:rPr>
          <w:rFonts w:ascii="Times New Roman" w:hAnsi="Times New Roman" w:cs="Times New Roman"/>
          <w:bCs/>
          <w:iCs/>
          <w:sz w:val="24"/>
          <w:szCs w:val="24"/>
        </w:rPr>
        <w:t xml:space="preserve"> mental integrity </w:t>
      </w:r>
      <w:r w:rsidRPr="00FC4667">
        <w:rPr>
          <w:rFonts w:ascii="Times New Roman" w:hAnsi="Times New Roman" w:cs="Times New Roman"/>
          <w:bCs/>
          <w:i/>
          <w:sz w:val="24"/>
          <w:szCs w:val="24"/>
        </w:rPr>
        <w:t>on an equal basis with others</w:t>
      </w:r>
      <w:r>
        <w:rPr>
          <w:rFonts w:ascii="Times New Roman" w:hAnsi="Times New Roman" w:cs="Times New Roman"/>
          <w:bCs/>
          <w:iCs/>
          <w:sz w:val="24"/>
          <w:szCs w:val="24"/>
        </w:rPr>
        <w:t xml:space="preserve">. It follows that any law which prioritises one form of integrity over the other, or which excludes or limits the possibility of recovery for violations of that integrity on the basis of disability, fails to protect the rights inherent in every person. It does not stretch the meaning of Article 17 to suggest that we have a right to mental </w:t>
      </w:r>
      <w:r w:rsidR="002A32BB">
        <w:rPr>
          <w:rFonts w:ascii="Times New Roman" w:hAnsi="Times New Roman" w:cs="Times New Roman"/>
          <w:bCs/>
          <w:iCs/>
          <w:sz w:val="24"/>
          <w:szCs w:val="24"/>
        </w:rPr>
        <w:t xml:space="preserve">integrity </w:t>
      </w:r>
      <w:r>
        <w:rPr>
          <w:rFonts w:ascii="Times New Roman" w:hAnsi="Times New Roman" w:cs="Times New Roman"/>
          <w:bCs/>
          <w:iCs/>
          <w:sz w:val="24"/>
          <w:szCs w:val="24"/>
        </w:rPr>
        <w:t>and that the state has a corresponding duty to ensure that where, through the carelessness of a defendant, that right is violated, the injured party can recover damages for his injuries on the same basis as anyone else. Article 17 in this way is perhaps the most consequential provision of the CRPD for tort, in that it explicitly confers a right which negligence offers a mechanism to protect.</w:t>
      </w:r>
      <w:r w:rsidR="007720CF">
        <w:rPr>
          <w:rFonts w:ascii="Times New Roman" w:hAnsi="Times New Roman" w:cs="Times New Roman"/>
          <w:bCs/>
          <w:iCs/>
          <w:sz w:val="24"/>
          <w:szCs w:val="24"/>
        </w:rPr>
        <w:t xml:space="preserve"> </w:t>
      </w:r>
      <w:r>
        <w:rPr>
          <w:rFonts w:ascii="Times New Roman" w:hAnsi="Times New Roman" w:cs="Times New Roman"/>
          <w:bCs/>
          <w:iCs/>
          <w:sz w:val="24"/>
          <w:szCs w:val="24"/>
        </w:rPr>
        <w:t>Far from serving a distinct and unrelated function, it is arguable that the CRPD actually gives the law of negligence a theoretical buttress. This in turn may help to redefine the scope of liability in a way that respects the rights of persons with disabilities and lay the foundations for reform.</w:t>
      </w:r>
    </w:p>
    <w:p w14:paraId="206601DC" w14:textId="72265CE8" w:rsidR="00B15D77" w:rsidRPr="00804E26" w:rsidRDefault="000E6986" w:rsidP="00804E26">
      <w:pPr>
        <w:tabs>
          <w:tab w:val="left" w:pos="7864"/>
          <w:tab w:val="right" w:pos="9026"/>
        </w:tabs>
        <w:ind w:firstLine="0"/>
        <w:jc w:val="center"/>
        <w:rPr>
          <w:rFonts w:ascii="Times New Roman" w:hAnsi="Times New Roman" w:cs="Times New Roman"/>
          <w:b/>
          <w:sz w:val="24"/>
          <w:szCs w:val="24"/>
        </w:rPr>
      </w:pPr>
      <w:r w:rsidRPr="00804E26">
        <w:rPr>
          <w:rFonts w:ascii="Times New Roman" w:hAnsi="Times New Roman" w:cs="Times New Roman"/>
          <w:b/>
          <w:sz w:val="24"/>
          <w:szCs w:val="24"/>
        </w:rPr>
        <w:t>CONCLUSIONS</w:t>
      </w:r>
    </w:p>
    <w:p w14:paraId="5231E8E4" w14:textId="06DEA502" w:rsidR="00E669E1" w:rsidRDefault="00C510F0" w:rsidP="00435083">
      <w:pPr>
        <w:tabs>
          <w:tab w:val="left" w:pos="7864"/>
          <w:tab w:val="right" w:pos="9026"/>
        </w:tabs>
        <w:ind w:firstLine="0"/>
        <w:rPr>
          <w:rFonts w:ascii="Times New Roman" w:hAnsi="Times New Roman" w:cs="Times New Roman"/>
          <w:sz w:val="24"/>
          <w:szCs w:val="24"/>
        </w:rPr>
      </w:pPr>
      <w:r>
        <w:rPr>
          <w:rFonts w:ascii="Times New Roman" w:hAnsi="Times New Roman" w:cs="Times New Roman"/>
          <w:sz w:val="24"/>
          <w:szCs w:val="24"/>
        </w:rPr>
        <w:t>In the years since its ratification, t</w:t>
      </w:r>
      <w:r w:rsidR="00283D42">
        <w:rPr>
          <w:rFonts w:ascii="Times New Roman" w:hAnsi="Times New Roman" w:cs="Times New Roman"/>
          <w:sz w:val="24"/>
          <w:szCs w:val="24"/>
        </w:rPr>
        <w:t>he</w:t>
      </w:r>
      <w:r w:rsidR="00030201">
        <w:rPr>
          <w:rFonts w:ascii="Times New Roman" w:hAnsi="Times New Roman" w:cs="Times New Roman"/>
          <w:sz w:val="24"/>
          <w:szCs w:val="24"/>
        </w:rPr>
        <w:t xml:space="preserve"> CRPD’s implications for English mental health law have been subject to considerable academic scrutiny. Its </w:t>
      </w:r>
      <w:r w:rsidR="006C084C">
        <w:rPr>
          <w:rFonts w:ascii="Times New Roman" w:hAnsi="Times New Roman" w:cs="Times New Roman"/>
          <w:sz w:val="24"/>
          <w:szCs w:val="24"/>
        </w:rPr>
        <w:t>ramifications</w:t>
      </w:r>
      <w:r w:rsidR="00030201">
        <w:rPr>
          <w:rFonts w:ascii="Times New Roman" w:hAnsi="Times New Roman" w:cs="Times New Roman"/>
          <w:sz w:val="24"/>
          <w:szCs w:val="24"/>
        </w:rPr>
        <w:t xml:space="preserve"> for the</w:t>
      </w:r>
      <w:r w:rsidR="00887DF3">
        <w:rPr>
          <w:rFonts w:ascii="Times New Roman" w:hAnsi="Times New Roman" w:cs="Times New Roman"/>
          <w:sz w:val="24"/>
          <w:szCs w:val="24"/>
        </w:rPr>
        <w:t xml:space="preserve"> rules governing the duty of care in negligence cases </w:t>
      </w:r>
      <w:r w:rsidR="00CC0212">
        <w:rPr>
          <w:rFonts w:ascii="Times New Roman" w:hAnsi="Times New Roman" w:cs="Times New Roman"/>
          <w:sz w:val="24"/>
          <w:szCs w:val="24"/>
        </w:rPr>
        <w:t>involving</w:t>
      </w:r>
      <w:r w:rsidR="00887DF3">
        <w:rPr>
          <w:rFonts w:ascii="Times New Roman" w:hAnsi="Times New Roman" w:cs="Times New Roman"/>
          <w:sz w:val="24"/>
          <w:szCs w:val="24"/>
        </w:rPr>
        <w:t xml:space="preserve"> claimants with psychiatric injuries have been hitherto unexplored. This paper has sought to rectify that oversight by problematising </w:t>
      </w:r>
      <w:r w:rsidR="00E2531F">
        <w:rPr>
          <w:rFonts w:ascii="Times New Roman" w:hAnsi="Times New Roman" w:cs="Times New Roman"/>
          <w:sz w:val="24"/>
          <w:szCs w:val="24"/>
        </w:rPr>
        <w:t>those rules</w:t>
      </w:r>
      <w:r w:rsidR="007E2095">
        <w:rPr>
          <w:rFonts w:ascii="Times New Roman" w:hAnsi="Times New Roman" w:cs="Times New Roman"/>
          <w:sz w:val="24"/>
          <w:szCs w:val="24"/>
        </w:rPr>
        <w:t xml:space="preserve"> </w:t>
      </w:r>
      <w:r w:rsidR="00D377AC">
        <w:rPr>
          <w:rFonts w:ascii="Times New Roman" w:hAnsi="Times New Roman" w:cs="Times New Roman"/>
          <w:sz w:val="24"/>
          <w:szCs w:val="24"/>
        </w:rPr>
        <w:t>against the backdrop of</w:t>
      </w:r>
      <w:r w:rsidR="00FC49EF">
        <w:rPr>
          <w:rFonts w:ascii="Times New Roman" w:hAnsi="Times New Roman" w:cs="Times New Roman"/>
          <w:sz w:val="24"/>
          <w:szCs w:val="24"/>
        </w:rPr>
        <w:t xml:space="preserve"> the CRPD</w:t>
      </w:r>
      <w:r w:rsidR="007E2095">
        <w:rPr>
          <w:rFonts w:ascii="Times New Roman" w:hAnsi="Times New Roman" w:cs="Times New Roman"/>
          <w:sz w:val="24"/>
          <w:szCs w:val="24"/>
        </w:rPr>
        <w:t>.</w:t>
      </w:r>
      <w:r w:rsidR="00E2531F">
        <w:rPr>
          <w:rFonts w:ascii="Times New Roman" w:hAnsi="Times New Roman" w:cs="Times New Roman"/>
          <w:sz w:val="24"/>
          <w:szCs w:val="24"/>
        </w:rPr>
        <w:t xml:space="preserve"> </w:t>
      </w:r>
      <w:r w:rsidR="00874D11">
        <w:rPr>
          <w:rFonts w:ascii="Times New Roman" w:hAnsi="Times New Roman" w:cs="Times New Roman"/>
          <w:sz w:val="24"/>
          <w:szCs w:val="24"/>
        </w:rPr>
        <w:t>It has shown that they too are a flashpoint between the CRPD’s</w:t>
      </w:r>
      <w:r w:rsidR="007E2095">
        <w:rPr>
          <w:rFonts w:ascii="Times New Roman" w:hAnsi="Times New Roman" w:cs="Times New Roman"/>
          <w:sz w:val="24"/>
          <w:szCs w:val="24"/>
        </w:rPr>
        <w:t xml:space="preserve"> principles of equality and non-discrimination</w:t>
      </w:r>
      <w:r w:rsidR="00A67F28">
        <w:rPr>
          <w:rFonts w:ascii="Times New Roman" w:hAnsi="Times New Roman" w:cs="Times New Roman"/>
          <w:sz w:val="24"/>
          <w:szCs w:val="24"/>
        </w:rPr>
        <w:t xml:space="preserve"> </w:t>
      </w:r>
      <w:r w:rsidR="007E2095">
        <w:rPr>
          <w:rFonts w:ascii="Times New Roman" w:hAnsi="Times New Roman" w:cs="Times New Roman"/>
          <w:sz w:val="24"/>
          <w:szCs w:val="24"/>
        </w:rPr>
        <w:t>and English law</w:t>
      </w:r>
      <w:r w:rsidR="00874D11">
        <w:rPr>
          <w:rFonts w:ascii="Times New Roman" w:hAnsi="Times New Roman" w:cs="Times New Roman"/>
          <w:sz w:val="24"/>
          <w:szCs w:val="24"/>
        </w:rPr>
        <w:t>.</w:t>
      </w:r>
      <w:r w:rsidR="00E669E1">
        <w:rPr>
          <w:rFonts w:ascii="Times New Roman" w:hAnsi="Times New Roman" w:cs="Times New Roman"/>
          <w:sz w:val="24"/>
          <w:szCs w:val="24"/>
        </w:rPr>
        <w:t xml:space="preserve"> Consequently, it</w:t>
      </w:r>
      <w:r w:rsidR="00083B8C">
        <w:rPr>
          <w:rFonts w:ascii="Times New Roman" w:hAnsi="Times New Roman" w:cs="Times New Roman"/>
          <w:sz w:val="24"/>
          <w:szCs w:val="24"/>
        </w:rPr>
        <w:t xml:space="preserve"> has</w:t>
      </w:r>
      <w:r w:rsidR="00E669E1">
        <w:rPr>
          <w:rFonts w:ascii="Times New Roman" w:hAnsi="Times New Roman" w:cs="Times New Roman"/>
          <w:sz w:val="24"/>
          <w:szCs w:val="24"/>
        </w:rPr>
        <w:t xml:space="preserve"> employ</w:t>
      </w:r>
      <w:r w:rsidR="00083B8C">
        <w:rPr>
          <w:rFonts w:ascii="Times New Roman" w:hAnsi="Times New Roman" w:cs="Times New Roman"/>
          <w:sz w:val="24"/>
          <w:szCs w:val="24"/>
        </w:rPr>
        <w:t>ed</w:t>
      </w:r>
      <w:r w:rsidR="00E669E1">
        <w:rPr>
          <w:rFonts w:ascii="Times New Roman" w:hAnsi="Times New Roman" w:cs="Times New Roman"/>
          <w:sz w:val="24"/>
          <w:szCs w:val="24"/>
        </w:rPr>
        <w:t xml:space="preserve"> the social model of disability as another avenue along which to mount a critical attack on an already-controversial area of tort law.</w:t>
      </w:r>
    </w:p>
    <w:p w14:paraId="096FB174" w14:textId="050BB7D8" w:rsidR="00411BAF" w:rsidRDefault="00E669E1"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lastRenderedPageBreak/>
        <w:t xml:space="preserve">The CRPD </w:t>
      </w:r>
      <w:r w:rsidR="00F35618">
        <w:rPr>
          <w:rFonts w:ascii="Times New Roman" w:hAnsi="Times New Roman" w:cs="Times New Roman"/>
          <w:sz w:val="24"/>
          <w:szCs w:val="24"/>
        </w:rPr>
        <w:t>requires its States Parties to treat persons with disabilities on an equal basis with others and to prohibit discrimination against them. It embodies a radically different conception of human rights which cleaves to a social model that locates the disabling effects in society rather than the individual.</w:t>
      </w:r>
      <w:r w:rsidR="00D426FE">
        <w:rPr>
          <w:rFonts w:ascii="Times New Roman" w:hAnsi="Times New Roman" w:cs="Times New Roman"/>
          <w:sz w:val="24"/>
          <w:szCs w:val="24"/>
        </w:rPr>
        <w:t xml:space="preserve"> The CRPD therefore transcends </w:t>
      </w:r>
      <w:r w:rsidR="00BA00CB">
        <w:rPr>
          <w:rFonts w:ascii="Times New Roman" w:hAnsi="Times New Roman" w:cs="Times New Roman"/>
          <w:sz w:val="24"/>
          <w:szCs w:val="24"/>
        </w:rPr>
        <w:t>the classic vertical-horizontal rights dichotomy and has significant implications in both the public and private spheres.</w:t>
      </w:r>
      <w:r w:rsidR="00083B8C">
        <w:rPr>
          <w:rFonts w:ascii="Times New Roman" w:hAnsi="Times New Roman" w:cs="Times New Roman"/>
          <w:sz w:val="24"/>
          <w:szCs w:val="24"/>
        </w:rPr>
        <w:t xml:space="preserve"> For the purposes of the CRPD, ‘disability’ is the sum of a physical, mental, sensory or intellectual impairment in conjunction with disabling social structures.</w:t>
      </w:r>
      <w:r w:rsidR="00F35618">
        <w:rPr>
          <w:rFonts w:ascii="Times New Roman" w:hAnsi="Times New Roman" w:cs="Times New Roman"/>
          <w:sz w:val="24"/>
          <w:szCs w:val="24"/>
        </w:rPr>
        <w:t xml:space="preserve"> To comply with it, a State Party must dismantle those </w:t>
      </w:r>
      <w:r w:rsidR="00800CAC">
        <w:rPr>
          <w:rFonts w:ascii="Times New Roman" w:hAnsi="Times New Roman" w:cs="Times New Roman"/>
          <w:sz w:val="24"/>
          <w:szCs w:val="24"/>
        </w:rPr>
        <w:t>struct</w:t>
      </w:r>
      <w:r w:rsidR="00282400">
        <w:rPr>
          <w:rFonts w:ascii="Times New Roman" w:hAnsi="Times New Roman" w:cs="Times New Roman"/>
          <w:sz w:val="24"/>
          <w:szCs w:val="24"/>
        </w:rPr>
        <w:t>ures</w:t>
      </w:r>
      <w:r w:rsidR="00F35618">
        <w:rPr>
          <w:rFonts w:ascii="Times New Roman" w:hAnsi="Times New Roman" w:cs="Times New Roman"/>
          <w:sz w:val="24"/>
          <w:szCs w:val="24"/>
        </w:rPr>
        <w:t xml:space="preserve"> and </w:t>
      </w:r>
      <w:r w:rsidR="00D97940">
        <w:rPr>
          <w:rFonts w:ascii="Times New Roman" w:hAnsi="Times New Roman" w:cs="Times New Roman"/>
          <w:sz w:val="24"/>
          <w:szCs w:val="24"/>
        </w:rPr>
        <w:t>treat</w:t>
      </w:r>
      <w:r w:rsidR="00F35618">
        <w:rPr>
          <w:rFonts w:ascii="Times New Roman" w:hAnsi="Times New Roman" w:cs="Times New Roman"/>
          <w:sz w:val="24"/>
          <w:szCs w:val="24"/>
        </w:rPr>
        <w:t xml:space="preserve"> persons with disabilities</w:t>
      </w:r>
      <w:r w:rsidR="00D97940">
        <w:rPr>
          <w:rFonts w:ascii="Times New Roman" w:hAnsi="Times New Roman" w:cs="Times New Roman"/>
          <w:sz w:val="24"/>
          <w:szCs w:val="24"/>
        </w:rPr>
        <w:t xml:space="preserve"> in the same way as anyone else.</w:t>
      </w:r>
      <w:r w:rsidR="00083B8C">
        <w:rPr>
          <w:rFonts w:ascii="Times New Roman" w:hAnsi="Times New Roman" w:cs="Times New Roman"/>
          <w:sz w:val="24"/>
          <w:szCs w:val="24"/>
        </w:rPr>
        <w:t xml:space="preserve"> A wide range of English law fails to </w:t>
      </w:r>
      <w:r w:rsidR="00282400">
        <w:rPr>
          <w:rFonts w:ascii="Times New Roman" w:hAnsi="Times New Roman" w:cs="Times New Roman"/>
          <w:sz w:val="24"/>
          <w:szCs w:val="24"/>
        </w:rPr>
        <w:t>operate in accordance with this duty.</w:t>
      </w:r>
      <w:r w:rsidR="00083B8C">
        <w:rPr>
          <w:rFonts w:ascii="Times New Roman" w:hAnsi="Times New Roman" w:cs="Times New Roman"/>
          <w:sz w:val="24"/>
          <w:szCs w:val="24"/>
        </w:rPr>
        <w:t xml:space="preserve"> </w:t>
      </w:r>
      <w:r w:rsidR="00D97940">
        <w:rPr>
          <w:rFonts w:ascii="Times New Roman" w:hAnsi="Times New Roman" w:cs="Times New Roman"/>
          <w:sz w:val="24"/>
          <w:szCs w:val="24"/>
        </w:rPr>
        <w:t>The rules governing the duty of care in negligence</w:t>
      </w:r>
      <w:r w:rsidR="00282400">
        <w:rPr>
          <w:rFonts w:ascii="Times New Roman" w:hAnsi="Times New Roman" w:cs="Times New Roman"/>
          <w:sz w:val="24"/>
          <w:szCs w:val="24"/>
        </w:rPr>
        <w:t xml:space="preserve"> are another example.</w:t>
      </w:r>
      <w:r w:rsidR="00D97940">
        <w:rPr>
          <w:rFonts w:ascii="Times New Roman" w:hAnsi="Times New Roman" w:cs="Times New Roman"/>
          <w:sz w:val="24"/>
          <w:szCs w:val="24"/>
        </w:rPr>
        <w:t xml:space="preserve"> </w:t>
      </w:r>
      <w:r w:rsidR="00C11EEE">
        <w:rPr>
          <w:rFonts w:ascii="Times New Roman" w:hAnsi="Times New Roman" w:cs="Times New Roman"/>
          <w:sz w:val="24"/>
          <w:szCs w:val="24"/>
        </w:rPr>
        <w:t xml:space="preserve">First, they are animated by </w:t>
      </w:r>
      <w:r w:rsidR="007F51F5">
        <w:rPr>
          <w:rFonts w:ascii="Times New Roman" w:hAnsi="Times New Roman" w:cs="Times New Roman"/>
          <w:sz w:val="24"/>
          <w:szCs w:val="24"/>
        </w:rPr>
        <w:t>‘recognis</w:t>
      </w:r>
      <w:r w:rsidR="002A32BB">
        <w:rPr>
          <w:rFonts w:ascii="Times New Roman" w:hAnsi="Times New Roman" w:cs="Times New Roman"/>
          <w:sz w:val="24"/>
          <w:szCs w:val="24"/>
        </w:rPr>
        <w:t>able</w:t>
      </w:r>
      <w:r w:rsidR="007F51F5">
        <w:rPr>
          <w:rFonts w:ascii="Times New Roman" w:hAnsi="Times New Roman" w:cs="Times New Roman"/>
          <w:sz w:val="24"/>
          <w:szCs w:val="24"/>
        </w:rPr>
        <w:t xml:space="preserve"> psychiatric inju</w:t>
      </w:r>
      <w:r w:rsidR="002A32BB">
        <w:rPr>
          <w:rFonts w:ascii="Times New Roman" w:hAnsi="Times New Roman" w:cs="Times New Roman"/>
          <w:sz w:val="24"/>
          <w:szCs w:val="24"/>
        </w:rPr>
        <w:t>ries</w:t>
      </w:r>
      <w:r w:rsidR="007F51F5">
        <w:rPr>
          <w:rFonts w:ascii="Times New Roman" w:hAnsi="Times New Roman" w:cs="Times New Roman"/>
          <w:sz w:val="24"/>
          <w:szCs w:val="24"/>
        </w:rPr>
        <w:t>’</w:t>
      </w:r>
      <w:r w:rsidR="00C11EEE">
        <w:rPr>
          <w:rFonts w:ascii="Times New Roman" w:hAnsi="Times New Roman" w:cs="Times New Roman"/>
          <w:sz w:val="24"/>
          <w:szCs w:val="24"/>
        </w:rPr>
        <w:t>,</w:t>
      </w:r>
      <w:r w:rsidR="00282400">
        <w:rPr>
          <w:rFonts w:ascii="Times New Roman" w:hAnsi="Times New Roman" w:cs="Times New Roman"/>
          <w:sz w:val="24"/>
          <w:szCs w:val="24"/>
        </w:rPr>
        <w:t xml:space="preserve"> a definition that</w:t>
      </w:r>
      <w:r w:rsidR="002326F1">
        <w:rPr>
          <w:rFonts w:ascii="Times New Roman" w:hAnsi="Times New Roman" w:cs="Times New Roman"/>
          <w:sz w:val="24"/>
          <w:szCs w:val="24"/>
        </w:rPr>
        <w:t xml:space="preserve"> </w:t>
      </w:r>
      <w:r w:rsidR="00282400">
        <w:rPr>
          <w:rFonts w:ascii="Times New Roman" w:hAnsi="Times New Roman" w:cs="Times New Roman"/>
          <w:sz w:val="24"/>
          <w:szCs w:val="24"/>
        </w:rPr>
        <w:t>include</w:t>
      </w:r>
      <w:r w:rsidR="00804E26">
        <w:rPr>
          <w:rFonts w:ascii="Times New Roman" w:hAnsi="Times New Roman" w:cs="Times New Roman"/>
          <w:sz w:val="24"/>
          <w:szCs w:val="24"/>
        </w:rPr>
        <w:t>s</w:t>
      </w:r>
      <w:r w:rsidR="00282400">
        <w:rPr>
          <w:rFonts w:ascii="Times New Roman" w:hAnsi="Times New Roman" w:cs="Times New Roman"/>
          <w:sz w:val="24"/>
          <w:szCs w:val="24"/>
        </w:rPr>
        <w:t xml:space="preserve"> the same sort of ‘psychosocial disabilities’ that the CRPD’s authors had in mind. Second, they apply different rules</w:t>
      </w:r>
      <w:r w:rsidR="007F24CC">
        <w:rPr>
          <w:rFonts w:ascii="Times New Roman" w:hAnsi="Times New Roman" w:cs="Times New Roman"/>
          <w:sz w:val="24"/>
          <w:szCs w:val="24"/>
        </w:rPr>
        <w:t xml:space="preserve"> at least to some</w:t>
      </w:r>
      <w:r w:rsidR="00411BAF">
        <w:rPr>
          <w:rFonts w:ascii="Times New Roman" w:hAnsi="Times New Roman" w:cs="Times New Roman"/>
          <w:sz w:val="24"/>
          <w:szCs w:val="24"/>
        </w:rPr>
        <w:t xml:space="preserve"> claimants with those psychosocial disabilities and do so explicitly on that basis. </w:t>
      </w:r>
      <w:r w:rsidR="00804E26">
        <w:rPr>
          <w:rFonts w:ascii="Times New Roman" w:hAnsi="Times New Roman" w:cs="Times New Roman"/>
          <w:sz w:val="24"/>
          <w:szCs w:val="24"/>
        </w:rPr>
        <w:t>The</w:t>
      </w:r>
      <w:r w:rsidR="00411BAF">
        <w:rPr>
          <w:rFonts w:ascii="Times New Roman" w:hAnsi="Times New Roman" w:cs="Times New Roman"/>
          <w:sz w:val="24"/>
          <w:szCs w:val="24"/>
        </w:rPr>
        <w:t xml:space="preserve"> cumulative effect is a duty concept which afford</w:t>
      </w:r>
      <w:r w:rsidR="00022BB6">
        <w:rPr>
          <w:rFonts w:ascii="Times New Roman" w:hAnsi="Times New Roman" w:cs="Times New Roman"/>
          <w:sz w:val="24"/>
          <w:szCs w:val="24"/>
        </w:rPr>
        <w:t>s</w:t>
      </w:r>
      <w:r w:rsidR="00411BAF">
        <w:rPr>
          <w:rFonts w:ascii="Times New Roman" w:hAnsi="Times New Roman" w:cs="Times New Roman"/>
          <w:sz w:val="24"/>
          <w:szCs w:val="24"/>
        </w:rPr>
        <w:t xml:space="preserve"> unequal protection to mental </w:t>
      </w:r>
      <w:r w:rsidR="00D54E54">
        <w:rPr>
          <w:rFonts w:ascii="Times New Roman" w:hAnsi="Times New Roman" w:cs="Times New Roman"/>
          <w:sz w:val="24"/>
          <w:szCs w:val="24"/>
        </w:rPr>
        <w:t xml:space="preserve">integrity </w:t>
      </w:r>
      <w:r w:rsidR="00411BAF">
        <w:rPr>
          <w:rFonts w:ascii="Times New Roman" w:hAnsi="Times New Roman" w:cs="Times New Roman"/>
          <w:sz w:val="24"/>
          <w:szCs w:val="24"/>
        </w:rPr>
        <w:t>and which treats claimants with disabilities differently from other</w:t>
      </w:r>
      <w:r w:rsidR="002326F1">
        <w:rPr>
          <w:rFonts w:ascii="Times New Roman" w:hAnsi="Times New Roman" w:cs="Times New Roman"/>
          <w:sz w:val="24"/>
          <w:szCs w:val="24"/>
        </w:rPr>
        <w:t>s</w:t>
      </w:r>
      <w:r w:rsidR="00411BAF">
        <w:rPr>
          <w:rFonts w:ascii="Times New Roman" w:hAnsi="Times New Roman" w:cs="Times New Roman"/>
          <w:sz w:val="24"/>
          <w:szCs w:val="24"/>
        </w:rPr>
        <w:t>.</w:t>
      </w:r>
    </w:p>
    <w:p w14:paraId="5AE6203A" w14:textId="3AA02203" w:rsidR="00283D42" w:rsidRPr="00283D42" w:rsidRDefault="00411BAF" w:rsidP="00915471">
      <w:pPr>
        <w:tabs>
          <w:tab w:val="left" w:pos="7864"/>
          <w:tab w:val="right" w:pos="9026"/>
        </w:tabs>
        <w:rPr>
          <w:rFonts w:ascii="Times New Roman" w:hAnsi="Times New Roman" w:cs="Times New Roman"/>
          <w:sz w:val="24"/>
          <w:szCs w:val="24"/>
        </w:rPr>
      </w:pPr>
      <w:r>
        <w:rPr>
          <w:rFonts w:ascii="Times New Roman" w:hAnsi="Times New Roman" w:cs="Times New Roman"/>
          <w:sz w:val="24"/>
          <w:szCs w:val="24"/>
        </w:rPr>
        <w:t xml:space="preserve">The CRPD </w:t>
      </w:r>
      <w:r w:rsidR="002C2F7E">
        <w:rPr>
          <w:rFonts w:ascii="Times New Roman" w:hAnsi="Times New Roman" w:cs="Times New Roman"/>
          <w:sz w:val="24"/>
          <w:szCs w:val="24"/>
        </w:rPr>
        <w:t>makes the case for reform even more pressing, since the special rules not only produce absurd results; they also violate the</w:t>
      </w:r>
      <w:r w:rsidR="0042214B">
        <w:rPr>
          <w:rFonts w:ascii="Times New Roman" w:hAnsi="Times New Roman" w:cs="Times New Roman"/>
          <w:sz w:val="24"/>
          <w:szCs w:val="24"/>
        </w:rPr>
        <w:t xml:space="preserve"> human</w:t>
      </w:r>
      <w:r w:rsidR="002C2F7E">
        <w:rPr>
          <w:rFonts w:ascii="Times New Roman" w:hAnsi="Times New Roman" w:cs="Times New Roman"/>
          <w:sz w:val="24"/>
          <w:szCs w:val="24"/>
        </w:rPr>
        <w:t xml:space="preserve"> rights of persons with disabilities. This paper has shown that in order to tackle this problem, there is only one plausible </w:t>
      </w:r>
      <w:r w:rsidR="002326F1">
        <w:rPr>
          <w:rFonts w:ascii="Times New Roman" w:hAnsi="Times New Roman" w:cs="Times New Roman"/>
          <w:sz w:val="24"/>
          <w:szCs w:val="24"/>
        </w:rPr>
        <w:t>solution</w:t>
      </w:r>
      <w:r w:rsidR="002C2F7E">
        <w:rPr>
          <w:rFonts w:ascii="Times New Roman" w:hAnsi="Times New Roman" w:cs="Times New Roman"/>
          <w:sz w:val="24"/>
          <w:szCs w:val="24"/>
        </w:rPr>
        <w:t>: the unification of physical and psychiatric injuries under the same duty concept.</w:t>
      </w:r>
      <w:r w:rsidR="00994830">
        <w:rPr>
          <w:rFonts w:ascii="Times New Roman" w:hAnsi="Times New Roman" w:cs="Times New Roman"/>
          <w:sz w:val="24"/>
          <w:szCs w:val="24"/>
        </w:rPr>
        <w:t xml:space="preserve"> Anything else signally fails to </w:t>
      </w:r>
      <w:r w:rsidR="00802485">
        <w:rPr>
          <w:rFonts w:ascii="Times New Roman" w:hAnsi="Times New Roman" w:cs="Times New Roman"/>
          <w:sz w:val="24"/>
          <w:szCs w:val="24"/>
        </w:rPr>
        <w:t>protect</w:t>
      </w:r>
      <w:r w:rsidR="00C11EA9">
        <w:rPr>
          <w:rFonts w:ascii="Times New Roman" w:hAnsi="Times New Roman" w:cs="Times New Roman"/>
          <w:sz w:val="24"/>
          <w:szCs w:val="24"/>
        </w:rPr>
        <w:t xml:space="preserve"> the rights of persons with disabilities </w:t>
      </w:r>
      <w:r w:rsidR="00802485">
        <w:rPr>
          <w:rFonts w:ascii="Times New Roman" w:hAnsi="Times New Roman" w:cs="Times New Roman"/>
          <w:sz w:val="24"/>
          <w:szCs w:val="24"/>
        </w:rPr>
        <w:t xml:space="preserve">or do justice to those who have suffered </w:t>
      </w:r>
      <w:r w:rsidR="009B2C6E">
        <w:rPr>
          <w:rFonts w:ascii="Times New Roman" w:hAnsi="Times New Roman" w:cs="Times New Roman"/>
          <w:sz w:val="24"/>
          <w:szCs w:val="24"/>
        </w:rPr>
        <w:t>psychiatric</w:t>
      </w:r>
      <w:r w:rsidR="00802485">
        <w:rPr>
          <w:rFonts w:ascii="Times New Roman" w:hAnsi="Times New Roman" w:cs="Times New Roman"/>
          <w:sz w:val="24"/>
          <w:szCs w:val="24"/>
        </w:rPr>
        <w:t xml:space="preserve"> injuries at the hands of careless defendants.</w:t>
      </w:r>
      <w:r w:rsidR="009B2C6E">
        <w:rPr>
          <w:rFonts w:ascii="Times New Roman" w:hAnsi="Times New Roman" w:cs="Times New Roman"/>
          <w:sz w:val="24"/>
          <w:szCs w:val="24"/>
        </w:rPr>
        <w:t xml:space="preserve"> The CRPD therefore strengthens a critique of the special rules that is </w:t>
      </w:r>
      <w:r w:rsidR="0042214B">
        <w:rPr>
          <w:rFonts w:ascii="Times New Roman" w:hAnsi="Times New Roman" w:cs="Times New Roman"/>
          <w:sz w:val="24"/>
          <w:szCs w:val="24"/>
        </w:rPr>
        <w:t xml:space="preserve">familiar </w:t>
      </w:r>
      <w:r w:rsidR="009B2C6E">
        <w:rPr>
          <w:rFonts w:ascii="Times New Roman" w:hAnsi="Times New Roman" w:cs="Times New Roman"/>
          <w:sz w:val="24"/>
          <w:szCs w:val="24"/>
        </w:rPr>
        <w:t xml:space="preserve">to the common law </w:t>
      </w:r>
      <w:r w:rsidR="00DE1680">
        <w:rPr>
          <w:rFonts w:ascii="Times New Roman" w:hAnsi="Times New Roman" w:cs="Times New Roman"/>
          <w:sz w:val="24"/>
          <w:szCs w:val="24"/>
        </w:rPr>
        <w:t>and, in doing so, lends the case for reform greater conceptual coherence and urgency</w:t>
      </w:r>
      <w:r w:rsidR="00934239">
        <w:rPr>
          <w:rFonts w:ascii="Times New Roman" w:hAnsi="Times New Roman" w:cs="Times New Roman"/>
          <w:sz w:val="24"/>
          <w:szCs w:val="24"/>
        </w:rPr>
        <w:t>.</w:t>
      </w:r>
    </w:p>
    <w:sectPr w:rsidR="00283D42" w:rsidRPr="00283D42" w:rsidSect="007A6BCE">
      <w:footnotePr>
        <w:numRestart w:val="eachSect"/>
      </w:foot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BF42" w14:textId="77777777" w:rsidR="009523EF" w:rsidRDefault="009523EF" w:rsidP="001D64B4">
      <w:pPr>
        <w:spacing w:after="0" w:line="240" w:lineRule="auto"/>
      </w:pPr>
      <w:r>
        <w:separator/>
      </w:r>
    </w:p>
  </w:endnote>
  <w:endnote w:type="continuationSeparator" w:id="0">
    <w:p w14:paraId="0B12695D" w14:textId="77777777" w:rsidR="009523EF" w:rsidRDefault="009523EF" w:rsidP="001D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89652020"/>
      <w:docPartObj>
        <w:docPartGallery w:val="Page Numbers (Bottom of Page)"/>
        <w:docPartUnique/>
      </w:docPartObj>
    </w:sdtPr>
    <w:sdtEndPr>
      <w:rPr>
        <w:noProof/>
      </w:rPr>
    </w:sdtEndPr>
    <w:sdtContent>
      <w:p w14:paraId="4A47BBE9" w14:textId="617C107D" w:rsidR="00DC6C35" w:rsidRPr="007B3F31" w:rsidRDefault="00DC6C35">
        <w:pPr>
          <w:pStyle w:val="Footer"/>
          <w:jc w:val="right"/>
          <w:rPr>
            <w:rFonts w:ascii="Times New Roman" w:hAnsi="Times New Roman" w:cs="Times New Roman"/>
          </w:rPr>
        </w:pPr>
        <w:r w:rsidRPr="007B3F31">
          <w:rPr>
            <w:rFonts w:ascii="Times New Roman" w:hAnsi="Times New Roman" w:cs="Times New Roman"/>
          </w:rPr>
          <w:fldChar w:fldCharType="begin"/>
        </w:r>
        <w:r w:rsidRPr="007B3F31">
          <w:rPr>
            <w:rFonts w:ascii="Times New Roman" w:hAnsi="Times New Roman" w:cs="Times New Roman"/>
          </w:rPr>
          <w:instrText xml:space="preserve"> PAGE   \* MERGEFORMAT </w:instrText>
        </w:r>
        <w:r w:rsidRPr="007B3F31">
          <w:rPr>
            <w:rFonts w:ascii="Times New Roman" w:hAnsi="Times New Roman" w:cs="Times New Roman"/>
          </w:rPr>
          <w:fldChar w:fldCharType="separate"/>
        </w:r>
        <w:r>
          <w:rPr>
            <w:rFonts w:ascii="Times New Roman" w:hAnsi="Times New Roman" w:cs="Times New Roman"/>
            <w:noProof/>
          </w:rPr>
          <w:t>11</w:t>
        </w:r>
        <w:r w:rsidRPr="007B3F31">
          <w:rPr>
            <w:rFonts w:ascii="Times New Roman" w:hAnsi="Times New Roman" w:cs="Times New Roman"/>
            <w:noProof/>
          </w:rPr>
          <w:fldChar w:fldCharType="end"/>
        </w:r>
      </w:p>
    </w:sdtContent>
  </w:sdt>
  <w:p w14:paraId="332E4FF0" w14:textId="77777777" w:rsidR="00DC6C35" w:rsidRDefault="00DC6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0B71" w14:textId="77777777" w:rsidR="009523EF" w:rsidRDefault="009523EF" w:rsidP="001D64B4">
      <w:pPr>
        <w:spacing w:after="0" w:line="240" w:lineRule="auto"/>
      </w:pPr>
      <w:r>
        <w:separator/>
      </w:r>
    </w:p>
  </w:footnote>
  <w:footnote w:type="continuationSeparator" w:id="0">
    <w:p w14:paraId="1A07740C" w14:textId="77777777" w:rsidR="009523EF" w:rsidRDefault="009523EF" w:rsidP="001D64B4">
      <w:pPr>
        <w:spacing w:after="0" w:line="240" w:lineRule="auto"/>
      </w:pPr>
      <w:r>
        <w:continuationSeparator/>
      </w:r>
    </w:p>
  </w:footnote>
  <w:footnote w:id="1">
    <w:p w14:paraId="10419A95" w14:textId="77777777" w:rsidR="00BF3E00" w:rsidRDefault="00DC6C35" w:rsidP="0097167A">
      <w:pPr>
        <w:pStyle w:val="FootnoteText"/>
        <w:ind w:firstLine="0"/>
      </w:pPr>
      <w:r>
        <w:rPr>
          <w:rStyle w:val="FootnoteReference"/>
        </w:rPr>
        <w:footnoteRef/>
      </w:r>
      <w:r>
        <w:t xml:space="preserve"> </w:t>
      </w:r>
      <w:r w:rsidR="00BF3E00">
        <w:t>Senior Lecturer in Law, University of Liverpool</w:t>
      </w:r>
    </w:p>
    <w:p w14:paraId="20EF87AB" w14:textId="4CC69F9B" w:rsidR="00DC6C35" w:rsidRDefault="00D174FB" w:rsidP="0097167A">
      <w:pPr>
        <w:pStyle w:val="FootnoteText"/>
        <w:ind w:firstLine="0"/>
      </w:pPr>
      <w:r w:rsidRPr="00D174FB">
        <w:t>School of Law and Social Justice, University of Liverpool</w:t>
      </w:r>
      <w:r>
        <w:t>, Chatham Street, Liverpool, L69 7ZR</w:t>
      </w:r>
      <w:r w:rsidR="00E530F8">
        <w:t>, England (</w:t>
      </w:r>
      <w:hyperlink r:id="rId1" w:history="1">
        <w:r w:rsidR="00E530F8" w:rsidRPr="00FA6438">
          <w:rPr>
            <w:rStyle w:val="Hyperlink"/>
          </w:rPr>
          <w:t>J.B.Fanning@liverpool.ac.uk</w:t>
        </w:r>
      </w:hyperlink>
      <w:r w:rsidR="00E530F8">
        <w:t xml:space="preserve">) </w:t>
      </w:r>
    </w:p>
    <w:p w14:paraId="4B9135AB" w14:textId="77777777" w:rsidR="00E530F8" w:rsidRPr="00D174FB" w:rsidRDefault="00E530F8" w:rsidP="0097167A">
      <w:pPr>
        <w:pStyle w:val="FootnoteText"/>
        <w:ind w:firstLine="0"/>
      </w:pPr>
    </w:p>
    <w:p w14:paraId="382ED066" w14:textId="02908CEA" w:rsidR="00DC6C35" w:rsidRPr="007A6BCE" w:rsidRDefault="00D174FB" w:rsidP="0097167A">
      <w:pPr>
        <w:pStyle w:val="FootnoteText"/>
        <w:ind w:firstLine="0"/>
        <w:rPr>
          <w:i/>
          <w:iCs/>
        </w:rPr>
      </w:pPr>
      <w:r>
        <w:t xml:space="preserve">I would like to thank Dr Paula Case and Dr Craig Purshouse for their helpful comments on </w:t>
      </w:r>
      <w:r w:rsidR="00E530F8">
        <w:t>earlier</w:t>
      </w:r>
      <w:r>
        <w:t xml:space="preserve"> drafts</w:t>
      </w:r>
      <w:r w:rsidR="00E530F8">
        <w:t xml:space="preserve"> of this paper</w:t>
      </w:r>
      <w:r>
        <w:t xml:space="preserve"> and the anonymous reviewers for their </w:t>
      </w:r>
      <w:r w:rsidR="00F47367">
        <w:t xml:space="preserve">thoughtful and </w:t>
      </w:r>
      <w:r w:rsidR="00E530F8">
        <w:t>constructive feedback</w:t>
      </w:r>
      <w:r>
        <w:t>. Any errors are my own.</w:t>
      </w:r>
    </w:p>
  </w:footnote>
  <w:footnote w:id="2">
    <w:p w14:paraId="1EAE60FA" w14:textId="6F8D348A"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[1992] 1 AC 310 (HL)</w:t>
      </w:r>
    </w:p>
  </w:footnote>
  <w:footnote w:id="3">
    <w:p w14:paraId="0DE91DDB" w14:textId="3F8CED1B" w:rsidR="00DC6C35" w:rsidRPr="00BD6CF1" w:rsidRDefault="00DC6C35" w:rsidP="0097167A">
      <w:pPr>
        <w:pStyle w:val="FootnoteText"/>
        <w:ind w:firstLine="0"/>
        <w:rPr>
          <w:rFonts w:cs="Times New Roman"/>
        </w:rPr>
      </w:pPr>
      <w:r w:rsidRPr="00BD6CF1">
        <w:rPr>
          <w:rStyle w:val="FootnoteReference"/>
          <w:rFonts w:cs="Times New Roman"/>
        </w:rPr>
        <w:footnoteRef/>
      </w:r>
      <w:r>
        <w:rPr>
          <w:rFonts w:cs="Times New Roman"/>
        </w:rPr>
        <w:t xml:space="preserve"> id. p.</w:t>
      </w:r>
      <w:r w:rsidRPr="00BD6CF1">
        <w:rPr>
          <w:rFonts w:cs="Times New Roman"/>
        </w:rPr>
        <w:t xml:space="preserve"> 418</w:t>
      </w:r>
    </w:p>
  </w:footnote>
  <w:footnote w:id="4">
    <w:p w14:paraId="1CA9E2CB" w14:textId="0A4E701E"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[1999] 2 AC 455 (HL)</w:t>
      </w:r>
    </w:p>
  </w:footnote>
  <w:footnote w:id="5">
    <w:p w14:paraId="1D792DBE" w14:textId="0386160E" w:rsidR="00DC6C35" w:rsidRPr="00BD6CF1" w:rsidRDefault="00DC6C35" w:rsidP="0097167A">
      <w:pPr>
        <w:pStyle w:val="FootnoteText"/>
        <w:ind w:firstLine="0"/>
        <w:rPr>
          <w:rFonts w:cs="Times New Roman"/>
        </w:rPr>
      </w:pPr>
      <w:r w:rsidRPr="00BD6CF1">
        <w:rPr>
          <w:rStyle w:val="FootnoteReference"/>
          <w:rFonts w:cs="Times New Roman"/>
        </w:rPr>
        <w:footnoteRef/>
      </w:r>
      <w:r>
        <w:rPr>
          <w:rFonts w:cs="Times New Roman"/>
        </w:rPr>
        <w:t xml:space="preserve"> id. p.</w:t>
      </w:r>
      <w:r w:rsidRPr="00BD6CF1">
        <w:rPr>
          <w:rFonts w:cs="Times New Roman"/>
        </w:rPr>
        <w:t xml:space="preserve"> 511</w:t>
      </w:r>
    </w:p>
  </w:footnote>
  <w:footnote w:id="6">
    <w:p w14:paraId="4F5FCA37" w14:textId="715695B7"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H</w:t>
      </w:r>
      <w:r>
        <w:rPr>
          <w:rFonts w:cs="Times New Roman"/>
        </w:rPr>
        <w:t>.</w:t>
      </w:r>
      <w:r w:rsidRPr="00BD6CF1">
        <w:rPr>
          <w:rFonts w:cs="Times New Roman"/>
        </w:rPr>
        <w:t xml:space="preserve"> Teff, ‘Liability for Negligently Inflicted Psychiatric Harm: Justifications and Boundaries’ (1998) 57(1) </w:t>
      </w:r>
      <w:r w:rsidRPr="00BD6CF1">
        <w:rPr>
          <w:rFonts w:cs="Times New Roman"/>
          <w:i/>
          <w:iCs/>
        </w:rPr>
        <w:t xml:space="preserve">Cambridge </w:t>
      </w:r>
      <w:r>
        <w:rPr>
          <w:rFonts w:cs="Times New Roman"/>
          <w:i/>
          <w:iCs/>
        </w:rPr>
        <w:t>L.J.</w:t>
      </w:r>
      <w:r w:rsidRPr="00BD6CF1">
        <w:rPr>
          <w:rFonts w:cs="Times New Roman"/>
          <w:i/>
          <w:iCs/>
        </w:rPr>
        <w:t xml:space="preserve"> </w:t>
      </w:r>
      <w:r w:rsidRPr="00BD6CF1">
        <w:rPr>
          <w:rFonts w:cs="Times New Roman"/>
        </w:rPr>
        <w:t>91,</w:t>
      </w:r>
      <w:r>
        <w:rPr>
          <w:rFonts w:cs="Times New Roman"/>
        </w:rPr>
        <w:t xml:space="preserve"> at</w:t>
      </w:r>
      <w:r w:rsidRPr="00BD6CF1">
        <w:rPr>
          <w:rFonts w:cs="Times New Roman"/>
        </w:rPr>
        <w:t xml:space="preserve"> 107</w:t>
      </w:r>
    </w:p>
  </w:footnote>
  <w:footnote w:id="7">
    <w:p w14:paraId="0EC015DA" w14:textId="09313A06"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S</w:t>
      </w:r>
      <w:r>
        <w:rPr>
          <w:rFonts w:cs="Times New Roman"/>
        </w:rPr>
        <w:t>.</w:t>
      </w:r>
      <w:r w:rsidRPr="00BD6CF1">
        <w:rPr>
          <w:rFonts w:cs="Times New Roman"/>
        </w:rPr>
        <w:t xml:space="preserve"> Bailey and D</w:t>
      </w:r>
      <w:r>
        <w:rPr>
          <w:rFonts w:cs="Times New Roman"/>
        </w:rPr>
        <w:t>.</w:t>
      </w:r>
      <w:r w:rsidRPr="00BD6CF1">
        <w:rPr>
          <w:rFonts w:cs="Times New Roman"/>
        </w:rPr>
        <w:t xml:space="preserve"> Nolan, ‘The </w:t>
      </w:r>
      <w:r w:rsidRPr="00BD6CF1">
        <w:rPr>
          <w:rFonts w:cs="Times New Roman"/>
          <w:i/>
          <w:iCs/>
        </w:rPr>
        <w:t xml:space="preserve">Page v Smith </w:t>
      </w:r>
      <w:r w:rsidRPr="00BD6CF1">
        <w:rPr>
          <w:rFonts w:cs="Times New Roman"/>
        </w:rPr>
        <w:t xml:space="preserve">Saga: A Tale of Inauspicious Origins and Unintended Consequences’ (2010) 69(3) </w:t>
      </w:r>
      <w:r w:rsidRPr="00BD6CF1">
        <w:rPr>
          <w:rFonts w:cs="Times New Roman"/>
          <w:i/>
          <w:iCs/>
        </w:rPr>
        <w:t xml:space="preserve">Cambridge </w:t>
      </w:r>
      <w:r>
        <w:rPr>
          <w:rFonts w:cs="Times New Roman"/>
          <w:i/>
          <w:iCs/>
        </w:rPr>
        <w:t>L.J.</w:t>
      </w:r>
      <w:r w:rsidRPr="00BD6CF1">
        <w:rPr>
          <w:rFonts w:cs="Times New Roman"/>
          <w:i/>
          <w:iCs/>
        </w:rPr>
        <w:t xml:space="preserve"> </w:t>
      </w:r>
      <w:r w:rsidRPr="00BD6CF1">
        <w:rPr>
          <w:rFonts w:cs="Times New Roman"/>
        </w:rPr>
        <w:t xml:space="preserve">495, </w:t>
      </w:r>
      <w:r>
        <w:rPr>
          <w:rFonts w:cs="Times New Roman"/>
        </w:rPr>
        <w:t xml:space="preserve">at </w:t>
      </w:r>
      <w:r w:rsidRPr="00BD6CF1">
        <w:rPr>
          <w:rFonts w:cs="Times New Roman"/>
        </w:rPr>
        <w:t>512</w:t>
      </w:r>
    </w:p>
  </w:footnote>
  <w:footnote w:id="8">
    <w:p w14:paraId="402E636B" w14:textId="33F522CB"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M</w:t>
      </w:r>
      <w:r>
        <w:rPr>
          <w:rFonts w:cs="Times New Roman"/>
        </w:rPr>
        <w:t>.</w:t>
      </w:r>
      <w:r w:rsidRPr="00BD6CF1">
        <w:rPr>
          <w:rFonts w:cs="Times New Roman"/>
        </w:rPr>
        <w:t>A</w:t>
      </w:r>
      <w:r>
        <w:rPr>
          <w:rFonts w:cs="Times New Roman"/>
        </w:rPr>
        <w:t>.</w:t>
      </w:r>
      <w:r w:rsidRPr="00BD6CF1">
        <w:rPr>
          <w:rFonts w:cs="Times New Roman"/>
        </w:rPr>
        <w:t xml:space="preserve"> Jones, ‘Liability for Fear of Future Disease?’ (2008) 24(1) </w:t>
      </w:r>
      <w:r w:rsidRPr="00BD6CF1">
        <w:rPr>
          <w:rFonts w:cs="Times New Roman"/>
          <w:i/>
          <w:iCs/>
        </w:rPr>
        <w:t xml:space="preserve">Professional Negligence </w:t>
      </w:r>
      <w:r w:rsidRPr="00BD6CF1">
        <w:rPr>
          <w:rFonts w:cs="Times New Roman"/>
        </w:rPr>
        <w:t>13,</w:t>
      </w:r>
      <w:r>
        <w:rPr>
          <w:rFonts w:cs="Times New Roman"/>
        </w:rPr>
        <w:t xml:space="preserve"> at</w:t>
      </w:r>
      <w:r w:rsidRPr="00BD6CF1">
        <w:rPr>
          <w:rFonts w:cs="Times New Roman"/>
        </w:rPr>
        <w:t xml:space="preserve"> 17</w:t>
      </w:r>
    </w:p>
  </w:footnote>
  <w:footnote w:id="9">
    <w:p w14:paraId="4467B689" w14:textId="6047D649"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J</w:t>
      </w:r>
      <w:r>
        <w:rPr>
          <w:rFonts w:cs="Times New Roman"/>
        </w:rPr>
        <w:t>.</w:t>
      </w:r>
      <w:r w:rsidRPr="00BD6CF1">
        <w:rPr>
          <w:rFonts w:cs="Times New Roman"/>
        </w:rPr>
        <w:t xml:space="preserve"> Ahuja, ‘Liability for Psychological and Psychiatric Harm: The Road to Recovery’ (2014) 23(1) </w:t>
      </w:r>
      <w:r w:rsidRPr="00BD6CF1">
        <w:rPr>
          <w:rFonts w:cs="Times New Roman"/>
          <w:i/>
          <w:iCs/>
        </w:rPr>
        <w:t xml:space="preserve">Medical </w:t>
      </w:r>
      <w:r>
        <w:rPr>
          <w:rFonts w:cs="Times New Roman"/>
          <w:i/>
          <w:iCs/>
        </w:rPr>
        <w:t>L.Rev.</w:t>
      </w:r>
      <w:r w:rsidRPr="00BD6CF1">
        <w:rPr>
          <w:rFonts w:cs="Times New Roman"/>
          <w:i/>
          <w:iCs/>
        </w:rPr>
        <w:t xml:space="preserve"> </w:t>
      </w:r>
      <w:r w:rsidRPr="00BD6CF1">
        <w:rPr>
          <w:rFonts w:cs="Times New Roman"/>
        </w:rPr>
        <w:t>27,</w:t>
      </w:r>
      <w:r>
        <w:rPr>
          <w:rFonts w:cs="Times New Roman"/>
        </w:rPr>
        <w:t xml:space="preserve"> at</w:t>
      </w:r>
      <w:r w:rsidRPr="00BD6CF1">
        <w:rPr>
          <w:rFonts w:cs="Times New Roman"/>
        </w:rPr>
        <w:t xml:space="preserve"> 27-8</w:t>
      </w:r>
    </w:p>
  </w:footnote>
  <w:footnote w:id="10">
    <w:p w14:paraId="07136F88" w14:textId="094DA3E7"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w:t>
      </w:r>
      <w:r>
        <w:rPr>
          <w:rFonts w:cs="Times New Roman"/>
        </w:rPr>
        <w:t>.</w:t>
      </w:r>
      <w:r w:rsidRPr="00BD6CF1">
        <w:rPr>
          <w:rFonts w:cs="Times New Roman"/>
        </w:rPr>
        <w:t xml:space="preserve"> McIvor, ‘Liability for Psychiatric Harm’ (2007) 23(4) </w:t>
      </w:r>
      <w:r w:rsidRPr="00BD6CF1">
        <w:rPr>
          <w:rFonts w:cs="Times New Roman"/>
          <w:i/>
          <w:iCs/>
        </w:rPr>
        <w:t xml:space="preserve">Professional Negligence </w:t>
      </w:r>
      <w:r w:rsidRPr="00BD6CF1">
        <w:rPr>
          <w:rFonts w:cs="Times New Roman"/>
        </w:rPr>
        <w:t>249, at 250</w:t>
      </w:r>
    </w:p>
  </w:footnote>
  <w:footnote w:id="11">
    <w:p w14:paraId="5ADEFA11" w14:textId="4A33B2F8"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S</w:t>
      </w:r>
      <w:r>
        <w:rPr>
          <w:rFonts w:cs="Times New Roman"/>
        </w:rPr>
        <w:t>.</w:t>
      </w:r>
      <w:r w:rsidRPr="00BD6CF1">
        <w:rPr>
          <w:rFonts w:cs="Times New Roman"/>
        </w:rPr>
        <w:t xml:space="preserve"> Hedley, ‘Hillsborough: Morbid Musings of a Reasonable Chief Constable’ (1992) 51(1) </w:t>
      </w:r>
      <w:r w:rsidRPr="00BD6CF1">
        <w:rPr>
          <w:rFonts w:cs="Times New Roman"/>
          <w:i/>
          <w:iCs/>
        </w:rPr>
        <w:t xml:space="preserve">Cambridge </w:t>
      </w:r>
      <w:r>
        <w:rPr>
          <w:rFonts w:cs="Times New Roman"/>
          <w:i/>
          <w:iCs/>
        </w:rPr>
        <w:t>L.J.</w:t>
      </w:r>
      <w:r w:rsidRPr="00BD6CF1">
        <w:rPr>
          <w:rFonts w:cs="Times New Roman"/>
        </w:rPr>
        <w:t xml:space="preserve"> 16, </w:t>
      </w:r>
      <w:r>
        <w:rPr>
          <w:rFonts w:cs="Times New Roman"/>
        </w:rPr>
        <w:t xml:space="preserve">at </w:t>
      </w:r>
      <w:r w:rsidRPr="00BD6CF1">
        <w:rPr>
          <w:rFonts w:cs="Times New Roman"/>
        </w:rPr>
        <w:t>18</w:t>
      </w:r>
    </w:p>
  </w:footnote>
  <w:footnote w:id="12">
    <w:p w14:paraId="54B241AC" w14:textId="386A38F9"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N</w:t>
      </w:r>
      <w:r>
        <w:rPr>
          <w:rFonts w:cs="Times New Roman"/>
        </w:rPr>
        <w:t>.</w:t>
      </w:r>
      <w:r w:rsidRPr="00BD6CF1">
        <w:rPr>
          <w:rFonts w:cs="Times New Roman"/>
        </w:rPr>
        <w:t>J</w:t>
      </w:r>
      <w:r>
        <w:rPr>
          <w:rFonts w:cs="Times New Roman"/>
        </w:rPr>
        <w:t>.</w:t>
      </w:r>
      <w:r w:rsidRPr="00BD6CF1">
        <w:rPr>
          <w:rFonts w:cs="Times New Roman"/>
        </w:rPr>
        <w:t xml:space="preserve"> Mullany, ‘English Psychiatric Injury Law: Chronically Depressing’ (1999) 115 (January) </w:t>
      </w:r>
      <w:r w:rsidRPr="00BD6CF1">
        <w:rPr>
          <w:rFonts w:cs="Times New Roman"/>
          <w:i/>
          <w:iCs/>
        </w:rPr>
        <w:t xml:space="preserve">Law </w:t>
      </w:r>
      <w:r>
        <w:rPr>
          <w:rFonts w:cs="Times New Roman"/>
          <w:i/>
          <w:iCs/>
        </w:rPr>
        <w:t>Q.</w:t>
      </w:r>
      <w:r w:rsidRPr="00BD6CF1">
        <w:rPr>
          <w:rFonts w:cs="Times New Roman"/>
          <w:i/>
          <w:iCs/>
        </w:rPr>
        <w:t xml:space="preserve"> </w:t>
      </w:r>
      <w:r>
        <w:rPr>
          <w:rFonts w:cs="Times New Roman"/>
          <w:i/>
          <w:iCs/>
        </w:rPr>
        <w:t>Rev.</w:t>
      </w:r>
      <w:r w:rsidRPr="00BD6CF1">
        <w:rPr>
          <w:rFonts w:cs="Times New Roman"/>
          <w:i/>
          <w:iCs/>
        </w:rPr>
        <w:t xml:space="preserve"> </w:t>
      </w:r>
      <w:r w:rsidRPr="00BD6CF1">
        <w:rPr>
          <w:rFonts w:cs="Times New Roman"/>
        </w:rPr>
        <w:t xml:space="preserve">30, </w:t>
      </w:r>
      <w:r>
        <w:rPr>
          <w:rFonts w:cs="Times New Roman"/>
        </w:rPr>
        <w:t xml:space="preserve">at </w:t>
      </w:r>
      <w:r w:rsidRPr="00BD6CF1">
        <w:rPr>
          <w:rFonts w:cs="Times New Roman"/>
        </w:rPr>
        <w:t>36</w:t>
      </w:r>
    </w:p>
  </w:footnote>
  <w:footnote w:id="13">
    <w:p w14:paraId="5B2130B9" w14:textId="6C76B8D9"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S</w:t>
      </w:r>
      <w:r>
        <w:rPr>
          <w:rFonts w:cs="Times New Roman"/>
        </w:rPr>
        <w:t>.</w:t>
      </w:r>
      <w:r w:rsidRPr="00BD6CF1">
        <w:rPr>
          <w:rFonts w:cs="Times New Roman"/>
        </w:rPr>
        <w:t xml:space="preserve"> Todd, ‘Psychiatric Injury and Rescuers’ (1999) 115 (July) </w:t>
      </w:r>
      <w:r w:rsidRPr="00BD6CF1">
        <w:rPr>
          <w:rFonts w:cs="Times New Roman"/>
          <w:i/>
          <w:iCs/>
        </w:rPr>
        <w:t xml:space="preserve">Law </w:t>
      </w:r>
      <w:r>
        <w:rPr>
          <w:rFonts w:cs="Times New Roman"/>
          <w:i/>
          <w:iCs/>
        </w:rPr>
        <w:t>Q.</w:t>
      </w:r>
      <w:r w:rsidRPr="00BD6CF1">
        <w:rPr>
          <w:rFonts w:cs="Times New Roman"/>
          <w:i/>
          <w:iCs/>
        </w:rPr>
        <w:t xml:space="preserve"> </w:t>
      </w:r>
      <w:r>
        <w:rPr>
          <w:rFonts w:cs="Times New Roman"/>
          <w:i/>
          <w:iCs/>
        </w:rPr>
        <w:t>Rev.</w:t>
      </w:r>
      <w:r w:rsidRPr="00BD6CF1">
        <w:rPr>
          <w:rFonts w:cs="Times New Roman"/>
          <w:i/>
          <w:iCs/>
        </w:rPr>
        <w:t xml:space="preserve"> </w:t>
      </w:r>
      <w:r w:rsidRPr="00BD6CF1">
        <w:rPr>
          <w:rFonts w:cs="Times New Roman"/>
        </w:rPr>
        <w:t>345,</w:t>
      </w:r>
      <w:r>
        <w:rPr>
          <w:rFonts w:cs="Times New Roman"/>
        </w:rPr>
        <w:t xml:space="preserve"> at</w:t>
      </w:r>
      <w:r w:rsidRPr="00BD6CF1">
        <w:rPr>
          <w:rFonts w:cs="Times New Roman"/>
        </w:rPr>
        <w:t xml:space="preserve"> 349</w:t>
      </w:r>
    </w:p>
  </w:footnote>
  <w:footnote w:id="14">
    <w:p w14:paraId="1D20A4E9" w14:textId="2438D6B7"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P</w:t>
      </w:r>
      <w:r>
        <w:rPr>
          <w:rFonts w:cs="Times New Roman"/>
        </w:rPr>
        <w:t>.</w:t>
      </w:r>
      <w:r w:rsidRPr="00BD6CF1">
        <w:rPr>
          <w:rFonts w:cs="Times New Roman"/>
        </w:rPr>
        <w:t>A</w:t>
      </w:r>
      <w:r>
        <w:rPr>
          <w:rFonts w:cs="Times New Roman"/>
        </w:rPr>
        <w:t>.</w:t>
      </w:r>
      <w:r w:rsidRPr="00BD6CF1">
        <w:rPr>
          <w:rFonts w:cs="Times New Roman"/>
        </w:rPr>
        <w:t xml:space="preserve"> Bell, ‘The Bell Tolls: Toward Full Tort Recovery for Psychic Injury’ (1984) 36(3) </w:t>
      </w:r>
      <w:r w:rsidRPr="00BD6CF1">
        <w:rPr>
          <w:rFonts w:cs="Times New Roman"/>
          <w:i/>
          <w:iCs/>
        </w:rPr>
        <w:t xml:space="preserve">University of Florida </w:t>
      </w:r>
      <w:r>
        <w:rPr>
          <w:rFonts w:cs="Times New Roman"/>
          <w:i/>
          <w:iCs/>
        </w:rPr>
        <w:t>L.Rev.</w:t>
      </w:r>
      <w:r w:rsidRPr="00BD6CF1">
        <w:rPr>
          <w:rFonts w:cs="Times New Roman"/>
          <w:i/>
          <w:iCs/>
        </w:rPr>
        <w:t xml:space="preserve"> </w:t>
      </w:r>
      <w:r w:rsidRPr="00BD6CF1">
        <w:rPr>
          <w:rFonts w:cs="Times New Roman"/>
        </w:rPr>
        <w:t>333,</w:t>
      </w:r>
      <w:r>
        <w:rPr>
          <w:rFonts w:cs="Times New Roman"/>
        </w:rPr>
        <w:t xml:space="preserve"> at</w:t>
      </w:r>
      <w:r w:rsidRPr="00BD6CF1">
        <w:rPr>
          <w:rFonts w:cs="Times New Roman"/>
        </w:rPr>
        <w:t xml:space="preserve"> 401-2</w:t>
      </w:r>
    </w:p>
  </w:footnote>
  <w:footnote w:id="15">
    <w:p w14:paraId="63841F36" w14:textId="2852DAE3"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J</w:t>
      </w:r>
      <w:r>
        <w:rPr>
          <w:rFonts w:cs="Times New Roman"/>
        </w:rPr>
        <w:t>.</w:t>
      </w:r>
      <w:r w:rsidRPr="00BD6CF1">
        <w:rPr>
          <w:rFonts w:cs="Times New Roman"/>
        </w:rPr>
        <w:t xml:space="preserve"> Stapleton, ‘In Restraint of Tort’ in </w:t>
      </w:r>
      <w:r w:rsidRPr="00BD6CF1">
        <w:rPr>
          <w:rFonts w:cs="Times New Roman"/>
          <w:i/>
          <w:iCs/>
        </w:rPr>
        <w:t>The Frontiers of Liability</w:t>
      </w:r>
      <w:r>
        <w:rPr>
          <w:rFonts w:cs="Times New Roman"/>
        </w:rPr>
        <w:t xml:space="preserve">, ed. </w:t>
      </w:r>
      <w:r w:rsidRPr="00BD6CF1">
        <w:rPr>
          <w:rFonts w:cs="Times New Roman"/>
        </w:rPr>
        <w:t>P Birks</w:t>
      </w:r>
      <w:r w:rsidRPr="00BD6CF1">
        <w:rPr>
          <w:rFonts w:cs="Times New Roman"/>
          <w:i/>
          <w:iCs/>
        </w:rPr>
        <w:t xml:space="preserve"> </w:t>
      </w:r>
      <w:r w:rsidRPr="00BD6CF1">
        <w:rPr>
          <w:rFonts w:cs="Times New Roman"/>
        </w:rPr>
        <w:t>(1994</w:t>
      </w:r>
      <w:r>
        <w:rPr>
          <w:rFonts w:cs="Times New Roman"/>
        </w:rPr>
        <w:t>, vol 2</w:t>
      </w:r>
      <w:r w:rsidRPr="00BD6CF1">
        <w:rPr>
          <w:rFonts w:cs="Times New Roman"/>
        </w:rPr>
        <w:t>) 84</w:t>
      </w:r>
    </w:p>
  </w:footnote>
  <w:footnote w:id="16">
    <w:p w14:paraId="3A5D70E8" w14:textId="68FB7E8D"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M</w:t>
      </w:r>
      <w:r>
        <w:rPr>
          <w:rFonts w:cs="Times New Roman"/>
        </w:rPr>
        <w:t>.</w:t>
      </w:r>
      <w:r w:rsidRPr="00BD6CF1">
        <w:rPr>
          <w:rFonts w:cs="Times New Roman"/>
        </w:rPr>
        <w:t>A</w:t>
      </w:r>
      <w:r>
        <w:rPr>
          <w:rFonts w:cs="Times New Roman"/>
        </w:rPr>
        <w:t>.</w:t>
      </w:r>
      <w:r w:rsidRPr="00BD6CF1">
        <w:rPr>
          <w:rFonts w:cs="Times New Roman"/>
        </w:rPr>
        <w:t xml:space="preserve"> Jones, ‘Liability for Psychiatric Damage: Searching for a Path between Pragmatism and Principle’ in </w:t>
      </w:r>
      <w:r w:rsidRPr="00BD6CF1">
        <w:rPr>
          <w:rFonts w:cs="Times New Roman"/>
          <w:i/>
          <w:iCs/>
        </w:rPr>
        <w:t>Emerging Issues in Tort Law</w:t>
      </w:r>
      <w:r>
        <w:rPr>
          <w:rFonts w:cs="Times New Roman"/>
          <w:i/>
          <w:iCs/>
        </w:rPr>
        <w:t xml:space="preserve">, </w:t>
      </w:r>
      <w:r>
        <w:rPr>
          <w:rFonts w:cs="Times New Roman"/>
        </w:rPr>
        <w:t xml:space="preserve">ed. </w:t>
      </w:r>
      <w:r w:rsidRPr="00BD6CF1">
        <w:rPr>
          <w:rFonts w:cs="Times New Roman"/>
        </w:rPr>
        <w:t>JW Neyers et al (2007) 113</w:t>
      </w:r>
    </w:p>
  </w:footnote>
  <w:footnote w:id="17">
    <w:p w14:paraId="461517CE" w14:textId="5307F827"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F</w:t>
      </w:r>
      <w:r>
        <w:rPr>
          <w:rFonts w:cs="Times New Roman"/>
        </w:rPr>
        <w:t>.</w:t>
      </w:r>
      <w:r w:rsidRPr="00BD6CF1">
        <w:rPr>
          <w:rFonts w:cs="Times New Roman"/>
        </w:rPr>
        <w:t>A</w:t>
      </w:r>
      <w:r>
        <w:rPr>
          <w:rFonts w:cs="Times New Roman"/>
        </w:rPr>
        <w:t>.</w:t>
      </w:r>
      <w:r w:rsidRPr="00BD6CF1">
        <w:rPr>
          <w:rFonts w:cs="Times New Roman"/>
        </w:rPr>
        <w:t xml:space="preserve"> Trindade, ‘Nervous Shock and Negligent Conduct’ (1996) 112 (January) </w:t>
      </w:r>
      <w:r w:rsidRPr="00BD6CF1">
        <w:rPr>
          <w:rFonts w:cs="Times New Roman"/>
          <w:i/>
          <w:iCs/>
        </w:rPr>
        <w:t xml:space="preserve">Law </w:t>
      </w:r>
      <w:r>
        <w:rPr>
          <w:rFonts w:cs="Times New Roman"/>
          <w:i/>
          <w:iCs/>
        </w:rPr>
        <w:t>Q.</w:t>
      </w:r>
      <w:r w:rsidRPr="00BD6CF1">
        <w:rPr>
          <w:rFonts w:cs="Times New Roman"/>
          <w:i/>
          <w:iCs/>
        </w:rPr>
        <w:t xml:space="preserve"> </w:t>
      </w:r>
      <w:r>
        <w:rPr>
          <w:rFonts w:cs="Times New Roman"/>
          <w:i/>
          <w:iCs/>
        </w:rPr>
        <w:t>Rev.</w:t>
      </w:r>
      <w:r w:rsidRPr="00BD6CF1">
        <w:rPr>
          <w:rFonts w:cs="Times New Roman"/>
          <w:i/>
          <w:iCs/>
        </w:rPr>
        <w:t xml:space="preserve"> </w:t>
      </w:r>
      <w:r w:rsidRPr="00BD6CF1">
        <w:rPr>
          <w:rFonts w:cs="Times New Roman"/>
        </w:rPr>
        <w:t>22,</w:t>
      </w:r>
      <w:r>
        <w:rPr>
          <w:rFonts w:cs="Times New Roman"/>
        </w:rPr>
        <w:t xml:space="preserve"> at</w:t>
      </w:r>
      <w:r w:rsidRPr="00BD6CF1">
        <w:rPr>
          <w:rFonts w:cs="Times New Roman"/>
        </w:rPr>
        <w:t xml:space="preserve"> 26</w:t>
      </w:r>
    </w:p>
  </w:footnote>
  <w:footnote w:id="18">
    <w:p w14:paraId="6241C1D9" w14:textId="032FD172"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w:t>
      </w:r>
      <w:r>
        <w:rPr>
          <w:rFonts w:cs="Times New Roman"/>
        </w:rPr>
        <w:t>.</w:t>
      </w:r>
      <w:r w:rsidRPr="00BD6CF1">
        <w:rPr>
          <w:rFonts w:cs="Times New Roman"/>
        </w:rPr>
        <w:t xml:space="preserve"> Pugh and M</w:t>
      </w:r>
      <w:r>
        <w:rPr>
          <w:rFonts w:cs="Times New Roman"/>
        </w:rPr>
        <w:t>.</w:t>
      </w:r>
      <w:r w:rsidRPr="00BD6CF1">
        <w:rPr>
          <w:rFonts w:cs="Times New Roman"/>
        </w:rPr>
        <w:t>R</w:t>
      </w:r>
      <w:r>
        <w:rPr>
          <w:rFonts w:cs="Times New Roman"/>
        </w:rPr>
        <w:t>.</w:t>
      </w:r>
      <w:r w:rsidRPr="00BD6CF1">
        <w:rPr>
          <w:rFonts w:cs="Times New Roman"/>
        </w:rPr>
        <w:t xml:space="preserve"> Trimble, ‘Psychiatric Injury after Hillsborough’ (1993) 163(4) </w:t>
      </w:r>
      <w:r w:rsidRPr="00BD6CF1">
        <w:rPr>
          <w:rFonts w:cs="Times New Roman"/>
          <w:i/>
          <w:iCs/>
        </w:rPr>
        <w:t xml:space="preserve">British </w:t>
      </w:r>
      <w:r>
        <w:rPr>
          <w:rFonts w:cs="Times New Roman"/>
          <w:i/>
          <w:iCs/>
        </w:rPr>
        <w:t>J.</w:t>
      </w:r>
      <w:r w:rsidRPr="00BD6CF1">
        <w:rPr>
          <w:rFonts w:cs="Times New Roman"/>
          <w:i/>
          <w:iCs/>
        </w:rPr>
        <w:t xml:space="preserve"> of Psychiatry </w:t>
      </w:r>
      <w:r w:rsidRPr="00BD6CF1">
        <w:rPr>
          <w:rFonts w:cs="Times New Roman"/>
        </w:rPr>
        <w:t xml:space="preserve">425, </w:t>
      </w:r>
      <w:r>
        <w:rPr>
          <w:rFonts w:cs="Times New Roman"/>
        </w:rPr>
        <w:t xml:space="preserve">at </w:t>
      </w:r>
      <w:r w:rsidRPr="00BD6CF1">
        <w:rPr>
          <w:rFonts w:cs="Times New Roman"/>
        </w:rPr>
        <w:t>428-9</w:t>
      </w:r>
    </w:p>
  </w:footnote>
  <w:footnote w:id="19">
    <w:p w14:paraId="2C8F996C" w14:textId="7ABC05AF"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A</w:t>
      </w:r>
      <w:r>
        <w:rPr>
          <w:rFonts w:cs="Times New Roman"/>
        </w:rPr>
        <w:t>.</w:t>
      </w:r>
      <w:r w:rsidRPr="00BD6CF1">
        <w:rPr>
          <w:rFonts w:cs="Times New Roman"/>
        </w:rPr>
        <w:t xml:space="preserve"> Beever, </w:t>
      </w:r>
      <w:r w:rsidRPr="00BD6CF1">
        <w:rPr>
          <w:rFonts w:cs="Times New Roman"/>
          <w:i/>
          <w:iCs/>
        </w:rPr>
        <w:t xml:space="preserve">Rediscovering the Law of Negligence </w:t>
      </w:r>
      <w:r w:rsidRPr="00BD6CF1">
        <w:rPr>
          <w:rFonts w:cs="Times New Roman"/>
        </w:rPr>
        <w:t>(2007) 411</w:t>
      </w:r>
    </w:p>
  </w:footnote>
  <w:footnote w:id="20">
    <w:p w14:paraId="2D14166B" w14:textId="5B280739"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sidRPr="00BD6CF1">
        <w:rPr>
          <w:rFonts w:cs="Times New Roman"/>
          <w:i/>
          <w:iCs/>
        </w:rPr>
        <w:t xml:space="preserve">Robinson v Chief Constable of West Yorkshire Police </w:t>
      </w:r>
      <w:r w:rsidRPr="00BD6CF1">
        <w:rPr>
          <w:rFonts w:cs="Times New Roman"/>
        </w:rPr>
        <w:t>[2018] AC 736 (HL), [70] (Lord Reed)</w:t>
      </w:r>
    </w:p>
  </w:footnote>
  <w:footnote w:id="21">
    <w:p w14:paraId="3A170FB1" w14:textId="6331E5DA"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UNGA Res 61/106 Convention on the Rights of Persons with Disabilities (13 December 2006) UN Doc A/RES/61/106 (CRPD)</w:t>
      </w:r>
    </w:p>
  </w:footnote>
  <w:footnote w:id="22">
    <w:p w14:paraId="1BF34C84" w14:textId="7E10F0C4"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P</w:t>
      </w:r>
      <w:r>
        <w:rPr>
          <w:rFonts w:cs="Times New Roman"/>
        </w:rPr>
        <w:t>.</w:t>
      </w:r>
      <w:r w:rsidRPr="00BD6CF1">
        <w:rPr>
          <w:rFonts w:cs="Times New Roman"/>
        </w:rPr>
        <w:t xml:space="preserve"> Bartlett, ‘The United Nations Convention on the Rights of Persons with Disabilities and Mental Health Law’ (2012) 75(5) </w:t>
      </w:r>
      <w:r w:rsidRPr="00BD6CF1">
        <w:rPr>
          <w:rFonts w:cs="Times New Roman"/>
          <w:i/>
          <w:iCs/>
        </w:rPr>
        <w:t xml:space="preserve">Modern </w:t>
      </w:r>
      <w:r>
        <w:rPr>
          <w:rFonts w:cs="Times New Roman"/>
          <w:i/>
          <w:iCs/>
        </w:rPr>
        <w:t>L.Rev.</w:t>
      </w:r>
      <w:r w:rsidRPr="00BD6CF1">
        <w:rPr>
          <w:rFonts w:cs="Times New Roman"/>
          <w:i/>
          <w:iCs/>
        </w:rPr>
        <w:t xml:space="preserve"> </w:t>
      </w:r>
      <w:r w:rsidRPr="00BD6CF1">
        <w:rPr>
          <w:rFonts w:cs="Times New Roman"/>
        </w:rPr>
        <w:t>752,</w:t>
      </w:r>
      <w:r>
        <w:rPr>
          <w:rFonts w:cs="Times New Roman"/>
        </w:rPr>
        <w:t xml:space="preserve"> at</w:t>
      </w:r>
      <w:r w:rsidRPr="00BD6CF1">
        <w:rPr>
          <w:rFonts w:cs="Times New Roman"/>
        </w:rPr>
        <w:t xml:space="preserve"> 753; CRPD, art 4(1)(b)</w:t>
      </w:r>
    </w:p>
  </w:footnote>
  <w:footnote w:id="23">
    <w:p w14:paraId="1E190602" w14:textId="59482D06" w:rsidR="00DC6C35" w:rsidRPr="00BD6CF1" w:rsidRDefault="00DC6C35" w:rsidP="0097167A">
      <w:pPr>
        <w:pStyle w:val="FootnoteText"/>
        <w:ind w:firstLine="0"/>
        <w:rPr>
          <w:rFonts w:cs="Times New Roman"/>
        </w:rPr>
      </w:pPr>
      <w:r w:rsidRPr="00BD6CF1">
        <w:rPr>
          <w:rStyle w:val="FootnoteReference"/>
          <w:rFonts w:cs="Times New Roman"/>
        </w:rPr>
        <w:footnoteRef/>
      </w:r>
      <w:r>
        <w:rPr>
          <w:rFonts w:cs="Times New Roman"/>
        </w:rPr>
        <w:t xml:space="preserve"> id. p.</w:t>
      </w:r>
      <w:r w:rsidRPr="00BD6CF1">
        <w:rPr>
          <w:rFonts w:cs="Times New Roman"/>
        </w:rPr>
        <w:t xml:space="preserve"> 754</w:t>
      </w:r>
    </w:p>
  </w:footnote>
  <w:footnote w:id="24">
    <w:p w14:paraId="638737D5" w14:textId="70DEE9C4"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sidRPr="00BD6CF1">
        <w:rPr>
          <w:rFonts w:cs="Times New Roman"/>
          <w:i/>
        </w:rPr>
        <w:t xml:space="preserve">Hinz v Berry </w:t>
      </w:r>
      <w:r w:rsidRPr="00BD6CF1">
        <w:rPr>
          <w:rFonts w:cs="Times New Roman"/>
        </w:rPr>
        <w:t>[1970] 2 QB 40 (CA), 42 (Lord Denning MR)</w:t>
      </w:r>
    </w:p>
  </w:footnote>
  <w:footnote w:id="25">
    <w:p w14:paraId="45663B3D" w14:textId="77777777"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CRPD, art 43</w:t>
      </w:r>
    </w:p>
  </w:footnote>
  <w:footnote w:id="26">
    <w:p w14:paraId="02795AA6" w14:textId="52D415F4"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CRPD, art 4(1)(b)</w:t>
      </w:r>
    </w:p>
  </w:footnote>
  <w:footnote w:id="27">
    <w:p w14:paraId="646B2064" w14:textId="6A3EBB1B" w:rsidR="00DC6C35" w:rsidRDefault="00DC6C35" w:rsidP="0097167A">
      <w:pPr>
        <w:pStyle w:val="FootnoteText"/>
        <w:ind w:firstLine="0"/>
      </w:pPr>
      <w:r>
        <w:rPr>
          <w:rStyle w:val="FootnoteReference"/>
        </w:rPr>
        <w:footnoteRef/>
      </w:r>
      <w:r>
        <w:t xml:space="preserve"> </w:t>
      </w:r>
      <w:r>
        <w:rPr>
          <w:rFonts w:cs="Times New Roman"/>
        </w:rPr>
        <w:t xml:space="preserve">Bartlett, </w:t>
      </w:r>
      <w:bookmarkStart w:id="13" w:name="_Hlk65169837"/>
      <w:r>
        <w:rPr>
          <w:rFonts w:cs="Times New Roman"/>
        </w:rPr>
        <w:t>op.cit.,</w:t>
      </w:r>
      <w:bookmarkEnd w:id="13"/>
      <w:r>
        <w:rPr>
          <w:rFonts w:cs="Times New Roman"/>
        </w:rPr>
        <w:t xml:space="preserve"> n.</w:t>
      </w:r>
      <w:r>
        <w:rPr>
          <w:rFonts w:cs="Times New Roman"/>
        </w:rPr>
        <w:fldChar w:fldCharType="begin"/>
      </w:r>
      <w:r>
        <w:rPr>
          <w:rFonts w:cs="Times New Roman"/>
        </w:rPr>
        <w:instrText xml:space="preserve"> NOTEREF _Ref26790760 \h </w:instrText>
      </w:r>
      <w:r>
        <w:rPr>
          <w:rFonts w:cs="Times New Roman"/>
        </w:rPr>
      </w:r>
      <w:r>
        <w:rPr>
          <w:rFonts w:cs="Times New Roman"/>
        </w:rPr>
        <w:fldChar w:fldCharType="separate"/>
      </w:r>
      <w:r w:rsidR="001C337A">
        <w:rPr>
          <w:rFonts w:cs="Times New Roman"/>
        </w:rPr>
        <w:t>21</w:t>
      </w:r>
      <w:r>
        <w:rPr>
          <w:rFonts w:cs="Times New Roman"/>
        </w:rPr>
        <w:fldChar w:fldCharType="end"/>
      </w:r>
      <w:r>
        <w:rPr>
          <w:rFonts w:cs="Times New Roman"/>
        </w:rPr>
        <w:t>, p.</w:t>
      </w:r>
      <w:r w:rsidRPr="00BD6CF1">
        <w:rPr>
          <w:rFonts w:cs="Times New Roman"/>
        </w:rPr>
        <w:t>754</w:t>
      </w:r>
    </w:p>
  </w:footnote>
  <w:footnote w:id="28">
    <w:p w14:paraId="02F90724" w14:textId="745E924E"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H</w:t>
      </w:r>
      <w:r>
        <w:rPr>
          <w:rFonts w:cs="Times New Roman"/>
        </w:rPr>
        <w:t>.</w:t>
      </w:r>
      <w:r w:rsidRPr="00BD6CF1">
        <w:rPr>
          <w:rFonts w:cs="Times New Roman"/>
        </w:rPr>
        <w:t xml:space="preserve"> Teff, </w:t>
      </w:r>
      <w:r w:rsidRPr="00BD6CF1">
        <w:rPr>
          <w:rFonts w:cs="Times New Roman"/>
          <w:i/>
        </w:rPr>
        <w:t xml:space="preserve">Causing Psychiatric and Emotional Harm </w:t>
      </w:r>
      <w:r w:rsidRPr="00BD6CF1">
        <w:rPr>
          <w:rFonts w:cs="Times New Roman"/>
        </w:rPr>
        <w:t>(2009) 7-8</w:t>
      </w:r>
    </w:p>
  </w:footnote>
  <w:footnote w:id="29">
    <w:p w14:paraId="39B95062" w14:textId="63442AA6"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sidRPr="00BD6CF1">
        <w:rPr>
          <w:rFonts w:cs="Times New Roman"/>
          <w:i/>
        </w:rPr>
        <w:t xml:space="preserve">Walker v Northumberland County Council </w:t>
      </w:r>
      <w:r w:rsidRPr="00BD6CF1">
        <w:rPr>
          <w:rFonts w:cs="Times New Roman"/>
        </w:rPr>
        <w:t xml:space="preserve">[1995] 1 All ER 737; </w:t>
      </w:r>
      <w:r w:rsidRPr="00BD6CF1">
        <w:rPr>
          <w:rFonts w:cs="Times New Roman"/>
          <w:i/>
        </w:rPr>
        <w:t xml:space="preserve">Hatton v Sutherland </w:t>
      </w:r>
      <w:r w:rsidRPr="00BD6CF1">
        <w:rPr>
          <w:rFonts w:cs="Times New Roman"/>
        </w:rPr>
        <w:t xml:space="preserve">[2002] EWCA Civ 76; </w:t>
      </w:r>
      <w:r w:rsidRPr="00BD6CF1">
        <w:rPr>
          <w:rFonts w:cs="Times New Roman"/>
          <w:i/>
        </w:rPr>
        <w:t xml:space="preserve">Barber v Somerset County Council </w:t>
      </w:r>
      <w:r w:rsidRPr="00BD6CF1">
        <w:rPr>
          <w:rFonts w:cs="Times New Roman"/>
        </w:rPr>
        <w:t>[2004] UKHL 13</w:t>
      </w:r>
    </w:p>
  </w:footnote>
  <w:footnote w:id="30">
    <w:p w14:paraId="1CFBDFAC" w14:textId="14E771C6"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United Nations, ‘Convention on the Rights of Persons with Disabilities (CRPD)’ </w:t>
      </w:r>
      <w:r>
        <w:rPr>
          <w:rFonts w:cs="Times New Roman"/>
        </w:rPr>
        <w:t>&lt;</w:t>
      </w:r>
      <w:hyperlink r:id="rId2" w:history="1">
        <w:r w:rsidRPr="00F009F1">
          <w:rPr>
            <w:rStyle w:val="Hyperlink"/>
            <w:rFonts w:cs="Times New Roman"/>
          </w:rPr>
          <w:t>https://www.un.org/development/desa/disabilities/convention-on-the-rights-of-persons-with-disabilities.html</w:t>
        </w:r>
      </w:hyperlink>
      <w:r>
        <w:rPr>
          <w:rFonts w:cs="Times New Roman"/>
        </w:rPr>
        <w:t>&gt;</w:t>
      </w:r>
      <w:r w:rsidRPr="00BD6CF1">
        <w:rPr>
          <w:rFonts w:cs="Times New Roman"/>
        </w:rPr>
        <w:t xml:space="preserve"> </w:t>
      </w:r>
    </w:p>
  </w:footnote>
  <w:footnote w:id="31">
    <w:p w14:paraId="6B0C71FA" w14:textId="2003A924"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Pr>
          <w:rFonts w:cs="Times New Roman"/>
        </w:rPr>
        <w:t>id.</w:t>
      </w:r>
    </w:p>
  </w:footnote>
  <w:footnote w:id="32">
    <w:p w14:paraId="40C85ADE" w14:textId="06FD80E3"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Except Tonga, the Solomon Islands</w:t>
      </w:r>
      <w:r w:rsidR="008F2857">
        <w:rPr>
          <w:rFonts w:cs="Times New Roman"/>
        </w:rPr>
        <w:t>,</w:t>
      </w:r>
      <w:r w:rsidRPr="00BD6CF1">
        <w:rPr>
          <w:rFonts w:cs="Times New Roman"/>
        </w:rPr>
        <w:t xml:space="preserve"> and the United States, which have signed but not ratified the CRPD</w:t>
      </w:r>
    </w:p>
  </w:footnote>
  <w:footnote w:id="33">
    <w:p w14:paraId="590F8561" w14:textId="7DFCD7B7"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UN General Assembly, </w:t>
      </w:r>
      <w:r w:rsidRPr="00BD6CF1">
        <w:rPr>
          <w:rFonts w:cs="Times New Roman"/>
          <w:i/>
        </w:rPr>
        <w:t>Optional Protocol to the Convention on the Rights of Persons with Disabilities</w:t>
      </w:r>
      <w:r w:rsidRPr="00BD6CF1">
        <w:rPr>
          <w:rFonts w:cs="Times New Roman"/>
        </w:rPr>
        <w:t>, 13 December 2006, A/RES/61/106, Annex II (‘Optional Protocol’)</w:t>
      </w:r>
    </w:p>
  </w:footnote>
  <w:footnote w:id="34">
    <w:p w14:paraId="57F21CF6" w14:textId="1C15EE30"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A</w:t>
      </w:r>
      <w:r>
        <w:rPr>
          <w:rFonts w:cs="Times New Roman"/>
        </w:rPr>
        <w:t>.</w:t>
      </w:r>
      <w:r w:rsidRPr="00BD6CF1">
        <w:rPr>
          <w:rFonts w:cs="Times New Roman"/>
        </w:rPr>
        <w:t xml:space="preserve"> Lawson, ‘The United Nations Convention on the Rights of Persons with Disabilities: New Era or False Dawn?’ (2007) 34 </w:t>
      </w:r>
      <w:r w:rsidRPr="00BD6CF1">
        <w:rPr>
          <w:rFonts w:cs="Times New Roman"/>
          <w:i/>
        </w:rPr>
        <w:t xml:space="preserve">Syracuse </w:t>
      </w:r>
      <w:r>
        <w:rPr>
          <w:rFonts w:cs="Times New Roman"/>
          <w:i/>
        </w:rPr>
        <w:t>J.</w:t>
      </w:r>
      <w:r w:rsidRPr="00BD6CF1">
        <w:rPr>
          <w:rFonts w:cs="Times New Roman"/>
          <w:i/>
        </w:rPr>
        <w:t xml:space="preserve"> of International Law and Commerce </w:t>
      </w:r>
      <w:r w:rsidRPr="00BD6CF1">
        <w:rPr>
          <w:rFonts w:cs="Times New Roman"/>
        </w:rPr>
        <w:t>563,</w:t>
      </w:r>
      <w:r>
        <w:rPr>
          <w:rFonts w:cs="Times New Roman"/>
        </w:rPr>
        <w:t xml:space="preserve"> at</w:t>
      </w:r>
      <w:r w:rsidRPr="00BD6CF1">
        <w:rPr>
          <w:rFonts w:cs="Times New Roman"/>
        </w:rPr>
        <w:t xml:space="preserve"> 574-6</w:t>
      </w:r>
    </w:p>
  </w:footnote>
  <w:footnote w:id="35">
    <w:p w14:paraId="18157F85" w14:textId="464648CD"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See, e.g., </w:t>
      </w:r>
      <w:r w:rsidR="008F2857">
        <w:rPr>
          <w:rFonts w:cs="Times New Roman"/>
        </w:rPr>
        <w:t>UN</w:t>
      </w:r>
      <w:r w:rsidRPr="00BD6CF1">
        <w:rPr>
          <w:rFonts w:cs="Times New Roman"/>
        </w:rPr>
        <w:t xml:space="preserve"> Declaration on the Rights of Mentally Retarded Persons, UNGA Res 2856 (XXVI) (20 December 1971); UN Declaration on the Rights of Disabled Persons, UNGA Res 3447 (XXX) (9 December 1975)</w:t>
      </w:r>
    </w:p>
  </w:footnote>
  <w:footnote w:id="36">
    <w:p w14:paraId="261C34AA" w14:textId="561B782D"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F</w:t>
      </w:r>
      <w:r>
        <w:rPr>
          <w:rFonts w:cs="Times New Roman"/>
        </w:rPr>
        <w:t>.</w:t>
      </w:r>
      <w:r w:rsidRPr="00BD6CF1">
        <w:rPr>
          <w:rFonts w:cs="Times New Roman"/>
        </w:rPr>
        <w:t xml:space="preserve"> Megret, ‘The Disabilities Convention: Human Rights of Persons with Disabilities or Disability Rights?’ (2008) 30 </w:t>
      </w:r>
      <w:r w:rsidRPr="00BD6CF1">
        <w:rPr>
          <w:rFonts w:cs="Times New Roman"/>
          <w:i/>
        </w:rPr>
        <w:t xml:space="preserve">Human Rights </w:t>
      </w:r>
      <w:r>
        <w:rPr>
          <w:rFonts w:cs="Times New Roman"/>
          <w:i/>
        </w:rPr>
        <w:t>Q.</w:t>
      </w:r>
      <w:r w:rsidRPr="00BD6CF1">
        <w:rPr>
          <w:rFonts w:cs="Times New Roman"/>
          <w:i/>
        </w:rPr>
        <w:t xml:space="preserve"> </w:t>
      </w:r>
      <w:r w:rsidRPr="00BD6CF1">
        <w:rPr>
          <w:rFonts w:cs="Times New Roman"/>
        </w:rPr>
        <w:t xml:space="preserve">494, </w:t>
      </w:r>
      <w:r>
        <w:rPr>
          <w:rFonts w:cs="Times New Roman"/>
        </w:rPr>
        <w:t xml:space="preserve">at </w:t>
      </w:r>
      <w:r w:rsidRPr="00BD6CF1">
        <w:rPr>
          <w:rFonts w:cs="Times New Roman"/>
        </w:rPr>
        <w:t>496</w:t>
      </w:r>
    </w:p>
  </w:footnote>
  <w:footnote w:id="37">
    <w:p w14:paraId="32C502F9" w14:textId="37BEF732"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S</w:t>
      </w:r>
      <w:r>
        <w:rPr>
          <w:rFonts w:cs="Times New Roman"/>
        </w:rPr>
        <w:t>.</w:t>
      </w:r>
      <w:r w:rsidRPr="00BD6CF1">
        <w:rPr>
          <w:rFonts w:cs="Times New Roman"/>
        </w:rPr>
        <w:t xml:space="preserve"> Kanter, ‘The Promise and Challenge of the United Nations Convention on the Rights of Persons with Disabilities’ (2007) 34 </w:t>
      </w:r>
      <w:r w:rsidRPr="00BD6CF1">
        <w:rPr>
          <w:rFonts w:cs="Times New Roman"/>
          <w:i/>
        </w:rPr>
        <w:t xml:space="preserve">Syracuse </w:t>
      </w:r>
      <w:r>
        <w:rPr>
          <w:rFonts w:cs="Times New Roman"/>
          <w:i/>
        </w:rPr>
        <w:t>J.</w:t>
      </w:r>
      <w:r w:rsidRPr="00BD6CF1">
        <w:rPr>
          <w:rFonts w:cs="Times New Roman"/>
          <w:i/>
        </w:rPr>
        <w:t xml:space="preserve"> of International Law and Commerce </w:t>
      </w:r>
      <w:r w:rsidRPr="00BD6CF1">
        <w:rPr>
          <w:rFonts w:cs="Times New Roman"/>
        </w:rPr>
        <w:t>287,</w:t>
      </w:r>
      <w:r>
        <w:rPr>
          <w:rFonts w:cs="Times New Roman"/>
        </w:rPr>
        <w:t xml:space="preserve"> at</w:t>
      </w:r>
      <w:r w:rsidRPr="00BD6CF1">
        <w:rPr>
          <w:rFonts w:cs="Times New Roman"/>
        </w:rPr>
        <w:t xml:space="preserve"> 291, 308</w:t>
      </w:r>
    </w:p>
  </w:footnote>
  <w:footnote w:id="38">
    <w:p w14:paraId="1F8E18CA" w14:textId="5D94C408"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World Health Organisation, </w:t>
      </w:r>
      <w:r w:rsidRPr="00BD6CF1">
        <w:rPr>
          <w:rFonts w:cs="Times New Roman"/>
          <w:i/>
        </w:rPr>
        <w:t>World Report on Disability</w:t>
      </w:r>
      <w:r w:rsidRPr="00BD6CF1">
        <w:rPr>
          <w:rFonts w:cs="Times New Roman"/>
        </w:rPr>
        <w:t xml:space="preserve"> (Geneva, World Health Organization, 2011) 29</w:t>
      </w:r>
    </w:p>
  </w:footnote>
  <w:footnote w:id="39">
    <w:p w14:paraId="680DA11B" w14:textId="336B6C68"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Lawson,</w:t>
      </w:r>
      <w:r>
        <w:rPr>
          <w:rFonts w:cs="Times New Roman"/>
        </w:rPr>
        <w:t xml:space="preserve"> op.cit., n.</w:t>
      </w:r>
      <w:r w:rsidRPr="00BD6CF1">
        <w:rPr>
          <w:rFonts w:cs="Times New Roman"/>
        </w:rPr>
        <w:fldChar w:fldCharType="begin"/>
      </w:r>
      <w:r w:rsidRPr="00BD6CF1">
        <w:rPr>
          <w:rFonts w:cs="Times New Roman"/>
        </w:rPr>
        <w:instrText xml:space="preserve"> NOTEREF _Ref26544551 \h  \* MERGEFORMAT </w:instrText>
      </w:r>
      <w:r w:rsidRPr="00BD6CF1">
        <w:rPr>
          <w:rFonts w:cs="Times New Roman"/>
        </w:rPr>
      </w:r>
      <w:r w:rsidRPr="00BD6CF1">
        <w:rPr>
          <w:rFonts w:cs="Times New Roman"/>
        </w:rPr>
        <w:fldChar w:fldCharType="separate"/>
      </w:r>
      <w:r w:rsidR="001C337A">
        <w:rPr>
          <w:rFonts w:cs="Times New Roman"/>
        </w:rPr>
        <w:t>33</w:t>
      </w:r>
      <w:r w:rsidRPr="00BD6CF1">
        <w:rPr>
          <w:rFonts w:cs="Times New Roman"/>
        </w:rPr>
        <w:fldChar w:fldCharType="end"/>
      </w:r>
      <w:r w:rsidRPr="00BD6CF1">
        <w:rPr>
          <w:rFonts w:cs="Times New Roman"/>
        </w:rPr>
        <w:t>,</w:t>
      </w:r>
      <w:r>
        <w:rPr>
          <w:rFonts w:cs="Times New Roman"/>
        </w:rPr>
        <w:t xml:space="preserve"> pp.</w:t>
      </w:r>
      <w:r w:rsidRPr="00BD6CF1">
        <w:rPr>
          <w:rFonts w:cs="Times New Roman"/>
        </w:rPr>
        <w:t>588-9</w:t>
      </w:r>
    </w:p>
  </w:footnote>
  <w:footnote w:id="40">
    <w:p w14:paraId="2E7CE1ED" w14:textId="7DE64066"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J</w:t>
      </w:r>
      <w:r>
        <w:rPr>
          <w:rFonts w:cs="Times New Roman"/>
        </w:rPr>
        <w:t>.</w:t>
      </w:r>
      <w:r w:rsidRPr="00BD6CF1">
        <w:rPr>
          <w:rFonts w:cs="Times New Roman"/>
        </w:rPr>
        <w:t xml:space="preserve"> Brown, ‘The Changing Purpose of Mental Health Law: From Medicine to Legalism to New Legalism’ (2016) 47 </w:t>
      </w:r>
      <w:r w:rsidRPr="00BD6CF1">
        <w:rPr>
          <w:rFonts w:cs="Times New Roman"/>
          <w:i/>
        </w:rPr>
        <w:t xml:space="preserve">International </w:t>
      </w:r>
      <w:r>
        <w:rPr>
          <w:rFonts w:cs="Times New Roman"/>
          <w:i/>
        </w:rPr>
        <w:t>J.</w:t>
      </w:r>
      <w:r w:rsidRPr="00BD6CF1">
        <w:rPr>
          <w:rFonts w:cs="Times New Roman"/>
          <w:i/>
        </w:rPr>
        <w:t xml:space="preserve"> of Law and Psychiatry </w:t>
      </w:r>
      <w:r w:rsidRPr="00BD6CF1">
        <w:rPr>
          <w:rFonts w:cs="Times New Roman"/>
        </w:rPr>
        <w:t>1,</w:t>
      </w:r>
      <w:r>
        <w:rPr>
          <w:rFonts w:cs="Times New Roman"/>
        </w:rPr>
        <w:t xml:space="preserve"> at</w:t>
      </w:r>
      <w:r w:rsidRPr="00BD6CF1">
        <w:rPr>
          <w:rFonts w:cs="Times New Roman"/>
        </w:rPr>
        <w:t xml:space="preserve"> 6</w:t>
      </w:r>
    </w:p>
  </w:footnote>
  <w:footnote w:id="41">
    <w:p w14:paraId="0A72DED0" w14:textId="6F4041D8"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Bartlett,</w:t>
      </w:r>
      <w:r>
        <w:rPr>
          <w:rFonts w:cs="Times New Roman"/>
        </w:rPr>
        <w:t xml:space="preserve"> op.cit., n.</w:t>
      </w:r>
      <w:r w:rsidRPr="00BD6CF1">
        <w:rPr>
          <w:rFonts w:cs="Times New Roman"/>
        </w:rPr>
        <w:fldChar w:fldCharType="begin"/>
      </w:r>
      <w:r w:rsidRPr="00BD6CF1">
        <w:rPr>
          <w:rFonts w:cs="Times New Roman"/>
        </w:rPr>
        <w:instrText xml:space="preserve"> NOTEREF _Ref26790760 \h  \* MERGEFORMAT </w:instrText>
      </w:r>
      <w:r w:rsidRPr="00BD6CF1">
        <w:rPr>
          <w:rFonts w:cs="Times New Roman"/>
        </w:rPr>
      </w:r>
      <w:r w:rsidRPr="00BD6CF1">
        <w:rPr>
          <w:rFonts w:cs="Times New Roman"/>
        </w:rPr>
        <w:fldChar w:fldCharType="separate"/>
      </w:r>
      <w:r w:rsidR="001C337A">
        <w:rPr>
          <w:rFonts w:cs="Times New Roman"/>
        </w:rPr>
        <w:t>21</w:t>
      </w:r>
      <w:r w:rsidRPr="00BD6CF1">
        <w:rPr>
          <w:rFonts w:cs="Times New Roman"/>
        </w:rPr>
        <w:fldChar w:fldCharType="end"/>
      </w:r>
      <w:r w:rsidRPr="00BD6CF1">
        <w:rPr>
          <w:rFonts w:cs="Times New Roman"/>
        </w:rPr>
        <w:t xml:space="preserve">, </w:t>
      </w:r>
      <w:r>
        <w:rPr>
          <w:rFonts w:cs="Times New Roman"/>
        </w:rPr>
        <w:t>pp.</w:t>
      </w:r>
      <w:r w:rsidRPr="00BD6CF1">
        <w:rPr>
          <w:rFonts w:cs="Times New Roman"/>
        </w:rPr>
        <w:t>758-9</w:t>
      </w:r>
    </w:p>
  </w:footnote>
  <w:footnote w:id="42">
    <w:p w14:paraId="71E88FC3" w14:textId="5BED7DD8"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Pr>
          <w:rFonts w:cs="Times New Roman"/>
        </w:rPr>
        <w:t>i</w:t>
      </w:r>
      <w:r w:rsidRPr="00BD6CF1">
        <w:rPr>
          <w:rFonts w:cs="Times New Roman"/>
        </w:rPr>
        <w:t>d</w:t>
      </w:r>
      <w:r>
        <w:rPr>
          <w:rFonts w:cs="Times New Roman"/>
        </w:rPr>
        <w:t>.</w:t>
      </w:r>
    </w:p>
  </w:footnote>
  <w:footnote w:id="43">
    <w:p w14:paraId="3450D886" w14:textId="51732ACE"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R</w:t>
      </w:r>
      <w:r>
        <w:rPr>
          <w:rFonts w:cs="Times New Roman"/>
        </w:rPr>
        <w:t>.</w:t>
      </w:r>
      <w:r w:rsidRPr="00BD6CF1">
        <w:rPr>
          <w:rFonts w:cs="Times New Roman"/>
        </w:rPr>
        <w:t xml:space="preserve"> Kayess and P</w:t>
      </w:r>
      <w:r>
        <w:rPr>
          <w:rFonts w:cs="Times New Roman"/>
        </w:rPr>
        <w:t>.</w:t>
      </w:r>
      <w:r w:rsidRPr="00BD6CF1">
        <w:rPr>
          <w:rFonts w:cs="Times New Roman"/>
        </w:rPr>
        <w:t xml:space="preserve"> French, ‘Out of Darkness into Light? Introducing the Convention on the Rights of Persons with Disabilities’ (2008) 8 </w:t>
      </w:r>
      <w:r w:rsidRPr="00BD6CF1">
        <w:rPr>
          <w:rFonts w:cs="Times New Roman"/>
          <w:i/>
        </w:rPr>
        <w:t xml:space="preserve">Human Rights </w:t>
      </w:r>
      <w:r>
        <w:rPr>
          <w:rFonts w:cs="Times New Roman"/>
          <w:i/>
        </w:rPr>
        <w:t>L.Rev.</w:t>
      </w:r>
      <w:r w:rsidRPr="00BD6CF1">
        <w:rPr>
          <w:rFonts w:cs="Times New Roman"/>
          <w:i/>
        </w:rPr>
        <w:t xml:space="preserve"> </w:t>
      </w:r>
      <w:r w:rsidRPr="00BD6CF1">
        <w:rPr>
          <w:rFonts w:cs="Times New Roman"/>
        </w:rPr>
        <w:t>1,</w:t>
      </w:r>
      <w:r>
        <w:rPr>
          <w:rFonts w:cs="Times New Roman"/>
        </w:rPr>
        <w:t xml:space="preserve"> at</w:t>
      </w:r>
      <w:r w:rsidRPr="00BD6CF1">
        <w:rPr>
          <w:rFonts w:cs="Times New Roman"/>
        </w:rPr>
        <w:t xml:space="preserve"> 5</w:t>
      </w:r>
    </w:p>
  </w:footnote>
  <w:footnote w:id="44">
    <w:p w14:paraId="42E0F5DD" w14:textId="35790683" w:rsidR="00DC6C35" w:rsidRPr="00BD6CF1" w:rsidRDefault="00DC6C35" w:rsidP="0097167A">
      <w:pPr>
        <w:pStyle w:val="FootnoteText"/>
        <w:ind w:firstLine="0"/>
        <w:rPr>
          <w:rFonts w:cs="Times New Roman"/>
        </w:rPr>
      </w:pPr>
      <w:r w:rsidRPr="00BD6CF1">
        <w:rPr>
          <w:rStyle w:val="FootnoteReference"/>
          <w:rFonts w:cs="Times New Roman"/>
        </w:rPr>
        <w:footnoteRef/>
      </w:r>
      <w:r>
        <w:rPr>
          <w:rFonts w:cs="Times New Roman"/>
        </w:rPr>
        <w:t xml:space="preserve"> id. p. </w:t>
      </w:r>
      <w:r w:rsidRPr="00BD6CF1">
        <w:rPr>
          <w:rFonts w:cs="Times New Roman"/>
        </w:rPr>
        <w:t>10</w:t>
      </w:r>
    </w:p>
  </w:footnote>
  <w:footnote w:id="45">
    <w:p w14:paraId="146BA91C" w14:textId="5843514E"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CRPD, art 5(1)</w:t>
      </w:r>
    </w:p>
  </w:footnote>
  <w:footnote w:id="46">
    <w:p w14:paraId="78BC8C67" w14:textId="54298819"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CRPD, art 5(2)</w:t>
      </w:r>
    </w:p>
  </w:footnote>
  <w:footnote w:id="47">
    <w:p w14:paraId="36D10E27" w14:textId="00CBDFDD"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UN Office of the High Commissioner for Human Rights, ‘Thematic Study by the Office of the United Nations High Commissioner for Human Rights on Enhancing Awareness and Understanding of the Convention on the Rights of Persons with Disabilities’ (26 January 2009) 10</w:t>
      </w:r>
      <w:r w:rsidRPr="00BD6CF1">
        <w:rPr>
          <w:rFonts w:cs="Times New Roman"/>
          <w:vertAlign w:val="superscript"/>
        </w:rPr>
        <w:t>th</w:t>
      </w:r>
      <w:r w:rsidRPr="00BD6CF1">
        <w:rPr>
          <w:rFonts w:cs="Times New Roman"/>
        </w:rPr>
        <w:t xml:space="preserve"> Session UN DOC A/HRC/10/48, [37]</w:t>
      </w:r>
    </w:p>
  </w:footnote>
  <w:footnote w:id="48">
    <w:p w14:paraId="32E76A1F" w14:textId="3C868E62"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T</w:t>
      </w:r>
      <w:r>
        <w:rPr>
          <w:rFonts w:cs="Times New Roman"/>
        </w:rPr>
        <w:t>.</w:t>
      </w:r>
      <w:r w:rsidRPr="00BD6CF1">
        <w:rPr>
          <w:rFonts w:cs="Times New Roman"/>
        </w:rPr>
        <w:t xml:space="preserve"> Minkowitz, ‘The United Nations Convention on the Rights of Persons with Disabilities and the Right to be Free from Non-cons</w:t>
      </w:r>
      <w:r>
        <w:rPr>
          <w:rFonts w:cs="Times New Roman"/>
        </w:rPr>
        <w:t>en</w:t>
      </w:r>
      <w:r w:rsidRPr="00BD6CF1">
        <w:rPr>
          <w:rFonts w:cs="Times New Roman"/>
        </w:rPr>
        <w:t xml:space="preserve">sual Psychiatric Interventions’ (2007) 34 </w:t>
      </w:r>
      <w:r w:rsidRPr="00BD6CF1">
        <w:rPr>
          <w:rFonts w:cs="Times New Roman"/>
          <w:i/>
        </w:rPr>
        <w:t xml:space="preserve">Syracuse </w:t>
      </w:r>
      <w:r>
        <w:rPr>
          <w:rFonts w:cs="Times New Roman"/>
          <w:i/>
        </w:rPr>
        <w:t>J.</w:t>
      </w:r>
      <w:r w:rsidRPr="00BD6CF1">
        <w:rPr>
          <w:rFonts w:cs="Times New Roman"/>
          <w:i/>
        </w:rPr>
        <w:t xml:space="preserve"> of International Law and Commerce </w:t>
      </w:r>
      <w:r w:rsidRPr="00BD6CF1">
        <w:rPr>
          <w:rFonts w:cs="Times New Roman"/>
        </w:rPr>
        <w:t>405,</w:t>
      </w:r>
      <w:r>
        <w:rPr>
          <w:rFonts w:cs="Times New Roman"/>
        </w:rPr>
        <w:t xml:space="preserve"> at</w:t>
      </w:r>
      <w:r w:rsidRPr="00BD6CF1">
        <w:rPr>
          <w:rFonts w:cs="Times New Roman"/>
        </w:rPr>
        <w:t xml:space="preserve"> 427</w:t>
      </w:r>
    </w:p>
  </w:footnote>
  <w:footnote w:id="49">
    <w:p w14:paraId="6A1F3603" w14:textId="7E1A11D5"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Kayess and French,</w:t>
      </w:r>
      <w:r>
        <w:rPr>
          <w:rFonts w:cs="Times New Roman"/>
        </w:rPr>
        <w:t xml:space="preserve"> op.cit., n.</w:t>
      </w:r>
      <w:r w:rsidRPr="00BD6CF1">
        <w:rPr>
          <w:rFonts w:cs="Times New Roman"/>
        </w:rPr>
        <w:fldChar w:fldCharType="begin"/>
      </w:r>
      <w:r w:rsidRPr="00BD6CF1">
        <w:rPr>
          <w:rFonts w:cs="Times New Roman"/>
        </w:rPr>
        <w:instrText xml:space="preserve"> NOTEREF _Ref26797678 \h  \* MERGEFORMAT </w:instrText>
      </w:r>
      <w:r w:rsidRPr="00BD6CF1">
        <w:rPr>
          <w:rFonts w:cs="Times New Roman"/>
        </w:rPr>
      </w:r>
      <w:r w:rsidRPr="00BD6CF1">
        <w:rPr>
          <w:rFonts w:cs="Times New Roman"/>
        </w:rPr>
        <w:fldChar w:fldCharType="separate"/>
      </w:r>
      <w:r w:rsidR="001C337A">
        <w:rPr>
          <w:rFonts w:cs="Times New Roman"/>
        </w:rPr>
        <w:t>42</w:t>
      </w:r>
      <w:r w:rsidRPr="00BD6CF1">
        <w:rPr>
          <w:rFonts w:cs="Times New Roman"/>
        </w:rPr>
        <w:fldChar w:fldCharType="end"/>
      </w:r>
      <w:r w:rsidRPr="00BD6CF1">
        <w:rPr>
          <w:rFonts w:cs="Times New Roman"/>
        </w:rPr>
        <w:t>,</w:t>
      </w:r>
      <w:r>
        <w:rPr>
          <w:rFonts w:cs="Times New Roman"/>
        </w:rPr>
        <w:t xml:space="preserve"> p.</w:t>
      </w:r>
      <w:r w:rsidRPr="00BD6CF1">
        <w:rPr>
          <w:rFonts w:cs="Times New Roman"/>
        </w:rPr>
        <w:t>11</w:t>
      </w:r>
    </w:p>
  </w:footnote>
  <w:footnote w:id="50">
    <w:p w14:paraId="030F13B5" w14:textId="7BDA0B6B"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Pr>
          <w:rFonts w:cs="Times New Roman"/>
        </w:rPr>
        <w:t xml:space="preserve">e.g., ECHR, art 5(1)(e); see also, </w:t>
      </w:r>
      <w:r w:rsidRPr="00BD6CF1">
        <w:rPr>
          <w:rFonts w:cs="Times New Roman"/>
        </w:rPr>
        <w:t>P</w:t>
      </w:r>
      <w:r>
        <w:rPr>
          <w:rFonts w:cs="Times New Roman"/>
        </w:rPr>
        <w:t>.</w:t>
      </w:r>
      <w:r w:rsidRPr="00BD6CF1">
        <w:rPr>
          <w:rFonts w:cs="Times New Roman"/>
        </w:rPr>
        <w:t xml:space="preserve"> Fennell and U</w:t>
      </w:r>
      <w:r>
        <w:rPr>
          <w:rFonts w:cs="Times New Roman"/>
        </w:rPr>
        <w:t>.</w:t>
      </w:r>
      <w:r w:rsidRPr="00BD6CF1">
        <w:rPr>
          <w:rFonts w:cs="Times New Roman"/>
        </w:rPr>
        <w:t xml:space="preserve"> Khaliq, ‘Conflicting or Complementary Obligations? The UN Disability Rights Convention, the European Convention on Human Rights and English Law’ (2011) 6 </w:t>
      </w:r>
      <w:r w:rsidRPr="00BD6CF1">
        <w:rPr>
          <w:rFonts w:cs="Times New Roman"/>
          <w:i/>
        </w:rPr>
        <w:t xml:space="preserve">European Human Rights </w:t>
      </w:r>
      <w:r>
        <w:rPr>
          <w:rFonts w:cs="Times New Roman"/>
          <w:i/>
        </w:rPr>
        <w:t>L.Rev.</w:t>
      </w:r>
      <w:r w:rsidRPr="00BD6CF1">
        <w:rPr>
          <w:rFonts w:cs="Times New Roman"/>
          <w:i/>
        </w:rPr>
        <w:t xml:space="preserve"> </w:t>
      </w:r>
      <w:r w:rsidRPr="00BD6CF1">
        <w:rPr>
          <w:rFonts w:cs="Times New Roman"/>
        </w:rPr>
        <w:t>662,</w:t>
      </w:r>
      <w:r>
        <w:rPr>
          <w:rFonts w:cs="Times New Roman"/>
        </w:rPr>
        <w:t xml:space="preserve"> at</w:t>
      </w:r>
      <w:r w:rsidRPr="00BD6CF1">
        <w:rPr>
          <w:rFonts w:cs="Times New Roman"/>
        </w:rPr>
        <w:t xml:space="preserve"> 665</w:t>
      </w:r>
    </w:p>
  </w:footnote>
  <w:footnote w:id="51">
    <w:p w14:paraId="3F79305A" w14:textId="1163AD21" w:rsidR="00DC6C35" w:rsidRPr="00BD6CF1" w:rsidRDefault="00DC6C35" w:rsidP="007A7B31">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Pr>
          <w:rFonts w:cs="Times New Roman"/>
        </w:rPr>
        <w:t xml:space="preserve">e.g., </w:t>
      </w:r>
      <w:r w:rsidRPr="00BD6CF1">
        <w:rPr>
          <w:rFonts w:cs="Times New Roman"/>
        </w:rPr>
        <w:t>CRPD, art 14(1)(b)</w:t>
      </w:r>
      <w:r>
        <w:rPr>
          <w:rFonts w:cs="Times New Roman"/>
        </w:rPr>
        <w:t xml:space="preserve">: ‘the existence of a disability shall </w:t>
      </w:r>
      <w:r w:rsidRPr="0038566E">
        <w:rPr>
          <w:rFonts w:cs="Times New Roman"/>
          <w:iCs/>
        </w:rPr>
        <w:t>in no case</w:t>
      </w:r>
      <w:r>
        <w:rPr>
          <w:rFonts w:cs="Times New Roman"/>
          <w:i/>
        </w:rPr>
        <w:t xml:space="preserve"> </w:t>
      </w:r>
      <w:r>
        <w:rPr>
          <w:rFonts w:cs="Times New Roman"/>
        </w:rPr>
        <w:t>justify a deprivation of liberty’</w:t>
      </w:r>
    </w:p>
  </w:footnote>
  <w:footnote w:id="52">
    <w:p w14:paraId="698B265E" w14:textId="424320E3"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CRPD, art 1</w:t>
      </w:r>
    </w:p>
  </w:footnote>
  <w:footnote w:id="53">
    <w:p w14:paraId="7D878E65" w14:textId="560D44F5"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G</w:t>
      </w:r>
      <w:r>
        <w:rPr>
          <w:rFonts w:cs="Times New Roman"/>
        </w:rPr>
        <w:t>.</w:t>
      </w:r>
      <w:r w:rsidRPr="00BD6CF1">
        <w:rPr>
          <w:rFonts w:cs="Times New Roman"/>
        </w:rPr>
        <w:t xml:space="preserve"> Szmukler et al, ‘Mental Health Law and the UN Convention on the Rights of Persons with Disabilities’ (2014) 37 </w:t>
      </w:r>
      <w:r w:rsidRPr="00BD6CF1">
        <w:rPr>
          <w:rFonts w:cs="Times New Roman"/>
          <w:i/>
        </w:rPr>
        <w:t xml:space="preserve">International </w:t>
      </w:r>
      <w:r>
        <w:rPr>
          <w:rFonts w:cs="Times New Roman"/>
          <w:i/>
        </w:rPr>
        <w:t>J.</w:t>
      </w:r>
      <w:r w:rsidRPr="00BD6CF1">
        <w:rPr>
          <w:rFonts w:cs="Times New Roman"/>
          <w:i/>
        </w:rPr>
        <w:t xml:space="preserve"> of Law and Psychiatry </w:t>
      </w:r>
      <w:r w:rsidRPr="00BD6CF1">
        <w:rPr>
          <w:rFonts w:cs="Times New Roman"/>
        </w:rPr>
        <w:t>245,</w:t>
      </w:r>
      <w:r>
        <w:rPr>
          <w:rFonts w:cs="Times New Roman"/>
        </w:rPr>
        <w:t xml:space="preserve"> at</w:t>
      </w:r>
      <w:r w:rsidRPr="00BD6CF1">
        <w:rPr>
          <w:rFonts w:cs="Times New Roman"/>
        </w:rPr>
        <w:t xml:space="preserve"> 246 </w:t>
      </w:r>
    </w:p>
  </w:footnote>
  <w:footnote w:id="54">
    <w:p w14:paraId="16265397" w14:textId="153B3F3A"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Bartlett,</w:t>
      </w:r>
      <w:r>
        <w:rPr>
          <w:rFonts w:cs="Times New Roman"/>
        </w:rPr>
        <w:t xml:space="preserve"> op.cit., n.</w:t>
      </w:r>
      <w:r w:rsidRPr="00BD6CF1">
        <w:rPr>
          <w:rFonts w:cs="Times New Roman"/>
        </w:rPr>
        <w:fldChar w:fldCharType="begin"/>
      </w:r>
      <w:r w:rsidRPr="00BD6CF1">
        <w:rPr>
          <w:rFonts w:cs="Times New Roman"/>
        </w:rPr>
        <w:instrText xml:space="preserve"> NOTEREF _Ref26790760 \h  \* MERGEFORMAT </w:instrText>
      </w:r>
      <w:r w:rsidRPr="00BD6CF1">
        <w:rPr>
          <w:rFonts w:cs="Times New Roman"/>
        </w:rPr>
      </w:r>
      <w:r w:rsidRPr="00BD6CF1">
        <w:rPr>
          <w:rFonts w:cs="Times New Roman"/>
        </w:rPr>
        <w:fldChar w:fldCharType="separate"/>
      </w:r>
      <w:r w:rsidR="001C337A">
        <w:rPr>
          <w:rFonts w:cs="Times New Roman"/>
        </w:rPr>
        <w:t>21</w:t>
      </w:r>
      <w:r w:rsidRPr="00BD6CF1">
        <w:rPr>
          <w:rFonts w:cs="Times New Roman"/>
        </w:rPr>
        <w:fldChar w:fldCharType="end"/>
      </w:r>
      <w:r w:rsidRPr="00BD6CF1">
        <w:rPr>
          <w:rFonts w:cs="Times New Roman"/>
        </w:rPr>
        <w:t xml:space="preserve">, </w:t>
      </w:r>
      <w:r>
        <w:rPr>
          <w:rFonts w:cs="Times New Roman"/>
        </w:rPr>
        <w:t>p.</w:t>
      </w:r>
      <w:r w:rsidRPr="00BD6CF1">
        <w:rPr>
          <w:rFonts w:cs="Times New Roman"/>
        </w:rPr>
        <w:t>754</w:t>
      </w:r>
    </w:p>
  </w:footnote>
  <w:footnote w:id="55">
    <w:p w14:paraId="0184B2CE" w14:textId="72999CB2"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A</w:t>
      </w:r>
      <w:r>
        <w:rPr>
          <w:rFonts w:cs="Times New Roman"/>
        </w:rPr>
        <w:t>.</w:t>
      </w:r>
      <w:r w:rsidRPr="00BD6CF1">
        <w:rPr>
          <w:rFonts w:cs="Times New Roman"/>
        </w:rPr>
        <w:t xml:space="preserve"> Hendriks, ‘UN Convention on the Rights of Persons with Disabilities’ (2007) 14 </w:t>
      </w:r>
      <w:r w:rsidRPr="00BD6CF1">
        <w:rPr>
          <w:rFonts w:cs="Times New Roman"/>
          <w:i/>
        </w:rPr>
        <w:t xml:space="preserve">European </w:t>
      </w:r>
      <w:r>
        <w:rPr>
          <w:rFonts w:cs="Times New Roman"/>
          <w:i/>
        </w:rPr>
        <w:t>J.</w:t>
      </w:r>
      <w:r w:rsidRPr="00BD6CF1">
        <w:rPr>
          <w:rFonts w:cs="Times New Roman"/>
          <w:i/>
        </w:rPr>
        <w:t xml:space="preserve"> of Health Law </w:t>
      </w:r>
      <w:r w:rsidRPr="00BD6CF1">
        <w:rPr>
          <w:rFonts w:cs="Times New Roman"/>
        </w:rPr>
        <w:t>273,</w:t>
      </w:r>
      <w:r>
        <w:rPr>
          <w:rFonts w:cs="Times New Roman"/>
        </w:rPr>
        <w:t xml:space="preserve"> at</w:t>
      </w:r>
      <w:r w:rsidRPr="00BD6CF1">
        <w:rPr>
          <w:rFonts w:cs="Times New Roman"/>
        </w:rPr>
        <w:t xml:space="preserve"> 276-7</w:t>
      </w:r>
    </w:p>
  </w:footnote>
  <w:footnote w:id="56">
    <w:p w14:paraId="66AB89AD" w14:textId="07CB46BE"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Pr>
          <w:rFonts w:cs="Times New Roman"/>
        </w:rPr>
        <w:t>i</w:t>
      </w:r>
      <w:r w:rsidRPr="00BD6CF1">
        <w:rPr>
          <w:rFonts w:cs="Times New Roman"/>
        </w:rPr>
        <w:t>d</w:t>
      </w:r>
      <w:r>
        <w:rPr>
          <w:rFonts w:cs="Times New Roman"/>
        </w:rPr>
        <w:t>.</w:t>
      </w:r>
    </w:p>
  </w:footnote>
  <w:footnote w:id="57">
    <w:p w14:paraId="494CE12D" w14:textId="37F5777F"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e.g., UN Committee on the Rights of Persons with Disabilities, </w:t>
      </w:r>
      <w:r w:rsidRPr="00BD6CF1">
        <w:rPr>
          <w:rFonts w:cs="Times New Roman"/>
          <w:i/>
        </w:rPr>
        <w:t>General Comment No 1 (2014), Article 12: Equal Recognition before the Law</w:t>
      </w:r>
      <w:r w:rsidRPr="00BD6CF1">
        <w:rPr>
          <w:rFonts w:cs="Times New Roman"/>
        </w:rPr>
        <w:t xml:space="preserve"> (19 May 2014, CR</w:t>
      </w:r>
      <w:r w:rsidR="00EA13C5">
        <w:rPr>
          <w:rFonts w:cs="Times New Roman"/>
        </w:rPr>
        <w:t>P</w:t>
      </w:r>
      <w:r w:rsidRPr="00BD6CF1">
        <w:rPr>
          <w:rFonts w:cs="Times New Roman"/>
        </w:rPr>
        <w:t>D/C/GC/1), [9], [15], [42]</w:t>
      </w:r>
    </w:p>
  </w:footnote>
  <w:footnote w:id="58">
    <w:p w14:paraId="4A331F00" w14:textId="7CF38BAE" w:rsidR="00DC6C35" w:rsidRPr="00BD6CF1" w:rsidRDefault="00DC6C35" w:rsidP="0097167A">
      <w:pPr>
        <w:spacing w:after="0" w:line="240" w:lineRule="auto"/>
        <w:ind w:firstLine="0"/>
        <w:rPr>
          <w:rFonts w:ascii="Times New Roman" w:hAnsi="Times New Roman" w:cs="Times New Roman"/>
        </w:rPr>
      </w:pPr>
      <w:r w:rsidRPr="00BD6CF1">
        <w:rPr>
          <w:rStyle w:val="FootnoteReference"/>
          <w:rFonts w:cs="Times New Roman"/>
        </w:rPr>
        <w:footnoteRef/>
      </w:r>
      <w:r w:rsidRPr="00BD6CF1">
        <w:rPr>
          <w:rFonts w:ascii="Times New Roman" w:hAnsi="Times New Roman" w:cs="Times New Roman"/>
        </w:rPr>
        <w:t xml:space="preserve"> World Network of Users and Survivors of Psychiatry, </w:t>
      </w:r>
      <w:r w:rsidRPr="00BD6CF1">
        <w:rPr>
          <w:rFonts w:ascii="Times New Roman" w:hAnsi="Times New Roman" w:cs="Times New Roman"/>
          <w:i/>
        </w:rPr>
        <w:t>Implementation Manual for the United Nations Convention on the Rights of Persons with Disabilities</w:t>
      </w:r>
      <w:r w:rsidRPr="00BD6CF1">
        <w:rPr>
          <w:rFonts w:ascii="Times New Roman" w:hAnsi="Times New Roman" w:cs="Times New Roman"/>
        </w:rPr>
        <w:t xml:space="preserve"> (February 2008), 9 </w:t>
      </w:r>
    </w:p>
  </w:footnote>
  <w:footnote w:id="59">
    <w:p w14:paraId="153D7EEF" w14:textId="46EE3CB2"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Pr>
          <w:rFonts w:cs="Times New Roman"/>
        </w:rPr>
        <w:t>i</w:t>
      </w:r>
      <w:r w:rsidRPr="00BD6CF1">
        <w:rPr>
          <w:rFonts w:cs="Times New Roman"/>
        </w:rPr>
        <w:t>d</w:t>
      </w:r>
      <w:r>
        <w:rPr>
          <w:rFonts w:cs="Times New Roman"/>
        </w:rPr>
        <w:t>.</w:t>
      </w:r>
    </w:p>
  </w:footnote>
  <w:footnote w:id="60">
    <w:p w14:paraId="34B50988" w14:textId="5EF618EE"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UN Committee on the Rights of Persons with Disabilities, </w:t>
      </w:r>
      <w:r w:rsidRPr="00BD6CF1">
        <w:rPr>
          <w:rFonts w:cs="Times New Roman"/>
          <w:i/>
        </w:rPr>
        <w:t>General Comment No 6 (2018) on Equality and Non-discrimination</w:t>
      </w:r>
      <w:r w:rsidRPr="00BD6CF1">
        <w:rPr>
          <w:rFonts w:cs="Times New Roman"/>
        </w:rPr>
        <w:t xml:space="preserve"> (26 April 2018, CR</w:t>
      </w:r>
      <w:r w:rsidR="00EA13C5">
        <w:rPr>
          <w:rFonts w:cs="Times New Roman"/>
        </w:rPr>
        <w:t>P</w:t>
      </w:r>
      <w:r w:rsidRPr="00BD6CF1">
        <w:rPr>
          <w:rFonts w:cs="Times New Roman"/>
        </w:rPr>
        <w:t>D/C/GC/6), [73]</w:t>
      </w:r>
    </w:p>
  </w:footnote>
  <w:footnote w:id="61">
    <w:p w14:paraId="308889E1" w14:textId="1E71E1D1"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M</w:t>
      </w:r>
      <w:r>
        <w:rPr>
          <w:rFonts w:cs="Times New Roman"/>
        </w:rPr>
        <w:t>.</w:t>
      </w:r>
      <w:r w:rsidRPr="00BD6CF1">
        <w:rPr>
          <w:rFonts w:cs="Times New Roman"/>
        </w:rPr>
        <w:t xml:space="preserve"> Scholten and J</w:t>
      </w:r>
      <w:r>
        <w:rPr>
          <w:rFonts w:cs="Times New Roman"/>
        </w:rPr>
        <w:t>.</w:t>
      </w:r>
      <w:r w:rsidRPr="00BD6CF1">
        <w:rPr>
          <w:rFonts w:cs="Times New Roman"/>
        </w:rPr>
        <w:t xml:space="preserve"> Gather, ‘Adverse Consequences of Article 12 of the UN Convention on the Rights of Persons with Disabilities for Persons with Mental Disabilities and an Alternative Way Forward’ (2018) 44 </w:t>
      </w:r>
      <w:r>
        <w:rPr>
          <w:rFonts w:cs="Times New Roman"/>
          <w:i/>
        </w:rPr>
        <w:t>J.</w:t>
      </w:r>
      <w:r w:rsidRPr="00BD6CF1">
        <w:rPr>
          <w:rFonts w:cs="Times New Roman"/>
          <w:i/>
        </w:rPr>
        <w:t xml:space="preserve"> of Medical Ethics </w:t>
      </w:r>
      <w:r w:rsidRPr="00BD6CF1">
        <w:rPr>
          <w:rFonts w:cs="Times New Roman"/>
        </w:rPr>
        <w:t>226,</w:t>
      </w:r>
      <w:r>
        <w:rPr>
          <w:rFonts w:cs="Times New Roman"/>
        </w:rPr>
        <w:t xml:space="preserve"> at</w:t>
      </w:r>
      <w:r w:rsidRPr="00BD6CF1">
        <w:rPr>
          <w:rFonts w:cs="Times New Roman"/>
        </w:rPr>
        <w:t xml:space="preserve"> 226</w:t>
      </w:r>
    </w:p>
  </w:footnote>
  <w:footnote w:id="62">
    <w:p w14:paraId="52A596F7" w14:textId="5F943188" w:rsidR="00DC6C35" w:rsidRDefault="00DC6C35" w:rsidP="0038566E">
      <w:pPr>
        <w:pStyle w:val="FootnoteText"/>
        <w:ind w:firstLine="0"/>
      </w:pPr>
      <w:r>
        <w:rPr>
          <w:rStyle w:val="FootnoteReference"/>
        </w:rPr>
        <w:footnoteRef/>
      </w:r>
      <w:r>
        <w:t xml:space="preserve"> </w:t>
      </w:r>
      <w:r w:rsidRPr="00BD6CF1">
        <w:rPr>
          <w:rFonts w:cs="Times New Roman"/>
        </w:rPr>
        <w:t>Kayess and French,</w:t>
      </w:r>
      <w:r>
        <w:rPr>
          <w:rFonts w:cs="Times New Roman"/>
        </w:rPr>
        <w:t xml:space="preserve"> op.cit., n.</w:t>
      </w:r>
      <w:r w:rsidRPr="00BD6CF1">
        <w:rPr>
          <w:rFonts w:cs="Times New Roman"/>
        </w:rPr>
        <w:fldChar w:fldCharType="begin"/>
      </w:r>
      <w:r w:rsidRPr="00BD6CF1">
        <w:rPr>
          <w:rFonts w:cs="Times New Roman"/>
        </w:rPr>
        <w:instrText xml:space="preserve"> NOTEREF _Ref26797678 \h  \* MERGEFORMAT </w:instrText>
      </w:r>
      <w:r w:rsidRPr="00BD6CF1">
        <w:rPr>
          <w:rFonts w:cs="Times New Roman"/>
        </w:rPr>
      </w:r>
      <w:r w:rsidRPr="00BD6CF1">
        <w:rPr>
          <w:rFonts w:cs="Times New Roman"/>
        </w:rPr>
        <w:fldChar w:fldCharType="separate"/>
      </w:r>
      <w:r w:rsidR="001C337A">
        <w:rPr>
          <w:rFonts w:cs="Times New Roman"/>
        </w:rPr>
        <w:t>42</w:t>
      </w:r>
      <w:r w:rsidRPr="00BD6CF1">
        <w:rPr>
          <w:rFonts w:cs="Times New Roman"/>
        </w:rPr>
        <w:fldChar w:fldCharType="end"/>
      </w:r>
      <w:r w:rsidRPr="00BD6CF1">
        <w:rPr>
          <w:rFonts w:cs="Times New Roman"/>
        </w:rPr>
        <w:t xml:space="preserve">, </w:t>
      </w:r>
      <w:r>
        <w:rPr>
          <w:rFonts w:cs="Times New Roman"/>
        </w:rPr>
        <w:t>p.</w:t>
      </w:r>
      <w:r>
        <w:t>23</w:t>
      </w:r>
    </w:p>
  </w:footnote>
  <w:footnote w:id="63">
    <w:p w14:paraId="359D5919" w14:textId="0B35B71F" w:rsidR="00DC6C35" w:rsidRPr="006F5730" w:rsidRDefault="00DC6C35" w:rsidP="0038566E">
      <w:pPr>
        <w:pStyle w:val="FootnoteText"/>
        <w:ind w:firstLine="0"/>
      </w:pPr>
      <w:r>
        <w:rPr>
          <w:rStyle w:val="FootnoteReference"/>
        </w:rPr>
        <w:footnoteRef/>
      </w:r>
      <w:r>
        <w:t xml:space="preserve"> AL Goodhart, ‘The Shock Cases and Area of Risk’ (1953) 16(1) </w:t>
      </w:r>
      <w:r>
        <w:rPr>
          <w:i/>
        </w:rPr>
        <w:t xml:space="preserve">Modern Law Review </w:t>
      </w:r>
      <w:r>
        <w:t>14, 15</w:t>
      </w:r>
    </w:p>
  </w:footnote>
  <w:footnote w:id="64">
    <w:p w14:paraId="0E0B6933" w14:textId="5FE05BE2"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CRPD, art 4(1)</w:t>
      </w:r>
    </w:p>
  </w:footnote>
  <w:footnote w:id="65">
    <w:p w14:paraId="6D5012D5" w14:textId="0C38183A"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CRPD, art 2</w:t>
      </w:r>
    </w:p>
  </w:footnote>
  <w:footnote w:id="66">
    <w:p w14:paraId="3CD0A8C9" w14:textId="0414FA97"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CRPD, art 17</w:t>
      </w:r>
    </w:p>
  </w:footnote>
  <w:footnote w:id="67">
    <w:p w14:paraId="6DF4CD35" w14:textId="2E3042FA"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Kayess and French,</w:t>
      </w:r>
      <w:r>
        <w:rPr>
          <w:rFonts w:cs="Times New Roman"/>
        </w:rPr>
        <w:t xml:space="preserve"> op.cit., n.</w:t>
      </w:r>
      <w:r w:rsidRPr="00BD6CF1">
        <w:rPr>
          <w:rFonts w:cs="Times New Roman"/>
        </w:rPr>
        <w:fldChar w:fldCharType="begin"/>
      </w:r>
      <w:r w:rsidRPr="00BD6CF1">
        <w:rPr>
          <w:rFonts w:cs="Times New Roman"/>
        </w:rPr>
        <w:instrText xml:space="preserve"> NOTEREF _Ref26797678 \h  \* MERGEFORMAT </w:instrText>
      </w:r>
      <w:r w:rsidRPr="00BD6CF1">
        <w:rPr>
          <w:rFonts w:cs="Times New Roman"/>
        </w:rPr>
      </w:r>
      <w:r w:rsidRPr="00BD6CF1">
        <w:rPr>
          <w:rFonts w:cs="Times New Roman"/>
        </w:rPr>
        <w:fldChar w:fldCharType="separate"/>
      </w:r>
      <w:r w:rsidR="001C337A">
        <w:rPr>
          <w:rFonts w:cs="Times New Roman"/>
        </w:rPr>
        <w:t>42</w:t>
      </w:r>
      <w:r w:rsidRPr="00BD6CF1">
        <w:rPr>
          <w:rFonts w:cs="Times New Roman"/>
        </w:rPr>
        <w:fldChar w:fldCharType="end"/>
      </w:r>
      <w:r w:rsidRPr="00BD6CF1">
        <w:rPr>
          <w:rFonts w:cs="Times New Roman"/>
        </w:rPr>
        <w:t xml:space="preserve">, </w:t>
      </w:r>
      <w:r>
        <w:rPr>
          <w:rFonts w:cs="Times New Roman"/>
        </w:rPr>
        <w:t>p.</w:t>
      </w:r>
      <w:r w:rsidRPr="00BD6CF1">
        <w:rPr>
          <w:rFonts w:cs="Times New Roman"/>
        </w:rPr>
        <w:t>29</w:t>
      </w:r>
    </w:p>
  </w:footnote>
  <w:footnote w:id="68">
    <w:p w14:paraId="0A0BF393" w14:textId="14E2BE7A"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Bartlett, </w:t>
      </w:r>
      <w:r>
        <w:rPr>
          <w:rFonts w:cs="Times New Roman"/>
        </w:rPr>
        <w:t>op.cit., n.</w:t>
      </w:r>
      <w:r w:rsidRPr="00BD6CF1">
        <w:rPr>
          <w:rFonts w:cs="Times New Roman"/>
        </w:rPr>
        <w:fldChar w:fldCharType="begin"/>
      </w:r>
      <w:r w:rsidRPr="00BD6CF1">
        <w:rPr>
          <w:rFonts w:cs="Times New Roman"/>
        </w:rPr>
        <w:instrText xml:space="preserve"> NOTEREF _Ref26790760 \h  \* MERGEFORMAT </w:instrText>
      </w:r>
      <w:r w:rsidRPr="00BD6CF1">
        <w:rPr>
          <w:rFonts w:cs="Times New Roman"/>
        </w:rPr>
      </w:r>
      <w:r w:rsidRPr="00BD6CF1">
        <w:rPr>
          <w:rFonts w:cs="Times New Roman"/>
        </w:rPr>
        <w:fldChar w:fldCharType="separate"/>
      </w:r>
      <w:r w:rsidR="001C337A">
        <w:rPr>
          <w:rFonts w:cs="Times New Roman"/>
        </w:rPr>
        <w:t>21</w:t>
      </w:r>
      <w:r w:rsidRPr="00BD6CF1">
        <w:rPr>
          <w:rFonts w:cs="Times New Roman"/>
        </w:rPr>
        <w:fldChar w:fldCharType="end"/>
      </w:r>
      <w:r w:rsidRPr="00BD6CF1">
        <w:rPr>
          <w:rFonts w:cs="Times New Roman"/>
        </w:rPr>
        <w:t xml:space="preserve">, </w:t>
      </w:r>
      <w:r>
        <w:rPr>
          <w:rFonts w:cs="Times New Roman"/>
        </w:rPr>
        <w:t>pp.</w:t>
      </w:r>
      <w:r w:rsidRPr="00BD6CF1">
        <w:rPr>
          <w:rFonts w:cs="Times New Roman"/>
        </w:rPr>
        <w:t>769-70</w:t>
      </w:r>
    </w:p>
  </w:footnote>
  <w:footnote w:id="69">
    <w:p w14:paraId="3859F775" w14:textId="5D3FDC06" w:rsidR="00DC6C35" w:rsidRPr="00BD6CF1" w:rsidRDefault="00DC6C35" w:rsidP="0097167A">
      <w:pPr>
        <w:pStyle w:val="FootnoteText"/>
        <w:tabs>
          <w:tab w:val="right" w:pos="9026"/>
        </w:tabs>
        <w:ind w:firstLine="0"/>
        <w:rPr>
          <w:rFonts w:cs="Times New Roman"/>
        </w:rPr>
      </w:pPr>
      <w:r w:rsidRPr="00BD6CF1">
        <w:rPr>
          <w:rStyle w:val="FootnoteReference"/>
          <w:rFonts w:cs="Times New Roman"/>
        </w:rPr>
        <w:footnoteRef/>
      </w:r>
      <w:r w:rsidRPr="00BD6CF1">
        <w:rPr>
          <w:rFonts w:cs="Times New Roman"/>
        </w:rPr>
        <w:t xml:space="preserve"> </w:t>
      </w:r>
      <w:r>
        <w:rPr>
          <w:rFonts w:cs="Times New Roman"/>
        </w:rPr>
        <w:t>i</w:t>
      </w:r>
      <w:r w:rsidRPr="00BD6CF1">
        <w:rPr>
          <w:rFonts w:cs="Times New Roman"/>
        </w:rPr>
        <w:t>d</w:t>
      </w:r>
      <w:r>
        <w:rPr>
          <w:rFonts w:cs="Times New Roman"/>
        </w:rPr>
        <w:t>.</w:t>
      </w:r>
      <w:r w:rsidRPr="00BD6CF1">
        <w:rPr>
          <w:rFonts w:cs="Times New Roman"/>
        </w:rPr>
        <w:tab/>
      </w:r>
    </w:p>
  </w:footnote>
  <w:footnote w:id="70">
    <w:p w14:paraId="20EEEF8F" w14:textId="5C5BDB38"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S</w:t>
      </w:r>
      <w:r>
        <w:rPr>
          <w:rFonts w:cs="Times New Roman"/>
        </w:rPr>
        <w:t>.</w:t>
      </w:r>
      <w:r w:rsidRPr="00BD6CF1">
        <w:rPr>
          <w:rFonts w:cs="Times New Roman"/>
        </w:rPr>
        <w:t xml:space="preserve"> Bell, ‘What Does the “Right to Health” Have to Offer Mental Health Patients?’ (2005) 28 </w:t>
      </w:r>
      <w:r w:rsidRPr="00BD6CF1">
        <w:rPr>
          <w:rFonts w:cs="Times New Roman"/>
          <w:i/>
        </w:rPr>
        <w:t xml:space="preserve">International </w:t>
      </w:r>
      <w:r>
        <w:rPr>
          <w:rFonts w:cs="Times New Roman"/>
          <w:i/>
        </w:rPr>
        <w:t>J.</w:t>
      </w:r>
      <w:r w:rsidRPr="00BD6CF1">
        <w:rPr>
          <w:rFonts w:cs="Times New Roman"/>
          <w:i/>
        </w:rPr>
        <w:t xml:space="preserve"> of Law and Psychiatry </w:t>
      </w:r>
      <w:r w:rsidRPr="00BD6CF1">
        <w:rPr>
          <w:rFonts w:cs="Times New Roman"/>
        </w:rPr>
        <w:t xml:space="preserve">141, </w:t>
      </w:r>
      <w:r>
        <w:rPr>
          <w:rFonts w:cs="Times New Roman"/>
        </w:rPr>
        <w:t xml:space="preserve">at </w:t>
      </w:r>
      <w:r w:rsidRPr="00BD6CF1">
        <w:rPr>
          <w:rFonts w:cs="Times New Roman"/>
        </w:rPr>
        <w:t>150</w:t>
      </w:r>
    </w:p>
  </w:footnote>
  <w:footnote w:id="71">
    <w:p w14:paraId="2C51F303" w14:textId="7BD31A59" w:rsidR="00DC6C35" w:rsidRDefault="00DC6C35" w:rsidP="0097167A">
      <w:pPr>
        <w:pStyle w:val="FootnoteText"/>
        <w:ind w:firstLine="0"/>
      </w:pPr>
      <w:r>
        <w:rPr>
          <w:rStyle w:val="FootnoteReference"/>
        </w:rPr>
        <w:footnoteRef/>
      </w:r>
      <w:r>
        <w:t xml:space="preserve"> Human Rights Act 1998</w:t>
      </w:r>
    </w:p>
  </w:footnote>
  <w:footnote w:id="72">
    <w:p w14:paraId="1A39F260" w14:textId="5F0C4205"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P</w:t>
      </w:r>
      <w:r>
        <w:rPr>
          <w:rFonts w:cs="Times New Roman"/>
        </w:rPr>
        <w:t>.</w:t>
      </w:r>
      <w:r w:rsidRPr="00BD6CF1">
        <w:rPr>
          <w:rFonts w:cs="Times New Roman"/>
        </w:rPr>
        <w:t xml:space="preserve"> Fennell, ‘Human Rights, Bioethics and Mental Disorder’ (2008) 27 </w:t>
      </w:r>
      <w:r w:rsidRPr="00BD6CF1">
        <w:rPr>
          <w:rFonts w:cs="Times New Roman"/>
          <w:i/>
          <w:iCs/>
        </w:rPr>
        <w:t xml:space="preserve">Medicine and Law </w:t>
      </w:r>
      <w:r w:rsidRPr="00BD6CF1">
        <w:rPr>
          <w:rFonts w:cs="Times New Roman"/>
        </w:rPr>
        <w:t>95,</w:t>
      </w:r>
      <w:r>
        <w:rPr>
          <w:rFonts w:cs="Times New Roman"/>
        </w:rPr>
        <w:t xml:space="preserve"> at</w:t>
      </w:r>
      <w:r w:rsidRPr="00BD6CF1">
        <w:rPr>
          <w:rFonts w:cs="Times New Roman"/>
        </w:rPr>
        <w:t xml:space="preserve"> 107</w:t>
      </w:r>
    </w:p>
  </w:footnote>
  <w:footnote w:id="73">
    <w:p w14:paraId="2FFE4721" w14:textId="77777777"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CRPD, art 43</w:t>
      </w:r>
    </w:p>
  </w:footnote>
  <w:footnote w:id="74">
    <w:p w14:paraId="359F0B8F" w14:textId="1F770434"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Optional Protocol,</w:t>
      </w:r>
      <w:r>
        <w:rPr>
          <w:rFonts w:cs="Times New Roman"/>
        </w:rPr>
        <w:t xml:space="preserve"> op.cit., n.</w:t>
      </w:r>
      <w:r w:rsidRPr="00BD6CF1">
        <w:rPr>
          <w:rFonts w:cs="Times New Roman"/>
        </w:rPr>
        <w:fldChar w:fldCharType="begin"/>
      </w:r>
      <w:r w:rsidRPr="00BD6CF1">
        <w:rPr>
          <w:rFonts w:cs="Times New Roman"/>
        </w:rPr>
        <w:instrText xml:space="preserve"> NOTEREF _Ref27067383 \h  \* MERGEFORMAT </w:instrText>
      </w:r>
      <w:r w:rsidRPr="00BD6CF1">
        <w:rPr>
          <w:rFonts w:cs="Times New Roman"/>
        </w:rPr>
      </w:r>
      <w:r w:rsidRPr="00BD6CF1">
        <w:rPr>
          <w:rFonts w:cs="Times New Roman"/>
        </w:rPr>
        <w:fldChar w:fldCharType="separate"/>
      </w:r>
      <w:r w:rsidR="001C337A">
        <w:rPr>
          <w:rFonts w:cs="Times New Roman"/>
        </w:rPr>
        <w:t>32</w:t>
      </w:r>
      <w:r w:rsidRPr="00BD6CF1">
        <w:rPr>
          <w:rFonts w:cs="Times New Roman"/>
        </w:rPr>
        <w:fldChar w:fldCharType="end"/>
      </w:r>
      <w:r w:rsidRPr="00BD6CF1">
        <w:rPr>
          <w:rFonts w:cs="Times New Roman"/>
        </w:rPr>
        <w:t>, art 1</w:t>
      </w:r>
    </w:p>
  </w:footnote>
  <w:footnote w:id="75">
    <w:p w14:paraId="62CDE37A" w14:textId="3F17EF9B"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Pr>
          <w:rFonts w:cs="Times New Roman"/>
        </w:rPr>
        <w:t xml:space="preserve">e.g., </w:t>
      </w:r>
      <w:r w:rsidRPr="00BD6CF1">
        <w:rPr>
          <w:rFonts w:cs="Times New Roman"/>
        </w:rPr>
        <w:t xml:space="preserve">Labour Party, </w:t>
      </w:r>
      <w:r w:rsidRPr="00BD6CF1">
        <w:rPr>
          <w:rFonts w:cs="Times New Roman"/>
          <w:i/>
        </w:rPr>
        <w:t>It’s Time for Real Change: The Labour Party Manifesto 2019</w:t>
      </w:r>
      <w:r w:rsidRPr="00BD6CF1">
        <w:rPr>
          <w:rFonts w:cs="Times New Roman"/>
        </w:rPr>
        <w:t>, 74</w:t>
      </w:r>
      <w:r w:rsidRPr="00BD6CF1">
        <w:rPr>
          <w:rFonts w:cs="Times New Roman"/>
          <w:i/>
        </w:rPr>
        <w:t xml:space="preserve"> </w:t>
      </w:r>
      <w:r>
        <w:rPr>
          <w:rFonts w:cs="Times New Roman"/>
          <w:i/>
        </w:rPr>
        <w:t>&lt;</w:t>
      </w:r>
      <w:hyperlink r:id="rId3" w:history="1">
        <w:r w:rsidRPr="00F009F1">
          <w:rPr>
            <w:rStyle w:val="Hyperlink"/>
            <w:rFonts w:cs="Times New Roman"/>
          </w:rPr>
          <w:t>https://labour.org.uk/wp-content/uploads/2019/11/Real-Change-Labour-Manifesto-2019.pdf</w:t>
        </w:r>
      </w:hyperlink>
      <w:r>
        <w:rPr>
          <w:rFonts w:cs="Times New Roman"/>
        </w:rPr>
        <w:t>&gt;</w:t>
      </w:r>
      <w:r w:rsidRPr="00BD6CF1">
        <w:rPr>
          <w:rFonts w:cs="Times New Roman"/>
        </w:rPr>
        <w:t xml:space="preserve">; Green Party of England and Wales, </w:t>
      </w:r>
      <w:r w:rsidRPr="00BD6CF1">
        <w:rPr>
          <w:rFonts w:cs="Times New Roman"/>
          <w:i/>
        </w:rPr>
        <w:t>If Not Now, When? Manifesto 2019</w:t>
      </w:r>
      <w:r w:rsidRPr="00BD6CF1">
        <w:rPr>
          <w:rFonts w:cs="Times New Roman"/>
        </w:rPr>
        <w:t xml:space="preserve">, 63 </w:t>
      </w:r>
      <w:r>
        <w:rPr>
          <w:rFonts w:cs="Times New Roman"/>
        </w:rPr>
        <w:t>&lt;</w:t>
      </w:r>
      <w:hyperlink r:id="rId4" w:history="1">
        <w:r w:rsidRPr="00F009F1">
          <w:rPr>
            <w:rStyle w:val="Hyperlink"/>
            <w:rFonts w:cs="Times New Roman"/>
          </w:rPr>
          <w:t>https://www.greenparty.org.uk/assets/files/Elections/Green%20Party%20Manifesto%202019.pdf</w:t>
        </w:r>
      </w:hyperlink>
      <w:r>
        <w:rPr>
          <w:rFonts w:cs="Times New Roman"/>
        </w:rPr>
        <w:t>&gt;</w:t>
      </w:r>
    </w:p>
  </w:footnote>
  <w:footnote w:id="76">
    <w:p w14:paraId="468026F1" w14:textId="6030C782"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Office of the High Commission for Human Rights, </w:t>
      </w:r>
      <w:r w:rsidRPr="00BD6CF1">
        <w:rPr>
          <w:rFonts w:cs="Times New Roman"/>
          <w:i/>
        </w:rPr>
        <w:t xml:space="preserve">Thematic Study by the Office of the United Nations High Commissioner for Human Rights on Enhancing Awareness and Understanding of the Convention on the Rights of Persons with Disabilities </w:t>
      </w:r>
      <w:r w:rsidRPr="00BD6CF1">
        <w:rPr>
          <w:rFonts w:cs="Times New Roman"/>
        </w:rPr>
        <w:t>(26 January 2009) 10</w:t>
      </w:r>
      <w:r w:rsidRPr="00BD6CF1">
        <w:rPr>
          <w:rFonts w:cs="Times New Roman"/>
          <w:vertAlign w:val="superscript"/>
        </w:rPr>
        <w:t>th</w:t>
      </w:r>
      <w:r w:rsidRPr="00BD6CF1">
        <w:rPr>
          <w:rFonts w:cs="Times New Roman"/>
        </w:rPr>
        <w:t xml:space="preserve"> Session UN Doc A/HRC/10/48, [21]</w:t>
      </w:r>
    </w:p>
  </w:footnote>
  <w:footnote w:id="77">
    <w:p w14:paraId="0ECBF7B2" w14:textId="1558DB26" w:rsidR="00DC6C35" w:rsidRDefault="00DC6C35" w:rsidP="0097167A">
      <w:pPr>
        <w:pStyle w:val="FootnoteText"/>
        <w:ind w:firstLine="0"/>
      </w:pPr>
      <w:r>
        <w:rPr>
          <w:rStyle w:val="FootnoteReference"/>
        </w:rPr>
        <w:footnoteRef/>
      </w:r>
      <w:r>
        <w:t xml:space="preserve"> UN Committee on the Rights of Persons with Disabilities, ‘Concluding Observations on the Initial Report of the United Kingdom of Great Britain and Northern Ireland’ (3 October 2017) 18</w:t>
      </w:r>
      <w:r w:rsidRPr="00D172D0">
        <w:rPr>
          <w:vertAlign w:val="superscript"/>
        </w:rPr>
        <w:t>th</w:t>
      </w:r>
      <w:r>
        <w:t xml:space="preserve"> Session CRPD/C/GBR/CO/1, [7]</w:t>
      </w:r>
    </w:p>
  </w:footnote>
  <w:footnote w:id="78">
    <w:p w14:paraId="5C925E29" w14:textId="2348C315" w:rsidR="00DC6C35" w:rsidRPr="00BD6CF1" w:rsidRDefault="00DC6C35" w:rsidP="0097167A">
      <w:pPr>
        <w:pStyle w:val="FootnoteText"/>
        <w:ind w:firstLine="0"/>
        <w:rPr>
          <w:rFonts w:cs="Times New Roman"/>
          <w:i/>
          <w:iCs/>
        </w:rPr>
      </w:pPr>
      <w:r w:rsidRPr="00BD6CF1">
        <w:rPr>
          <w:rStyle w:val="FootnoteReference"/>
          <w:rFonts w:cs="Times New Roman"/>
        </w:rPr>
        <w:footnoteRef/>
      </w:r>
      <w:r w:rsidRPr="00BD6CF1">
        <w:rPr>
          <w:rFonts w:cs="Times New Roman"/>
        </w:rPr>
        <w:t xml:space="preserve"> e.g., </w:t>
      </w:r>
      <w:r w:rsidRPr="00BD6CF1">
        <w:rPr>
          <w:rFonts w:cs="Times New Roman"/>
          <w:i/>
          <w:iCs/>
        </w:rPr>
        <w:t xml:space="preserve">DXW (by his Mother and Litigation Friend, MXC) v PXL </w:t>
      </w:r>
      <w:r w:rsidRPr="00BD6CF1">
        <w:rPr>
          <w:rFonts w:cs="Times New Roman"/>
        </w:rPr>
        <w:t xml:space="preserve">[2019] EWHC 2579 (QB), [8]; </w:t>
      </w:r>
      <w:r w:rsidRPr="00BD6CF1">
        <w:rPr>
          <w:rFonts w:cs="Times New Roman"/>
          <w:i/>
          <w:iCs/>
        </w:rPr>
        <w:t xml:space="preserve">Re Various Lasting Powers of Attorney </w:t>
      </w:r>
      <w:r w:rsidRPr="00BD6CF1">
        <w:rPr>
          <w:rFonts w:cs="Times New Roman"/>
        </w:rPr>
        <w:t xml:space="preserve">[2019] EWCOP 40, [61]-[62]; </w:t>
      </w:r>
      <w:r w:rsidRPr="00BD6CF1">
        <w:rPr>
          <w:rFonts w:cs="Times New Roman"/>
          <w:i/>
          <w:iCs/>
        </w:rPr>
        <w:t xml:space="preserve">Public Guardian v ALH </w:t>
      </w:r>
      <w:r w:rsidRPr="00BD6CF1">
        <w:rPr>
          <w:rFonts w:cs="Times New Roman"/>
        </w:rPr>
        <w:t>[2015] EWCOP 70, [36]-[37]</w:t>
      </w:r>
      <w:r w:rsidRPr="00BD6CF1">
        <w:rPr>
          <w:rFonts w:cs="Times New Roman"/>
          <w:i/>
          <w:iCs/>
        </w:rPr>
        <w:t xml:space="preserve"> </w:t>
      </w:r>
    </w:p>
  </w:footnote>
  <w:footnote w:id="79">
    <w:p w14:paraId="1A8D1197" w14:textId="3446004A" w:rsidR="00DC6C35" w:rsidRPr="00BD6CF1" w:rsidRDefault="00DC6C35" w:rsidP="0097167A">
      <w:pPr>
        <w:pStyle w:val="FootnoteText"/>
        <w:ind w:firstLine="0"/>
        <w:rPr>
          <w:rFonts w:cs="Times New Roman"/>
          <w:u w:val="single"/>
        </w:rPr>
      </w:pPr>
      <w:r w:rsidRPr="00BD6CF1">
        <w:rPr>
          <w:rStyle w:val="FootnoteReference"/>
          <w:rFonts w:cs="Times New Roman"/>
        </w:rPr>
        <w:footnoteRef/>
      </w:r>
      <w:r w:rsidRPr="00BD6CF1">
        <w:rPr>
          <w:rFonts w:cs="Times New Roman"/>
        </w:rPr>
        <w:t xml:space="preserve"> e.g., </w:t>
      </w:r>
      <w:r w:rsidRPr="00BD6CF1">
        <w:rPr>
          <w:rFonts w:cs="Times New Roman"/>
          <w:i/>
          <w:iCs/>
        </w:rPr>
        <w:t xml:space="preserve">WB (A Protected Party) v W DC </w:t>
      </w:r>
      <w:r w:rsidRPr="00BD6CF1">
        <w:rPr>
          <w:rFonts w:cs="Times New Roman"/>
        </w:rPr>
        <w:t xml:space="preserve">[2018] EWCA Civ 928, [17]; </w:t>
      </w:r>
      <w:r w:rsidRPr="00BD6CF1">
        <w:rPr>
          <w:rFonts w:cs="Times New Roman"/>
          <w:i/>
          <w:iCs/>
        </w:rPr>
        <w:t xml:space="preserve">Cheshire West and Chester Council v P </w:t>
      </w:r>
      <w:r w:rsidRPr="00BD6CF1">
        <w:rPr>
          <w:rFonts w:cs="Times New Roman"/>
        </w:rPr>
        <w:t xml:space="preserve">[2014] AC 896 (SC); </w:t>
      </w:r>
      <w:r w:rsidRPr="00BD6CF1">
        <w:rPr>
          <w:rFonts w:cs="Times New Roman"/>
          <w:i/>
          <w:iCs/>
        </w:rPr>
        <w:t xml:space="preserve">AH v West London Mental Health Trust </w:t>
      </w:r>
      <w:r w:rsidRPr="00BD6CF1">
        <w:rPr>
          <w:rFonts w:cs="Times New Roman"/>
        </w:rPr>
        <w:t>[2011] UKUT 74 (AAC)</w:t>
      </w:r>
    </w:p>
  </w:footnote>
  <w:footnote w:id="80">
    <w:p w14:paraId="4C782AB7" w14:textId="3FC28E6B"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App no 13444/04 (ECtHR, 30 April 2009)</w:t>
      </w:r>
    </w:p>
  </w:footnote>
  <w:footnote w:id="81">
    <w:p w14:paraId="390B822D" w14:textId="509367BA" w:rsidR="00DC6C35" w:rsidRPr="00BD6CF1" w:rsidRDefault="00DC6C35" w:rsidP="0097167A">
      <w:pPr>
        <w:pStyle w:val="FootnoteText"/>
        <w:ind w:firstLine="0"/>
        <w:rPr>
          <w:rFonts w:cs="Times New Roman"/>
        </w:rPr>
      </w:pPr>
      <w:r w:rsidRPr="00BD6CF1">
        <w:rPr>
          <w:rStyle w:val="FootnoteReference"/>
          <w:rFonts w:cs="Times New Roman"/>
        </w:rPr>
        <w:footnoteRef/>
      </w:r>
      <w:r>
        <w:rPr>
          <w:rFonts w:cs="Times New Roman"/>
        </w:rPr>
        <w:t xml:space="preserve"> ibid,</w:t>
      </w:r>
      <w:r w:rsidRPr="00BD6CF1">
        <w:rPr>
          <w:rFonts w:cs="Times New Roman"/>
        </w:rPr>
        <w:t xml:space="preserve"> [53]</w:t>
      </w:r>
    </w:p>
  </w:footnote>
  <w:footnote w:id="82">
    <w:p w14:paraId="512F66B5" w14:textId="5DFEBAEC"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sidRPr="00BD6CF1">
        <w:rPr>
          <w:rFonts w:cs="Times New Roman"/>
          <w:i/>
          <w:iCs/>
        </w:rPr>
        <w:t xml:space="preserve">Marckx v Belgium </w:t>
      </w:r>
      <w:r w:rsidRPr="00BD6CF1">
        <w:rPr>
          <w:rFonts w:cs="Times New Roman"/>
        </w:rPr>
        <w:t>App no 6833/77 (ECtHR, 13 June 1979), [41]</w:t>
      </w:r>
      <w:r w:rsidRPr="00BD6CF1">
        <w:rPr>
          <w:rFonts w:cs="Times New Roman"/>
          <w:i/>
          <w:iCs/>
        </w:rPr>
        <w:t xml:space="preserve"> </w:t>
      </w:r>
    </w:p>
  </w:footnote>
  <w:footnote w:id="83">
    <w:p w14:paraId="04A9AD9D" w14:textId="533D1EDF" w:rsidR="00DC6C35" w:rsidRPr="008205B1" w:rsidRDefault="00DC6C35" w:rsidP="0097167A">
      <w:pPr>
        <w:pStyle w:val="FootnoteText"/>
        <w:ind w:firstLine="0"/>
      </w:pPr>
      <w:r>
        <w:rPr>
          <w:rStyle w:val="FootnoteReference"/>
        </w:rPr>
        <w:footnoteRef/>
      </w:r>
      <w:r>
        <w:t xml:space="preserve"> e.g., </w:t>
      </w:r>
      <w:r>
        <w:rPr>
          <w:i/>
          <w:iCs/>
        </w:rPr>
        <w:t xml:space="preserve">Jasinskis v Latvia </w:t>
      </w:r>
      <w:r>
        <w:t xml:space="preserve">App no 45744/08 (ECtHR, 21 December 2010), [40]-[41]; </w:t>
      </w:r>
      <w:r>
        <w:rPr>
          <w:i/>
          <w:iCs/>
        </w:rPr>
        <w:t xml:space="preserve">Stanev v Bulgaria </w:t>
      </w:r>
      <w:r>
        <w:t xml:space="preserve">App np 36760/06 (ECtHR, 17 January 2012), [74], [244]; </w:t>
      </w:r>
      <w:r>
        <w:rPr>
          <w:i/>
          <w:iCs/>
        </w:rPr>
        <w:t xml:space="preserve">Guberina v Croatia </w:t>
      </w:r>
      <w:r>
        <w:t>App no 23682/13 (ECtHR, 22 March 2016), [34], [62]</w:t>
      </w:r>
    </w:p>
  </w:footnote>
  <w:footnote w:id="84">
    <w:p w14:paraId="72D73341" w14:textId="0C13E166" w:rsidR="00DC6C35" w:rsidRPr="00BD6CF1" w:rsidRDefault="00DC6C35" w:rsidP="0097167A">
      <w:pPr>
        <w:pStyle w:val="FootnoteText"/>
        <w:ind w:firstLine="0"/>
        <w:rPr>
          <w:rFonts w:cs="Times New Roman"/>
        </w:rPr>
      </w:pPr>
      <w:r w:rsidRPr="00BD6CF1">
        <w:rPr>
          <w:rStyle w:val="FootnoteReference"/>
          <w:rFonts w:cs="Times New Roman"/>
        </w:rPr>
        <w:footnoteRef/>
      </w:r>
      <w:r w:rsidRPr="00BD6CF1">
        <w:rPr>
          <w:rFonts w:cs="Times New Roman"/>
        </w:rPr>
        <w:t xml:space="preserve"> </w:t>
      </w:r>
      <w:r>
        <w:rPr>
          <w:rFonts w:cs="Times New Roman"/>
        </w:rPr>
        <w:t>Bartlett, op.cit., n.</w:t>
      </w:r>
      <w:r w:rsidRPr="00BD6CF1">
        <w:rPr>
          <w:rFonts w:cs="Times New Roman"/>
        </w:rPr>
        <w:fldChar w:fldCharType="begin"/>
      </w:r>
      <w:r w:rsidRPr="00BD6CF1">
        <w:rPr>
          <w:rFonts w:cs="Times New Roman"/>
        </w:rPr>
        <w:instrText xml:space="preserve"> NOTEREF _Ref26790760 \h  \* MERGEFORMAT </w:instrText>
      </w:r>
      <w:r w:rsidRPr="00BD6CF1">
        <w:rPr>
          <w:rFonts w:cs="Times New Roman"/>
        </w:rPr>
      </w:r>
      <w:r w:rsidRPr="00BD6CF1">
        <w:rPr>
          <w:rFonts w:cs="Times New Roman"/>
        </w:rPr>
        <w:fldChar w:fldCharType="separate"/>
      </w:r>
      <w:r w:rsidR="001C337A">
        <w:rPr>
          <w:rFonts w:cs="Times New Roman"/>
        </w:rPr>
        <w:t>21</w:t>
      </w:r>
      <w:r w:rsidRPr="00BD6CF1">
        <w:rPr>
          <w:rFonts w:cs="Times New Roman"/>
        </w:rPr>
        <w:fldChar w:fldCharType="end"/>
      </w:r>
      <w:r w:rsidRPr="00BD6CF1">
        <w:rPr>
          <w:rFonts w:cs="Times New Roman"/>
        </w:rPr>
        <w:t>,</w:t>
      </w:r>
      <w:r>
        <w:rPr>
          <w:rFonts w:cs="Times New Roman"/>
        </w:rPr>
        <w:t xml:space="preserve"> p.777</w:t>
      </w:r>
    </w:p>
  </w:footnote>
  <w:footnote w:id="85">
    <w:p w14:paraId="0E610B92" w14:textId="02351AF1" w:rsidR="00DC6C35" w:rsidRDefault="00DC6C35" w:rsidP="0097167A">
      <w:pPr>
        <w:pStyle w:val="FootnoteText"/>
        <w:ind w:firstLine="0"/>
      </w:pPr>
      <w:r>
        <w:rPr>
          <w:rStyle w:val="FootnoteReference"/>
        </w:rPr>
        <w:footnoteRef/>
      </w:r>
      <w:r>
        <w:t xml:space="preserve"> id. p. </w:t>
      </w:r>
      <w:r w:rsidRPr="00BD6CF1">
        <w:rPr>
          <w:rFonts w:cs="Times New Roman"/>
        </w:rPr>
        <w:t>754</w:t>
      </w:r>
    </w:p>
  </w:footnote>
  <w:footnote w:id="86">
    <w:p w14:paraId="2D752C29" w14:textId="234CE755" w:rsidR="00DC6C35" w:rsidRDefault="00DC6C35" w:rsidP="0097167A">
      <w:pPr>
        <w:pStyle w:val="FootnoteText"/>
        <w:ind w:firstLine="0"/>
      </w:pPr>
      <w:r>
        <w:rPr>
          <w:rStyle w:val="FootnoteReference"/>
        </w:rPr>
        <w:footnoteRef/>
      </w:r>
      <w:r>
        <w:t xml:space="preserve"> id. pp. 772-777</w:t>
      </w:r>
    </w:p>
  </w:footnote>
  <w:footnote w:id="87">
    <w:p w14:paraId="2A16FFBC" w14:textId="047DB79C" w:rsidR="00DC6C35" w:rsidRDefault="00DC6C35" w:rsidP="0097167A">
      <w:pPr>
        <w:pStyle w:val="FootnoteText"/>
        <w:ind w:firstLine="0"/>
      </w:pPr>
      <w:r>
        <w:rPr>
          <w:rStyle w:val="FootnoteReference"/>
        </w:rPr>
        <w:footnoteRef/>
      </w:r>
      <w:r>
        <w:t xml:space="preserve"> id. p. 761</w:t>
      </w:r>
    </w:p>
  </w:footnote>
  <w:footnote w:id="88">
    <w:p w14:paraId="02D54641" w14:textId="77777777" w:rsidR="00DC6C35" w:rsidRPr="003009BA" w:rsidRDefault="00DC6C35" w:rsidP="0097167A">
      <w:pPr>
        <w:pStyle w:val="FootnoteText"/>
        <w:ind w:firstLine="0"/>
      </w:pPr>
      <w:r>
        <w:rPr>
          <w:rStyle w:val="FootnoteReference"/>
        </w:rPr>
        <w:footnoteRef/>
      </w:r>
      <w:r>
        <w:t xml:space="preserve"> e.g., </w:t>
      </w:r>
      <w:r>
        <w:rPr>
          <w:i/>
          <w:iCs/>
        </w:rPr>
        <w:t xml:space="preserve">Hedley Byrne &amp; Co Ltd v Heller &amp; Partners Ltd </w:t>
      </w:r>
      <w:r>
        <w:t xml:space="preserve">[1964] AC 465 (HL); </w:t>
      </w:r>
      <w:r>
        <w:rPr>
          <w:i/>
          <w:iCs/>
        </w:rPr>
        <w:t xml:space="preserve">Caparo Industries PLC v Dickman </w:t>
      </w:r>
      <w:r>
        <w:t>[1990] 2 AC 605 (HL)</w:t>
      </w:r>
    </w:p>
  </w:footnote>
  <w:footnote w:id="89">
    <w:p w14:paraId="2DA7BE22" w14:textId="3BA85FA7" w:rsidR="00DC6C35" w:rsidRPr="001B489C" w:rsidRDefault="00DC6C35" w:rsidP="0038566E">
      <w:pPr>
        <w:pStyle w:val="FootnoteText"/>
        <w:ind w:firstLine="0"/>
      </w:pPr>
      <w:r>
        <w:rPr>
          <w:rStyle w:val="FootnoteReference"/>
        </w:rPr>
        <w:footnoteRef/>
      </w:r>
      <w:r>
        <w:t xml:space="preserve"> e.g., </w:t>
      </w:r>
      <w:r>
        <w:rPr>
          <w:i/>
          <w:iCs/>
        </w:rPr>
        <w:t xml:space="preserve">Cassidy v Ministry of Health </w:t>
      </w:r>
      <w:r>
        <w:t>[1951] 2 KB 343</w:t>
      </w:r>
    </w:p>
  </w:footnote>
  <w:footnote w:id="90">
    <w:p w14:paraId="205979BC" w14:textId="3AD53608" w:rsidR="00DC6C35" w:rsidRPr="001B489C" w:rsidRDefault="00DC6C35" w:rsidP="0038566E">
      <w:pPr>
        <w:pStyle w:val="FootnoteText"/>
        <w:ind w:firstLine="0"/>
      </w:pPr>
      <w:r>
        <w:rPr>
          <w:rStyle w:val="FootnoteReference"/>
        </w:rPr>
        <w:footnoteRef/>
      </w:r>
      <w:r>
        <w:t xml:space="preserve"> e.g., </w:t>
      </w:r>
      <w:r>
        <w:rPr>
          <w:i/>
          <w:iCs/>
        </w:rPr>
        <w:t xml:space="preserve">Barnes (An Infant) v Hampshire County Council </w:t>
      </w:r>
      <w:r>
        <w:t>[1969] 1 WLR 1563 (HL)</w:t>
      </w:r>
    </w:p>
  </w:footnote>
  <w:footnote w:id="91">
    <w:p w14:paraId="540D9861" w14:textId="06DAE438" w:rsidR="00DC6C35" w:rsidRPr="00A16BBD" w:rsidRDefault="00DC6C35" w:rsidP="0038566E">
      <w:pPr>
        <w:pStyle w:val="FootnoteText"/>
        <w:ind w:firstLine="0"/>
      </w:pPr>
      <w:r>
        <w:rPr>
          <w:rStyle w:val="FootnoteReference"/>
        </w:rPr>
        <w:footnoteRef/>
      </w:r>
      <w:r>
        <w:t xml:space="preserve"> e.g., </w:t>
      </w:r>
      <w:r>
        <w:rPr>
          <w:i/>
          <w:iCs/>
        </w:rPr>
        <w:t xml:space="preserve">Haley v London Electricity Board </w:t>
      </w:r>
      <w:r>
        <w:t>[1965] AC 778 (HL)</w:t>
      </w:r>
    </w:p>
  </w:footnote>
  <w:footnote w:id="92">
    <w:p w14:paraId="0C040F14" w14:textId="77777777" w:rsidR="00DC6C35" w:rsidRDefault="00DC6C35" w:rsidP="0024298B">
      <w:pPr>
        <w:pStyle w:val="FootnoteText"/>
        <w:ind w:firstLine="0"/>
      </w:pPr>
      <w:r>
        <w:rPr>
          <w:rStyle w:val="FootnoteReference"/>
        </w:rPr>
        <w:footnoteRef/>
      </w:r>
      <w:r>
        <w:t xml:space="preserve"> [2018] AC 736 (SC)</w:t>
      </w:r>
    </w:p>
  </w:footnote>
  <w:footnote w:id="93">
    <w:p w14:paraId="12C339FA" w14:textId="77777777" w:rsidR="00DC6C35" w:rsidRDefault="00DC6C35" w:rsidP="0024298B">
      <w:pPr>
        <w:pStyle w:val="FootnoteText"/>
        <w:ind w:firstLine="0"/>
      </w:pPr>
      <w:r>
        <w:rPr>
          <w:rStyle w:val="FootnoteReference"/>
        </w:rPr>
        <w:footnoteRef/>
      </w:r>
      <w:r>
        <w:t xml:space="preserve"> id. [70] (Lord Reed)</w:t>
      </w:r>
    </w:p>
  </w:footnote>
  <w:footnote w:id="94">
    <w:p w14:paraId="00ABDE61" w14:textId="3EC13D5B" w:rsidR="00DC6C35" w:rsidRPr="000F5360" w:rsidRDefault="00DC6C35" w:rsidP="0038566E">
      <w:pPr>
        <w:pStyle w:val="FootnoteText"/>
        <w:ind w:firstLine="0"/>
      </w:pPr>
      <w:r>
        <w:rPr>
          <w:rStyle w:val="FootnoteReference"/>
        </w:rPr>
        <w:footnoteRef/>
      </w:r>
      <w:r>
        <w:t xml:space="preserve"> e.g., </w:t>
      </w:r>
      <w:r>
        <w:rPr>
          <w:i/>
          <w:iCs/>
        </w:rPr>
        <w:t xml:space="preserve">Palmer v Tees Health Authority </w:t>
      </w:r>
      <w:r>
        <w:t>[1999] Lloyd’s Rep Med 351 (CA)</w:t>
      </w:r>
    </w:p>
  </w:footnote>
  <w:footnote w:id="95">
    <w:p w14:paraId="4B56F747" w14:textId="46A84233" w:rsidR="00DC6C35" w:rsidRPr="000F249D" w:rsidRDefault="00DC6C35" w:rsidP="0038566E">
      <w:pPr>
        <w:pStyle w:val="FootnoteText"/>
        <w:ind w:firstLine="0"/>
      </w:pPr>
      <w:r>
        <w:rPr>
          <w:rStyle w:val="FootnoteReference"/>
        </w:rPr>
        <w:footnoteRef/>
      </w:r>
      <w:r>
        <w:t xml:space="preserve"> e.g., </w:t>
      </w:r>
      <w:r>
        <w:rPr>
          <w:i/>
          <w:iCs/>
        </w:rPr>
        <w:t xml:space="preserve">Smith v Ministry of Defence </w:t>
      </w:r>
      <w:r>
        <w:t>[2013] USKC 41</w:t>
      </w:r>
    </w:p>
  </w:footnote>
  <w:footnote w:id="96">
    <w:p w14:paraId="7FAB9B46" w14:textId="6AD64380" w:rsidR="00DC6C35" w:rsidRPr="008342FF" w:rsidRDefault="00DC6C35" w:rsidP="00570FA9">
      <w:pPr>
        <w:pStyle w:val="FootnoteText"/>
        <w:ind w:firstLine="0"/>
      </w:pPr>
      <w:r>
        <w:rPr>
          <w:rStyle w:val="FootnoteReference"/>
        </w:rPr>
        <w:footnoteRef/>
      </w:r>
      <w:r>
        <w:t xml:space="preserve"> </w:t>
      </w:r>
      <w:r>
        <w:rPr>
          <w:i/>
          <w:iCs/>
        </w:rPr>
        <w:t>Caparo</w:t>
      </w:r>
      <w:r>
        <w:rPr>
          <w:iCs/>
        </w:rPr>
        <w:t>, op.cit., n.</w:t>
      </w:r>
      <w:r>
        <w:rPr>
          <w:iCs/>
        </w:rPr>
        <w:fldChar w:fldCharType="begin"/>
      </w:r>
      <w:r>
        <w:rPr>
          <w:iCs/>
        </w:rPr>
        <w:instrText xml:space="preserve"> NOTEREF _Ref31738134 \h </w:instrText>
      </w:r>
      <w:r>
        <w:rPr>
          <w:iCs/>
        </w:rPr>
      </w:r>
      <w:r>
        <w:rPr>
          <w:iCs/>
        </w:rPr>
        <w:fldChar w:fldCharType="separate"/>
      </w:r>
      <w:r w:rsidR="001C337A">
        <w:rPr>
          <w:iCs/>
        </w:rPr>
        <w:t>89</w:t>
      </w:r>
      <w:r>
        <w:rPr>
          <w:iCs/>
        </w:rPr>
        <w:fldChar w:fldCharType="end"/>
      </w:r>
      <w:r>
        <w:rPr>
          <w:iCs/>
        </w:rPr>
        <w:t>,</w:t>
      </w:r>
      <w:r>
        <w:rPr>
          <w:i/>
          <w:iCs/>
        </w:rPr>
        <w:t xml:space="preserve"> </w:t>
      </w:r>
      <w:r>
        <w:t>617-8 (Lord Bridge)</w:t>
      </w:r>
    </w:p>
  </w:footnote>
  <w:footnote w:id="97">
    <w:p w14:paraId="13E4E207" w14:textId="07139AB6" w:rsidR="00DC6C35" w:rsidRPr="00397567" w:rsidRDefault="00DC6C35" w:rsidP="0017644F">
      <w:pPr>
        <w:pStyle w:val="FootnoteText"/>
        <w:ind w:firstLine="0"/>
      </w:pPr>
      <w:r>
        <w:rPr>
          <w:rStyle w:val="FootnoteReference"/>
        </w:rPr>
        <w:footnoteRef/>
      </w:r>
      <w:r>
        <w:t xml:space="preserve"> </w:t>
      </w:r>
      <w:r>
        <w:rPr>
          <w:i/>
          <w:iCs/>
        </w:rPr>
        <w:t xml:space="preserve">Grieves v FT Everard &amp; Sons Ltd </w:t>
      </w:r>
      <w:r>
        <w:t>[2007] UKHL 39, [19] (Lord Hoffmann)</w:t>
      </w:r>
    </w:p>
  </w:footnote>
  <w:footnote w:id="98">
    <w:p w14:paraId="534BF315" w14:textId="77777777" w:rsidR="00DC6C35" w:rsidRDefault="00DC6C35" w:rsidP="00DF52DF">
      <w:pPr>
        <w:pStyle w:val="FootnoteText"/>
        <w:ind w:firstLine="0"/>
      </w:pPr>
      <w:r>
        <w:rPr>
          <w:rStyle w:val="FootnoteReference"/>
        </w:rPr>
        <w:footnoteRef/>
      </w:r>
      <w:r>
        <w:t xml:space="preserve"> [2018] UKSC 18</w:t>
      </w:r>
    </w:p>
  </w:footnote>
  <w:footnote w:id="99">
    <w:p w14:paraId="50E76E0F" w14:textId="48C33A24" w:rsidR="00DC6C35" w:rsidRPr="0038566E" w:rsidRDefault="00DC6C35" w:rsidP="0038566E">
      <w:pPr>
        <w:pStyle w:val="FootnoteText"/>
        <w:ind w:firstLine="0"/>
        <w:rPr>
          <w:u w:val="single"/>
        </w:rPr>
      </w:pPr>
      <w:r>
        <w:rPr>
          <w:rStyle w:val="FootnoteReference"/>
        </w:rPr>
        <w:footnoteRef/>
      </w:r>
      <w:r>
        <w:t xml:space="preserve"> </w:t>
      </w:r>
      <w:r>
        <w:rPr>
          <w:i/>
          <w:iCs/>
        </w:rPr>
        <w:t xml:space="preserve">Hughes v Lord Advocate </w:t>
      </w:r>
      <w:r>
        <w:t xml:space="preserve">[1963] AC 837 (HL); c.f., </w:t>
      </w:r>
      <w:r>
        <w:rPr>
          <w:i/>
          <w:iCs/>
        </w:rPr>
        <w:t xml:space="preserve">Tremain v Pike </w:t>
      </w:r>
      <w:r>
        <w:t>[1969] 1 WLR 1556</w:t>
      </w:r>
    </w:p>
  </w:footnote>
  <w:footnote w:id="100">
    <w:p w14:paraId="2628BAA7" w14:textId="678A2674" w:rsidR="00DC6C35" w:rsidRPr="00F203F2" w:rsidRDefault="00DC6C35" w:rsidP="0038566E">
      <w:pPr>
        <w:pStyle w:val="FootnoteText"/>
        <w:ind w:firstLine="0"/>
      </w:pPr>
      <w:r>
        <w:rPr>
          <w:rStyle w:val="FootnoteReference"/>
        </w:rPr>
        <w:footnoteRef/>
      </w:r>
      <w:r>
        <w:t xml:space="preserve"> </w:t>
      </w:r>
      <w:r>
        <w:rPr>
          <w:i/>
          <w:iCs/>
        </w:rPr>
        <w:t xml:space="preserve">The Wagon Mound (No 1) </w:t>
      </w:r>
      <w:r>
        <w:t>[1961] AC 388 (PC)</w:t>
      </w:r>
    </w:p>
  </w:footnote>
  <w:footnote w:id="101">
    <w:p w14:paraId="32056EC3" w14:textId="4CA737A3" w:rsidR="00DC6C35" w:rsidRDefault="00DC6C35" w:rsidP="0038566E">
      <w:pPr>
        <w:pStyle w:val="FootnoteText"/>
        <w:ind w:firstLine="0"/>
      </w:pPr>
      <w:r>
        <w:rPr>
          <w:rStyle w:val="FootnoteReference"/>
        </w:rPr>
        <w:footnoteRef/>
      </w:r>
      <w:r>
        <w:t xml:space="preserve"> [2008] 1 AC 884 (HL)</w:t>
      </w:r>
    </w:p>
  </w:footnote>
  <w:footnote w:id="102">
    <w:p w14:paraId="6B01C42B" w14:textId="77777777" w:rsidR="00DC6C35" w:rsidRDefault="00DC6C35" w:rsidP="00397567">
      <w:pPr>
        <w:pStyle w:val="FootnoteText"/>
        <w:ind w:firstLine="0"/>
      </w:pPr>
      <w:r>
        <w:rPr>
          <w:rStyle w:val="FootnoteReference"/>
        </w:rPr>
        <w:footnoteRef/>
      </w:r>
      <w:r>
        <w:t xml:space="preserve"> id. [10] (Lord Bingham)</w:t>
      </w:r>
    </w:p>
  </w:footnote>
  <w:footnote w:id="103">
    <w:p w14:paraId="52F78189" w14:textId="77777777" w:rsidR="00DC6C35" w:rsidRDefault="00DC6C35" w:rsidP="00397567">
      <w:pPr>
        <w:pStyle w:val="FootnoteText"/>
        <w:ind w:firstLine="0"/>
      </w:pPr>
      <w:r>
        <w:rPr>
          <w:rStyle w:val="FootnoteReference"/>
        </w:rPr>
        <w:footnoteRef/>
      </w:r>
      <w:r>
        <w:t xml:space="preserve"> [1932] AC 562 (HL)</w:t>
      </w:r>
    </w:p>
  </w:footnote>
  <w:footnote w:id="104">
    <w:p w14:paraId="7C3140C7" w14:textId="3C00E7D2" w:rsidR="00DC6C35" w:rsidRDefault="00DC6C35" w:rsidP="00397567">
      <w:pPr>
        <w:pStyle w:val="FootnoteText"/>
        <w:ind w:firstLine="0"/>
      </w:pPr>
      <w:r>
        <w:rPr>
          <w:rStyle w:val="FootnoteReference"/>
        </w:rPr>
        <w:footnoteRef/>
      </w:r>
      <w:r>
        <w:t xml:space="preserve"> id. p. 580 (Lord Atkin)</w:t>
      </w:r>
    </w:p>
  </w:footnote>
  <w:footnote w:id="105">
    <w:p w14:paraId="203E68BE" w14:textId="2036E9C5" w:rsidR="00DC6C35" w:rsidRDefault="00DC6C35" w:rsidP="00FD6298">
      <w:pPr>
        <w:pStyle w:val="FootnoteText"/>
        <w:ind w:firstLine="0"/>
      </w:pPr>
      <w:r>
        <w:rPr>
          <w:rStyle w:val="FootnoteReference"/>
        </w:rPr>
        <w:footnoteRef/>
      </w:r>
      <w:r>
        <w:t xml:space="preserve"> e.g., </w:t>
      </w:r>
      <w:r w:rsidRPr="008706D9">
        <w:rPr>
          <w:i/>
          <w:iCs/>
        </w:rPr>
        <w:t>Pigney</w:t>
      </w:r>
      <w:r>
        <w:rPr>
          <w:i/>
          <w:iCs/>
        </w:rPr>
        <w:t xml:space="preserve"> v Pointer’s Transport Services Ltd</w:t>
      </w:r>
      <w:r>
        <w:t xml:space="preserve"> [1957] 1 WLR 1121; </w:t>
      </w:r>
      <w:r>
        <w:rPr>
          <w:i/>
          <w:iCs/>
        </w:rPr>
        <w:t xml:space="preserve">Malcolm v Broadhurst </w:t>
      </w:r>
      <w:r>
        <w:t>[1970] 3 All ER 508 (QB)</w:t>
      </w:r>
    </w:p>
  </w:footnote>
  <w:footnote w:id="106">
    <w:p w14:paraId="231D58E6" w14:textId="02A36F05" w:rsidR="00DC6C35" w:rsidRPr="00DD3B81" w:rsidRDefault="00DC6C35" w:rsidP="00397567">
      <w:pPr>
        <w:pStyle w:val="FootnoteText"/>
        <w:ind w:firstLine="0"/>
      </w:pPr>
      <w:r>
        <w:rPr>
          <w:rStyle w:val="FootnoteReference"/>
        </w:rPr>
        <w:footnoteRef/>
      </w:r>
      <w:r>
        <w:t xml:space="preserve"> </w:t>
      </w:r>
      <w:r>
        <w:rPr>
          <w:i/>
        </w:rPr>
        <w:t xml:space="preserve">Hinz, </w:t>
      </w:r>
      <w:r>
        <w:rPr>
          <w:iCs/>
        </w:rPr>
        <w:t>op.cit.,</w:t>
      </w:r>
      <w:r>
        <w:rPr>
          <w:i/>
        </w:rPr>
        <w:t xml:space="preserve"> </w:t>
      </w:r>
      <w:r w:rsidRPr="0006112F">
        <w:rPr>
          <w:iCs/>
        </w:rPr>
        <w:t>n.</w:t>
      </w:r>
      <w:r>
        <w:fldChar w:fldCharType="begin"/>
      </w:r>
      <w:r>
        <w:instrText xml:space="preserve"> NOTEREF _Ref31737681 \h </w:instrText>
      </w:r>
      <w:r>
        <w:fldChar w:fldCharType="separate"/>
      </w:r>
      <w:r w:rsidR="001C337A">
        <w:t>23</w:t>
      </w:r>
      <w:r>
        <w:fldChar w:fldCharType="end"/>
      </w:r>
    </w:p>
  </w:footnote>
  <w:footnote w:id="107">
    <w:p w14:paraId="649A6F2B" w14:textId="2746A4F5" w:rsidR="00DC6C35" w:rsidRDefault="00DC6C35" w:rsidP="0097167A">
      <w:pPr>
        <w:pStyle w:val="FootnoteText"/>
        <w:ind w:firstLine="0"/>
      </w:pPr>
      <w:r>
        <w:rPr>
          <w:rStyle w:val="FootnoteReference"/>
        </w:rPr>
        <w:footnoteRef/>
      </w:r>
      <w:r>
        <w:t xml:space="preserve"> id. p. 42 (Lord Denning MR) (emphasis added)</w:t>
      </w:r>
    </w:p>
  </w:footnote>
  <w:footnote w:id="108">
    <w:p w14:paraId="18BD7F17" w14:textId="7BEA2A8D" w:rsidR="00DC6C35" w:rsidRPr="00D6085E" w:rsidRDefault="00DC6C35" w:rsidP="0097167A">
      <w:pPr>
        <w:pStyle w:val="FootnoteText"/>
        <w:ind w:firstLine="0"/>
      </w:pPr>
      <w:r>
        <w:rPr>
          <w:rStyle w:val="FootnoteReference"/>
        </w:rPr>
        <w:footnoteRef/>
      </w:r>
      <w:r>
        <w:t xml:space="preserve"> </w:t>
      </w:r>
      <w:r>
        <w:rPr>
          <w:i/>
        </w:rPr>
        <w:t>White</w:t>
      </w:r>
      <w:r>
        <w:t xml:space="preserve">, </w:t>
      </w:r>
      <w:r>
        <w:rPr>
          <w:rFonts w:cs="Times New Roman"/>
        </w:rPr>
        <w:t>op.cit., n.</w:t>
      </w:r>
      <w:r>
        <w:fldChar w:fldCharType="begin"/>
      </w:r>
      <w:r>
        <w:instrText xml:space="preserve"> NOTEREF _Ref26460891 \h </w:instrText>
      </w:r>
      <w:r>
        <w:fldChar w:fldCharType="separate"/>
      </w:r>
      <w:r w:rsidR="001C337A">
        <w:t>3</w:t>
      </w:r>
      <w:r>
        <w:fldChar w:fldCharType="end"/>
      </w:r>
      <w:r>
        <w:t>, p.500 (Lord Steyn)</w:t>
      </w:r>
    </w:p>
  </w:footnote>
  <w:footnote w:id="109">
    <w:p w14:paraId="471D2554" w14:textId="535A2F69" w:rsidR="00DC6C35" w:rsidRPr="008D1962" w:rsidRDefault="00DC6C35" w:rsidP="0097167A">
      <w:pPr>
        <w:pStyle w:val="FootnoteText"/>
        <w:ind w:firstLine="0"/>
      </w:pPr>
      <w:r>
        <w:rPr>
          <w:rStyle w:val="FootnoteReference"/>
        </w:rPr>
        <w:footnoteRef/>
      </w:r>
      <w:r>
        <w:t xml:space="preserve"> D. Gill, ‘Proving and Disproving Psychiatric Injury’ (2008) 76(4) </w:t>
      </w:r>
      <w:r>
        <w:rPr>
          <w:i/>
        </w:rPr>
        <w:t xml:space="preserve">Medico-Legal J. </w:t>
      </w:r>
      <w:r>
        <w:t>143</w:t>
      </w:r>
    </w:p>
  </w:footnote>
  <w:footnote w:id="110">
    <w:p w14:paraId="1FE7B2FE" w14:textId="2D37E23B" w:rsidR="00DC6C35" w:rsidRPr="000C5A5F" w:rsidRDefault="00DC6C35" w:rsidP="0097167A">
      <w:pPr>
        <w:pStyle w:val="FootnoteText"/>
        <w:ind w:firstLine="0"/>
      </w:pPr>
      <w:r>
        <w:rPr>
          <w:rStyle w:val="FootnoteReference"/>
        </w:rPr>
        <w:footnoteRef/>
      </w:r>
      <w:r>
        <w:t xml:space="preserve"> e.g., </w:t>
      </w:r>
      <w:r>
        <w:rPr>
          <w:i/>
        </w:rPr>
        <w:t xml:space="preserve">Tame v New South Wales </w:t>
      </w:r>
      <w:r>
        <w:t xml:space="preserve">(2002) 211 CLR 317 (Australia); </w:t>
      </w:r>
      <w:r>
        <w:rPr>
          <w:i/>
        </w:rPr>
        <w:t xml:space="preserve">van Soerst v Residual Health Management Unit </w:t>
      </w:r>
      <w:r>
        <w:t xml:space="preserve">[1999] NZCA 206 (New Zealand); </w:t>
      </w:r>
      <w:r>
        <w:rPr>
          <w:i/>
        </w:rPr>
        <w:t xml:space="preserve">Barnard v Santam Bpk </w:t>
      </w:r>
      <w:r>
        <w:t>1999 (1) SA 202 (South Africa)</w:t>
      </w:r>
    </w:p>
  </w:footnote>
  <w:footnote w:id="111">
    <w:p w14:paraId="36A8BFA9" w14:textId="207C349B" w:rsidR="00DC6C35" w:rsidRPr="00EE2B2F" w:rsidRDefault="00DC6C35" w:rsidP="0097167A">
      <w:pPr>
        <w:pStyle w:val="FootnoteText"/>
        <w:ind w:firstLine="0"/>
      </w:pPr>
      <w:r>
        <w:rPr>
          <w:rStyle w:val="FootnoteReference"/>
        </w:rPr>
        <w:footnoteRef/>
      </w:r>
      <w:r>
        <w:t xml:space="preserve"> </w:t>
      </w:r>
      <w:r>
        <w:rPr>
          <w:i/>
        </w:rPr>
        <w:t xml:space="preserve">Reilly v Merseyside Regional Health Authority </w:t>
      </w:r>
      <w:r>
        <w:t xml:space="preserve">[1995] 6 Med LR 246; </w:t>
      </w:r>
      <w:r>
        <w:rPr>
          <w:i/>
        </w:rPr>
        <w:t xml:space="preserve">Vernon v Bosley </w:t>
      </w:r>
      <w:r>
        <w:t>[1997] PIQR P255, 314 (Evans LJ)</w:t>
      </w:r>
    </w:p>
  </w:footnote>
  <w:footnote w:id="112">
    <w:p w14:paraId="02CD8CB7" w14:textId="26C4DDBA" w:rsidR="00DC6C35" w:rsidRPr="00FF0C4C" w:rsidRDefault="00DC6C35" w:rsidP="0097167A">
      <w:pPr>
        <w:pStyle w:val="FootnoteText"/>
        <w:ind w:firstLine="0"/>
      </w:pPr>
      <w:r>
        <w:rPr>
          <w:rStyle w:val="FootnoteReference"/>
        </w:rPr>
        <w:footnoteRef/>
      </w:r>
      <w:r>
        <w:t xml:space="preserve"> </w:t>
      </w:r>
      <w:r>
        <w:rPr>
          <w:i/>
        </w:rPr>
        <w:t xml:space="preserve">McLoughlin v O’Brian </w:t>
      </w:r>
      <w:r>
        <w:t>[1983] 1 AC 410 (HL),</w:t>
      </w:r>
      <w:r>
        <w:rPr>
          <w:i/>
        </w:rPr>
        <w:t xml:space="preserve"> </w:t>
      </w:r>
      <w:r>
        <w:t>431 (Lord Bridge)</w:t>
      </w:r>
    </w:p>
  </w:footnote>
  <w:footnote w:id="113">
    <w:p w14:paraId="6029FF80" w14:textId="51025BBC" w:rsidR="00DC6C35" w:rsidRPr="00DB7B25" w:rsidRDefault="00DC6C35" w:rsidP="0097167A">
      <w:pPr>
        <w:pStyle w:val="FootnoteText"/>
        <w:ind w:firstLine="0"/>
      </w:pPr>
      <w:r>
        <w:rPr>
          <w:rStyle w:val="FootnoteReference"/>
        </w:rPr>
        <w:footnoteRef/>
      </w:r>
      <w:r>
        <w:t xml:space="preserve"> id.</w:t>
      </w:r>
    </w:p>
  </w:footnote>
  <w:footnote w:id="114">
    <w:p w14:paraId="463BBBAC" w14:textId="77777777" w:rsidR="00DC6C35" w:rsidRPr="005344DA" w:rsidRDefault="00DC6C35" w:rsidP="0097167A">
      <w:pPr>
        <w:pStyle w:val="FootnoteText"/>
        <w:ind w:firstLine="0"/>
      </w:pPr>
      <w:r>
        <w:rPr>
          <w:rStyle w:val="FootnoteReference"/>
        </w:rPr>
        <w:footnoteRef/>
      </w:r>
      <w:r>
        <w:t xml:space="preserve"> </w:t>
      </w:r>
      <w:r>
        <w:rPr>
          <w:i/>
        </w:rPr>
        <w:t xml:space="preserve">Page v Smith </w:t>
      </w:r>
      <w:r>
        <w:t>[1995] 1 AC 155 (HL), 167 (Lord Keith)</w:t>
      </w:r>
    </w:p>
  </w:footnote>
  <w:footnote w:id="115">
    <w:p w14:paraId="7C9B9E15" w14:textId="10AB1F9D" w:rsidR="00DC6C35" w:rsidRDefault="00DC6C35" w:rsidP="0097167A">
      <w:pPr>
        <w:pStyle w:val="FootnoteText"/>
        <w:ind w:firstLine="0"/>
      </w:pPr>
      <w:r>
        <w:rPr>
          <w:rStyle w:val="FootnoteReference"/>
        </w:rPr>
        <w:footnoteRef/>
      </w:r>
      <w:r>
        <w:t xml:space="preserve"> id. p. 171 (Lord Jauncey)</w:t>
      </w:r>
    </w:p>
  </w:footnote>
  <w:footnote w:id="116">
    <w:p w14:paraId="7566331E" w14:textId="4FB8B660" w:rsidR="00DC6C35" w:rsidRPr="000E5954" w:rsidRDefault="00DC6C35" w:rsidP="0097167A">
      <w:pPr>
        <w:pStyle w:val="FootnoteText"/>
        <w:ind w:firstLine="0"/>
      </w:pPr>
      <w:r>
        <w:rPr>
          <w:rStyle w:val="FootnoteReference"/>
        </w:rPr>
        <w:footnoteRef/>
      </w:r>
      <w:r>
        <w:t xml:space="preserve"> </w:t>
      </w:r>
      <w:r>
        <w:rPr>
          <w:i/>
        </w:rPr>
        <w:t>Reilly</w:t>
      </w:r>
      <w:r>
        <w:t xml:space="preserve">, </w:t>
      </w:r>
      <w:r>
        <w:rPr>
          <w:rFonts w:cs="Times New Roman"/>
        </w:rPr>
        <w:t>op.cit., n.</w:t>
      </w:r>
      <w:r>
        <w:fldChar w:fldCharType="begin"/>
      </w:r>
      <w:r>
        <w:instrText xml:space="preserve"> NOTEREF _Ref31737920 \h </w:instrText>
      </w:r>
      <w:r>
        <w:fldChar w:fldCharType="separate"/>
      </w:r>
      <w:r w:rsidR="001C337A">
        <w:t>125</w:t>
      </w:r>
      <w:r>
        <w:fldChar w:fldCharType="end"/>
      </w:r>
      <w:r>
        <w:t xml:space="preserve"> (Mann LJ)</w:t>
      </w:r>
    </w:p>
  </w:footnote>
  <w:footnote w:id="117">
    <w:p w14:paraId="790C7B58" w14:textId="77777777" w:rsidR="00DC6C35" w:rsidRPr="009D4143" w:rsidRDefault="00DC6C35" w:rsidP="0097167A">
      <w:pPr>
        <w:pStyle w:val="FootnoteText"/>
        <w:ind w:firstLine="0"/>
      </w:pPr>
      <w:r>
        <w:rPr>
          <w:rStyle w:val="FootnoteReference"/>
        </w:rPr>
        <w:footnoteRef/>
      </w:r>
      <w:r>
        <w:t xml:space="preserve"> </w:t>
      </w:r>
      <w:r>
        <w:rPr>
          <w:i/>
        </w:rPr>
        <w:t xml:space="preserve">Liverpool Women’s Hospital NHS Foundation Trust v Ronayne </w:t>
      </w:r>
      <w:r>
        <w:t>[2015] EWCA Civ 588, [6], [7], [9]-[10], [30] (Tomlinson LJ)</w:t>
      </w:r>
    </w:p>
  </w:footnote>
  <w:footnote w:id="118">
    <w:p w14:paraId="11C891AC" w14:textId="6264BB2F" w:rsidR="00DC6C35" w:rsidRPr="00595BD7" w:rsidRDefault="00DC6C35" w:rsidP="0097167A">
      <w:pPr>
        <w:pStyle w:val="FootnoteText"/>
        <w:ind w:firstLine="0"/>
      </w:pPr>
      <w:r>
        <w:rPr>
          <w:rStyle w:val="FootnoteReference"/>
        </w:rPr>
        <w:footnoteRef/>
      </w:r>
      <w:r>
        <w:t xml:space="preserve"> </w:t>
      </w:r>
      <w:r>
        <w:rPr>
          <w:i/>
        </w:rPr>
        <w:t>White</w:t>
      </w:r>
      <w:r>
        <w:t xml:space="preserve">, </w:t>
      </w:r>
      <w:r>
        <w:rPr>
          <w:rFonts w:cs="Times New Roman"/>
        </w:rPr>
        <w:t>op.cit.,</w:t>
      </w:r>
      <w:r>
        <w:t xml:space="preserve"> n.</w:t>
      </w:r>
      <w:r>
        <w:fldChar w:fldCharType="begin"/>
      </w:r>
      <w:r>
        <w:instrText xml:space="preserve"> NOTEREF _Ref26460891 \h </w:instrText>
      </w:r>
      <w:r>
        <w:fldChar w:fldCharType="separate"/>
      </w:r>
      <w:r w:rsidR="001C337A">
        <w:t>3</w:t>
      </w:r>
      <w:r>
        <w:fldChar w:fldCharType="end"/>
      </w:r>
    </w:p>
  </w:footnote>
  <w:footnote w:id="119">
    <w:p w14:paraId="7F0DA5E6" w14:textId="6879A9C0" w:rsidR="00DC6C35" w:rsidRPr="00D45752" w:rsidRDefault="00DC6C35" w:rsidP="0097167A">
      <w:pPr>
        <w:pStyle w:val="FootnoteText"/>
        <w:ind w:firstLine="0"/>
      </w:pPr>
      <w:r>
        <w:rPr>
          <w:rStyle w:val="FootnoteReference"/>
        </w:rPr>
        <w:footnoteRef/>
      </w:r>
      <w:r>
        <w:t xml:space="preserve"> </w:t>
      </w:r>
      <w:r>
        <w:rPr>
          <w:i/>
        </w:rPr>
        <w:t xml:space="preserve">Tan v East London and City Health Authority </w:t>
      </w:r>
      <w:r>
        <w:t>[1999] Lloyd’s Rep Med 389</w:t>
      </w:r>
    </w:p>
  </w:footnote>
  <w:footnote w:id="120">
    <w:p w14:paraId="23B9E0BC" w14:textId="07B99244" w:rsidR="00DC6C35" w:rsidRPr="000B7144" w:rsidRDefault="00DC6C35" w:rsidP="0097167A">
      <w:pPr>
        <w:pStyle w:val="FootnoteText"/>
        <w:ind w:firstLine="0"/>
      </w:pPr>
      <w:r>
        <w:rPr>
          <w:rStyle w:val="FootnoteReference"/>
        </w:rPr>
        <w:footnoteRef/>
      </w:r>
      <w:r>
        <w:t xml:space="preserve"> </w:t>
      </w:r>
      <w:r>
        <w:rPr>
          <w:i/>
        </w:rPr>
        <w:t xml:space="preserve">Shorter v Surrey &amp; Sussex Healthcare NHS Trust </w:t>
      </w:r>
      <w:r>
        <w:t>[2015] EWHC 614 (QB)</w:t>
      </w:r>
    </w:p>
  </w:footnote>
  <w:footnote w:id="121">
    <w:p w14:paraId="160BF4D7" w14:textId="61914D3A" w:rsidR="00DC6C35" w:rsidRDefault="00DC6C35" w:rsidP="0097167A">
      <w:pPr>
        <w:pStyle w:val="FootnoteText"/>
        <w:ind w:firstLine="0"/>
      </w:pPr>
      <w:r>
        <w:rPr>
          <w:rStyle w:val="FootnoteReference"/>
        </w:rPr>
        <w:footnoteRef/>
      </w:r>
      <w:r>
        <w:t xml:space="preserve"> </w:t>
      </w:r>
      <w:r>
        <w:rPr>
          <w:i/>
        </w:rPr>
        <w:t xml:space="preserve">Liverpool Women’s Hospital NHS Foundation Trust v Ronayne </w:t>
      </w:r>
      <w:r>
        <w:t>[2015] EWCA Civ 588</w:t>
      </w:r>
    </w:p>
  </w:footnote>
  <w:footnote w:id="122">
    <w:p w14:paraId="7BB78D6C" w14:textId="264602E2" w:rsidR="00DC6C35" w:rsidRPr="00F576DE" w:rsidRDefault="00DC6C35" w:rsidP="0097167A">
      <w:pPr>
        <w:pStyle w:val="FootnoteText"/>
        <w:ind w:firstLine="0"/>
      </w:pPr>
      <w:r>
        <w:rPr>
          <w:rStyle w:val="FootnoteReference"/>
        </w:rPr>
        <w:footnoteRef/>
      </w:r>
      <w:r>
        <w:t xml:space="preserve"> </w:t>
      </w:r>
      <w:r>
        <w:rPr>
          <w:i/>
        </w:rPr>
        <w:t xml:space="preserve">Froggatt v Chesterfield and North Derbyshire Royal Hospital NHS Trust </w:t>
      </w:r>
      <w:r>
        <w:t>[2002] EWCA Civ 1792</w:t>
      </w:r>
    </w:p>
  </w:footnote>
  <w:footnote w:id="123">
    <w:p w14:paraId="1F37A530" w14:textId="41429A2B" w:rsidR="00DC6C35" w:rsidRDefault="00DC6C35" w:rsidP="0097167A">
      <w:pPr>
        <w:pStyle w:val="FootnoteText"/>
        <w:ind w:firstLine="0"/>
      </w:pPr>
      <w:r>
        <w:rPr>
          <w:rStyle w:val="FootnoteReference"/>
        </w:rPr>
        <w:footnoteRef/>
      </w:r>
      <w:r>
        <w:t xml:space="preserve"> </w:t>
      </w:r>
      <w:r>
        <w:rPr>
          <w:i/>
        </w:rPr>
        <w:t>Page</w:t>
      </w:r>
      <w:r>
        <w:t xml:space="preserve">, </w:t>
      </w:r>
      <w:r>
        <w:rPr>
          <w:rFonts w:cs="Times New Roman"/>
        </w:rPr>
        <w:t>op.cit.,</w:t>
      </w:r>
      <w:r>
        <w:t xml:space="preserve"> n.</w:t>
      </w:r>
      <w:r>
        <w:fldChar w:fldCharType="begin"/>
      </w:r>
      <w:r>
        <w:instrText xml:space="preserve"> NOTEREF _Ref31738034 \h </w:instrText>
      </w:r>
      <w:r>
        <w:fldChar w:fldCharType="separate"/>
      </w:r>
      <w:r w:rsidR="001C337A">
        <w:t>128</w:t>
      </w:r>
      <w:r>
        <w:fldChar w:fldCharType="end"/>
      </w:r>
    </w:p>
  </w:footnote>
  <w:footnote w:id="124">
    <w:p w14:paraId="20137248" w14:textId="1BAD3BA6" w:rsidR="00DC6C35" w:rsidRPr="0041507E" w:rsidRDefault="00DC6C35" w:rsidP="0097167A">
      <w:pPr>
        <w:pStyle w:val="FootnoteText"/>
        <w:ind w:firstLine="0"/>
      </w:pPr>
      <w:r>
        <w:rPr>
          <w:rStyle w:val="FootnoteReference"/>
        </w:rPr>
        <w:footnoteRef/>
      </w:r>
      <w:r>
        <w:t xml:space="preserve"> </w:t>
      </w:r>
      <w:r>
        <w:rPr>
          <w:i/>
        </w:rPr>
        <w:t xml:space="preserve">Vernon, </w:t>
      </w:r>
      <w:r>
        <w:rPr>
          <w:rFonts w:cs="Times New Roman"/>
        </w:rPr>
        <w:t>op.cit.,</w:t>
      </w:r>
      <w:r>
        <w:rPr>
          <w:i/>
        </w:rPr>
        <w:t xml:space="preserve"> n.</w:t>
      </w:r>
      <w:r w:rsidRPr="000E22F3">
        <w:fldChar w:fldCharType="begin"/>
      </w:r>
      <w:r w:rsidRPr="000E22F3">
        <w:instrText xml:space="preserve"> NOTEREF _Ref31737920 \h  \* MERGEFORMAT </w:instrText>
      </w:r>
      <w:r w:rsidRPr="000E22F3">
        <w:fldChar w:fldCharType="separate"/>
      </w:r>
      <w:r w:rsidR="001C337A">
        <w:t>125</w:t>
      </w:r>
      <w:r w:rsidRPr="000E22F3">
        <w:fldChar w:fldCharType="end"/>
      </w:r>
    </w:p>
  </w:footnote>
  <w:footnote w:id="125">
    <w:p w14:paraId="231B6D5F" w14:textId="1C016B30" w:rsidR="00DC6C35" w:rsidRPr="00BD27DD" w:rsidRDefault="00DC6C35" w:rsidP="0097167A">
      <w:pPr>
        <w:pStyle w:val="FootnoteText"/>
        <w:ind w:firstLine="0"/>
      </w:pPr>
      <w:r>
        <w:rPr>
          <w:rStyle w:val="FootnoteReference"/>
        </w:rPr>
        <w:footnoteRef/>
      </w:r>
      <w:r>
        <w:t xml:space="preserve"> </w:t>
      </w:r>
      <w:r>
        <w:rPr>
          <w:i/>
        </w:rPr>
        <w:t xml:space="preserve">Brice v Brown </w:t>
      </w:r>
      <w:r>
        <w:t>[1984] 1 All ER 997</w:t>
      </w:r>
    </w:p>
  </w:footnote>
  <w:footnote w:id="126">
    <w:p w14:paraId="4291A2DD" w14:textId="7C8BB2CB" w:rsidR="00DC6C35" w:rsidRPr="00A80E02" w:rsidRDefault="00DC6C35" w:rsidP="0097167A">
      <w:pPr>
        <w:pStyle w:val="FootnoteText"/>
        <w:ind w:firstLine="0"/>
      </w:pPr>
      <w:r>
        <w:rPr>
          <w:rStyle w:val="FootnoteReference"/>
        </w:rPr>
        <w:footnoteRef/>
      </w:r>
      <w:r>
        <w:t xml:space="preserve"> </w:t>
      </w:r>
      <w:r>
        <w:rPr>
          <w:i/>
        </w:rPr>
        <w:t xml:space="preserve">Mount Isa Mines Ltd v Pusey </w:t>
      </w:r>
      <w:r>
        <w:t>125 CLR 383</w:t>
      </w:r>
    </w:p>
  </w:footnote>
  <w:footnote w:id="127">
    <w:p w14:paraId="1CF062A0" w14:textId="216BC556" w:rsidR="00DC6C35" w:rsidRPr="003A07CD" w:rsidRDefault="00DC6C35" w:rsidP="0097167A">
      <w:pPr>
        <w:pStyle w:val="FootnoteText"/>
        <w:ind w:firstLine="0"/>
      </w:pPr>
      <w:r>
        <w:rPr>
          <w:rStyle w:val="FootnoteReference"/>
        </w:rPr>
        <w:footnoteRef/>
      </w:r>
      <w:r>
        <w:t xml:space="preserve"> F.A. Trindade, ‘The Principles Governing the Recovery of Damages for Negligently Caused Nervous Shock’ (1986) 45(3) </w:t>
      </w:r>
      <w:r>
        <w:rPr>
          <w:i/>
        </w:rPr>
        <w:t xml:space="preserve">Cambridge L.J. </w:t>
      </w:r>
      <w:r>
        <w:t>476, at 477 (emphasis added)</w:t>
      </w:r>
    </w:p>
  </w:footnote>
  <w:footnote w:id="128">
    <w:p w14:paraId="49C01A39" w14:textId="305DC285" w:rsidR="00DC6C35" w:rsidRDefault="00DC6C35" w:rsidP="0097167A">
      <w:pPr>
        <w:pStyle w:val="FootnoteText"/>
        <w:ind w:firstLine="0"/>
      </w:pPr>
      <w:r>
        <w:rPr>
          <w:rStyle w:val="FootnoteReference"/>
        </w:rPr>
        <w:footnoteRef/>
      </w:r>
      <w:r>
        <w:t xml:space="preserve"> Fennell, </w:t>
      </w:r>
      <w:r>
        <w:rPr>
          <w:rFonts w:cs="Times New Roman"/>
        </w:rPr>
        <w:t>op.cit.,</w:t>
      </w:r>
      <w:r>
        <w:t xml:space="preserve"> n.</w:t>
      </w:r>
      <w:r>
        <w:fldChar w:fldCharType="begin"/>
      </w:r>
      <w:r>
        <w:instrText xml:space="preserve"> NOTEREF _Ref29479010 \h </w:instrText>
      </w:r>
      <w:r>
        <w:fldChar w:fldCharType="separate"/>
      </w:r>
      <w:r w:rsidR="001C337A">
        <w:t>73</w:t>
      </w:r>
      <w:r>
        <w:fldChar w:fldCharType="end"/>
      </w:r>
      <w:r>
        <w:t>, p.106 (emphasis added)</w:t>
      </w:r>
    </w:p>
  </w:footnote>
  <w:footnote w:id="129">
    <w:p w14:paraId="12219B19" w14:textId="36A5EB4A" w:rsidR="00DC6C35" w:rsidRDefault="00DC6C35" w:rsidP="0097167A">
      <w:pPr>
        <w:pStyle w:val="FootnoteText"/>
        <w:ind w:firstLine="0"/>
      </w:pPr>
      <w:r>
        <w:rPr>
          <w:rStyle w:val="FootnoteReference"/>
        </w:rPr>
        <w:footnoteRef/>
      </w:r>
      <w:r>
        <w:t xml:space="preserve"> Section 1(2)</w:t>
      </w:r>
    </w:p>
  </w:footnote>
  <w:footnote w:id="130">
    <w:p w14:paraId="44EE65B9" w14:textId="6DEBAA19" w:rsidR="00670290" w:rsidRDefault="00670290" w:rsidP="0038566E">
      <w:pPr>
        <w:pStyle w:val="FootnoteText"/>
        <w:ind w:firstLine="0"/>
      </w:pPr>
      <w:r>
        <w:rPr>
          <w:rStyle w:val="FootnoteReference"/>
        </w:rPr>
        <w:footnoteRef/>
      </w:r>
      <w:r>
        <w:t xml:space="preserve"> e.g., </w:t>
      </w:r>
      <w:r>
        <w:rPr>
          <w:i/>
          <w:iCs/>
        </w:rPr>
        <w:t xml:space="preserve">Nicholls v Rushton </w:t>
      </w:r>
      <w:r>
        <w:t xml:space="preserve">[1994] WLUK 267 (CA) </w:t>
      </w:r>
    </w:p>
  </w:footnote>
  <w:footnote w:id="131">
    <w:p w14:paraId="70C667CD" w14:textId="7CEBACD7" w:rsidR="00DC6C35" w:rsidRPr="00224317" w:rsidRDefault="00DC6C35" w:rsidP="003117FE">
      <w:pPr>
        <w:pStyle w:val="FootnoteText"/>
        <w:ind w:firstLine="0"/>
      </w:pPr>
      <w:r>
        <w:rPr>
          <w:rStyle w:val="FootnoteReference"/>
        </w:rPr>
        <w:footnoteRef/>
      </w:r>
      <w:r>
        <w:t xml:space="preserve"> P. Case, ‘Curiouser and Curiouser: Psychiatric Damage Caused by Negligent Misinformation’ (2002) 18(4) </w:t>
      </w:r>
      <w:r>
        <w:rPr>
          <w:i/>
          <w:iCs/>
        </w:rPr>
        <w:t xml:space="preserve">Professional Negligence </w:t>
      </w:r>
      <w:r>
        <w:t>248, at 258</w:t>
      </w:r>
    </w:p>
  </w:footnote>
  <w:footnote w:id="132">
    <w:p w14:paraId="737126C7" w14:textId="3A81F677" w:rsidR="00DC6C35" w:rsidRPr="00B23D9E" w:rsidRDefault="00DC6C35" w:rsidP="002E4FAE">
      <w:pPr>
        <w:pStyle w:val="FootnoteText"/>
        <w:ind w:firstLine="0"/>
      </w:pPr>
      <w:r>
        <w:rPr>
          <w:rStyle w:val="FootnoteReference"/>
        </w:rPr>
        <w:footnoteRef/>
      </w:r>
      <w:r>
        <w:t xml:space="preserve"> Lord Oliver devised this taxonomy in </w:t>
      </w:r>
      <w:r>
        <w:rPr>
          <w:i/>
          <w:iCs/>
        </w:rPr>
        <w:t>Alcock,</w:t>
      </w:r>
      <w:r>
        <w:t xml:space="preserve"> </w:t>
      </w:r>
      <w:r>
        <w:rPr>
          <w:rFonts w:cs="Times New Roman"/>
        </w:rPr>
        <w:t>op.cit.,</w:t>
      </w:r>
      <w:r>
        <w:t xml:space="preserve"> </w:t>
      </w:r>
      <w:r w:rsidRPr="00CE6C85">
        <w:t>n</w:t>
      </w:r>
      <w:r>
        <w:rPr>
          <w:i/>
          <w:iCs/>
        </w:rPr>
        <w:t>.</w:t>
      </w:r>
      <w:r>
        <w:rPr>
          <w:iCs/>
        </w:rPr>
        <w:fldChar w:fldCharType="begin"/>
      </w:r>
      <w:r>
        <w:rPr>
          <w:iCs/>
        </w:rPr>
        <w:instrText xml:space="preserve"> NOTEREF _Ref26460990 \h </w:instrText>
      </w:r>
      <w:r>
        <w:rPr>
          <w:iCs/>
        </w:rPr>
      </w:r>
      <w:r>
        <w:rPr>
          <w:iCs/>
        </w:rPr>
        <w:fldChar w:fldCharType="separate"/>
      </w:r>
      <w:r w:rsidR="001C337A">
        <w:rPr>
          <w:iCs/>
        </w:rPr>
        <w:t>1</w:t>
      </w:r>
      <w:r>
        <w:rPr>
          <w:iCs/>
        </w:rPr>
        <w:fldChar w:fldCharType="end"/>
      </w:r>
      <w:r>
        <w:rPr>
          <w:iCs/>
        </w:rPr>
        <w:t>,</w:t>
      </w:r>
      <w:r>
        <w:rPr>
          <w:i/>
          <w:iCs/>
        </w:rPr>
        <w:t xml:space="preserve"> </w:t>
      </w:r>
      <w:r>
        <w:t>at pp.407-8</w:t>
      </w:r>
    </w:p>
  </w:footnote>
  <w:footnote w:id="133">
    <w:p w14:paraId="0C57EA83" w14:textId="6D677946" w:rsidR="00DC6C35" w:rsidRDefault="00DC6C35" w:rsidP="0097167A">
      <w:pPr>
        <w:pStyle w:val="FootnoteText"/>
        <w:ind w:firstLine="0"/>
      </w:pPr>
      <w:r>
        <w:rPr>
          <w:rStyle w:val="FootnoteReference"/>
        </w:rPr>
        <w:footnoteRef/>
      </w:r>
      <w:r>
        <w:t xml:space="preserve"> </w:t>
      </w:r>
      <w:r>
        <w:rPr>
          <w:i/>
        </w:rPr>
        <w:t>White</w:t>
      </w:r>
      <w:r>
        <w:t xml:space="preserve">, </w:t>
      </w:r>
      <w:r>
        <w:rPr>
          <w:rFonts w:cs="Times New Roman"/>
        </w:rPr>
        <w:t>op.cit.,</w:t>
      </w:r>
      <w:r>
        <w:t xml:space="preserve"> n.</w:t>
      </w:r>
      <w:r>
        <w:fldChar w:fldCharType="begin"/>
      </w:r>
      <w:r>
        <w:instrText xml:space="preserve"> NOTEREF _Ref26460891 \h </w:instrText>
      </w:r>
      <w:r>
        <w:fldChar w:fldCharType="separate"/>
      </w:r>
      <w:r w:rsidR="001C337A">
        <w:t>3</w:t>
      </w:r>
      <w:r>
        <w:fldChar w:fldCharType="end"/>
      </w:r>
      <w:r>
        <w:t>, p.499 (Lord Steyn)</w:t>
      </w:r>
    </w:p>
  </w:footnote>
  <w:footnote w:id="134">
    <w:p w14:paraId="43763AA2" w14:textId="7CC690F3" w:rsidR="00DC6C35" w:rsidRDefault="00DC6C35" w:rsidP="0097167A">
      <w:pPr>
        <w:pStyle w:val="FootnoteText"/>
        <w:ind w:firstLine="0"/>
      </w:pPr>
      <w:r>
        <w:rPr>
          <w:rStyle w:val="FootnoteReference"/>
        </w:rPr>
        <w:footnoteRef/>
      </w:r>
      <w:r>
        <w:t xml:space="preserve"> </w:t>
      </w:r>
      <w:r>
        <w:rPr>
          <w:i/>
        </w:rPr>
        <w:t>White</w:t>
      </w:r>
      <w:r>
        <w:t xml:space="preserve">, </w:t>
      </w:r>
      <w:r>
        <w:rPr>
          <w:rFonts w:cs="Times New Roman"/>
        </w:rPr>
        <w:t>op.cit., n.</w:t>
      </w:r>
      <w:r>
        <w:fldChar w:fldCharType="begin"/>
      </w:r>
      <w:r>
        <w:instrText xml:space="preserve"> NOTEREF _Ref26460891 \h </w:instrText>
      </w:r>
      <w:r>
        <w:fldChar w:fldCharType="separate"/>
      </w:r>
      <w:r w:rsidR="001C337A">
        <w:t>3</w:t>
      </w:r>
      <w:r>
        <w:fldChar w:fldCharType="end"/>
      </w:r>
    </w:p>
  </w:footnote>
  <w:footnote w:id="135">
    <w:p w14:paraId="1CA37D9F" w14:textId="408BEC58" w:rsidR="00DC6C35" w:rsidRDefault="00DC6C35" w:rsidP="0097167A">
      <w:pPr>
        <w:pStyle w:val="FootnoteText"/>
        <w:ind w:firstLine="0"/>
      </w:pPr>
      <w:r>
        <w:rPr>
          <w:rStyle w:val="FootnoteReference"/>
        </w:rPr>
        <w:footnoteRef/>
      </w:r>
      <w:r>
        <w:t xml:space="preserve"> </w:t>
      </w:r>
      <w:r>
        <w:rPr>
          <w:i/>
        </w:rPr>
        <w:t>Page</w:t>
      </w:r>
      <w:r>
        <w:rPr>
          <w:iCs/>
        </w:rPr>
        <w:t xml:space="preserve">, </w:t>
      </w:r>
      <w:r>
        <w:rPr>
          <w:rFonts w:cs="Times New Roman"/>
        </w:rPr>
        <w:t>op.cit., n.</w:t>
      </w:r>
      <w:r w:rsidRPr="00025673">
        <w:rPr>
          <w:iCs/>
        </w:rPr>
        <w:fldChar w:fldCharType="begin"/>
      </w:r>
      <w:r w:rsidRPr="00025673">
        <w:rPr>
          <w:iCs/>
        </w:rPr>
        <w:instrText xml:space="preserve"> NOTEREF _Ref31738034 \h </w:instrText>
      </w:r>
      <w:r>
        <w:rPr>
          <w:iCs/>
        </w:rPr>
        <w:instrText xml:space="preserve"> \* MERGEFORMAT </w:instrText>
      </w:r>
      <w:r w:rsidRPr="00025673">
        <w:rPr>
          <w:iCs/>
        </w:rPr>
      </w:r>
      <w:r w:rsidRPr="00025673">
        <w:rPr>
          <w:iCs/>
        </w:rPr>
        <w:fldChar w:fldCharType="separate"/>
      </w:r>
      <w:r w:rsidR="001C337A">
        <w:rPr>
          <w:iCs/>
        </w:rPr>
        <w:t>128</w:t>
      </w:r>
      <w:r w:rsidRPr="00025673">
        <w:rPr>
          <w:iCs/>
        </w:rPr>
        <w:fldChar w:fldCharType="end"/>
      </w:r>
    </w:p>
  </w:footnote>
  <w:footnote w:id="136">
    <w:p w14:paraId="4D33D0DA" w14:textId="4961DA7A" w:rsidR="00DC6C35" w:rsidRDefault="00DC6C35" w:rsidP="0097167A">
      <w:pPr>
        <w:pStyle w:val="FootnoteText"/>
        <w:ind w:firstLine="0"/>
      </w:pPr>
      <w:r>
        <w:rPr>
          <w:rStyle w:val="FootnoteReference"/>
        </w:rPr>
        <w:footnoteRef/>
      </w:r>
      <w:r>
        <w:t xml:space="preserve"> id. p. 187</w:t>
      </w:r>
    </w:p>
  </w:footnote>
  <w:footnote w:id="137">
    <w:p w14:paraId="5181CD42" w14:textId="62D38446" w:rsidR="00DC6C35" w:rsidRDefault="00DC6C35" w:rsidP="00F45C1D">
      <w:pPr>
        <w:pStyle w:val="FootnoteText"/>
        <w:ind w:firstLine="0"/>
      </w:pPr>
      <w:r>
        <w:rPr>
          <w:rStyle w:val="FootnoteReference"/>
        </w:rPr>
        <w:footnoteRef/>
      </w:r>
      <w:r>
        <w:t xml:space="preserve"> id. p. 188 (Lord Lloyd)</w:t>
      </w:r>
    </w:p>
  </w:footnote>
  <w:footnote w:id="138">
    <w:p w14:paraId="4BD67428" w14:textId="0D13C20B" w:rsidR="00DC6C35" w:rsidRPr="00065943" w:rsidRDefault="00DC6C35" w:rsidP="00F45C1D">
      <w:pPr>
        <w:pStyle w:val="FootnoteText"/>
        <w:ind w:firstLine="0"/>
      </w:pPr>
      <w:r>
        <w:rPr>
          <w:rStyle w:val="FootnoteReference"/>
        </w:rPr>
        <w:footnoteRef/>
      </w:r>
      <w:r>
        <w:t xml:space="preserve"> e.g., P. Handford, ‘A New Chapter in the Foresight Saga: Psychiatric Damage in the House of Lords’ (1996) 4(1) </w:t>
      </w:r>
      <w:r>
        <w:rPr>
          <w:i/>
        </w:rPr>
        <w:t xml:space="preserve">Tort L.Rev. </w:t>
      </w:r>
      <w:r>
        <w:t>5, at 6; see also, Bailey and Nolan, op.cit., n.</w:t>
      </w:r>
      <w:r>
        <w:fldChar w:fldCharType="begin"/>
      </w:r>
      <w:r>
        <w:instrText xml:space="preserve"> NOTEREF _Ref31648882 \h </w:instrText>
      </w:r>
      <w:r>
        <w:fldChar w:fldCharType="separate"/>
      </w:r>
      <w:r w:rsidR="001C337A">
        <w:t>6</w:t>
      </w:r>
      <w:r>
        <w:fldChar w:fldCharType="end"/>
      </w:r>
      <w:r>
        <w:t>, 527; A. Sprince, ‘</w:t>
      </w:r>
      <w:r>
        <w:rPr>
          <w:i/>
        </w:rPr>
        <w:t>Page v Smith</w:t>
      </w:r>
      <w:r>
        <w:t xml:space="preserve">: Being “Primary” Colours House of Lords’ Judgment’ (1995) 11(4) </w:t>
      </w:r>
      <w:r>
        <w:rPr>
          <w:i/>
        </w:rPr>
        <w:t xml:space="preserve">Professional Negligence </w:t>
      </w:r>
      <w:r>
        <w:t>124; Trindade, op.cit., n.</w:t>
      </w:r>
      <w:r>
        <w:fldChar w:fldCharType="begin"/>
      </w:r>
      <w:r>
        <w:instrText xml:space="preserve"> NOTEREF _Ref31653325 \h </w:instrText>
      </w:r>
      <w:r>
        <w:fldChar w:fldCharType="separate"/>
      </w:r>
      <w:r w:rsidR="001C337A">
        <w:t>16</w:t>
      </w:r>
      <w:r>
        <w:fldChar w:fldCharType="end"/>
      </w:r>
      <w:r>
        <w:t>, at 22, 24-5</w:t>
      </w:r>
    </w:p>
  </w:footnote>
  <w:footnote w:id="139">
    <w:p w14:paraId="7D330176" w14:textId="28DE3F6A" w:rsidR="00DC6C35" w:rsidRPr="00DD2778" w:rsidRDefault="00DC6C35" w:rsidP="00F45C1D">
      <w:pPr>
        <w:pStyle w:val="FootnoteText"/>
        <w:ind w:firstLine="0"/>
      </w:pPr>
      <w:r>
        <w:rPr>
          <w:rStyle w:val="FootnoteReference"/>
        </w:rPr>
        <w:footnoteRef/>
      </w:r>
      <w:r>
        <w:t xml:space="preserve"> Jones, </w:t>
      </w:r>
      <w:r>
        <w:rPr>
          <w:rFonts w:cs="Times New Roman"/>
        </w:rPr>
        <w:t>op.cit.,</w:t>
      </w:r>
      <w:r>
        <w:t xml:space="preserve"> n.</w:t>
      </w:r>
      <w:r>
        <w:fldChar w:fldCharType="begin"/>
      </w:r>
      <w:r>
        <w:instrText xml:space="preserve"> NOTEREF _Ref31653286 \h </w:instrText>
      </w:r>
      <w:r>
        <w:fldChar w:fldCharType="separate"/>
      </w:r>
      <w:r w:rsidR="001C337A">
        <w:t>15</w:t>
      </w:r>
      <w:r>
        <w:fldChar w:fldCharType="end"/>
      </w:r>
      <w:r>
        <w:t>, p.127</w:t>
      </w:r>
    </w:p>
  </w:footnote>
  <w:footnote w:id="140">
    <w:p w14:paraId="28CC1164" w14:textId="643E4D76" w:rsidR="00DC6C35" w:rsidRPr="00364993" w:rsidRDefault="00DC6C35" w:rsidP="00F45C1D">
      <w:pPr>
        <w:pStyle w:val="FootnoteText"/>
        <w:ind w:firstLine="0"/>
      </w:pPr>
      <w:r>
        <w:rPr>
          <w:rStyle w:val="FootnoteReference"/>
        </w:rPr>
        <w:footnoteRef/>
      </w:r>
      <w:r>
        <w:t xml:space="preserve"> </w:t>
      </w:r>
      <w:r>
        <w:rPr>
          <w:i/>
        </w:rPr>
        <w:t>White</w:t>
      </w:r>
      <w:r>
        <w:t xml:space="preserve">, </w:t>
      </w:r>
      <w:r>
        <w:rPr>
          <w:rFonts w:cs="Times New Roman"/>
        </w:rPr>
        <w:t>op.cit., n.</w:t>
      </w:r>
      <w:r>
        <w:fldChar w:fldCharType="begin"/>
      </w:r>
      <w:r>
        <w:instrText xml:space="preserve"> NOTEREF _Ref26460891 \h </w:instrText>
      </w:r>
      <w:r>
        <w:fldChar w:fldCharType="separate"/>
      </w:r>
      <w:r w:rsidR="001C337A">
        <w:t>3</w:t>
      </w:r>
      <w:r>
        <w:fldChar w:fldCharType="end"/>
      </w:r>
      <w:r>
        <w:t>, p.473 (Lord Goff)</w:t>
      </w:r>
    </w:p>
  </w:footnote>
  <w:footnote w:id="141">
    <w:p w14:paraId="31EBC4D1" w14:textId="194F359B" w:rsidR="00DC6C35" w:rsidRPr="0074556E" w:rsidRDefault="00DC6C35" w:rsidP="0038566E">
      <w:pPr>
        <w:pStyle w:val="FootnoteText"/>
        <w:ind w:firstLine="0"/>
      </w:pPr>
      <w:r>
        <w:rPr>
          <w:rStyle w:val="FootnoteReference"/>
        </w:rPr>
        <w:footnoteRef/>
      </w:r>
      <w:r>
        <w:t xml:space="preserve"> e.g., </w:t>
      </w:r>
      <w:r>
        <w:rPr>
          <w:i/>
          <w:iCs/>
        </w:rPr>
        <w:t xml:space="preserve">Smith v Leech Brain &amp; Co Ltd </w:t>
      </w:r>
      <w:r>
        <w:t>[1962] 2 QB 405</w:t>
      </w:r>
    </w:p>
  </w:footnote>
  <w:footnote w:id="142">
    <w:p w14:paraId="600A5E15" w14:textId="0C183006" w:rsidR="00DC6C35" w:rsidRDefault="00DC6C35" w:rsidP="0038566E">
      <w:pPr>
        <w:pStyle w:val="FootnoteText"/>
        <w:ind w:firstLine="0"/>
      </w:pPr>
      <w:r>
        <w:rPr>
          <w:rStyle w:val="FootnoteReference"/>
        </w:rPr>
        <w:footnoteRef/>
      </w:r>
      <w:r>
        <w:t xml:space="preserve"> [1901] 2 KB 669</w:t>
      </w:r>
    </w:p>
  </w:footnote>
  <w:footnote w:id="143">
    <w:p w14:paraId="37C3F72E" w14:textId="08AF908E" w:rsidR="00DC6C35" w:rsidRPr="004B219E" w:rsidRDefault="00DC6C35" w:rsidP="0097167A">
      <w:pPr>
        <w:pStyle w:val="FootnoteText"/>
        <w:ind w:firstLine="0"/>
      </w:pPr>
      <w:r>
        <w:rPr>
          <w:rStyle w:val="FootnoteReference"/>
        </w:rPr>
        <w:footnoteRef/>
      </w:r>
      <w:r>
        <w:t xml:space="preserve"> S. Hedley, ‘Nervous Shock: Wider Still and Wider?’ (1997) 56(2) </w:t>
      </w:r>
      <w:r>
        <w:rPr>
          <w:i/>
        </w:rPr>
        <w:t xml:space="preserve">Cambridge L.J. </w:t>
      </w:r>
      <w:r>
        <w:t>254</w:t>
      </w:r>
    </w:p>
  </w:footnote>
  <w:footnote w:id="144">
    <w:p w14:paraId="0C589554" w14:textId="74CC7AB4" w:rsidR="00DC6C35" w:rsidRDefault="00DC6C35" w:rsidP="0038566E">
      <w:pPr>
        <w:pStyle w:val="FootnoteText"/>
        <w:ind w:firstLine="0"/>
      </w:pPr>
      <w:r>
        <w:rPr>
          <w:rStyle w:val="FootnoteReference"/>
        </w:rPr>
        <w:footnoteRef/>
      </w:r>
      <w:r>
        <w:t xml:space="preserve"> </w:t>
      </w:r>
    </w:p>
  </w:footnote>
  <w:footnote w:id="145">
    <w:p w14:paraId="73EE6EFB" w14:textId="77777777" w:rsidR="00DC6C35" w:rsidRDefault="00DC6C35" w:rsidP="0097167A">
      <w:pPr>
        <w:pStyle w:val="FootnoteText"/>
        <w:ind w:firstLine="0"/>
      </w:pPr>
      <w:r>
        <w:rPr>
          <w:rStyle w:val="FootnoteReference"/>
        </w:rPr>
        <w:footnoteRef/>
      </w:r>
      <w:r>
        <w:t xml:space="preserve"> CRPD, art 4(1)(b)</w:t>
      </w:r>
    </w:p>
  </w:footnote>
  <w:footnote w:id="146">
    <w:p w14:paraId="1D249A22" w14:textId="20495A0E" w:rsidR="00DC6C35" w:rsidRPr="00483479" w:rsidRDefault="00DC6C35" w:rsidP="0097167A">
      <w:pPr>
        <w:pStyle w:val="FootnoteText"/>
        <w:ind w:firstLine="0"/>
      </w:pPr>
      <w:r>
        <w:rPr>
          <w:rStyle w:val="FootnoteReference"/>
        </w:rPr>
        <w:footnoteRef/>
      </w:r>
      <w:r>
        <w:t xml:space="preserve"> e.g., D. Nolan, ‘Negligence and Human Rights Law: the Case for Separate Development’ (2013) 76(2) </w:t>
      </w:r>
      <w:r>
        <w:rPr>
          <w:i/>
          <w:iCs/>
        </w:rPr>
        <w:t xml:space="preserve">Modern L.Rev. </w:t>
      </w:r>
      <w:r>
        <w:t xml:space="preserve">286; </w:t>
      </w:r>
      <w:r w:rsidR="00456C52">
        <w:t>also,</w:t>
      </w:r>
      <w:r>
        <w:t xml:space="preserve"> </w:t>
      </w:r>
      <w:r>
        <w:rPr>
          <w:i/>
          <w:iCs/>
        </w:rPr>
        <w:t xml:space="preserve">Commissioner of Police of the Metropolis v DSD </w:t>
      </w:r>
      <w:r>
        <w:t>[2019] AC 196 (SC)</w:t>
      </w:r>
    </w:p>
  </w:footnote>
  <w:footnote w:id="147">
    <w:p w14:paraId="2039C313" w14:textId="77777777" w:rsidR="00DC6C35" w:rsidRPr="00A43519" w:rsidRDefault="00DC6C35" w:rsidP="0097167A">
      <w:pPr>
        <w:pStyle w:val="FootnoteText"/>
        <w:ind w:firstLine="0"/>
      </w:pPr>
      <w:r>
        <w:rPr>
          <w:rStyle w:val="FootnoteReference"/>
        </w:rPr>
        <w:footnoteRef/>
      </w:r>
      <w:r>
        <w:t xml:space="preserve"> e.g., </w:t>
      </w:r>
      <w:r>
        <w:rPr>
          <w:i/>
        </w:rPr>
        <w:t xml:space="preserve">D v East Berkshire Community Health NHS Trust </w:t>
      </w:r>
      <w:r>
        <w:t xml:space="preserve">[2005] 2 AC 373; </w:t>
      </w:r>
      <w:r>
        <w:rPr>
          <w:i/>
        </w:rPr>
        <w:t xml:space="preserve">Michael v Chief Constable of South Wales Police </w:t>
      </w:r>
      <w:r>
        <w:t>[2015] AC 1732</w:t>
      </w:r>
    </w:p>
  </w:footnote>
  <w:footnote w:id="148">
    <w:p w14:paraId="6DA1D208" w14:textId="479FC5EF" w:rsidR="00DC6C35" w:rsidRDefault="00DC6C35" w:rsidP="0097167A">
      <w:pPr>
        <w:pStyle w:val="FootnoteText"/>
        <w:ind w:firstLine="0"/>
      </w:pPr>
      <w:r>
        <w:rPr>
          <w:rStyle w:val="FootnoteReference"/>
        </w:rPr>
        <w:footnoteRef/>
      </w:r>
      <w:r>
        <w:t xml:space="preserve"> [1943] AC 92 (HL)</w:t>
      </w:r>
    </w:p>
  </w:footnote>
  <w:footnote w:id="149">
    <w:p w14:paraId="7CB4D487" w14:textId="48E0C213" w:rsidR="00DC6C35" w:rsidRDefault="00DC6C35" w:rsidP="0097167A">
      <w:pPr>
        <w:pStyle w:val="FootnoteText"/>
        <w:ind w:firstLine="0"/>
      </w:pPr>
      <w:r>
        <w:rPr>
          <w:rStyle w:val="FootnoteReference"/>
        </w:rPr>
        <w:footnoteRef/>
      </w:r>
      <w:r>
        <w:t xml:space="preserve"> id</w:t>
      </w:r>
    </w:p>
  </w:footnote>
  <w:footnote w:id="150">
    <w:p w14:paraId="140C259D" w14:textId="2460CC5C" w:rsidR="00DC6C35" w:rsidRDefault="00DC6C35" w:rsidP="0097167A">
      <w:pPr>
        <w:pStyle w:val="FootnoteText"/>
        <w:ind w:firstLine="0"/>
      </w:pPr>
      <w:r>
        <w:rPr>
          <w:rStyle w:val="FootnoteReference"/>
        </w:rPr>
        <w:footnoteRef/>
      </w:r>
      <w:r>
        <w:t xml:space="preserve"> </w:t>
      </w:r>
      <w:r>
        <w:rPr>
          <w:i/>
        </w:rPr>
        <w:t>Alcock</w:t>
      </w:r>
      <w:r>
        <w:t xml:space="preserve">, </w:t>
      </w:r>
      <w:r>
        <w:rPr>
          <w:rFonts w:cs="Times New Roman"/>
        </w:rPr>
        <w:t>op.cit., n.</w:t>
      </w:r>
      <w:r>
        <w:fldChar w:fldCharType="begin"/>
      </w:r>
      <w:r>
        <w:instrText xml:space="preserve"> NOTEREF _Ref26460990 \h </w:instrText>
      </w:r>
      <w:r>
        <w:fldChar w:fldCharType="separate"/>
      </w:r>
      <w:r w:rsidR="001C337A">
        <w:t>1</w:t>
      </w:r>
      <w:r>
        <w:fldChar w:fldCharType="end"/>
      </w:r>
    </w:p>
  </w:footnote>
  <w:footnote w:id="151">
    <w:p w14:paraId="2BCD53C7" w14:textId="620F10D9" w:rsidR="00DC6C35" w:rsidRDefault="00DC6C35" w:rsidP="0097167A">
      <w:pPr>
        <w:pStyle w:val="FootnoteText"/>
        <w:ind w:firstLine="0"/>
      </w:pPr>
      <w:r>
        <w:rPr>
          <w:rStyle w:val="FootnoteReference"/>
        </w:rPr>
        <w:footnoteRef/>
      </w:r>
      <w:r>
        <w:t xml:space="preserve"> </w:t>
      </w:r>
      <w:r>
        <w:rPr>
          <w:i/>
        </w:rPr>
        <w:t>McLoughlin</w:t>
      </w:r>
      <w:r w:rsidRPr="0011518C">
        <w:t>,</w:t>
      </w:r>
      <w:r>
        <w:t xml:space="preserve"> </w:t>
      </w:r>
      <w:r>
        <w:rPr>
          <w:rFonts w:cs="Times New Roman"/>
        </w:rPr>
        <w:t>op.cit.,</w:t>
      </w:r>
      <w:r>
        <w:t xml:space="preserve"> n.</w:t>
      </w:r>
      <w:r>
        <w:fldChar w:fldCharType="begin"/>
      </w:r>
      <w:r>
        <w:instrText xml:space="preserve"> NOTEREF _Ref31735922 \h </w:instrText>
      </w:r>
      <w:r>
        <w:fldChar w:fldCharType="separate"/>
      </w:r>
      <w:r w:rsidR="001C337A">
        <w:t>126</w:t>
      </w:r>
      <w:r>
        <w:fldChar w:fldCharType="end"/>
      </w:r>
      <w:r>
        <w:t>,</w:t>
      </w:r>
      <w:r w:rsidRPr="0011518C">
        <w:t xml:space="preserve"> </w:t>
      </w:r>
      <w:r>
        <w:t>p.</w:t>
      </w:r>
      <w:r w:rsidRPr="0011518C">
        <w:t>422 (Lord Wilberforce</w:t>
      </w:r>
      <w:r>
        <w:t>)</w:t>
      </w:r>
    </w:p>
  </w:footnote>
  <w:footnote w:id="152">
    <w:p w14:paraId="691FE5DE" w14:textId="35152413" w:rsidR="00DC6C35" w:rsidRDefault="00DC6C35" w:rsidP="0097167A">
      <w:pPr>
        <w:pStyle w:val="FootnoteText"/>
        <w:ind w:firstLine="0"/>
      </w:pPr>
      <w:r>
        <w:rPr>
          <w:rStyle w:val="FootnoteReference"/>
        </w:rPr>
        <w:footnoteRef/>
      </w:r>
      <w:r>
        <w:t xml:space="preserve"> </w:t>
      </w:r>
      <w:r>
        <w:rPr>
          <w:i/>
        </w:rPr>
        <w:t>Alcock</w:t>
      </w:r>
      <w:r>
        <w:t xml:space="preserve">, </w:t>
      </w:r>
      <w:r>
        <w:rPr>
          <w:rFonts w:cs="Times New Roman"/>
        </w:rPr>
        <w:t>op.cit.,</w:t>
      </w:r>
      <w:r>
        <w:t xml:space="preserve"> n.</w:t>
      </w:r>
      <w:r>
        <w:fldChar w:fldCharType="begin"/>
      </w:r>
      <w:r>
        <w:instrText xml:space="preserve"> NOTEREF _Ref26460990 \h </w:instrText>
      </w:r>
      <w:r>
        <w:fldChar w:fldCharType="separate"/>
      </w:r>
      <w:r w:rsidR="001C337A">
        <w:t>1</w:t>
      </w:r>
      <w:r>
        <w:fldChar w:fldCharType="end"/>
      </w:r>
      <w:r>
        <w:t>, p.396 (Lord Keith)</w:t>
      </w:r>
    </w:p>
  </w:footnote>
  <w:footnote w:id="153">
    <w:p w14:paraId="469C15E6" w14:textId="651FC495" w:rsidR="00DC6C35" w:rsidRDefault="00DC6C35" w:rsidP="0097167A">
      <w:pPr>
        <w:pStyle w:val="FootnoteText"/>
        <w:ind w:firstLine="0"/>
      </w:pPr>
      <w:r>
        <w:rPr>
          <w:rStyle w:val="FootnoteReference"/>
        </w:rPr>
        <w:footnoteRef/>
      </w:r>
      <w:r>
        <w:t xml:space="preserve"> id. p. 402 (Lord Ackner)</w:t>
      </w:r>
    </w:p>
  </w:footnote>
  <w:footnote w:id="154">
    <w:p w14:paraId="1ACF5794" w14:textId="3AEE828A" w:rsidR="00DC6C35" w:rsidRDefault="00DC6C35" w:rsidP="0097167A">
      <w:pPr>
        <w:pStyle w:val="FootnoteText"/>
        <w:ind w:firstLine="0"/>
      </w:pPr>
      <w:r>
        <w:rPr>
          <w:rStyle w:val="FootnoteReference"/>
        </w:rPr>
        <w:footnoteRef/>
      </w:r>
      <w:r>
        <w:t xml:space="preserve"> id. p. 403 (Lord Ackner)</w:t>
      </w:r>
    </w:p>
  </w:footnote>
  <w:footnote w:id="155">
    <w:p w14:paraId="0444D5FA" w14:textId="69427B05" w:rsidR="00DC6C35" w:rsidRPr="004B28A2" w:rsidRDefault="00DC6C35" w:rsidP="0097167A">
      <w:pPr>
        <w:pStyle w:val="FootnoteText"/>
        <w:ind w:firstLine="0"/>
      </w:pPr>
      <w:r>
        <w:rPr>
          <w:rStyle w:val="FootnoteReference"/>
        </w:rPr>
        <w:footnoteRef/>
      </w:r>
      <w:r>
        <w:t xml:space="preserve"> </w:t>
      </w:r>
      <w:r>
        <w:rPr>
          <w:i/>
          <w:iCs/>
        </w:rPr>
        <w:t>Alcock</w:t>
      </w:r>
      <w:r>
        <w:t xml:space="preserve">, </w:t>
      </w:r>
      <w:r>
        <w:rPr>
          <w:rFonts w:cs="Times New Roman"/>
        </w:rPr>
        <w:t>op.cit.,</w:t>
      </w:r>
      <w:r>
        <w:t xml:space="preserve"> n.</w:t>
      </w:r>
      <w:r>
        <w:fldChar w:fldCharType="begin"/>
      </w:r>
      <w:r>
        <w:instrText xml:space="preserve"> NOTEREF _Ref26460990 \h </w:instrText>
      </w:r>
      <w:r>
        <w:fldChar w:fldCharType="separate"/>
      </w:r>
      <w:r w:rsidR="001C337A">
        <w:t>1</w:t>
      </w:r>
      <w:r>
        <w:fldChar w:fldCharType="end"/>
      </w:r>
      <w:r>
        <w:t xml:space="preserve">, p.397 (Lord Keith); 403 (Lord Ackner); see also </w:t>
      </w:r>
      <w:r>
        <w:rPr>
          <w:i/>
          <w:iCs/>
        </w:rPr>
        <w:t xml:space="preserve">McFarlane v EE Caledonia Ltd </w:t>
      </w:r>
      <w:r>
        <w:t>[1997] 2 Lloyd’s Rep 259</w:t>
      </w:r>
    </w:p>
  </w:footnote>
  <w:footnote w:id="156">
    <w:p w14:paraId="0CE8C3B4" w14:textId="6DEC3D76" w:rsidR="00DC6C35" w:rsidRDefault="00DC6C35" w:rsidP="0097167A">
      <w:pPr>
        <w:pStyle w:val="FootnoteText"/>
        <w:ind w:firstLine="0"/>
      </w:pPr>
      <w:r>
        <w:rPr>
          <w:rStyle w:val="FootnoteReference"/>
        </w:rPr>
        <w:footnoteRef/>
      </w:r>
      <w:r>
        <w:t xml:space="preserve"> id. p. 417 (Lord Oliver)</w:t>
      </w:r>
    </w:p>
  </w:footnote>
  <w:footnote w:id="157">
    <w:p w14:paraId="727CF1D4" w14:textId="483594BC" w:rsidR="00DC6C35" w:rsidRDefault="00DC6C35" w:rsidP="0097167A">
      <w:pPr>
        <w:pStyle w:val="FootnoteText"/>
        <w:ind w:firstLine="0"/>
      </w:pPr>
      <w:r>
        <w:rPr>
          <w:rStyle w:val="FootnoteReference"/>
        </w:rPr>
        <w:footnoteRef/>
      </w:r>
      <w:r>
        <w:t xml:space="preserve"> </w:t>
      </w:r>
      <w:r>
        <w:rPr>
          <w:i/>
          <w:iCs/>
        </w:rPr>
        <w:t>McLoughlin</w:t>
      </w:r>
      <w:r>
        <w:t>, op.cit., n.</w:t>
      </w:r>
      <w:r>
        <w:fldChar w:fldCharType="begin"/>
      </w:r>
      <w:r>
        <w:instrText xml:space="preserve"> NOTEREF _Ref31735922 \h </w:instrText>
      </w:r>
      <w:r>
        <w:fldChar w:fldCharType="separate"/>
      </w:r>
      <w:r w:rsidR="001C337A">
        <w:t>126</w:t>
      </w:r>
      <w:r>
        <w:fldChar w:fldCharType="end"/>
      </w:r>
      <w:r>
        <w:t>, 423 (Lord Wilberforce)</w:t>
      </w:r>
    </w:p>
  </w:footnote>
  <w:footnote w:id="158">
    <w:p w14:paraId="3CEE1CD8" w14:textId="3DE75EBB" w:rsidR="00DC6C35" w:rsidRPr="008037CC" w:rsidRDefault="00DC6C35" w:rsidP="0097167A">
      <w:pPr>
        <w:pStyle w:val="FootnoteText"/>
        <w:ind w:firstLine="0"/>
      </w:pPr>
      <w:r>
        <w:rPr>
          <w:rStyle w:val="FootnoteReference"/>
        </w:rPr>
        <w:footnoteRef/>
      </w:r>
      <w:r>
        <w:t xml:space="preserve"> </w:t>
      </w:r>
      <w:r>
        <w:rPr>
          <w:i/>
          <w:iCs/>
        </w:rPr>
        <w:t>McLoughlin</w:t>
      </w:r>
      <w:r>
        <w:t>, op.cit., n.</w:t>
      </w:r>
      <w:r>
        <w:fldChar w:fldCharType="begin"/>
      </w:r>
      <w:r>
        <w:instrText xml:space="preserve"> NOTEREF _Ref31735922 \h </w:instrText>
      </w:r>
      <w:r>
        <w:fldChar w:fldCharType="separate"/>
      </w:r>
      <w:r w:rsidR="001C337A">
        <w:t>126</w:t>
      </w:r>
      <w:r>
        <w:fldChar w:fldCharType="end"/>
      </w:r>
      <w:r>
        <w:t xml:space="preserve">, 419 (Lord Wilberforce); see also </w:t>
      </w:r>
      <w:r>
        <w:rPr>
          <w:i/>
          <w:iCs/>
        </w:rPr>
        <w:t xml:space="preserve">Jaensch v Coffey </w:t>
      </w:r>
      <w:r>
        <w:t>(1984) 33 SASR 255</w:t>
      </w:r>
      <w:r>
        <w:rPr>
          <w:i/>
          <w:iCs/>
        </w:rPr>
        <w:t xml:space="preserve"> </w:t>
      </w:r>
    </w:p>
  </w:footnote>
  <w:footnote w:id="159">
    <w:p w14:paraId="754A04FF" w14:textId="1B3A5E45" w:rsidR="00DC6C35" w:rsidRDefault="00DC6C35" w:rsidP="0097167A">
      <w:pPr>
        <w:pStyle w:val="FootnoteText"/>
        <w:ind w:firstLine="0"/>
      </w:pPr>
      <w:r>
        <w:rPr>
          <w:rStyle w:val="FootnoteReference"/>
        </w:rPr>
        <w:footnoteRef/>
      </w:r>
      <w:r>
        <w:t xml:space="preserve"> </w:t>
      </w:r>
      <w:r>
        <w:rPr>
          <w:i/>
          <w:iCs/>
        </w:rPr>
        <w:t>Alcock</w:t>
      </w:r>
      <w:r>
        <w:t xml:space="preserve">, </w:t>
      </w:r>
      <w:r>
        <w:rPr>
          <w:rFonts w:cs="Times New Roman"/>
        </w:rPr>
        <w:t>op.cit.,</w:t>
      </w:r>
      <w:r>
        <w:t xml:space="preserve"> n.</w:t>
      </w:r>
      <w:r>
        <w:fldChar w:fldCharType="begin"/>
      </w:r>
      <w:r>
        <w:instrText xml:space="preserve"> NOTEREF _Ref26460990 \h </w:instrText>
      </w:r>
      <w:r>
        <w:fldChar w:fldCharType="separate"/>
      </w:r>
      <w:r w:rsidR="001C337A">
        <w:t>1</w:t>
      </w:r>
      <w:r>
        <w:fldChar w:fldCharType="end"/>
      </w:r>
      <w:r>
        <w:t>, p.405 (Lord Ackner)</w:t>
      </w:r>
    </w:p>
  </w:footnote>
  <w:footnote w:id="160">
    <w:p w14:paraId="70BD1165" w14:textId="5D9FEBE0" w:rsidR="00DC6C35" w:rsidRDefault="00DC6C35" w:rsidP="0097167A">
      <w:pPr>
        <w:pStyle w:val="FootnoteText"/>
        <w:ind w:firstLine="0"/>
      </w:pPr>
      <w:r>
        <w:rPr>
          <w:rStyle w:val="FootnoteReference"/>
        </w:rPr>
        <w:footnoteRef/>
      </w:r>
      <w:r>
        <w:t xml:space="preserve"> id. p. 398 (Lord Keith)</w:t>
      </w:r>
    </w:p>
  </w:footnote>
  <w:footnote w:id="161">
    <w:p w14:paraId="2394216A" w14:textId="2AB664B1" w:rsidR="00DC6C35" w:rsidRDefault="00DC6C35" w:rsidP="0097167A">
      <w:pPr>
        <w:pStyle w:val="FootnoteText"/>
        <w:ind w:firstLine="0"/>
      </w:pPr>
      <w:r>
        <w:rPr>
          <w:rStyle w:val="FootnoteReference"/>
        </w:rPr>
        <w:footnoteRef/>
      </w:r>
      <w:r>
        <w:t xml:space="preserve"> id. p. 401 (Lord Ackner)</w:t>
      </w:r>
    </w:p>
  </w:footnote>
  <w:footnote w:id="162">
    <w:p w14:paraId="12F5A052" w14:textId="4C3CCDE7" w:rsidR="00DC6C35" w:rsidRPr="005E4208" w:rsidRDefault="00DC6C35" w:rsidP="0097167A">
      <w:pPr>
        <w:pStyle w:val="FootnoteText"/>
        <w:ind w:firstLine="0"/>
      </w:pPr>
      <w:r>
        <w:rPr>
          <w:rStyle w:val="FootnoteReference"/>
        </w:rPr>
        <w:footnoteRef/>
      </w:r>
      <w:r>
        <w:t xml:space="preserve"> </w:t>
      </w:r>
      <w:r>
        <w:rPr>
          <w:i/>
          <w:iCs/>
        </w:rPr>
        <w:t xml:space="preserve">Liverpool Women’s Hospital NHS Foundation Trust v Ronayne </w:t>
      </w:r>
      <w:r>
        <w:t>[2015] EWCA Civ 588</w:t>
      </w:r>
    </w:p>
  </w:footnote>
  <w:footnote w:id="163">
    <w:p w14:paraId="1D764E97" w14:textId="7997A642" w:rsidR="00DC6C35" w:rsidRPr="006E4E5D" w:rsidRDefault="00DC6C35" w:rsidP="0097167A">
      <w:pPr>
        <w:pStyle w:val="FootnoteText"/>
        <w:ind w:firstLine="0"/>
      </w:pPr>
      <w:r>
        <w:rPr>
          <w:rStyle w:val="FootnoteReference"/>
        </w:rPr>
        <w:footnoteRef/>
      </w:r>
      <w:r>
        <w:t xml:space="preserve"> Hedley, </w:t>
      </w:r>
      <w:r>
        <w:rPr>
          <w:rFonts w:cs="Times New Roman"/>
        </w:rPr>
        <w:t>op.cit.,</w:t>
      </w:r>
      <w:r>
        <w:t xml:space="preserve"> n.</w:t>
      </w:r>
      <w:r>
        <w:fldChar w:fldCharType="begin"/>
      </w:r>
      <w:r>
        <w:instrText xml:space="preserve"> NOTEREF _Ref31648948 \h </w:instrText>
      </w:r>
      <w:r>
        <w:fldChar w:fldCharType="separate"/>
      </w:r>
      <w:r w:rsidR="001C337A">
        <w:t>10</w:t>
      </w:r>
      <w:r>
        <w:fldChar w:fldCharType="end"/>
      </w:r>
      <w:r>
        <w:t>, p.17</w:t>
      </w:r>
    </w:p>
  </w:footnote>
  <w:footnote w:id="164">
    <w:p w14:paraId="25EA9008" w14:textId="539E4D18" w:rsidR="00DC6C35" w:rsidRDefault="00DC6C35" w:rsidP="0097167A">
      <w:pPr>
        <w:pStyle w:val="FootnoteText"/>
        <w:ind w:firstLine="0"/>
      </w:pPr>
      <w:r>
        <w:rPr>
          <w:rStyle w:val="FootnoteReference"/>
        </w:rPr>
        <w:footnoteRef/>
      </w:r>
      <w:r>
        <w:t xml:space="preserve"> id.</w:t>
      </w:r>
    </w:p>
  </w:footnote>
  <w:footnote w:id="165">
    <w:p w14:paraId="054CD07B" w14:textId="25F44A5C" w:rsidR="00DC6C35" w:rsidRPr="00D97647" w:rsidRDefault="00DC6C35" w:rsidP="0097167A">
      <w:pPr>
        <w:pStyle w:val="FootnoteText"/>
        <w:ind w:firstLine="0"/>
      </w:pPr>
      <w:r>
        <w:rPr>
          <w:rStyle w:val="FootnoteReference"/>
        </w:rPr>
        <w:footnoteRef/>
      </w:r>
      <w:r>
        <w:t xml:space="preserve"> </w:t>
      </w:r>
      <w:r w:rsidR="00823FC9">
        <w:rPr>
          <w:i/>
        </w:rPr>
        <w:t>Grieves</w:t>
      </w:r>
      <w:r w:rsidR="00823FC9">
        <w:rPr>
          <w:iCs/>
        </w:rPr>
        <w:t>, op.cit., n.</w:t>
      </w:r>
      <w:r w:rsidR="00823FC9">
        <w:rPr>
          <w:iCs/>
        </w:rPr>
        <w:fldChar w:fldCharType="begin"/>
      </w:r>
      <w:r w:rsidR="00823FC9">
        <w:rPr>
          <w:iCs/>
        </w:rPr>
        <w:instrText xml:space="preserve"> NOTEREF _Ref78984607 \h </w:instrText>
      </w:r>
      <w:r w:rsidR="00823FC9">
        <w:rPr>
          <w:iCs/>
        </w:rPr>
      </w:r>
      <w:r w:rsidR="00823FC9">
        <w:rPr>
          <w:iCs/>
        </w:rPr>
        <w:fldChar w:fldCharType="separate"/>
      </w:r>
      <w:r w:rsidR="00823FC9">
        <w:rPr>
          <w:iCs/>
        </w:rPr>
        <w:t>106</w:t>
      </w:r>
      <w:r w:rsidR="00823FC9">
        <w:rPr>
          <w:iCs/>
        </w:rPr>
        <w:fldChar w:fldCharType="end"/>
      </w:r>
    </w:p>
  </w:footnote>
  <w:footnote w:id="166">
    <w:p w14:paraId="6EE6A2B9" w14:textId="27D58530" w:rsidR="00DC6C35" w:rsidRDefault="00DC6C35" w:rsidP="0097167A">
      <w:pPr>
        <w:pStyle w:val="FootnoteText"/>
        <w:ind w:firstLine="0"/>
      </w:pPr>
      <w:r>
        <w:rPr>
          <w:rStyle w:val="FootnoteReference"/>
        </w:rPr>
        <w:footnoteRef/>
      </w:r>
      <w:r>
        <w:t xml:space="preserve"> id. [7] (Lord Hoffmann)</w:t>
      </w:r>
    </w:p>
  </w:footnote>
  <w:footnote w:id="167">
    <w:p w14:paraId="769E2BA1" w14:textId="3FA22D97" w:rsidR="00DC6C35" w:rsidRDefault="00DC6C35" w:rsidP="0038566E">
      <w:pPr>
        <w:pStyle w:val="FootnoteText"/>
        <w:ind w:firstLine="0"/>
      </w:pPr>
      <w:r>
        <w:rPr>
          <w:rStyle w:val="FootnoteReference"/>
        </w:rPr>
        <w:footnoteRef/>
      </w:r>
      <w:r>
        <w:t xml:space="preserve"> </w:t>
      </w:r>
      <w:r w:rsidR="002A32BB">
        <w:t>S</w:t>
      </w:r>
      <w:r>
        <w:t xml:space="preserve">pecial </w:t>
      </w:r>
      <w:r w:rsidR="002A32BB">
        <w:t xml:space="preserve">duty </w:t>
      </w:r>
      <w:r>
        <w:t xml:space="preserve">rules also apply in </w:t>
      </w:r>
      <w:r w:rsidR="002A32BB">
        <w:t xml:space="preserve">economic loss </w:t>
      </w:r>
      <w:r>
        <w:t xml:space="preserve">cases (e.g., </w:t>
      </w:r>
      <w:r>
        <w:rPr>
          <w:i/>
        </w:rPr>
        <w:t>Hedley Byrne</w:t>
      </w:r>
      <w:r>
        <w:t xml:space="preserve"> op.cit. n.</w:t>
      </w:r>
      <w:r>
        <w:fldChar w:fldCharType="begin"/>
      </w:r>
      <w:r>
        <w:instrText xml:space="preserve"> NOTEREF _Ref31738134 \h </w:instrText>
      </w:r>
      <w:r>
        <w:fldChar w:fldCharType="separate"/>
      </w:r>
      <w:r w:rsidR="001C337A">
        <w:t>89</w:t>
      </w:r>
      <w:r>
        <w:fldChar w:fldCharType="end"/>
      </w:r>
      <w:r>
        <w:t xml:space="preserve">; </w:t>
      </w:r>
      <w:r>
        <w:rPr>
          <w:i/>
        </w:rPr>
        <w:t>Playboy Club London Ltd v Banca Nazionale del Lavoro SpA</w:t>
      </w:r>
      <w:r>
        <w:t xml:space="preserve"> [2018] UKSC 43). However, since these rules are not animated by disability, they raise no relevant issue for the CRPD.</w:t>
      </w:r>
    </w:p>
  </w:footnote>
  <w:footnote w:id="168">
    <w:p w14:paraId="3FD2A5A0" w14:textId="071E1F2F" w:rsidR="00DC6C35" w:rsidRPr="00FB7171" w:rsidRDefault="00DC6C35" w:rsidP="0097167A">
      <w:pPr>
        <w:pStyle w:val="FootnoteText"/>
        <w:ind w:firstLine="0"/>
      </w:pPr>
      <w:r>
        <w:rPr>
          <w:rStyle w:val="FootnoteReference"/>
        </w:rPr>
        <w:footnoteRef/>
      </w:r>
      <w:r>
        <w:t xml:space="preserve"> </w:t>
      </w:r>
      <w:r>
        <w:rPr>
          <w:i/>
        </w:rPr>
        <w:t>White</w:t>
      </w:r>
      <w:r>
        <w:t xml:space="preserve">, </w:t>
      </w:r>
      <w:r>
        <w:rPr>
          <w:rFonts w:cs="Times New Roman"/>
        </w:rPr>
        <w:t>op.cit.,</w:t>
      </w:r>
      <w:r>
        <w:t xml:space="preserve"> n.</w:t>
      </w:r>
      <w:r>
        <w:fldChar w:fldCharType="begin"/>
      </w:r>
      <w:r>
        <w:instrText xml:space="preserve"> NOTEREF _Ref26460891 \h </w:instrText>
      </w:r>
      <w:r>
        <w:fldChar w:fldCharType="separate"/>
      </w:r>
      <w:r w:rsidR="001C337A">
        <w:t>3</w:t>
      </w:r>
      <w:r>
        <w:fldChar w:fldCharType="end"/>
      </w:r>
      <w:r>
        <w:t>, p.493 (Lord Steyn)</w:t>
      </w:r>
    </w:p>
  </w:footnote>
  <w:footnote w:id="169">
    <w:p w14:paraId="439E6391" w14:textId="5FF14092" w:rsidR="00DC6C35" w:rsidRPr="006934B8" w:rsidRDefault="00DC6C35" w:rsidP="0097167A">
      <w:pPr>
        <w:pStyle w:val="FootnoteText"/>
        <w:ind w:firstLine="0"/>
      </w:pPr>
      <w:r>
        <w:rPr>
          <w:rStyle w:val="FootnoteReference"/>
        </w:rPr>
        <w:footnoteRef/>
      </w:r>
      <w:r>
        <w:t xml:space="preserve"> D. Butler, ‘An Assessment of Competing Policy Considerations in Cases of Psychiatric Injury Resulting from Negligence’ (2002) 10 </w:t>
      </w:r>
      <w:r>
        <w:rPr>
          <w:i/>
        </w:rPr>
        <w:t xml:space="preserve">Torts L.J. </w:t>
      </w:r>
      <w:r>
        <w:t>13</w:t>
      </w:r>
    </w:p>
  </w:footnote>
  <w:footnote w:id="170">
    <w:p w14:paraId="74A884DC" w14:textId="132A88FB" w:rsidR="00DC6C35" w:rsidRDefault="00DC6C35" w:rsidP="0097167A">
      <w:pPr>
        <w:pStyle w:val="FootnoteText"/>
        <w:ind w:firstLine="0"/>
      </w:pPr>
      <w:r>
        <w:rPr>
          <w:rStyle w:val="FootnoteReference"/>
        </w:rPr>
        <w:footnoteRef/>
      </w:r>
      <w:r>
        <w:t xml:space="preserve"> e.g., ECHR, arts. 8(2), 9(2), 10(2) and 11(2)</w:t>
      </w:r>
    </w:p>
  </w:footnote>
  <w:footnote w:id="171">
    <w:p w14:paraId="1AAB1ADA" w14:textId="54551B34" w:rsidR="00DC6C35" w:rsidRDefault="00DC6C35" w:rsidP="0097167A">
      <w:pPr>
        <w:pStyle w:val="FootnoteText"/>
        <w:ind w:firstLine="0"/>
      </w:pPr>
      <w:r>
        <w:rPr>
          <w:rStyle w:val="FootnoteReference"/>
        </w:rPr>
        <w:footnoteRef/>
      </w:r>
      <w:r>
        <w:t xml:space="preserve"> CRPD, art 4(1)</w:t>
      </w:r>
    </w:p>
  </w:footnote>
  <w:footnote w:id="172">
    <w:p w14:paraId="6ADDC93D" w14:textId="4CF60A60" w:rsidR="00DC6C35" w:rsidRPr="00B528C2" w:rsidRDefault="00DC6C35" w:rsidP="0097167A">
      <w:pPr>
        <w:pStyle w:val="FootnoteText"/>
        <w:ind w:firstLine="0"/>
      </w:pPr>
      <w:r>
        <w:rPr>
          <w:rStyle w:val="FootnoteReference"/>
        </w:rPr>
        <w:footnoteRef/>
      </w:r>
      <w:r>
        <w:t xml:space="preserve"> UN Human Rights Committee, </w:t>
      </w:r>
      <w:r>
        <w:rPr>
          <w:i/>
        </w:rPr>
        <w:t>CCPR General Comment No 18: Non-discrimination</w:t>
      </w:r>
      <w:r>
        <w:t xml:space="preserve"> (10 November 1989), [13]</w:t>
      </w:r>
    </w:p>
  </w:footnote>
  <w:footnote w:id="173">
    <w:p w14:paraId="588E64C1" w14:textId="029FCF07" w:rsidR="00DC6C35" w:rsidRPr="000F5251" w:rsidRDefault="00DC6C35" w:rsidP="0097167A">
      <w:pPr>
        <w:pStyle w:val="FootnoteText"/>
        <w:ind w:firstLine="0"/>
      </w:pPr>
      <w:r>
        <w:rPr>
          <w:rStyle w:val="FootnoteReference"/>
        </w:rPr>
        <w:footnoteRef/>
      </w:r>
      <w:r>
        <w:t xml:space="preserve"> e.g., Bell, </w:t>
      </w:r>
      <w:r>
        <w:rPr>
          <w:rFonts w:cs="Times New Roman"/>
        </w:rPr>
        <w:t>op.cit.,</w:t>
      </w:r>
      <w:r>
        <w:t xml:space="preserve"> n.</w:t>
      </w:r>
      <w:r>
        <w:fldChar w:fldCharType="begin"/>
      </w:r>
      <w:r>
        <w:instrText xml:space="preserve"> NOTEREF _Ref31291783 \h </w:instrText>
      </w:r>
      <w:r>
        <w:fldChar w:fldCharType="separate"/>
      </w:r>
      <w:r w:rsidR="001C337A">
        <w:t>13</w:t>
      </w:r>
      <w:r>
        <w:fldChar w:fldCharType="end"/>
      </w:r>
      <w:r>
        <w:t xml:space="preserve">; V.E. Nolan and E. Ursin, ‘Negligent Infliction of Emotional Distress: Coherence Emerging from Chaos’ (1982) 33 </w:t>
      </w:r>
      <w:r>
        <w:rPr>
          <w:i/>
        </w:rPr>
        <w:t xml:space="preserve">Hastings L.J. </w:t>
      </w:r>
      <w:r>
        <w:t xml:space="preserve">583; M.A. Jones, ‘Liability for Psychiatric Illness – More Principle, Less Subtlety?’ [1995] 4 </w:t>
      </w:r>
      <w:r w:rsidRPr="00D747B9">
        <w:rPr>
          <w:i/>
          <w:iCs/>
        </w:rPr>
        <w:t>Web JCLI</w:t>
      </w:r>
      <w:r>
        <w:t xml:space="preserve"> &lt;</w:t>
      </w:r>
      <w:r w:rsidRPr="00D747B9">
        <w:t>https://www.bailii.org/uk/other/journals/WebJCLI/1995/issue4/jones4.html</w:t>
      </w:r>
      <w:r>
        <w:t>&gt;; Teff, op.cit., n.</w:t>
      </w:r>
      <w:r>
        <w:fldChar w:fldCharType="begin"/>
      </w:r>
      <w:r>
        <w:instrText xml:space="preserve"> NOTEREF _Ref31128782 \h </w:instrText>
      </w:r>
      <w:r>
        <w:fldChar w:fldCharType="separate"/>
      </w:r>
      <w:r w:rsidR="001C337A">
        <w:t>27</w:t>
      </w:r>
      <w:r>
        <w:fldChar w:fldCharType="end"/>
      </w:r>
      <w:r>
        <w:t>, chapter 5</w:t>
      </w:r>
    </w:p>
  </w:footnote>
  <w:footnote w:id="174">
    <w:p w14:paraId="21B18D1B" w14:textId="6F050183" w:rsidR="00DC6C35" w:rsidRPr="00CD7D49" w:rsidRDefault="00DC6C35" w:rsidP="0097167A">
      <w:pPr>
        <w:pStyle w:val="FootnoteText"/>
        <w:ind w:firstLine="0"/>
      </w:pPr>
      <w:r>
        <w:rPr>
          <w:rStyle w:val="FootnoteReference"/>
        </w:rPr>
        <w:footnoteRef/>
      </w:r>
      <w:r>
        <w:t xml:space="preserve"> e.g., </w:t>
      </w:r>
      <w:r>
        <w:rPr>
          <w:i/>
        </w:rPr>
        <w:t xml:space="preserve">Arthur JS Hall &amp; Co v Simons </w:t>
      </w:r>
      <w:r>
        <w:t xml:space="preserve">[2002] 1 AC 615 (HL); </w:t>
      </w:r>
      <w:r>
        <w:rPr>
          <w:i/>
        </w:rPr>
        <w:t xml:space="preserve">Jones v Kaney </w:t>
      </w:r>
      <w:r>
        <w:t xml:space="preserve">[2011] UKSC 13; </w:t>
      </w:r>
      <w:r>
        <w:rPr>
          <w:i/>
        </w:rPr>
        <w:t xml:space="preserve">Smith v Ministry of Defence </w:t>
      </w:r>
      <w:r>
        <w:t>[2014] AC 52 (HL)</w:t>
      </w:r>
    </w:p>
  </w:footnote>
  <w:footnote w:id="175">
    <w:p w14:paraId="63CAD83D" w14:textId="4699C178" w:rsidR="00DC6C35" w:rsidRDefault="00DC6C35" w:rsidP="0097167A">
      <w:pPr>
        <w:pStyle w:val="FootnoteText"/>
        <w:ind w:firstLine="0"/>
      </w:pPr>
      <w:r>
        <w:rPr>
          <w:rStyle w:val="FootnoteReference"/>
        </w:rPr>
        <w:footnoteRef/>
      </w:r>
      <w:r>
        <w:t xml:space="preserve"> H. Teff, </w:t>
      </w:r>
      <w:r>
        <w:rPr>
          <w:i/>
        </w:rPr>
        <w:t xml:space="preserve">Causing Psychiatric and Emotional Harm </w:t>
      </w:r>
      <w:r>
        <w:t>(2009) 12</w:t>
      </w:r>
    </w:p>
  </w:footnote>
  <w:footnote w:id="176">
    <w:p w14:paraId="6AEFEDEB" w14:textId="0D48B4B0" w:rsidR="00DC6C35" w:rsidRDefault="00DC6C35" w:rsidP="0097167A">
      <w:pPr>
        <w:pStyle w:val="FootnoteText"/>
        <w:ind w:firstLine="0"/>
      </w:pPr>
      <w:r>
        <w:rPr>
          <w:rStyle w:val="FootnoteReference"/>
        </w:rPr>
        <w:footnoteRef/>
      </w:r>
      <w:r>
        <w:t xml:space="preserve"> Jones, </w:t>
      </w:r>
      <w:r>
        <w:rPr>
          <w:rFonts w:cs="Times New Roman"/>
        </w:rPr>
        <w:t>op.cit.,</w:t>
      </w:r>
      <w:r>
        <w:t xml:space="preserve"> n.</w:t>
      </w:r>
      <w:r>
        <w:fldChar w:fldCharType="begin"/>
      </w:r>
      <w:r>
        <w:instrText xml:space="preserve"> NOTEREF _Ref31128883 \h </w:instrText>
      </w:r>
      <w:r>
        <w:fldChar w:fldCharType="separate"/>
      </w:r>
      <w:r w:rsidR="001C337A">
        <w:t>187</w:t>
      </w:r>
      <w:r>
        <w:fldChar w:fldCharType="end"/>
      </w:r>
    </w:p>
  </w:footnote>
  <w:footnote w:id="177">
    <w:p w14:paraId="0506F48D" w14:textId="5FD53C9F" w:rsidR="00DC6C35" w:rsidRDefault="00DC6C35" w:rsidP="0038566E">
      <w:pPr>
        <w:pStyle w:val="FootnoteText"/>
        <w:ind w:firstLine="0"/>
      </w:pPr>
      <w:r>
        <w:rPr>
          <w:rStyle w:val="FootnoteReference"/>
        </w:rPr>
        <w:footnoteRef/>
      </w:r>
      <w:r>
        <w:t xml:space="preserve"> e.g., CRPD, art 4</w:t>
      </w:r>
    </w:p>
  </w:footnote>
  <w:footnote w:id="178">
    <w:p w14:paraId="7DD9E5BF" w14:textId="689B87B8" w:rsidR="00DC6C35" w:rsidRPr="00473824" w:rsidRDefault="00DC6C35" w:rsidP="0097167A">
      <w:pPr>
        <w:pStyle w:val="FootnoteText"/>
        <w:ind w:firstLine="0"/>
      </w:pPr>
      <w:r>
        <w:rPr>
          <w:rStyle w:val="FootnoteReference"/>
        </w:rPr>
        <w:footnoteRef/>
      </w:r>
      <w:r>
        <w:t xml:space="preserve"> D. Nolan, ‘Psychiatric Injury at the Crossroads’ (2004) 1 </w:t>
      </w:r>
      <w:r>
        <w:rPr>
          <w:i/>
          <w:iCs/>
        </w:rPr>
        <w:t xml:space="preserve">J. of Personal Injury Law </w:t>
      </w:r>
      <w:r>
        <w:t>1, at 2</w:t>
      </w:r>
    </w:p>
  </w:footnote>
  <w:footnote w:id="179">
    <w:p w14:paraId="2B4FDD67" w14:textId="77777777" w:rsidR="00DC6C35" w:rsidRPr="00833CD8" w:rsidRDefault="00DC6C35" w:rsidP="0097167A">
      <w:pPr>
        <w:pStyle w:val="FootnoteText"/>
        <w:ind w:firstLine="0"/>
      </w:pPr>
      <w:r>
        <w:rPr>
          <w:rStyle w:val="FootnoteReference"/>
        </w:rPr>
        <w:footnoteRef/>
      </w:r>
      <w:r>
        <w:t xml:space="preserve"> </w:t>
      </w:r>
      <w:r>
        <w:rPr>
          <w:i/>
          <w:iCs/>
        </w:rPr>
        <w:t xml:space="preserve">Hevican v Ruane </w:t>
      </w:r>
      <w:r>
        <w:t xml:space="preserve">[1991] 3 All ER 65 (QBD); </w:t>
      </w:r>
      <w:r>
        <w:rPr>
          <w:i/>
          <w:iCs/>
        </w:rPr>
        <w:t xml:space="preserve">Ravenscroft v Rederi AB Transatlantic </w:t>
      </w:r>
      <w:r>
        <w:t>[1991] 3 All ER 73 (QBD)</w:t>
      </w:r>
    </w:p>
  </w:footnote>
  <w:footnote w:id="180">
    <w:p w14:paraId="31ED8C90" w14:textId="10BA69CE" w:rsidR="00DC6C35" w:rsidRPr="00BA03C7" w:rsidRDefault="00DC6C35" w:rsidP="0097167A">
      <w:pPr>
        <w:pStyle w:val="FootnoteText"/>
        <w:ind w:firstLine="0"/>
      </w:pPr>
      <w:r>
        <w:rPr>
          <w:rStyle w:val="FootnoteReference"/>
        </w:rPr>
        <w:footnoteRef/>
      </w:r>
      <w:r>
        <w:t xml:space="preserve"> e.g., M. McCulloch et al, ‘Post Traumatic Stress Disorder: Turning the Tide without Opening the Floodgates’ (1995) 35 </w:t>
      </w:r>
      <w:r>
        <w:rPr>
          <w:i/>
          <w:iCs/>
        </w:rPr>
        <w:t xml:space="preserve">Medicine, Science and Law </w:t>
      </w:r>
      <w:r>
        <w:t>287, at 291</w:t>
      </w:r>
    </w:p>
  </w:footnote>
  <w:footnote w:id="181">
    <w:p w14:paraId="0136497B" w14:textId="2BACB418" w:rsidR="00DC6C35" w:rsidRPr="00254C23" w:rsidRDefault="00DC6C35" w:rsidP="0097167A">
      <w:pPr>
        <w:pStyle w:val="FootnoteText"/>
        <w:ind w:firstLine="0"/>
      </w:pPr>
      <w:r>
        <w:rPr>
          <w:rStyle w:val="FootnoteReference"/>
        </w:rPr>
        <w:footnoteRef/>
      </w:r>
      <w:r>
        <w:t xml:space="preserve"> </w:t>
      </w:r>
      <w:r w:rsidR="009C7303">
        <w:t>e.g.,</w:t>
      </w:r>
      <w:r>
        <w:t xml:space="preserve"> </w:t>
      </w:r>
      <w:r>
        <w:rPr>
          <w:i/>
          <w:iCs/>
        </w:rPr>
        <w:t xml:space="preserve">Paul v Royal Wolverhampton NHS Trust </w:t>
      </w:r>
      <w:r>
        <w:t>[2020] EWHC 1415 (QB)</w:t>
      </w:r>
      <w:r w:rsidR="009C7303">
        <w:t>;</w:t>
      </w:r>
      <w:r>
        <w:t xml:space="preserve"> </w:t>
      </w:r>
      <w:r>
        <w:rPr>
          <w:i/>
        </w:rPr>
        <w:t xml:space="preserve">King v Royal United Hospitals Bath NHS Foundation Trust </w:t>
      </w:r>
      <w:r>
        <w:t>[2021] EWHC 1576 (QB)</w:t>
      </w:r>
    </w:p>
  </w:footnote>
  <w:footnote w:id="182">
    <w:p w14:paraId="08552099" w14:textId="640DD01D" w:rsidR="00DC6C35" w:rsidRPr="00DE4030" w:rsidRDefault="00DC6C35" w:rsidP="0097167A">
      <w:pPr>
        <w:pStyle w:val="FootnoteText"/>
        <w:ind w:firstLine="0"/>
      </w:pPr>
      <w:r>
        <w:rPr>
          <w:rStyle w:val="FootnoteReference"/>
        </w:rPr>
        <w:footnoteRef/>
      </w:r>
      <w:r>
        <w:t xml:space="preserve"> H. Teff, ‘Righting Mental Harms’ (2009) 159(7384) </w:t>
      </w:r>
      <w:r>
        <w:rPr>
          <w:i/>
          <w:iCs/>
        </w:rPr>
        <w:t xml:space="preserve">New L.J. </w:t>
      </w:r>
      <w:r>
        <w:t>&lt;</w:t>
      </w:r>
      <w:hyperlink r:id="rId5" w:history="1">
        <w:r w:rsidRPr="00C459FE">
          <w:rPr>
            <w:rStyle w:val="Hyperlink"/>
          </w:rPr>
          <w:t>https://www.newlawjournal.co.uk/content/righting-mental-harms</w:t>
        </w:r>
      </w:hyperlink>
      <w:r>
        <w:t>&gt;</w:t>
      </w:r>
    </w:p>
  </w:footnote>
  <w:footnote w:id="183">
    <w:p w14:paraId="4DB771C3" w14:textId="153DDA37" w:rsidR="00756E3D" w:rsidRPr="001C2324" w:rsidRDefault="00756E3D" w:rsidP="00756E3D">
      <w:pPr>
        <w:pStyle w:val="FootnoteText"/>
        <w:ind w:firstLine="0"/>
      </w:pPr>
      <w:r>
        <w:rPr>
          <w:rStyle w:val="FootnoteReference"/>
        </w:rPr>
        <w:footnoteRef/>
      </w:r>
      <w:r>
        <w:t xml:space="preserve"> e.g., C. Hilson, ‘Liability for Psychiatric Injury: Primary and Secondary Victims Revisited’ (2002) 18(3) </w:t>
      </w:r>
      <w:r>
        <w:rPr>
          <w:i/>
          <w:iCs/>
        </w:rPr>
        <w:t xml:space="preserve">Professional Negligence </w:t>
      </w:r>
      <w:r>
        <w:t>167, at 176</w:t>
      </w:r>
    </w:p>
  </w:footnote>
  <w:footnote w:id="184">
    <w:p w14:paraId="3738F8A0" w14:textId="2558CEE3" w:rsidR="00DC6C35" w:rsidRDefault="00DC6C35" w:rsidP="0097167A">
      <w:pPr>
        <w:pStyle w:val="FootnoteText"/>
        <w:ind w:firstLine="0"/>
      </w:pPr>
      <w:r>
        <w:rPr>
          <w:rStyle w:val="FootnoteReference"/>
        </w:rPr>
        <w:footnoteRef/>
      </w:r>
      <w:r>
        <w:t xml:space="preserve"> Stapleton, </w:t>
      </w:r>
      <w:r>
        <w:rPr>
          <w:rFonts w:cs="Times New Roman"/>
        </w:rPr>
        <w:t>op.cit.,</w:t>
      </w:r>
      <w:r>
        <w:t xml:space="preserve"> n.</w:t>
      </w:r>
      <w:r>
        <w:fldChar w:fldCharType="begin"/>
      </w:r>
      <w:r>
        <w:instrText xml:space="preserve"> NOTEREF _Ref31038105 \h </w:instrText>
      </w:r>
      <w:r>
        <w:fldChar w:fldCharType="separate"/>
      </w:r>
      <w:r w:rsidR="001C337A">
        <w:t>14</w:t>
      </w:r>
      <w:r>
        <w:fldChar w:fldCharType="end"/>
      </w:r>
      <w:r>
        <w:t>, p.94-5</w:t>
      </w:r>
    </w:p>
  </w:footnote>
  <w:footnote w:id="185">
    <w:p w14:paraId="2F42DE9D" w14:textId="028FE0C8" w:rsidR="00DC6C35" w:rsidRDefault="00DC6C35" w:rsidP="0097167A">
      <w:pPr>
        <w:pStyle w:val="FootnoteText"/>
        <w:ind w:firstLine="0"/>
      </w:pPr>
      <w:r>
        <w:rPr>
          <w:rStyle w:val="FootnoteReference"/>
        </w:rPr>
        <w:footnoteRef/>
      </w:r>
      <w:r>
        <w:t xml:space="preserve"> Teff, </w:t>
      </w:r>
      <w:r>
        <w:rPr>
          <w:rFonts w:cs="Times New Roman"/>
        </w:rPr>
        <w:t>op.cit.,</w:t>
      </w:r>
      <w:r>
        <w:t xml:space="preserve"> n.</w:t>
      </w:r>
      <w:r>
        <w:fldChar w:fldCharType="begin"/>
      </w:r>
      <w:r>
        <w:instrText xml:space="preserve"> NOTEREF _Ref31039214 \h </w:instrText>
      </w:r>
      <w:r>
        <w:fldChar w:fldCharType="separate"/>
      </w:r>
      <w:r w:rsidR="001C337A">
        <w:t>5</w:t>
      </w:r>
      <w:r>
        <w:fldChar w:fldCharType="end"/>
      </w:r>
      <w:r>
        <w:t>, p.95</w:t>
      </w:r>
    </w:p>
  </w:footnote>
  <w:footnote w:id="186">
    <w:p w14:paraId="648022C5" w14:textId="520F3877" w:rsidR="00DC6C35" w:rsidRPr="004D7B5D" w:rsidRDefault="00DC6C35" w:rsidP="0097167A">
      <w:pPr>
        <w:pStyle w:val="FootnoteText"/>
        <w:ind w:firstLine="0"/>
      </w:pPr>
      <w:r>
        <w:rPr>
          <w:rStyle w:val="FootnoteReference"/>
        </w:rPr>
        <w:footnoteRef/>
      </w:r>
      <w:r>
        <w:t xml:space="preserve"> Law Commission, </w:t>
      </w:r>
      <w:r>
        <w:rPr>
          <w:i/>
          <w:iCs/>
        </w:rPr>
        <w:t xml:space="preserve">Liability for Psychiatric Illness </w:t>
      </w:r>
      <w:r>
        <w:t>(10 March 1998, LC249), [1.6]</w:t>
      </w:r>
    </w:p>
  </w:footnote>
  <w:footnote w:id="187">
    <w:p w14:paraId="126FC999" w14:textId="70A82CA5" w:rsidR="00DC6C35" w:rsidRPr="005525D1" w:rsidRDefault="00DC6C35" w:rsidP="0097167A">
      <w:pPr>
        <w:pStyle w:val="FootnoteText"/>
        <w:ind w:firstLine="0"/>
      </w:pPr>
      <w:r>
        <w:rPr>
          <w:rStyle w:val="FootnoteReference"/>
        </w:rPr>
        <w:footnoteRef/>
      </w:r>
      <w:r>
        <w:t xml:space="preserve"> id. [6.8]-[6.9]; A. Burrows, ‘Liability for Psychiatric Illness: Where Should the Line be Drawn?’ (1995) 3(3) </w:t>
      </w:r>
      <w:r>
        <w:rPr>
          <w:i/>
          <w:iCs/>
        </w:rPr>
        <w:t xml:space="preserve">Tort L.Rev. </w:t>
      </w:r>
      <w:r>
        <w:t>220, at 225</w:t>
      </w:r>
    </w:p>
  </w:footnote>
  <w:footnote w:id="188">
    <w:p w14:paraId="755FDBAD" w14:textId="19427035" w:rsidR="00DC6C35" w:rsidRDefault="00DC6C35" w:rsidP="0097167A">
      <w:pPr>
        <w:pStyle w:val="FootnoteText"/>
        <w:ind w:firstLine="0"/>
      </w:pPr>
      <w:r>
        <w:rPr>
          <w:rStyle w:val="FootnoteReference"/>
        </w:rPr>
        <w:footnoteRef/>
      </w:r>
      <w:r>
        <w:t xml:space="preserve"> id. [6.16]</w:t>
      </w:r>
    </w:p>
  </w:footnote>
  <w:footnote w:id="189">
    <w:p w14:paraId="722C82BF" w14:textId="7103A5F0" w:rsidR="00DC6C35" w:rsidRDefault="00DC6C35" w:rsidP="0097167A">
      <w:pPr>
        <w:pStyle w:val="FootnoteText"/>
        <w:ind w:firstLine="0"/>
      </w:pPr>
      <w:r>
        <w:rPr>
          <w:rStyle w:val="FootnoteReference"/>
        </w:rPr>
        <w:footnoteRef/>
      </w:r>
      <w:r>
        <w:t xml:space="preserve"> id. [6.27]</w:t>
      </w:r>
    </w:p>
  </w:footnote>
  <w:footnote w:id="190">
    <w:p w14:paraId="1AA21EBC" w14:textId="08D37C5F" w:rsidR="00DC6C35" w:rsidRDefault="00DC6C35" w:rsidP="0097167A">
      <w:pPr>
        <w:pStyle w:val="FootnoteText"/>
        <w:ind w:firstLine="0"/>
      </w:pPr>
      <w:r>
        <w:rPr>
          <w:rStyle w:val="FootnoteReference"/>
        </w:rPr>
        <w:footnoteRef/>
      </w:r>
      <w:r>
        <w:t xml:space="preserve"> id. [5.6]</w:t>
      </w:r>
    </w:p>
  </w:footnote>
  <w:footnote w:id="191">
    <w:p w14:paraId="1915D442" w14:textId="10A3761D" w:rsidR="00DC6C35" w:rsidRPr="0017497C" w:rsidRDefault="00DC6C35" w:rsidP="0097167A">
      <w:pPr>
        <w:pStyle w:val="FootnoteText"/>
        <w:ind w:firstLine="0"/>
      </w:pPr>
      <w:r>
        <w:rPr>
          <w:rStyle w:val="FootnoteReference"/>
        </w:rPr>
        <w:footnoteRef/>
      </w:r>
      <w:r>
        <w:t xml:space="preserve"> P. Handford, ‘Compensation for Psychiatric Injury: The Limits of Liability’ (1995) 2(1) </w:t>
      </w:r>
      <w:r>
        <w:rPr>
          <w:i/>
          <w:iCs/>
        </w:rPr>
        <w:t xml:space="preserve">Psychiatry, Psychology and Law </w:t>
      </w:r>
      <w:r>
        <w:t>37, at 42</w:t>
      </w:r>
    </w:p>
  </w:footnote>
  <w:footnote w:id="192">
    <w:p w14:paraId="41CA837F" w14:textId="4FD39CCB" w:rsidR="00DC6C35" w:rsidRPr="008E73CF" w:rsidRDefault="00DC6C35" w:rsidP="0097167A">
      <w:pPr>
        <w:pStyle w:val="FootnoteText"/>
        <w:ind w:firstLine="0"/>
      </w:pPr>
      <w:r>
        <w:rPr>
          <w:rStyle w:val="FootnoteReference"/>
        </w:rPr>
        <w:footnoteRef/>
      </w:r>
      <w:r>
        <w:t xml:space="preserve"> P. Handford, ‘Psychiatric Injury in Breach of a Relationship’ (2007) 27(1) </w:t>
      </w:r>
      <w:r>
        <w:rPr>
          <w:i/>
          <w:iCs/>
        </w:rPr>
        <w:t xml:space="preserve">Legal Studies </w:t>
      </w:r>
      <w:r>
        <w:t>26, at 50</w:t>
      </w:r>
    </w:p>
  </w:footnote>
  <w:footnote w:id="193">
    <w:p w14:paraId="796CE54D" w14:textId="6D7D1641" w:rsidR="00DC6C35" w:rsidRPr="004D7323" w:rsidRDefault="00DC6C35" w:rsidP="0097167A">
      <w:pPr>
        <w:pStyle w:val="FootnoteText"/>
        <w:ind w:firstLine="0"/>
      </w:pPr>
      <w:r>
        <w:rPr>
          <w:rStyle w:val="FootnoteReference"/>
        </w:rPr>
        <w:footnoteRef/>
      </w:r>
      <w:r>
        <w:t xml:space="preserve"> S. Wessely, ‘Liability for Psychiatric Illness’ (1995) 39(6) </w:t>
      </w:r>
      <w:r>
        <w:rPr>
          <w:i/>
          <w:iCs/>
        </w:rPr>
        <w:t xml:space="preserve">J. of Psychosomatic Research </w:t>
      </w:r>
      <w:r>
        <w:t>659, at 661</w:t>
      </w:r>
    </w:p>
  </w:footnote>
  <w:footnote w:id="194">
    <w:p w14:paraId="35A0E65F" w14:textId="3FE62BDD" w:rsidR="00DC6C35" w:rsidRPr="00C0138B" w:rsidRDefault="00DC6C35" w:rsidP="0097167A">
      <w:pPr>
        <w:pStyle w:val="FootnoteText"/>
        <w:ind w:firstLine="0"/>
      </w:pPr>
      <w:r>
        <w:rPr>
          <w:rStyle w:val="FootnoteReference"/>
        </w:rPr>
        <w:footnoteRef/>
      </w:r>
      <w:r>
        <w:t xml:space="preserve"> HM Government, </w:t>
      </w:r>
      <w:r>
        <w:rPr>
          <w:i/>
          <w:iCs/>
        </w:rPr>
        <w:t xml:space="preserve">The Law on Damages </w:t>
      </w:r>
      <w:r>
        <w:t>(Department for Constitutional Affairs, Consultation Paper 9/07, 2007), [94]</w:t>
      </w:r>
    </w:p>
  </w:footnote>
  <w:footnote w:id="195">
    <w:p w14:paraId="27388FDC" w14:textId="77777777" w:rsidR="00DC6C35" w:rsidRDefault="00DC6C35" w:rsidP="0097167A">
      <w:pPr>
        <w:pStyle w:val="FootnoteText"/>
        <w:ind w:firstLine="0"/>
      </w:pPr>
      <w:r>
        <w:rPr>
          <w:rStyle w:val="FootnoteReference"/>
        </w:rPr>
        <w:footnoteRef/>
      </w:r>
      <w:r>
        <w:t xml:space="preserve"> Negligence and Damages HC Bill (2015-16) [76] </w:t>
      </w:r>
    </w:p>
  </w:footnote>
  <w:footnote w:id="196">
    <w:p w14:paraId="7F75076C" w14:textId="61C713BD" w:rsidR="00DC6C35" w:rsidRDefault="00DC6C35" w:rsidP="0038566E">
      <w:pPr>
        <w:pStyle w:val="FootnoteText"/>
        <w:ind w:firstLine="0"/>
      </w:pPr>
      <w:r>
        <w:rPr>
          <w:rStyle w:val="FootnoteReference"/>
        </w:rPr>
        <w:footnoteRef/>
      </w:r>
      <w:r>
        <w:t xml:space="preserve"> CRPD, art 5(1)</w:t>
      </w:r>
    </w:p>
  </w:footnote>
  <w:footnote w:id="197">
    <w:p w14:paraId="4A09E3A1" w14:textId="0D9D8AEB" w:rsidR="00DC6C35" w:rsidRDefault="00DC6C35">
      <w:pPr>
        <w:pStyle w:val="FootnoteText"/>
        <w:ind w:firstLine="0"/>
      </w:pPr>
      <w:r>
        <w:rPr>
          <w:rStyle w:val="FootnoteReference"/>
        </w:rPr>
        <w:footnoteRef/>
      </w:r>
      <w:r>
        <w:t xml:space="preserve"> R. Mulheron, ‘Rewriting the Requirement for a “Recognised Psychiatric Injury” in Negligence Claims’ (2012) 32(1) </w:t>
      </w:r>
      <w:r>
        <w:rPr>
          <w:i/>
          <w:iCs/>
        </w:rPr>
        <w:t xml:space="preserve">Oxford J. of Legal Studies </w:t>
      </w:r>
      <w:r>
        <w:t xml:space="preserve">77, at 79 </w:t>
      </w:r>
    </w:p>
  </w:footnote>
  <w:footnote w:id="198">
    <w:p w14:paraId="3F29B0D3" w14:textId="36FE9C9B" w:rsidR="00DC6C35" w:rsidRDefault="00DC6C35">
      <w:pPr>
        <w:pStyle w:val="FootnoteText"/>
        <w:ind w:firstLine="0"/>
      </w:pPr>
      <w:r>
        <w:rPr>
          <w:rStyle w:val="FootnoteReference"/>
        </w:rPr>
        <w:footnoteRef/>
      </w:r>
      <w:r>
        <w:t xml:space="preserve"> id. pp. 111-2</w:t>
      </w:r>
    </w:p>
  </w:footnote>
  <w:footnote w:id="199">
    <w:p w14:paraId="1B0DF355" w14:textId="2BBBD728" w:rsidR="00DC6C35" w:rsidRDefault="00DC6C35">
      <w:pPr>
        <w:pStyle w:val="FootnoteText"/>
        <w:ind w:firstLine="0"/>
      </w:pPr>
      <w:r>
        <w:rPr>
          <w:rStyle w:val="FootnoteReference"/>
        </w:rPr>
        <w:footnoteRef/>
      </w:r>
      <w:r>
        <w:t xml:space="preserve"> Teff, </w:t>
      </w:r>
      <w:r>
        <w:rPr>
          <w:rFonts w:cs="Times New Roman"/>
        </w:rPr>
        <w:t>op.cit.,</w:t>
      </w:r>
      <w:r>
        <w:t xml:space="preserve"> n.</w:t>
      </w:r>
      <w:r>
        <w:fldChar w:fldCharType="begin"/>
      </w:r>
      <w:r>
        <w:instrText xml:space="preserve"> NOTEREF _Ref31128782 \h </w:instrText>
      </w:r>
      <w:r>
        <w:fldChar w:fldCharType="separate"/>
      </w:r>
      <w:r w:rsidR="001C337A">
        <w:t>27</w:t>
      </w:r>
      <w:r>
        <w:fldChar w:fldCharType="end"/>
      </w:r>
      <w:r>
        <w:t>, p.178</w:t>
      </w:r>
    </w:p>
  </w:footnote>
  <w:footnote w:id="200">
    <w:p w14:paraId="7EF235EC" w14:textId="78EC78F6" w:rsidR="00DC6C35" w:rsidRDefault="00DC6C35">
      <w:pPr>
        <w:pStyle w:val="FootnoteText"/>
        <w:ind w:firstLine="0"/>
      </w:pPr>
      <w:r>
        <w:rPr>
          <w:rStyle w:val="FootnoteReference"/>
        </w:rPr>
        <w:footnoteRef/>
      </w:r>
      <w:r>
        <w:t xml:space="preserve"> Nolan and Ursin, </w:t>
      </w:r>
      <w:r>
        <w:rPr>
          <w:rFonts w:cs="Times New Roman"/>
        </w:rPr>
        <w:t>op.cit.,</w:t>
      </w:r>
      <w:r>
        <w:t xml:space="preserve"> n.</w:t>
      </w:r>
      <w:r>
        <w:fldChar w:fldCharType="begin"/>
      </w:r>
      <w:r>
        <w:instrText xml:space="preserve"> NOTEREF _Ref31128883 \h </w:instrText>
      </w:r>
      <w:r>
        <w:fldChar w:fldCharType="separate"/>
      </w:r>
      <w:r w:rsidR="001C337A">
        <w:t>187</w:t>
      </w:r>
      <w:r>
        <w:fldChar w:fldCharType="end"/>
      </w:r>
      <w:r>
        <w:t>, p.611</w:t>
      </w:r>
    </w:p>
  </w:footnote>
  <w:footnote w:id="201">
    <w:p w14:paraId="7714F74F" w14:textId="4C5503A2" w:rsidR="00DC6C35" w:rsidRPr="00A3612B" w:rsidRDefault="00DC6C35">
      <w:pPr>
        <w:pStyle w:val="FootnoteText"/>
        <w:ind w:firstLine="0"/>
      </w:pPr>
      <w:r>
        <w:rPr>
          <w:rStyle w:val="FootnoteReference"/>
        </w:rPr>
        <w:footnoteRef/>
      </w:r>
      <w:r>
        <w:t xml:space="preserve"> e.g., R. Orr, ‘Speaking with Different Voices: </w:t>
      </w:r>
      <w:r w:rsidR="00456C52">
        <w:t>The</w:t>
      </w:r>
      <w:r>
        <w:t xml:space="preserve"> Problems with English Law and Psychiatric Injury’ (2016) 36(4) </w:t>
      </w:r>
      <w:r>
        <w:rPr>
          <w:i/>
          <w:iCs/>
        </w:rPr>
        <w:t xml:space="preserve">Legal Studies </w:t>
      </w:r>
      <w:r>
        <w:t>547; G Ra, ‘The Law on Psychiatric Injury for Secondary Victims: In Tandem with Medicine or Still Limping Behind?’ (LL.M, University of Liverpool, 2018)</w:t>
      </w:r>
    </w:p>
  </w:footnote>
  <w:footnote w:id="202">
    <w:p w14:paraId="58894B16" w14:textId="7E96A177" w:rsidR="00DC6C35" w:rsidRPr="003A747D" w:rsidRDefault="00DC6C35" w:rsidP="0097167A">
      <w:pPr>
        <w:pStyle w:val="FootnoteText"/>
        <w:ind w:firstLine="0"/>
      </w:pPr>
      <w:r>
        <w:rPr>
          <w:rStyle w:val="FootnoteReference"/>
        </w:rPr>
        <w:footnoteRef/>
      </w:r>
      <w:r>
        <w:t xml:space="preserve"> P. Case, ‘Secondary Iatrogenic Harm: Claims for Psychiatric Damage Following a Death Caused by Medical Error’ (2004) 67(4) </w:t>
      </w:r>
      <w:r>
        <w:rPr>
          <w:i/>
          <w:iCs/>
        </w:rPr>
        <w:t xml:space="preserve">Modern L.Rev. </w:t>
      </w:r>
      <w:r>
        <w:t xml:space="preserve">561, at 568; </w:t>
      </w:r>
      <w:r>
        <w:rPr>
          <w:i/>
          <w:iCs/>
        </w:rPr>
        <w:t xml:space="preserve">Mason v Westside Cemeteries </w:t>
      </w:r>
      <w:r>
        <w:t>(1996) 135 DLR (4</w:t>
      </w:r>
      <w:r w:rsidRPr="003A747D">
        <w:rPr>
          <w:vertAlign w:val="superscript"/>
        </w:rPr>
        <w:t>th</w:t>
      </w:r>
      <w:r>
        <w:t>) 361</w:t>
      </w:r>
    </w:p>
  </w:footnote>
  <w:footnote w:id="203">
    <w:p w14:paraId="72014951" w14:textId="7BE364F8" w:rsidR="00DC6C35" w:rsidRDefault="00DC6C35" w:rsidP="0097167A">
      <w:pPr>
        <w:pStyle w:val="FootnoteText"/>
        <w:ind w:firstLine="0"/>
      </w:pPr>
      <w:r>
        <w:rPr>
          <w:rStyle w:val="FootnoteReference"/>
        </w:rPr>
        <w:footnoteRef/>
      </w:r>
      <w:r>
        <w:t xml:space="preserve"> Ahuja, </w:t>
      </w:r>
      <w:r>
        <w:rPr>
          <w:rFonts w:cs="Times New Roman"/>
        </w:rPr>
        <w:t>op.cit.,</w:t>
      </w:r>
      <w:r>
        <w:t xml:space="preserve"> n.</w:t>
      </w:r>
      <w:r>
        <w:fldChar w:fldCharType="begin"/>
      </w:r>
      <w:r>
        <w:instrText xml:space="preserve"> NOTEREF _Ref31204352 \h </w:instrText>
      </w:r>
      <w:r>
        <w:fldChar w:fldCharType="separate"/>
      </w:r>
      <w:r w:rsidR="001C337A">
        <w:t>8</w:t>
      </w:r>
      <w:r>
        <w:fldChar w:fldCharType="end"/>
      </w:r>
      <w:r>
        <w:t>, p.37</w:t>
      </w:r>
    </w:p>
  </w:footnote>
  <w:footnote w:id="204">
    <w:p w14:paraId="2BCF22F4" w14:textId="57083168" w:rsidR="00DC6C35" w:rsidRDefault="00DC6C35" w:rsidP="0097167A">
      <w:pPr>
        <w:pStyle w:val="FootnoteText"/>
        <w:ind w:firstLine="0"/>
      </w:pPr>
      <w:r>
        <w:rPr>
          <w:rStyle w:val="FootnoteReference"/>
        </w:rPr>
        <w:footnoteRef/>
      </w:r>
      <w:r>
        <w:t xml:space="preserve"> id. p. 38</w:t>
      </w:r>
    </w:p>
  </w:footnote>
  <w:footnote w:id="205">
    <w:p w14:paraId="2FE6D569" w14:textId="0C55F88A" w:rsidR="00DC6C35" w:rsidRDefault="00DC6C35" w:rsidP="0097167A">
      <w:pPr>
        <w:pStyle w:val="FootnoteText"/>
        <w:ind w:firstLine="0"/>
      </w:pPr>
      <w:r>
        <w:rPr>
          <w:rStyle w:val="FootnoteReference"/>
        </w:rPr>
        <w:footnoteRef/>
      </w:r>
      <w:r>
        <w:t xml:space="preserve"> [2017] 1 RCS 543</w:t>
      </w:r>
    </w:p>
  </w:footnote>
  <w:footnote w:id="206">
    <w:p w14:paraId="329D1E9C" w14:textId="5244C9BF" w:rsidR="00DC6C35" w:rsidRDefault="00DC6C35" w:rsidP="0097167A">
      <w:pPr>
        <w:pStyle w:val="FootnoteText"/>
        <w:ind w:firstLine="0"/>
      </w:pPr>
      <w:r>
        <w:rPr>
          <w:rStyle w:val="FootnoteReference"/>
        </w:rPr>
        <w:footnoteRef/>
      </w:r>
      <w:r>
        <w:t xml:space="preserve"> id. [2] (Brown J)</w:t>
      </w:r>
    </w:p>
  </w:footnote>
  <w:footnote w:id="207">
    <w:p w14:paraId="56D866FC" w14:textId="26E6F8C1" w:rsidR="00DC6C35" w:rsidRDefault="00DC6C35" w:rsidP="0097167A">
      <w:pPr>
        <w:pStyle w:val="FootnoteText"/>
        <w:ind w:firstLine="0"/>
      </w:pPr>
      <w:r>
        <w:rPr>
          <w:rStyle w:val="FootnoteReference"/>
        </w:rPr>
        <w:footnoteRef/>
      </w:r>
      <w:r>
        <w:t xml:space="preserve"> id. [36] (Brown J)</w:t>
      </w:r>
    </w:p>
  </w:footnote>
  <w:footnote w:id="208">
    <w:p w14:paraId="66339592" w14:textId="0C52449D" w:rsidR="00DC6C35" w:rsidRPr="009C5F86" w:rsidRDefault="00DC6C35" w:rsidP="0097167A">
      <w:pPr>
        <w:pStyle w:val="FootnoteText"/>
        <w:ind w:firstLine="0"/>
      </w:pPr>
      <w:r>
        <w:rPr>
          <w:rStyle w:val="FootnoteReference"/>
        </w:rPr>
        <w:footnoteRef/>
      </w:r>
      <w:r>
        <w:t xml:space="preserve"> e.g., T. Ward, ‘Psychiatric Evidence and Judicial Fact-finding’ (1999) 3(3) </w:t>
      </w:r>
      <w:r>
        <w:rPr>
          <w:i/>
          <w:iCs/>
        </w:rPr>
        <w:t xml:space="preserve">International J. of Evidence and Proof </w:t>
      </w:r>
      <w:r>
        <w:t>180, at 193</w:t>
      </w:r>
    </w:p>
  </w:footnote>
  <w:footnote w:id="209">
    <w:p w14:paraId="63CF3257" w14:textId="72026BC4" w:rsidR="00DC6C35" w:rsidRDefault="00DC6C35" w:rsidP="0097167A">
      <w:pPr>
        <w:pStyle w:val="FootnoteText"/>
        <w:ind w:firstLine="0"/>
      </w:pPr>
      <w:r>
        <w:rPr>
          <w:rStyle w:val="FootnoteReference"/>
        </w:rPr>
        <w:footnoteRef/>
      </w:r>
      <w:r>
        <w:t xml:space="preserve"> Mulheron, </w:t>
      </w:r>
      <w:r>
        <w:rPr>
          <w:rFonts w:cs="Times New Roman"/>
        </w:rPr>
        <w:t>op.cit.,</w:t>
      </w:r>
      <w:r>
        <w:t xml:space="preserve"> n.</w:t>
      </w:r>
      <w:r>
        <w:fldChar w:fldCharType="begin"/>
      </w:r>
      <w:r>
        <w:instrText xml:space="preserve"> NOTEREF _Ref31214444 \h </w:instrText>
      </w:r>
      <w:r>
        <w:fldChar w:fldCharType="separate"/>
      </w:r>
      <w:r w:rsidR="001C337A">
        <w:t>212</w:t>
      </w:r>
      <w:r>
        <w:fldChar w:fldCharType="end"/>
      </w:r>
      <w:r>
        <w:t>, p.102</w:t>
      </w:r>
    </w:p>
  </w:footnote>
  <w:footnote w:id="210">
    <w:p w14:paraId="6B3554FC" w14:textId="2C7610BD" w:rsidR="00DC6C35" w:rsidRDefault="00DC6C35" w:rsidP="0097167A">
      <w:pPr>
        <w:pStyle w:val="FootnoteText"/>
        <w:ind w:firstLine="0"/>
      </w:pPr>
      <w:r>
        <w:rPr>
          <w:rStyle w:val="FootnoteReference"/>
        </w:rPr>
        <w:footnoteRef/>
      </w:r>
      <w:r>
        <w:t xml:space="preserve"> Goodhart,</w:t>
      </w:r>
      <w:r w:rsidR="00F32110">
        <w:t xml:space="preserve"> op.cit., n.</w:t>
      </w:r>
      <w:r w:rsidR="00F32110">
        <w:fldChar w:fldCharType="begin"/>
      </w:r>
      <w:r w:rsidR="00F32110">
        <w:instrText xml:space="preserve"> NOTEREF _Ref31291583 \h </w:instrText>
      </w:r>
      <w:r w:rsidR="00F32110">
        <w:fldChar w:fldCharType="separate"/>
      </w:r>
      <w:r w:rsidR="001C337A">
        <w:t>64</w:t>
      </w:r>
      <w:r w:rsidR="00F32110">
        <w:fldChar w:fldCharType="end"/>
      </w:r>
      <w:r w:rsidR="00F32110">
        <w:t>, p.</w:t>
      </w:r>
      <w:r>
        <w:t>23-4</w:t>
      </w:r>
    </w:p>
  </w:footnote>
  <w:footnote w:id="211">
    <w:p w14:paraId="6A118E81" w14:textId="544F4F12" w:rsidR="00DC6C35" w:rsidRDefault="00DC6C35" w:rsidP="0097167A">
      <w:pPr>
        <w:pStyle w:val="FootnoteText"/>
        <w:ind w:firstLine="0"/>
      </w:pPr>
      <w:r>
        <w:rPr>
          <w:rStyle w:val="FootnoteReference"/>
        </w:rPr>
        <w:footnoteRef/>
      </w:r>
      <w:r>
        <w:t xml:space="preserve"> Bell, </w:t>
      </w:r>
      <w:r>
        <w:rPr>
          <w:rFonts w:cs="Times New Roman"/>
        </w:rPr>
        <w:t>op.cit.,</w:t>
      </w:r>
      <w:r>
        <w:t xml:space="preserve"> n.</w:t>
      </w:r>
      <w:r>
        <w:fldChar w:fldCharType="begin"/>
      </w:r>
      <w:r>
        <w:instrText xml:space="preserve"> NOTEREF _Ref31291783 \h </w:instrText>
      </w:r>
      <w:r>
        <w:fldChar w:fldCharType="separate"/>
      </w:r>
      <w:r w:rsidR="001C337A">
        <w:t>13</w:t>
      </w:r>
      <w:r>
        <w:fldChar w:fldCharType="end"/>
      </w:r>
      <w:r>
        <w:t>, p.335</w:t>
      </w:r>
    </w:p>
  </w:footnote>
  <w:footnote w:id="212">
    <w:p w14:paraId="2D08E356" w14:textId="1D6239A3" w:rsidR="00DC6C35" w:rsidRDefault="00DC6C35" w:rsidP="0097167A">
      <w:pPr>
        <w:pStyle w:val="FootnoteText"/>
        <w:ind w:firstLine="0"/>
      </w:pPr>
      <w:r>
        <w:rPr>
          <w:rStyle w:val="FootnoteReference"/>
        </w:rPr>
        <w:footnoteRef/>
      </w:r>
      <w:r>
        <w:t xml:space="preserve"> Butler,</w:t>
      </w:r>
      <w:r w:rsidRPr="00C116C6">
        <w:rPr>
          <w:rFonts w:cs="Times New Roman"/>
        </w:rPr>
        <w:t xml:space="preserve"> </w:t>
      </w:r>
      <w:r>
        <w:rPr>
          <w:rFonts w:cs="Times New Roman"/>
        </w:rPr>
        <w:t>op.cit.,</w:t>
      </w:r>
      <w:r>
        <w:t xml:space="preserve"> n.</w:t>
      </w:r>
      <w:r>
        <w:fldChar w:fldCharType="begin"/>
      </w:r>
      <w:r>
        <w:instrText xml:space="preserve"> NOTEREF _Ref31291999 \h </w:instrText>
      </w:r>
      <w:r>
        <w:fldChar w:fldCharType="separate"/>
      </w:r>
      <w:r w:rsidR="001C337A">
        <w:t>183</w:t>
      </w:r>
      <w:r>
        <w:fldChar w:fldCharType="end"/>
      </w:r>
      <w:r>
        <w:t>, p.18</w:t>
      </w:r>
    </w:p>
  </w:footnote>
  <w:footnote w:id="213">
    <w:p w14:paraId="1DAA2936" w14:textId="5C49D83D" w:rsidR="00DC6C35" w:rsidRDefault="00DC6C35" w:rsidP="0097167A">
      <w:pPr>
        <w:pStyle w:val="FootnoteText"/>
        <w:ind w:firstLine="0"/>
      </w:pPr>
      <w:r>
        <w:rPr>
          <w:rStyle w:val="FootnoteReference"/>
        </w:rPr>
        <w:footnoteRef/>
      </w:r>
      <w:r>
        <w:t xml:space="preserve"> Ahuja,</w:t>
      </w:r>
      <w:r w:rsidRPr="00C116C6">
        <w:rPr>
          <w:rFonts w:cs="Times New Roman"/>
        </w:rPr>
        <w:t xml:space="preserve"> </w:t>
      </w:r>
      <w:r>
        <w:rPr>
          <w:rFonts w:cs="Times New Roman"/>
        </w:rPr>
        <w:t>op.cit.,</w:t>
      </w:r>
      <w:r>
        <w:t xml:space="preserve"> n.</w:t>
      </w:r>
      <w:r>
        <w:fldChar w:fldCharType="begin"/>
      </w:r>
      <w:r>
        <w:instrText xml:space="preserve"> NOTEREF _Ref31204352 \h </w:instrText>
      </w:r>
      <w:r>
        <w:fldChar w:fldCharType="separate"/>
      </w:r>
      <w:r w:rsidR="001C337A">
        <w:t>8</w:t>
      </w:r>
      <w:r>
        <w:fldChar w:fldCharType="end"/>
      </w:r>
      <w:r>
        <w:t>, p.48</w:t>
      </w:r>
    </w:p>
  </w:footnote>
  <w:footnote w:id="214">
    <w:p w14:paraId="5EEECD2D" w14:textId="57FA1221" w:rsidR="00DC6C35" w:rsidRDefault="00DC6C35">
      <w:pPr>
        <w:pStyle w:val="FootnoteText"/>
        <w:ind w:firstLine="0"/>
      </w:pPr>
      <w:r>
        <w:rPr>
          <w:rStyle w:val="FootnoteReference"/>
        </w:rPr>
        <w:footnoteRef/>
      </w:r>
      <w:r>
        <w:t xml:space="preserve"> Case, </w:t>
      </w:r>
      <w:r>
        <w:rPr>
          <w:rFonts w:cs="Times New Roman"/>
        </w:rPr>
        <w:t>op.cit.,</w:t>
      </w:r>
      <w:r>
        <w:t xml:space="preserve"> n.</w:t>
      </w:r>
      <w:r>
        <w:fldChar w:fldCharType="begin"/>
      </w:r>
      <w:r>
        <w:instrText xml:space="preserve"> NOTEREF _Ref31293946 \h </w:instrText>
      </w:r>
      <w:r>
        <w:fldChar w:fldCharType="separate"/>
      </w:r>
      <w:r w:rsidR="001C337A">
        <w:t>217</w:t>
      </w:r>
      <w:r>
        <w:fldChar w:fldCharType="end"/>
      </w:r>
      <w:r>
        <w:t>, p.581</w:t>
      </w:r>
    </w:p>
  </w:footnote>
  <w:footnote w:id="215">
    <w:p w14:paraId="2064EF61" w14:textId="6BB63656" w:rsidR="00DC6C35" w:rsidRDefault="00DC6C35" w:rsidP="0097167A">
      <w:pPr>
        <w:pStyle w:val="FootnoteText"/>
        <w:ind w:firstLine="0"/>
      </w:pPr>
      <w:r>
        <w:rPr>
          <w:rStyle w:val="FootnoteReference"/>
        </w:rPr>
        <w:footnoteRef/>
      </w:r>
      <w:r>
        <w:t xml:space="preserve"> Beever, </w:t>
      </w:r>
      <w:r>
        <w:rPr>
          <w:rFonts w:cs="Times New Roman"/>
        </w:rPr>
        <w:t>op.cit.,</w:t>
      </w:r>
      <w:r>
        <w:t xml:space="preserve"> n.</w:t>
      </w:r>
      <w:r>
        <w:fldChar w:fldCharType="begin"/>
      </w:r>
      <w:r>
        <w:instrText xml:space="preserve"> NOTEREF _Ref30604256 \h </w:instrText>
      </w:r>
      <w:r>
        <w:fldChar w:fldCharType="separate"/>
      </w:r>
      <w:r w:rsidR="001C337A">
        <w:t>18</w:t>
      </w:r>
      <w:r>
        <w:fldChar w:fldCharType="end"/>
      </w:r>
      <w:r>
        <w:t>, p.410</w:t>
      </w:r>
    </w:p>
  </w:footnote>
  <w:footnote w:id="216">
    <w:p w14:paraId="5B401E53" w14:textId="6EA9DDBE" w:rsidR="00DC6C35" w:rsidRDefault="00DC6C35" w:rsidP="0097167A">
      <w:pPr>
        <w:pStyle w:val="FootnoteText"/>
        <w:ind w:firstLine="0"/>
      </w:pPr>
      <w:r>
        <w:rPr>
          <w:rStyle w:val="FootnoteReference"/>
        </w:rPr>
        <w:footnoteRef/>
      </w:r>
      <w:r>
        <w:t xml:space="preserve"> id. </w:t>
      </w:r>
    </w:p>
  </w:footnote>
  <w:footnote w:id="217">
    <w:p w14:paraId="45D837EF" w14:textId="4A251E2D" w:rsidR="00DC6C35" w:rsidRDefault="00DC6C35" w:rsidP="0097167A">
      <w:pPr>
        <w:pStyle w:val="FootnoteText"/>
        <w:ind w:firstLine="0"/>
      </w:pPr>
      <w:r>
        <w:rPr>
          <w:rStyle w:val="FootnoteReference"/>
        </w:rPr>
        <w:footnoteRef/>
      </w:r>
      <w:r>
        <w:t xml:space="preserve"> id. p. 411</w:t>
      </w:r>
    </w:p>
  </w:footnote>
  <w:footnote w:id="218">
    <w:p w14:paraId="12E6A73D" w14:textId="489275A6" w:rsidR="00DC6C35" w:rsidRDefault="00DC6C35" w:rsidP="0097167A">
      <w:pPr>
        <w:pStyle w:val="FootnoteText"/>
        <w:ind w:firstLine="0"/>
      </w:pPr>
      <w:r>
        <w:rPr>
          <w:rStyle w:val="FootnoteReference"/>
        </w:rPr>
        <w:footnoteRef/>
      </w:r>
      <w:r>
        <w:t xml:space="preserve"> id.</w:t>
      </w:r>
    </w:p>
  </w:footnote>
  <w:footnote w:id="219">
    <w:p w14:paraId="35AA99B7" w14:textId="04EFA5E8" w:rsidR="00DC6C35" w:rsidRDefault="00DC6C35" w:rsidP="0097167A">
      <w:pPr>
        <w:pStyle w:val="FootnoteText"/>
        <w:ind w:firstLine="0"/>
      </w:pPr>
      <w:r>
        <w:rPr>
          <w:rStyle w:val="FootnoteReference"/>
        </w:rPr>
        <w:footnoteRef/>
      </w:r>
      <w:r>
        <w:t xml:space="preserve"> id. p. 410</w:t>
      </w:r>
    </w:p>
  </w:footnote>
  <w:footnote w:id="220">
    <w:p w14:paraId="6CD7D10D" w14:textId="0A91560D" w:rsidR="00DC6C35" w:rsidRPr="004B37A5" w:rsidRDefault="00DC6C35" w:rsidP="0097167A">
      <w:pPr>
        <w:pStyle w:val="FootnoteText"/>
        <w:ind w:firstLine="0"/>
      </w:pPr>
      <w:r>
        <w:rPr>
          <w:rStyle w:val="FootnoteReference"/>
        </w:rPr>
        <w:footnoteRef/>
      </w:r>
      <w:r>
        <w:t xml:space="preserve"> R. Stevens, </w:t>
      </w:r>
      <w:r>
        <w:rPr>
          <w:i/>
          <w:iCs/>
        </w:rPr>
        <w:t xml:space="preserve">Torts and Rights </w:t>
      </w:r>
      <w:r>
        <w:t>(2007)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6B12" w14:textId="234DAFF2" w:rsidR="00DC6C35" w:rsidRPr="009A2EFA" w:rsidRDefault="00F73629" w:rsidP="00E35BC1">
    <w:pPr>
      <w:pStyle w:val="Header"/>
      <w:ind w:firstLine="0"/>
      <w:rPr>
        <w:rFonts w:ascii="Times New Roman" w:hAnsi="Times New Roman" w:cs="Times New Roman"/>
      </w:rPr>
    </w:pPr>
    <w:r>
      <w:rPr>
        <w:rFonts w:ascii="Times New Roman" w:hAnsi="Times New Roman" w:cs="Times New Roman"/>
      </w:rPr>
      <w:t>JB Fanning</w:t>
    </w:r>
    <w:r w:rsidR="00DC6C35">
      <w:rPr>
        <w:rFonts w:ascii="Times New Roman" w:hAnsi="Times New Roman" w:cs="Times New Roman"/>
      </w:rPr>
      <w:tab/>
    </w:r>
    <w:r w:rsidR="00DC6C35" w:rsidRPr="009A2EFA">
      <w:rPr>
        <w:rFonts w:ascii="Times New Roman" w:hAnsi="Times New Roman" w:cs="Times New Roman"/>
        <w:i/>
        <w:iCs/>
      </w:rPr>
      <w:t>Psychiatric Injury and the UN CRPD</w:t>
    </w:r>
    <w:r w:rsidR="00DC6C35" w:rsidRPr="009A2EFA">
      <w:rPr>
        <w:rFonts w:ascii="Times New Roman" w:hAnsi="Times New Roman" w:cs="Times New Roman"/>
        <w:i/>
        <w:iCs/>
      </w:rPr>
      <w:tab/>
    </w:r>
    <w:r w:rsidR="00DC6C35">
      <w:rPr>
        <w:rFonts w:ascii="Times New Roman" w:hAnsi="Times New Roman" w:cs="Times New Roman"/>
      </w:rPr>
      <w:t>July/August 2021</w:t>
    </w:r>
  </w:p>
  <w:p w14:paraId="686BCD21" w14:textId="77777777" w:rsidR="00DC6C35" w:rsidRDefault="00DC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8EE"/>
    <w:multiLevelType w:val="hybridMultilevel"/>
    <w:tmpl w:val="F15C172C"/>
    <w:lvl w:ilvl="0" w:tplc="CC58F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415C1"/>
    <w:multiLevelType w:val="hybridMultilevel"/>
    <w:tmpl w:val="E7289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0382F"/>
    <w:multiLevelType w:val="hybridMultilevel"/>
    <w:tmpl w:val="ECA07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A2968"/>
    <w:multiLevelType w:val="hybridMultilevel"/>
    <w:tmpl w:val="7FBA8BC4"/>
    <w:lvl w:ilvl="0" w:tplc="66880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F4581"/>
    <w:multiLevelType w:val="hybridMultilevel"/>
    <w:tmpl w:val="0D946342"/>
    <w:lvl w:ilvl="0" w:tplc="0BB0B7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C152D"/>
    <w:multiLevelType w:val="hybridMultilevel"/>
    <w:tmpl w:val="F78C593E"/>
    <w:lvl w:ilvl="0" w:tplc="DF488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E6ADF"/>
    <w:multiLevelType w:val="hybridMultilevel"/>
    <w:tmpl w:val="0A18B686"/>
    <w:lvl w:ilvl="0" w:tplc="4406F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20B11"/>
    <w:multiLevelType w:val="hybridMultilevel"/>
    <w:tmpl w:val="C9D45B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B281E"/>
    <w:multiLevelType w:val="hybridMultilevel"/>
    <w:tmpl w:val="BC12A1E2"/>
    <w:lvl w:ilvl="0" w:tplc="B8DEA82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C771B8"/>
    <w:multiLevelType w:val="hybridMultilevel"/>
    <w:tmpl w:val="CF0A2BF0"/>
    <w:lvl w:ilvl="0" w:tplc="AEFC6B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16962"/>
    <w:multiLevelType w:val="hybridMultilevel"/>
    <w:tmpl w:val="5254BC74"/>
    <w:lvl w:ilvl="0" w:tplc="DB70DA6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070F5E"/>
    <w:multiLevelType w:val="hybridMultilevel"/>
    <w:tmpl w:val="04A47500"/>
    <w:lvl w:ilvl="0" w:tplc="1D627B4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C4748"/>
    <w:multiLevelType w:val="hybridMultilevel"/>
    <w:tmpl w:val="78747878"/>
    <w:lvl w:ilvl="0" w:tplc="34EEE0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E6E16"/>
    <w:multiLevelType w:val="hybridMultilevel"/>
    <w:tmpl w:val="32A2C2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E4536"/>
    <w:multiLevelType w:val="hybridMultilevel"/>
    <w:tmpl w:val="693A4CBA"/>
    <w:lvl w:ilvl="0" w:tplc="F87E85D2">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B2E25"/>
    <w:multiLevelType w:val="hybridMultilevel"/>
    <w:tmpl w:val="A61859B0"/>
    <w:lvl w:ilvl="0" w:tplc="E834CE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13748"/>
    <w:multiLevelType w:val="hybridMultilevel"/>
    <w:tmpl w:val="70BC3B1A"/>
    <w:lvl w:ilvl="0" w:tplc="442A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832C7"/>
    <w:multiLevelType w:val="hybridMultilevel"/>
    <w:tmpl w:val="E8AE13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124848"/>
    <w:multiLevelType w:val="hybridMultilevel"/>
    <w:tmpl w:val="D4E87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F20F0"/>
    <w:multiLevelType w:val="hybridMultilevel"/>
    <w:tmpl w:val="7928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541B8"/>
    <w:multiLevelType w:val="hybridMultilevel"/>
    <w:tmpl w:val="1F3A653E"/>
    <w:lvl w:ilvl="0" w:tplc="1B98FA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364ED2"/>
    <w:multiLevelType w:val="hybridMultilevel"/>
    <w:tmpl w:val="5E5094A2"/>
    <w:lvl w:ilvl="0" w:tplc="E17AC3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B04873"/>
    <w:multiLevelType w:val="hybridMultilevel"/>
    <w:tmpl w:val="9362C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1734F"/>
    <w:multiLevelType w:val="hybridMultilevel"/>
    <w:tmpl w:val="3FC03E8C"/>
    <w:lvl w:ilvl="0" w:tplc="FABA3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210B8"/>
    <w:multiLevelType w:val="hybridMultilevel"/>
    <w:tmpl w:val="5790A338"/>
    <w:lvl w:ilvl="0" w:tplc="53D473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C266F"/>
    <w:multiLevelType w:val="hybridMultilevel"/>
    <w:tmpl w:val="A606DCE6"/>
    <w:lvl w:ilvl="0" w:tplc="5666F6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A5D7E"/>
    <w:multiLevelType w:val="hybridMultilevel"/>
    <w:tmpl w:val="A6B622DE"/>
    <w:lvl w:ilvl="0" w:tplc="8DFEB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900069"/>
    <w:multiLevelType w:val="hybridMultilevel"/>
    <w:tmpl w:val="D53E2C3E"/>
    <w:lvl w:ilvl="0" w:tplc="8CDEC17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A205D"/>
    <w:multiLevelType w:val="hybridMultilevel"/>
    <w:tmpl w:val="2422AC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D6BE4"/>
    <w:multiLevelType w:val="hybridMultilevel"/>
    <w:tmpl w:val="E73CAEA4"/>
    <w:lvl w:ilvl="0" w:tplc="8160C47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FD53A9"/>
    <w:multiLevelType w:val="hybridMultilevel"/>
    <w:tmpl w:val="0E80B68A"/>
    <w:lvl w:ilvl="0" w:tplc="D612FD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147B4"/>
    <w:multiLevelType w:val="hybridMultilevel"/>
    <w:tmpl w:val="71A2C594"/>
    <w:lvl w:ilvl="0" w:tplc="8340B8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EC2307"/>
    <w:multiLevelType w:val="hybridMultilevel"/>
    <w:tmpl w:val="EA5C89E6"/>
    <w:lvl w:ilvl="0" w:tplc="4F0E29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E91949"/>
    <w:multiLevelType w:val="hybridMultilevel"/>
    <w:tmpl w:val="F970CAEE"/>
    <w:lvl w:ilvl="0" w:tplc="33E0A54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2E82C33"/>
    <w:multiLevelType w:val="hybridMultilevel"/>
    <w:tmpl w:val="E7289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3942FF"/>
    <w:multiLevelType w:val="hybridMultilevel"/>
    <w:tmpl w:val="29A85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C76765"/>
    <w:multiLevelType w:val="hybridMultilevel"/>
    <w:tmpl w:val="27F67B32"/>
    <w:lvl w:ilvl="0" w:tplc="06AE8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4E1F6B"/>
    <w:multiLevelType w:val="hybridMultilevel"/>
    <w:tmpl w:val="8B92E574"/>
    <w:lvl w:ilvl="0" w:tplc="58B0E10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A53E6"/>
    <w:multiLevelType w:val="hybridMultilevel"/>
    <w:tmpl w:val="E0047E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A21B5E"/>
    <w:multiLevelType w:val="hybridMultilevel"/>
    <w:tmpl w:val="33D8483C"/>
    <w:lvl w:ilvl="0" w:tplc="8A125F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BE4926"/>
    <w:multiLevelType w:val="hybridMultilevel"/>
    <w:tmpl w:val="63064416"/>
    <w:lvl w:ilvl="0" w:tplc="F5788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C0A46"/>
    <w:multiLevelType w:val="hybridMultilevel"/>
    <w:tmpl w:val="6016C7F6"/>
    <w:lvl w:ilvl="0" w:tplc="FAEE2F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74CB2"/>
    <w:multiLevelType w:val="hybridMultilevel"/>
    <w:tmpl w:val="020A867E"/>
    <w:lvl w:ilvl="0" w:tplc="0742EC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B7364"/>
    <w:multiLevelType w:val="hybridMultilevel"/>
    <w:tmpl w:val="2422AC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23"/>
  </w:num>
  <w:num w:numId="4">
    <w:abstractNumId w:val="11"/>
  </w:num>
  <w:num w:numId="5">
    <w:abstractNumId w:val="36"/>
  </w:num>
  <w:num w:numId="6">
    <w:abstractNumId w:val="33"/>
  </w:num>
  <w:num w:numId="7">
    <w:abstractNumId w:val="40"/>
  </w:num>
  <w:num w:numId="8">
    <w:abstractNumId w:val="0"/>
  </w:num>
  <w:num w:numId="9">
    <w:abstractNumId w:val="24"/>
  </w:num>
  <w:num w:numId="10">
    <w:abstractNumId w:val="30"/>
  </w:num>
  <w:num w:numId="11">
    <w:abstractNumId w:val="6"/>
  </w:num>
  <w:num w:numId="12">
    <w:abstractNumId w:val="28"/>
  </w:num>
  <w:num w:numId="13">
    <w:abstractNumId w:val="43"/>
  </w:num>
  <w:num w:numId="14">
    <w:abstractNumId w:val="20"/>
  </w:num>
  <w:num w:numId="15">
    <w:abstractNumId w:val="31"/>
  </w:num>
  <w:num w:numId="16">
    <w:abstractNumId w:val="4"/>
  </w:num>
  <w:num w:numId="17">
    <w:abstractNumId w:val="21"/>
  </w:num>
  <w:num w:numId="18">
    <w:abstractNumId w:val="27"/>
  </w:num>
  <w:num w:numId="19">
    <w:abstractNumId w:val="16"/>
  </w:num>
  <w:num w:numId="20">
    <w:abstractNumId w:val="9"/>
  </w:num>
  <w:num w:numId="21">
    <w:abstractNumId w:val="26"/>
  </w:num>
  <w:num w:numId="22">
    <w:abstractNumId w:val="29"/>
  </w:num>
  <w:num w:numId="23">
    <w:abstractNumId w:val="32"/>
  </w:num>
  <w:num w:numId="24">
    <w:abstractNumId w:val="8"/>
  </w:num>
  <w:num w:numId="25">
    <w:abstractNumId w:val="41"/>
  </w:num>
  <w:num w:numId="26">
    <w:abstractNumId w:val="34"/>
  </w:num>
  <w:num w:numId="27">
    <w:abstractNumId w:val="38"/>
  </w:num>
  <w:num w:numId="28">
    <w:abstractNumId w:val="5"/>
  </w:num>
  <w:num w:numId="29">
    <w:abstractNumId w:val="25"/>
  </w:num>
  <w:num w:numId="30">
    <w:abstractNumId w:val="17"/>
  </w:num>
  <w:num w:numId="31">
    <w:abstractNumId w:val="3"/>
  </w:num>
  <w:num w:numId="32">
    <w:abstractNumId w:val="15"/>
  </w:num>
  <w:num w:numId="33">
    <w:abstractNumId w:val="1"/>
  </w:num>
  <w:num w:numId="34">
    <w:abstractNumId w:val="7"/>
  </w:num>
  <w:num w:numId="35">
    <w:abstractNumId w:val="37"/>
  </w:num>
  <w:num w:numId="36">
    <w:abstractNumId w:val="22"/>
  </w:num>
  <w:num w:numId="37">
    <w:abstractNumId w:val="42"/>
  </w:num>
  <w:num w:numId="38">
    <w:abstractNumId w:val="39"/>
  </w:num>
  <w:num w:numId="39">
    <w:abstractNumId w:val="2"/>
  </w:num>
  <w:num w:numId="40">
    <w:abstractNumId w:val="10"/>
  </w:num>
  <w:num w:numId="41">
    <w:abstractNumId w:val="12"/>
  </w:num>
  <w:num w:numId="42">
    <w:abstractNumId w:val="18"/>
  </w:num>
  <w:num w:numId="43">
    <w:abstractNumId w:val="1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numFmt w:val="chicago"/>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B4"/>
    <w:rsid w:val="0000073D"/>
    <w:rsid w:val="000007F5"/>
    <w:rsid w:val="0000099F"/>
    <w:rsid w:val="00001063"/>
    <w:rsid w:val="00001286"/>
    <w:rsid w:val="00001957"/>
    <w:rsid w:val="00001A6E"/>
    <w:rsid w:val="00001E03"/>
    <w:rsid w:val="00001F53"/>
    <w:rsid w:val="00002709"/>
    <w:rsid w:val="0000289F"/>
    <w:rsid w:val="0000325E"/>
    <w:rsid w:val="00003337"/>
    <w:rsid w:val="000039C1"/>
    <w:rsid w:val="00003A6D"/>
    <w:rsid w:val="00003CA2"/>
    <w:rsid w:val="00003DB9"/>
    <w:rsid w:val="00003E8F"/>
    <w:rsid w:val="00004204"/>
    <w:rsid w:val="00004820"/>
    <w:rsid w:val="00004D2B"/>
    <w:rsid w:val="00004E14"/>
    <w:rsid w:val="00004E71"/>
    <w:rsid w:val="00005042"/>
    <w:rsid w:val="000052FA"/>
    <w:rsid w:val="00005A59"/>
    <w:rsid w:val="00005B5A"/>
    <w:rsid w:val="00005C72"/>
    <w:rsid w:val="0000604F"/>
    <w:rsid w:val="000062A0"/>
    <w:rsid w:val="000062B3"/>
    <w:rsid w:val="000063C4"/>
    <w:rsid w:val="00006DD2"/>
    <w:rsid w:val="00007EEF"/>
    <w:rsid w:val="00010650"/>
    <w:rsid w:val="0001079C"/>
    <w:rsid w:val="00010820"/>
    <w:rsid w:val="00010926"/>
    <w:rsid w:val="00010AB3"/>
    <w:rsid w:val="00011096"/>
    <w:rsid w:val="00011279"/>
    <w:rsid w:val="00011E80"/>
    <w:rsid w:val="00012DA1"/>
    <w:rsid w:val="00013288"/>
    <w:rsid w:val="0001376E"/>
    <w:rsid w:val="00013A3F"/>
    <w:rsid w:val="00013C8F"/>
    <w:rsid w:val="00013D23"/>
    <w:rsid w:val="00013E2D"/>
    <w:rsid w:val="00014801"/>
    <w:rsid w:val="00014984"/>
    <w:rsid w:val="00014C5D"/>
    <w:rsid w:val="000150A1"/>
    <w:rsid w:val="00015426"/>
    <w:rsid w:val="0001580A"/>
    <w:rsid w:val="00015D2A"/>
    <w:rsid w:val="000160D9"/>
    <w:rsid w:val="0001626E"/>
    <w:rsid w:val="00016745"/>
    <w:rsid w:val="00016C34"/>
    <w:rsid w:val="000177EE"/>
    <w:rsid w:val="00017997"/>
    <w:rsid w:val="000203E3"/>
    <w:rsid w:val="00020930"/>
    <w:rsid w:val="00020A87"/>
    <w:rsid w:val="00020D58"/>
    <w:rsid w:val="00021076"/>
    <w:rsid w:val="00021BDD"/>
    <w:rsid w:val="00021C0C"/>
    <w:rsid w:val="00021E38"/>
    <w:rsid w:val="00022BB6"/>
    <w:rsid w:val="00022C53"/>
    <w:rsid w:val="00022E72"/>
    <w:rsid w:val="000234F4"/>
    <w:rsid w:val="00023663"/>
    <w:rsid w:val="00023C15"/>
    <w:rsid w:val="00023ED3"/>
    <w:rsid w:val="00023FA9"/>
    <w:rsid w:val="000241C5"/>
    <w:rsid w:val="0002447C"/>
    <w:rsid w:val="00024820"/>
    <w:rsid w:val="000249E9"/>
    <w:rsid w:val="00024BE9"/>
    <w:rsid w:val="0002559F"/>
    <w:rsid w:val="00025671"/>
    <w:rsid w:val="00025673"/>
    <w:rsid w:val="00025A47"/>
    <w:rsid w:val="00025AB7"/>
    <w:rsid w:val="00025D29"/>
    <w:rsid w:val="00025FE7"/>
    <w:rsid w:val="000269CC"/>
    <w:rsid w:val="00026F32"/>
    <w:rsid w:val="00027098"/>
    <w:rsid w:val="00027135"/>
    <w:rsid w:val="0002760B"/>
    <w:rsid w:val="00027AE6"/>
    <w:rsid w:val="00027E5A"/>
    <w:rsid w:val="00027E89"/>
    <w:rsid w:val="00030201"/>
    <w:rsid w:val="0003091D"/>
    <w:rsid w:val="00030E58"/>
    <w:rsid w:val="0003107E"/>
    <w:rsid w:val="000310AF"/>
    <w:rsid w:val="00031193"/>
    <w:rsid w:val="000312F8"/>
    <w:rsid w:val="00031659"/>
    <w:rsid w:val="00031851"/>
    <w:rsid w:val="0003203B"/>
    <w:rsid w:val="00032638"/>
    <w:rsid w:val="00032865"/>
    <w:rsid w:val="00033243"/>
    <w:rsid w:val="00033470"/>
    <w:rsid w:val="00033CCE"/>
    <w:rsid w:val="00033E0A"/>
    <w:rsid w:val="0003489A"/>
    <w:rsid w:val="00034991"/>
    <w:rsid w:val="00034BE0"/>
    <w:rsid w:val="00035E4E"/>
    <w:rsid w:val="00035F1E"/>
    <w:rsid w:val="0003612A"/>
    <w:rsid w:val="00036609"/>
    <w:rsid w:val="00036821"/>
    <w:rsid w:val="00036A93"/>
    <w:rsid w:val="00036C3B"/>
    <w:rsid w:val="00036F39"/>
    <w:rsid w:val="000374E2"/>
    <w:rsid w:val="000374FF"/>
    <w:rsid w:val="00037D1D"/>
    <w:rsid w:val="00037DF5"/>
    <w:rsid w:val="0004012A"/>
    <w:rsid w:val="000403D7"/>
    <w:rsid w:val="000404EA"/>
    <w:rsid w:val="00040696"/>
    <w:rsid w:val="00040A36"/>
    <w:rsid w:val="00040E28"/>
    <w:rsid w:val="00040F38"/>
    <w:rsid w:val="000413C8"/>
    <w:rsid w:val="00041594"/>
    <w:rsid w:val="000415E2"/>
    <w:rsid w:val="00041988"/>
    <w:rsid w:val="000419BF"/>
    <w:rsid w:val="00041A5F"/>
    <w:rsid w:val="00041F54"/>
    <w:rsid w:val="00042413"/>
    <w:rsid w:val="0004276D"/>
    <w:rsid w:val="000428EF"/>
    <w:rsid w:val="0004292C"/>
    <w:rsid w:val="00042BAD"/>
    <w:rsid w:val="00042D89"/>
    <w:rsid w:val="00042DC9"/>
    <w:rsid w:val="000433F0"/>
    <w:rsid w:val="00043425"/>
    <w:rsid w:val="000434FC"/>
    <w:rsid w:val="00043528"/>
    <w:rsid w:val="00043B20"/>
    <w:rsid w:val="00043D08"/>
    <w:rsid w:val="0004442B"/>
    <w:rsid w:val="000444F3"/>
    <w:rsid w:val="000448FF"/>
    <w:rsid w:val="0004521D"/>
    <w:rsid w:val="000452DE"/>
    <w:rsid w:val="00045627"/>
    <w:rsid w:val="00045941"/>
    <w:rsid w:val="000460BE"/>
    <w:rsid w:val="00046589"/>
    <w:rsid w:val="000465FC"/>
    <w:rsid w:val="000466EC"/>
    <w:rsid w:val="00046A9C"/>
    <w:rsid w:val="00046AD7"/>
    <w:rsid w:val="00046BB4"/>
    <w:rsid w:val="00047030"/>
    <w:rsid w:val="000470B5"/>
    <w:rsid w:val="00047654"/>
    <w:rsid w:val="00047C14"/>
    <w:rsid w:val="000500A4"/>
    <w:rsid w:val="00050487"/>
    <w:rsid w:val="000507BB"/>
    <w:rsid w:val="00050861"/>
    <w:rsid w:val="0005097F"/>
    <w:rsid w:val="00050E18"/>
    <w:rsid w:val="0005108E"/>
    <w:rsid w:val="00051099"/>
    <w:rsid w:val="000513FE"/>
    <w:rsid w:val="00051550"/>
    <w:rsid w:val="00051837"/>
    <w:rsid w:val="00051DFF"/>
    <w:rsid w:val="0005219F"/>
    <w:rsid w:val="00052689"/>
    <w:rsid w:val="00052A43"/>
    <w:rsid w:val="00052E1A"/>
    <w:rsid w:val="0005301F"/>
    <w:rsid w:val="00053406"/>
    <w:rsid w:val="000537F2"/>
    <w:rsid w:val="00053922"/>
    <w:rsid w:val="0005427A"/>
    <w:rsid w:val="000547D4"/>
    <w:rsid w:val="00054999"/>
    <w:rsid w:val="0005546C"/>
    <w:rsid w:val="000554E3"/>
    <w:rsid w:val="00055598"/>
    <w:rsid w:val="00055E46"/>
    <w:rsid w:val="00055E6C"/>
    <w:rsid w:val="000564CA"/>
    <w:rsid w:val="00056787"/>
    <w:rsid w:val="00056BEF"/>
    <w:rsid w:val="00056C0D"/>
    <w:rsid w:val="000575B1"/>
    <w:rsid w:val="000577E6"/>
    <w:rsid w:val="0005795B"/>
    <w:rsid w:val="00057CA8"/>
    <w:rsid w:val="00057F60"/>
    <w:rsid w:val="000600B4"/>
    <w:rsid w:val="00060CEF"/>
    <w:rsid w:val="00060EA6"/>
    <w:rsid w:val="000610F7"/>
    <w:rsid w:val="0006112F"/>
    <w:rsid w:val="00061671"/>
    <w:rsid w:val="000619DE"/>
    <w:rsid w:val="00061AE6"/>
    <w:rsid w:val="00061E2B"/>
    <w:rsid w:val="0006215A"/>
    <w:rsid w:val="000626F4"/>
    <w:rsid w:val="00062ADA"/>
    <w:rsid w:val="00062CB7"/>
    <w:rsid w:val="00062EB4"/>
    <w:rsid w:val="00062EF2"/>
    <w:rsid w:val="0006303F"/>
    <w:rsid w:val="00063395"/>
    <w:rsid w:val="00063705"/>
    <w:rsid w:val="0006376F"/>
    <w:rsid w:val="000639FF"/>
    <w:rsid w:val="00063A1A"/>
    <w:rsid w:val="00063A85"/>
    <w:rsid w:val="00063BDB"/>
    <w:rsid w:val="000649E4"/>
    <w:rsid w:val="00065058"/>
    <w:rsid w:val="000652FB"/>
    <w:rsid w:val="00065576"/>
    <w:rsid w:val="000655D8"/>
    <w:rsid w:val="00065943"/>
    <w:rsid w:val="000659F0"/>
    <w:rsid w:val="00065CE8"/>
    <w:rsid w:val="00065D3A"/>
    <w:rsid w:val="00066041"/>
    <w:rsid w:val="00066048"/>
    <w:rsid w:val="000663CD"/>
    <w:rsid w:val="00066519"/>
    <w:rsid w:val="000668B0"/>
    <w:rsid w:val="0006697D"/>
    <w:rsid w:val="000670AC"/>
    <w:rsid w:val="000674D6"/>
    <w:rsid w:val="000675C3"/>
    <w:rsid w:val="00067739"/>
    <w:rsid w:val="0006774C"/>
    <w:rsid w:val="000677DD"/>
    <w:rsid w:val="00067D78"/>
    <w:rsid w:val="00067E6F"/>
    <w:rsid w:val="00067EA7"/>
    <w:rsid w:val="00070BC8"/>
    <w:rsid w:val="0007124A"/>
    <w:rsid w:val="000712D4"/>
    <w:rsid w:val="00071383"/>
    <w:rsid w:val="000715DD"/>
    <w:rsid w:val="00071995"/>
    <w:rsid w:val="00071CE1"/>
    <w:rsid w:val="00071F99"/>
    <w:rsid w:val="000726B2"/>
    <w:rsid w:val="00073042"/>
    <w:rsid w:val="000731A6"/>
    <w:rsid w:val="00073339"/>
    <w:rsid w:val="00073905"/>
    <w:rsid w:val="00074009"/>
    <w:rsid w:val="000742E7"/>
    <w:rsid w:val="000744BC"/>
    <w:rsid w:val="00074CB6"/>
    <w:rsid w:val="00074DE7"/>
    <w:rsid w:val="00074F32"/>
    <w:rsid w:val="00075175"/>
    <w:rsid w:val="0007597A"/>
    <w:rsid w:val="00076483"/>
    <w:rsid w:val="0007648F"/>
    <w:rsid w:val="000770DF"/>
    <w:rsid w:val="000772E5"/>
    <w:rsid w:val="00077357"/>
    <w:rsid w:val="00077A4A"/>
    <w:rsid w:val="00077A60"/>
    <w:rsid w:val="00077FB1"/>
    <w:rsid w:val="00080185"/>
    <w:rsid w:val="00080526"/>
    <w:rsid w:val="000806EA"/>
    <w:rsid w:val="00080D93"/>
    <w:rsid w:val="00081148"/>
    <w:rsid w:val="000811F7"/>
    <w:rsid w:val="00081256"/>
    <w:rsid w:val="0008143D"/>
    <w:rsid w:val="0008193D"/>
    <w:rsid w:val="00081AE6"/>
    <w:rsid w:val="00081BB9"/>
    <w:rsid w:val="00082324"/>
    <w:rsid w:val="000826A3"/>
    <w:rsid w:val="000827A1"/>
    <w:rsid w:val="00083470"/>
    <w:rsid w:val="00083595"/>
    <w:rsid w:val="00083B8C"/>
    <w:rsid w:val="00083CC9"/>
    <w:rsid w:val="00083EB0"/>
    <w:rsid w:val="000849CB"/>
    <w:rsid w:val="00084E5A"/>
    <w:rsid w:val="00084F1B"/>
    <w:rsid w:val="000856A8"/>
    <w:rsid w:val="00085D00"/>
    <w:rsid w:val="000861F6"/>
    <w:rsid w:val="0008626B"/>
    <w:rsid w:val="00086318"/>
    <w:rsid w:val="00086878"/>
    <w:rsid w:val="0008690C"/>
    <w:rsid w:val="00086BA7"/>
    <w:rsid w:val="00086D07"/>
    <w:rsid w:val="00086E87"/>
    <w:rsid w:val="0008708B"/>
    <w:rsid w:val="0008733A"/>
    <w:rsid w:val="00087F79"/>
    <w:rsid w:val="000904D0"/>
    <w:rsid w:val="000909DE"/>
    <w:rsid w:val="00090AC6"/>
    <w:rsid w:val="000910E8"/>
    <w:rsid w:val="00091D21"/>
    <w:rsid w:val="00091F35"/>
    <w:rsid w:val="00092257"/>
    <w:rsid w:val="0009227B"/>
    <w:rsid w:val="00092498"/>
    <w:rsid w:val="000935A0"/>
    <w:rsid w:val="000936BE"/>
    <w:rsid w:val="0009374F"/>
    <w:rsid w:val="000939C9"/>
    <w:rsid w:val="0009433B"/>
    <w:rsid w:val="0009492A"/>
    <w:rsid w:val="00094C73"/>
    <w:rsid w:val="00094D61"/>
    <w:rsid w:val="00095E83"/>
    <w:rsid w:val="00095F62"/>
    <w:rsid w:val="00095FA3"/>
    <w:rsid w:val="00095FB0"/>
    <w:rsid w:val="0009604A"/>
    <w:rsid w:val="00096240"/>
    <w:rsid w:val="000966CC"/>
    <w:rsid w:val="000968DE"/>
    <w:rsid w:val="00096AFE"/>
    <w:rsid w:val="00096D6A"/>
    <w:rsid w:val="00097033"/>
    <w:rsid w:val="00097624"/>
    <w:rsid w:val="000977DD"/>
    <w:rsid w:val="00097DD3"/>
    <w:rsid w:val="00097E20"/>
    <w:rsid w:val="000A15B3"/>
    <w:rsid w:val="000A1739"/>
    <w:rsid w:val="000A1815"/>
    <w:rsid w:val="000A207D"/>
    <w:rsid w:val="000A24B0"/>
    <w:rsid w:val="000A24B4"/>
    <w:rsid w:val="000A25B9"/>
    <w:rsid w:val="000A2975"/>
    <w:rsid w:val="000A2B19"/>
    <w:rsid w:val="000A2E11"/>
    <w:rsid w:val="000A2EC0"/>
    <w:rsid w:val="000A3380"/>
    <w:rsid w:val="000A33C5"/>
    <w:rsid w:val="000A3607"/>
    <w:rsid w:val="000A39B3"/>
    <w:rsid w:val="000A3CA2"/>
    <w:rsid w:val="000A3D86"/>
    <w:rsid w:val="000A45E9"/>
    <w:rsid w:val="000A481D"/>
    <w:rsid w:val="000A48A9"/>
    <w:rsid w:val="000A48B8"/>
    <w:rsid w:val="000A4EBD"/>
    <w:rsid w:val="000A4EF3"/>
    <w:rsid w:val="000A5D37"/>
    <w:rsid w:val="000A60A9"/>
    <w:rsid w:val="000A63E3"/>
    <w:rsid w:val="000A6485"/>
    <w:rsid w:val="000A6554"/>
    <w:rsid w:val="000A6B20"/>
    <w:rsid w:val="000A6B9F"/>
    <w:rsid w:val="000A6E09"/>
    <w:rsid w:val="000A6EEE"/>
    <w:rsid w:val="000A799C"/>
    <w:rsid w:val="000A79C1"/>
    <w:rsid w:val="000A7EFD"/>
    <w:rsid w:val="000B0294"/>
    <w:rsid w:val="000B0683"/>
    <w:rsid w:val="000B06CE"/>
    <w:rsid w:val="000B0899"/>
    <w:rsid w:val="000B0AF5"/>
    <w:rsid w:val="000B0C15"/>
    <w:rsid w:val="000B0ECD"/>
    <w:rsid w:val="000B0FEC"/>
    <w:rsid w:val="000B1A52"/>
    <w:rsid w:val="000B1EA0"/>
    <w:rsid w:val="000B22AC"/>
    <w:rsid w:val="000B251C"/>
    <w:rsid w:val="000B25BF"/>
    <w:rsid w:val="000B25F0"/>
    <w:rsid w:val="000B28BA"/>
    <w:rsid w:val="000B3070"/>
    <w:rsid w:val="000B37AB"/>
    <w:rsid w:val="000B3BCB"/>
    <w:rsid w:val="000B3C68"/>
    <w:rsid w:val="000B40D1"/>
    <w:rsid w:val="000B40FF"/>
    <w:rsid w:val="000B44C3"/>
    <w:rsid w:val="000B4B15"/>
    <w:rsid w:val="000B4F47"/>
    <w:rsid w:val="000B52D7"/>
    <w:rsid w:val="000B5AE6"/>
    <w:rsid w:val="000B5B21"/>
    <w:rsid w:val="000B5B77"/>
    <w:rsid w:val="000B608A"/>
    <w:rsid w:val="000B6209"/>
    <w:rsid w:val="000B63E5"/>
    <w:rsid w:val="000B63EE"/>
    <w:rsid w:val="000B6C8E"/>
    <w:rsid w:val="000B6D85"/>
    <w:rsid w:val="000B6F3D"/>
    <w:rsid w:val="000B7144"/>
    <w:rsid w:val="000B7592"/>
    <w:rsid w:val="000B7A0A"/>
    <w:rsid w:val="000B7D3F"/>
    <w:rsid w:val="000B7DA6"/>
    <w:rsid w:val="000B7E32"/>
    <w:rsid w:val="000B7EB8"/>
    <w:rsid w:val="000C0546"/>
    <w:rsid w:val="000C0A08"/>
    <w:rsid w:val="000C0B2C"/>
    <w:rsid w:val="000C0B54"/>
    <w:rsid w:val="000C0E67"/>
    <w:rsid w:val="000C0F3D"/>
    <w:rsid w:val="000C1CC1"/>
    <w:rsid w:val="000C20CF"/>
    <w:rsid w:val="000C2ADC"/>
    <w:rsid w:val="000C2C12"/>
    <w:rsid w:val="000C2C2B"/>
    <w:rsid w:val="000C2C90"/>
    <w:rsid w:val="000C3507"/>
    <w:rsid w:val="000C3A6B"/>
    <w:rsid w:val="000C3B22"/>
    <w:rsid w:val="000C3EFA"/>
    <w:rsid w:val="000C3F7F"/>
    <w:rsid w:val="000C45E5"/>
    <w:rsid w:val="000C528B"/>
    <w:rsid w:val="000C55EF"/>
    <w:rsid w:val="000C5607"/>
    <w:rsid w:val="000C56DE"/>
    <w:rsid w:val="000C5A5F"/>
    <w:rsid w:val="000C5BA1"/>
    <w:rsid w:val="000C615E"/>
    <w:rsid w:val="000C67DD"/>
    <w:rsid w:val="000C736F"/>
    <w:rsid w:val="000D00A6"/>
    <w:rsid w:val="000D0356"/>
    <w:rsid w:val="000D0357"/>
    <w:rsid w:val="000D078E"/>
    <w:rsid w:val="000D0C29"/>
    <w:rsid w:val="000D193C"/>
    <w:rsid w:val="000D1C4B"/>
    <w:rsid w:val="000D1CCE"/>
    <w:rsid w:val="000D1D3B"/>
    <w:rsid w:val="000D1FAC"/>
    <w:rsid w:val="000D24A2"/>
    <w:rsid w:val="000D2962"/>
    <w:rsid w:val="000D2ACB"/>
    <w:rsid w:val="000D2E60"/>
    <w:rsid w:val="000D2F86"/>
    <w:rsid w:val="000D392D"/>
    <w:rsid w:val="000D3A97"/>
    <w:rsid w:val="000D3D43"/>
    <w:rsid w:val="000D3EFD"/>
    <w:rsid w:val="000D3F36"/>
    <w:rsid w:val="000D43A1"/>
    <w:rsid w:val="000D449A"/>
    <w:rsid w:val="000D4762"/>
    <w:rsid w:val="000D4F15"/>
    <w:rsid w:val="000D5908"/>
    <w:rsid w:val="000D5D70"/>
    <w:rsid w:val="000D5FCC"/>
    <w:rsid w:val="000D6058"/>
    <w:rsid w:val="000D61AE"/>
    <w:rsid w:val="000D64DD"/>
    <w:rsid w:val="000D6669"/>
    <w:rsid w:val="000D6790"/>
    <w:rsid w:val="000D6CD3"/>
    <w:rsid w:val="000D6D79"/>
    <w:rsid w:val="000D6FE5"/>
    <w:rsid w:val="000D71D3"/>
    <w:rsid w:val="000D7CDD"/>
    <w:rsid w:val="000D7D32"/>
    <w:rsid w:val="000D7F86"/>
    <w:rsid w:val="000E00E4"/>
    <w:rsid w:val="000E0311"/>
    <w:rsid w:val="000E03BD"/>
    <w:rsid w:val="000E0A8E"/>
    <w:rsid w:val="000E0AAD"/>
    <w:rsid w:val="000E0C35"/>
    <w:rsid w:val="000E112C"/>
    <w:rsid w:val="000E1266"/>
    <w:rsid w:val="000E1417"/>
    <w:rsid w:val="000E22F3"/>
    <w:rsid w:val="000E244B"/>
    <w:rsid w:val="000E291A"/>
    <w:rsid w:val="000E2A53"/>
    <w:rsid w:val="000E2CE4"/>
    <w:rsid w:val="000E34B4"/>
    <w:rsid w:val="000E372B"/>
    <w:rsid w:val="000E38DD"/>
    <w:rsid w:val="000E3EEB"/>
    <w:rsid w:val="000E43C2"/>
    <w:rsid w:val="000E50B9"/>
    <w:rsid w:val="000E5137"/>
    <w:rsid w:val="000E53C8"/>
    <w:rsid w:val="000E5914"/>
    <w:rsid w:val="000E5954"/>
    <w:rsid w:val="000E637C"/>
    <w:rsid w:val="000E63E7"/>
    <w:rsid w:val="000E6986"/>
    <w:rsid w:val="000E6B29"/>
    <w:rsid w:val="000E6DC3"/>
    <w:rsid w:val="000E7097"/>
    <w:rsid w:val="000E7123"/>
    <w:rsid w:val="000E7200"/>
    <w:rsid w:val="000E77AA"/>
    <w:rsid w:val="000E7AE7"/>
    <w:rsid w:val="000E7B4A"/>
    <w:rsid w:val="000E7BEE"/>
    <w:rsid w:val="000E7E23"/>
    <w:rsid w:val="000E7F45"/>
    <w:rsid w:val="000E7FA0"/>
    <w:rsid w:val="000F05E8"/>
    <w:rsid w:val="000F0822"/>
    <w:rsid w:val="000F08D2"/>
    <w:rsid w:val="000F09CE"/>
    <w:rsid w:val="000F0F15"/>
    <w:rsid w:val="000F0FDA"/>
    <w:rsid w:val="000F173F"/>
    <w:rsid w:val="000F18BF"/>
    <w:rsid w:val="000F1CB8"/>
    <w:rsid w:val="000F1FEA"/>
    <w:rsid w:val="000F248E"/>
    <w:rsid w:val="000F249D"/>
    <w:rsid w:val="000F27C4"/>
    <w:rsid w:val="000F28EE"/>
    <w:rsid w:val="000F2DC0"/>
    <w:rsid w:val="000F30CD"/>
    <w:rsid w:val="000F41C5"/>
    <w:rsid w:val="000F467A"/>
    <w:rsid w:val="000F479A"/>
    <w:rsid w:val="000F4AD8"/>
    <w:rsid w:val="000F4ECB"/>
    <w:rsid w:val="000F5126"/>
    <w:rsid w:val="000F5251"/>
    <w:rsid w:val="000F5360"/>
    <w:rsid w:val="000F5749"/>
    <w:rsid w:val="000F5775"/>
    <w:rsid w:val="000F5925"/>
    <w:rsid w:val="000F5B61"/>
    <w:rsid w:val="000F5C35"/>
    <w:rsid w:val="000F5C60"/>
    <w:rsid w:val="000F5F1A"/>
    <w:rsid w:val="000F6225"/>
    <w:rsid w:val="000F6B3F"/>
    <w:rsid w:val="000F6BFB"/>
    <w:rsid w:val="000F79A5"/>
    <w:rsid w:val="000F7B97"/>
    <w:rsid w:val="001002F6"/>
    <w:rsid w:val="0010060B"/>
    <w:rsid w:val="00100D80"/>
    <w:rsid w:val="00101678"/>
    <w:rsid w:val="001019A9"/>
    <w:rsid w:val="00101A1F"/>
    <w:rsid w:val="00101AC2"/>
    <w:rsid w:val="00101E25"/>
    <w:rsid w:val="0010206A"/>
    <w:rsid w:val="00102401"/>
    <w:rsid w:val="001024AC"/>
    <w:rsid w:val="0010277E"/>
    <w:rsid w:val="00102910"/>
    <w:rsid w:val="00102DFC"/>
    <w:rsid w:val="00102F0B"/>
    <w:rsid w:val="00102F62"/>
    <w:rsid w:val="001036B9"/>
    <w:rsid w:val="0010383F"/>
    <w:rsid w:val="001039AB"/>
    <w:rsid w:val="00103F95"/>
    <w:rsid w:val="00104FE4"/>
    <w:rsid w:val="00105202"/>
    <w:rsid w:val="0010561A"/>
    <w:rsid w:val="00105D35"/>
    <w:rsid w:val="001061B8"/>
    <w:rsid w:val="00106200"/>
    <w:rsid w:val="00106B55"/>
    <w:rsid w:val="00106BF8"/>
    <w:rsid w:val="0010757A"/>
    <w:rsid w:val="00107973"/>
    <w:rsid w:val="00107CD0"/>
    <w:rsid w:val="00110AF5"/>
    <w:rsid w:val="00110BA4"/>
    <w:rsid w:val="00110C8B"/>
    <w:rsid w:val="00110D76"/>
    <w:rsid w:val="00110F0B"/>
    <w:rsid w:val="00111B68"/>
    <w:rsid w:val="00111E24"/>
    <w:rsid w:val="0011288F"/>
    <w:rsid w:val="0011368E"/>
    <w:rsid w:val="00113909"/>
    <w:rsid w:val="00114135"/>
    <w:rsid w:val="00114396"/>
    <w:rsid w:val="001145D9"/>
    <w:rsid w:val="00114806"/>
    <w:rsid w:val="00114C46"/>
    <w:rsid w:val="00114E60"/>
    <w:rsid w:val="0011518C"/>
    <w:rsid w:val="001153D6"/>
    <w:rsid w:val="001156B1"/>
    <w:rsid w:val="001156E2"/>
    <w:rsid w:val="00115908"/>
    <w:rsid w:val="00115B79"/>
    <w:rsid w:val="0011652A"/>
    <w:rsid w:val="00116C03"/>
    <w:rsid w:val="001171D7"/>
    <w:rsid w:val="0011724C"/>
    <w:rsid w:val="00117509"/>
    <w:rsid w:val="001176C5"/>
    <w:rsid w:val="0011787E"/>
    <w:rsid w:val="001203C5"/>
    <w:rsid w:val="00120412"/>
    <w:rsid w:val="00120962"/>
    <w:rsid w:val="00120B6F"/>
    <w:rsid w:val="00120C7E"/>
    <w:rsid w:val="00121168"/>
    <w:rsid w:val="00121B79"/>
    <w:rsid w:val="00121F4E"/>
    <w:rsid w:val="001223CA"/>
    <w:rsid w:val="00122B74"/>
    <w:rsid w:val="00123251"/>
    <w:rsid w:val="001236C9"/>
    <w:rsid w:val="00124648"/>
    <w:rsid w:val="0012465F"/>
    <w:rsid w:val="001246DF"/>
    <w:rsid w:val="00124980"/>
    <w:rsid w:val="00124D76"/>
    <w:rsid w:val="00124F4C"/>
    <w:rsid w:val="001252FF"/>
    <w:rsid w:val="00125581"/>
    <w:rsid w:val="00125704"/>
    <w:rsid w:val="001257A2"/>
    <w:rsid w:val="001258C3"/>
    <w:rsid w:val="00125AC9"/>
    <w:rsid w:val="00125D8D"/>
    <w:rsid w:val="00125FAF"/>
    <w:rsid w:val="00126141"/>
    <w:rsid w:val="00126228"/>
    <w:rsid w:val="00126608"/>
    <w:rsid w:val="0012670A"/>
    <w:rsid w:val="001267F7"/>
    <w:rsid w:val="00126DC8"/>
    <w:rsid w:val="00126F9A"/>
    <w:rsid w:val="00127185"/>
    <w:rsid w:val="00127349"/>
    <w:rsid w:val="0012736D"/>
    <w:rsid w:val="0012746B"/>
    <w:rsid w:val="00127615"/>
    <w:rsid w:val="0012763D"/>
    <w:rsid w:val="00127AC9"/>
    <w:rsid w:val="00127CA4"/>
    <w:rsid w:val="00127EB9"/>
    <w:rsid w:val="00130072"/>
    <w:rsid w:val="0013013E"/>
    <w:rsid w:val="001302B1"/>
    <w:rsid w:val="00130533"/>
    <w:rsid w:val="00130AFE"/>
    <w:rsid w:val="00130BEC"/>
    <w:rsid w:val="0013110D"/>
    <w:rsid w:val="00131408"/>
    <w:rsid w:val="001314ED"/>
    <w:rsid w:val="00131517"/>
    <w:rsid w:val="001318AA"/>
    <w:rsid w:val="00131CE3"/>
    <w:rsid w:val="00131EC0"/>
    <w:rsid w:val="00132159"/>
    <w:rsid w:val="001322DB"/>
    <w:rsid w:val="00132732"/>
    <w:rsid w:val="00133121"/>
    <w:rsid w:val="001335F9"/>
    <w:rsid w:val="00133B0D"/>
    <w:rsid w:val="00133BE2"/>
    <w:rsid w:val="00133CFC"/>
    <w:rsid w:val="0013404B"/>
    <w:rsid w:val="001340BD"/>
    <w:rsid w:val="00134135"/>
    <w:rsid w:val="0013417E"/>
    <w:rsid w:val="001341C5"/>
    <w:rsid w:val="001342B3"/>
    <w:rsid w:val="00134489"/>
    <w:rsid w:val="0013459C"/>
    <w:rsid w:val="001348AA"/>
    <w:rsid w:val="001350B3"/>
    <w:rsid w:val="00135538"/>
    <w:rsid w:val="00135E6A"/>
    <w:rsid w:val="00135EA8"/>
    <w:rsid w:val="00136355"/>
    <w:rsid w:val="00136ABE"/>
    <w:rsid w:val="00136D90"/>
    <w:rsid w:val="0014033B"/>
    <w:rsid w:val="00140761"/>
    <w:rsid w:val="0014085C"/>
    <w:rsid w:val="001409A9"/>
    <w:rsid w:val="00140D3D"/>
    <w:rsid w:val="00140DC1"/>
    <w:rsid w:val="001417AF"/>
    <w:rsid w:val="00141CEB"/>
    <w:rsid w:val="00142097"/>
    <w:rsid w:val="001421A6"/>
    <w:rsid w:val="001424F4"/>
    <w:rsid w:val="001428B3"/>
    <w:rsid w:val="0014297B"/>
    <w:rsid w:val="00142B6D"/>
    <w:rsid w:val="00142E4C"/>
    <w:rsid w:val="00142E76"/>
    <w:rsid w:val="00142F2F"/>
    <w:rsid w:val="00142F7B"/>
    <w:rsid w:val="001437D4"/>
    <w:rsid w:val="00143A27"/>
    <w:rsid w:val="00143BDE"/>
    <w:rsid w:val="00143C20"/>
    <w:rsid w:val="001441B3"/>
    <w:rsid w:val="001444DB"/>
    <w:rsid w:val="00144592"/>
    <w:rsid w:val="00144698"/>
    <w:rsid w:val="001446BB"/>
    <w:rsid w:val="001446F5"/>
    <w:rsid w:val="00144772"/>
    <w:rsid w:val="00144834"/>
    <w:rsid w:val="00144C9A"/>
    <w:rsid w:val="00144FE6"/>
    <w:rsid w:val="001450CB"/>
    <w:rsid w:val="0014527E"/>
    <w:rsid w:val="00145583"/>
    <w:rsid w:val="00145669"/>
    <w:rsid w:val="00145673"/>
    <w:rsid w:val="00145DF8"/>
    <w:rsid w:val="00145EC4"/>
    <w:rsid w:val="0014644B"/>
    <w:rsid w:val="00146637"/>
    <w:rsid w:val="0014665C"/>
    <w:rsid w:val="001468B2"/>
    <w:rsid w:val="00146B51"/>
    <w:rsid w:val="00146BDC"/>
    <w:rsid w:val="0014752A"/>
    <w:rsid w:val="00147B9E"/>
    <w:rsid w:val="00147BFB"/>
    <w:rsid w:val="00147ED3"/>
    <w:rsid w:val="00150067"/>
    <w:rsid w:val="00150079"/>
    <w:rsid w:val="00150E54"/>
    <w:rsid w:val="0015178F"/>
    <w:rsid w:val="00151A21"/>
    <w:rsid w:val="00152119"/>
    <w:rsid w:val="00152210"/>
    <w:rsid w:val="001525DA"/>
    <w:rsid w:val="00152774"/>
    <w:rsid w:val="00152B81"/>
    <w:rsid w:val="00152E15"/>
    <w:rsid w:val="00152EC8"/>
    <w:rsid w:val="00153543"/>
    <w:rsid w:val="00153AF3"/>
    <w:rsid w:val="00153E51"/>
    <w:rsid w:val="00153E77"/>
    <w:rsid w:val="0015418E"/>
    <w:rsid w:val="0015448D"/>
    <w:rsid w:val="0015462E"/>
    <w:rsid w:val="0015479D"/>
    <w:rsid w:val="00154943"/>
    <w:rsid w:val="00154BC7"/>
    <w:rsid w:val="00154CBA"/>
    <w:rsid w:val="001559FD"/>
    <w:rsid w:val="00155AEA"/>
    <w:rsid w:val="001560B7"/>
    <w:rsid w:val="00156256"/>
    <w:rsid w:val="00156895"/>
    <w:rsid w:val="00156995"/>
    <w:rsid w:val="00156B99"/>
    <w:rsid w:val="001570B1"/>
    <w:rsid w:val="00157966"/>
    <w:rsid w:val="001579A1"/>
    <w:rsid w:val="00157CF9"/>
    <w:rsid w:val="00160000"/>
    <w:rsid w:val="0016033E"/>
    <w:rsid w:val="00160872"/>
    <w:rsid w:val="00160A22"/>
    <w:rsid w:val="00160F5C"/>
    <w:rsid w:val="00161108"/>
    <w:rsid w:val="00161285"/>
    <w:rsid w:val="0016136D"/>
    <w:rsid w:val="001615E8"/>
    <w:rsid w:val="00161610"/>
    <w:rsid w:val="00161663"/>
    <w:rsid w:val="00161AD3"/>
    <w:rsid w:val="00162191"/>
    <w:rsid w:val="00162309"/>
    <w:rsid w:val="00162647"/>
    <w:rsid w:val="00162A7E"/>
    <w:rsid w:val="00162B71"/>
    <w:rsid w:val="00163127"/>
    <w:rsid w:val="0016337F"/>
    <w:rsid w:val="0016350B"/>
    <w:rsid w:val="0016352E"/>
    <w:rsid w:val="0016358A"/>
    <w:rsid w:val="00163C26"/>
    <w:rsid w:val="00163E69"/>
    <w:rsid w:val="00163E79"/>
    <w:rsid w:val="00164296"/>
    <w:rsid w:val="0016444D"/>
    <w:rsid w:val="00164AC2"/>
    <w:rsid w:val="00165195"/>
    <w:rsid w:val="001653AC"/>
    <w:rsid w:val="00165A83"/>
    <w:rsid w:val="00165DDD"/>
    <w:rsid w:val="00165F06"/>
    <w:rsid w:val="00165F88"/>
    <w:rsid w:val="0016641C"/>
    <w:rsid w:val="00166791"/>
    <w:rsid w:val="001667AB"/>
    <w:rsid w:val="0016695D"/>
    <w:rsid w:val="00166D4C"/>
    <w:rsid w:val="00166E42"/>
    <w:rsid w:val="00166E75"/>
    <w:rsid w:val="001670D6"/>
    <w:rsid w:val="00167510"/>
    <w:rsid w:val="001676CC"/>
    <w:rsid w:val="00167C30"/>
    <w:rsid w:val="00167CE0"/>
    <w:rsid w:val="00170124"/>
    <w:rsid w:val="00170986"/>
    <w:rsid w:val="00170DDC"/>
    <w:rsid w:val="00171551"/>
    <w:rsid w:val="001717DF"/>
    <w:rsid w:val="00171815"/>
    <w:rsid w:val="001719B1"/>
    <w:rsid w:val="001722B3"/>
    <w:rsid w:val="00172441"/>
    <w:rsid w:val="0017253A"/>
    <w:rsid w:val="001725F4"/>
    <w:rsid w:val="00172625"/>
    <w:rsid w:val="00172750"/>
    <w:rsid w:val="00172A05"/>
    <w:rsid w:val="001738E1"/>
    <w:rsid w:val="00173A96"/>
    <w:rsid w:val="00173E30"/>
    <w:rsid w:val="001740F4"/>
    <w:rsid w:val="0017455F"/>
    <w:rsid w:val="0017462E"/>
    <w:rsid w:val="0017497C"/>
    <w:rsid w:val="00174E03"/>
    <w:rsid w:val="00174FC2"/>
    <w:rsid w:val="00175126"/>
    <w:rsid w:val="001752E7"/>
    <w:rsid w:val="00175477"/>
    <w:rsid w:val="00175604"/>
    <w:rsid w:val="00175DC7"/>
    <w:rsid w:val="00175F77"/>
    <w:rsid w:val="0017636A"/>
    <w:rsid w:val="0017644F"/>
    <w:rsid w:val="001767FE"/>
    <w:rsid w:val="00176F2F"/>
    <w:rsid w:val="001774FB"/>
    <w:rsid w:val="00177754"/>
    <w:rsid w:val="00177855"/>
    <w:rsid w:val="00177BA2"/>
    <w:rsid w:val="00177CC9"/>
    <w:rsid w:val="00177E80"/>
    <w:rsid w:val="00177E8C"/>
    <w:rsid w:val="00177F09"/>
    <w:rsid w:val="00180064"/>
    <w:rsid w:val="001801AF"/>
    <w:rsid w:val="00180373"/>
    <w:rsid w:val="001803A2"/>
    <w:rsid w:val="0018065A"/>
    <w:rsid w:val="0018083E"/>
    <w:rsid w:val="0018092B"/>
    <w:rsid w:val="001809EC"/>
    <w:rsid w:val="00180D35"/>
    <w:rsid w:val="00180F18"/>
    <w:rsid w:val="001812FD"/>
    <w:rsid w:val="001815FB"/>
    <w:rsid w:val="00181A8D"/>
    <w:rsid w:val="00181CB4"/>
    <w:rsid w:val="00181D07"/>
    <w:rsid w:val="001820BF"/>
    <w:rsid w:val="001824C4"/>
    <w:rsid w:val="00182500"/>
    <w:rsid w:val="00182870"/>
    <w:rsid w:val="00182A96"/>
    <w:rsid w:val="00182AFF"/>
    <w:rsid w:val="00182BE0"/>
    <w:rsid w:val="00182E80"/>
    <w:rsid w:val="00183FFE"/>
    <w:rsid w:val="0018430B"/>
    <w:rsid w:val="00184904"/>
    <w:rsid w:val="00185128"/>
    <w:rsid w:val="001852CC"/>
    <w:rsid w:val="00185348"/>
    <w:rsid w:val="0018539C"/>
    <w:rsid w:val="001854E6"/>
    <w:rsid w:val="00185F70"/>
    <w:rsid w:val="001861CA"/>
    <w:rsid w:val="0018620C"/>
    <w:rsid w:val="00186421"/>
    <w:rsid w:val="00186A3F"/>
    <w:rsid w:val="00186E71"/>
    <w:rsid w:val="00187088"/>
    <w:rsid w:val="001870AE"/>
    <w:rsid w:val="00187327"/>
    <w:rsid w:val="00187441"/>
    <w:rsid w:val="00187A36"/>
    <w:rsid w:val="00187CF2"/>
    <w:rsid w:val="001900F3"/>
    <w:rsid w:val="001905FC"/>
    <w:rsid w:val="00190B16"/>
    <w:rsid w:val="00190FD9"/>
    <w:rsid w:val="001912FC"/>
    <w:rsid w:val="0019149E"/>
    <w:rsid w:val="00191B76"/>
    <w:rsid w:val="00191C38"/>
    <w:rsid w:val="00191DEC"/>
    <w:rsid w:val="0019228D"/>
    <w:rsid w:val="001922D4"/>
    <w:rsid w:val="00192540"/>
    <w:rsid w:val="00192C97"/>
    <w:rsid w:val="00193017"/>
    <w:rsid w:val="001931E8"/>
    <w:rsid w:val="001938F4"/>
    <w:rsid w:val="00194146"/>
    <w:rsid w:val="001945FF"/>
    <w:rsid w:val="00194611"/>
    <w:rsid w:val="00194F58"/>
    <w:rsid w:val="00195330"/>
    <w:rsid w:val="001954C5"/>
    <w:rsid w:val="0019564C"/>
    <w:rsid w:val="00195AEC"/>
    <w:rsid w:val="00196916"/>
    <w:rsid w:val="00196B3A"/>
    <w:rsid w:val="00196F75"/>
    <w:rsid w:val="00197905"/>
    <w:rsid w:val="00197D31"/>
    <w:rsid w:val="001A161D"/>
    <w:rsid w:val="001A16DE"/>
    <w:rsid w:val="001A17F1"/>
    <w:rsid w:val="001A18F4"/>
    <w:rsid w:val="001A1AE9"/>
    <w:rsid w:val="001A1C83"/>
    <w:rsid w:val="001A1CEB"/>
    <w:rsid w:val="001A1F0E"/>
    <w:rsid w:val="001A34F5"/>
    <w:rsid w:val="001A3944"/>
    <w:rsid w:val="001A3A15"/>
    <w:rsid w:val="001A3AA8"/>
    <w:rsid w:val="001A3AF1"/>
    <w:rsid w:val="001A3B42"/>
    <w:rsid w:val="001A402E"/>
    <w:rsid w:val="001A4C20"/>
    <w:rsid w:val="001A4C64"/>
    <w:rsid w:val="001A50B2"/>
    <w:rsid w:val="001A52E4"/>
    <w:rsid w:val="001A6040"/>
    <w:rsid w:val="001A6065"/>
    <w:rsid w:val="001A63EF"/>
    <w:rsid w:val="001A66A9"/>
    <w:rsid w:val="001A68B8"/>
    <w:rsid w:val="001A6A30"/>
    <w:rsid w:val="001A6F5D"/>
    <w:rsid w:val="001A70A2"/>
    <w:rsid w:val="001A7118"/>
    <w:rsid w:val="001A71F6"/>
    <w:rsid w:val="001A7BBF"/>
    <w:rsid w:val="001A7EC2"/>
    <w:rsid w:val="001B0668"/>
    <w:rsid w:val="001B06AE"/>
    <w:rsid w:val="001B093C"/>
    <w:rsid w:val="001B0C7B"/>
    <w:rsid w:val="001B0D34"/>
    <w:rsid w:val="001B0D80"/>
    <w:rsid w:val="001B0E10"/>
    <w:rsid w:val="001B10EE"/>
    <w:rsid w:val="001B153A"/>
    <w:rsid w:val="001B1788"/>
    <w:rsid w:val="001B181D"/>
    <w:rsid w:val="001B1A19"/>
    <w:rsid w:val="001B1D5C"/>
    <w:rsid w:val="001B1E39"/>
    <w:rsid w:val="001B1E6A"/>
    <w:rsid w:val="001B1FD3"/>
    <w:rsid w:val="001B2397"/>
    <w:rsid w:val="001B26CB"/>
    <w:rsid w:val="001B2A12"/>
    <w:rsid w:val="001B2A21"/>
    <w:rsid w:val="001B3068"/>
    <w:rsid w:val="001B3603"/>
    <w:rsid w:val="001B37E7"/>
    <w:rsid w:val="001B3B09"/>
    <w:rsid w:val="001B3F63"/>
    <w:rsid w:val="001B4739"/>
    <w:rsid w:val="001B489C"/>
    <w:rsid w:val="001B4AC1"/>
    <w:rsid w:val="001B52F9"/>
    <w:rsid w:val="001B5441"/>
    <w:rsid w:val="001B6C14"/>
    <w:rsid w:val="001B6C3B"/>
    <w:rsid w:val="001B710B"/>
    <w:rsid w:val="001B75AF"/>
    <w:rsid w:val="001B7654"/>
    <w:rsid w:val="001B794D"/>
    <w:rsid w:val="001B7A95"/>
    <w:rsid w:val="001B7C03"/>
    <w:rsid w:val="001B7E99"/>
    <w:rsid w:val="001C0180"/>
    <w:rsid w:val="001C0AE0"/>
    <w:rsid w:val="001C0F94"/>
    <w:rsid w:val="001C10BD"/>
    <w:rsid w:val="001C1122"/>
    <w:rsid w:val="001C1724"/>
    <w:rsid w:val="001C1E48"/>
    <w:rsid w:val="001C2078"/>
    <w:rsid w:val="001C21C6"/>
    <w:rsid w:val="001C230B"/>
    <w:rsid w:val="001C2324"/>
    <w:rsid w:val="001C232D"/>
    <w:rsid w:val="001C2835"/>
    <w:rsid w:val="001C31EB"/>
    <w:rsid w:val="001C3218"/>
    <w:rsid w:val="001C337A"/>
    <w:rsid w:val="001C33EF"/>
    <w:rsid w:val="001C35CA"/>
    <w:rsid w:val="001C36CE"/>
    <w:rsid w:val="001C37E0"/>
    <w:rsid w:val="001C3B2D"/>
    <w:rsid w:val="001C3DA9"/>
    <w:rsid w:val="001C4B60"/>
    <w:rsid w:val="001C4C90"/>
    <w:rsid w:val="001C5023"/>
    <w:rsid w:val="001C5AB5"/>
    <w:rsid w:val="001C5B97"/>
    <w:rsid w:val="001C5CA6"/>
    <w:rsid w:val="001C5E57"/>
    <w:rsid w:val="001C6286"/>
    <w:rsid w:val="001C67B2"/>
    <w:rsid w:val="001C69F7"/>
    <w:rsid w:val="001C6A14"/>
    <w:rsid w:val="001C6AD2"/>
    <w:rsid w:val="001C7125"/>
    <w:rsid w:val="001C7379"/>
    <w:rsid w:val="001C79EF"/>
    <w:rsid w:val="001C7B39"/>
    <w:rsid w:val="001C7B6E"/>
    <w:rsid w:val="001C7B91"/>
    <w:rsid w:val="001C7F5E"/>
    <w:rsid w:val="001D060B"/>
    <w:rsid w:val="001D0958"/>
    <w:rsid w:val="001D0B35"/>
    <w:rsid w:val="001D0BBD"/>
    <w:rsid w:val="001D0EB5"/>
    <w:rsid w:val="001D1070"/>
    <w:rsid w:val="001D118E"/>
    <w:rsid w:val="001D168A"/>
    <w:rsid w:val="001D1C01"/>
    <w:rsid w:val="001D1DCF"/>
    <w:rsid w:val="001D250C"/>
    <w:rsid w:val="001D2604"/>
    <w:rsid w:val="001D2A1A"/>
    <w:rsid w:val="001D2DC7"/>
    <w:rsid w:val="001D31BD"/>
    <w:rsid w:val="001D3223"/>
    <w:rsid w:val="001D38BC"/>
    <w:rsid w:val="001D38D8"/>
    <w:rsid w:val="001D4CB2"/>
    <w:rsid w:val="001D4F93"/>
    <w:rsid w:val="001D518D"/>
    <w:rsid w:val="001D5AB9"/>
    <w:rsid w:val="001D5AD6"/>
    <w:rsid w:val="001D5B0C"/>
    <w:rsid w:val="001D6274"/>
    <w:rsid w:val="001D64B4"/>
    <w:rsid w:val="001D684B"/>
    <w:rsid w:val="001D69A0"/>
    <w:rsid w:val="001D69B4"/>
    <w:rsid w:val="001D6F7B"/>
    <w:rsid w:val="001D72C4"/>
    <w:rsid w:val="001D79A5"/>
    <w:rsid w:val="001D7C3B"/>
    <w:rsid w:val="001D7D98"/>
    <w:rsid w:val="001E01F7"/>
    <w:rsid w:val="001E06F3"/>
    <w:rsid w:val="001E0835"/>
    <w:rsid w:val="001E1100"/>
    <w:rsid w:val="001E1135"/>
    <w:rsid w:val="001E120B"/>
    <w:rsid w:val="001E1A4D"/>
    <w:rsid w:val="001E20B5"/>
    <w:rsid w:val="001E21AF"/>
    <w:rsid w:val="001E234A"/>
    <w:rsid w:val="001E2444"/>
    <w:rsid w:val="001E28F9"/>
    <w:rsid w:val="001E2AA8"/>
    <w:rsid w:val="001E2CFA"/>
    <w:rsid w:val="001E2EBD"/>
    <w:rsid w:val="001E2F57"/>
    <w:rsid w:val="001E3256"/>
    <w:rsid w:val="001E3484"/>
    <w:rsid w:val="001E3637"/>
    <w:rsid w:val="001E3B11"/>
    <w:rsid w:val="001E3DEF"/>
    <w:rsid w:val="001E3E03"/>
    <w:rsid w:val="001E425B"/>
    <w:rsid w:val="001E4C15"/>
    <w:rsid w:val="001E4C30"/>
    <w:rsid w:val="001E500B"/>
    <w:rsid w:val="001E5131"/>
    <w:rsid w:val="001E5321"/>
    <w:rsid w:val="001E5349"/>
    <w:rsid w:val="001E54A8"/>
    <w:rsid w:val="001E575A"/>
    <w:rsid w:val="001E591D"/>
    <w:rsid w:val="001E5961"/>
    <w:rsid w:val="001E5E09"/>
    <w:rsid w:val="001E66E7"/>
    <w:rsid w:val="001E67B7"/>
    <w:rsid w:val="001E6D50"/>
    <w:rsid w:val="001E75DE"/>
    <w:rsid w:val="001F068D"/>
    <w:rsid w:val="001F09C0"/>
    <w:rsid w:val="001F0CEB"/>
    <w:rsid w:val="001F1282"/>
    <w:rsid w:val="001F14F8"/>
    <w:rsid w:val="001F16DA"/>
    <w:rsid w:val="001F187E"/>
    <w:rsid w:val="001F198A"/>
    <w:rsid w:val="001F1BCB"/>
    <w:rsid w:val="001F1CF6"/>
    <w:rsid w:val="001F1D31"/>
    <w:rsid w:val="001F2728"/>
    <w:rsid w:val="001F2812"/>
    <w:rsid w:val="001F2819"/>
    <w:rsid w:val="001F3251"/>
    <w:rsid w:val="001F331E"/>
    <w:rsid w:val="001F340F"/>
    <w:rsid w:val="001F3940"/>
    <w:rsid w:val="001F3BE4"/>
    <w:rsid w:val="001F3DB9"/>
    <w:rsid w:val="001F45C3"/>
    <w:rsid w:val="001F45C4"/>
    <w:rsid w:val="001F4DE3"/>
    <w:rsid w:val="001F568C"/>
    <w:rsid w:val="001F5699"/>
    <w:rsid w:val="001F5B17"/>
    <w:rsid w:val="001F5EFE"/>
    <w:rsid w:val="001F5FDE"/>
    <w:rsid w:val="001F6508"/>
    <w:rsid w:val="001F686C"/>
    <w:rsid w:val="00200424"/>
    <w:rsid w:val="0020070B"/>
    <w:rsid w:val="002009A2"/>
    <w:rsid w:val="00200AB8"/>
    <w:rsid w:val="00200FCB"/>
    <w:rsid w:val="0020164F"/>
    <w:rsid w:val="0020181E"/>
    <w:rsid w:val="0020197F"/>
    <w:rsid w:val="002019C3"/>
    <w:rsid w:val="00201A8A"/>
    <w:rsid w:val="00201D30"/>
    <w:rsid w:val="00201F73"/>
    <w:rsid w:val="00202D42"/>
    <w:rsid w:val="00202F9D"/>
    <w:rsid w:val="00203069"/>
    <w:rsid w:val="0020372A"/>
    <w:rsid w:val="002038D4"/>
    <w:rsid w:val="00203BE6"/>
    <w:rsid w:val="002046E1"/>
    <w:rsid w:val="00204869"/>
    <w:rsid w:val="0020495C"/>
    <w:rsid w:val="00204D3E"/>
    <w:rsid w:val="002051A1"/>
    <w:rsid w:val="00205276"/>
    <w:rsid w:val="002063BC"/>
    <w:rsid w:val="002063FF"/>
    <w:rsid w:val="00206446"/>
    <w:rsid w:val="0020692D"/>
    <w:rsid w:val="00206989"/>
    <w:rsid w:val="00206A1C"/>
    <w:rsid w:val="00206BB8"/>
    <w:rsid w:val="00206EA9"/>
    <w:rsid w:val="00206EBB"/>
    <w:rsid w:val="00206FDA"/>
    <w:rsid w:val="00207137"/>
    <w:rsid w:val="00207272"/>
    <w:rsid w:val="00207931"/>
    <w:rsid w:val="00207C20"/>
    <w:rsid w:val="00207E47"/>
    <w:rsid w:val="002104A2"/>
    <w:rsid w:val="00210BA7"/>
    <w:rsid w:val="00210D82"/>
    <w:rsid w:val="00210E82"/>
    <w:rsid w:val="00210F23"/>
    <w:rsid w:val="0021102F"/>
    <w:rsid w:val="00211707"/>
    <w:rsid w:val="00211817"/>
    <w:rsid w:val="0021187D"/>
    <w:rsid w:val="00211B5D"/>
    <w:rsid w:val="00211DE4"/>
    <w:rsid w:val="002124E9"/>
    <w:rsid w:val="00212A3C"/>
    <w:rsid w:val="00212F7E"/>
    <w:rsid w:val="0021330E"/>
    <w:rsid w:val="00213372"/>
    <w:rsid w:val="002135B0"/>
    <w:rsid w:val="00213BA2"/>
    <w:rsid w:val="00213C5A"/>
    <w:rsid w:val="00213F21"/>
    <w:rsid w:val="002140A6"/>
    <w:rsid w:val="0021470C"/>
    <w:rsid w:val="002147A7"/>
    <w:rsid w:val="00214A71"/>
    <w:rsid w:val="00214BE2"/>
    <w:rsid w:val="00214E40"/>
    <w:rsid w:val="00215658"/>
    <w:rsid w:val="002157A2"/>
    <w:rsid w:val="00215805"/>
    <w:rsid w:val="00215B00"/>
    <w:rsid w:val="00215C0A"/>
    <w:rsid w:val="00215F6E"/>
    <w:rsid w:val="0021600A"/>
    <w:rsid w:val="002163D5"/>
    <w:rsid w:val="00216532"/>
    <w:rsid w:val="002201AF"/>
    <w:rsid w:val="0022047B"/>
    <w:rsid w:val="002206C4"/>
    <w:rsid w:val="00220A34"/>
    <w:rsid w:val="00220D7E"/>
    <w:rsid w:val="00221604"/>
    <w:rsid w:val="00221D94"/>
    <w:rsid w:val="00222087"/>
    <w:rsid w:val="002229EE"/>
    <w:rsid w:val="00222A79"/>
    <w:rsid w:val="00222BB5"/>
    <w:rsid w:val="00222D56"/>
    <w:rsid w:val="0022322D"/>
    <w:rsid w:val="00223263"/>
    <w:rsid w:val="0022352B"/>
    <w:rsid w:val="00223579"/>
    <w:rsid w:val="00223AFE"/>
    <w:rsid w:val="00223B61"/>
    <w:rsid w:val="00223BA6"/>
    <w:rsid w:val="00224317"/>
    <w:rsid w:val="0022470A"/>
    <w:rsid w:val="00224E83"/>
    <w:rsid w:val="00224EFA"/>
    <w:rsid w:val="00225CC8"/>
    <w:rsid w:val="00225DD5"/>
    <w:rsid w:val="0022678C"/>
    <w:rsid w:val="00226ACE"/>
    <w:rsid w:val="00226C1F"/>
    <w:rsid w:val="00226CAD"/>
    <w:rsid w:val="00227790"/>
    <w:rsid w:val="0022792A"/>
    <w:rsid w:val="00230148"/>
    <w:rsid w:val="00230D9A"/>
    <w:rsid w:val="00230E39"/>
    <w:rsid w:val="00231144"/>
    <w:rsid w:val="00231711"/>
    <w:rsid w:val="00231914"/>
    <w:rsid w:val="002320C4"/>
    <w:rsid w:val="0023211F"/>
    <w:rsid w:val="0023219B"/>
    <w:rsid w:val="0023249B"/>
    <w:rsid w:val="002324AB"/>
    <w:rsid w:val="002325B9"/>
    <w:rsid w:val="002326F1"/>
    <w:rsid w:val="002328BC"/>
    <w:rsid w:val="00232978"/>
    <w:rsid w:val="00233127"/>
    <w:rsid w:val="00233217"/>
    <w:rsid w:val="002332AF"/>
    <w:rsid w:val="002334B4"/>
    <w:rsid w:val="002336A0"/>
    <w:rsid w:val="00233A1D"/>
    <w:rsid w:val="00233A67"/>
    <w:rsid w:val="002342B5"/>
    <w:rsid w:val="002346DE"/>
    <w:rsid w:val="002347AC"/>
    <w:rsid w:val="00234999"/>
    <w:rsid w:val="002349D9"/>
    <w:rsid w:val="002349E6"/>
    <w:rsid w:val="00235014"/>
    <w:rsid w:val="002350F3"/>
    <w:rsid w:val="002356C3"/>
    <w:rsid w:val="00235707"/>
    <w:rsid w:val="0023582A"/>
    <w:rsid w:val="00235DD9"/>
    <w:rsid w:val="00235FCE"/>
    <w:rsid w:val="0023638F"/>
    <w:rsid w:val="002368A4"/>
    <w:rsid w:val="00236922"/>
    <w:rsid w:val="002369BC"/>
    <w:rsid w:val="00236A7A"/>
    <w:rsid w:val="00236ED3"/>
    <w:rsid w:val="00236F27"/>
    <w:rsid w:val="0023719A"/>
    <w:rsid w:val="002375AA"/>
    <w:rsid w:val="00240144"/>
    <w:rsid w:val="00240252"/>
    <w:rsid w:val="0024037E"/>
    <w:rsid w:val="00240734"/>
    <w:rsid w:val="00240991"/>
    <w:rsid w:val="00240B4E"/>
    <w:rsid w:val="00241234"/>
    <w:rsid w:val="00241749"/>
    <w:rsid w:val="00241874"/>
    <w:rsid w:val="002418AF"/>
    <w:rsid w:val="00241988"/>
    <w:rsid w:val="00241A63"/>
    <w:rsid w:val="00241F33"/>
    <w:rsid w:val="00242070"/>
    <w:rsid w:val="0024298B"/>
    <w:rsid w:val="002429F9"/>
    <w:rsid w:val="00242AEC"/>
    <w:rsid w:val="00242B27"/>
    <w:rsid w:val="00242F58"/>
    <w:rsid w:val="00243220"/>
    <w:rsid w:val="00243513"/>
    <w:rsid w:val="002436CB"/>
    <w:rsid w:val="0024433D"/>
    <w:rsid w:val="00244585"/>
    <w:rsid w:val="00244940"/>
    <w:rsid w:val="0024495A"/>
    <w:rsid w:val="00244AB6"/>
    <w:rsid w:val="00244AF2"/>
    <w:rsid w:val="002452C6"/>
    <w:rsid w:val="002453E3"/>
    <w:rsid w:val="00245587"/>
    <w:rsid w:val="0024568E"/>
    <w:rsid w:val="00246332"/>
    <w:rsid w:val="00246542"/>
    <w:rsid w:val="00246754"/>
    <w:rsid w:val="002467C1"/>
    <w:rsid w:val="00246A84"/>
    <w:rsid w:val="00246ACA"/>
    <w:rsid w:val="00246AEF"/>
    <w:rsid w:val="00246BB4"/>
    <w:rsid w:val="00246CEC"/>
    <w:rsid w:val="00247251"/>
    <w:rsid w:val="00247276"/>
    <w:rsid w:val="0024744D"/>
    <w:rsid w:val="0024757D"/>
    <w:rsid w:val="002476F8"/>
    <w:rsid w:val="00247D40"/>
    <w:rsid w:val="00247EF1"/>
    <w:rsid w:val="00247F71"/>
    <w:rsid w:val="00247F86"/>
    <w:rsid w:val="002504D4"/>
    <w:rsid w:val="002509C1"/>
    <w:rsid w:val="00250D71"/>
    <w:rsid w:val="00250F48"/>
    <w:rsid w:val="00250F9F"/>
    <w:rsid w:val="002512CF"/>
    <w:rsid w:val="00251A0A"/>
    <w:rsid w:val="00251A7D"/>
    <w:rsid w:val="00251BC7"/>
    <w:rsid w:val="00252053"/>
    <w:rsid w:val="00252436"/>
    <w:rsid w:val="002524D1"/>
    <w:rsid w:val="00252924"/>
    <w:rsid w:val="00252A98"/>
    <w:rsid w:val="00252E63"/>
    <w:rsid w:val="00253119"/>
    <w:rsid w:val="0025320F"/>
    <w:rsid w:val="00253352"/>
    <w:rsid w:val="00253484"/>
    <w:rsid w:val="002537A6"/>
    <w:rsid w:val="00253D79"/>
    <w:rsid w:val="00254389"/>
    <w:rsid w:val="00254C23"/>
    <w:rsid w:val="00254CAA"/>
    <w:rsid w:val="00256510"/>
    <w:rsid w:val="00256835"/>
    <w:rsid w:val="00256ADF"/>
    <w:rsid w:val="00256B14"/>
    <w:rsid w:val="0025749C"/>
    <w:rsid w:val="0025752C"/>
    <w:rsid w:val="002577FA"/>
    <w:rsid w:val="00257865"/>
    <w:rsid w:val="00257BD8"/>
    <w:rsid w:val="0026004E"/>
    <w:rsid w:val="0026032F"/>
    <w:rsid w:val="0026069C"/>
    <w:rsid w:val="002609A4"/>
    <w:rsid w:val="0026128E"/>
    <w:rsid w:val="002612C4"/>
    <w:rsid w:val="002619BB"/>
    <w:rsid w:val="00263224"/>
    <w:rsid w:val="0026374D"/>
    <w:rsid w:val="00263C2F"/>
    <w:rsid w:val="00263FEB"/>
    <w:rsid w:val="0026418E"/>
    <w:rsid w:val="00264501"/>
    <w:rsid w:val="002645A5"/>
    <w:rsid w:val="00264B91"/>
    <w:rsid w:val="00264BF1"/>
    <w:rsid w:val="00264DAF"/>
    <w:rsid w:val="00264DCD"/>
    <w:rsid w:val="00264F80"/>
    <w:rsid w:val="00265495"/>
    <w:rsid w:val="00265688"/>
    <w:rsid w:val="00265ABF"/>
    <w:rsid w:val="00265C10"/>
    <w:rsid w:val="00265E7D"/>
    <w:rsid w:val="002662F1"/>
    <w:rsid w:val="002664BE"/>
    <w:rsid w:val="0026654B"/>
    <w:rsid w:val="00266BB6"/>
    <w:rsid w:val="00266C96"/>
    <w:rsid w:val="0026735E"/>
    <w:rsid w:val="002676BC"/>
    <w:rsid w:val="00267CD7"/>
    <w:rsid w:val="00267ECA"/>
    <w:rsid w:val="002706C3"/>
    <w:rsid w:val="0027099C"/>
    <w:rsid w:val="00270F47"/>
    <w:rsid w:val="002712AB"/>
    <w:rsid w:val="002712EE"/>
    <w:rsid w:val="00271332"/>
    <w:rsid w:val="00271603"/>
    <w:rsid w:val="002716DC"/>
    <w:rsid w:val="00271C41"/>
    <w:rsid w:val="002720CA"/>
    <w:rsid w:val="00272DB1"/>
    <w:rsid w:val="00273836"/>
    <w:rsid w:val="00273947"/>
    <w:rsid w:val="00273AFA"/>
    <w:rsid w:val="002740A1"/>
    <w:rsid w:val="00274C7E"/>
    <w:rsid w:val="00274DB7"/>
    <w:rsid w:val="00274DDE"/>
    <w:rsid w:val="00274E21"/>
    <w:rsid w:val="00274F79"/>
    <w:rsid w:val="002752F2"/>
    <w:rsid w:val="0027538A"/>
    <w:rsid w:val="00275499"/>
    <w:rsid w:val="002754F8"/>
    <w:rsid w:val="00275812"/>
    <w:rsid w:val="00275B4B"/>
    <w:rsid w:val="002767EA"/>
    <w:rsid w:val="00276CB1"/>
    <w:rsid w:val="00276D7C"/>
    <w:rsid w:val="0027729F"/>
    <w:rsid w:val="00277391"/>
    <w:rsid w:val="00277AD6"/>
    <w:rsid w:val="00277C8B"/>
    <w:rsid w:val="00277F2D"/>
    <w:rsid w:val="002801C6"/>
    <w:rsid w:val="00280409"/>
    <w:rsid w:val="002807F5"/>
    <w:rsid w:val="00280945"/>
    <w:rsid w:val="00280D52"/>
    <w:rsid w:val="00280EB9"/>
    <w:rsid w:val="00280F55"/>
    <w:rsid w:val="00281117"/>
    <w:rsid w:val="00281955"/>
    <w:rsid w:val="00281D63"/>
    <w:rsid w:val="00281EC4"/>
    <w:rsid w:val="00282101"/>
    <w:rsid w:val="00282400"/>
    <w:rsid w:val="0028245A"/>
    <w:rsid w:val="0028294F"/>
    <w:rsid w:val="002829FD"/>
    <w:rsid w:val="00282ECC"/>
    <w:rsid w:val="00283001"/>
    <w:rsid w:val="0028325A"/>
    <w:rsid w:val="00283B16"/>
    <w:rsid w:val="00283C8A"/>
    <w:rsid w:val="00283D42"/>
    <w:rsid w:val="00283DD4"/>
    <w:rsid w:val="00284254"/>
    <w:rsid w:val="00284452"/>
    <w:rsid w:val="002844E2"/>
    <w:rsid w:val="00284582"/>
    <w:rsid w:val="002846A3"/>
    <w:rsid w:val="00284B86"/>
    <w:rsid w:val="00284F80"/>
    <w:rsid w:val="00285020"/>
    <w:rsid w:val="002850AA"/>
    <w:rsid w:val="002851FE"/>
    <w:rsid w:val="00285850"/>
    <w:rsid w:val="00285918"/>
    <w:rsid w:val="00285BC6"/>
    <w:rsid w:val="002865E0"/>
    <w:rsid w:val="00286838"/>
    <w:rsid w:val="00286A82"/>
    <w:rsid w:val="00286E90"/>
    <w:rsid w:val="00286FE4"/>
    <w:rsid w:val="00287247"/>
    <w:rsid w:val="00287314"/>
    <w:rsid w:val="002873A1"/>
    <w:rsid w:val="002877DD"/>
    <w:rsid w:val="00290098"/>
    <w:rsid w:val="002904E4"/>
    <w:rsid w:val="00291316"/>
    <w:rsid w:val="0029188B"/>
    <w:rsid w:val="00292018"/>
    <w:rsid w:val="00292219"/>
    <w:rsid w:val="00292493"/>
    <w:rsid w:val="00292D98"/>
    <w:rsid w:val="00292E4A"/>
    <w:rsid w:val="00292E78"/>
    <w:rsid w:val="00292F50"/>
    <w:rsid w:val="0029317D"/>
    <w:rsid w:val="0029358D"/>
    <w:rsid w:val="002937C0"/>
    <w:rsid w:val="00293950"/>
    <w:rsid w:val="00293BD1"/>
    <w:rsid w:val="00293D31"/>
    <w:rsid w:val="002942E6"/>
    <w:rsid w:val="00294354"/>
    <w:rsid w:val="00294456"/>
    <w:rsid w:val="002944F5"/>
    <w:rsid w:val="00294D9F"/>
    <w:rsid w:val="00294FE6"/>
    <w:rsid w:val="0029517A"/>
    <w:rsid w:val="0029518C"/>
    <w:rsid w:val="00295534"/>
    <w:rsid w:val="00295583"/>
    <w:rsid w:val="002957B0"/>
    <w:rsid w:val="00295896"/>
    <w:rsid w:val="00295A4F"/>
    <w:rsid w:val="00295EFB"/>
    <w:rsid w:val="00295FC0"/>
    <w:rsid w:val="00296114"/>
    <w:rsid w:val="00296775"/>
    <w:rsid w:val="00296AFA"/>
    <w:rsid w:val="002970EF"/>
    <w:rsid w:val="0029743C"/>
    <w:rsid w:val="00297667"/>
    <w:rsid w:val="00297682"/>
    <w:rsid w:val="002978BF"/>
    <w:rsid w:val="0029791D"/>
    <w:rsid w:val="002A0381"/>
    <w:rsid w:val="002A07A8"/>
    <w:rsid w:val="002A0900"/>
    <w:rsid w:val="002A0DD6"/>
    <w:rsid w:val="002A0E31"/>
    <w:rsid w:val="002A1172"/>
    <w:rsid w:val="002A141F"/>
    <w:rsid w:val="002A1742"/>
    <w:rsid w:val="002A185E"/>
    <w:rsid w:val="002A1C02"/>
    <w:rsid w:val="002A219F"/>
    <w:rsid w:val="002A286E"/>
    <w:rsid w:val="002A28F8"/>
    <w:rsid w:val="002A29BF"/>
    <w:rsid w:val="002A2D77"/>
    <w:rsid w:val="002A2DA2"/>
    <w:rsid w:val="002A30EF"/>
    <w:rsid w:val="002A32BB"/>
    <w:rsid w:val="002A33E0"/>
    <w:rsid w:val="002A3984"/>
    <w:rsid w:val="002A3FCB"/>
    <w:rsid w:val="002A436C"/>
    <w:rsid w:val="002A438A"/>
    <w:rsid w:val="002A4578"/>
    <w:rsid w:val="002A4713"/>
    <w:rsid w:val="002A4A33"/>
    <w:rsid w:val="002A4D6F"/>
    <w:rsid w:val="002A4E1F"/>
    <w:rsid w:val="002A510C"/>
    <w:rsid w:val="002A534F"/>
    <w:rsid w:val="002A554D"/>
    <w:rsid w:val="002A55E5"/>
    <w:rsid w:val="002A5857"/>
    <w:rsid w:val="002A5B9D"/>
    <w:rsid w:val="002A5D83"/>
    <w:rsid w:val="002A5D88"/>
    <w:rsid w:val="002A5DD3"/>
    <w:rsid w:val="002A5E83"/>
    <w:rsid w:val="002A6144"/>
    <w:rsid w:val="002A6903"/>
    <w:rsid w:val="002A6A53"/>
    <w:rsid w:val="002A6B13"/>
    <w:rsid w:val="002A6B4E"/>
    <w:rsid w:val="002A6DCF"/>
    <w:rsid w:val="002A6E74"/>
    <w:rsid w:val="002A7168"/>
    <w:rsid w:val="002A781C"/>
    <w:rsid w:val="002A785D"/>
    <w:rsid w:val="002A7D7E"/>
    <w:rsid w:val="002A7F8A"/>
    <w:rsid w:val="002B02D0"/>
    <w:rsid w:val="002B03DC"/>
    <w:rsid w:val="002B0468"/>
    <w:rsid w:val="002B0A88"/>
    <w:rsid w:val="002B0AF0"/>
    <w:rsid w:val="002B0BCF"/>
    <w:rsid w:val="002B0E2D"/>
    <w:rsid w:val="002B11E6"/>
    <w:rsid w:val="002B12FE"/>
    <w:rsid w:val="002B1341"/>
    <w:rsid w:val="002B154A"/>
    <w:rsid w:val="002B1DF6"/>
    <w:rsid w:val="002B1F01"/>
    <w:rsid w:val="002B28C7"/>
    <w:rsid w:val="002B2902"/>
    <w:rsid w:val="002B2B7F"/>
    <w:rsid w:val="002B2D99"/>
    <w:rsid w:val="002B3048"/>
    <w:rsid w:val="002B3404"/>
    <w:rsid w:val="002B3828"/>
    <w:rsid w:val="002B3B31"/>
    <w:rsid w:val="002B3DD3"/>
    <w:rsid w:val="002B3EE2"/>
    <w:rsid w:val="002B4794"/>
    <w:rsid w:val="002B4E05"/>
    <w:rsid w:val="002B5237"/>
    <w:rsid w:val="002B5AB6"/>
    <w:rsid w:val="002B5C2F"/>
    <w:rsid w:val="002B5C3A"/>
    <w:rsid w:val="002B5D6B"/>
    <w:rsid w:val="002B611A"/>
    <w:rsid w:val="002B64F4"/>
    <w:rsid w:val="002B69C3"/>
    <w:rsid w:val="002B6C75"/>
    <w:rsid w:val="002B6E62"/>
    <w:rsid w:val="002B70A4"/>
    <w:rsid w:val="002B70FA"/>
    <w:rsid w:val="002B718C"/>
    <w:rsid w:val="002B72FF"/>
    <w:rsid w:val="002B74E7"/>
    <w:rsid w:val="002B7923"/>
    <w:rsid w:val="002B7D44"/>
    <w:rsid w:val="002B7D8E"/>
    <w:rsid w:val="002C0646"/>
    <w:rsid w:val="002C0AFF"/>
    <w:rsid w:val="002C0DDA"/>
    <w:rsid w:val="002C1029"/>
    <w:rsid w:val="002C11AD"/>
    <w:rsid w:val="002C1332"/>
    <w:rsid w:val="002C13A4"/>
    <w:rsid w:val="002C25A9"/>
    <w:rsid w:val="002C28D8"/>
    <w:rsid w:val="002C2908"/>
    <w:rsid w:val="002C29BC"/>
    <w:rsid w:val="002C2A1E"/>
    <w:rsid w:val="002C2D24"/>
    <w:rsid w:val="002C2F7E"/>
    <w:rsid w:val="002C31B6"/>
    <w:rsid w:val="002C337C"/>
    <w:rsid w:val="002C3E7E"/>
    <w:rsid w:val="002C4019"/>
    <w:rsid w:val="002C4133"/>
    <w:rsid w:val="002C4855"/>
    <w:rsid w:val="002C4923"/>
    <w:rsid w:val="002C4964"/>
    <w:rsid w:val="002C5092"/>
    <w:rsid w:val="002C5184"/>
    <w:rsid w:val="002C6D0E"/>
    <w:rsid w:val="002C6FC2"/>
    <w:rsid w:val="002C73F7"/>
    <w:rsid w:val="002C7B3A"/>
    <w:rsid w:val="002C7EBE"/>
    <w:rsid w:val="002D020C"/>
    <w:rsid w:val="002D0646"/>
    <w:rsid w:val="002D09D7"/>
    <w:rsid w:val="002D1260"/>
    <w:rsid w:val="002D13A3"/>
    <w:rsid w:val="002D14A2"/>
    <w:rsid w:val="002D191F"/>
    <w:rsid w:val="002D1C15"/>
    <w:rsid w:val="002D1C19"/>
    <w:rsid w:val="002D2143"/>
    <w:rsid w:val="002D2C83"/>
    <w:rsid w:val="002D2F11"/>
    <w:rsid w:val="002D3106"/>
    <w:rsid w:val="002D33E8"/>
    <w:rsid w:val="002D34A3"/>
    <w:rsid w:val="002D3A09"/>
    <w:rsid w:val="002D3A5B"/>
    <w:rsid w:val="002D3EF6"/>
    <w:rsid w:val="002D42ED"/>
    <w:rsid w:val="002D4503"/>
    <w:rsid w:val="002D49BD"/>
    <w:rsid w:val="002D49CE"/>
    <w:rsid w:val="002D4B7C"/>
    <w:rsid w:val="002D4E28"/>
    <w:rsid w:val="002D5092"/>
    <w:rsid w:val="002D5B45"/>
    <w:rsid w:val="002D5B9F"/>
    <w:rsid w:val="002D6244"/>
    <w:rsid w:val="002D62E0"/>
    <w:rsid w:val="002D6305"/>
    <w:rsid w:val="002D65FB"/>
    <w:rsid w:val="002D69C8"/>
    <w:rsid w:val="002D7023"/>
    <w:rsid w:val="002D71AF"/>
    <w:rsid w:val="002D71CB"/>
    <w:rsid w:val="002D72B4"/>
    <w:rsid w:val="002D738E"/>
    <w:rsid w:val="002D7616"/>
    <w:rsid w:val="002D7EF5"/>
    <w:rsid w:val="002E0361"/>
    <w:rsid w:val="002E086F"/>
    <w:rsid w:val="002E0913"/>
    <w:rsid w:val="002E0EB0"/>
    <w:rsid w:val="002E0ED9"/>
    <w:rsid w:val="002E1206"/>
    <w:rsid w:val="002E1A68"/>
    <w:rsid w:val="002E1EEB"/>
    <w:rsid w:val="002E22B7"/>
    <w:rsid w:val="002E2441"/>
    <w:rsid w:val="002E254F"/>
    <w:rsid w:val="002E2BAC"/>
    <w:rsid w:val="002E2C0D"/>
    <w:rsid w:val="002E32B7"/>
    <w:rsid w:val="002E3829"/>
    <w:rsid w:val="002E3A0D"/>
    <w:rsid w:val="002E3BA9"/>
    <w:rsid w:val="002E4172"/>
    <w:rsid w:val="002E4781"/>
    <w:rsid w:val="002E4847"/>
    <w:rsid w:val="002E4FAE"/>
    <w:rsid w:val="002E5091"/>
    <w:rsid w:val="002E5250"/>
    <w:rsid w:val="002E52DA"/>
    <w:rsid w:val="002E5DE8"/>
    <w:rsid w:val="002E5F83"/>
    <w:rsid w:val="002E6765"/>
    <w:rsid w:val="002E6979"/>
    <w:rsid w:val="002E7021"/>
    <w:rsid w:val="002E7039"/>
    <w:rsid w:val="002E70CC"/>
    <w:rsid w:val="002E79CD"/>
    <w:rsid w:val="002E7C9B"/>
    <w:rsid w:val="002E7D83"/>
    <w:rsid w:val="002E7E08"/>
    <w:rsid w:val="002E7F0D"/>
    <w:rsid w:val="002F0131"/>
    <w:rsid w:val="002F057F"/>
    <w:rsid w:val="002F1196"/>
    <w:rsid w:val="002F16F4"/>
    <w:rsid w:val="002F1BD5"/>
    <w:rsid w:val="002F1F43"/>
    <w:rsid w:val="002F289B"/>
    <w:rsid w:val="002F28C2"/>
    <w:rsid w:val="002F2B07"/>
    <w:rsid w:val="002F2B74"/>
    <w:rsid w:val="002F2E99"/>
    <w:rsid w:val="002F35D2"/>
    <w:rsid w:val="002F3878"/>
    <w:rsid w:val="002F3DE2"/>
    <w:rsid w:val="002F3EA6"/>
    <w:rsid w:val="002F4B21"/>
    <w:rsid w:val="002F4D11"/>
    <w:rsid w:val="002F4D75"/>
    <w:rsid w:val="002F51A8"/>
    <w:rsid w:val="002F549C"/>
    <w:rsid w:val="002F55B6"/>
    <w:rsid w:val="002F5815"/>
    <w:rsid w:val="002F589E"/>
    <w:rsid w:val="002F591A"/>
    <w:rsid w:val="002F6385"/>
    <w:rsid w:val="002F6917"/>
    <w:rsid w:val="002F6991"/>
    <w:rsid w:val="002F6B00"/>
    <w:rsid w:val="002F6B7E"/>
    <w:rsid w:val="002F7101"/>
    <w:rsid w:val="002F7229"/>
    <w:rsid w:val="002F771C"/>
    <w:rsid w:val="002F77CE"/>
    <w:rsid w:val="002F798C"/>
    <w:rsid w:val="002F7B2A"/>
    <w:rsid w:val="002F7EE6"/>
    <w:rsid w:val="00300062"/>
    <w:rsid w:val="003009BA"/>
    <w:rsid w:val="00300B87"/>
    <w:rsid w:val="003010DA"/>
    <w:rsid w:val="00301453"/>
    <w:rsid w:val="00301A43"/>
    <w:rsid w:val="00302090"/>
    <w:rsid w:val="00302105"/>
    <w:rsid w:val="00302498"/>
    <w:rsid w:val="00302643"/>
    <w:rsid w:val="003026E3"/>
    <w:rsid w:val="00302CC2"/>
    <w:rsid w:val="00302F67"/>
    <w:rsid w:val="00303023"/>
    <w:rsid w:val="0030334A"/>
    <w:rsid w:val="003034F0"/>
    <w:rsid w:val="00303817"/>
    <w:rsid w:val="003038DA"/>
    <w:rsid w:val="00303AA0"/>
    <w:rsid w:val="00303B82"/>
    <w:rsid w:val="00303F4E"/>
    <w:rsid w:val="003040F2"/>
    <w:rsid w:val="00304F03"/>
    <w:rsid w:val="00304F2E"/>
    <w:rsid w:val="00305019"/>
    <w:rsid w:val="00305410"/>
    <w:rsid w:val="0030576F"/>
    <w:rsid w:val="0030578F"/>
    <w:rsid w:val="0030595E"/>
    <w:rsid w:val="003059FC"/>
    <w:rsid w:val="00306907"/>
    <w:rsid w:val="00306AE6"/>
    <w:rsid w:val="00306F72"/>
    <w:rsid w:val="003070EB"/>
    <w:rsid w:val="00307C68"/>
    <w:rsid w:val="003107E0"/>
    <w:rsid w:val="00310AF1"/>
    <w:rsid w:val="00310B50"/>
    <w:rsid w:val="0031168F"/>
    <w:rsid w:val="003116AA"/>
    <w:rsid w:val="003117E1"/>
    <w:rsid w:val="003117FE"/>
    <w:rsid w:val="00311E58"/>
    <w:rsid w:val="00312004"/>
    <w:rsid w:val="00312FD5"/>
    <w:rsid w:val="00313102"/>
    <w:rsid w:val="003131A6"/>
    <w:rsid w:val="003134F7"/>
    <w:rsid w:val="003136DF"/>
    <w:rsid w:val="00313E74"/>
    <w:rsid w:val="00313F36"/>
    <w:rsid w:val="00313FED"/>
    <w:rsid w:val="00314398"/>
    <w:rsid w:val="00314662"/>
    <w:rsid w:val="0031492F"/>
    <w:rsid w:val="00315208"/>
    <w:rsid w:val="0031534B"/>
    <w:rsid w:val="0031598E"/>
    <w:rsid w:val="00315A5D"/>
    <w:rsid w:val="00315C80"/>
    <w:rsid w:val="00316288"/>
    <w:rsid w:val="00316423"/>
    <w:rsid w:val="00316E5D"/>
    <w:rsid w:val="0031747A"/>
    <w:rsid w:val="003176C5"/>
    <w:rsid w:val="00317FDC"/>
    <w:rsid w:val="00320174"/>
    <w:rsid w:val="00320282"/>
    <w:rsid w:val="00320D8D"/>
    <w:rsid w:val="00320E91"/>
    <w:rsid w:val="00321063"/>
    <w:rsid w:val="00321754"/>
    <w:rsid w:val="00321BDB"/>
    <w:rsid w:val="00321E4A"/>
    <w:rsid w:val="00321E63"/>
    <w:rsid w:val="00321FF4"/>
    <w:rsid w:val="003220AE"/>
    <w:rsid w:val="003220D4"/>
    <w:rsid w:val="00322370"/>
    <w:rsid w:val="00322817"/>
    <w:rsid w:val="003229F5"/>
    <w:rsid w:val="00322BC7"/>
    <w:rsid w:val="00323076"/>
    <w:rsid w:val="00323229"/>
    <w:rsid w:val="0032348F"/>
    <w:rsid w:val="00323505"/>
    <w:rsid w:val="003235E2"/>
    <w:rsid w:val="0032397F"/>
    <w:rsid w:val="00323AF7"/>
    <w:rsid w:val="00323C39"/>
    <w:rsid w:val="00323D8C"/>
    <w:rsid w:val="00323FD7"/>
    <w:rsid w:val="00324118"/>
    <w:rsid w:val="003244FC"/>
    <w:rsid w:val="00324563"/>
    <w:rsid w:val="003248DA"/>
    <w:rsid w:val="00324A7D"/>
    <w:rsid w:val="00324B26"/>
    <w:rsid w:val="00324FF7"/>
    <w:rsid w:val="003251C9"/>
    <w:rsid w:val="0032562A"/>
    <w:rsid w:val="00325687"/>
    <w:rsid w:val="0032569D"/>
    <w:rsid w:val="00325AC9"/>
    <w:rsid w:val="00325ECB"/>
    <w:rsid w:val="00326037"/>
    <w:rsid w:val="00326099"/>
    <w:rsid w:val="00326620"/>
    <w:rsid w:val="00326F73"/>
    <w:rsid w:val="0032730E"/>
    <w:rsid w:val="00327EBD"/>
    <w:rsid w:val="003302D8"/>
    <w:rsid w:val="00330B9D"/>
    <w:rsid w:val="00330BD2"/>
    <w:rsid w:val="00330D6D"/>
    <w:rsid w:val="00330DF3"/>
    <w:rsid w:val="00330FAC"/>
    <w:rsid w:val="003310F2"/>
    <w:rsid w:val="0033124E"/>
    <w:rsid w:val="00331324"/>
    <w:rsid w:val="00331706"/>
    <w:rsid w:val="00331830"/>
    <w:rsid w:val="00331ACA"/>
    <w:rsid w:val="0033214A"/>
    <w:rsid w:val="003325D2"/>
    <w:rsid w:val="00332F36"/>
    <w:rsid w:val="00332FED"/>
    <w:rsid w:val="003331B9"/>
    <w:rsid w:val="0033325C"/>
    <w:rsid w:val="00333482"/>
    <w:rsid w:val="003334B2"/>
    <w:rsid w:val="00333A52"/>
    <w:rsid w:val="00333B80"/>
    <w:rsid w:val="0033445E"/>
    <w:rsid w:val="00334773"/>
    <w:rsid w:val="00334939"/>
    <w:rsid w:val="00334A35"/>
    <w:rsid w:val="00334DA5"/>
    <w:rsid w:val="00335C41"/>
    <w:rsid w:val="00335E06"/>
    <w:rsid w:val="00336050"/>
    <w:rsid w:val="003361D3"/>
    <w:rsid w:val="00336C1A"/>
    <w:rsid w:val="00337164"/>
    <w:rsid w:val="003371E4"/>
    <w:rsid w:val="00337AAA"/>
    <w:rsid w:val="00337BA8"/>
    <w:rsid w:val="00340095"/>
    <w:rsid w:val="00340226"/>
    <w:rsid w:val="00340750"/>
    <w:rsid w:val="00340D80"/>
    <w:rsid w:val="00341024"/>
    <w:rsid w:val="003410D7"/>
    <w:rsid w:val="003412EA"/>
    <w:rsid w:val="00341BC0"/>
    <w:rsid w:val="00341D61"/>
    <w:rsid w:val="00342027"/>
    <w:rsid w:val="003420BD"/>
    <w:rsid w:val="0034225E"/>
    <w:rsid w:val="003422A6"/>
    <w:rsid w:val="003425A6"/>
    <w:rsid w:val="003425D9"/>
    <w:rsid w:val="003427B3"/>
    <w:rsid w:val="0034285A"/>
    <w:rsid w:val="00342EE8"/>
    <w:rsid w:val="00343037"/>
    <w:rsid w:val="00343187"/>
    <w:rsid w:val="0034351D"/>
    <w:rsid w:val="003435F1"/>
    <w:rsid w:val="003437A7"/>
    <w:rsid w:val="0034381B"/>
    <w:rsid w:val="00343BFE"/>
    <w:rsid w:val="00343D8D"/>
    <w:rsid w:val="00344078"/>
    <w:rsid w:val="003440A3"/>
    <w:rsid w:val="00344551"/>
    <w:rsid w:val="00344855"/>
    <w:rsid w:val="00344956"/>
    <w:rsid w:val="00344B8F"/>
    <w:rsid w:val="00344FDA"/>
    <w:rsid w:val="00345CAD"/>
    <w:rsid w:val="003461F6"/>
    <w:rsid w:val="00346508"/>
    <w:rsid w:val="0034677F"/>
    <w:rsid w:val="00346A1F"/>
    <w:rsid w:val="00346CC3"/>
    <w:rsid w:val="00346CD1"/>
    <w:rsid w:val="00346E9A"/>
    <w:rsid w:val="00346F37"/>
    <w:rsid w:val="0034782F"/>
    <w:rsid w:val="00347907"/>
    <w:rsid w:val="003479FE"/>
    <w:rsid w:val="00347CE7"/>
    <w:rsid w:val="0035009E"/>
    <w:rsid w:val="00350439"/>
    <w:rsid w:val="00350696"/>
    <w:rsid w:val="00350850"/>
    <w:rsid w:val="003508B8"/>
    <w:rsid w:val="00350C03"/>
    <w:rsid w:val="00350C7D"/>
    <w:rsid w:val="00350DFC"/>
    <w:rsid w:val="003512EB"/>
    <w:rsid w:val="00351689"/>
    <w:rsid w:val="003518A2"/>
    <w:rsid w:val="003519C6"/>
    <w:rsid w:val="00351D08"/>
    <w:rsid w:val="00351D88"/>
    <w:rsid w:val="00351EDC"/>
    <w:rsid w:val="00351F65"/>
    <w:rsid w:val="003523F4"/>
    <w:rsid w:val="00352567"/>
    <w:rsid w:val="003526FC"/>
    <w:rsid w:val="0035281C"/>
    <w:rsid w:val="00352CFD"/>
    <w:rsid w:val="00352E25"/>
    <w:rsid w:val="0035301F"/>
    <w:rsid w:val="0035334C"/>
    <w:rsid w:val="00353723"/>
    <w:rsid w:val="00354122"/>
    <w:rsid w:val="0035422F"/>
    <w:rsid w:val="003544A9"/>
    <w:rsid w:val="00354829"/>
    <w:rsid w:val="00354A92"/>
    <w:rsid w:val="00355530"/>
    <w:rsid w:val="00355E62"/>
    <w:rsid w:val="00355EEE"/>
    <w:rsid w:val="00356235"/>
    <w:rsid w:val="0035673D"/>
    <w:rsid w:val="00356C97"/>
    <w:rsid w:val="003571F2"/>
    <w:rsid w:val="003572BD"/>
    <w:rsid w:val="003575AA"/>
    <w:rsid w:val="00357668"/>
    <w:rsid w:val="0035786B"/>
    <w:rsid w:val="00357C66"/>
    <w:rsid w:val="00357F06"/>
    <w:rsid w:val="00357FCE"/>
    <w:rsid w:val="00360328"/>
    <w:rsid w:val="003606B7"/>
    <w:rsid w:val="00360908"/>
    <w:rsid w:val="00360967"/>
    <w:rsid w:val="00360F03"/>
    <w:rsid w:val="00361178"/>
    <w:rsid w:val="00361570"/>
    <w:rsid w:val="00361668"/>
    <w:rsid w:val="00361758"/>
    <w:rsid w:val="00361DB9"/>
    <w:rsid w:val="003620A6"/>
    <w:rsid w:val="00362187"/>
    <w:rsid w:val="0036218A"/>
    <w:rsid w:val="00362206"/>
    <w:rsid w:val="003622D2"/>
    <w:rsid w:val="00362A85"/>
    <w:rsid w:val="00362BC3"/>
    <w:rsid w:val="00362F3A"/>
    <w:rsid w:val="00362FE5"/>
    <w:rsid w:val="003631E9"/>
    <w:rsid w:val="0036323B"/>
    <w:rsid w:val="003632DE"/>
    <w:rsid w:val="00363575"/>
    <w:rsid w:val="003636B3"/>
    <w:rsid w:val="0036386F"/>
    <w:rsid w:val="00363937"/>
    <w:rsid w:val="00364311"/>
    <w:rsid w:val="00364993"/>
    <w:rsid w:val="003649D9"/>
    <w:rsid w:val="003651ED"/>
    <w:rsid w:val="00365652"/>
    <w:rsid w:val="00365668"/>
    <w:rsid w:val="003663AA"/>
    <w:rsid w:val="00366471"/>
    <w:rsid w:val="00366569"/>
    <w:rsid w:val="0036722B"/>
    <w:rsid w:val="0036730D"/>
    <w:rsid w:val="0036755B"/>
    <w:rsid w:val="00367588"/>
    <w:rsid w:val="00367C6E"/>
    <w:rsid w:val="003701AD"/>
    <w:rsid w:val="00370423"/>
    <w:rsid w:val="0037086B"/>
    <w:rsid w:val="003710EA"/>
    <w:rsid w:val="003713E4"/>
    <w:rsid w:val="00371695"/>
    <w:rsid w:val="003716F4"/>
    <w:rsid w:val="00371745"/>
    <w:rsid w:val="003718E3"/>
    <w:rsid w:val="00371CFF"/>
    <w:rsid w:val="003720C5"/>
    <w:rsid w:val="003724E0"/>
    <w:rsid w:val="0037294E"/>
    <w:rsid w:val="00372ABE"/>
    <w:rsid w:val="00372ACC"/>
    <w:rsid w:val="00372ADA"/>
    <w:rsid w:val="00372B10"/>
    <w:rsid w:val="00372D3F"/>
    <w:rsid w:val="00372D4F"/>
    <w:rsid w:val="00372E2C"/>
    <w:rsid w:val="003736C6"/>
    <w:rsid w:val="00373BB5"/>
    <w:rsid w:val="00373C09"/>
    <w:rsid w:val="00373D3A"/>
    <w:rsid w:val="00373EF6"/>
    <w:rsid w:val="00374134"/>
    <w:rsid w:val="003744DE"/>
    <w:rsid w:val="00374613"/>
    <w:rsid w:val="00374701"/>
    <w:rsid w:val="00374872"/>
    <w:rsid w:val="00374F52"/>
    <w:rsid w:val="003751CB"/>
    <w:rsid w:val="00375461"/>
    <w:rsid w:val="00375528"/>
    <w:rsid w:val="00375D69"/>
    <w:rsid w:val="00375DBD"/>
    <w:rsid w:val="0037618C"/>
    <w:rsid w:val="003761DB"/>
    <w:rsid w:val="00376422"/>
    <w:rsid w:val="003764DE"/>
    <w:rsid w:val="0037696A"/>
    <w:rsid w:val="00376F42"/>
    <w:rsid w:val="00377686"/>
    <w:rsid w:val="00377D61"/>
    <w:rsid w:val="00377F2D"/>
    <w:rsid w:val="00380875"/>
    <w:rsid w:val="00380902"/>
    <w:rsid w:val="00380AAB"/>
    <w:rsid w:val="00380CDB"/>
    <w:rsid w:val="0038115F"/>
    <w:rsid w:val="00381198"/>
    <w:rsid w:val="003814D5"/>
    <w:rsid w:val="0038170A"/>
    <w:rsid w:val="00381859"/>
    <w:rsid w:val="00381A2F"/>
    <w:rsid w:val="00381E4E"/>
    <w:rsid w:val="00382019"/>
    <w:rsid w:val="0038288F"/>
    <w:rsid w:val="00382AA9"/>
    <w:rsid w:val="00383262"/>
    <w:rsid w:val="00383273"/>
    <w:rsid w:val="003833FE"/>
    <w:rsid w:val="00383402"/>
    <w:rsid w:val="00383536"/>
    <w:rsid w:val="003835BE"/>
    <w:rsid w:val="00383ADD"/>
    <w:rsid w:val="00383EC4"/>
    <w:rsid w:val="00384BF4"/>
    <w:rsid w:val="00384C7C"/>
    <w:rsid w:val="00385060"/>
    <w:rsid w:val="0038508B"/>
    <w:rsid w:val="003850F9"/>
    <w:rsid w:val="003851CF"/>
    <w:rsid w:val="003853AA"/>
    <w:rsid w:val="00385439"/>
    <w:rsid w:val="0038566E"/>
    <w:rsid w:val="00385A75"/>
    <w:rsid w:val="00385DCC"/>
    <w:rsid w:val="00385EEE"/>
    <w:rsid w:val="003862E3"/>
    <w:rsid w:val="00386C31"/>
    <w:rsid w:val="00387420"/>
    <w:rsid w:val="00387C0B"/>
    <w:rsid w:val="00390119"/>
    <w:rsid w:val="003904B3"/>
    <w:rsid w:val="00390969"/>
    <w:rsid w:val="00390D1F"/>
    <w:rsid w:val="00390F00"/>
    <w:rsid w:val="00390F78"/>
    <w:rsid w:val="00391396"/>
    <w:rsid w:val="003918A6"/>
    <w:rsid w:val="00391ABA"/>
    <w:rsid w:val="003920AA"/>
    <w:rsid w:val="003922B2"/>
    <w:rsid w:val="003922CC"/>
    <w:rsid w:val="00392300"/>
    <w:rsid w:val="00392379"/>
    <w:rsid w:val="00392BF2"/>
    <w:rsid w:val="00392EB0"/>
    <w:rsid w:val="003934D7"/>
    <w:rsid w:val="00393710"/>
    <w:rsid w:val="00393B1E"/>
    <w:rsid w:val="00393B73"/>
    <w:rsid w:val="00393CFA"/>
    <w:rsid w:val="00393D55"/>
    <w:rsid w:val="00394A24"/>
    <w:rsid w:val="003950C6"/>
    <w:rsid w:val="00395626"/>
    <w:rsid w:val="00395759"/>
    <w:rsid w:val="00395D27"/>
    <w:rsid w:val="0039638A"/>
    <w:rsid w:val="0039645C"/>
    <w:rsid w:val="003967D3"/>
    <w:rsid w:val="00396BD1"/>
    <w:rsid w:val="0039700F"/>
    <w:rsid w:val="00397567"/>
    <w:rsid w:val="003976ED"/>
    <w:rsid w:val="00397893"/>
    <w:rsid w:val="00397C1A"/>
    <w:rsid w:val="00397D15"/>
    <w:rsid w:val="003A0219"/>
    <w:rsid w:val="003A07CD"/>
    <w:rsid w:val="003A0A10"/>
    <w:rsid w:val="003A0B4F"/>
    <w:rsid w:val="003A0D03"/>
    <w:rsid w:val="003A10D7"/>
    <w:rsid w:val="003A154A"/>
    <w:rsid w:val="003A19D6"/>
    <w:rsid w:val="003A1A78"/>
    <w:rsid w:val="003A2279"/>
    <w:rsid w:val="003A26E8"/>
    <w:rsid w:val="003A2781"/>
    <w:rsid w:val="003A2CFA"/>
    <w:rsid w:val="003A2DD9"/>
    <w:rsid w:val="003A2F7E"/>
    <w:rsid w:val="003A326A"/>
    <w:rsid w:val="003A32D9"/>
    <w:rsid w:val="003A33B9"/>
    <w:rsid w:val="003A3C51"/>
    <w:rsid w:val="003A3C83"/>
    <w:rsid w:val="003A3FE8"/>
    <w:rsid w:val="003A4468"/>
    <w:rsid w:val="003A4637"/>
    <w:rsid w:val="003A4F76"/>
    <w:rsid w:val="003A518C"/>
    <w:rsid w:val="003A529B"/>
    <w:rsid w:val="003A54F3"/>
    <w:rsid w:val="003A5629"/>
    <w:rsid w:val="003A5A15"/>
    <w:rsid w:val="003A603A"/>
    <w:rsid w:val="003A64C0"/>
    <w:rsid w:val="003A6CBB"/>
    <w:rsid w:val="003A6DA8"/>
    <w:rsid w:val="003A6EFF"/>
    <w:rsid w:val="003A710A"/>
    <w:rsid w:val="003A71CD"/>
    <w:rsid w:val="003A7428"/>
    <w:rsid w:val="003A747D"/>
    <w:rsid w:val="003A75CB"/>
    <w:rsid w:val="003A7745"/>
    <w:rsid w:val="003A7A72"/>
    <w:rsid w:val="003B02DE"/>
    <w:rsid w:val="003B043B"/>
    <w:rsid w:val="003B06D4"/>
    <w:rsid w:val="003B0AA8"/>
    <w:rsid w:val="003B0CD6"/>
    <w:rsid w:val="003B0DC0"/>
    <w:rsid w:val="003B0E20"/>
    <w:rsid w:val="003B0F03"/>
    <w:rsid w:val="003B123F"/>
    <w:rsid w:val="003B151E"/>
    <w:rsid w:val="003B15FC"/>
    <w:rsid w:val="003B218C"/>
    <w:rsid w:val="003B288E"/>
    <w:rsid w:val="003B29CA"/>
    <w:rsid w:val="003B2A04"/>
    <w:rsid w:val="003B2EAB"/>
    <w:rsid w:val="003B2FC0"/>
    <w:rsid w:val="003B3368"/>
    <w:rsid w:val="003B350E"/>
    <w:rsid w:val="003B369F"/>
    <w:rsid w:val="003B39AA"/>
    <w:rsid w:val="003B3D5F"/>
    <w:rsid w:val="003B3E3A"/>
    <w:rsid w:val="003B3E97"/>
    <w:rsid w:val="003B4901"/>
    <w:rsid w:val="003B534A"/>
    <w:rsid w:val="003B5368"/>
    <w:rsid w:val="003B5B8D"/>
    <w:rsid w:val="003B5EAA"/>
    <w:rsid w:val="003B5ED0"/>
    <w:rsid w:val="003B6868"/>
    <w:rsid w:val="003B698D"/>
    <w:rsid w:val="003B69AB"/>
    <w:rsid w:val="003B6FD7"/>
    <w:rsid w:val="003B71CD"/>
    <w:rsid w:val="003B7AE7"/>
    <w:rsid w:val="003B7B4C"/>
    <w:rsid w:val="003B7CA4"/>
    <w:rsid w:val="003B7F81"/>
    <w:rsid w:val="003B7FE9"/>
    <w:rsid w:val="003C003C"/>
    <w:rsid w:val="003C012E"/>
    <w:rsid w:val="003C03F8"/>
    <w:rsid w:val="003C2221"/>
    <w:rsid w:val="003C22B7"/>
    <w:rsid w:val="003C31AC"/>
    <w:rsid w:val="003C3787"/>
    <w:rsid w:val="003C3C2A"/>
    <w:rsid w:val="003C3CBA"/>
    <w:rsid w:val="003C4185"/>
    <w:rsid w:val="003C4B01"/>
    <w:rsid w:val="003C5B05"/>
    <w:rsid w:val="003C5CF1"/>
    <w:rsid w:val="003C5E32"/>
    <w:rsid w:val="003C6218"/>
    <w:rsid w:val="003C6310"/>
    <w:rsid w:val="003C63E7"/>
    <w:rsid w:val="003C66E6"/>
    <w:rsid w:val="003C680A"/>
    <w:rsid w:val="003C69C7"/>
    <w:rsid w:val="003C6DAE"/>
    <w:rsid w:val="003C7100"/>
    <w:rsid w:val="003C7340"/>
    <w:rsid w:val="003C7791"/>
    <w:rsid w:val="003C77B4"/>
    <w:rsid w:val="003C78A2"/>
    <w:rsid w:val="003C7BDA"/>
    <w:rsid w:val="003D02A4"/>
    <w:rsid w:val="003D03FA"/>
    <w:rsid w:val="003D0B99"/>
    <w:rsid w:val="003D11EA"/>
    <w:rsid w:val="003D12B9"/>
    <w:rsid w:val="003D1607"/>
    <w:rsid w:val="003D17E5"/>
    <w:rsid w:val="003D1C38"/>
    <w:rsid w:val="003D1FCE"/>
    <w:rsid w:val="003D1FD0"/>
    <w:rsid w:val="003D226C"/>
    <w:rsid w:val="003D2368"/>
    <w:rsid w:val="003D246E"/>
    <w:rsid w:val="003D270A"/>
    <w:rsid w:val="003D271D"/>
    <w:rsid w:val="003D2A94"/>
    <w:rsid w:val="003D2C98"/>
    <w:rsid w:val="003D2F20"/>
    <w:rsid w:val="003D3ABA"/>
    <w:rsid w:val="003D3CEE"/>
    <w:rsid w:val="003D3D76"/>
    <w:rsid w:val="003D4181"/>
    <w:rsid w:val="003D44FE"/>
    <w:rsid w:val="003D458E"/>
    <w:rsid w:val="003D4DFE"/>
    <w:rsid w:val="003D50DF"/>
    <w:rsid w:val="003D53CA"/>
    <w:rsid w:val="003D5BA4"/>
    <w:rsid w:val="003D6819"/>
    <w:rsid w:val="003E0285"/>
    <w:rsid w:val="003E0359"/>
    <w:rsid w:val="003E0525"/>
    <w:rsid w:val="003E05B9"/>
    <w:rsid w:val="003E0A40"/>
    <w:rsid w:val="003E0B27"/>
    <w:rsid w:val="003E0C65"/>
    <w:rsid w:val="003E0DB7"/>
    <w:rsid w:val="003E15FA"/>
    <w:rsid w:val="003E16DC"/>
    <w:rsid w:val="003E1E06"/>
    <w:rsid w:val="003E24CB"/>
    <w:rsid w:val="003E283F"/>
    <w:rsid w:val="003E3B26"/>
    <w:rsid w:val="003E3E41"/>
    <w:rsid w:val="003E443F"/>
    <w:rsid w:val="003E477B"/>
    <w:rsid w:val="003E4A65"/>
    <w:rsid w:val="003E4BC6"/>
    <w:rsid w:val="003E53C5"/>
    <w:rsid w:val="003E5983"/>
    <w:rsid w:val="003E5F0F"/>
    <w:rsid w:val="003E5F7D"/>
    <w:rsid w:val="003E631B"/>
    <w:rsid w:val="003E6458"/>
    <w:rsid w:val="003E65F0"/>
    <w:rsid w:val="003E6BAB"/>
    <w:rsid w:val="003E6DF9"/>
    <w:rsid w:val="003E7468"/>
    <w:rsid w:val="003E7DDD"/>
    <w:rsid w:val="003F0140"/>
    <w:rsid w:val="003F01EC"/>
    <w:rsid w:val="003F061C"/>
    <w:rsid w:val="003F0DBB"/>
    <w:rsid w:val="003F106C"/>
    <w:rsid w:val="003F118E"/>
    <w:rsid w:val="003F1328"/>
    <w:rsid w:val="003F1354"/>
    <w:rsid w:val="003F1577"/>
    <w:rsid w:val="003F1611"/>
    <w:rsid w:val="003F1BE8"/>
    <w:rsid w:val="003F22A9"/>
    <w:rsid w:val="003F3078"/>
    <w:rsid w:val="003F40FC"/>
    <w:rsid w:val="003F414E"/>
    <w:rsid w:val="003F4705"/>
    <w:rsid w:val="003F4711"/>
    <w:rsid w:val="003F485F"/>
    <w:rsid w:val="003F504A"/>
    <w:rsid w:val="003F566A"/>
    <w:rsid w:val="003F5A26"/>
    <w:rsid w:val="003F5C39"/>
    <w:rsid w:val="003F66EF"/>
    <w:rsid w:val="003F67C6"/>
    <w:rsid w:val="003F6A3F"/>
    <w:rsid w:val="003F6BA4"/>
    <w:rsid w:val="003F6BBE"/>
    <w:rsid w:val="003F6E8A"/>
    <w:rsid w:val="003F7303"/>
    <w:rsid w:val="003F73E0"/>
    <w:rsid w:val="003F7557"/>
    <w:rsid w:val="003F7C8C"/>
    <w:rsid w:val="004002FB"/>
    <w:rsid w:val="0040058E"/>
    <w:rsid w:val="004005F3"/>
    <w:rsid w:val="004006D7"/>
    <w:rsid w:val="0040075A"/>
    <w:rsid w:val="00400A39"/>
    <w:rsid w:val="00400B9A"/>
    <w:rsid w:val="004011B0"/>
    <w:rsid w:val="004016D4"/>
    <w:rsid w:val="004017F1"/>
    <w:rsid w:val="00401C70"/>
    <w:rsid w:val="00401CED"/>
    <w:rsid w:val="00401E04"/>
    <w:rsid w:val="00401F5D"/>
    <w:rsid w:val="00401FC6"/>
    <w:rsid w:val="004020DE"/>
    <w:rsid w:val="00402BE9"/>
    <w:rsid w:val="00402C50"/>
    <w:rsid w:val="00402E3D"/>
    <w:rsid w:val="00403611"/>
    <w:rsid w:val="00403787"/>
    <w:rsid w:val="004037ED"/>
    <w:rsid w:val="00403B48"/>
    <w:rsid w:val="00403D97"/>
    <w:rsid w:val="004040F8"/>
    <w:rsid w:val="004041A4"/>
    <w:rsid w:val="004045C4"/>
    <w:rsid w:val="0040485D"/>
    <w:rsid w:val="00404AA7"/>
    <w:rsid w:val="0040552E"/>
    <w:rsid w:val="00405575"/>
    <w:rsid w:val="0040558C"/>
    <w:rsid w:val="00405643"/>
    <w:rsid w:val="00406ABE"/>
    <w:rsid w:val="00406D56"/>
    <w:rsid w:val="00407995"/>
    <w:rsid w:val="004079C2"/>
    <w:rsid w:val="00407C16"/>
    <w:rsid w:val="00407DFF"/>
    <w:rsid w:val="00410757"/>
    <w:rsid w:val="00410E0A"/>
    <w:rsid w:val="00411230"/>
    <w:rsid w:val="0041136F"/>
    <w:rsid w:val="00411427"/>
    <w:rsid w:val="004114F2"/>
    <w:rsid w:val="0041173A"/>
    <w:rsid w:val="004117B2"/>
    <w:rsid w:val="00411A95"/>
    <w:rsid w:val="00411ACF"/>
    <w:rsid w:val="00411BAF"/>
    <w:rsid w:val="004120DB"/>
    <w:rsid w:val="004129A7"/>
    <w:rsid w:val="00412A3B"/>
    <w:rsid w:val="00412FC8"/>
    <w:rsid w:val="00413390"/>
    <w:rsid w:val="004134C0"/>
    <w:rsid w:val="00413E5A"/>
    <w:rsid w:val="00413FC0"/>
    <w:rsid w:val="004140B5"/>
    <w:rsid w:val="00414193"/>
    <w:rsid w:val="004144B8"/>
    <w:rsid w:val="004146C1"/>
    <w:rsid w:val="00414F98"/>
    <w:rsid w:val="0041507E"/>
    <w:rsid w:val="00415147"/>
    <w:rsid w:val="004151D4"/>
    <w:rsid w:val="004153E8"/>
    <w:rsid w:val="00415503"/>
    <w:rsid w:val="004155C0"/>
    <w:rsid w:val="0041562F"/>
    <w:rsid w:val="00415A24"/>
    <w:rsid w:val="0041626F"/>
    <w:rsid w:val="0041642F"/>
    <w:rsid w:val="0041647A"/>
    <w:rsid w:val="00416B49"/>
    <w:rsid w:val="00416CF3"/>
    <w:rsid w:val="0041744F"/>
    <w:rsid w:val="00417452"/>
    <w:rsid w:val="0041781D"/>
    <w:rsid w:val="00417A96"/>
    <w:rsid w:val="00417E9A"/>
    <w:rsid w:val="00417F3D"/>
    <w:rsid w:val="0042014F"/>
    <w:rsid w:val="004202B8"/>
    <w:rsid w:val="004203C2"/>
    <w:rsid w:val="004209BF"/>
    <w:rsid w:val="00420BCB"/>
    <w:rsid w:val="00420D90"/>
    <w:rsid w:val="00420E38"/>
    <w:rsid w:val="0042143E"/>
    <w:rsid w:val="00421ADF"/>
    <w:rsid w:val="0042207D"/>
    <w:rsid w:val="0042214B"/>
    <w:rsid w:val="00422515"/>
    <w:rsid w:val="004225EA"/>
    <w:rsid w:val="004225F7"/>
    <w:rsid w:val="00422981"/>
    <w:rsid w:val="00422DD4"/>
    <w:rsid w:val="00423036"/>
    <w:rsid w:val="0042326D"/>
    <w:rsid w:val="0042327A"/>
    <w:rsid w:val="004234A8"/>
    <w:rsid w:val="00423540"/>
    <w:rsid w:val="0042380E"/>
    <w:rsid w:val="00423B89"/>
    <w:rsid w:val="00423B9A"/>
    <w:rsid w:val="00423F1B"/>
    <w:rsid w:val="00424095"/>
    <w:rsid w:val="004242EA"/>
    <w:rsid w:val="00424E13"/>
    <w:rsid w:val="00425BB9"/>
    <w:rsid w:val="00425D2D"/>
    <w:rsid w:val="00425FA4"/>
    <w:rsid w:val="00426037"/>
    <w:rsid w:val="00426041"/>
    <w:rsid w:val="004260FF"/>
    <w:rsid w:val="00426109"/>
    <w:rsid w:val="00426BF8"/>
    <w:rsid w:val="004270B2"/>
    <w:rsid w:val="00427157"/>
    <w:rsid w:val="0042715E"/>
    <w:rsid w:val="00427D70"/>
    <w:rsid w:val="0043023E"/>
    <w:rsid w:val="00430751"/>
    <w:rsid w:val="00430DAE"/>
    <w:rsid w:val="004317B2"/>
    <w:rsid w:val="004319B9"/>
    <w:rsid w:val="00431E35"/>
    <w:rsid w:val="004322DA"/>
    <w:rsid w:val="0043255D"/>
    <w:rsid w:val="00432D7C"/>
    <w:rsid w:val="00432F65"/>
    <w:rsid w:val="004330CC"/>
    <w:rsid w:val="004333B1"/>
    <w:rsid w:val="00433CE9"/>
    <w:rsid w:val="00434195"/>
    <w:rsid w:val="004341C9"/>
    <w:rsid w:val="00434405"/>
    <w:rsid w:val="0043453E"/>
    <w:rsid w:val="00434B4D"/>
    <w:rsid w:val="00435083"/>
    <w:rsid w:val="0043551B"/>
    <w:rsid w:val="0043555A"/>
    <w:rsid w:val="0043570C"/>
    <w:rsid w:val="00435B65"/>
    <w:rsid w:val="00435C14"/>
    <w:rsid w:val="0043670C"/>
    <w:rsid w:val="00436A25"/>
    <w:rsid w:val="00436C14"/>
    <w:rsid w:val="00436CC9"/>
    <w:rsid w:val="004372A3"/>
    <w:rsid w:val="004374E7"/>
    <w:rsid w:val="004375B8"/>
    <w:rsid w:val="00437C17"/>
    <w:rsid w:val="00437DF7"/>
    <w:rsid w:val="00437EAE"/>
    <w:rsid w:val="0044006A"/>
    <w:rsid w:val="00440154"/>
    <w:rsid w:val="00440212"/>
    <w:rsid w:val="00440860"/>
    <w:rsid w:val="00441F4F"/>
    <w:rsid w:val="0044210A"/>
    <w:rsid w:val="004421D0"/>
    <w:rsid w:val="0044221C"/>
    <w:rsid w:val="00442D34"/>
    <w:rsid w:val="00442E21"/>
    <w:rsid w:val="00443161"/>
    <w:rsid w:val="00443257"/>
    <w:rsid w:val="004432A2"/>
    <w:rsid w:val="00444648"/>
    <w:rsid w:val="00444697"/>
    <w:rsid w:val="004447B5"/>
    <w:rsid w:val="00444B36"/>
    <w:rsid w:val="00445302"/>
    <w:rsid w:val="00445509"/>
    <w:rsid w:val="004456BF"/>
    <w:rsid w:val="004461A1"/>
    <w:rsid w:val="00446CF1"/>
    <w:rsid w:val="00446FAD"/>
    <w:rsid w:val="00447082"/>
    <w:rsid w:val="00447463"/>
    <w:rsid w:val="004476BA"/>
    <w:rsid w:val="00447771"/>
    <w:rsid w:val="00447CD1"/>
    <w:rsid w:val="004504A8"/>
    <w:rsid w:val="004504D2"/>
    <w:rsid w:val="004505FB"/>
    <w:rsid w:val="00450AA6"/>
    <w:rsid w:val="00450B15"/>
    <w:rsid w:val="00450BA6"/>
    <w:rsid w:val="00450EA2"/>
    <w:rsid w:val="00451416"/>
    <w:rsid w:val="00451533"/>
    <w:rsid w:val="00451584"/>
    <w:rsid w:val="004518E0"/>
    <w:rsid w:val="00451C69"/>
    <w:rsid w:val="00451E3B"/>
    <w:rsid w:val="00452026"/>
    <w:rsid w:val="004520DF"/>
    <w:rsid w:val="0045242A"/>
    <w:rsid w:val="00452764"/>
    <w:rsid w:val="00452824"/>
    <w:rsid w:val="00453105"/>
    <w:rsid w:val="00453236"/>
    <w:rsid w:val="004533FB"/>
    <w:rsid w:val="004534E8"/>
    <w:rsid w:val="004535B1"/>
    <w:rsid w:val="004537F6"/>
    <w:rsid w:val="00453FA5"/>
    <w:rsid w:val="004540CA"/>
    <w:rsid w:val="0045493B"/>
    <w:rsid w:val="00454A04"/>
    <w:rsid w:val="00454B50"/>
    <w:rsid w:val="00454B53"/>
    <w:rsid w:val="00455119"/>
    <w:rsid w:val="00455305"/>
    <w:rsid w:val="00455485"/>
    <w:rsid w:val="00455601"/>
    <w:rsid w:val="00455C23"/>
    <w:rsid w:val="00455DDE"/>
    <w:rsid w:val="004567A9"/>
    <w:rsid w:val="00456C52"/>
    <w:rsid w:val="00457233"/>
    <w:rsid w:val="00457644"/>
    <w:rsid w:val="0045770E"/>
    <w:rsid w:val="004577E8"/>
    <w:rsid w:val="0045794D"/>
    <w:rsid w:val="00457AC8"/>
    <w:rsid w:val="00457CBB"/>
    <w:rsid w:val="00457D25"/>
    <w:rsid w:val="004601C2"/>
    <w:rsid w:val="0046032F"/>
    <w:rsid w:val="0046042A"/>
    <w:rsid w:val="00460577"/>
    <w:rsid w:val="00460B96"/>
    <w:rsid w:val="00460C0B"/>
    <w:rsid w:val="0046107A"/>
    <w:rsid w:val="00462134"/>
    <w:rsid w:val="0046221A"/>
    <w:rsid w:val="0046226C"/>
    <w:rsid w:val="00462401"/>
    <w:rsid w:val="00462DCA"/>
    <w:rsid w:val="00463197"/>
    <w:rsid w:val="004634B4"/>
    <w:rsid w:val="00463BF1"/>
    <w:rsid w:val="00463F82"/>
    <w:rsid w:val="00464335"/>
    <w:rsid w:val="00464864"/>
    <w:rsid w:val="00464B8D"/>
    <w:rsid w:val="00464ED3"/>
    <w:rsid w:val="00464F93"/>
    <w:rsid w:val="0046535A"/>
    <w:rsid w:val="0046565C"/>
    <w:rsid w:val="00465E16"/>
    <w:rsid w:val="00465ECC"/>
    <w:rsid w:val="0046604B"/>
    <w:rsid w:val="0046632B"/>
    <w:rsid w:val="00466412"/>
    <w:rsid w:val="0046664D"/>
    <w:rsid w:val="004672FC"/>
    <w:rsid w:val="00467968"/>
    <w:rsid w:val="004679B9"/>
    <w:rsid w:val="00467C73"/>
    <w:rsid w:val="00467D50"/>
    <w:rsid w:val="00470292"/>
    <w:rsid w:val="004705F8"/>
    <w:rsid w:val="00470B6F"/>
    <w:rsid w:val="0047105A"/>
    <w:rsid w:val="004712AE"/>
    <w:rsid w:val="00471707"/>
    <w:rsid w:val="00471746"/>
    <w:rsid w:val="00471750"/>
    <w:rsid w:val="00471897"/>
    <w:rsid w:val="00471899"/>
    <w:rsid w:val="00471FFB"/>
    <w:rsid w:val="00472099"/>
    <w:rsid w:val="00472246"/>
    <w:rsid w:val="00473471"/>
    <w:rsid w:val="0047349C"/>
    <w:rsid w:val="00473672"/>
    <w:rsid w:val="00473694"/>
    <w:rsid w:val="00473824"/>
    <w:rsid w:val="00473A57"/>
    <w:rsid w:val="00474047"/>
    <w:rsid w:val="004740FE"/>
    <w:rsid w:val="004742DB"/>
    <w:rsid w:val="00474498"/>
    <w:rsid w:val="0047492C"/>
    <w:rsid w:val="004749AD"/>
    <w:rsid w:val="00474B0D"/>
    <w:rsid w:val="00474EF1"/>
    <w:rsid w:val="004756FD"/>
    <w:rsid w:val="0047585C"/>
    <w:rsid w:val="00475DAB"/>
    <w:rsid w:val="00476043"/>
    <w:rsid w:val="00476049"/>
    <w:rsid w:val="004764E8"/>
    <w:rsid w:val="004768BB"/>
    <w:rsid w:val="00476BEE"/>
    <w:rsid w:val="00476FDB"/>
    <w:rsid w:val="004770D8"/>
    <w:rsid w:val="004770FC"/>
    <w:rsid w:val="004771DE"/>
    <w:rsid w:val="004775DB"/>
    <w:rsid w:val="00477905"/>
    <w:rsid w:val="00477A9D"/>
    <w:rsid w:val="00477D9B"/>
    <w:rsid w:val="00477F3D"/>
    <w:rsid w:val="004800D2"/>
    <w:rsid w:val="004801B4"/>
    <w:rsid w:val="004803CE"/>
    <w:rsid w:val="004804E7"/>
    <w:rsid w:val="00480996"/>
    <w:rsid w:val="0048103A"/>
    <w:rsid w:val="00481DC3"/>
    <w:rsid w:val="00481E67"/>
    <w:rsid w:val="004828DA"/>
    <w:rsid w:val="004829FF"/>
    <w:rsid w:val="00482E2A"/>
    <w:rsid w:val="004833EA"/>
    <w:rsid w:val="00483479"/>
    <w:rsid w:val="00484042"/>
    <w:rsid w:val="00484205"/>
    <w:rsid w:val="004843AC"/>
    <w:rsid w:val="0048450C"/>
    <w:rsid w:val="00484571"/>
    <w:rsid w:val="004854B9"/>
    <w:rsid w:val="00486193"/>
    <w:rsid w:val="00486346"/>
    <w:rsid w:val="0048655A"/>
    <w:rsid w:val="004865A6"/>
    <w:rsid w:val="0048688C"/>
    <w:rsid w:val="00486AAA"/>
    <w:rsid w:val="00486C56"/>
    <w:rsid w:val="00486D05"/>
    <w:rsid w:val="00486DA9"/>
    <w:rsid w:val="00487066"/>
    <w:rsid w:val="004873C2"/>
    <w:rsid w:val="0048770F"/>
    <w:rsid w:val="004877E3"/>
    <w:rsid w:val="00487A3E"/>
    <w:rsid w:val="00487AA4"/>
    <w:rsid w:val="00487AE8"/>
    <w:rsid w:val="00487CE3"/>
    <w:rsid w:val="0049024B"/>
    <w:rsid w:val="004902DE"/>
    <w:rsid w:val="00490C78"/>
    <w:rsid w:val="00491166"/>
    <w:rsid w:val="00491E69"/>
    <w:rsid w:val="00491FA7"/>
    <w:rsid w:val="0049280F"/>
    <w:rsid w:val="00492F10"/>
    <w:rsid w:val="004931C8"/>
    <w:rsid w:val="00493B21"/>
    <w:rsid w:val="00493D78"/>
    <w:rsid w:val="00494499"/>
    <w:rsid w:val="00494562"/>
    <w:rsid w:val="004948EE"/>
    <w:rsid w:val="00494CAE"/>
    <w:rsid w:val="004957C2"/>
    <w:rsid w:val="00495851"/>
    <w:rsid w:val="00496210"/>
    <w:rsid w:val="00496316"/>
    <w:rsid w:val="00496454"/>
    <w:rsid w:val="00496939"/>
    <w:rsid w:val="00496CD2"/>
    <w:rsid w:val="00497353"/>
    <w:rsid w:val="004975E5"/>
    <w:rsid w:val="004978E1"/>
    <w:rsid w:val="00497903"/>
    <w:rsid w:val="00497FDF"/>
    <w:rsid w:val="004A029E"/>
    <w:rsid w:val="004A036C"/>
    <w:rsid w:val="004A0898"/>
    <w:rsid w:val="004A09F4"/>
    <w:rsid w:val="004A0D7B"/>
    <w:rsid w:val="004A0D9D"/>
    <w:rsid w:val="004A0EB0"/>
    <w:rsid w:val="004A1049"/>
    <w:rsid w:val="004A11AF"/>
    <w:rsid w:val="004A1A48"/>
    <w:rsid w:val="004A23D1"/>
    <w:rsid w:val="004A2628"/>
    <w:rsid w:val="004A2DB1"/>
    <w:rsid w:val="004A31BA"/>
    <w:rsid w:val="004A320F"/>
    <w:rsid w:val="004A36A0"/>
    <w:rsid w:val="004A3A70"/>
    <w:rsid w:val="004A3E05"/>
    <w:rsid w:val="004A447C"/>
    <w:rsid w:val="004A4697"/>
    <w:rsid w:val="004A4C2A"/>
    <w:rsid w:val="004A5288"/>
    <w:rsid w:val="004A5550"/>
    <w:rsid w:val="004A5591"/>
    <w:rsid w:val="004A59FB"/>
    <w:rsid w:val="004A5E2F"/>
    <w:rsid w:val="004A650F"/>
    <w:rsid w:val="004A659F"/>
    <w:rsid w:val="004A674A"/>
    <w:rsid w:val="004A684A"/>
    <w:rsid w:val="004A6BC4"/>
    <w:rsid w:val="004A6F0E"/>
    <w:rsid w:val="004A70AF"/>
    <w:rsid w:val="004A72B9"/>
    <w:rsid w:val="004A7783"/>
    <w:rsid w:val="004B006F"/>
    <w:rsid w:val="004B0188"/>
    <w:rsid w:val="004B0220"/>
    <w:rsid w:val="004B06B3"/>
    <w:rsid w:val="004B0918"/>
    <w:rsid w:val="004B0B82"/>
    <w:rsid w:val="004B0C9E"/>
    <w:rsid w:val="004B0FD0"/>
    <w:rsid w:val="004B123C"/>
    <w:rsid w:val="004B1809"/>
    <w:rsid w:val="004B219E"/>
    <w:rsid w:val="004B28A2"/>
    <w:rsid w:val="004B30F2"/>
    <w:rsid w:val="004B3255"/>
    <w:rsid w:val="004B331D"/>
    <w:rsid w:val="004B3446"/>
    <w:rsid w:val="004B354B"/>
    <w:rsid w:val="004B36CA"/>
    <w:rsid w:val="004B37A5"/>
    <w:rsid w:val="004B3803"/>
    <w:rsid w:val="004B3DDF"/>
    <w:rsid w:val="004B3F1D"/>
    <w:rsid w:val="004B3F4D"/>
    <w:rsid w:val="004B45B4"/>
    <w:rsid w:val="004B475A"/>
    <w:rsid w:val="004B4DA4"/>
    <w:rsid w:val="004B4DEC"/>
    <w:rsid w:val="004B5347"/>
    <w:rsid w:val="004B570B"/>
    <w:rsid w:val="004B5728"/>
    <w:rsid w:val="004B5769"/>
    <w:rsid w:val="004B5B99"/>
    <w:rsid w:val="004B5C0A"/>
    <w:rsid w:val="004B5C39"/>
    <w:rsid w:val="004B5CF1"/>
    <w:rsid w:val="004B5DFD"/>
    <w:rsid w:val="004B5EF3"/>
    <w:rsid w:val="004B639E"/>
    <w:rsid w:val="004B6620"/>
    <w:rsid w:val="004B76BC"/>
    <w:rsid w:val="004B784A"/>
    <w:rsid w:val="004B789D"/>
    <w:rsid w:val="004B7CE6"/>
    <w:rsid w:val="004C0108"/>
    <w:rsid w:val="004C0A0B"/>
    <w:rsid w:val="004C0A3E"/>
    <w:rsid w:val="004C1D05"/>
    <w:rsid w:val="004C2049"/>
    <w:rsid w:val="004C2077"/>
    <w:rsid w:val="004C2E83"/>
    <w:rsid w:val="004C2ED2"/>
    <w:rsid w:val="004C2F0E"/>
    <w:rsid w:val="004C2F74"/>
    <w:rsid w:val="004C3031"/>
    <w:rsid w:val="004C314A"/>
    <w:rsid w:val="004C3265"/>
    <w:rsid w:val="004C3423"/>
    <w:rsid w:val="004C353C"/>
    <w:rsid w:val="004C3577"/>
    <w:rsid w:val="004C420D"/>
    <w:rsid w:val="004C4912"/>
    <w:rsid w:val="004C4A9E"/>
    <w:rsid w:val="004C5C8B"/>
    <w:rsid w:val="004C60A7"/>
    <w:rsid w:val="004C60BA"/>
    <w:rsid w:val="004C6209"/>
    <w:rsid w:val="004C63F9"/>
    <w:rsid w:val="004C6AF2"/>
    <w:rsid w:val="004C7051"/>
    <w:rsid w:val="004C7292"/>
    <w:rsid w:val="004C73DB"/>
    <w:rsid w:val="004C75D4"/>
    <w:rsid w:val="004C765C"/>
    <w:rsid w:val="004C7D5D"/>
    <w:rsid w:val="004C7DF2"/>
    <w:rsid w:val="004D0317"/>
    <w:rsid w:val="004D0A4B"/>
    <w:rsid w:val="004D0B6D"/>
    <w:rsid w:val="004D0B9D"/>
    <w:rsid w:val="004D0E96"/>
    <w:rsid w:val="004D1548"/>
    <w:rsid w:val="004D1B50"/>
    <w:rsid w:val="004D1C3C"/>
    <w:rsid w:val="004D1CDB"/>
    <w:rsid w:val="004D1E18"/>
    <w:rsid w:val="004D1EAC"/>
    <w:rsid w:val="004D2280"/>
    <w:rsid w:val="004D23C9"/>
    <w:rsid w:val="004D2CFA"/>
    <w:rsid w:val="004D2D98"/>
    <w:rsid w:val="004D302A"/>
    <w:rsid w:val="004D3214"/>
    <w:rsid w:val="004D345A"/>
    <w:rsid w:val="004D3470"/>
    <w:rsid w:val="004D364F"/>
    <w:rsid w:val="004D370C"/>
    <w:rsid w:val="004D372A"/>
    <w:rsid w:val="004D3831"/>
    <w:rsid w:val="004D3B8C"/>
    <w:rsid w:val="004D3BD7"/>
    <w:rsid w:val="004D3DCB"/>
    <w:rsid w:val="004D3DE4"/>
    <w:rsid w:val="004D414F"/>
    <w:rsid w:val="004D4837"/>
    <w:rsid w:val="004D4B26"/>
    <w:rsid w:val="004D4D3D"/>
    <w:rsid w:val="004D5608"/>
    <w:rsid w:val="004D5C1A"/>
    <w:rsid w:val="004D5CEC"/>
    <w:rsid w:val="004D6C5B"/>
    <w:rsid w:val="004D6D08"/>
    <w:rsid w:val="004D7266"/>
    <w:rsid w:val="004D72A8"/>
    <w:rsid w:val="004D7323"/>
    <w:rsid w:val="004D7734"/>
    <w:rsid w:val="004D7B5D"/>
    <w:rsid w:val="004D7D7A"/>
    <w:rsid w:val="004E01C9"/>
    <w:rsid w:val="004E0606"/>
    <w:rsid w:val="004E0EC4"/>
    <w:rsid w:val="004E1225"/>
    <w:rsid w:val="004E1271"/>
    <w:rsid w:val="004E16C3"/>
    <w:rsid w:val="004E1B74"/>
    <w:rsid w:val="004E1E07"/>
    <w:rsid w:val="004E1E12"/>
    <w:rsid w:val="004E21BE"/>
    <w:rsid w:val="004E22ED"/>
    <w:rsid w:val="004E2FA6"/>
    <w:rsid w:val="004E330C"/>
    <w:rsid w:val="004E345B"/>
    <w:rsid w:val="004E34D5"/>
    <w:rsid w:val="004E37B4"/>
    <w:rsid w:val="004E3B93"/>
    <w:rsid w:val="004E3BBE"/>
    <w:rsid w:val="004E3BF9"/>
    <w:rsid w:val="004E453D"/>
    <w:rsid w:val="004E48B3"/>
    <w:rsid w:val="004E4CB5"/>
    <w:rsid w:val="004E4CC6"/>
    <w:rsid w:val="004E4D2C"/>
    <w:rsid w:val="004E4E9F"/>
    <w:rsid w:val="004E5037"/>
    <w:rsid w:val="004E509E"/>
    <w:rsid w:val="004E50DE"/>
    <w:rsid w:val="004E52EB"/>
    <w:rsid w:val="004E56DA"/>
    <w:rsid w:val="004E5C4F"/>
    <w:rsid w:val="004E6836"/>
    <w:rsid w:val="004E6887"/>
    <w:rsid w:val="004E7A75"/>
    <w:rsid w:val="004E7AB5"/>
    <w:rsid w:val="004E7E83"/>
    <w:rsid w:val="004F03BB"/>
    <w:rsid w:val="004F0C76"/>
    <w:rsid w:val="004F0F8E"/>
    <w:rsid w:val="004F118E"/>
    <w:rsid w:val="004F11A3"/>
    <w:rsid w:val="004F1331"/>
    <w:rsid w:val="004F184C"/>
    <w:rsid w:val="004F1D8C"/>
    <w:rsid w:val="004F27C6"/>
    <w:rsid w:val="004F292B"/>
    <w:rsid w:val="004F2C0C"/>
    <w:rsid w:val="004F2E41"/>
    <w:rsid w:val="004F31F1"/>
    <w:rsid w:val="004F3215"/>
    <w:rsid w:val="004F3402"/>
    <w:rsid w:val="004F380A"/>
    <w:rsid w:val="004F382E"/>
    <w:rsid w:val="004F413A"/>
    <w:rsid w:val="004F43FB"/>
    <w:rsid w:val="004F4684"/>
    <w:rsid w:val="004F477D"/>
    <w:rsid w:val="004F4A71"/>
    <w:rsid w:val="004F4C4E"/>
    <w:rsid w:val="004F50BE"/>
    <w:rsid w:val="004F50F3"/>
    <w:rsid w:val="004F51D3"/>
    <w:rsid w:val="004F57E7"/>
    <w:rsid w:val="004F59A2"/>
    <w:rsid w:val="004F5DC5"/>
    <w:rsid w:val="004F60F2"/>
    <w:rsid w:val="004F61CA"/>
    <w:rsid w:val="004F6499"/>
    <w:rsid w:val="004F64C7"/>
    <w:rsid w:val="004F65DE"/>
    <w:rsid w:val="004F6B8B"/>
    <w:rsid w:val="004F70FE"/>
    <w:rsid w:val="004F715F"/>
    <w:rsid w:val="004F7705"/>
    <w:rsid w:val="005000AF"/>
    <w:rsid w:val="0050020D"/>
    <w:rsid w:val="005003DC"/>
    <w:rsid w:val="00500431"/>
    <w:rsid w:val="005008FE"/>
    <w:rsid w:val="00500B08"/>
    <w:rsid w:val="00501365"/>
    <w:rsid w:val="00501444"/>
    <w:rsid w:val="005015BD"/>
    <w:rsid w:val="00501ADC"/>
    <w:rsid w:val="00501F95"/>
    <w:rsid w:val="00502382"/>
    <w:rsid w:val="00502833"/>
    <w:rsid w:val="005028EA"/>
    <w:rsid w:val="00502AC0"/>
    <w:rsid w:val="00502C68"/>
    <w:rsid w:val="005035F9"/>
    <w:rsid w:val="00503789"/>
    <w:rsid w:val="0050399B"/>
    <w:rsid w:val="005039D2"/>
    <w:rsid w:val="00504469"/>
    <w:rsid w:val="0050455F"/>
    <w:rsid w:val="005046E0"/>
    <w:rsid w:val="00504A8E"/>
    <w:rsid w:val="00504CC1"/>
    <w:rsid w:val="00504FC3"/>
    <w:rsid w:val="0050563B"/>
    <w:rsid w:val="0050564F"/>
    <w:rsid w:val="005058BE"/>
    <w:rsid w:val="00505D61"/>
    <w:rsid w:val="00505DB7"/>
    <w:rsid w:val="00506042"/>
    <w:rsid w:val="005067DC"/>
    <w:rsid w:val="00506C74"/>
    <w:rsid w:val="00506E0C"/>
    <w:rsid w:val="00506F95"/>
    <w:rsid w:val="00507337"/>
    <w:rsid w:val="005077CA"/>
    <w:rsid w:val="00507E1B"/>
    <w:rsid w:val="0051036E"/>
    <w:rsid w:val="0051064E"/>
    <w:rsid w:val="00510997"/>
    <w:rsid w:val="00511539"/>
    <w:rsid w:val="0051173F"/>
    <w:rsid w:val="00511F6C"/>
    <w:rsid w:val="00512701"/>
    <w:rsid w:val="00512945"/>
    <w:rsid w:val="00512AE8"/>
    <w:rsid w:val="00512B28"/>
    <w:rsid w:val="00512B64"/>
    <w:rsid w:val="00512FD5"/>
    <w:rsid w:val="00513448"/>
    <w:rsid w:val="005138E5"/>
    <w:rsid w:val="00513E77"/>
    <w:rsid w:val="005140D1"/>
    <w:rsid w:val="00514112"/>
    <w:rsid w:val="0051424E"/>
    <w:rsid w:val="005143D1"/>
    <w:rsid w:val="00515188"/>
    <w:rsid w:val="0051529B"/>
    <w:rsid w:val="005154D2"/>
    <w:rsid w:val="00515643"/>
    <w:rsid w:val="00515A8A"/>
    <w:rsid w:val="00515A8E"/>
    <w:rsid w:val="00515DE2"/>
    <w:rsid w:val="00516067"/>
    <w:rsid w:val="0051613A"/>
    <w:rsid w:val="0051649C"/>
    <w:rsid w:val="00516722"/>
    <w:rsid w:val="00516796"/>
    <w:rsid w:val="005168C9"/>
    <w:rsid w:val="00516AAC"/>
    <w:rsid w:val="00516DFD"/>
    <w:rsid w:val="00516F45"/>
    <w:rsid w:val="00517423"/>
    <w:rsid w:val="005175DE"/>
    <w:rsid w:val="005176DD"/>
    <w:rsid w:val="00517C31"/>
    <w:rsid w:val="00517F4E"/>
    <w:rsid w:val="005200AA"/>
    <w:rsid w:val="00520129"/>
    <w:rsid w:val="005201F7"/>
    <w:rsid w:val="00520684"/>
    <w:rsid w:val="00521232"/>
    <w:rsid w:val="00521523"/>
    <w:rsid w:val="005215E7"/>
    <w:rsid w:val="00521664"/>
    <w:rsid w:val="0052180E"/>
    <w:rsid w:val="00521A86"/>
    <w:rsid w:val="00521B1F"/>
    <w:rsid w:val="00521C9E"/>
    <w:rsid w:val="00521EEC"/>
    <w:rsid w:val="00522656"/>
    <w:rsid w:val="005227BF"/>
    <w:rsid w:val="0052291F"/>
    <w:rsid w:val="00522981"/>
    <w:rsid w:val="005230BA"/>
    <w:rsid w:val="00523767"/>
    <w:rsid w:val="005237AD"/>
    <w:rsid w:val="00523C5E"/>
    <w:rsid w:val="0052455C"/>
    <w:rsid w:val="00524621"/>
    <w:rsid w:val="005246F1"/>
    <w:rsid w:val="0052471B"/>
    <w:rsid w:val="00524DEF"/>
    <w:rsid w:val="005251FE"/>
    <w:rsid w:val="005252A8"/>
    <w:rsid w:val="005257D4"/>
    <w:rsid w:val="00525B6C"/>
    <w:rsid w:val="0052627F"/>
    <w:rsid w:val="005267CF"/>
    <w:rsid w:val="0052686E"/>
    <w:rsid w:val="00526A2A"/>
    <w:rsid w:val="00526ED7"/>
    <w:rsid w:val="00526EEC"/>
    <w:rsid w:val="0052718F"/>
    <w:rsid w:val="00527192"/>
    <w:rsid w:val="005302F5"/>
    <w:rsid w:val="0053044A"/>
    <w:rsid w:val="00530723"/>
    <w:rsid w:val="00530A24"/>
    <w:rsid w:val="00530E57"/>
    <w:rsid w:val="00530EB8"/>
    <w:rsid w:val="005314FC"/>
    <w:rsid w:val="005316CC"/>
    <w:rsid w:val="005319AB"/>
    <w:rsid w:val="00531C6E"/>
    <w:rsid w:val="00531DA1"/>
    <w:rsid w:val="00532037"/>
    <w:rsid w:val="00532102"/>
    <w:rsid w:val="00532184"/>
    <w:rsid w:val="00532276"/>
    <w:rsid w:val="0053227F"/>
    <w:rsid w:val="00532885"/>
    <w:rsid w:val="00533B27"/>
    <w:rsid w:val="005344DA"/>
    <w:rsid w:val="00534760"/>
    <w:rsid w:val="00534784"/>
    <w:rsid w:val="005348D6"/>
    <w:rsid w:val="00534998"/>
    <w:rsid w:val="00535031"/>
    <w:rsid w:val="005350C1"/>
    <w:rsid w:val="00535931"/>
    <w:rsid w:val="00535C12"/>
    <w:rsid w:val="0053637B"/>
    <w:rsid w:val="00536C8E"/>
    <w:rsid w:val="005375B8"/>
    <w:rsid w:val="0053783A"/>
    <w:rsid w:val="005378E2"/>
    <w:rsid w:val="00537BCA"/>
    <w:rsid w:val="00537CE1"/>
    <w:rsid w:val="005401BF"/>
    <w:rsid w:val="00540457"/>
    <w:rsid w:val="00540570"/>
    <w:rsid w:val="005405AE"/>
    <w:rsid w:val="0054073A"/>
    <w:rsid w:val="00540AE4"/>
    <w:rsid w:val="00540B34"/>
    <w:rsid w:val="0054175A"/>
    <w:rsid w:val="0054176A"/>
    <w:rsid w:val="00542282"/>
    <w:rsid w:val="005422D1"/>
    <w:rsid w:val="005429A1"/>
    <w:rsid w:val="005432E6"/>
    <w:rsid w:val="005433B9"/>
    <w:rsid w:val="005435A3"/>
    <w:rsid w:val="005437C8"/>
    <w:rsid w:val="00543C5F"/>
    <w:rsid w:val="00544174"/>
    <w:rsid w:val="00544EC8"/>
    <w:rsid w:val="00545B1E"/>
    <w:rsid w:val="00545BAB"/>
    <w:rsid w:val="00545D92"/>
    <w:rsid w:val="00545E6F"/>
    <w:rsid w:val="00546184"/>
    <w:rsid w:val="005466BF"/>
    <w:rsid w:val="0054681C"/>
    <w:rsid w:val="005470D7"/>
    <w:rsid w:val="00547298"/>
    <w:rsid w:val="0054740A"/>
    <w:rsid w:val="005479D4"/>
    <w:rsid w:val="00547A15"/>
    <w:rsid w:val="00547EE4"/>
    <w:rsid w:val="0055008B"/>
    <w:rsid w:val="00550528"/>
    <w:rsid w:val="00550589"/>
    <w:rsid w:val="00550EAB"/>
    <w:rsid w:val="00550FD8"/>
    <w:rsid w:val="00551243"/>
    <w:rsid w:val="0055169B"/>
    <w:rsid w:val="00551CE4"/>
    <w:rsid w:val="00551F56"/>
    <w:rsid w:val="005521F5"/>
    <w:rsid w:val="005525D1"/>
    <w:rsid w:val="005529EF"/>
    <w:rsid w:val="00552A45"/>
    <w:rsid w:val="00552DA3"/>
    <w:rsid w:val="00552E95"/>
    <w:rsid w:val="005531EE"/>
    <w:rsid w:val="00553672"/>
    <w:rsid w:val="005539C2"/>
    <w:rsid w:val="005540AE"/>
    <w:rsid w:val="005543AE"/>
    <w:rsid w:val="00554631"/>
    <w:rsid w:val="00554786"/>
    <w:rsid w:val="005549E1"/>
    <w:rsid w:val="00554E26"/>
    <w:rsid w:val="00554E28"/>
    <w:rsid w:val="00555317"/>
    <w:rsid w:val="00556D35"/>
    <w:rsid w:val="00557256"/>
    <w:rsid w:val="00557421"/>
    <w:rsid w:val="00557830"/>
    <w:rsid w:val="0056015F"/>
    <w:rsid w:val="005606AF"/>
    <w:rsid w:val="00560C03"/>
    <w:rsid w:val="00561187"/>
    <w:rsid w:val="005612A1"/>
    <w:rsid w:val="0056136B"/>
    <w:rsid w:val="00561686"/>
    <w:rsid w:val="00561CF4"/>
    <w:rsid w:val="00561E9A"/>
    <w:rsid w:val="00561F98"/>
    <w:rsid w:val="00562122"/>
    <w:rsid w:val="0056272B"/>
    <w:rsid w:val="00562BD7"/>
    <w:rsid w:val="0056324A"/>
    <w:rsid w:val="0056339D"/>
    <w:rsid w:val="0056367D"/>
    <w:rsid w:val="00563894"/>
    <w:rsid w:val="005639CC"/>
    <w:rsid w:val="0056496E"/>
    <w:rsid w:val="00564A75"/>
    <w:rsid w:val="00564D44"/>
    <w:rsid w:val="00564EF1"/>
    <w:rsid w:val="00565803"/>
    <w:rsid w:val="00565AB3"/>
    <w:rsid w:val="00565B68"/>
    <w:rsid w:val="0056620F"/>
    <w:rsid w:val="00566446"/>
    <w:rsid w:val="0056676E"/>
    <w:rsid w:val="005669EA"/>
    <w:rsid w:val="00567467"/>
    <w:rsid w:val="00567762"/>
    <w:rsid w:val="00570319"/>
    <w:rsid w:val="00570487"/>
    <w:rsid w:val="005704B8"/>
    <w:rsid w:val="005704FD"/>
    <w:rsid w:val="005705E1"/>
    <w:rsid w:val="005706F8"/>
    <w:rsid w:val="005708CA"/>
    <w:rsid w:val="00570B13"/>
    <w:rsid w:val="00570B8B"/>
    <w:rsid w:val="00570C59"/>
    <w:rsid w:val="00570FA9"/>
    <w:rsid w:val="00571BC4"/>
    <w:rsid w:val="00572080"/>
    <w:rsid w:val="005722F5"/>
    <w:rsid w:val="005723D1"/>
    <w:rsid w:val="005723E0"/>
    <w:rsid w:val="0057294E"/>
    <w:rsid w:val="00572AFB"/>
    <w:rsid w:val="00572B33"/>
    <w:rsid w:val="00572F1B"/>
    <w:rsid w:val="00573318"/>
    <w:rsid w:val="0057362D"/>
    <w:rsid w:val="0057388C"/>
    <w:rsid w:val="00573B4F"/>
    <w:rsid w:val="00573CF5"/>
    <w:rsid w:val="00573F60"/>
    <w:rsid w:val="005744CD"/>
    <w:rsid w:val="005745A7"/>
    <w:rsid w:val="00574871"/>
    <w:rsid w:val="00574896"/>
    <w:rsid w:val="00574FA7"/>
    <w:rsid w:val="00575C69"/>
    <w:rsid w:val="005762C6"/>
    <w:rsid w:val="00576663"/>
    <w:rsid w:val="005766E8"/>
    <w:rsid w:val="00576ADB"/>
    <w:rsid w:val="00576E9C"/>
    <w:rsid w:val="00576FFA"/>
    <w:rsid w:val="005774FE"/>
    <w:rsid w:val="005775D9"/>
    <w:rsid w:val="005779A4"/>
    <w:rsid w:val="00577B2C"/>
    <w:rsid w:val="00577EF6"/>
    <w:rsid w:val="00580114"/>
    <w:rsid w:val="00580239"/>
    <w:rsid w:val="005803C6"/>
    <w:rsid w:val="005808AD"/>
    <w:rsid w:val="00580B7B"/>
    <w:rsid w:val="00581A34"/>
    <w:rsid w:val="00582300"/>
    <w:rsid w:val="00582797"/>
    <w:rsid w:val="005835F3"/>
    <w:rsid w:val="00583ABB"/>
    <w:rsid w:val="00583B45"/>
    <w:rsid w:val="00584197"/>
    <w:rsid w:val="0058420F"/>
    <w:rsid w:val="005844DA"/>
    <w:rsid w:val="005848C1"/>
    <w:rsid w:val="00584F08"/>
    <w:rsid w:val="0058520C"/>
    <w:rsid w:val="005856EC"/>
    <w:rsid w:val="00586186"/>
    <w:rsid w:val="005863D2"/>
    <w:rsid w:val="005864D4"/>
    <w:rsid w:val="0058654E"/>
    <w:rsid w:val="00586B2C"/>
    <w:rsid w:val="0058701D"/>
    <w:rsid w:val="005871D5"/>
    <w:rsid w:val="00587579"/>
    <w:rsid w:val="005875BA"/>
    <w:rsid w:val="005878C3"/>
    <w:rsid w:val="00587C65"/>
    <w:rsid w:val="005901DB"/>
    <w:rsid w:val="00590371"/>
    <w:rsid w:val="00590406"/>
    <w:rsid w:val="00590766"/>
    <w:rsid w:val="005908D1"/>
    <w:rsid w:val="00590B84"/>
    <w:rsid w:val="00590CF5"/>
    <w:rsid w:val="005911E9"/>
    <w:rsid w:val="005913EE"/>
    <w:rsid w:val="005919ED"/>
    <w:rsid w:val="00591A10"/>
    <w:rsid w:val="00591A75"/>
    <w:rsid w:val="00591C6B"/>
    <w:rsid w:val="0059211A"/>
    <w:rsid w:val="0059289F"/>
    <w:rsid w:val="0059301B"/>
    <w:rsid w:val="005930B3"/>
    <w:rsid w:val="00593F32"/>
    <w:rsid w:val="00594228"/>
    <w:rsid w:val="00594321"/>
    <w:rsid w:val="00594323"/>
    <w:rsid w:val="005947BC"/>
    <w:rsid w:val="00594E85"/>
    <w:rsid w:val="0059514B"/>
    <w:rsid w:val="00595182"/>
    <w:rsid w:val="005951A7"/>
    <w:rsid w:val="00595248"/>
    <w:rsid w:val="00595BD7"/>
    <w:rsid w:val="00595FBB"/>
    <w:rsid w:val="005964CD"/>
    <w:rsid w:val="005965B3"/>
    <w:rsid w:val="00596B3E"/>
    <w:rsid w:val="00596ED0"/>
    <w:rsid w:val="0059724D"/>
    <w:rsid w:val="005978BE"/>
    <w:rsid w:val="00597E04"/>
    <w:rsid w:val="005A02EF"/>
    <w:rsid w:val="005A05B5"/>
    <w:rsid w:val="005A0991"/>
    <w:rsid w:val="005A0D7C"/>
    <w:rsid w:val="005A0E16"/>
    <w:rsid w:val="005A11A0"/>
    <w:rsid w:val="005A1242"/>
    <w:rsid w:val="005A12E0"/>
    <w:rsid w:val="005A1A6C"/>
    <w:rsid w:val="005A1C52"/>
    <w:rsid w:val="005A1D49"/>
    <w:rsid w:val="005A22BA"/>
    <w:rsid w:val="005A29E7"/>
    <w:rsid w:val="005A2DFD"/>
    <w:rsid w:val="005A3602"/>
    <w:rsid w:val="005A364B"/>
    <w:rsid w:val="005A36FA"/>
    <w:rsid w:val="005A3B7E"/>
    <w:rsid w:val="005A3FD7"/>
    <w:rsid w:val="005A46AC"/>
    <w:rsid w:val="005A479F"/>
    <w:rsid w:val="005A48D7"/>
    <w:rsid w:val="005A4CA1"/>
    <w:rsid w:val="005A4D22"/>
    <w:rsid w:val="005A4F2D"/>
    <w:rsid w:val="005A4F85"/>
    <w:rsid w:val="005A5245"/>
    <w:rsid w:val="005A53E1"/>
    <w:rsid w:val="005A54EE"/>
    <w:rsid w:val="005A5632"/>
    <w:rsid w:val="005A5EF1"/>
    <w:rsid w:val="005A5F35"/>
    <w:rsid w:val="005A670D"/>
    <w:rsid w:val="005A6BA9"/>
    <w:rsid w:val="005A6CFD"/>
    <w:rsid w:val="005A7444"/>
    <w:rsid w:val="005A75F2"/>
    <w:rsid w:val="005A76DF"/>
    <w:rsid w:val="005A7965"/>
    <w:rsid w:val="005B0005"/>
    <w:rsid w:val="005B049D"/>
    <w:rsid w:val="005B10E9"/>
    <w:rsid w:val="005B155A"/>
    <w:rsid w:val="005B1618"/>
    <w:rsid w:val="005B1CD8"/>
    <w:rsid w:val="005B1E3C"/>
    <w:rsid w:val="005B1F98"/>
    <w:rsid w:val="005B2016"/>
    <w:rsid w:val="005B2124"/>
    <w:rsid w:val="005B2167"/>
    <w:rsid w:val="005B2229"/>
    <w:rsid w:val="005B22D8"/>
    <w:rsid w:val="005B2336"/>
    <w:rsid w:val="005B2EA4"/>
    <w:rsid w:val="005B3A59"/>
    <w:rsid w:val="005B3A61"/>
    <w:rsid w:val="005B3AE6"/>
    <w:rsid w:val="005B3EB0"/>
    <w:rsid w:val="005B3EBF"/>
    <w:rsid w:val="005B48B0"/>
    <w:rsid w:val="005B49FA"/>
    <w:rsid w:val="005B4D4B"/>
    <w:rsid w:val="005B4D50"/>
    <w:rsid w:val="005B535E"/>
    <w:rsid w:val="005B58F2"/>
    <w:rsid w:val="005B6202"/>
    <w:rsid w:val="005B64AD"/>
    <w:rsid w:val="005B65BC"/>
    <w:rsid w:val="005B663F"/>
    <w:rsid w:val="005B6659"/>
    <w:rsid w:val="005B6669"/>
    <w:rsid w:val="005B6772"/>
    <w:rsid w:val="005B6E5C"/>
    <w:rsid w:val="005B6F93"/>
    <w:rsid w:val="005B6F99"/>
    <w:rsid w:val="005B760C"/>
    <w:rsid w:val="005B77B7"/>
    <w:rsid w:val="005B7F1F"/>
    <w:rsid w:val="005C02FD"/>
    <w:rsid w:val="005C04EE"/>
    <w:rsid w:val="005C066C"/>
    <w:rsid w:val="005C0822"/>
    <w:rsid w:val="005C097D"/>
    <w:rsid w:val="005C0A9A"/>
    <w:rsid w:val="005C0F23"/>
    <w:rsid w:val="005C0F4E"/>
    <w:rsid w:val="005C11E2"/>
    <w:rsid w:val="005C1660"/>
    <w:rsid w:val="005C1702"/>
    <w:rsid w:val="005C1DD9"/>
    <w:rsid w:val="005C24AF"/>
    <w:rsid w:val="005C24BF"/>
    <w:rsid w:val="005C2E39"/>
    <w:rsid w:val="005C329E"/>
    <w:rsid w:val="005C392F"/>
    <w:rsid w:val="005C3D73"/>
    <w:rsid w:val="005C3E18"/>
    <w:rsid w:val="005C4EA7"/>
    <w:rsid w:val="005C4F7B"/>
    <w:rsid w:val="005C50EE"/>
    <w:rsid w:val="005C5318"/>
    <w:rsid w:val="005C53FD"/>
    <w:rsid w:val="005C5B0C"/>
    <w:rsid w:val="005C5B65"/>
    <w:rsid w:val="005C5F4E"/>
    <w:rsid w:val="005C6565"/>
    <w:rsid w:val="005C659C"/>
    <w:rsid w:val="005C6731"/>
    <w:rsid w:val="005C6D15"/>
    <w:rsid w:val="005C6DA1"/>
    <w:rsid w:val="005C7038"/>
    <w:rsid w:val="005C7901"/>
    <w:rsid w:val="005D00DD"/>
    <w:rsid w:val="005D01E1"/>
    <w:rsid w:val="005D02CC"/>
    <w:rsid w:val="005D0986"/>
    <w:rsid w:val="005D0A76"/>
    <w:rsid w:val="005D1263"/>
    <w:rsid w:val="005D12BC"/>
    <w:rsid w:val="005D15E6"/>
    <w:rsid w:val="005D1647"/>
    <w:rsid w:val="005D16A1"/>
    <w:rsid w:val="005D177F"/>
    <w:rsid w:val="005D1CEA"/>
    <w:rsid w:val="005D1EE9"/>
    <w:rsid w:val="005D2BEF"/>
    <w:rsid w:val="005D2F26"/>
    <w:rsid w:val="005D31B5"/>
    <w:rsid w:val="005D37D6"/>
    <w:rsid w:val="005D3B25"/>
    <w:rsid w:val="005D3DF9"/>
    <w:rsid w:val="005D3FF3"/>
    <w:rsid w:val="005D4756"/>
    <w:rsid w:val="005D51F9"/>
    <w:rsid w:val="005D532B"/>
    <w:rsid w:val="005D549E"/>
    <w:rsid w:val="005D54CF"/>
    <w:rsid w:val="005D5967"/>
    <w:rsid w:val="005D612A"/>
    <w:rsid w:val="005D6228"/>
    <w:rsid w:val="005D6701"/>
    <w:rsid w:val="005D6990"/>
    <w:rsid w:val="005D70F4"/>
    <w:rsid w:val="005D7537"/>
    <w:rsid w:val="005D7916"/>
    <w:rsid w:val="005E0366"/>
    <w:rsid w:val="005E05D3"/>
    <w:rsid w:val="005E0BCA"/>
    <w:rsid w:val="005E0D25"/>
    <w:rsid w:val="005E0D7B"/>
    <w:rsid w:val="005E0F3E"/>
    <w:rsid w:val="005E13A9"/>
    <w:rsid w:val="005E141A"/>
    <w:rsid w:val="005E14AE"/>
    <w:rsid w:val="005E165B"/>
    <w:rsid w:val="005E17EF"/>
    <w:rsid w:val="005E185C"/>
    <w:rsid w:val="005E1B9A"/>
    <w:rsid w:val="005E1C73"/>
    <w:rsid w:val="005E1CB0"/>
    <w:rsid w:val="005E1DF1"/>
    <w:rsid w:val="005E2224"/>
    <w:rsid w:val="005E2753"/>
    <w:rsid w:val="005E287C"/>
    <w:rsid w:val="005E2910"/>
    <w:rsid w:val="005E2997"/>
    <w:rsid w:val="005E2A89"/>
    <w:rsid w:val="005E2EA7"/>
    <w:rsid w:val="005E2FEC"/>
    <w:rsid w:val="005E304E"/>
    <w:rsid w:val="005E3151"/>
    <w:rsid w:val="005E356E"/>
    <w:rsid w:val="005E35E8"/>
    <w:rsid w:val="005E3712"/>
    <w:rsid w:val="005E396A"/>
    <w:rsid w:val="005E3CB4"/>
    <w:rsid w:val="005E4049"/>
    <w:rsid w:val="005E4208"/>
    <w:rsid w:val="005E444E"/>
    <w:rsid w:val="005E4574"/>
    <w:rsid w:val="005E495E"/>
    <w:rsid w:val="005E4969"/>
    <w:rsid w:val="005E4E8A"/>
    <w:rsid w:val="005E4FB0"/>
    <w:rsid w:val="005E51B6"/>
    <w:rsid w:val="005E546C"/>
    <w:rsid w:val="005E56B2"/>
    <w:rsid w:val="005E5AB8"/>
    <w:rsid w:val="005E5B58"/>
    <w:rsid w:val="005E650E"/>
    <w:rsid w:val="005E6722"/>
    <w:rsid w:val="005E6760"/>
    <w:rsid w:val="005E6903"/>
    <w:rsid w:val="005E6CD7"/>
    <w:rsid w:val="005E6E41"/>
    <w:rsid w:val="005E7955"/>
    <w:rsid w:val="005E79C6"/>
    <w:rsid w:val="005E7CB8"/>
    <w:rsid w:val="005E7DA5"/>
    <w:rsid w:val="005E7EDA"/>
    <w:rsid w:val="005E7F71"/>
    <w:rsid w:val="005E7FA3"/>
    <w:rsid w:val="005F0009"/>
    <w:rsid w:val="005F045D"/>
    <w:rsid w:val="005F07B7"/>
    <w:rsid w:val="005F0E82"/>
    <w:rsid w:val="005F0ED7"/>
    <w:rsid w:val="005F1088"/>
    <w:rsid w:val="005F110E"/>
    <w:rsid w:val="005F14A5"/>
    <w:rsid w:val="005F1843"/>
    <w:rsid w:val="005F1E77"/>
    <w:rsid w:val="005F1F4A"/>
    <w:rsid w:val="005F34A0"/>
    <w:rsid w:val="005F37F5"/>
    <w:rsid w:val="005F383B"/>
    <w:rsid w:val="005F3A8C"/>
    <w:rsid w:val="005F3E91"/>
    <w:rsid w:val="005F432D"/>
    <w:rsid w:val="005F47CD"/>
    <w:rsid w:val="005F496A"/>
    <w:rsid w:val="005F4AD4"/>
    <w:rsid w:val="005F4BA0"/>
    <w:rsid w:val="005F4D9C"/>
    <w:rsid w:val="005F4DF0"/>
    <w:rsid w:val="005F4F0E"/>
    <w:rsid w:val="005F58DA"/>
    <w:rsid w:val="005F590C"/>
    <w:rsid w:val="005F5942"/>
    <w:rsid w:val="005F596C"/>
    <w:rsid w:val="005F5B41"/>
    <w:rsid w:val="005F5ECB"/>
    <w:rsid w:val="005F6970"/>
    <w:rsid w:val="005F6B7B"/>
    <w:rsid w:val="005F79AD"/>
    <w:rsid w:val="005F7AD1"/>
    <w:rsid w:val="005F7FC7"/>
    <w:rsid w:val="006004C6"/>
    <w:rsid w:val="006005D7"/>
    <w:rsid w:val="0060061B"/>
    <w:rsid w:val="00600F55"/>
    <w:rsid w:val="00601193"/>
    <w:rsid w:val="006016DC"/>
    <w:rsid w:val="0060197C"/>
    <w:rsid w:val="00601C57"/>
    <w:rsid w:val="00601E20"/>
    <w:rsid w:val="00601FE2"/>
    <w:rsid w:val="00602A3B"/>
    <w:rsid w:val="00603238"/>
    <w:rsid w:val="00603265"/>
    <w:rsid w:val="006033F5"/>
    <w:rsid w:val="006038F2"/>
    <w:rsid w:val="00604231"/>
    <w:rsid w:val="00604A85"/>
    <w:rsid w:val="00604D40"/>
    <w:rsid w:val="0060502F"/>
    <w:rsid w:val="0060514C"/>
    <w:rsid w:val="00605382"/>
    <w:rsid w:val="00605604"/>
    <w:rsid w:val="006059C6"/>
    <w:rsid w:val="00605A11"/>
    <w:rsid w:val="00605DCD"/>
    <w:rsid w:val="00605E2B"/>
    <w:rsid w:val="0060606A"/>
    <w:rsid w:val="00606096"/>
    <w:rsid w:val="00606236"/>
    <w:rsid w:val="00606510"/>
    <w:rsid w:val="006067F2"/>
    <w:rsid w:val="0060694D"/>
    <w:rsid w:val="00606E0A"/>
    <w:rsid w:val="006074A0"/>
    <w:rsid w:val="00607633"/>
    <w:rsid w:val="006076E6"/>
    <w:rsid w:val="0060798B"/>
    <w:rsid w:val="00607B8A"/>
    <w:rsid w:val="00607BA4"/>
    <w:rsid w:val="00607C56"/>
    <w:rsid w:val="0061008E"/>
    <w:rsid w:val="0061042B"/>
    <w:rsid w:val="006105AE"/>
    <w:rsid w:val="00610B8C"/>
    <w:rsid w:val="006111F3"/>
    <w:rsid w:val="006114C4"/>
    <w:rsid w:val="006115F0"/>
    <w:rsid w:val="00611600"/>
    <w:rsid w:val="00611607"/>
    <w:rsid w:val="0061272A"/>
    <w:rsid w:val="00612C5A"/>
    <w:rsid w:val="00612D8B"/>
    <w:rsid w:val="0061362B"/>
    <w:rsid w:val="00613B81"/>
    <w:rsid w:val="00613CE1"/>
    <w:rsid w:val="00613D64"/>
    <w:rsid w:val="00613FB1"/>
    <w:rsid w:val="00614049"/>
    <w:rsid w:val="00614109"/>
    <w:rsid w:val="006145A4"/>
    <w:rsid w:val="006146B2"/>
    <w:rsid w:val="0061536E"/>
    <w:rsid w:val="0061557E"/>
    <w:rsid w:val="0061586A"/>
    <w:rsid w:val="00616127"/>
    <w:rsid w:val="00616385"/>
    <w:rsid w:val="00616B11"/>
    <w:rsid w:val="00616EF0"/>
    <w:rsid w:val="00617076"/>
    <w:rsid w:val="006170EC"/>
    <w:rsid w:val="006171A3"/>
    <w:rsid w:val="006172FE"/>
    <w:rsid w:val="00617336"/>
    <w:rsid w:val="00617467"/>
    <w:rsid w:val="00617702"/>
    <w:rsid w:val="00617946"/>
    <w:rsid w:val="00617A27"/>
    <w:rsid w:val="00617B15"/>
    <w:rsid w:val="00620763"/>
    <w:rsid w:val="00620771"/>
    <w:rsid w:val="00620CBC"/>
    <w:rsid w:val="00621097"/>
    <w:rsid w:val="00621491"/>
    <w:rsid w:val="00621D22"/>
    <w:rsid w:val="00621D5D"/>
    <w:rsid w:val="0062210B"/>
    <w:rsid w:val="0062248A"/>
    <w:rsid w:val="0062260F"/>
    <w:rsid w:val="00622626"/>
    <w:rsid w:val="006229FB"/>
    <w:rsid w:val="00622B1A"/>
    <w:rsid w:val="00622D2A"/>
    <w:rsid w:val="00622E33"/>
    <w:rsid w:val="00622E76"/>
    <w:rsid w:val="00623328"/>
    <w:rsid w:val="006234B6"/>
    <w:rsid w:val="0062378E"/>
    <w:rsid w:val="00623AC6"/>
    <w:rsid w:val="006240B5"/>
    <w:rsid w:val="00624505"/>
    <w:rsid w:val="00624A42"/>
    <w:rsid w:val="00624B21"/>
    <w:rsid w:val="00624F80"/>
    <w:rsid w:val="00625263"/>
    <w:rsid w:val="006252A7"/>
    <w:rsid w:val="00625485"/>
    <w:rsid w:val="006254D4"/>
    <w:rsid w:val="006255EE"/>
    <w:rsid w:val="00625616"/>
    <w:rsid w:val="006256C3"/>
    <w:rsid w:val="006263F0"/>
    <w:rsid w:val="00626B96"/>
    <w:rsid w:val="00626E64"/>
    <w:rsid w:val="006279F6"/>
    <w:rsid w:val="00627AB9"/>
    <w:rsid w:val="00627F0F"/>
    <w:rsid w:val="00630300"/>
    <w:rsid w:val="006304C1"/>
    <w:rsid w:val="00630931"/>
    <w:rsid w:val="00630C2A"/>
    <w:rsid w:val="00630D4C"/>
    <w:rsid w:val="00630DAB"/>
    <w:rsid w:val="00630E9F"/>
    <w:rsid w:val="0063148F"/>
    <w:rsid w:val="0063149B"/>
    <w:rsid w:val="00631636"/>
    <w:rsid w:val="006318C9"/>
    <w:rsid w:val="00631D4C"/>
    <w:rsid w:val="0063213F"/>
    <w:rsid w:val="00632145"/>
    <w:rsid w:val="006324E5"/>
    <w:rsid w:val="0063254F"/>
    <w:rsid w:val="00632B57"/>
    <w:rsid w:val="00632E7E"/>
    <w:rsid w:val="006330F2"/>
    <w:rsid w:val="0063383C"/>
    <w:rsid w:val="00633959"/>
    <w:rsid w:val="00633AA5"/>
    <w:rsid w:val="00634030"/>
    <w:rsid w:val="0063416C"/>
    <w:rsid w:val="0063477E"/>
    <w:rsid w:val="00634AC2"/>
    <w:rsid w:val="00634CB0"/>
    <w:rsid w:val="00634D38"/>
    <w:rsid w:val="00634E98"/>
    <w:rsid w:val="0063513D"/>
    <w:rsid w:val="00635EFE"/>
    <w:rsid w:val="006364D3"/>
    <w:rsid w:val="006366ED"/>
    <w:rsid w:val="006367FA"/>
    <w:rsid w:val="00636AE4"/>
    <w:rsid w:val="0063783A"/>
    <w:rsid w:val="00637ACD"/>
    <w:rsid w:val="00637C67"/>
    <w:rsid w:val="00640099"/>
    <w:rsid w:val="006406A8"/>
    <w:rsid w:val="00640758"/>
    <w:rsid w:val="00640F1A"/>
    <w:rsid w:val="00640F48"/>
    <w:rsid w:val="0064120B"/>
    <w:rsid w:val="00641892"/>
    <w:rsid w:val="006418AA"/>
    <w:rsid w:val="00641AAA"/>
    <w:rsid w:val="00641C9D"/>
    <w:rsid w:val="00642617"/>
    <w:rsid w:val="00642CED"/>
    <w:rsid w:val="00642DE1"/>
    <w:rsid w:val="00643564"/>
    <w:rsid w:val="00643793"/>
    <w:rsid w:val="00643B26"/>
    <w:rsid w:val="0064409E"/>
    <w:rsid w:val="0064424C"/>
    <w:rsid w:val="006443D0"/>
    <w:rsid w:val="00644509"/>
    <w:rsid w:val="0064457D"/>
    <w:rsid w:val="006448CA"/>
    <w:rsid w:val="00644E29"/>
    <w:rsid w:val="00645246"/>
    <w:rsid w:val="00645934"/>
    <w:rsid w:val="00645E5D"/>
    <w:rsid w:val="00646286"/>
    <w:rsid w:val="0064718F"/>
    <w:rsid w:val="0064725E"/>
    <w:rsid w:val="00647356"/>
    <w:rsid w:val="006474EA"/>
    <w:rsid w:val="006475B1"/>
    <w:rsid w:val="00650164"/>
    <w:rsid w:val="006504D7"/>
    <w:rsid w:val="00650FAE"/>
    <w:rsid w:val="00650FC1"/>
    <w:rsid w:val="00651057"/>
    <w:rsid w:val="00651242"/>
    <w:rsid w:val="00651339"/>
    <w:rsid w:val="0065157C"/>
    <w:rsid w:val="00651C1F"/>
    <w:rsid w:val="00651E91"/>
    <w:rsid w:val="00651F3C"/>
    <w:rsid w:val="00651F83"/>
    <w:rsid w:val="006523D4"/>
    <w:rsid w:val="006523DB"/>
    <w:rsid w:val="00652E5D"/>
    <w:rsid w:val="00652F1B"/>
    <w:rsid w:val="006532A0"/>
    <w:rsid w:val="006537A1"/>
    <w:rsid w:val="006538DD"/>
    <w:rsid w:val="00653B6E"/>
    <w:rsid w:val="00654483"/>
    <w:rsid w:val="006545F6"/>
    <w:rsid w:val="006546AA"/>
    <w:rsid w:val="006548BC"/>
    <w:rsid w:val="00654F37"/>
    <w:rsid w:val="006550E8"/>
    <w:rsid w:val="00655187"/>
    <w:rsid w:val="00655319"/>
    <w:rsid w:val="0065564B"/>
    <w:rsid w:val="00655A7E"/>
    <w:rsid w:val="00655BB6"/>
    <w:rsid w:val="00655DBE"/>
    <w:rsid w:val="00655E06"/>
    <w:rsid w:val="00655E4C"/>
    <w:rsid w:val="006564E7"/>
    <w:rsid w:val="00656F49"/>
    <w:rsid w:val="0065733E"/>
    <w:rsid w:val="006575CD"/>
    <w:rsid w:val="006576E1"/>
    <w:rsid w:val="00657D28"/>
    <w:rsid w:val="00657D60"/>
    <w:rsid w:val="00660254"/>
    <w:rsid w:val="00660BC5"/>
    <w:rsid w:val="00660F3C"/>
    <w:rsid w:val="00661857"/>
    <w:rsid w:val="006618E4"/>
    <w:rsid w:val="006619A3"/>
    <w:rsid w:val="006619F3"/>
    <w:rsid w:val="00661F08"/>
    <w:rsid w:val="00662DF6"/>
    <w:rsid w:val="00663C0F"/>
    <w:rsid w:val="00663D92"/>
    <w:rsid w:val="00664019"/>
    <w:rsid w:val="0066428A"/>
    <w:rsid w:val="00664733"/>
    <w:rsid w:val="006648E5"/>
    <w:rsid w:val="00664A22"/>
    <w:rsid w:val="00664B81"/>
    <w:rsid w:val="00664F24"/>
    <w:rsid w:val="00665406"/>
    <w:rsid w:val="0066547C"/>
    <w:rsid w:val="00665AA0"/>
    <w:rsid w:val="00665DA5"/>
    <w:rsid w:val="00666207"/>
    <w:rsid w:val="006662CE"/>
    <w:rsid w:val="006664D4"/>
    <w:rsid w:val="00666C8F"/>
    <w:rsid w:val="0066706F"/>
    <w:rsid w:val="006677AB"/>
    <w:rsid w:val="00667CE7"/>
    <w:rsid w:val="00667F91"/>
    <w:rsid w:val="00670088"/>
    <w:rsid w:val="00670290"/>
    <w:rsid w:val="00670540"/>
    <w:rsid w:val="00670A16"/>
    <w:rsid w:val="00670B5E"/>
    <w:rsid w:val="00670F58"/>
    <w:rsid w:val="00671114"/>
    <w:rsid w:val="00671589"/>
    <w:rsid w:val="00671738"/>
    <w:rsid w:val="00671A40"/>
    <w:rsid w:val="00671A57"/>
    <w:rsid w:val="00671B2E"/>
    <w:rsid w:val="00671BD1"/>
    <w:rsid w:val="00672355"/>
    <w:rsid w:val="006724DC"/>
    <w:rsid w:val="0067263C"/>
    <w:rsid w:val="0067263E"/>
    <w:rsid w:val="006728E9"/>
    <w:rsid w:val="0067295B"/>
    <w:rsid w:val="00672A0D"/>
    <w:rsid w:val="00672E74"/>
    <w:rsid w:val="00673000"/>
    <w:rsid w:val="00673A75"/>
    <w:rsid w:val="00673B10"/>
    <w:rsid w:val="00673B7C"/>
    <w:rsid w:val="00673C78"/>
    <w:rsid w:val="00674556"/>
    <w:rsid w:val="0067484A"/>
    <w:rsid w:val="0067493B"/>
    <w:rsid w:val="0067499D"/>
    <w:rsid w:val="00674A14"/>
    <w:rsid w:val="00674C0B"/>
    <w:rsid w:val="0067518F"/>
    <w:rsid w:val="00675684"/>
    <w:rsid w:val="006758AF"/>
    <w:rsid w:val="00675C15"/>
    <w:rsid w:val="00675EED"/>
    <w:rsid w:val="006765A9"/>
    <w:rsid w:val="00676794"/>
    <w:rsid w:val="00676A5F"/>
    <w:rsid w:val="00676B86"/>
    <w:rsid w:val="0067705E"/>
    <w:rsid w:val="00677216"/>
    <w:rsid w:val="00677369"/>
    <w:rsid w:val="006775D2"/>
    <w:rsid w:val="00677C51"/>
    <w:rsid w:val="00680963"/>
    <w:rsid w:val="00680B35"/>
    <w:rsid w:val="00681044"/>
    <w:rsid w:val="00681A21"/>
    <w:rsid w:val="00682380"/>
    <w:rsid w:val="00682E8A"/>
    <w:rsid w:val="00683011"/>
    <w:rsid w:val="0068311E"/>
    <w:rsid w:val="0068339A"/>
    <w:rsid w:val="006833E0"/>
    <w:rsid w:val="006837AA"/>
    <w:rsid w:val="00683DB0"/>
    <w:rsid w:val="00683DCE"/>
    <w:rsid w:val="00684296"/>
    <w:rsid w:val="00684944"/>
    <w:rsid w:val="006851C0"/>
    <w:rsid w:val="0068532F"/>
    <w:rsid w:val="006859C3"/>
    <w:rsid w:val="006860A0"/>
    <w:rsid w:val="006861CD"/>
    <w:rsid w:val="006862F4"/>
    <w:rsid w:val="006866B4"/>
    <w:rsid w:val="00686730"/>
    <w:rsid w:val="00686AF1"/>
    <w:rsid w:val="00686BCA"/>
    <w:rsid w:val="00686DD4"/>
    <w:rsid w:val="006873AD"/>
    <w:rsid w:val="006879C7"/>
    <w:rsid w:val="00687A0C"/>
    <w:rsid w:val="00687A4A"/>
    <w:rsid w:val="00687B29"/>
    <w:rsid w:val="00687E81"/>
    <w:rsid w:val="006902C5"/>
    <w:rsid w:val="0069072E"/>
    <w:rsid w:val="00690B23"/>
    <w:rsid w:val="00690CC4"/>
    <w:rsid w:val="00691382"/>
    <w:rsid w:val="00691404"/>
    <w:rsid w:val="0069159A"/>
    <w:rsid w:val="006916F5"/>
    <w:rsid w:val="00691950"/>
    <w:rsid w:val="006919BD"/>
    <w:rsid w:val="00692673"/>
    <w:rsid w:val="006928A7"/>
    <w:rsid w:val="0069296C"/>
    <w:rsid w:val="00692C9A"/>
    <w:rsid w:val="00692DDA"/>
    <w:rsid w:val="0069308C"/>
    <w:rsid w:val="006934B8"/>
    <w:rsid w:val="0069352F"/>
    <w:rsid w:val="006936C6"/>
    <w:rsid w:val="006937BC"/>
    <w:rsid w:val="00693BC1"/>
    <w:rsid w:val="006940DD"/>
    <w:rsid w:val="00694874"/>
    <w:rsid w:val="00694E34"/>
    <w:rsid w:val="00694F4C"/>
    <w:rsid w:val="00695261"/>
    <w:rsid w:val="0069563F"/>
    <w:rsid w:val="00695DBE"/>
    <w:rsid w:val="00696135"/>
    <w:rsid w:val="0069623E"/>
    <w:rsid w:val="00696622"/>
    <w:rsid w:val="006966D0"/>
    <w:rsid w:val="00697BBF"/>
    <w:rsid w:val="00697D36"/>
    <w:rsid w:val="006A0220"/>
    <w:rsid w:val="006A0292"/>
    <w:rsid w:val="006A0E89"/>
    <w:rsid w:val="006A18C1"/>
    <w:rsid w:val="006A288E"/>
    <w:rsid w:val="006A2C34"/>
    <w:rsid w:val="006A2FEC"/>
    <w:rsid w:val="006A330C"/>
    <w:rsid w:val="006A3847"/>
    <w:rsid w:val="006A3BB7"/>
    <w:rsid w:val="006A3E1B"/>
    <w:rsid w:val="006A4146"/>
    <w:rsid w:val="006A4900"/>
    <w:rsid w:val="006A4B97"/>
    <w:rsid w:val="006A4E3E"/>
    <w:rsid w:val="006A5259"/>
    <w:rsid w:val="006A53B0"/>
    <w:rsid w:val="006A5F1B"/>
    <w:rsid w:val="006A6014"/>
    <w:rsid w:val="006A61DA"/>
    <w:rsid w:val="006A6E3E"/>
    <w:rsid w:val="006A6FF7"/>
    <w:rsid w:val="006B0044"/>
    <w:rsid w:val="006B01D0"/>
    <w:rsid w:val="006B0362"/>
    <w:rsid w:val="006B065F"/>
    <w:rsid w:val="006B0C62"/>
    <w:rsid w:val="006B0DB1"/>
    <w:rsid w:val="006B1551"/>
    <w:rsid w:val="006B2091"/>
    <w:rsid w:val="006B2EB5"/>
    <w:rsid w:val="006B30D6"/>
    <w:rsid w:val="006B30F5"/>
    <w:rsid w:val="006B31EF"/>
    <w:rsid w:val="006B31F3"/>
    <w:rsid w:val="006B32CF"/>
    <w:rsid w:val="006B3569"/>
    <w:rsid w:val="006B357F"/>
    <w:rsid w:val="006B35AC"/>
    <w:rsid w:val="006B3786"/>
    <w:rsid w:val="006B37D4"/>
    <w:rsid w:val="006B3A20"/>
    <w:rsid w:val="006B3C37"/>
    <w:rsid w:val="006B3F72"/>
    <w:rsid w:val="006B42EF"/>
    <w:rsid w:val="006B458B"/>
    <w:rsid w:val="006B4806"/>
    <w:rsid w:val="006B4DAC"/>
    <w:rsid w:val="006B52E1"/>
    <w:rsid w:val="006B5549"/>
    <w:rsid w:val="006B573C"/>
    <w:rsid w:val="006B5773"/>
    <w:rsid w:val="006B6010"/>
    <w:rsid w:val="006B6137"/>
    <w:rsid w:val="006B6881"/>
    <w:rsid w:val="006B69BF"/>
    <w:rsid w:val="006B6E28"/>
    <w:rsid w:val="006B6FE5"/>
    <w:rsid w:val="006B704E"/>
    <w:rsid w:val="006B71C8"/>
    <w:rsid w:val="006B7575"/>
    <w:rsid w:val="006B77C5"/>
    <w:rsid w:val="006B7BD2"/>
    <w:rsid w:val="006B7CCB"/>
    <w:rsid w:val="006C00F3"/>
    <w:rsid w:val="006C03B7"/>
    <w:rsid w:val="006C06E5"/>
    <w:rsid w:val="006C07BA"/>
    <w:rsid w:val="006C084C"/>
    <w:rsid w:val="006C0A41"/>
    <w:rsid w:val="006C1194"/>
    <w:rsid w:val="006C13F2"/>
    <w:rsid w:val="006C14A3"/>
    <w:rsid w:val="006C16D2"/>
    <w:rsid w:val="006C19BA"/>
    <w:rsid w:val="006C1B48"/>
    <w:rsid w:val="006C1DCA"/>
    <w:rsid w:val="006C206A"/>
    <w:rsid w:val="006C210E"/>
    <w:rsid w:val="006C22D7"/>
    <w:rsid w:val="006C2532"/>
    <w:rsid w:val="006C283C"/>
    <w:rsid w:val="006C2CEE"/>
    <w:rsid w:val="006C3742"/>
    <w:rsid w:val="006C3A28"/>
    <w:rsid w:val="006C3A8C"/>
    <w:rsid w:val="006C45D0"/>
    <w:rsid w:val="006C4EF8"/>
    <w:rsid w:val="006C594A"/>
    <w:rsid w:val="006C5D9F"/>
    <w:rsid w:val="006C633F"/>
    <w:rsid w:val="006C66C5"/>
    <w:rsid w:val="006C731C"/>
    <w:rsid w:val="006C75F8"/>
    <w:rsid w:val="006C770A"/>
    <w:rsid w:val="006C7B86"/>
    <w:rsid w:val="006C7B96"/>
    <w:rsid w:val="006C7CB2"/>
    <w:rsid w:val="006C7F87"/>
    <w:rsid w:val="006D0067"/>
    <w:rsid w:val="006D0295"/>
    <w:rsid w:val="006D07F5"/>
    <w:rsid w:val="006D0CED"/>
    <w:rsid w:val="006D0F94"/>
    <w:rsid w:val="006D1100"/>
    <w:rsid w:val="006D114A"/>
    <w:rsid w:val="006D1237"/>
    <w:rsid w:val="006D136F"/>
    <w:rsid w:val="006D1375"/>
    <w:rsid w:val="006D1B89"/>
    <w:rsid w:val="006D21D1"/>
    <w:rsid w:val="006D22A1"/>
    <w:rsid w:val="006D2452"/>
    <w:rsid w:val="006D2535"/>
    <w:rsid w:val="006D25A2"/>
    <w:rsid w:val="006D2707"/>
    <w:rsid w:val="006D2912"/>
    <w:rsid w:val="006D29BB"/>
    <w:rsid w:val="006D2A70"/>
    <w:rsid w:val="006D2A7F"/>
    <w:rsid w:val="006D2AEE"/>
    <w:rsid w:val="006D2B21"/>
    <w:rsid w:val="006D2B95"/>
    <w:rsid w:val="006D2C7D"/>
    <w:rsid w:val="006D2F0E"/>
    <w:rsid w:val="006D341C"/>
    <w:rsid w:val="006D38AA"/>
    <w:rsid w:val="006D4084"/>
    <w:rsid w:val="006D424F"/>
    <w:rsid w:val="006D5013"/>
    <w:rsid w:val="006D502E"/>
    <w:rsid w:val="006D534D"/>
    <w:rsid w:val="006D535E"/>
    <w:rsid w:val="006D53E5"/>
    <w:rsid w:val="006D5AB8"/>
    <w:rsid w:val="006D5BD3"/>
    <w:rsid w:val="006D5C61"/>
    <w:rsid w:val="006D601B"/>
    <w:rsid w:val="006D68E5"/>
    <w:rsid w:val="006D6EB7"/>
    <w:rsid w:val="006D6EF1"/>
    <w:rsid w:val="006D6F55"/>
    <w:rsid w:val="006D72E1"/>
    <w:rsid w:val="006D74EE"/>
    <w:rsid w:val="006D7757"/>
    <w:rsid w:val="006D7961"/>
    <w:rsid w:val="006D7E58"/>
    <w:rsid w:val="006E01E5"/>
    <w:rsid w:val="006E038A"/>
    <w:rsid w:val="006E0557"/>
    <w:rsid w:val="006E097E"/>
    <w:rsid w:val="006E108E"/>
    <w:rsid w:val="006E13F9"/>
    <w:rsid w:val="006E18C0"/>
    <w:rsid w:val="006E1A4C"/>
    <w:rsid w:val="006E1F5D"/>
    <w:rsid w:val="006E21B7"/>
    <w:rsid w:val="006E22A4"/>
    <w:rsid w:val="006E2337"/>
    <w:rsid w:val="006E23CA"/>
    <w:rsid w:val="006E27DC"/>
    <w:rsid w:val="006E2923"/>
    <w:rsid w:val="006E2A79"/>
    <w:rsid w:val="006E2B4F"/>
    <w:rsid w:val="006E2B50"/>
    <w:rsid w:val="006E2DD4"/>
    <w:rsid w:val="006E303C"/>
    <w:rsid w:val="006E309F"/>
    <w:rsid w:val="006E33CD"/>
    <w:rsid w:val="006E3794"/>
    <w:rsid w:val="006E3D35"/>
    <w:rsid w:val="006E40CE"/>
    <w:rsid w:val="006E449E"/>
    <w:rsid w:val="006E46F2"/>
    <w:rsid w:val="006E47DC"/>
    <w:rsid w:val="006E4B29"/>
    <w:rsid w:val="006E4E5D"/>
    <w:rsid w:val="006E4EDA"/>
    <w:rsid w:val="006E4FF8"/>
    <w:rsid w:val="006E5104"/>
    <w:rsid w:val="006E5115"/>
    <w:rsid w:val="006E52C9"/>
    <w:rsid w:val="006E55D1"/>
    <w:rsid w:val="006E5AA9"/>
    <w:rsid w:val="006E6003"/>
    <w:rsid w:val="006E618F"/>
    <w:rsid w:val="006E63CC"/>
    <w:rsid w:val="006E64E2"/>
    <w:rsid w:val="006E690B"/>
    <w:rsid w:val="006E6C1D"/>
    <w:rsid w:val="006E6DC2"/>
    <w:rsid w:val="006E7089"/>
    <w:rsid w:val="006E733F"/>
    <w:rsid w:val="006E76F2"/>
    <w:rsid w:val="006E775C"/>
    <w:rsid w:val="006E7B6E"/>
    <w:rsid w:val="006F0129"/>
    <w:rsid w:val="006F03D8"/>
    <w:rsid w:val="006F0563"/>
    <w:rsid w:val="006F08B0"/>
    <w:rsid w:val="006F0D54"/>
    <w:rsid w:val="006F11E1"/>
    <w:rsid w:val="006F122F"/>
    <w:rsid w:val="006F18AC"/>
    <w:rsid w:val="006F1C41"/>
    <w:rsid w:val="006F2145"/>
    <w:rsid w:val="006F26F1"/>
    <w:rsid w:val="006F2D8F"/>
    <w:rsid w:val="006F3210"/>
    <w:rsid w:val="006F33DA"/>
    <w:rsid w:val="006F353B"/>
    <w:rsid w:val="006F3568"/>
    <w:rsid w:val="006F3598"/>
    <w:rsid w:val="006F36AF"/>
    <w:rsid w:val="006F3DFF"/>
    <w:rsid w:val="006F3EF8"/>
    <w:rsid w:val="006F465E"/>
    <w:rsid w:val="006F4876"/>
    <w:rsid w:val="006F49E3"/>
    <w:rsid w:val="006F4EE4"/>
    <w:rsid w:val="006F52C2"/>
    <w:rsid w:val="006F53D6"/>
    <w:rsid w:val="006F5730"/>
    <w:rsid w:val="006F5AA2"/>
    <w:rsid w:val="006F5CF5"/>
    <w:rsid w:val="006F5D90"/>
    <w:rsid w:val="006F61C1"/>
    <w:rsid w:val="006F66F7"/>
    <w:rsid w:val="006F6FFE"/>
    <w:rsid w:val="006F700B"/>
    <w:rsid w:val="006F72D0"/>
    <w:rsid w:val="006F7314"/>
    <w:rsid w:val="006F79A7"/>
    <w:rsid w:val="006F79D7"/>
    <w:rsid w:val="006F7BD8"/>
    <w:rsid w:val="006F7E73"/>
    <w:rsid w:val="006F7EC8"/>
    <w:rsid w:val="0070013B"/>
    <w:rsid w:val="007001D8"/>
    <w:rsid w:val="007002BA"/>
    <w:rsid w:val="0070060C"/>
    <w:rsid w:val="0070066B"/>
    <w:rsid w:val="00700DE8"/>
    <w:rsid w:val="00700F68"/>
    <w:rsid w:val="007017FD"/>
    <w:rsid w:val="00701ACA"/>
    <w:rsid w:val="00702E8B"/>
    <w:rsid w:val="00703065"/>
    <w:rsid w:val="0070308D"/>
    <w:rsid w:val="0070331B"/>
    <w:rsid w:val="007033BB"/>
    <w:rsid w:val="007034BB"/>
    <w:rsid w:val="00704211"/>
    <w:rsid w:val="007046BA"/>
    <w:rsid w:val="00704DDD"/>
    <w:rsid w:val="00705112"/>
    <w:rsid w:val="007053E1"/>
    <w:rsid w:val="00705B46"/>
    <w:rsid w:val="007060E9"/>
    <w:rsid w:val="00706188"/>
    <w:rsid w:val="00706231"/>
    <w:rsid w:val="00706266"/>
    <w:rsid w:val="00706AAD"/>
    <w:rsid w:val="00706CDE"/>
    <w:rsid w:val="00706E36"/>
    <w:rsid w:val="0070718E"/>
    <w:rsid w:val="007074AE"/>
    <w:rsid w:val="00707508"/>
    <w:rsid w:val="00707AB8"/>
    <w:rsid w:val="007106D8"/>
    <w:rsid w:val="007118E8"/>
    <w:rsid w:val="00712240"/>
    <w:rsid w:val="007124DC"/>
    <w:rsid w:val="00712BE4"/>
    <w:rsid w:val="0071350A"/>
    <w:rsid w:val="00713E9D"/>
    <w:rsid w:val="00713ED7"/>
    <w:rsid w:val="0071453D"/>
    <w:rsid w:val="00714AE3"/>
    <w:rsid w:val="00714E9B"/>
    <w:rsid w:val="007150FB"/>
    <w:rsid w:val="00715655"/>
    <w:rsid w:val="0071567A"/>
    <w:rsid w:val="00715797"/>
    <w:rsid w:val="00715810"/>
    <w:rsid w:val="00715B52"/>
    <w:rsid w:val="0071626B"/>
    <w:rsid w:val="00716333"/>
    <w:rsid w:val="007164A9"/>
    <w:rsid w:val="00716734"/>
    <w:rsid w:val="00716CE6"/>
    <w:rsid w:val="00717683"/>
    <w:rsid w:val="00717758"/>
    <w:rsid w:val="0071787E"/>
    <w:rsid w:val="00717BE8"/>
    <w:rsid w:val="00717C12"/>
    <w:rsid w:val="00717D0D"/>
    <w:rsid w:val="007201FB"/>
    <w:rsid w:val="00720358"/>
    <w:rsid w:val="007208E7"/>
    <w:rsid w:val="00720D9A"/>
    <w:rsid w:val="007210F2"/>
    <w:rsid w:val="0072124D"/>
    <w:rsid w:val="007213A0"/>
    <w:rsid w:val="007213DB"/>
    <w:rsid w:val="0072157F"/>
    <w:rsid w:val="007216D1"/>
    <w:rsid w:val="0072195E"/>
    <w:rsid w:val="00721E99"/>
    <w:rsid w:val="0072231B"/>
    <w:rsid w:val="00722329"/>
    <w:rsid w:val="007223DD"/>
    <w:rsid w:val="007224F1"/>
    <w:rsid w:val="00722B2F"/>
    <w:rsid w:val="00722F01"/>
    <w:rsid w:val="00723904"/>
    <w:rsid w:val="007240C1"/>
    <w:rsid w:val="00724394"/>
    <w:rsid w:val="0072458E"/>
    <w:rsid w:val="007246EB"/>
    <w:rsid w:val="00724AF2"/>
    <w:rsid w:val="007250BC"/>
    <w:rsid w:val="00725279"/>
    <w:rsid w:val="00725504"/>
    <w:rsid w:val="00726728"/>
    <w:rsid w:val="00726C56"/>
    <w:rsid w:val="00726EE1"/>
    <w:rsid w:val="00726FB3"/>
    <w:rsid w:val="00727022"/>
    <w:rsid w:val="00727182"/>
    <w:rsid w:val="007272E5"/>
    <w:rsid w:val="00727395"/>
    <w:rsid w:val="00727A10"/>
    <w:rsid w:val="00727B26"/>
    <w:rsid w:val="0073009D"/>
    <w:rsid w:val="0073012E"/>
    <w:rsid w:val="00730306"/>
    <w:rsid w:val="00730F1B"/>
    <w:rsid w:val="00730F90"/>
    <w:rsid w:val="00731289"/>
    <w:rsid w:val="00731560"/>
    <w:rsid w:val="007318B1"/>
    <w:rsid w:val="00731920"/>
    <w:rsid w:val="00731EAF"/>
    <w:rsid w:val="007321C8"/>
    <w:rsid w:val="007329E8"/>
    <w:rsid w:val="00732D85"/>
    <w:rsid w:val="00732DFB"/>
    <w:rsid w:val="00732FDF"/>
    <w:rsid w:val="007332E7"/>
    <w:rsid w:val="007338D8"/>
    <w:rsid w:val="00733FA4"/>
    <w:rsid w:val="00734102"/>
    <w:rsid w:val="007347F8"/>
    <w:rsid w:val="00734939"/>
    <w:rsid w:val="00734A47"/>
    <w:rsid w:val="00734E80"/>
    <w:rsid w:val="00735E4A"/>
    <w:rsid w:val="00735F51"/>
    <w:rsid w:val="0073612B"/>
    <w:rsid w:val="00736172"/>
    <w:rsid w:val="007361CC"/>
    <w:rsid w:val="007361D3"/>
    <w:rsid w:val="007365FB"/>
    <w:rsid w:val="00736D54"/>
    <w:rsid w:val="00737200"/>
    <w:rsid w:val="00737278"/>
    <w:rsid w:val="007379AA"/>
    <w:rsid w:val="007379FB"/>
    <w:rsid w:val="00737A46"/>
    <w:rsid w:val="00737CFA"/>
    <w:rsid w:val="00737D38"/>
    <w:rsid w:val="00737E26"/>
    <w:rsid w:val="0074032F"/>
    <w:rsid w:val="00740467"/>
    <w:rsid w:val="007409EF"/>
    <w:rsid w:val="00740C0F"/>
    <w:rsid w:val="00740DC3"/>
    <w:rsid w:val="0074144D"/>
    <w:rsid w:val="00741880"/>
    <w:rsid w:val="00741A02"/>
    <w:rsid w:val="00741A64"/>
    <w:rsid w:val="00741B8D"/>
    <w:rsid w:val="00741D4F"/>
    <w:rsid w:val="00742125"/>
    <w:rsid w:val="00742C7F"/>
    <w:rsid w:val="00742E69"/>
    <w:rsid w:val="007435DC"/>
    <w:rsid w:val="00743D0F"/>
    <w:rsid w:val="007440E4"/>
    <w:rsid w:val="00744682"/>
    <w:rsid w:val="00744B3A"/>
    <w:rsid w:val="00744EE1"/>
    <w:rsid w:val="007451AF"/>
    <w:rsid w:val="00745375"/>
    <w:rsid w:val="007453CB"/>
    <w:rsid w:val="0074556E"/>
    <w:rsid w:val="007456A2"/>
    <w:rsid w:val="007458F2"/>
    <w:rsid w:val="00746576"/>
    <w:rsid w:val="00746CFA"/>
    <w:rsid w:val="00746DC6"/>
    <w:rsid w:val="0074715E"/>
    <w:rsid w:val="0074791A"/>
    <w:rsid w:val="0074796A"/>
    <w:rsid w:val="00747AAD"/>
    <w:rsid w:val="00747AF3"/>
    <w:rsid w:val="00747F52"/>
    <w:rsid w:val="00750076"/>
    <w:rsid w:val="007504A6"/>
    <w:rsid w:val="0075075B"/>
    <w:rsid w:val="00750A44"/>
    <w:rsid w:val="00751341"/>
    <w:rsid w:val="0075146A"/>
    <w:rsid w:val="007514CE"/>
    <w:rsid w:val="00751856"/>
    <w:rsid w:val="007519C8"/>
    <w:rsid w:val="007519D1"/>
    <w:rsid w:val="00751B2E"/>
    <w:rsid w:val="00751C08"/>
    <w:rsid w:val="00751D6D"/>
    <w:rsid w:val="00751D7D"/>
    <w:rsid w:val="007525C2"/>
    <w:rsid w:val="00752A85"/>
    <w:rsid w:val="00752D3D"/>
    <w:rsid w:val="0075300E"/>
    <w:rsid w:val="007531CE"/>
    <w:rsid w:val="007532CE"/>
    <w:rsid w:val="00753622"/>
    <w:rsid w:val="007538FE"/>
    <w:rsid w:val="00753973"/>
    <w:rsid w:val="007543E4"/>
    <w:rsid w:val="0075476F"/>
    <w:rsid w:val="0075481A"/>
    <w:rsid w:val="007548B2"/>
    <w:rsid w:val="00754BD2"/>
    <w:rsid w:val="00755116"/>
    <w:rsid w:val="00755315"/>
    <w:rsid w:val="007559BD"/>
    <w:rsid w:val="007562DC"/>
    <w:rsid w:val="00756375"/>
    <w:rsid w:val="00756465"/>
    <w:rsid w:val="007568A5"/>
    <w:rsid w:val="00756ACA"/>
    <w:rsid w:val="00756E3D"/>
    <w:rsid w:val="00757772"/>
    <w:rsid w:val="00757A41"/>
    <w:rsid w:val="00757BB9"/>
    <w:rsid w:val="0076102E"/>
    <w:rsid w:val="007611C8"/>
    <w:rsid w:val="0076136A"/>
    <w:rsid w:val="007613C0"/>
    <w:rsid w:val="00761E4B"/>
    <w:rsid w:val="00762402"/>
    <w:rsid w:val="00762894"/>
    <w:rsid w:val="007628D0"/>
    <w:rsid w:val="00762B09"/>
    <w:rsid w:val="00762C3B"/>
    <w:rsid w:val="00762FB0"/>
    <w:rsid w:val="0076302F"/>
    <w:rsid w:val="007635FC"/>
    <w:rsid w:val="00763661"/>
    <w:rsid w:val="0076387D"/>
    <w:rsid w:val="007638E5"/>
    <w:rsid w:val="00763D3C"/>
    <w:rsid w:val="007649CD"/>
    <w:rsid w:val="00764BC5"/>
    <w:rsid w:val="00764D49"/>
    <w:rsid w:val="00764F87"/>
    <w:rsid w:val="00765053"/>
    <w:rsid w:val="007658A5"/>
    <w:rsid w:val="00765A34"/>
    <w:rsid w:val="00765BC7"/>
    <w:rsid w:val="00765D1B"/>
    <w:rsid w:val="00765E2F"/>
    <w:rsid w:val="007660B4"/>
    <w:rsid w:val="00766414"/>
    <w:rsid w:val="00766772"/>
    <w:rsid w:val="00766B59"/>
    <w:rsid w:val="00766E6B"/>
    <w:rsid w:val="00767078"/>
    <w:rsid w:val="0076737F"/>
    <w:rsid w:val="00767778"/>
    <w:rsid w:val="00767A9F"/>
    <w:rsid w:val="007700ED"/>
    <w:rsid w:val="007701B4"/>
    <w:rsid w:val="007707B2"/>
    <w:rsid w:val="007708FD"/>
    <w:rsid w:val="00770A53"/>
    <w:rsid w:val="00770BBD"/>
    <w:rsid w:val="00770D3E"/>
    <w:rsid w:val="00771BCB"/>
    <w:rsid w:val="00771E90"/>
    <w:rsid w:val="007720CF"/>
    <w:rsid w:val="00772953"/>
    <w:rsid w:val="00772F4C"/>
    <w:rsid w:val="00773174"/>
    <w:rsid w:val="007737DE"/>
    <w:rsid w:val="00773ABC"/>
    <w:rsid w:val="00773D1B"/>
    <w:rsid w:val="007741F3"/>
    <w:rsid w:val="00774C84"/>
    <w:rsid w:val="00774D3F"/>
    <w:rsid w:val="00774DAF"/>
    <w:rsid w:val="00774DB3"/>
    <w:rsid w:val="007750F4"/>
    <w:rsid w:val="00775322"/>
    <w:rsid w:val="0077568B"/>
    <w:rsid w:val="00775947"/>
    <w:rsid w:val="00775C74"/>
    <w:rsid w:val="00775FFB"/>
    <w:rsid w:val="00776956"/>
    <w:rsid w:val="00776A3D"/>
    <w:rsid w:val="00776D38"/>
    <w:rsid w:val="0077700C"/>
    <w:rsid w:val="0077706B"/>
    <w:rsid w:val="00777C13"/>
    <w:rsid w:val="00777DAA"/>
    <w:rsid w:val="00780445"/>
    <w:rsid w:val="00780657"/>
    <w:rsid w:val="007806FA"/>
    <w:rsid w:val="00780787"/>
    <w:rsid w:val="00780DD4"/>
    <w:rsid w:val="007811DF"/>
    <w:rsid w:val="00781252"/>
    <w:rsid w:val="0078131B"/>
    <w:rsid w:val="0078166C"/>
    <w:rsid w:val="007816CA"/>
    <w:rsid w:val="00781899"/>
    <w:rsid w:val="0078189E"/>
    <w:rsid w:val="007821CA"/>
    <w:rsid w:val="00782704"/>
    <w:rsid w:val="00782A48"/>
    <w:rsid w:val="00782B39"/>
    <w:rsid w:val="00782C86"/>
    <w:rsid w:val="00782E35"/>
    <w:rsid w:val="0078321E"/>
    <w:rsid w:val="0078397A"/>
    <w:rsid w:val="00783DD0"/>
    <w:rsid w:val="007845F3"/>
    <w:rsid w:val="0078487F"/>
    <w:rsid w:val="00784915"/>
    <w:rsid w:val="007855B6"/>
    <w:rsid w:val="007855DD"/>
    <w:rsid w:val="00785A2C"/>
    <w:rsid w:val="00786354"/>
    <w:rsid w:val="00786DB9"/>
    <w:rsid w:val="00787679"/>
    <w:rsid w:val="00787A33"/>
    <w:rsid w:val="00787B08"/>
    <w:rsid w:val="00787B53"/>
    <w:rsid w:val="007904D2"/>
    <w:rsid w:val="0079061E"/>
    <w:rsid w:val="00790EA2"/>
    <w:rsid w:val="007919B5"/>
    <w:rsid w:val="00791F41"/>
    <w:rsid w:val="00792046"/>
    <w:rsid w:val="007924E1"/>
    <w:rsid w:val="007925E7"/>
    <w:rsid w:val="0079264C"/>
    <w:rsid w:val="00792E56"/>
    <w:rsid w:val="00793128"/>
    <w:rsid w:val="00793B46"/>
    <w:rsid w:val="00793E92"/>
    <w:rsid w:val="0079434F"/>
    <w:rsid w:val="0079477B"/>
    <w:rsid w:val="00794FF1"/>
    <w:rsid w:val="00795324"/>
    <w:rsid w:val="007953F7"/>
    <w:rsid w:val="0079556D"/>
    <w:rsid w:val="0079557E"/>
    <w:rsid w:val="0079564C"/>
    <w:rsid w:val="00795727"/>
    <w:rsid w:val="00795BEB"/>
    <w:rsid w:val="00795C4D"/>
    <w:rsid w:val="00795CFF"/>
    <w:rsid w:val="00795FCD"/>
    <w:rsid w:val="00796500"/>
    <w:rsid w:val="00796AD8"/>
    <w:rsid w:val="00796E57"/>
    <w:rsid w:val="00796EC9"/>
    <w:rsid w:val="00797089"/>
    <w:rsid w:val="007970D7"/>
    <w:rsid w:val="00797244"/>
    <w:rsid w:val="0079762B"/>
    <w:rsid w:val="00797AC5"/>
    <w:rsid w:val="00797DD7"/>
    <w:rsid w:val="007A0551"/>
    <w:rsid w:val="007A0AEC"/>
    <w:rsid w:val="007A0B8E"/>
    <w:rsid w:val="007A0E5C"/>
    <w:rsid w:val="007A121A"/>
    <w:rsid w:val="007A1649"/>
    <w:rsid w:val="007A2292"/>
    <w:rsid w:val="007A2A39"/>
    <w:rsid w:val="007A2B08"/>
    <w:rsid w:val="007A2B6C"/>
    <w:rsid w:val="007A2F8E"/>
    <w:rsid w:val="007A31AB"/>
    <w:rsid w:val="007A3545"/>
    <w:rsid w:val="007A3964"/>
    <w:rsid w:val="007A3BA0"/>
    <w:rsid w:val="007A407B"/>
    <w:rsid w:val="007A431A"/>
    <w:rsid w:val="007A4390"/>
    <w:rsid w:val="007A49A1"/>
    <w:rsid w:val="007A49CF"/>
    <w:rsid w:val="007A4B3A"/>
    <w:rsid w:val="007A4E29"/>
    <w:rsid w:val="007A517C"/>
    <w:rsid w:val="007A5230"/>
    <w:rsid w:val="007A5423"/>
    <w:rsid w:val="007A55A1"/>
    <w:rsid w:val="007A5601"/>
    <w:rsid w:val="007A5732"/>
    <w:rsid w:val="007A5E9C"/>
    <w:rsid w:val="007A62C5"/>
    <w:rsid w:val="007A6654"/>
    <w:rsid w:val="007A6A80"/>
    <w:rsid w:val="007A6BCE"/>
    <w:rsid w:val="007A6C19"/>
    <w:rsid w:val="007A6D54"/>
    <w:rsid w:val="007A6DB8"/>
    <w:rsid w:val="007A6DEE"/>
    <w:rsid w:val="007A6EF8"/>
    <w:rsid w:val="007A700E"/>
    <w:rsid w:val="007A7848"/>
    <w:rsid w:val="007A7B31"/>
    <w:rsid w:val="007A7DD7"/>
    <w:rsid w:val="007A7E30"/>
    <w:rsid w:val="007B0BE1"/>
    <w:rsid w:val="007B0D93"/>
    <w:rsid w:val="007B0F94"/>
    <w:rsid w:val="007B1002"/>
    <w:rsid w:val="007B1716"/>
    <w:rsid w:val="007B1CBF"/>
    <w:rsid w:val="007B29B3"/>
    <w:rsid w:val="007B2B08"/>
    <w:rsid w:val="007B2D86"/>
    <w:rsid w:val="007B2E09"/>
    <w:rsid w:val="007B33D5"/>
    <w:rsid w:val="007B341D"/>
    <w:rsid w:val="007B391B"/>
    <w:rsid w:val="007B3A41"/>
    <w:rsid w:val="007B3BBC"/>
    <w:rsid w:val="007B3F31"/>
    <w:rsid w:val="007B42A6"/>
    <w:rsid w:val="007B4DB6"/>
    <w:rsid w:val="007B51C8"/>
    <w:rsid w:val="007B5222"/>
    <w:rsid w:val="007B5437"/>
    <w:rsid w:val="007B586C"/>
    <w:rsid w:val="007B5BD9"/>
    <w:rsid w:val="007B5F4B"/>
    <w:rsid w:val="007B6A8F"/>
    <w:rsid w:val="007B7317"/>
    <w:rsid w:val="007B76E8"/>
    <w:rsid w:val="007B7983"/>
    <w:rsid w:val="007B7FC1"/>
    <w:rsid w:val="007C00A6"/>
    <w:rsid w:val="007C01CB"/>
    <w:rsid w:val="007C05DE"/>
    <w:rsid w:val="007C066A"/>
    <w:rsid w:val="007C089D"/>
    <w:rsid w:val="007C13DF"/>
    <w:rsid w:val="007C16EF"/>
    <w:rsid w:val="007C1E63"/>
    <w:rsid w:val="007C20B9"/>
    <w:rsid w:val="007C2672"/>
    <w:rsid w:val="007C275A"/>
    <w:rsid w:val="007C281F"/>
    <w:rsid w:val="007C2C05"/>
    <w:rsid w:val="007C2C1B"/>
    <w:rsid w:val="007C2DF8"/>
    <w:rsid w:val="007C308A"/>
    <w:rsid w:val="007C339B"/>
    <w:rsid w:val="007C37F8"/>
    <w:rsid w:val="007C3AEF"/>
    <w:rsid w:val="007C3BB5"/>
    <w:rsid w:val="007C3DB3"/>
    <w:rsid w:val="007C42D5"/>
    <w:rsid w:val="007C48A0"/>
    <w:rsid w:val="007C4F4C"/>
    <w:rsid w:val="007C4F8D"/>
    <w:rsid w:val="007C56A4"/>
    <w:rsid w:val="007C5842"/>
    <w:rsid w:val="007C6340"/>
    <w:rsid w:val="007C6C2B"/>
    <w:rsid w:val="007C6CA2"/>
    <w:rsid w:val="007C79E6"/>
    <w:rsid w:val="007C7C90"/>
    <w:rsid w:val="007C7C9D"/>
    <w:rsid w:val="007C7CE0"/>
    <w:rsid w:val="007C7FA7"/>
    <w:rsid w:val="007D02AE"/>
    <w:rsid w:val="007D0303"/>
    <w:rsid w:val="007D04D5"/>
    <w:rsid w:val="007D0B7E"/>
    <w:rsid w:val="007D140C"/>
    <w:rsid w:val="007D158C"/>
    <w:rsid w:val="007D168D"/>
    <w:rsid w:val="007D176B"/>
    <w:rsid w:val="007D1854"/>
    <w:rsid w:val="007D1A20"/>
    <w:rsid w:val="007D21B9"/>
    <w:rsid w:val="007D2ED8"/>
    <w:rsid w:val="007D2EEF"/>
    <w:rsid w:val="007D2F39"/>
    <w:rsid w:val="007D2F4C"/>
    <w:rsid w:val="007D31BF"/>
    <w:rsid w:val="007D33BB"/>
    <w:rsid w:val="007D33C5"/>
    <w:rsid w:val="007D33EA"/>
    <w:rsid w:val="007D3980"/>
    <w:rsid w:val="007D3BFE"/>
    <w:rsid w:val="007D4164"/>
    <w:rsid w:val="007D43DB"/>
    <w:rsid w:val="007D4ED9"/>
    <w:rsid w:val="007D512E"/>
    <w:rsid w:val="007D5356"/>
    <w:rsid w:val="007D554D"/>
    <w:rsid w:val="007D55C2"/>
    <w:rsid w:val="007D5C36"/>
    <w:rsid w:val="007D608D"/>
    <w:rsid w:val="007D629B"/>
    <w:rsid w:val="007D6363"/>
    <w:rsid w:val="007D65A7"/>
    <w:rsid w:val="007D66AB"/>
    <w:rsid w:val="007D6963"/>
    <w:rsid w:val="007D6D4D"/>
    <w:rsid w:val="007D7626"/>
    <w:rsid w:val="007D7C09"/>
    <w:rsid w:val="007D7C39"/>
    <w:rsid w:val="007E0297"/>
    <w:rsid w:val="007E0B78"/>
    <w:rsid w:val="007E0C22"/>
    <w:rsid w:val="007E0E35"/>
    <w:rsid w:val="007E0EDB"/>
    <w:rsid w:val="007E0FF6"/>
    <w:rsid w:val="007E1A8E"/>
    <w:rsid w:val="007E1ABA"/>
    <w:rsid w:val="007E1B27"/>
    <w:rsid w:val="007E1CC4"/>
    <w:rsid w:val="007E1D6F"/>
    <w:rsid w:val="007E1EC3"/>
    <w:rsid w:val="007E1EE2"/>
    <w:rsid w:val="007E2095"/>
    <w:rsid w:val="007E28F0"/>
    <w:rsid w:val="007E296B"/>
    <w:rsid w:val="007E2E75"/>
    <w:rsid w:val="007E3150"/>
    <w:rsid w:val="007E3A04"/>
    <w:rsid w:val="007E3E02"/>
    <w:rsid w:val="007E3E28"/>
    <w:rsid w:val="007E3EFB"/>
    <w:rsid w:val="007E43B7"/>
    <w:rsid w:val="007E453C"/>
    <w:rsid w:val="007E4546"/>
    <w:rsid w:val="007E4D62"/>
    <w:rsid w:val="007E4EA3"/>
    <w:rsid w:val="007E5034"/>
    <w:rsid w:val="007E5518"/>
    <w:rsid w:val="007E5783"/>
    <w:rsid w:val="007E5A2B"/>
    <w:rsid w:val="007E5A35"/>
    <w:rsid w:val="007E5E8B"/>
    <w:rsid w:val="007E667B"/>
    <w:rsid w:val="007E7213"/>
    <w:rsid w:val="007E7F38"/>
    <w:rsid w:val="007F00E3"/>
    <w:rsid w:val="007F00EA"/>
    <w:rsid w:val="007F0558"/>
    <w:rsid w:val="007F075B"/>
    <w:rsid w:val="007F0B1D"/>
    <w:rsid w:val="007F0B88"/>
    <w:rsid w:val="007F0D61"/>
    <w:rsid w:val="007F1292"/>
    <w:rsid w:val="007F17F6"/>
    <w:rsid w:val="007F1835"/>
    <w:rsid w:val="007F24CC"/>
    <w:rsid w:val="007F271E"/>
    <w:rsid w:val="007F27EF"/>
    <w:rsid w:val="007F3414"/>
    <w:rsid w:val="007F3D2C"/>
    <w:rsid w:val="007F3E4B"/>
    <w:rsid w:val="007F3E53"/>
    <w:rsid w:val="007F3FBC"/>
    <w:rsid w:val="007F407D"/>
    <w:rsid w:val="007F41FC"/>
    <w:rsid w:val="007F42AD"/>
    <w:rsid w:val="007F4469"/>
    <w:rsid w:val="007F44E1"/>
    <w:rsid w:val="007F4844"/>
    <w:rsid w:val="007F489E"/>
    <w:rsid w:val="007F4BC6"/>
    <w:rsid w:val="007F4FA1"/>
    <w:rsid w:val="007F5005"/>
    <w:rsid w:val="007F51F5"/>
    <w:rsid w:val="007F5349"/>
    <w:rsid w:val="007F55D0"/>
    <w:rsid w:val="007F59C5"/>
    <w:rsid w:val="007F604C"/>
    <w:rsid w:val="007F63D3"/>
    <w:rsid w:val="007F6619"/>
    <w:rsid w:val="007F661E"/>
    <w:rsid w:val="007F692F"/>
    <w:rsid w:val="007F6C57"/>
    <w:rsid w:val="007F6F91"/>
    <w:rsid w:val="007F715F"/>
    <w:rsid w:val="007F742E"/>
    <w:rsid w:val="007F77C8"/>
    <w:rsid w:val="007F77FD"/>
    <w:rsid w:val="007F7898"/>
    <w:rsid w:val="007F7D66"/>
    <w:rsid w:val="008001FB"/>
    <w:rsid w:val="008002AA"/>
    <w:rsid w:val="0080037C"/>
    <w:rsid w:val="00800431"/>
    <w:rsid w:val="00800CAC"/>
    <w:rsid w:val="00800D14"/>
    <w:rsid w:val="008011A6"/>
    <w:rsid w:val="008011D8"/>
    <w:rsid w:val="0080124D"/>
    <w:rsid w:val="008019B4"/>
    <w:rsid w:val="0080223F"/>
    <w:rsid w:val="00802485"/>
    <w:rsid w:val="008025B7"/>
    <w:rsid w:val="00802691"/>
    <w:rsid w:val="00802DC7"/>
    <w:rsid w:val="00803352"/>
    <w:rsid w:val="00803471"/>
    <w:rsid w:val="00803531"/>
    <w:rsid w:val="00803566"/>
    <w:rsid w:val="008037CC"/>
    <w:rsid w:val="00803802"/>
    <w:rsid w:val="00803A43"/>
    <w:rsid w:val="00803C44"/>
    <w:rsid w:val="0080439D"/>
    <w:rsid w:val="00804663"/>
    <w:rsid w:val="00804981"/>
    <w:rsid w:val="00804D15"/>
    <w:rsid w:val="00804E26"/>
    <w:rsid w:val="00805036"/>
    <w:rsid w:val="008051D2"/>
    <w:rsid w:val="008054D7"/>
    <w:rsid w:val="008054EE"/>
    <w:rsid w:val="00805684"/>
    <w:rsid w:val="008058D8"/>
    <w:rsid w:val="00805B2B"/>
    <w:rsid w:val="00805B54"/>
    <w:rsid w:val="00806587"/>
    <w:rsid w:val="00806787"/>
    <w:rsid w:val="00806B79"/>
    <w:rsid w:val="00806FA8"/>
    <w:rsid w:val="00810372"/>
    <w:rsid w:val="00810808"/>
    <w:rsid w:val="00810DC4"/>
    <w:rsid w:val="00810F79"/>
    <w:rsid w:val="0081197F"/>
    <w:rsid w:val="00811B35"/>
    <w:rsid w:val="00811D10"/>
    <w:rsid w:val="00811E81"/>
    <w:rsid w:val="00812319"/>
    <w:rsid w:val="008123BA"/>
    <w:rsid w:val="00812404"/>
    <w:rsid w:val="00812F75"/>
    <w:rsid w:val="008130B2"/>
    <w:rsid w:val="00813A5F"/>
    <w:rsid w:val="00813A7F"/>
    <w:rsid w:val="00813ABF"/>
    <w:rsid w:val="008142A8"/>
    <w:rsid w:val="008144B9"/>
    <w:rsid w:val="0081474A"/>
    <w:rsid w:val="00814A34"/>
    <w:rsid w:val="00814B43"/>
    <w:rsid w:val="00814E71"/>
    <w:rsid w:val="0081565E"/>
    <w:rsid w:val="00815692"/>
    <w:rsid w:val="00815C68"/>
    <w:rsid w:val="00815EF0"/>
    <w:rsid w:val="008161EF"/>
    <w:rsid w:val="008164B3"/>
    <w:rsid w:val="008166BF"/>
    <w:rsid w:val="008170B5"/>
    <w:rsid w:val="008178EA"/>
    <w:rsid w:val="008178F6"/>
    <w:rsid w:val="0082047E"/>
    <w:rsid w:val="008205B1"/>
    <w:rsid w:val="00820780"/>
    <w:rsid w:val="0082089B"/>
    <w:rsid w:val="00820DA0"/>
    <w:rsid w:val="00820FB5"/>
    <w:rsid w:val="00820FB6"/>
    <w:rsid w:val="00821179"/>
    <w:rsid w:val="00821591"/>
    <w:rsid w:val="00821768"/>
    <w:rsid w:val="00821A27"/>
    <w:rsid w:val="00821E08"/>
    <w:rsid w:val="008222A1"/>
    <w:rsid w:val="00822667"/>
    <w:rsid w:val="008227F0"/>
    <w:rsid w:val="00822996"/>
    <w:rsid w:val="00822A46"/>
    <w:rsid w:val="00822B07"/>
    <w:rsid w:val="00822E39"/>
    <w:rsid w:val="008239D7"/>
    <w:rsid w:val="00823F8E"/>
    <w:rsid w:val="00823FC9"/>
    <w:rsid w:val="00824165"/>
    <w:rsid w:val="008241B6"/>
    <w:rsid w:val="00824225"/>
    <w:rsid w:val="008242D9"/>
    <w:rsid w:val="0082454B"/>
    <w:rsid w:val="00824757"/>
    <w:rsid w:val="00825382"/>
    <w:rsid w:val="00825CBD"/>
    <w:rsid w:val="00825F2B"/>
    <w:rsid w:val="00826232"/>
    <w:rsid w:val="00826DFA"/>
    <w:rsid w:val="00826F2A"/>
    <w:rsid w:val="00827061"/>
    <w:rsid w:val="008277FF"/>
    <w:rsid w:val="00830254"/>
    <w:rsid w:val="0083068A"/>
    <w:rsid w:val="0083126A"/>
    <w:rsid w:val="00831AA5"/>
    <w:rsid w:val="00831C33"/>
    <w:rsid w:val="00831CA2"/>
    <w:rsid w:val="008320A3"/>
    <w:rsid w:val="008323C6"/>
    <w:rsid w:val="008326F5"/>
    <w:rsid w:val="00832D8C"/>
    <w:rsid w:val="00833078"/>
    <w:rsid w:val="008333A1"/>
    <w:rsid w:val="0083351D"/>
    <w:rsid w:val="008338B8"/>
    <w:rsid w:val="00833CD8"/>
    <w:rsid w:val="00833FD2"/>
    <w:rsid w:val="00834056"/>
    <w:rsid w:val="00834105"/>
    <w:rsid w:val="008341B1"/>
    <w:rsid w:val="00834288"/>
    <w:rsid w:val="008342FF"/>
    <w:rsid w:val="008344EF"/>
    <w:rsid w:val="0083483E"/>
    <w:rsid w:val="00834B5D"/>
    <w:rsid w:val="00834BAB"/>
    <w:rsid w:val="00835060"/>
    <w:rsid w:val="00835331"/>
    <w:rsid w:val="00835B87"/>
    <w:rsid w:val="00835EFB"/>
    <w:rsid w:val="008363AF"/>
    <w:rsid w:val="00836568"/>
    <w:rsid w:val="00836686"/>
    <w:rsid w:val="00836B4E"/>
    <w:rsid w:val="00836DB9"/>
    <w:rsid w:val="00837144"/>
    <w:rsid w:val="00837328"/>
    <w:rsid w:val="00837859"/>
    <w:rsid w:val="008379BC"/>
    <w:rsid w:val="00837D70"/>
    <w:rsid w:val="008404E7"/>
    <w:rsid w:val="008410D1"/>
    <w:rsid w:val="00841691"/>
    <w:rsid w:val="00841724"/>
    <w:rsid w:val="00841B86"/>
    <w:rsid w:val="00842356"/>
    <w:rsid w:val="008428A9"/>
    <w:rsid w:val="00843791"/>
    <w:rsid w:val="00843A34"/>
    <w:rsid w:val="00843B2E"/>
    <w:rsid w:val="00843BCD"/>
    <w:rsid w:val="00843CDE"/>
    <w:rsid w:val="00843DE3"/>
    <w:rsid w:val="00844094"/>
    <w:rsid w:val="0084471B"/>
    <w:rsid w:val="00844C29"/>
    <w:rsid w:val="00844D83"/>
    <w:rsid w:val="00844DAA"/>
    <w:rsid w:val="00844E2E"/>
    <w:rsid w:val="0084518A"/>
    <w:rsid w:val="00845374"/>
    <w:rsid w:val="00845458"/>
    <w:rsid w:val="00845A10"/>
    <w:rsid w:val="00845A34"/>
    <w:rsid w:val="00845FFD"/>
    <w:rsid w:val="00846071"/>
    <w:rsid w:val="00846092"/>
    <w:rsid w:val="008460CE"/>
    <w:rsid w:val="008463E9"/>
    <w:rsid w:val="00846526"/>
    <w:rsid w:val="00846D30"/>
    <w:rsid w:val="00846E04"/>
    <w:rsid w:val="00847064"/>
    <w:rsid w:val="008472B3"/>
    <w:rsid w:val="008505C1"/>
    <w:rsid w:val="0085080B"/>
    <w:rsid w:val="008508C7"/>
    <w:rsid w:val="00850913"/>
    <w:rsid w:val="00850E5F"/>
    <w:rsid w:val="00850ED8"/>
    <w:rsid w:val="00850FA0"/>
    <w:rsid w:val="008514F8"/>
    <w:rsid w:val="008517D8"/>
    <w:rsid w:val="00851C61"/>
    <w:rsid w:val="00851E3F"/>
    <w:rsid w:val="00851F58"/>
    <w:rsid w:val="008521A1"/>
    <w:rsid w:val="00852341"/>
    <w:rsid w:val="0085255B"/>
    <w:rsid w:val="00852689"/>
    <w:rsid w:val="0085299D"/>
    <w:rsid w:val="00852A92"/>
    <w:rsid w:val="00852E02"/>
    <w:rsid w:val="00852FBE"/>
    <w:rsid w:val="00853057"/>
    <w:rsid w:val="008534BA"/>
    <w:rsid w:val="00853548"/>
    <w:rsid w:val="00853581"/>
    <w:rsid w:val="00853AE2"/>
    <w:rsid w:val="00853CAE"/>
    <w:rsid w:val="008543C6"/>
    <w:rsid w:val="0085447F"/>
    <w:rsid w:val="00854806"/>
    <w:rsid w:val="008549ED"/>
    <w:rsid w:val="00854C4B"/>
    <w:rsid w:val="00855023"/>
    <w:rsid w:val="008551D6"/>
    <w:rsid w:val="0085525B"/>
    <w:rsid w:val="0085538C"/>
    <w:rsid w:val="00855460"/>
    <w:rsid w:val="00855967"/>
    <w:rsid w:val="00855CB7"/>
    <w:rsid w:val="008560E0"/>
    <w:rsid w:val="00856171"/>
    <w:rsid w:val="008562D2"/>
    <w:rsid w:val="0085632B"/>
    <w:rsid w:val="00856739"/>
    <w:rsid w:val="00856895"/>
    <w:rsid w:val="008568B8"/>
    <w:rsid w:val="00856A2E"/>
    <w:rsid w:val="00856E95"/>
    <w:rsid w:val="00857111"/>
    <w:rsid w:val="0085716E"/>
    <w:rsid w:val="00857342"/>
    <w:rsid w:val="0085778E"/>
    <w:rsid w:val="00857844"/>
    <w:rsid w:val="00857D95"/>
    <w:rsid w:val="00857EEC"/>
    <w:rsid w:val="008601FE"/>
    <w:rsid w:val="00860232"/>
    <w:rsid w:val="00860521"/>
    <w:rsid w:val="00860535"/>
    <w:rsid w:val="00860536"/>
    <w:rsid w:val="00860DD1"/>
    <w:rsid w:val="00860FD8"/>
    <w:rsid w:val="0086132F"/>
    <w:rsid w:val="008614CB"/>
    <w:rsid w:val="00861758"/>
    <w:rsid w:val="0086197C"/>
    <w:rsid w:val="00862206"/>
    <w:rsid w:val="00862408"/>
    <w:rsid w:val="0086270F"/>
    <w:rsid w:val="00862ED2"/>
    <w:rsid w:val="00862F1A"/>
    <w:rsid w:val="00862F7E"/>
    <w:rsid w:val="0086305C"/>
    <w:rsid w:val="00863415"/>
    <w:rsid w:val="008634A9"/>
    <w:rsid w:val="008637B3"/>
    <w:rsid w:val="00863888"/>
    <w:rsid w:val="00863EF1"/>
    <w:rsid w:val="0086433F"/>
    <w:rsid w:val="008644B1"/>
    <w:rsid w:val="0086465E"/>
    <w:rsid w:val="00864E28"/>
    <w:rsid w:val="0086518D"/>
    <w:rsid w:val="008655ED"/>
    <w:rsid w:val="00865B13"/>
    <w:rsid w:val="00866348"/>
    <w:rsid w:val="0086681C"/>
    <w:rsid w:val="00867130"/>
    <w:rsid w:val="0086740B"/>
    <w:rsid w:val="0086750A"/>
    <w:rsid w:val="00867B2A"/>
    <w:rsid w:val="00867CC5"/>
    <w:rsid w:val="00867DFF"/>
    <w:rsid w:val="00867EB3"/>
    <w:rsid w:val="008704EA"/>
    <w:rsid w:val="008704F3"/>
    <w:rsid w:val="008706D9"/>
    <w:rsid w:val="00870718"/>
    <w:rsid w:val="0087179B"/>
    <w:rsid w:val="008717D5"/>
    <w:rsid w:val="00871D4C"/>
    <w:rsid w:val="00871F6E"/>
    <w:rsid w:val="00872262"/>
    <w:rsid w:val="00872507"/>
    <w:rsid w:val="00872F2A"/>
    <w:rsid w:val="0087304F"/>
    <w:rsid w:val="00873114"/>
    <w:rsid w:val="008734C7"/>
    <w:rsid w:val="008736FA"/>
    <w:rsid w:val="008739FD"/>
    <w:rsid w:val="00873D5F"/>
    <w:rsid w:val="00873F2A"/>
    <w:rsid w:val="00874566"/>
    <w:rsid w:val="008748B7"/>
    <w:rsid w:val="00874927"/>
    <w:rsid w:val="0087499E"/>
    <w:rsid w:val="00874D11"/>
    <w:rsid w:val="0087506F"/>
    <w:rsid w:val="00875A48"/>
    <w:rsid w:val="00875DF2"/>
    <w:rsid w:val="00876066"/>
    <w:rsid w:val="00876552"/>
    <w:rsid w:val="0087663F"/>
    <w:rsid w:val="00876BFC"/>
    <w:rsid w:val="00876E9C"/>
    <w:rsid w:val="00876F3A"/>
    <w:rsid w:val="00876FEA"/>
    <w:rsid w:val="008770DA"/>
    <w:rsid w:val="00877421"/>
    <w:rsid w:val="008775C6"/>
    <w:rsid w:val="00877E24"/>
    <w:rsid w:val="00880066"/>
    <w:rsid w:val="0088063D"/>
    <w:rsid w:val="008807FA"/>
    <w:rsid w:val="00880854"/>
    <w:rsid w:val="00880A94"/>
    <w:rsid w:val="00880DC4"/>
    <w:rsid w:val="00881A78"/>
    <w:rsid w:val="00881B3C"/>
    <w:rsid w:val="00881B9A"/>
    <w:rsid w:val="00882022"/>
    <w:rsid w:val="00882034"/>
    <w:rsid w:val="0088220B"/>
    <w:rsid w:val="00882870"/>
    <w:rsid w:val="00882B60"/>
    <w:rsid w:val="008832D2"/>
    <w:rsid w:val="00883927"/>
    <w:rsid w:val="00883B51"/>
    <w:rsid w:val="00884069"/>
    <w:rsid w:val="008841DE"/>
    <w:rsid w:val="008845DF"/>
    <w:rsid w:val="00884621"/>
    <w:rsid w:val="008848CE"/>
    <w:rsid w:val="0088504C"/>
    <w:rsid w:val="00885422"/>
    <w:rsid w:val="00885852"/>
    <w:rsid w:val="0088587E"/>
    <w:rsid w:val="00885E45"/>
    <w:rsid w:val="00886684"/>
    <w:rsid w:val="0088696D"/>
    <w:rsid w:val="00886ACA"/>
    <w:rsid w:val="00886B4F"/>
    <w:rsid w:val="00887161"/>
    <w:rsid w:val="00887DF3"/>
    <w:rsid w:val="00887E31"/>
    <w:rsid w:val="0089012B"/>
    <w:rsid w:val="00890433"/>
    <w:rsid w:val="00890905"/>
    <w:rsid w:val="00890A95"/>
    <w:rsid w:val="00890B14"/>
    <w:rsid w:val="00890C37"/>
    <w:rsid w:val="00890F18"/>
    <w:rsid w:val="00890FF5"/>
    <w:rsid w:val="0089108D"/>
    <w:rsid w:val="00892800"/>
    <w:rsid w:val="008929A6"/>
    <w:rsid w:val="00892C8C"/>
    <w:rsid w:val="00892EC9"/>
    <w:rsid w:val="00892F13"/>
    <w:rsid w:val="0089385F"/>
    <w:rsid w:val="008938A0"/>
    <w:rsid w:val="00893949"/>
    <w:rsid w:val="00893B67"/>
    <w:rsid w:val="00894B90"/>
    <w:rsid w:val="00894EDB"/>
    <w:rsid w:val="008950A0"/>
    <w:rsid w:val="0089562A"/>
    <w:rsid w:val="0089570A"/>
    <w:rsid w:val="00895718"/>
    <w:rsid w:val="00895A38"/>
    <w:rsid w:val="00895DAE"/>
    <w:rsid w:val="00896068"/>
    <w:rsid w:val="008963AE"/>
    <w:rsid w:val="00896635"/>
    <w:rsid w:val="0089674C"/>
    <w:rsid w:val="0089678C"/>
    <w:rsid w:val="00897FC0"/>
    <w:rsid w:val="008A0023"/>
    <w:rsid w:val="008A0872"/>
    <w:rsid w:val="008A0920"/>
    <w:rsid w:val="008A0921"/>
    <w:rsid w:val="008A0C5C"/>
    <w:rsid w:val="008A1087"/>
    <w:rsid w:val="008A11FB"/>
    <w:rsid w:val="008A1211"/>
    <w:rsid w:val="008A1291"/>
    <w:rsid w:val="008A136F"/>
    <w:rsid w:val="008A178C"/>
    <w:rsid w:val="008A1AF4"/>
    <w:rsid w:val="008A1B0A"/>
    <w:rsid w:val="008A1BF7"/>
    <w:rsid w:val="008A1E03"/>
    <w:rsid w:val="008A1FB9"/>
    <w:rsid w:val="008A2397"/>
    <w:rsid w:val="008A2A0D"/>
    <w:rsid w:val="008A332E"/>
    <w:rsid w:val="008A346E"/>
    <w:rsid w:val="008A3563"/>
    <w:rsid w:val="008A37BE"/>
    <w:rsid w:val="008A3849"/>
    <w:rsid w:val="008A38B0"/>
    <w:rsid w:val="008A39A2"/>
    <w:rsid w:val="008A3BE0"/>
    <w:rsid w:val="008A42A9"/>
    <w:rsid w:val="008A43C3"/>
    <w:rsid w:val="008A44CE"/>
    <w:rsid w:val="008A51E1"/>
    <w:rsid w:val="008A53AD"/>
    <w:rsid w:val="008A5F4E"/>
    <w:rsid w:val="008A60D0"/>
    <w:rsid w:val="008A6978"/>
    <w:rsid w:val="008A6983"/>
    <w:rsid w:val="008A6A08"/>
    <w:rsid w:val="008A6D24"/>
    <w:rsid w:val="008A6DB2"/>
    <w:rsid w:val="008A71E7"/>
    <w:rsid w:val="008A74AD"/>
    <w:rsid w:val="008A75DD"/>
    <w:rsid w:val="008A7AD3"/>
    <w:rsid w:val="008A7DD2"/>
    <w:rsid w:val="008B0167"/>
    <w:rsid w:val="008B044A"/>
    <w:rsid w:val="008B0515"/>
    <w:rsid w:val="008B05A5"/>
    <w:rsid w:val="008B0E74"/>
    <w:rsid w:val="008B1225"/>
    <w:rsid w:val="008B126C"/>
    <w:rsid w:val="008B1568"/>
    <w:rsid w:val="008B15FC"/>
    <w:rsid w:val="008B1B09"/>
    <w:rsid w:val="008B1C47"/>
    <w:rsid w:val="008B2033"/>
    <w:rsid w:val="008B22F4"/>
    <w:rsid w:val="008B278D"/>
    <w:rsid w:val="008B28BB"/>
    <w:rsid w:val="008B29BA"/>
    <w:rsid w:val="008B2CF2"/>
    <w:rsid w:val="008B2F33"/>
    <w:rsid w:val="008B3385"/>
    <w:rsid w:val="008B39CA"/>
    <w:rsid w:val="008B3C29"/>
    <w:rsid w:val="008B4504"/>
    <w:rsid w:val="008B47B1"/>
    <w:rsid w:val="008B4ABF"/>
    <w:rsid w:val="008B4E06"/>
    <w:rsid w:val="008B4FB5"/>
    <w:rsid w:val="008B5430"/>
    <w:rsid w:val="008B54D5"/>
    <w:rsid w:val="008B5767"/>
    <w:rsid w:val="008B600B"/>
    <w:rsid w:val="008B754A"/>
    <w:rsid w:val="008B783E"/>
    <w:rsid w:val="008B788B"/>
    <w:rsid w:val="008B7BF0"/>
    <w:rsid w:val="008B7EA5"/>
    <w:rsid w:val="008C0015"/>
    <w:rsid w:val="008C0018"/>
    <w:rsid w:val="008C06A3"/>
    <w:rsid w:val="008C075B"/>
    <w:rsid w:val="008C07D5"/>
    <w:rsid w:val="008C0BDC"/>
    <w:rsid w:val="008C0BFD"/>
    <w:rsid w:val="008C17E2"/>
    <w:rsid w:val="008C1829"/>
    <w:rsid w:val="008C18ED"/>
    <w:rsid w:val="008C1A3E"/>
    <w:rsid w:val="008C1B20"/>
    <w:rsid w:val="008C1BAA"/>
    <w:rsid w:val="008C2819"/>
    <w:rsid w:val="008C2ABF"/>
    <w:rsid w:val="008C32C3"/>
    <w:rsid w:val="008C3349"/>
    <w:rsid w:val="008C37E1"/>
    <w:rsid w:val="008C3B03"/>
    <w:rsid w:val="008C3DBB"/>
    <w:rsid w:val="008C3FE3"/>
    <w:rsid w:val="008C405D"/>
    <w:rsid w:val="008C4166"/>
    <w:rsid w:val="008C4853"/>
    <w:rsid w:val="008C4DEF"/>
    <w:rsid w:val="008C531D"/>
    <w:rsid w:val="008C53C1"/>
    <w:rsid w:val="008C574A"/>
    <w:rsid w:val="008C5C69"/>
    <w:rsid w:val="008C5D56"/>
    <w:rsid w:val="008C615F"/>
    <w:rsid w:val="008C63F8"/>
    <w:rsid w:val="008C67A3"/>
    <w:rsid w:val="008C688C"/>
    <w:rsid w:val="008C6924"/>
    <w:rsid w:val="008C6AA5"/>
    <w:rsid w:val="008C717A"/>
    <w:rsid w:val="008C72DD"/>
    <w:rsid w:val="008C75D9"/>
    <w:rsid w:val="008C7619"/>
    <w:rsid w:val="008C7B63"/>
    <w:rsid w:val="008D05CF"/>
    <w:rsid w:val="008D05D2"/>
    <w:rsid w:val="008D0890"/>
    <w:rsid w:val="008D0B6D"/>
    <w:rsid w:val="008D0B8C"/>
    <w:rsid w:val="008D0F3D"/>
    <w:rsid w:val="008D15C7"/>
    <w:rsid w:val="008D1812"/>
    <w:rsid w:val="008D1962"/>
    <w:rsid w:val="008D1BBD"/>
    <w:rsid w:val="008D1DFA"/>
    <w:rsid w:val="008D29CF"/>
    <w:rsid w:val="008D2A34"/>
    <w:rsid w:val="008D3ACB"/>
    <w:rsid w:val="008D3BE7"/>
    <w:rsid w:val="008D3BEC"/>
    <w:rsid w:val="008D3D8E"/>
    <w:rsid w:val="008D43B4"/>
    <w:rsid w:val="008D4A46"/>
    <w:rsid w:val="008D4B5D"/>
    <w:rsid w:val="008D4BA7"/>
    <w:rsid w:val="008D4EF8"/>
    <w:rsid w:val="008D50CC"/>
    <w:rsid w:val="008D5A97"/>
    <w:rsid w:val="008D5D9D"/>
    <w:rsid w:val="008D6582"/>
    <w:rsid w:val="008D6B66"/>
    <w:rsid w:val="008D6D8E"/>
    <w:rsid w:val="008D72FE"/>
    <w:rsid w:val="008D7346"/>
    <w:rsid w:val="008D7507"/>
    <w:rsid w:val="008D78F0"/>
    <w:rsid w:val="008D7906"/>
    <w:rsid w:val="008D79B7"/>
    <w:rsid w:val="008E0201"/>
    <w:rsid w:val="008E0CEA"/>
    <w:rsid w:val="008E0F0A"/>
    <w:rsid w:val="008E10CD"/>
    <w:rsid w:val="008E11F2"/>
    <w:rsid w:val="008E138B"/>
    <w:rsid w:val="008E1617"/>
    <w:rsid w:val="008E1719"/>
    <w:rsid w:val="008E19E5"/>
    <w:rsid w:val="008E1C39"/>
    <w:rsid w:val="008E1D48"/>
    <w:rsid w:val="008E1DBF"/>
    <w:rsid w:val="008E1EF8"/>
    <w:rsid w:val="008E2084"/>
    <w:rsid w:val="008E2299"/>
    <w:rsid w:val="008E2369"/>
    <w:rsid w:val="008E265C"/>
    <w:rsid w:val="008E2668"/>
    <w:rsid w:val="008E26B2"/>
    <w:rsid w:val="008E2D79"/>
    <w:rsid w:val="008E2F68"/>
    <w:rsid w:val="008E3059"/>
    <w:rsid w:val="008E33F1"/>
    <w:rsid w:val="008E33F7"/>
    <w:rsid w:val="008E356A"/>
    <w:rsid w:val="008E3649"/>
    <w:rsid w:val="008E40DD"/>
    <w:rsid w:val="008E44F3"/>
    <w:rsid w:val="008E4533"/>
    <w:rsid w:val="008E4918"/>
    <w:rsid w:val="008E5098"/>
    <w:rsid w:val="008E5157"/>
    <w:rsid w:val="008E529B"/>
    <w:rsid w:val="008E5982"/>
    <w:rsid w:val="008E5B91"/>
    <w:rsid w:val="008E5C5C"/>
    <w:rsid w:val="008E5F12"/>
    <w:rsid w:val="008E6204"/>
    <w:rsid w:val="008E628C"/>
    <w:rsid w:val="008E63A4"/>
    <w:rsid w:val="008E6491"/>
    <w:rsid w:val="008E64D7"/>
    <w:rsid w:val="008E67E4"/>
    <w:rsid w:val="008E6C90"/>
    <w:rsid w:val="008E705E"/>
    <w:rsid w:val="008E724B"/>
    <w:rsid w:val="008E7374"/>
    <w:rsid w:val="008E73CF"/>
    <w:rsid w:val="008E749A"/>
    <w:rsid w:val="008E75C7"/>
    <w:rsid w:val="008E7F66"/>
    <w:rsid w:val="008F0159"/>
    <w:rsid w:val="008F039A"/>
    <w:rsid w:val="008F0AA8"/>
    <w:rsid w:val="008F11A1"/>
    <w:rsid w:val="008F11C2"/>
    <w:rsid w:val="008F13C4"/>
    <w:rsid w:val="008F165A"/>
    <w:rsid w:val="008F1D52"/>
    <w:rsid w:val="008F1D56"/>
    <w:rsid w:val="008F2004"/>
    <w:rsid w:val="008F208D"/>
    <w:rsid w:val="008F2488"/>
    <w:rsid w:val="008F2857"/>
    <w:rsid w:val="008F29A4"/>
    <w:rsid w:val="008F33A5"/>
    <w:rsid w:val="008F37C7"/>
    <w:rsid w:val="008F409C"/>
    <w:rsid w:val="008F41BB"/>
    <w:rsid w:val="008F449E"/>
    <w:rsid w:val="008F4AE2"/>
    <w:rsid w:val="008F4AEB"/>
    <w:rsid w:val="008F54D5"/>
    <w:rsid w:val="008F5570"/>
    <w:rsid w:val="008F5DF6"/>
    <w:rsid w:val="008F5FDC"/>
    <w:rsid w:val="008F706A"/>
    <w:rsid w:val="008F70C6"/>
    <w:rsid w:val="008F70D7"/>
    <w:rsid w:val="008F7475"/>
    <w:rsid w:val="008F79BA"/>
    <w:rsid w:val="008F7C7B"/>
    <w:rsid w:val="008F7D26"/>
    <w:rsid w:val="00900321"/>
    <w:rsid w:val="009008D6"/>
    <w:rsid w:val="00900DBA"/>
    <w:rsid w:val="00901014"/>
    <w:rsid w:val="0090175C"/>
    <w:rsid w:val="0090183C"/>
    <w:rsid w:val="009021AA"/>
    <w:rsid w:val="009029BF"/>
    <w:rsid w:val="00902C4F"/>
    <w:rsid w:val="00902D35"/>
    <w:rsid w:val="00902EB8"/>
    <w:rsid w:val="009032E6"/>
    <w:rsid w:val="009035F9"/>
    <w:rsid w:val="009038FC"/>
    <w:rsid w:val="00903ECC"/>
    <w:rsid w:val="00904120"/>
    <w:rsid w:val="009046A5"/>
    <w:rsid w:val="00904878"/>
    <w:rsid w:val="00904990"/>
    <w:rsid w:val="009049FA"/>
    <w:rsid w:val="00904FAA"/>
    <w:rsid w:val="00905728"/>
    <w:rsid w:val="009059B8"/>
    <w:rsid w:val="00905C3B"/>
    <w:rsid w:val="00905EC4"/>
    <w:rsid w:val="00906A9D"/>
    <w:rsid w:val="00906C0C"/>
    <w:rsid w:val="00907887"/>
    <w:rsid w:val="00907A70"/>
    <w:rsid w:val="00907BA3"/>
    <w:rsid w:val="00907DA8"/>
    <w:rsid w:val="009107C7"/>
    <w:rsid w:val="00910FF6"/>
    <w:rsid w:val="009110F6"/>
    <w:rsid w:val="00911411"/>
    <w:rsid w:val="009114AB"/>
    <w:rsid w:val="0091163E"/>
    <w:rsid w:val="009116DB"/>
    <w:rsid w:val="00911FCE"/>
    <w:rsid w:val="009121E8"/>
    <w:rsid w:val="00912244"/>
    <w:rsid w:val="009125F7"/>
    <w:rsid w:val="00913348"/>
    <w:rsid w:val="009136B4"/>
    <w:rsid w:val="009136B6"/>
    <w:rsid w:val="00913701"/>
    <w:rsid w:val="00913705"/>
    <w:rsid w:val="00913901"/>
    <w:rsid w:val="00913CF2"/>
    <w:rsid w:val="009141E6"/>
    <w:rsid w:val="009142FF"/>
    <w:rsid w:val="00914561"/>
    <w:rsid w:val="00914718"/>
    <w:rsid w:val="009149F5"/>
    <w:rsid w:val="00914FBB"/>
    <w:rsid w:val="00915471"/>
    <w:rsid w:val="0091580E"/>
    <w:rsid w:val="00915EDD"/>
    <w:rsid w:val="00915F8A"/>
    <w:rsid w:val="0091620E"/>
    <w:rsid w:val="0091669C"/>
    <w:rsid w:val="00916F23"/>
    <w:rsid w:val="00917012"/>
    <w:rsid w:val="0091733F"/>
    <w:rsid w:val="00917C44"/>
    <w:rsid w:val="00917CF5"/>
    <w:rsid w:val="00917FC0"/>
    <w:rsid w:val="00920124"/>
    <w:rsid w:val="0092054D"/>
    <w:rsid w:val="0092064A"/>
    <w:rsid w:val="00920804"/>
    <w:rsid w:val="00920F38"/>
    <w:rsid w:val="00921216"/>
    <w:rsid w:val="00922362"/>
    <w:rsid w:val="00922568"/>
    <w:rsid w:val="009227F6"/>
    <w:rsid w:val="009228CD"/>
    <w:rsid w:val="009232BD"/>
    <w:rsid w:val="00923391"/>
    <w:rsid w:val="009235BB"/>
    <w:rsid w:val="0092394B"/>
    <w:rsid w:val="00923A80"/>
    <w:rsid w:val="0092451A"/>
    <w:rsid w:val="00924963"/>
    <w:rsid w:val="00925190"/>
    <w:rsid w:val="009252A3"/>
    <w:rsid w:val="00925B51"/>
    <w:rsid w:val="00925F50"/>
    <w:rsid w:val="009262E8"/>
    <w:rsid w:val="00926496"/>
    <w:rsid w:val="009265C8"/>
    <w:rsid w:val="0092682D"/>
    <w:rsid w:val="009268A9"/>
    <w:rsid w:val="009275BF"/>
    <w:rsid w:val="009276C0"/>
    <w:rsid w:val="009279B7"/>
    <w:rsid w:val="009279D3"/>
    <w:rsid w:val="009279D5"/>
    <w:rsid w:val="00927A29"/>
    <w:rsid w:val="00927A5A"/>
    <w:rsid w:val="00927B07"/>
    <w:rsid w:val="00927BF0"/>
    <w:rsid w:val="00927D1F"/>
    <w:rsid w:val="00927F30"/>
    <w:rsid w:val="00930837"/>
    <w:rsid w:val="00930B71"/>
    <w:rsid w:val="00930BC8"/>
    <w:rsid w:val="00930CB4"/>
    <w:rsid w:val="0093111A"/>
    <w:rsid w:val="0093127E"/>
    <w:rsid w:val="0093144D"/>
    <w:rsid w:val="00931497"/>
    <w:rsid w:val="0093150C"/>
    <w:rsid w:val="00932EF2"/>
    <w:rsid w:val="0093345B"/>
    <w:rsid w:val="0093387B"/>
    <w:rsid w:val="00933A57"/>
    <w:rsid w:val="00934239"/>
    <w:rsid w:val="00934B3B"/>
    <w:rsid w:val="00934CDE"/>
    <w:rsid w:val="00934FA7"/>
    <w:rsid w:val="009350A4"/>
    <w:rsid w:val="009352D3"/>
    <w:rsid w:val="009363B3"/>
    <w:rsid w:val="0093664C"/>
    <w:rsid w:val="00936803"/>
    <w:rsid w:val="00936FD3"/>
    <w:rsid w:val="00937392"/>
    <w:rsid w:val="009374BB"/>
    <w:rsid w:val="0093757E"/>
    <w:rsid w:val="00937741"/>
    <w:rsid w:val="00937756"/>
    <w:rsid w:val="00937776"/>
    <w:rsid w:val="00937817"/>
    <w:rsid w:val="00937F70"/>
    <w:rsid w:val="00937FF4"/>
    <w:rsid w:val="0094057C"/>
    <w:rsid w:val="00940B83"/>
    <w:rsid w:val="00940BB3"/>
    <w:rsid w:val="00940F14"/>
    <w:rsid w:val="009413A8"/>
    <w:rsid w:val="009415FD"/>
    <w:rsid w:val="00941EE8"/>
    <w:rsid w:val="0094207A"/>
    <w:rsid w:val="00942093"/>
    <w:rsid w:val="0094217C"/>
    <w:rsid w:val="00942312"/>
    <w:rsid w:val="009423DD"/>
    <w:rsid w:val="00942401"/>
    <w:rsid w:val="00942420"/>
    <w:rsid w:val="00942A5B"/>
    <w:rsid w:val="00942E40"/>
    <w:rsid w:val="00942EDC"/>
    <w:rsid w:val="009434C7"/>
    <w:rsid w:val="00943C63"/>
    <w:rsid w:val="009447EC"/>
    <w:rsid w:val="00944FE3"/>
    <w:rsid w:val="00945653"/>
    <w:rsid w:val="0094577A"/>
    <w:rsid w:val="00945888"/>
    <w:rsid w:val="0094599E"/>
    <w:rsid w:val="00945A5E"/>
    <w:rsid w:val="00945BA9"/>
    <w:rsid w:val="009460F1"/>
    <w:rsid w:val="0094641B"/>
    <w:rsid w:val="00946707"/>
    <w:rsid w:val="0094678A"/>
    <w:rsid w:val="0094686C"/>
    <w:rsid w:val="0094687C"/>
    <w:rsid w:val="0094723D"/>
    <w:rsid w:val="009472F9"/>
    <w:rsid w:val="00947474"/>
    <w:rsid w:val="0094758F"/>
    <w:rsid w:val="00950187"/>
    <w:rsid w:val="00950269"/>
    <w:rsid w:val="00950387"/>
    <w:rsid w:val="00950A91"/>
    <w:rsid w:val="00950AA8"/>
    <w:rsid w:val="00950F3A"/>
    <w:rsid w:val="00951865"/>
    <w:rsid w:val="00951939"/>
    <w:rsid w:val="009521FD"/>
    <w:rsid w:val="009523EF"/>
    <w:rsid w:val="009524B0"/>
    <w:rsid w:val="009528D2"/>
    <w:rsid w:val="00952A5D"/>
    <w:rsid w:val="00953165"/>
    <w:rsid w:val="0095398B"/>
    <w:rsid w:val="00954084"/>
    <w:rsid w:val="0095425D"/>
    <w:rsid w:val="00954C75"/>
    <w:rsid w:val="00954CBA"/>
    <w:rsid w:val="009555B7"/>
    <w:rsid w:val="009556F2"/>
    <w:rsid w:val="00955C08"/>
    <w:rsid w:val="00955C5E"/>
    <w:rsid w:val="00955CCF"/>
    <w:rsid w:val="00956471"/>
    <w:rsid w:val="00956AF4"/>
    <w:rsid w:val="00956D90"/>
    <w:rsid w:val="00956F6F"/>
    <w:rsid w:val="00956FA4"/>
    <w:rsid w:val="00957494"/>
    <w:rsid w:val="00957752"/>
    <w:rsid w:val="00957B01"/>
    <w:rsid w:val="0096078D"/>
    <w:rsid w:val="00960890"/>
    <w:rsid w:val="009608D1"/>
    <w:rsid w:val="009609CE"/>
    <w:rsid w:val="00960D32"/>
    <w:rsid w:val="00960D6A"/>
    <w:rsid w:val="009611E7"/>
    <w:rsid w:val="0096156A"/>
    <w:rsid w:val="009618A9"/>
    <w:rsid w:val="00961B6D"/>
    <w:rsid w:val="00961C56"/>
    <w:rsid w:val="009620D4"/>
    <w:rsid w:val="00962341"/>
    <w:rsid w:val="0096271F"/>
    <w:rsid w:val="00962D16"/>
    <w:rsid w:val="00962F03"/>
    <w:rsid w:val="0096354D"/>
    <w:rsid w:val="009635EE"/>
    <w:rsid w:val="0096378E"/>
    <w:rsid w:val="00963AF0"/>
    <w:rsid w:val="00963B10"/>
    <w:rsid w:val="00963E3D"/>
    <w:rsid w:val="00963E8C"/>
    <w:rsid w:val="0096480C"/>
    <w:rsid w:val="00964BE2"/>
    <w:rsid w:val="00965470"/>
    <w:rsid w:val="00965485"/>
    <w:rsid w:val="00965621"/>
    <w:rsid w:val="009660AF"/>
    <w:rsid w:val="0096611B"/>
    <w:rsid w:val="00966729"/>
    <w:rsid w:val="00966744"/>
    <w:rsid w:val="00966932"/>
    <w:rsid w:val="00966A3E"/>
    <w:rsid w:val="00966C18"/>
    <w:rsid w:val="00967336"/>
    <w:rsid w:val="009675CA"/>
    <w:rsid w:val="00967647"/>
    <w:rsid w:val="0097015F"/>
    <w:rsid w:val="00970B17"/>
    <w:rsid w:val="00970BA7"/>
    <w:rsid w:val="00970EF0"/>
    <w:rsid w:val="00970FB1"/>
    <w:rsid w:val="009713AA"/>
    <w:rsid w:val="00971504"/>
    <w:rsid w:val="009715DB"/>
    <w:rsid w:val="0097167A"/>
    <w:rsid w:val="00971BA7"/>
    <w:rsid w:val="00971C5F"/>
    <w:rsid w:val="00972AE8"/>
    <w:rsid w:val="00972AF7"/>
    <w:rsid w:val="00972DE2"/>
    <w:rsid w:val="00972E2B"/>
    <w:rsid w:val="00972F68"/>
    <w:rsid w:val="00972FD4"/>
    <w:rsid w:val="0097369B"/>
    <w:rsid w:val="00973D08"/>
    <w:rsid w:val="00974022"/>
    <w:rsid w:val="00974037"/>
    <w:rsid w:val="0097404B"/>
    <w:rsid w:val="00974117"/>
    <w:rsid w:val="0097445B"/>
    <w:rsid w:val="00974803"/>
    <w:rsid w:val="00974A5D"/>
    <w:rsid w:val="00974BBD"/>
    <w:rsid w:val="00974E0A"/>
    <w:rsid w:val="009752EA"/>
    <w:rsid w:val="0097530C"/>
    <w:rsid w:val="009759EE"/>
    <w:rsid w:val="00975A6D"/>
    <w:rsid w:val="00975B46"/>
    <w:rsid w:val="00975C87"/>
    <w:rsid w:val="00975F1A"/>
    <w:rsid w:val="00976D58"/>
    <w:rsid w:val="00976F30"/>
    <w:rsid w:val="00977018"/>
    <w:rsid w:val="009770C4"/>
    <w:rsid w:val="009772BE"/>
    <w:rsid w:val="0097739D"/>
    <w:rsid w:val="0097743C"/>
    <w:rsid w:val="009777A7"/>
    <w:rsid w:val="00977A5A"/>
    <w:rsid w:val="00977E67"/>
    <w:rsid w:val="00980039"/>
    <w:rsid w:val="00980185"/>
    <w:rsid w:val="00980217"/>
    <w:rsid w:val="00980340"/>
    <w:rsid w:val="0098069F"/>
    <w:rsid w:val="00980C9C"/>
    <w:rsid w:val="00980F00"/>
    <w:rsid w:val="0098118B"/>
    <w:rsid w:val="00981385"/>
    <w:rsid w:val="00981550"/>
    <w:rsid w:val="00981581"/>
    <w:rsid w:val="00981CB7"/>
    <w:rsid w:val="00981DA7"/>
    <w:rsid w:val="00982293"/>
    <w:rsid w:val="00982804"/>
    <w:rsid w:val="0098280A"/>
    <w:rsid w:val="00982843"/>
    <w:rsid w:val="00982979"/>
    <w:rsid w:val="00982CC5"/>
    <w:rsid w:val="00982F4C"/>
    <w:rsid w:val="00983234"/>
    <w:rsid w:val="009835F4"/>
    <w:rsid w:val="00983C7D"/>
    <w:rsid w:val="009840C0"/>
    <w:rsid w:val="00984615"/>
    <w:rsid w:val="00984816"/>
    <w:rsid w:val="009848D3"/>
    <w:rsid w:val="00984D33"/>
    <w:rsid w:val="00984F94"/>
    <w:rsid w:val="00984FC1"/>
    <w:rsid w:val="00985686"/>
    <w:rsid w:val="00985912"/>
    <w:rsid w:val="00985D57"/>
    <w:rsid w:val="0098613D"/>
    <w:rsid w:val="009861D4"/>
    <w:rsid w:val="00986397"/>
    <w:rsid w:val="00986530"/>
    <w:rsid w:val="009868E5"/>
    <w:rsid w:val="00986C19"/>
    <w:rsid w:val="0098703F"/>
    <w:rsid w:val="009871D2"/>
    <w:rsid w:val="00987DBF"/>
    <w:rsid w:val="00987F8E"/>
    <w:rsid w:val="00990B01"/>
    <w:rsid w:val="00990DF6"/>
    <w:rsid w:val="00990E6A"/>
    <w:rsid w:val="00990E8D"/>
    <w:rsid w:val="00990FD4"/>
    <w:rsid w:val="009915AA"/>
    <w:rsid w:val="00991A7B"/>
    <w:rsid w:val="00991C8C"/>
    <w:rsid w:val="0099211A"/>
    <w:rsid w:val="0099223A"/>
    <w:rsid w:val="0099225C"/>
    <w:rsid w:val="009924E5"/>
    <w:rsid w:val="009929F2"/>
    <w:rsid w:val="00992B9E"/>
    <w:rsid w:val="00992BE5"/>
    <w:rsid w:val="00993406"/>
    <w:rsid w:val="00993856"/>
    <w:rsid w:val="00993A73"/>
    <w:rsid w:val="00993ADB"/>
    <w:rsid w:val="00993C02"/>
    <w:rsid w:val="00993CC5"/>
    <w:rsid w:val="00993D6A"/>
    <w:rsid w:val="00993E18"/>
    <w:rsid w:val="00993F0A"/>
    <w:rsid w:val="00994139"/>
    <w:rsid w:val="0099427E"/>
    <w:rsid w:val="00994317"/>
    <w:rsid w:val="00994830"/>
    <w:rsid w:val="00994A70"/>
    <w:rsid w:val="00994B50"/>
    <w:rsid w:val="00994D48"/>
    <w:rsid w:val="0099569E"/>
    <w:rsid w:val="00995DC5"/>
    <w:rsid w:val="00996530"/>
    <w:rsid w:val="009969B5"/>
    <w:rsid w:val="00996B7C"/>
    <w:rsid w:val="00996DC6"/>
    <w:rsid w:val="00997A7A"/>
    <w:rsid w:val="00997C14"/>
    <w:rsid w:val="00997DBA"/>
    <w:rsid w:val="009A00C3"/>
    <w:rsid w:val="009A018B"/>
    <w:rsid w:val="009A0777"/>
    <w:rsid w:val="009A0A18"/>
    <w:rsid w:val="009A0A21"/>
    <w:rsid w:val="009A0B76"/>
    <w:rsid w:val="009A0DA6"/>
    <w:rsid w:val="009A117E"/>
    <w:rsid w:val="009A16BB"/>
    <w:rsid w:val="009A2197"/>
    <w:rsid w:val="009A22F6"/>
    <w:rsid w:val="009A294B"/>
    <w:rsid w:val="009A2BED"/>
    <w:rsid w:val="009A2C68"/>
    <w:rsid w:val="009A2DB0"/>
    <w:rsid w:val="009A2DB3"/>
    <w:rsid w:val="009A3399"/>
    <w:rsid w:val="009A3861"/>
    <w:rsid w:val="009A39D0"/>
    <w:rsid w:val="009A3B8C"/>
    <w:rsid w:val="009A3EDB"/>
    <w:rsid w:val="009A3EF4"/>
    <w:rsid w:val="009A4164"/>
    <w:rsid w:val="009A41C5"/>
    <w:rsid w:val="009A4328"/>
    <w:rsid w:val="009A4B36"/>
    <w:rsid w:val="009A54CF"/>
    <w:rsid w:val="009A5643"/>
    <w:rsid w:val="009A5C0D"/>
    <w:rsid w:val="009A5F29"/>
    <w:rsid w:val="009A5FB3"/>
    <w:rsid w:val="009A6149"/>
    <w:rsid w:val="009A662D"/>
    <w:rsid w:val="009A6CDB"/>
    <w:rsid w:val="009A6F3E"/>
    <w:rsid w:val="009A715D"/>
    <w:rsid w:val="009A79D7"/>
    <w:rsid w:val="009A7AB4"/>
    <w:rsid w:val="009A7BF2"/>
    <w:rsid w:val="009A7C70"/>
    <w:rsid w:val="009A7F16"/>
    <w:rsid w:val="009B01ED"/>
    <w:rsid w:val="009B03E6"/>
    <w:rsid w:val="009B0632"/>
    <w:rsid w:val="009B0644"/>
    <w:rsid w:val="009B0726"/>
    <w:rsid w:val="009B0800"/>
    <w:rsid w:val="009B0CB6"/>
    <w:rsid w:val="009B14E5"/>
    <w:rsid w:val="009B15F9"/>
    <w:rsid w:val="009B18BF"/>
    <w:rsid w:val="009B1C27"/>
    <w:rsid w:val="009B1D58"/>
    <w:rsid w:val="009B1E19"/>
    <w:rsid w:val="009B1F01"/>
    <w:rsid w:val="009B205A"/>
    <w:rsid w:val="009B27A4"/>
    <w:rsid w:val="009B2A0E"/>
    <w:rsid w:val="009B2B23"/>
    <w:rsid w:val="009B2C6E"/>
    <w:rsid w:val="009B2EAA"/>
    <w:rsid w:val="009B2F60"/>
    <w:rsid w:val="009B3362"/>
    <w:rsid w:val="009B34AC"/>
    <w:rsid w:val="009B3723"/>
    <w:rsid w:val="009B37E6"/>
    <w:rsid w:val="009B3AC1"/>
    <w:rsid w:val="009B3B8B"/>
    <w:rsid w:val="009B3C81"/>
    <w:rsid w:val="009B3FB8"/>
    <w:rsid w:val="009B453F"/>
    <w:rsid w:val="009B4D21"/>
    <w:rsid w:val="009B4EA4"/>
    <w:rsid w:val="009B514E"/>
    <w:rsid w:val="009B51D7"/>
    <w:rsid w:val="009B565C"/>
    <w:rsid w:val="009B57C6"/>
    <w:rsid w:val="009B5A5E"/>
    <w:rsid w:val="009B5AB4"/>
    <w:rsid w:val="009B64D8"/>
    <w:rsid w:val="009B70EC"/>
    <w:rsid w:val="009B7702"/>
    <w:rsid w:val="009B78C9"/>
    <w:rsid w:val="009B7AD6"/>
    <w:rsid w:val="009C0D1C"/>
    <w:rsid w:val="009C0E67"/>
    <w:rsid w:val="009C1069"/>
    <w:rsid w:val="009C1355"/>
    <w:rsid w:val="009C21F6"/>
    <w:rsid w:val="009C2973"/>
    <w:rsid w:val="009C2C36"/>
    <w:rsid w:val="009C2CEE"/>
    <w:rsid w:val="009C2EB3"/>
    <w:rsid w:val="009C33A3"/>
    <w:rsid w:val="009C3421"/>
    <w:rsid w:val="009C36B6"/>
    <w:rsid w:val="009C38F0"/>
    <w:rsid w:val="009C3E7D"/>
    <w:rsid w:val="009C407A"/>
    <w:rsid w:val="009C46C3"/>
    <w:rsid w:val="009C4891"/>
    <w:rsid w:val="009C4A97"/>
    <w:rsid w:val="009C4BD3"/>
    <w:rsid w:val="009C4BE2"/>
    <w:rsid w:val="009C5083"/>
    <w:rsid w:val="009C5817"/>
    <w:rsid w:val="009C5F86"/>
    <w:rsid w:val="009C636E"/>
    <w:rsid w:val="009C67E4"/>
    <w:rsid w:val="009C6A97"/>
    <w:rsid w:val="009C6C06"/>
    <w:rsid w:val="009C6CDD"/>
    <w:rsid w:val="009C6E4A"/>
    <w:rsid w:val="009C6EFF"/>
    <w:rsid w:val="009C713C"/>
    <w:rsid w:val="009C71CB"/>
    <w:rsid w:val="009C7200"/>
    <w:rsid w:val="009C72C7"/>
    <w:rsid w:val="009C7303"/>
    <w:rsid w:val="009C7435"/>
    <w:rsid w:val="009C7513"/>
    <w:rsid w:val="009C768A"/>
    <w:rsid w:val="009C7DAC"/>
    <w:rsid w:val="009C7DD0"/>
    <w:rsid w:val="009C7F68"/>
    <w:rsid w:val="009D01EB"/>
    <w:rsid w:val="009D029C"/>
    <w:rsid w:val="009D0631"/>
    <w:rsid w:val="009D0657"/>
    <w:rsid w:val="009D0834"/>
    <w:rsid w:val="009D0D27"/>
    <w:rsid w:val="009D0D71"/>
    <w:rsid w:val="009D0DEA"/>
    <w:rsid w:val="009D0E9D"/>
    <w:rsid w:val="009D16D5"/>
    <w:rsid w:val="009D22D8"/>
    <w:rsid w:val="009D24D5"/>
    <w:rsid w:val="009D2658"/>
    <w:rsid w:val="009D2AE9"/>
    <w:rsid w:val="009D2C8A"/>
    <w:rsid w:val="009D2FB2"/>
    <w:rsid w:val="009D2FDB"/>
    <w:rsid w:val="009D302F"/>
    <w:rsid w:val="009D3192"/>
    <w:rsid w:val="009D347E"/>
    <w:rsid w:val="009D4143"/>
    <w:rsid w:val="009D4AE5"/>
    <w:rsid w:val="009D4C58"/>
    <w:rsid w:val="009D4EC2"/>
    <w:rsid w:val="009D53C0"/>
    <w:rsid w:val="009D5665"/>
    <w:rsid w:val="009D5F05"/>
    <w:rsid w:val="009D60AE"/>
    <w:rsid w:val="009D61B5"/>
    <w:rsid w:val="009D61F6"/>
    <w:rsid w:val="009D62B3"/>
    <w:rsid w:val="009D633D"/>
    <w:rsid w:val="009D63F7"/>
    <w:rsid w:val="009D6608"/>
    <w:rsid w:val="009D6743"/>
    <w:rsid w:val="009D697C"/>
    <w:rsid w:val="009D6CA6"/>
    <w:rsid w:val="009D6FB3"/>
    <w:rsid w:val="009D70F2"/>
    <w:rsid w:val="009D7478"/>
    <w:rsid w:val="009D7894"/>
    <w:rsid w:val="009D7E5A"/>
    <w:rsid w:val="009D7E97"/>
    <w:rsid w:val="009E053D"/>
    <w:rsid w:val="009E0617"/>
    <w:rsid w:val="009E0693"/>
    <w:rsid w:val="009E0CA8"/>
    <w:rsid w:val="009E0FE8"/>
    <w:rsid w:val="009E1140"/>
    <w:rsid w:val="009E14E0"/>
    <w:rsid w:val="009E197D"/>
    <w:rsid w:val="009E1C9C"/>
    <w:rsid w:val="009E2589"/>
    <w:rsid w:val="009E267E"/>
    <w:rsid w:val="009E28F8"/>
    <w:rsid w:val="009E2DBF"/>
    <w:rsid w:val="009E304F"/>
    <w:rsid w:val="009E35DA"/>
    <w:rsid w:val="009E4030"/>
    <w:rsid w:val="009E404F"/>
    <w:rsid w:val="009E429E"/>
    <w:rsid w:val="009E4329"/>
    <w:rsid w:val="009E4337"/>
    <w:rsid w:val="009E4399"/>
    <w:rsid w:val="009E43C6"/>
    <w:rsid w:val="009E4830"/>
    <w:rsid w:val="009E4AB1"/>
    <w:rsid w:val="009E4FD3"/>
    <w:rsid w:val="009E50CF"/>
    <w:rsid w:val="009E5132"/>
    <w:rsid w:val="009E57F0"/>
    <w:rsid w:val="009E6464"/>
    <w:rsid w:val="009E6B62"/>
    <w:rsid w:val="009E6C34"/>
    <w:rsid w:val="009E6E18"/>
    <w:rsid w:val="009E74E6"/>
    <w:rsid w:val="009E76A9"/>
    <w:rsid w:val="009E78BD"/>
    <w:rsid w:val="009E7CDD"/>
    <w:rsid w:val="009E7DFA"/>
    <w:rsid w:val="009F0015"/>
    <w:rsid w:val="009F0211"/>
    <w:rsid w:val="009F0717"/>
    <w:rsid w:val="009F08D7"/>
    <w:rsid w:val="009F0AB1"/>
    <w:rsid w:val="009F0D72"/>
    <w:rsid w:val="009F0DFE"/>
    <w:rsid w:val="009F0E9F"/>
    <w:rsid w:val="009F1192"/>
    <w:rsid w:val="009F1640"/>
    <w:rsid w:val="009F18CC"/>
    <w:rsid w:val="009F1ED3"/>
    <w:rsid w:val="009F1EF8"/>
    <w:rsid w:val="009F1F0B"/>
    <w:rsid w:val="009F2132"/>
    <w:rsid w:val="009F2160"/>
    <w:rsid w:val="009F23B3"/>
    <w:rsid w:val="009F2792"/>
    <w:rsid w:val="009F27DD"/>
    <w:rsid w:val="009F2B7D"/>
    <w:rsid w:val="009F2F21"/>
    <w:rsid w:val="009F2F60"/>
    <w:rsid w:val="009F317A"/>
    <w:rsid w:val="009F3478"/>
    <w:rsid w:val="009F41D1"/>
    <w:rsid w:val="009F4361"/>
    <w:rsid w:val="009F45CA"/>
    <w:rsid w:val="009F4C27"/>
    <w:rsid w:val="009F4C9A"/>
    <w:rsid w:val="009F50F5"/>
    <w:rsid w:val="009F5225"/>
    <w:rsid w:val="009F550D"/>
    <w:rsid w:val="009F57A4"/>
    <w:rsid w:val="009F587E"/>
    <w:rsid w:val="009F59CE"/>
    <w:rsid w:val="009F5DFC"/>
    <w:rsid w:val="009F5F05"/>
    <w:rsid w:val="009F63A5"/>
    <w:rsid w:val="009F6946"/>
    <w:rsid w:val="009F6C4D"/>
    <w:rsid w:val="009F7494"/>
    <w:rsid w:val="009F7660"/>
    <w:rsid w:val="009F7A45"/>
    <w:rsid w:val="009F7E28"/>
    <w:rsid w:val="00A00B80"/>
    <w:rsid w:val="00A00E7B"/>
    <w:rsid w:val="00A00FE3"/>
    <w:rsid w:val="00A010BB"/>
    <w:rsid w:val="00A015C3"/>
    <w:rsid w:val="00A01FF8"/>
    <w:rsid w:val="00A0242C"/>
    <w:rsid w:val="00A025A2"/>
    <w:rsid w:val="00A02629"/>
    <w:rsid w:val="00A03B58"/>
    <w:rsid w:val="00A045BA"/>
    <w:rsid w:val="00A0469C"/>
    <w:rsid w:val="00A04AAE"/>
    <w:rsid w:val="00A04FB2"/>
    <w:rsid w:val="00A055FC"/>
    <w:rsid w:val="00A05CAF"/>
    <w:rsid w:val="00A0612C"/>
    <w:rsid w:val="00A062E4"/>
    <w:rsid w:val="00A0679F"/>
    <w:rsid w:val="00A06C30"/>
    <w:rsid w:val="00A0727E"/>
    <w:rsid w:val="00A074D5"/>
    <w:rsid w:val="00A07657"/>
    <w:rsid w:val="00A07B9F"/>
    <w:rsid w:val="00A101C7"/>
    <w:rsid w:val="00A1027C"/>
    <w:rsid w:val="00A10E31"/>
    <w:rsid w:val="00A110A6"/>
    <w:rsid w:val="00A1127B"/>
    <w:rsid w:val="00A1153C"/>
    <w:rsid w:val="00A1156B"/>
    <w:rsid w:val="00A1175F"/>
    <w:rsid w:val="00A11843"/>
    <w:rsid w:val="00A1192A"/>
    <w:rsid w:val="00A120CF"/>
    <w:rsid w:val="00A12218"/>
    <w:rsid w:val="00A12B7C"/>
    <w:rsid w:val="00A1398F"/>
    <w:rsid w:val="00A13A06"/>
    <w:rsid w:val="00A13B26"/>
    <w:rsid w:val="00A13E45"/>
    <w:rsid w:val="00A13E84"/>
    <w:rsid w:val="00A142B6"/>
    <w:rsid w:val="00A1489B"/>
    <w:rsid w:val="00A152FB"/>
    <w:rsid w:val="00A1558A"/>
    <w:rsid w:val="00A1567C"/>
    <w:rsid w:val="00A157BA"/>
    <w:rsid w:val="00A15875"/>
    <w:rsid w:val="00A15B86"/>
    <w:rsid w:val="00A15F4E"/>
    <w:rsid w:val="00A16BBD"/>
    <w:rsid w:val="00A16CF5"/>
    <w:rsid w:val="00A16DB3"/>
    <w:rsid w:val="00A172AA"/>
    <w:rsid w:val="00A17340"/>
    <w:rsid w:val="00A1740A"/>
    <w:rsid w:val="00A17864"/>
    <w:rsid w:val="00A17F7E"/>
    <w:rsid w:val="00A17FBE"/>
    <w:rsid w:val="00A200DF"/>
    <w:rsid w:val="00A211A1"/>
    <w:rsid w:val="00A21303"/>
    <w:rsid w:val="00A21B75"/>
    <w:rsid w:val="00A21BD8"/>
    <w:rsid w:val="00A2252E"/>
    <w:rsid w:val="00A22CC9"/>
    <w:rsid w:val="00A22D9E"/>
    <w:rsid w:val="00A23064"/>
    <w:rsid w:val="00A23D9C"/>
    <w:rsid w:val="00A2417D"/>
    <w:rsid w:val="00A24707"/>
    <w:rsid w:val="00A24778"/>
    <w:rsid w:val="00A24ADA"/>
    <w:rsid w:val="00A24CB5"/>
    <w:rsid w:val="00A24EF1"/>
    <w:rsid w:val="00A25033"/>
    <w:rsid w:val="00A25192"/>
    <w:rsid w:val="00A252BB"/>
    <w:rsid w:val="00A25601"/>
    <w:rsid w:val="00A25990"/>
    <w:rsid w:val="00A25EB1"/>
    <w:rsid w:val="00A26031"/>
    <w:rsid w:val="00A263CC"/>
    <w:rsid w:val="00A2641B"/>
    <w:rsid w:val="00A269E0"/>
    <w:rsid w:val="00A26C50"/>
    <w:rsid w:val="00A26E32"/>
    <w:rsid w:val="00A26F89"/>
    <w:rsid w:val="00A272C3"/>
    <w:rsid w:val="00A27387"/>
    <w:rsid w:val="00A276A9"/>
    <w:rsid w:val="00A27853"/>
    <w:rsid w:val="00A27A6B"/>
    <w:rsid w:val="00A27E7B"/>
    <w:rsid w:val="00A27F34"/>
    <w:rsid w:val="00A30DA9"/>
    <w:rsid w:val="00A316E2"/>
    <w:rsid w:val="00A31B84"/>
    <w:rsid w:val="00A31EF4"/>
    <w:rsid w:val="00A32280"/>
    <w:rsid w:val="00A3241C"/>
    <w:rsid w:val="00A32BD0"/>
    <w:rsid w:val="00A330FA"/>
    <w:rsid w:val="00A33413"/>
    <w:rsid w:val="00A33835"/>
    <w:rsid w:val="00A33BDD"/>
    <w:rsid w:val="00A3420A"/>
    <w:rsid w:val="00A34540"/>
    <w:rsid w:val="00A34DCE"/>
    <w:rsid w:val="00A35591"/>
    <w:rsid w:val="00A356CE"/>
    <w:rsid w:val="00A35AE3"/>
    <w:rsid w:val="00A35C53"/>
    <w:rsid w:val="00A3604C"/>
    <w:rsid w:val="00A3612B"/>
    <w:rsid w:val="00A36D1C"/>
    <w:rsid w:val="00A36E1D"/>
    <w:rsid w:val="00A36F8F"/>
    <w:rsid w:val="00A37378"/>
    <w:rsid w:val="00A37667"/>
    <w:rsid w:val="00A37B48"/>
    <w:rsid w:val="00A37DA2"/>
    <w:rsid w:val="00A37F47"/>
    <w:rsid w:val="00A37F50"/>
    <w:rsid w:val="00A4007B"/>
    <w:rsid w:val="00A40EA6"/>
    <w:rsid w:val="00A40EE3"/>
    <w:rsid w:val="00A41187"/>
    <w:rsid w:val="00A41702"/>
    <w:rsid w:val="00A41A53"/>
    <w:rsid w:val="00A41C25"/>
    <w:rsid w:val="00A41CE7"/>
    <w:rsid w:val="00A41F2E"/>
    <w:rsid w:val="00A42077"/>
    <w:rsid w:val="00A42769"/>
    <w:rsid w:val="00A43519"/>
    <w:rsid w:val="00A436D0"/>
    <w:rsid w:val="00A43C03"/>
    <w:rsid w:val="00A43ED9"/>
    <w:rsid w:val="00A443E1"/>
    <w:rsid w:val="00A443E7"/>
    <w:rsid w:val="00A44558"/>
    <w:rsid w:val="00A4497E"/>
    <w:rsid w:val="00A44E93"/>
    <w:rsid w:val="00A44ED2"/>
    <w:rsid w:val="00A45398"/>
    <w:rsid w:val="00A453D6"/>
    <w:rsid w:val="00A45432"/>
    <w:rsid w:val="00A4548A"/>
    <w:rsid w:val="00A4582A"/>
    <w:rsid w:val="00A459AF"/>
    <w:rsid w:val="00A45ABD"/>
    <w:rsid w:val="00A45C93"/>
    <w:rsid w:val="00A4636C"/>
    <w:rsid w:val="00A46909"/>
    <w:rsid w:val="00A4696B"/>
    <w:rsid w:val="00A46A5D"/>
    <w:rsid w:val="00A46B27"/>
    <w:rsid w:val="00A476CB"/>
    <w:rsid w:val="00A477CA"/>
    <w:rsid w:val="00A47A71"/>
    <w:rsid w:val="00A47AB2"/>
    <w:rsid w:val="00A47D06"/>
    <w:rsid w:val="00A500EF"/>
    <w:rsid w:val="00A50CA8"/>
    <w:rsid w:val="00A510C9"/>
    <w:rsid w:val="00A5124C"/>
    <w:rsid w:val="00A5144C"/>
    <w:rsid w:val="00A51DEB"/>
    <w:rsid w:val="00A51EAF"/>
    <w:rsid w:val="00A524FA"/>
    <w:rsid w:val="00A52B19"/>
    <w:rsid w:val="00A52C29"/>
    <w:rsid w:val="00A52CDE"/>
    <w:rsid w:val="00A535AB"/>
    <w:rsid w:val="00A53BBE"/>
    <w:rsid w:val="00A5427A"/>
    <w:rsid w:val="00A5429E"/>
    <w:rsid w:val="00A542DE"/>
    <w:rsid w:val="00A5498B"/>
    <w:rsid w:val="00A54E80"/>
    <w:rsid w:val="00A5508A"/>
    <w:rsid w:val="00A550C8"/>
    <w:rsid w:val="00A55160"/>
    <w:rsid w:val="00A55383"/>
    <w:rsid w:val="00A558CB"/>
    <w:rsid w:val="00A55A80"/>
    <w:rsid w:val="00A55B08"/>
    <w:rsid w:val="00A55B9C"/>
    <w:rsid w:val="00A55DE3"/>
    <w:rsid w:val="00A55E73"/>
    <w:rsid w:val="00A56174"/>
    <w:rsid w:val="00A56739"/>
    <w:rsid w:val="00A56835"/>
    <w:rsid w:val="00A56D15"/>
    <w:rsid w:val="00A56DA4"/>
    <w:rsid w:val="00A56FE0"/>
    <w:rsid w:val="00A573B8"/>
    <w:rsid w:val="00A579D6"/>
    <w:rsid w:val="00A57E95"/>
    <w:rsid w:val="00A60A1D"/>
    <w:rsid w:val="00A61186"/>
    <w:rsid w:val="00A61608"/>
    <w:rsid w:val="00A617F1"/>
    <w:rsid w:val="00A61DCE"/>
    <w:rsid w:val="00A6266B"/>
    <w:rsid w:val="00A62EE7"/>
    <w:rsid w:val="00A6306B"/>
    <w:rsid w:val="00A63A52"/>
    <w:rsid w:val="00A63BCF"/>
    <w:rsid w:val="00A63D1A"/>
    <w:rsid w:val="00A63FD9"/>
    <w:rsid w:val="00A63FE0"/>
    <w:rsid w:val="00A64012"/>
    <w:rsid w:val="00A6414E"/>
    <w:rsid w:val="00A6431C"/>
    <w:rsid w:val="00A64541"/>
    <w:rsid w:val="00A64582"/>
    <w:rsid w:val="00A64819"/>
    <w:rsid w:val="00A64939"/>
    <w:rsid w:val="00A6496E"/>
    <w:rsid w:val="00A64E20"/>
    <w:rsid w:val="00A656BE"/>
    <w:rsid w:val="00A658CB"/>
    <w:rsid w:val="00A65927"/>
    <w:rsid w:val="00A65AF1"/>
    <w:rsid w:val="00A65E66"/>
    <w:rsid w:val="00A66394"/>
    <w:rsid w:val="00A66518"/>
    <w:rsid w:val="00A66714"/>
    <w:rsid w:val="00A66894"/>
    <w:rsid w:val="00A66C74"/>
    <w:rsid w:val="00A66DFF"/>
    <w:rsid w:val="00A67435"/>
    <w:rsid w:val="00A677DE"/>
    <w:rsid w:val="00A67A22"/>
    <w:rsid w:val="00A67B59"/>
    <w:rsid w:val="00A67D3F"/>
    <w:rsid w:val="00A67F28"/>
    <w:rsid w:val="00A70011"/>
    <w:rsid w:val="00A70314"/>
    <w:rsid w:val="00A70365"/>
    <w:rsid w:val="00A706C4"/>
    <w:rsid w:val="00A70BB3"/>
    <w:rsid w:val="00A71286"/>
    <w:rsid w:val="00A7136A"/>
    <w:rsid w:val="00A716AD"/>
    <w:rsid w:val="00A7230A"/>
    <w:rsid w:val="00A72615"/>
    <w:rsid w:val="00A72998"/>
    <w:rsid w:val="00A72A00"/>
    <w:rsid w:val="00A72A29"/>
    <w:rsid w:val="00A72A79"/>
    <w:rsid w:val="00A72C74"/>
    <w:rsid w:val="00A7333E"/>
    <w:rsid w:val="00A7335C"/>
    <w:rsid w:val="00A7363C"/>
    <w:rsid w:val="00A73B3A"/>
    <w:rsid w:val="00A740D3"/>
    <w:rsid w:val="00A74572"/>
    <w:rsid w:val="00A74FCA"/>
    <w:rsid w:val="00A75100"/>
    <w:rsid w:val="00A751D4"/>
    <w:rsid w:val="00A75B45"/>
    <w:rsid w:val="00A75CD3"/>
    <w:rsid w:val="00A762F8"/>
    <w:rsid w:val="00A76510"/>
    <w:rsid w:val="00A769D6"/>
    <w:rsid w:val="00A76F3C"/>
    <w:rsid w:val="00A7700D"/>
    <w:rsid w:val="00A777B6"/>
    <w:rsid w:val="00A77F48"/>
    <w:rsid w:val="00A80C94"/>
    <w:rsid w:val="00A80E02"/>
    <w:rsid w:val="00A810DA"/>
    <w:rsid w:val="00A810F4"/>
    <w:rsid w:val="00A811EB"/>
    <w:rsid w:val="00A81552"/>
    <w:rsid w:val="00A8180A"/>
    <w:rsid w:val="00A818E5"/>
    <w:rsid w:val="00A81C1C"/>
    <w:rsid w:val="00A81D66"/>
    <w:rsid w:val="00A822FA"/>
    <w:rsid w:val="00A82411"/>
    <w:rsid w:val="00A824FA"/>
    <w:rsid w:val="00A82D42"/>
    <w:rsid w:val="00A83055"/>
    <w:rsid w:val="00A830AC"/>
    <w:rsid w:val="00A834B9"/>
    <w:rsid w:val="00A837E9"/>
    <w:rsid w:val="00A83B7E"/>
    <w:rsid w:val="00A83CA1"/>
    <w:rsid w:val="00A83CD2"/>
    <w:rsid w:val="00A83F7D"/>
    <w:rsid w:val="00A8423A"/>
    <w:rsid w:val="00A843D7"/>
    <w:rsid w:val="00A85097"/>
    <w:rsid w:val="00A85119"/>
    <w:rsid w:val="00A853DD"/>
    <w:rsid w:val="00A857F9"/>
    <w:rsid w:val="00A85E67"/>
    <w:rsid w:val="00A86115"/>
    <w:rsid w:val="00A86A9C"/>
    <w:rsid w:val="00A86CA2"/>
    <w:rsid w:val="00A86E0B"/>
    <w:rsid w:val="00A86EBC"/>
    <w:rsid w:val="00A86F21"/>
    <w:rsid w:val="00A87671"/>
    <w:rsid w:val="00A87687"/>
    <w:rsid w:val="00A876B7"/>
    <w:rsid w:val="00A87FA0"/>
    <w:rsid w:val="00A87FE1"/>
    <w:rsid w:val="00A90178"/>
    <w:rsid w:val="00A901B1"/>
    <w:rsid w:val="00A9027E"/>
    <w:rsid w:val="00A912A3"/>
    <w:rsid w:val="00A91BB8"/>
    <w:rsid w:val="00A91CAD"/>
    <w:rsid w:val="00A9210F"/>
    <w:rsid w:val="00A92465"/>
    <w:rsid w:val="00A92AFB"/>
    <w:rsid w:val="00A92CF6"/>
    <w:rsid w:val="00A93530"/>
    <w:rsid w:val="00A93904"/>
    <w:rsid w:val="00A93992"/>
    <w:rsid w:val="00A9438D"/>
    <w:rsid w:val="00A9480B"/>
    <w:rsid w:val="00A948D3"/>
    <w:rsid w:val="00A94A63"/>
    <w:rsid w:val="00A94F48"/>
    <w:rsid w:val="00A95275"/>
    <w:rsid w:val="00A95484"/>
    <w:rsid w:val="00A955EE"/>
    <w:rsid w:val="00A95620"/>
    <w:rsid w:val="00A9588C"/>
    <w:rsid w:val="00A95B89"/>
    <w:rsid w:val="00A9611B"/>
    <w:rsid w:val="00A967F3"/>
    <w:rsid w:val="00A96B7D"/>
    <w:rsid w:val="00A96C2C"/>
    <w:rsid w:val="00A96D13"/>
    <w:rsid w:val="00A972B2"/>
    <w:rsid w:val="00A973D7"/>
    <w:rsid w:val="00A9769F"/>
    <w:rsid w:val="00A97AEA"/>
    <w:rsid w:val="00A97F17"/>
    <w:rsid w:val="00AA0009"/>
    <w:rsid w:val="00AA00AE"/>
    <w:rsid w:val="00AA05A9"/>
    <w:rsid w:val="00AA09B0"/>
    <w:rsid w:val="00AA0FAF"/>
    <w:rsid w:val="00AA131A"/>
    <w:rsid w:val="00AA13BF"/>
    <w:rsid w:val="00AA17DD"/>
    <w:rsid w:val="00AA18E7"/>
    <w:rsid w:val="00AA1B40"/>
    <w:rsid w:val="00AA21AE"/>
    <w:rsid w:val="00AA2642"/>
    <w:rsid w:val="00AA27C5"/>
    <w:rsid w:val="00AA295E"/>
    <w:rsid w:val="00AA2E4C"/>
    <w:rsid w:val="00AA3054"/>
    <w:rsid w:val="00AA38F0"/>
    <w:rsid w:val="00AA3B37"/>
    <w:rsid w:val="00AA3B43"/>
    <w:rsid w:val="00AA3C7C"/>
    <w:rsid w:val="00AA3CF1"/>
    <w:rsid w:val="00AA4198"/>
    <w:rsid w:val="00AA4457"/>
    <w:rsid w:val="00AA465D"/>
    <w:rsid w:val="00AA497A"/>
    <w:rsid w:val="00AA4A61"/>
    <w:rsid w:val="00AA4BDA"/>
    <w:rsid w:val="00AA4E22"/>
    <w:rsid w:val="00AA4E76"/>
    <w:rsid w:val="00AA4F47"/>
    <w:rsid w:val="00AA61B3"/>
    <w:rsid w:val="00AA667D"/>
    <w:rsid w:val="00AA69CD"/>
    <w:rsid w:val="00AA6C1F"/>
    <w:rsid w:val="00AA6DA8"/>
    <w:rsid w:val="00AA7C73"/>
    <w:rsid w:val="00AA7D61"/>
    <w:rsid w:val="00AA7D99"/>
    <w:rsid w:val="00AA7EDC"/>
    <w:rsid w:val="00AB0396"/>
    <w:rsid w:val="00AB0809"/>
    <w:rsid w:val="00AB0889"/>
    <w:rsid w:val="00AB0B01"/>
    <w:rsid w:val="00AB169E"/>
    <w:rsid w:val="00AB2754"/>
    <w:rsid w:val="00AB279E"/>
    <w:rsid w:val="00AB27E2"/>
    <w:rsid w:val="00AB29B8"/>
    <w:rsid w:val="00AB2BED"/>
    <w:rsid w:val="00AB2DCB"/>
    <w:rsid w:val="00AB2E6A"/>
    <w:rsid w:val="00AB30F7"/>
    <w:rsid w:val="00AB35CA"/>
    <w:rsid w:val="00AB38F0"/>
    <w:rsid w:val="00AB40DF"/>
    <w:rsid w:val="00AB41CD"/>
    <w:rsid w:val="00AB474A"/>
    <w:rsid w:val="00AB47EA"/>
    <w:rsid w:val="00AB4AC2"/>
    <w:rsid w:val="00AB52EB"/>
    <w:rsid w:val="00AB5637"/>
    <w:rsid w:val="00AB5A27"/>
    <w:rsid w:val="00AB6399"/>
    <w:rsid w:val="00AB6415"/>
    <w:rsid w:val="00AB6DDD"/>
    <w:rsid w:val="00AB6E4E"/>
    <w:rsid w:val="00AB6EC0"/>
    <w:rsid w:val="00AB7153"/>
    <w:rsid w:val="00AB72F2"/>
    <w:rsid w:val="00AB7358"/>
    <w:rsid w:val="00AB75EE"/>
    <w:rsid w:val="00AB76A6"/>
    <w:rsid w:val="00AB76D6"/>
    <w:rsid w:val="00AB783D"/>
    <w:rsid w:val="00AB7D7F"/>
    <w:rsid w:val="00AC02FE"/>
    <w:rsid w:val="00AC0C51"/>
    <w:rsid w:val="00AC1526"/>
    <w:rsid w:val="00AC166F"/>
    <w:rsid w:val="00AC183D"/>
    <w:rsid w:val="00AC1C8F"/>
    <w:rsid w:val="00AC1C98"/>
    <w:rsid w:val="00AC2133"/>
    <w:rsid w:val="00AC2632"/>
    <w:rsid w:val="00AC33FA"/>
    <w:rsid w:val="00AC3678"/>
    <w:rsid w:val="00AC3BAF"/>
    <w:rsid w:val="00AC3E2A"/>
    <w:rsid w:val="00AC483B"/>
    <w:rsid w:val="00AC4A8F"/>
    <w:rsid w:val="00AC4BE3"/>
    <w:rsid w:val="00AC506D"/>
    <w:rsid w:val="00AC5712"/>
    <w:rsid w:val="00AC587B"/>
    <w:rsid w:val="00AC5B6C"/>
    <w:rsid w:val="00AC5C92"/>
    <w:rsid w:val="00AC5F50"/>
    <w:rsid w:val="00AC60E2"/>
    <w:rsid w:val="00AC6165"/>
    <w:rsid w:val="00AC6176"/>
    <w:rsid w:val="00AC62FA"/>
    <w:rsid w:val="00AC67E6"/>
    <w:rsid w:val="00AC6A50"/>
    <w:rsid w:val="00AC6B63"/>
    <w:rsid w:val="00AC6DFC"/>
    <w:rsid w:val="00AC71CE"/>
    <w:rsid w:val="00AC77CB"/>
    <w:rsid w:val="00AC77FA"/>
    <w:rsid w:val="00AC7DDB"/>
    <w:rsid w:val="00AD0160"/>
    <w:rsid w:val="00AD03A5"/>
    <w:rsid w:val="00AD045D"/>
    <w:rsid w:val="00AD056E"/>
    <w:rsid w:val="00AD05F6"/>
    <w:rsid w:val="00AD0689"/>
    <w:rsid w:val="00AD0AEB"/>
    <w:rsid w:val="00AD10B3"/>
    <w:rsid w:val="00AD111C"/>
    <w:rsid w:val="00AD18AC"/>
    <w:rsid w:val="00AD1A34"/>
    <w:rsid w:val="00AD1D68"/>
    <w:rsid w:val="00AD2152"/>
    <w:rsid w:val="00AD21B4"/>
    <w:rsid w:val="00AD2261"/>
    <w:rsid w:val="00AD2267"/>
    <w:rsid w:val="00AD234F"/>
    <w:rsid w:val="00AD2784"/>
    <w:rsid w:val="00AD2C48"/>
    <w:rsid w:val="00AD36B6"/>
    <w:rsid w:val="00AD38D2"/>
    <w:rsid w:val="00AD3B43"/>
    <w:rsid w:val="00AD3F03"/>
    <w:rsid w:val="00AD4566"/>
    <w:rsid w:val="00AD49AF"/>
    <w:rsid w:val="00AD4B18"/>
    <w:rsid w:val="00AD4BD4"/>
    <w:rsid w:val="00AD4D8F"/>
    <w:rsid w:val="00AD4F1D"/>
    <w:rsid w:val="00AD55E5"/>
    <w:rsid w:val="00AD57BC"/>
    <w:rsid w:val="00AD5D9C"/>
    <w:rsid w:val="00AD5EC8"/>
    <w:rsid w:val="00AD63C1"/>
    <w:rsid w:val="00AD70D5"/>
    <w:rsid w:val="00AD7733"/>
    <w:rsid w:val="00AD7B32"/>
    <w:rsid w:val="00AD7CF7"/>
    <w:rsid w:val="00AD7ED2"/>
    <w:rsid w:val="00AE04A7"/>
    <w:rsid w:val="00AE04C3"/>
    <w:rsid w:val="00AE080F"/>
    <w:rsid w:val="00AE0B49"/>
    <w:rsid w:val="00AE0C20"/>
    <w:rsid w:val="00AE0D43"/>
    <w:rsid w:val="00AE0DCA"/>
    <w:rsid w:val="00AE0DD9"/>
    <w:rsid w:val="00AE11FA"/>
    <w:rsid w:val="00AE1D46"/>
    <w:rsid w:val="00AE1EF7"/>
    <w:rsid w:val="00AE20B2"/>
    <w:rsid w:val="00AE21A0"/>
    <w:rsid w:val="00AE2349"/>
    <w:rsid w:val="00AE2470"/>
    <w:rsid w:val="00AE266F"/>
    <w:rsid w:val="00AE27B4"/>
    <w:rsid w:val="00AE2FF9"/>
    <w:rsid w:val="00AE3590"/>
    <w:rsid w:val="00AE3BAE"/>
    <w:rsid w:val="00AE3CFC"/>
    <w:rsid w:val="00AE3CFF"/>
    <w:rsid w:val="00AE3D31"/>
    <w:rsid w:val="00AE3D9A"/>
    <w:rsid w:val="00AE3F31"/>
    <w:rsid w:val="00AE4147"/>
    <w:rsid w:val="00AE4661"/>
    <w:rsid w:val="00AE4B6A"/>
    <w:rsid w:val="00AE4CD7"/>
    <w:rsid w:val="00AE4F05"/>
    <w:rsid w:val="00AE5016"/>
    <w:rsid w:val="00AE53EA"/>
    <w:rsid w:val="00AE5B4F"/>
    <w:rsid w:val="00AE61BC"/>
    <w:rsid w:val="00AE67F8"/>
    <w:rsid w:val="00AE6E24"/>
    <w:rsid w:val="00AE7910"/>
    <w:rsid w:val="00AF0576"/>
    <w:rsid w:val="00AF0E9A"/>
    <w:rsid w:val="00AF0EA4"/>
    <w:rsid w:val="00AF0F39"/>
    <w:rsid w:val="00AF0F65"/>
    <w:rsid w:val="00AF109A"/>
    <w:rsid w:val="00AF13CF"/>
    <w:rsid w:val="00AF177D"/>
    <w:rsid w:val="00AF184D"/>
    <w:rsid w:val="00AF1C9C"/>
    <w:rsid w:val="00AF2140"/>
    <w:rsid w:val="00AF2195"/>
    <w:rsid w:val="00AF249E"/>
    <w:rsid w:val="00AF2731"/>
    <w:rsid w:val="00AF3008"/>
    <w:rsid w:val="00AF300D"/>
    <w:rsid w:val="00AF30AD"/>
    <w:rsid w:val="00AF36FD"/>
    <w:rsid w:val="00AF3CE6"/>
    <w:rsid w:val="00AF3E81"/>
    <w:rsid w:val="00AF3ED2"/>
    <w:rsid w:val="00AF41B2"/>
    <w:rsid w:val="00AF4755"/>
    <w:rsid w:val="00AF4829"/>
    <w:rsid w:val="00AF4B57"/>
    <w:rsid w:val="00AF4BA0"/>
    <w:rsid w:val="00AF4C2A"/>
    <w:rsid w:val="00AF4EFD"/>
    <w:rsid w:val="00AF598F"/>
    <w:rsid w:val="00AF5AE8"/>
    <w:rsid w:val="00AF5BAC"/>
    <w:rsid w:val="00AF5C55"/>
    <w:rsid w:val="00AF5D05"/>
    <w:rsid w:val="00AF5D5F"/>
    <w:rsid w:val="00AF5F84"/>
    <w:rsid w:val="00AF6028"/>
    <w:rsid w:val="00AF6287"/>
    <w:rsid w:val="00AF6765"/>
    <w:rsid w:val="00AF6C22"/>
    <w:rsid w:val="00AF6E01"/>
    <w:rsid w:val="00AF713D"/>
    <w:rsid w:val="00AF72DC"/>
    <w:rsid w:val="00AF733B"/>
    <w:rsid w:val="00AF769A"/>
    <w:rsid w:val="00AF7C86"/>
    <w:rsid w:val="00AF7D30"/>
    <w:rsid w:val="00B0026C"/>
    <w:rsid w:val="00B00292"/>
    <w:rsid w:val="00B00926"/>
    <w:rsid w:val="00B0102C"/>
    <w:rsid w:val="00B01047"/>
    <w:rsid w:val="00B0115B"/>
    <w:rsid w:val="00B01915"/>
    <w:rsid w:val="00B01C72"/>
    <w:rsid w:val="00B020DC"/>
    <w:rsid w:val="00B02206"/>
    <w:rsid w:val="00B028E8"/>
    <w:rsid w:val="00B02DD1"/>
    <w:rsid w:val="00B0349F"/>
    <w:rsid w:val="00B034C9"/>
    <w:rsid w:val="00B0368B"/>
    <w:rsid w:val="00B046DF"/>
    <w:rsid w:val="00B04946"/>
    <w:rsid w:val="00B052A3"/>
    <w:rsid w:val="00B054E8"/>
    <w:rsid w:val="00B055AA"/>
    <w:rsid w:val="00B0668E"/>
    <w:rsid w:val="00B0688C"/>
    <w:rsid w:val="00B06927"/>
    <w:rsid w:val="00B06CDD"/>
    <w:rsid w:val="00B06F0E"/>
    <w:rsid w:val="00B06FD1"/>
    <w:rsid w:val="00B075AC"/>
    <w:rsid w:val="00B077A6"/>
    <w:rsid w:val="00B079BD"/>
    <w:rsid w:val="00B103C3"/>
    <w:rsid w:val="00B10406"/>
    <w:rsid w:val="00B10502"/>
    <w:rsid w:val="00B106F5"/>
    <w:rsid w:val="00B1083D"/>
    <w:rsid w:val="00B10BDD"/>
    <w:rsid w:val="00B10C17"/>
    <w:rsid w:val="00B10CC3"/>
    <w:rsid w:val="00B10E3A"/>
    <w:rsid w:val="00B11304"/>
    <w:rsid w:val="00B11420"/>
    <w:rsid w:val="00B11732"/>
    <w:rsid w:val="00B12047"/>
    <w:rsid w:val="00B122D0"/>
    <w:rsid w:val="00B12421"/>
    <w:rsid w:val="00B124D1"/>
    <w:rsid w:val="00B12739"/>
    <w:rsid w:val="00B12EA5"/>
    <w:rsid w:val="00B1312C"/>
    <w:rsid w:val="00B137DE"/>
    <w:rsid w:val="00B138EF"/>
    <w:rsid w:val="00B13A42"/>
    <w:rsid w:val="00B13E27"/>
    <w:rsid w:val="00B14511"/>
    <w:rsid w:val="00B146E3"/>
    <w:rsid w:val="00B14896"/>
    <w:rsid w:val="00B14C43"/>
    <w:rsid w:val="00B14DDC"/>
    <w:rsid w:val="00B1500F"/>
    <w:rsid w:val="00B151DA"/>
    <w:rsid w:val="00B1527B"/>
    <w:rsid w:val="00B154D1"/>
    <w:rsid w:val="00B1556B"/>
    <w:rsid w:val="00B15787"/>
    <w:rsid w:val="00B157EC"/>
    <w:rsid w:val="00B15A7D"/>
    <w:rsid w:val="00B15D67"/>
    <w:rsid w:val="00B15D77"/>
    <w:rsid w:val="00B15E07"/>
    <w:rsid w:val="00B160FE"/>
    <w:rsid w:val="00B16177"/>
    <w:rsid w:val="00B162FD"/>
    <w:rsid w:val="00B1672D"/>
    <w:rsid w:val="00B168B3"/>
    <w:rsid w:val="00B16F24"/>
    <w:rsid w:val="00B17042"/>
    <w:rsid w:val="00B17312"/>
    <w:rsid w:val="00B173D2"/>
    <w:rsid w:val="00B17507"/>
    <w:rsid w:val="00B17A8B"/>
    <w:rsid w:val="00B2004D"/>
    <w:rsid w:val="00B200A9"/>
    <w:rsid w:val="00B209EA"/>
    <w:rsid w:val="00B20A0D"/>
    <w:rsid w:val="00B20BFB"/>
    <w:rsid w:val="00B20C78"/>
    <w:rsid w:val="00B20CA0"/>
    <w:rsid w:val="00B21159"/>
    <w:rsid w:val="00B21219"/>
    <w:rsid w:val="00B225AA"/>
    <w:rsid w:val="00B227D4"/>
    <w:rsid w:val="00B229F2"/>
    <w:rsid w:val="00B22E25"/>
    <w:rsid w:val="00B22EA2"/>
    <w:rsid w:val="00B2355C"/>
    <w:rsid w:val="00B23588"/>
    <w:rsid w:val="00B23A60"/>
    <w:rsid w:val="00B23D9E"/>
    <w:rsid w:val="00B23E2D"/>
    <w:rsid w:val="00B23E8C"/>
    <w:rsid w:val="00B23F19"/>
    <w:rsid w:val="00B249E9"/>
    <w:rsid w:val="00B24C42"/>
    <w:rsid w:val="00B25064"/>
    <w:rsid w:val="00B2535C"/>
    <w:rsid w:val="00B25677"/>
    <w:rsid w:val="00B25B5D"/>
    <w:rsid w:val="00B25C13"/>
    <w:rsid w:val="00B265C8"/>
    <w:rsid w:val="00B26886"/>
    <w:rsid w:val="00B269D1"/>
    <w:rsid w:val="00B26A27"/>
    <w:rsid w:val="00B27028"/>
    <w:rsid w:val="00B27734"/>
    <w:rsid w:val="00B27C3C"/>
    <w:rsid w:val="00B27D95"/>
    <w:rsid w:val="00B302AC"/>
    <w:rsid w:val="00B306B4"/>
    <w:rsid w:val="00B307DA"/>
    <w:rsid w:val="00B30877"/>
    <w:rsid w:val="00B313A4"/>
    <w:rsid w:val="00B31438"/>
    <w:rsid w:val="00B314DD"/>
    <w:rsid w:val="00B31597"/>
    <w:rsid w:val="00B31E4D"/>
    <w:rsid w:val="00B328C8"/>
    <w:rsid w:val="00B329AE"/>
    <w:rsid w:val="00B32ADC"/>
    <w:rsid w:val="00B32E4C"/>
    <w:rsid w:val="00B32FB1"/>
    <w:rsid w:val="00B33373"/>
    <w:rsid w:val="00B3340D"/>
    <w:rsid w:val="00B33AA7"/>
    <w:rsid w:val="00B34493"/>
    <w:rsid w:val="00B3473D"/>
    <w:rsid w:val="00B3477A"/>
    <w:rsid w:val="00B347F8"/>
    <w:rsid w:val="00B34894"/>
    <w:rsid w:val="00B34AA3"/>
    <w:rsid w:val="00B34D2A"/>
    <w:rsid w:val="00B35229"/>
    <w:rsid w:val="00B3552A"/>
    <w:rsid w:val="00B35787"/>
    <w:rsid w:val="00B35FDA"/>
    <w:rsid w:val="00B36099"/>
    <w:rsid w:val="00B36478"/>
    <w:rsid w:val="00B369B0"/>
    <w:rsid w:val="00B36DD3"/>
    <w:rsid w:val="00B36F17"/>
    <w:rsid w:val="00B377F1"/>
    <w:rsid w:val="00B37CD6"/>
    <w:rsid w:val="00B40418"/>
    <w:rsid w:val="00B40824"/>
    <w:rsid w:val="00B418BE"/>
    <w:rsid w:val="00B41BF0"/>
    <w:rsid w:val="00B4203B"/>
    <w:rsid w:val="00B42617"/>
    <w:rsid w:val="00B42711"/>
    <w:rsid w:val="00B42793"/>
    <w:rsid w:val="00B42873"/>
    <w:rsid w:val="00B42A6D"/>
    <w:rsid w:val="00B42C74"/>
    <w:rsid w:val="00B43137"/>
    <w:rsid w:val="00B43171"/>
    <w:rsid w:val="00B4338F"/>
    <w:rsid w:val="00B43612"/>
    <w:rsid w:val="00B437A6"/>
    <w:rsid w:val="00B43D34"/>
    <w:rsid w:val="00B43E6F"/>
    <w:rsid w:val="00B44136"/>
    <w:rsid w:val="00B441EC"/>
    <w:rsid w:val="00B44415"/>
    <w:rsid w:val="00B44828"/>
    <w:rsid w:val="00B44C58"/>
    <w:rsid w:val="00B44E67"/>
    <w:rsid w:val="00B457D9"/>
    <w:rsid w:val="00B460DD"/>
    <w:rsid w:val="00B461A9"/>
    <w:rsid w:val="00B467BB"/>
    <w:rsid w:val="00B46BE9"/>
    <w:rsid w:val="00B46DFE"/>
    <w:rsid w:val="00B478DD"/>
    <w:rsid w:val="00B479F4"/>
    <w:rsid w:val="00B47B88"/>
    <w:rsid w:val="00B47C70"/>
    <w:rsid w:val="00B47F8F"/>
    <w:rsid w:val="00B50050"/>
    <w:rsid w:val="00B5087B"/>
    <w:rsid w:val="00B51421"/>
    <w:rsid w:val="00B515BD"/>
    <w:rsid w:val="00B51BB5"/>
    <w:rsid w:val="00B51D85"/>
    <w:rsid w:val="00B5238C"/>
    <w:rsid w:val="00B523DF"/>
    <w:rsid w:val="00B524E1"/>
    <w:rsid w:val="00B528C2"/>
    <w:rsid w:val="00B5298A"/>
    <w:rsid w:val="00B52D08"/>
    <w:rsid w:val="00B52F68"/>
    <w:rsid w:val="00B530E5"/>
    <w:rsid w:val="00B5326D"/>
    <w:rsid w:val="00B5357F"/>
    <w:rsid w:val="00B5368C"/>
    <w:rsid w:val="00B539C1"/>
    <w:rsid w:val="00B53BA3"/>
    <w:rsid w:val="00B53EB2"/>
    <w:rsid w:val="00B54038"/>
    <w:rsid w:val="00B5420E"/>
    <w:rsid w:val="00B543BB"/>
    <w:rsid w:val="00B5472D"/>
    <w:rsid w:val="00B54F59"/>
    <w:rsid w:val="00B5503B"/>
    <w:rsid w:val="00B55153"/>
    <w:rsid w:val="00B55898"/>
    <w:rsid w:val="00B55AA6"/>
    <w:rsid w:val="00B55ABB"/>
    <w:rsid w:val="00B55D56"/>
    <w:rsid w:val="00B55F72"/>
    <w:rsid w:val="00B56145"/>
    <w:rsid w:val="00B566FF"/>
    <w:rsid w:val="00B56B69"/>
    <w:rsid w:val="00B56BB4"/>
    <w:rsid w:val="00B56FC4"/>
    <w:rsid w:val="00B56FF1"/>
    <w:rsid w:val="00B57008"/>
    <w:rsid w:val="00B5744A"/>
    <w:rsid w:val="00B574D6"/>
    <w:rsid w:val="00B5768F"/>
    <w:rsid w:val="00B57BEB"/>
    <w:rsid w:val="00B57CFC"/>
    <w:rsid w:val="00B6004B"/>
    <w:rsid w:val="00B6005A"/>
    <w:rsid w:val="00B60360"/>
    <w:rsid w:val="00B6047D"/>
    <w:rsid w:val="00B604B8"/>
    <w:rsid w:val="00B60C13"/>
    <w:rsid w:val="00B60D87"/>
    <w:rsid w:val="00B61148"/>
    <w:rsid w:val="00B612E2"/>
    <w:rsid w:val="00B61A57"/>
    <w:rsid w:val="00B61E9E"/>
    <w:rsid w:val="00B62104"/>
    <w:rsid w:val="00B622C0"/>
    <w:rsid w:val="00B62AC0"/>
    <w:rsid w:val="00B62D25"/>
    <w:rsid w:val="00B62EB3"/>
    <w:rsid w:val="00B6325A"/>
    <w:rsid w:val="00B63327"/>
    <w:rsid w:val="00B6356D"/>
    <w:rsid w:val="00B636C5"/>
    <w:rsid w:val="00B63988"/>
    <w:rsid w:val="00B63FD8"/>
    <w:rsid w:val="00B64319"/>
    <w:rsid w:val="00B6495B"/>
    <w:rsid w:val="00B64A98"/>
    <w:rsid w:val="00B64B83"/>
    <w:rsid w:val="00B64F3C"/>
    <w:rsid w:val="00B6549E"/>
    <w:rsid w:val="00B654DA"/>
    <w:rsid w:val="00B6563D"/>
    <w:rsid w:val="00B65DEE"/>
    <w:rsid w:val="00B66109"/>
    <w:rsid w:val="00B66204"/>
    <w:rsid w:val="00B662B5"/>
    <w:rsid w:val="00B665D1"/>
    <w:rsid w:val="00B66C40"/>
    <w:rsid w:val="00B66C99"/>
    <w:rsid w:val="00B66F4E"/>
    <w:rsid w:val="00B671B7"/>
    <w:rsid w:val="00B6740F"/>
    <w:rsid w:val="00B6786D"/>
    <w:rsid w:val="00B67993"/>
    <w:rsid w:val="00B67A78"/>
    <w:rsid w:val="00B704A5"/>
    <w:rsid w:val="00B709E2"/>
    <w:rsid w:val="00B70C18"/>
    <w:rsid w:val="00B70CF7"/>
    <w:rsid w:val="00B70EA8"/>
    <w:rsid w:val="00B70FCC"/>
    <w:rsid w:val="00B71443"/>
    <w:rsid w:val="00B71576"/>
    <w:rsid w:val="00B71647"/>
    <w:rsid w:val="00B716F5"/>
    <w:rsid w:val="00B719E7"/>
    <w:rsid w:val="00B71B2F"/>
    <w:rsid w:val="00B71EDC"/>
    <w:rsid w:val="00B71FE6"/>
    <w:rsid w:val="00B72178"/>
    <w:rsid w:val="00B72898"/>
    <w:rsid w:val="00B72F60"/>
    <w:rsid w:val="00B732DF"/>
    <w:rsid w:val="00B73508"/>
    <w:rsid w:val="00B73A46"/>
    <w:rsid w:val="00B73DA9"/>
    <w:rsid w:val="00B74439"/>
    <w:rsid w:val="00B7448F"/>
    <w:rsid w:val="00B74F8A"/>
    <w:rsid w:val="00B7531E"/>
    <w:rsid w:val="00B7587A"/>
    <w:rsid w:val="00B75A46"/>
    <w:rsid w:val="00B75CC4"/>
    <w:rsid w:val="00B75DAF"/>
    <w:rsid w:val="00B7626B"/>
    <w:rsid w:val="00B764E8"/>
    <w:rsid w:val="00B76AC1"/>
    <w:rsid w:val="00B76C6F"/>
    <w:rsid w:val="00B76CC0"/>
    <w:rsid w:val="00B77013"/>
    <w:rsid w:val="00B7776A"/>
    <w:rsid w:val="00B801FE"/>
    <w:rsid w:val="00B80762"/>
    <w:rsid w:val="00B80818"/>
    <w:rsid w:val="00B8135B"/>
    <w:rsid w:val="00B818B7"/>
    <w:rsid w:val="00B81A60"/>
    <w:rsid w:val="00B81D5E"/>
    <w:rsid w:val="00B82A1E"/>
    <w:rsid w:val="00B82AAA"/>
    <w:rsid w:val="00B82C7B"/>
    <w:rsid w:val="00B8300D"/>
    <w:rsid w:val="00B831C1"/>
    <w:rsid w:val="00B83318"/>
    <w:rsid w:val="00B83336"/>
    <w:rsid w:val="00B8346F"/>
    <w:rsid w:val="00B83742"/>
    <w:rsid w:val="00B83BC1"/>
    <w:rsid w:val="00B8446F"/>
    <w:rsid w:val="00B846C7"/>
    <w:rsid w:val="00B8474B"/>
    <w:rsid w:val="00B849A5"/>
    <w:rsid w:val="00B84A50"/>
    <w:rsid w:val="00B84F72"/>
    <w:rsid w:val="00B85025"/>
    <w:rsid w:val="00B85382"/>
    <w:rsid w:val="00B85656"/>
    <w:rsid w:val="00B857DB"/>
    <w:rsid w:val="00B85BBF"/>
    <w:rsid w:val="00B85E7F"/>
    <w:rsid w:val="00B86070"/>
    <w:rsid w:val="00B86085"/>
    <w:rsid w:val="00B8698B"/>
    <w:rsid w:val="00B86E3E"/>
    <w:rsid w:val="00B86F43"/>
    <w:rsid w:val="00B8725B"/>
    <w:rsid w:val="00B8745E"/>
    <w:rsid w:val="00B87DEF"/>
    <w:rsid w:val="00B87E7F"/>
    <w:rsid w:val="00B908EB"/>
    <w:rsid w:val="00B90C70"/>
    <w:rsid w:val="00B90DAC"/>
    <w:rsid w:val="00B9124B"/>
    <w:rsid w:val="00B916A4"/>
    <w:rsid w:val="00B9189F"/>
    <w:rsid w:val="00B91A47"/>
    <w:rsid w:val="00B91BDF"/>
    <w:rsid w:val="00B91CCE"/>
    <w:rsid w:val="00B921FE"/>
    <w:rsid w:val="00B92472"/>
    <w:rsid w:val="00B92C82"/>
    <w:rsid w:val="00B92FBC"/>
    <w:rsid w:val="00B93264"/>
    <w:rsid w:val="00B93C2A"/>
    <w:rsid w:val="00B93D84"/>
    <w:rsid w:val="00B93F87"/>
    <w:rsid w:val="00B945B1"/>
    <w:rsid w:val="00B945C9"/>
    <w:rsid w:val="00B947C8"/>
    <w:rsid w:val="00B94A5D"/>
    <w:rsid w:val="00B94C2F"/>
    <w:rsid w:val="00B94E41"/>
    <w:rsid w:val="00B958B9"/>
    <w:rsid w:val="00B96182"/>
    <w:rsid w:val="00B965D1"/>
    <w:rsid w:val="00B972CF"/>
    <w:rsid w:val="00B97379"/>
    <w:rsid w:val="00BA00CB"/>
    <w:rsid w:val="00BA0372"/>
    <w:rsid w:val="00BA03C7"/>
    <w:rsid w:val="00BA0583"/>
    <w:rsid w:val="00BA0771"/>
    <w:rsid w:val="00BA0B0C"/>
    <w:rsid w:val="00BA0B5E"/>
    <w:rsid w:val="00BA0C87"/>
    <w:rsid w:val="00BA12ED"/>
    <w:rsid w:val="00BA1A71"/>
    <w:rsid w:val="00BA2E69"/>
    <w:rsid w:val="00BA31C8"/>
    <w:rsid w:val="00BA3749"/>
    <w:rsid w:val="00BA3A46"/>
    <w:rsid w:val="00BA4365"/>
    <w:rsid w:val="00BA436C"/>
    <w:rsid w:val="00BA4723"/>
    <w:rsid w:val="00BA492E"/>
    <w:rsid w:val="00BA4996"/>
    <w:rsid w:val="00BA51B2"/>
    <w:rsid w:val="00BA5323"/>
    <w:rsid w:val="00BA5382"/>
    <w:rsid w:val="00BA5B9C"/>
    <w:rsid w:val="00BA5E72"/>
    <w:rsid w:val="00BA5F47"/>
    <w:rsid w:val="00BA6646"/>
    <w:rsid w:val="00BA6EC4"/>
    <w:rsid w:val="00BA7402"/>
    <w:rsid w:val="00BA7427"/>
    <w:rsid w:val="00BA76D9"/>
    <w:rsid w:val="00BB0C49"/>
    <w:rsid w:val="00BB16BE"/>
    <w:rsid w:val="00BB18E5"/>
    <w:rsid w:val="00BB1E70"/>
    <w:rsid w:val="00BB2733"/>
    <w:rsid w:val="00BB295B"/>
    <w:rsid w:val="00BB2A1F"/>
    <w:rsid w:val="00BB2C21"/>
    <w:rsid w:val="00BB2F0B"/>
    <w:rsid w:val="00BB37B0"/>
    <w:rsid w:val="00BB37BA"/>
    <w:rsid w:val="00BB3A2F"/>
    <w:rsid w:val="00BB3EA7"/>
    <w:rsid w:val="00BB45E7"/>
    <w:rsid w:val="00BB47C3"/>
    <w:rsid w:val="00BB47D6"/>
    <w:rsid w:val="00BB4AA2"/>
    <w:rsid w:val="00BB4B8F"/>
    <w:rsid w:val="00BB4E76"/>
    <w:rsid w:val="00BB4EE5"/>
    <w:rsid w:val="00BB515D"/>
    <w:rsid w:val="00BB58BB"/>
    <w:rsid w:val="00BB59F1"/>
    <w:rsid w:val="00BB5E47"/>
    <w:rsid w:val="00BB633A"/>
    <w:rsid w:val="00BB64F4"/>
    <w:rsid w:val="00BB6530"/>
    <w:rsid w:val="00BB70F1"/>
    <w:rsid w:val="00BB7480"/>
    <w:rsid w:val="00BB76C7"/>
    <w:rsid w:val="00BB77F7"/>
    <w:rsid w:val="00BB7AFF"/>
    <w:rsid w:val="00BB7D13"/>
    <w:rsid w:val="00BB7ED3"/>
    <w:rsid w:val="00BC0685"/>
    <w:rsid w:val="00BC0A88"/>
    <w:rsid w:val="00BC0B26"/>
    <w:rsid w:val="00BC108F"/>
    <w:rsid w:val="00BC117D"/>
    <w:rsid w:val="00BC13DC"/>
    <w:rsid w:val="00BC1445"/>
    <w:rsid w:val="00BC1D11"/>
    <w:rsid w:val="00BC201D"/>
    <w:rsid w:val="00BC208C"/>
    <w:rsid w:val="00BC22E7"/>
    <w:rsid w:val="00BC235E"/>
    <w:rsid w:val="00BC2514"/>
    <w:rsid w:val="00BC2EFB"/>
    <w:rsid w:val="00BC31CF"/>
    <w:rsid w:val="00BC3219"/>
    <w:rsid w:val="00BC32B1"/>
    <w:rsid w:val="00BC34CE"/>
    <w:rsid w:val="00BC3BDC"/>
    <w:rsid w:val="00BC3CCD"/>
    <w:rsid w:val="00BC442C"/>
    <w:rsid w:val="00BC48B3"/>
    <w:rsid w:val="00BC4E04"/>
    <w:rsid w:val="00BC4E42"/>
    <w:rsid w:val="00BC4F1C"/>
    <w:rsid w:val="00BC4F65"/>
    <w:rsid w:val="00BC55AF"/>
    <w:rsid w:val="00BC5DCB"/>
    <w:rsid w:val="00BC5FEC"/>
    <w:rsid w:val="00BC6FDC"/>
    <w:rsid w:val="00BC713F"/>
    <w:rsid w:val="00BC7239"/>
    <w:rsid w:val="00BC756D"/>
    <w:rsid w:val="00BC75F5"/>
    <w:rsid w:val="00BC7AA4"/>
    <w:rsid w:val="00BC7C14"/>
    <w:rsid w:val="00BC7DF3"/>
    <w:rsid w:val="00BC7E12"/>
    <w:rsid w:val="00BD025B"/>
    <w:rsid w:val="00BD03E0"/>
    <w:rsid w:val="00BD0501"/>
    <w:rsid w:val="00BD07B5"/>
    <w:rsid w:val="00BD0BBA"/>
    <w:rsid w:val="00BD0CAC"/>
    <w:rsid w:val="00BD0FCB"/>
    <w:rsid w:val="00BD104B"/>
    <w:rsid w:val="00BD11CD"/>
    <w:rsid w:val="00BD1AC4"/>
    <w:rsid w:val="00BD2767"/>
    <w:rsid w:val="00BD27DD"/>
    <w:rsid w:val="00BD2A02"/>
    <w:rsid w:val="00BD2C04"/>
    <w:rsid w:val="00BD2F2E"/>
    <w:rsid w:val="00BD36DA"/>
    <w:rsid w:val="00BD4134"/>
    <w:rsid w:val="00BD4DB9"/>
    <w:rsid w:val="00BD4EA6"/>
    <w:rsid w:val="00BD523E"/>
    <w:rsid w:val="00BD5ACE"/>
    <w:rsid w:val="00BD5EA1"/>
    <w:rsid w:val="00BD61C5"/>
    <w:rsid w:val="00BD6353"/>
    <w:rsid w:val="00BD63B9"/>
    <w:rsid w:val="00BD675B"/>
    <w:rsid w:val="00BD6770"/>
    <w:rsid w:val="00BD6BA0"/>
    <w:rsid w:val="00BD6CF1"/>
    <w:rsid w:val="00BD73D1"/>
    <w:rsid w:val="00BE05AF"/>
    <w:rsid w:val="00BE09E2"/>
    <w:rsid w:val="00BE0A2D"/>
    <w:rsid w:val="00BE194B"/>
    <w:rsid w:val="00BE1961"/>
    <w:rsid w:val="00BE19F1"/>
    <w:rsid w:val="00BE1B9C"/>
    <w:rsid w:val="00BE1C44"/>
    <w:rsid w:val="00BE1CFB"/>
    <w:rsid w:val="00BE1E9A"/>
    <w:rsid w:val="00BE218A"/>
    <w:rsid w:val="00BE26CC"/>
    <w:rsid w:val="00BE324A"/>
    <w:rsid w:val="00BE370B"/>
    <w:rsid w:val="00BE39B0"/>
    <w:rsid w:val="00BE39E7"/>
    <w:rsid w:val="00BE3A14"/>
    <w:rsid w:val="00BE3C38"/>
    <w:rsid w:val="00BE3E1A"/>
    <w:rsid w:val="00BE40FF"/>
    <w:rsid w:val="00BE47E2"/>
    <w:rsid w:val="00BE49F8"/>
    <w:rsid w:val="00BE4B5E"/>
    <w:rsid w:val="00BE4F40"/>
    <w:rsid w:val="00BE50AD"/>
    <w:rsid w:val="00BE54DD"/>
    <w:rsid w:val="00BE5709"/>
    <w:rsid w:val="00BE5878"/>
    <w:rsid w:val="00BE5AA3"/>
    <w:rsid w:val="00BE5DC1"/>
    <w:rsid w:val="00BE6514"/>
    <w:rsid w:val="00BE6671"/>
    <w:rsid w:val="00BE66CB"/>
    <w:rsid w:val="00BE66F2"/>
    <w:rsid w:val="00BE6805"/>
    <w:rsid w:val="00BE7117"/>
    <w:rsid w:val="00BE717B"/>
    <w:rsid w:val="00BE73BF"/>
    <w:rsid w:val="00BE7EFC"/>
    <w:rsid w:val="00BE7F41"/>
    <w:rsid w:val="00BE7FC3"/>
    <w:rsid w:val="00BF0026"/>
    <w:rsid w:val="00BF0162"/>
    <w:rsid w:val="00BF04A5"/>
    <w:rsid w:val="00BF0FB1"/>
    <w:rsid w:val="00BF105E"/>
    <w:rsid w:val="00BF1280"/>
    <w:rsid w:val="00BF1520"/>
    <w:rsid w:val="00BF160B"/>
    <w:rsid w:val="00BF1663"/>
    <w:rsid w:val="00BF2513"/>
    <w:rsid w:val="00BF2A53"/>
    <w:rsid w:val="00BF3819"/>
    <w:rsid w:val="00BF3B89"/>
    <w:rsid w:val="00BF3E00"/>
    <w:rsid w:val="00BF4107"/>
    <w:rsid w:val="00BF4245"/>
    <w:rsid w:val="00BF4290"/>
    <w:rsid w:val="00BF4B00"/>
    <w:rsid w:val="00BF5210"/>
    <w:rsid w:val="00BF52EF"/>
    <w:rsid w:val="00BF55D5"/>
    <w:rsid w:val="00BF64AD"/>
    <w:rsid w:val="00BF65EE"/>
    <w:rsid w:val="00BF6D1E"/>
    <w:rsid w:val="00BF6D79"/>
    <w:rsid w:val="00BF7A65"/>
    <w:rsid w:val="00BF7C2D"/>
    <w:rsid w:val="00BF7F77"/>
    <w:rsid w:val="00C0005E"/>
    <w:rsid w:val="00C00E37"/>
    <w:rsid w:val="00C0138B"/>
    <w:rsid w:val="00C0143B"/>
    <w:rsid w:val="00C0153C"/>
    <w:rsid w:val="00C0180B"/>
    <w:rsid w:val="00C01A5E"/>
    <w:rsid w:val="00C01E3D"/>
    <w:rsid w:val="00C0288F"/>
    <w:rsid w:val="00C0297C"/>
    <w:rsid w:val="00C02B24"/>
    <w:rsid w:val="00C037A2"/>
    <w:rsid w:val="00C03B72"/>
    <w:rsid w:val="00C03D2B"/>
    <w:rsid w:val="00C04332"/>
    <w:rsid w:val="00C044EC"/>
    <w:rsid w:val="00C048A2"/>
    <w:rsid w:val="00C04A64"/>
    <w:rsid w:val="00C04C95"/>
    <w:rsid w:val="00C0513F"/>
    <w:rsid w:val="00C055AC"/>
    <w:rsid w:val="00C0600F"/>
    <w:rsid w:val="00C06227"/>
    <w:rsid w:val="00C06442"/>
    <w:rsid w:val="00C0658A"/>
    <w:rsid w:val="00C070D3"/>
    <w:rsid w:val="00C07146"/>
    <w:rsid w:val="00C07283"/>
    <w:rsid w:val="00C07550"/>
    <w:rsid w:val="00C07A73"/>
    <w:rsid w:val="00C07E99"/>
    <w:rsid w:val="00C1075D"/>
    <w:rsid w:val="00C107C5"/>
    <w:rsid w:val="00C1089E"/>
    <w:rsid w:val="00C10B73"/>
    <w:rsid w:val="00C114F9"/>
    <w:rsid w:val="00C116C6"/>
    <w:rsid w:val="00C11EA9"/>
    <w:rsid w:val="00C11EEE"/>
    <w:rsid w:val="00C121D6"/>
    <w:rsid w:val="00C12646"/>
    <w:rsid w:val="00C127F5"/>
    <w:rsid w:val="00C12F2B"/>
    <w:rsid w:val="00C1320C"/>
    <w:rsid w:val="00C135D2"/>
    <w:rsid w:val="00C1368E"/>
    <w:rsid w:val="00C140FA"/>
    <w:rsid w:val="00C1414C"/>
    <w:rsid w:val="00C143E4"/>
    <w:rsid w:val="00C145BB"/>
    <w:rsid w:val="00C14A5D"/>
    <w:rsid w:val="00C151B8"/>
    <w:rsid w:val="00C153AC"/>
    <w:rsid w:val="00C155B6"/>
    <w:rsid w:val="00C15B3B"/>
    <w:rsid w:val="00C15BD9"/>
    <w:rsid w:val="00C16394"/>
    <w:rsid w:val="00C16EAB"/>
    <w:rsid w:val="00C1701D"/>
    <w:rsid w:val="00C17508"/>
    <w:rsid w:val="00C1793F"/>
    <w:rsid w:val="00C17A7C"/>
    <w:rsid w:val="00C17DAB"/>
    <w:rsid w:val="00C17E31"/>
    <w:rsid w:val="00C20173"/>
    <w:rsid w:val="00C206F1"/>
    <w:rsid w:val="00C20786"/>
    <w:rsid w:val="00C20CEB"/>
    <w:rsid w:val="00C2104C"/>
    <w:rsid w:val="00C212F0"/>
    <w:rsid w:val="00C21339"/>
    <w:rsid w:val="00C2137F"/>
    <w:rsid w:val="00C21A1F"/>
    <w:rsid w:val="00C21CB6"/>
    <w:rsid w:val="00C220DB"/>
    <w:rsid w:val="00C2264B"/>
    <w:rsid w:val="00C2298C"/>
    <w:rsid w:val="00C23608"/>
    <w:rsid w:val="00C23939"/>
    <w:rsid w:val="00C23DE1"/>
    <w:rsid w:val="00C2417C"/>
    <w:rsid w:val="00C242D4"/>
    <w:rsid w:val="00C247AB"/>
    <w:rsid w:val="00C24911"/>
    <w:rsid w:val="00C24D21"/>
    <w:rsid w:val="00C254C9"/>
    <w:rsid w:val="00C254F7"/>
    <w:rsid w:val="00C258AC"/>
    <w:rsid w:val="00C25A17"/>
    <w:rsid w:val="00C25EBD"/>
    <w:rsid w:val="00C2612A"/>
    <w:rsid w:val="00C262EC"/>
    <w:rsid w:val="00C268ED"/>
    <w:rsid w:val="00C26A85"/>
    <w:rsid w:val="00C27062"/>
    <w:rsid w:val="00C27198"/>
    <w:rsid w:val="00C27358"/>
    <w:rsid w:val="00C30A71"/>
    <w:rsid w:val="00C30DB5"/>
    <w:rsid w:val="00C30EE3"/>
    <w:rsid w:val="00C31135"/>
    <w:rsid w:val="00C31771"/>
    <w:rsid w:val="00C31C86"/>
    <w:rsid w:val="00C322EF"/>
    <w:rsid w:val="00C32325"/>
    <w:rsid w:val="00C32673"/>
    <w:rsid w:val="00C32977"/>
    <w:rsid w:val="00C32A4A"/>
    <w:rsid w:val="00C32ACF"/>
    <w:rsid w:val="00C32BFB"/>
    <w:rsid w:val="00C3311C"/>
    <w:rsid w:val="00C336D1"/>
    <w:rsid w:val="00C33BBF"/>
    <w:rsid w:val="00C340C4"/>
    <w:rsid w:val="00C34378"/>
    <w:rsid w:val="00C343E2"/>
    <w:rsid w:val="00C34471"/>
    <w:rsid w:val="00C34747"/>
    <w:rsid w:val="00C347F8"/>
    <w:rsid w:val="00C34C76"/>
    <w:rsid w:val="00C34D23"/>
    <w:rsid w:val="00C3539A"/>
    <w:rsid w:val="00C353D1"/>
    <w:rsid w:val="00C355B2"/>
    <w:rsid w:val="00C35881"/>
    <w:rsid w:val="00C35CBE"/>
    <w:rsid w:val="00C35D11"/>
    <w:rsid w:val="00C36422"/>
    <w:rsid w:val="00C36F58"/>
    <w:rsid w:val="00C370BB"/>
    <w:rsid w:val="00C37632"/>
    <w:rsid w:val="00C37789"/>
    <w:rsid w:val="00C37929"/>
    <w:rsid w:val="00C37BBF"/>
    <w:rsid w:val="00C37D9B"/>
    <w:rsid w:val="00C40D5F"/>
    <w:rsid w:val="00C40F2D"/>
    <w:rsid w:val="00C40FCF"/>
    <w:rsid w:val="00C4116E"/>
    <w:rsid w:val="00C4117B"/>
    <w:rsid w:val="00C4122A"/>
    <w:rsid w:val="00C415EF"/>
    <w:rsid w:val="00C41B3A"/>
    <w:rsid w:val="00C41CDD"/>
    <w:rsid w:val="00C41D5C"/>
    <w:rsid w:val="00C41DAA"/>
    <w:rsid w:val="00C428C0"/>
    <w:rsid w:val="00C429E0"/>
    <w:rsid w:val="00C42C8C"/>
    <w:rsid w:val="00C430B4"/>
    <w:rsid w:val="00C433D4"/>
    <w:rsid w:val="00C43640"/>
    <w:rsid w:val="00C4397F"/>
    <w:rsid w:val="00C43A83"/>
    <w:rsid w:val="00C43AF7"/>
    <w:rsid w:val="00C43FFE"/>
    <w:rsid w:val="00C444DB"/>
    <w:rsid w:val="00C448AA"/>
    <w:rsid w:val="00C44CDA"/>
    <w:rsid w:val="00C44D2E"/>
    <w:rsid w:val="00C451A3"/>
    <w:rsid w:val="00C45398"/>
    <w:rsid w:val="00C456D2"/>
    <w:rsid w:val="00C4575B"/>
    <w:rsid w:val="00C45A3A"/>
    <w:rsid w:val="00C45B6B"/>
    <w:rsid w:val="00C45D1D"/>
    <w:rsid w:val="00C45F6D"/>
    <w:rsid w:val="00C45FAB"/>
    <w:rsid w:val="00C46259"/>
    <w:rsid w:val="00C46834"/>
    <w:rsid w:val="00C468C0"/>
    <w:rsid w:val="00C46B43"/>
    <w:rsid w:val="00C4717B"/>
    <w:rsid w:val="00C4753B"/>
    <w:rsid w:val="00C475A8"/>
    <w:rsid w:val="00C504F0"/>
    <w:rsid w:val="00C509C6"/>
    <w:rsid w:val="00C509C7"/>
    <w:rsid w:val="00C50F41"/>
    <w:rsid w:val="00C510F0"/>
    <w:rsid w:val="00C51254"/>
    <w:rsid w:val="00C514A7"/>
    <w:rsid w:val="00C515F6"/>
    <w:rsid w:val="00C51AA2"/>
    <w:rsid w:val="00C51AB6"/>
    <w:rsid w:val="00C51DF0"/>
    <w:rsid w:val="00C52489"/>
    <w:rsid w:val="00C524E3"/>
    <w:rsid w:val="00C5272C"/>
    <w:rsid w:val="00C528F7"/>
    <w:rsid w:val="00C52BC8"/>
    <w:rsid w:val="00C54DA0"/>
    <w:rsid w:val="00C54F7E"/>
    <w:rsid w:val="00C5504D"/>
    <w:rsid w:val="00C551C5"/>
    <w:rsid w:val="00C552B7"/>
    <w:rsid w:val="00C5530F"/>
    <w:rsid w:val="00C554BD"/>
    <w:rsid w:val="00C5558D"/>
    <w:rsid w:val="00C55B12"/>
    <w:rsid w:val="00C56565"/>
    <w:rsid w:val="00C5663D"/>
    <w:rsid w:val="00C56924"/>
    <w:rsid w:val="00C56B98"/>
    <w:rsid w:val="00C56E41"/>
    <w:rsid w:val="00C57404"/>
    <w:rsid w:val="00C57454"/>
    <w:rsid w:val="00C575AB"/>
    <w:rsid w:val="00C57743"/>
    <w:rsid w:val="00C57D62"/>
    <w:rsid w:val="00C57D96"/>
    <w:rsid w:val="00C57E19"/>
    <w:rsid w:val="00C60720"/>
    <w:rsid w:val="00C61002"/>
    <w:rsid w:val="00C6163F"/>
    <w:rsid w:val="00C616B1"/>
    <w:rsid w:val="00C6180F"/>
    <w:rsid w:val="00C61931"/>
    <w:rsid w:val="00C62292"/>
    <w:rsid w:val="00C62443"/>
    <w:rsid w:val="00C629F8"/>
    <w:rsid w:val="00C63E35"/>
    <w:rsid w:val="00C6479A"/>
    <w:rsid w:val="00C64CE7"/>
    <w:rsid w:val="00C651D2"/>
    <w:rsid w:val="00C65A92"/>
    <w:rsid w:val="00C65F46"/>
    <w:rsid w:val="00C66BBB"/>
    <w:rsid w:val="00C676DF"/>
    <w:rsid w:val="00C67D62"/>
    <w:rsid w:val="00C67E8E"/>
    <w:rsid w:val="00C67EBE"/>
    <w:rsid w:val="00C7033E"/>
    <w:rsid w:val="00C7060D"/>
    <w:rsid w:val="00C70BA9"/>
    <w:rsid w:val="00C70F29"/>
    <w:rsid w:val="00C70FF3"/>
    <w:rsid w:val="00C7122F"/>
    <w:rsid w:val="00C71B38"/>
    <w:rsid w:val="00C71ECD"/>
    <w:rsid w:val="00C71ED2"/>
    <w:rsid w:val="00C726F5"/>
    <w:rsid w:val="00C727EC"/>
    <w:rsid w:val="00C72B6F"/>
    <w:rsid w:val="00C734F4"/>
    <w:rsid w:val="00C73591"/>
    <w:rsid w:val="00C7374F"/>
    <w:rsid w:val="00C74280"/>
    <w:rsid w:val="00C74D1B"/>
    <w:rsid w:val="00C74D83"/>
    <w:rsid w:val="00C74E7A"/>
    <w:rsid w:val="00C75067"/>
    <w:rsid w:val="00C750D4"/>
    <w:rsid w:val="00C753A8"/>
    <w:rsid w:val="00C75997"/>
    <w:rsid w:val="00C75C7F"/>
    <w:rsid w:val="00C7624F"/>
    <w:rsid w:val="00C769B3"/>
    <w:rsid w:val="00C76AA7"/>
    <w:rsid w:val="00C76DD3"/>
    <w:rsid w:val="00C7799A"/>
    <w:rsid w:val="00C77D57"/>
    <w:rsid w:val="00C77E5D"/>
    <w:rsid w:val="00C80783"/>
    <w:rsid w:val="00C80C20"/>
    <w:rsid w:val="00C80D15"/>
    <w:rsid w:val="00C80F63"/>
    <w:rsid w:val="00C80FF3"/>
    <w:rsid w:val="00C81781"/>
    <w:rsid w:val="00C81860"/>
    <w:rsid w:val="00C81DE8"/>
    <w:rsid w:val="00C81F21"/>
    <w:rsid w:val="00C81FC6"/>
    <w:rsid w:val="00C8208F"/>
    <w:rsid w:val="00C827F9"/>
    <w:rsid w:val="00C82AE1"/>
    <w:rsid w:val="00C82D76"/>
    <w:rsid w:val="00C82F5A"/>
    <w:rsid w:val="00C830B4"/>
    <w:rsid w:val="00C83127"/>
    <w:rsid w:val="00C83C4B"/>
    <w:rsid w:val="00C83CD3"/>
    <w:rsid w:val="00C83FC1"/>
    <w:rsid w:val="00C84039"/>
    <w:rsid w:val="00C840F3"/>
    <w:rsid w:val="00C841D0"/>
    <w:rsid w:val="00C84449"/>
    <w:rsid w:val="00C84BE7"/>
    <w:rsid w:val="00C850DA"/>
    <w:rsid w:val="00C8534B"/>
    <w:rsid w:val="00C8541A"/>
    <w:rsid w:val="00C855B1"/>
    <w:rsid w:val="00C85695"/>
    <w:rsid w:val="00C85832"/>
    <w:rsid w:val="00C85921"/>
    <w:rsid w:val="00C85A8B"/>
    <w:rsid w:val="00C861B6"/>
    <w:rsid w:val="00C866E5"/>
    <w:rsid w:val="00C86976"/>
    <w:rsid w:val="00C86BEE"/>
    <w:rsid w:val="00C86D5D"/>
    <w:rsid w:val="00C86E02"/>
    <w:rsid w:val="00C875CE"/>
    <w:rsid w:val="00C87879"/>
    <w:rsid w:val="00C87950"/>
    <w:rsid w:val="00C87B7B"/>
    <w:rsid w:val="00C87BB9"/>
    <w:rsid w:val="00C87F5C"/>
    <w:rsid w:val="00C90192"/>
    <w:rsid w:val="00C90279"/>
    <w:rsid w:val="00C909B7"/>
    <w:rsid w:val="00C90D3D"/>
    <w:rsid w:val="00C90D47"/>
    <w:rsid w:val="00C91175"/>
    <w:rsid w:val="00C9136F"/>
    <w:rsid w:val="00C91411"/>
    <w:rsid w:val="00C9190E"/>
    <w:rsid w:val="00C919F3"/>
    <w:rsid w:val="00C91A32"/>
    <w:rsid w:val="00C91C97"/>
    <w:rsid w:val="00C91E03"/>
    <w:rsid w:val="00C924A4"/>
    <w:rsid w:val="00C932A9"/>
    <w:rsid w:val="00C9344C"/>
    <w:rsid w:val="00C936A1"/>
    <w:rsid w:val="00C93E42"/>
    <w:rsid w:val="00C94028"/>
    <w:rsid w:val="00C940D6"/>
    <w:rsid w:val="00C94226"/>
    <w:rsid w:val="00C94470"/>
    <w:rsid w:val="00C944A9"/>
    <w:rsid w:val="00C945F0"/>
    <w:rsid w:val="00C94CA6"/>
    <w:rsid w:val="00C953F7"/>
    <w:rsid w:val="00C95876"/>
    <w:rsid w:val="00C95898"/>
    <w:rsid w:val="00C95C44"/>
    <w:rsid w:val="00C9762A"/>
    <w:rsid w:val="00C97C76"/>
    <w:rsid w:val="00C97E2E"/>
    <w:rsid w:val="00C97FDC"/>
    <w:rsid w:val="00CA02F4"/>
    <w:rsid w:val="00CA0368"/>
    <w:rsid w:val="00CA0440"/>
    <w:rsid w:val="00CA0D6C"/>
    <w:rsid w:val="00CA0E33"/>
    <w:rsid w:val="00CA1186"/>
    <w:rsid w:val="00CA1D01"/>
    <w:rsid w:val="00CA1D8D"/>
    <w:rsid w:val="00CA2BD0"/>
    <w:rsid w:val="00CA2C5D"/>
    <w:rsid w:val="00CA3778"/>
    <w:rsid w:val="00CA3C15"/>
    <w:rsid w:val="00CA3E85"/>
    <w:rsid w:val="00CA413D"/>
    <w:rsid w:val="00CA43FB"/>
    <w:rsid w:val="00CA4479"/>
    <w:rsid w:val="00CA4B33"/>
    <w:rsid w:val="00CA4B82"/>
    <w:rsid w:val="00CA51D5"/>
    <w:rsid w:val="00CA550F"/>
    <w:rsid w:val="00CA5EC1"/>
    <w:rsid w:val="00CA6292"/>
    <w:rsid w:val="00CA6586"/>
    <w:rsid w:val="00CA698B"/>
    <w:rsid w:val="00CA6F0E"/>
    <w:rsid w:val="00CA71A6"/>
    <w:rsid w:val="00CA7292"/>
    <w:rsid w:val="00CA7927"/>
    <w:rsid w:val="00CA7A51"/>
    <w:rsid w:val="00CA7DAC"/>
    <w:rsid w:val="00CB097A"/>
    <w:rsid w:val="00CB1074"/>
    <w:rsid w:val="00CB11BA"/>
    <w:rsid w:val="00CB1343"/>
    <w:rsid w:val="00CB1E42"/>
    <w:rsid w:val="00CB2552"/>
    <w:rsid w:val="00CB2723"/>
    <w:rsid w:val="00CB2743"/>
    <w:rsid w:val="00CB277B"/>
    <w:rsid w:val="00CB29E1"/>
    <w:rsid w:val="00CB2B0E"/>
    <w:rsid w:val="00CB2D28"/>
    <w:rsid w:val="00CB33B1"/>
    <w:rsid w:val="00CB3F20"/>
    <w:rsid w:val="00CB4943"/>
    <w:rsid w:val="00CB49C9"/>
    <w:rsid w:val="00CB4CCC"/>
    <w:rsid w:val="00CB4E91"/>
    <w:rsid w:val="00CB5C46"/>
    <w:rsid w:val="00CB5CBE"/>
    <w:rsid w:val="00CB6617"/>
    <w:rsid w:val="00CB68C0"/>
    <w:rsid w:val="00CB6A48"/>
    <w:rsid w:val="00CB6B19"/>
    <w:rsid w:val="00CB6B2D"/>
    <w:rsid w:val="00CB6E80"/>
    <w:rsid w:val="00CB6F16"/>
    <w:rsid w:val="00CB7C51"/>
    <w:rsid w:val="00CC0142"/>
    <w:rsid w:val="00CC01C5"/>
    <w:rsid w:val="00CC0212"/>
    <w:rsid w:val="00CC0277"/>
    <w:rsid w:val="00CC02CC"/>
    <w:rsid w:val="00CC059F"/>
    <w:rsid w:val="00CC0658"/>
    <w:rsid w:val="00CC089F"/>
    <w:rsid w:val="00CC09B6"/>
    <w:rsid w:val="00CC0BC0"/>
    <w:rsid w:val="00CC16F3"/>
    <w:rsid w:val="00CC18BA"/>
    <w:rsid w:val="00CC2411"/>
    <w:rsid w:val="00CC2A01"/>
    <w:rsid w:val="00CC2C95"/>
    <w:rsid w:val="00CC2D3C"/>
    <w:rsid w:val="00CC31B9"/>
    <w:rsid w:val="00CC355B"/>
    <w:rsid w:val="00CC3964"/>
    <w:rsid w:val="00CC3BD0"/>
    <w:rsid w:val="00CC41DB"/>
    <w:rsid w:val="00CC436C"/>
    <w:rsid w:val="00CC45D7"/>
    <w:rsid w:val="00CC4678"/>
    <w:rsid w:val="00CC47FB"/>
    <w:rsid w:val="00CC4812"/>
    <w:rsid w:val="00CC4988"/>
    <w:rsid w:val="00CC4EF6"/>
    <w:rsid w:val="00CC550B"/>
    <w:rsid w:val="00CC5540"/>
    <w:rsid w:val="00CC55CF"/>
    <w:rsid w:val="00CC5BB1"/>
    <w:rsid w:val="00CC5E63"/>
    <w:rsid w:val="00CC6017"/>
    <w:rsid w:val="00CC64CE"/>
    <w:rsid w:val="00CC6563"/>
    <w:rsid w:val="00CC6907"/>
    <w:rsid w:val="00CC6C58"/>
    <w:rsid w:val="00CC6D37"/>
    <w:rsid w:val="00CC6DAA"/>
    <w:rsid w:val="00CC6DC4"/>
    <w:rsid w:val="00CC71AE"/>
    <w:rsid w:val="00CC7464"/>
    <w:rsid w:val="00CC787B"/>
    <w:rsid w:val="00CC7952"/>
    <w:rsid w:val="00CC7EC9"/>
    <w:rsid w:val="00CD00AF"/>
    <w:rsid w:val="00CD00E0"/>
    <w:rsid w:val="00CD016C"/>
    <w:rsid w:val="00CD0174"/>
    <w:rsid w:val="00CD019D"/>
    <w:rsid w:val="00CD03A7"/>
    <w:rsid w:val="00CD03CA"/>
    <w:rsid w:val="00CD06CE"/>
    <w:rsid w:val="00CD0A13"/>
    <w:rsid w:val="00CD0AB1"/>
    <w:rsid w:val="00CD0B69"/>
    <w:rsid w:val="00CD121E"/>
    <w:rsid w:val="00CD187C"/>
    <w:rsid w:val="00CD1CFB"/>
    <w:rsid w:val="00CD1F66"/>
    <w:rsid w:val="00CD2306"/>
    <w:rsid w:val="00CD24CA"/>
    <w:rsid w:val="00CD2614"/>
    <w:rsid w:val="00CD27A5"/>
    <w:rsid w:val="00CD27EC"/>
    <w:rsid w:val="00CD300E"/>
    <w:rsid w:val="00CD30FF"/>
    <w:rsid w:val="00CD35E7"/>
    <w:rsid w:val="00CD3707"/>
    <w:rsid w:val="00CD383E"/>
    <w:rsid w:val="00CD4255"/>
    <w:rsid w:val="00CD45DF"/>
    <w:rsid w:val="00CD4ACF"/>
    <w:rsid w:val="00CD4D2B"/>
    <w:rsid w:val="00CD5225"/>
    <w:rsid w:val="00CD528F"/>
    <w:rsid w:val="00CD52B8"/>
    <w:rsid w:val="00CD5DC3"/>
    <w:rsid w:val="00CD5F4F"/>
    <w:rsid w:val="00CD60E1"/>
    <w:rsid w:val="00CD6213"/>
    <w:rsid w:val="00CD678D"/>
    <w:rsid w:val="00CD6B31"/>
    <w:rsid w:val="00CD6D63"/>
    <w:rsid w:val="00CD6EE0"/>
    <w:rsid w:val="00CD7050"/>
    <w:rsid w:val="00CD72BB"/>
    <w:rsid w:val="00CD7336"/>
    <w:rsid w:val="00CD7B83"/>
    <w:rsid w:val="00CD7D49"/>
    <w:rsid w:val="00CE0061"/>
    <w:rsid w:val="00CE022C"/>
    <w:rsid w:val="00CE05BB"/>
    <w:rsid w:val="00CE0B3B"/>
    <w:rsid w:val="00CE0B58"/>
    <w:rsid w:val="00CE0DDC"/>
    <w:rsid w:val="00CE0E16"/>
    <w:rsid w:val="00CE0F44"/>
    <w:rsid w:val="00CE130F"/>
    <w:rsid w:val="00CE141F"/>
    <w:rsid w:val="00CE2B1A"/>
    <w:rsid w:val="00CE2CED"/>
    <w:rsid w:val="00CE2D06"/>
    <w:rsid w:val="00CE2EE9"/>
    <w:rsid w:val="00CE2FB0"/>
    <w:rsid w:val="00CE3017"/>
    <w:rsid w:val="00CE3110"/>
    <w:rsid w:val="00CE315A"/>
    <w:rsid w:val="00CE35D9"/>
    <w:rsid w:val="00CE3695"/>
    <w:rsid w:val="00CE3A5F"/>
    <w:rsid w:val="00CE3EF0"/>
    <w:rsid w:val="00CE4070"/>
    <w:rsid w:val="00CE4522"/>
    <w:rsid w:val="00CE495B"/>
    <w:rsid w:val="00CE4B37"/>
    <w:rsid w:val="00CE4BC6"/>
    <w:rsid w:val="00CE51E8"/>
    <w:rsid w:val="00CE56B1"/>
    <w:rsid w:val="00CE58FA"/>
    <w:rsid w:val="00CE5D63"/>
    <w:rsid w:val="00CE5EAC"/>
    <w:rsid w:val="00CE6135"/>
    <w:rsid w:val="00CE61C0"/>
    <w:rsid w:val="00CE6204"/>
    <w:rsid w:val="00CE6C0D"/>
    <w:rsid w:val="00CE6C85"/>
    <w:rsid w:val="00CE6CE7"/>
    <w:rsid w:val="00CE7052"/>
    <w:rsid w:val="00CE7912"/>
    <w:rsid w:val="00CE7945"/>
    <w:rsid w:val="00CF05D9"/>
    <w:rsid w:val="00CF0613"/>
    <w:rsid w:val="00CF080D"/>
    <w:rsid w:val="00CF08E2"/>
    <w:rsid w:val="00CF0C09"/>
    <w:rsid w:val="00CF10CD"/>
    <w:rsid w:val="00CF1350"/>
    <w:rsid w:val="00CF149D"/>
    <w:rsid w:val="00CF14EA"/>
    <w:rsid w:val="00CF1816"/>
    <w:rsid w:val="00CF1B5F"/>
    <w:rsid w:val="00CF1FA1"/>
    <w:rsid w:val="00CF2377"/>
    <w:rsid w:val="00CF2535"/>
    <w:rsid w:val="00CF26A7"/>
    <w:rsid w:val="00CF2BED"/>
    <w:rsid w:val="00CF3193"/>
    <w:rsid w:val="00CF3277"/>
    <w:rsid w:val="00CF32E1"/>
    <w:rsid w:val="00CF3754"/>
    <w:rsid w:val="00CF3B3F"/>
    <w:rsid w:val="00CF3B54"/>
    <w:rsid w:val="00CF3BCA"/>
    <w:rsid w:val="00CF3DA5"/>
    <w:rsid w:val="00CF4070"/>
    <w:rsid w:val="00CF4290"/>
    <w:rsid w:val="00CF46D3"/>
    <w:rsid w:val="00CF50E4"/>
    <w:rsid w:val="00CF53FF"/>
    <w:rsid w:val="00CF5DCE"/>
    <w:rsid w:val="00CF5F47"/>
    <w:rsid w:val="00CF5FB7"/>
    <w:rsid w:val="00CF6A94"/>
    <w:rsid w:val="00CF6B4D"/>
    <w:rsid w:val="00CF6C95"/>
    <w:rsid w:val="00CF6DD3"/>
    <w:rsid w:val="00CF75A1"/>
    <w:rsid w:val="00CF77CA"/>
    <w:rsid w:val="00CF7842"/>
    <w:rsid w:val="00CF7916"/>
    <w:rsid w:val="00CF7A0C"/>
    <w:rsid w:val="00CF7AF6"/>
    <w:rsid w:val="00CF7C35"/>
    <w:rsid w:val="00D00030"/>
    <w:rsid w:val="00D00AFB"/>
    <w:rsid w:val="00D00C05"/>
    <w:rsid w:val="00D00C87"/>
    <w:rsid w:val="00D00DE0"/>
    <w:rsid w:val="00D00F1B"/>
    <w:rsid w:val="00D01145"/>
    <w:rsid w:val="00D011EC"/>
    <w:rsid w:val="00D01362"/>
    <w:rsid w:val="00D01D97"/>
    <w:rsid w:val="00D021E9"/>
    <w:rsid w:val="00D02225"/>
    <w:rsid w:val="00D022B0"/>
    <w:rsid w:val="00D022C5"/>
    <w:rsid w:val="00D02395"/>
    <w:rsid w:val="00D029B7"/>
    <w:rsid w:val="00D02C98"/>
    <w:rsid w:val="00D02E13"/>
    <w:rsid w:val="00D0315F"/>
    <w:rsid w:val="00D03796"/>
    <w:rsid w:val="00D037D6"/>
    <w:rsid w:val="00D03BAD"/>
    <w:rsid w:val="00D0432E"/>
    <w:rsid w:val="00D04514"/>
    <w:rsid w:val="00D04777"/>
    <w:rsid w:val="00D048D7"/>
    <w:rsid w:val="00D04B25"/>
    <w:rsid w:val="00D04F31"/>
    <w:rsid w:val="00D05B7B"/>
    <w:rsid w:val="00D061E0"/>
    <w:rsid w:val="00D06756"/>
    <w:rsid w:val="00D06DB0"/>
    <w:rsid w:val="00D07377"/>
    <w:rsid w:val="00D07590"/>
    <w:rsid w:val="00D07740"/>
    <w:rsid w:val="00D077E0"/>
    <w:rsid w:val="00D07A2D"/>
    <w:rsid w:val="00D10018"/>
    <w:rsid w:val="00D103D4"/>
    <w:rsid w:val="00D107D7"/>
    <w:rsid w:val="00D10B57"/>
    <w:rsid w:val="00D10CE7"/>
    <w:rsid w:val="00D1104F"/>
    <w:rsid w:val="00D11101"/>
    <w:rsid w:val="00D112DF"/>
    <w:rsid w:val="00D114C8"/>
    <w:rsid w:val="00D116D1"/>
    <w:rsid w:val="00D11F04"/>
    <w:rsid w:val="00D12B91"/>
    <w:rsid w:val="00D1342F"/>
    <w:rsid w:val="00D1368F"/>
    <w:rsid w:val="00D13D64"/>
    <w:rsid w:val="00D1435F"/>
    <w:rsid w:val="00D14615"/>
    <w:rsid w:val="00D14795"/>
    <w:rsid w:val="00D149EF"/>
    <w:rsid w:val="00D14A09"/>
    <w:rsid w:val="00D14C23"/>
    <w:rsid w:val="00D15189"/>
    <w:rsid w:val="00D153A7"/>
    <w:rsid w:val="00D15B7D"/>
    <w:rsid w:val="00D15B91"/>
    <w:rsid w:val="00D15D8E"/>
    <w:rsid w:val="00D15F52"/>
    <w:rsid w:val="00D16673"/>
    <w:rsid w:val="00D16F5D"/>
    <w:rsid w:val="00D1712F"/>
    <w:rsid w:val="00D17281"/>
    <w:rsid w:val="00D172D0"/>
    <w:rsid w:val="00D173C4"/>
    <w:rsid w:val="00D174FB"/>
    <w:rsid w:val="00D17D9F"/>
    <w:rsid w:val="00D17E27"/>
    <w:rsid w:val="00D2000D"/>
    <w:rsid w:val="00D2013E"/>
    <w:rsid w:val="00D20625"/>
    <w:rsid w:val="00D20AB0"/>
    <w:rsid w:val="00D20E78"/>
    <w:rsid w:val="00D20ED5"/>
    <w:rsid w:val="00D212BD"/>
    <w:rsid w:val="00D213D5"/>
    <w:rsid w:val="00D21572"/>
    <w:rsid w:val="00D216E2"/>
    <w:rsid w:val="00D21FF2"/>
    <w:rsid w:val="00D2216D"/>
    <w:rsid w:val="00D221CA"/>
    <w:rsid w:val="00D22439"/>
    <w:rsid w:val="00D228E1"/>
    <w:rsid w:val="00D228F7"/>
    <w:rsid w:val="00D22958"/>
    <w:rsid w:val="00D22CA3"/>
    <w:rsid w:val="00D22CC6"/>
    <w:rsid w:val="00D22F3C"/>
    <w:rsid w:val="00D23A2B"/>
    <w:rsid w:val="00D247AD"/>
    <w:rsid w:val="00D24FA8"/>
    <w:rsid w:val="00D2544E"/>
    <w:rsid w:val="00D2546B"/>
    <w:rsid w:val="00D25AF5"/>
    <w:rsid w:val="00D25FA4"/>
    <w:rsid w:val="00D25FBB"/>
    <w:rsid w:val="00D261A7"/>
    <w:rsid w:val="00D26240"/>
    <w:rsid w:val="00D262AD"/>
    <w:rsid w:val="00D2682F"/>
    <w:rsid w:val="00D26CC0"/>
    <w:rsid w:val="00D27196"/>
    <w:rsid w:val="00D27853"/>
    <w:rsid w:val="00D27A55"/>
    <w:rsid w:val="00D27BD6"/>
    <w:rsid w:val="00D27EC2"/>
    <w:rsid w:val="00D30268"/>
    <w:rsid w:val="00D3074B"/>
    <w:rsid w:val="00D30AE1"/>
    <w:rsid w:val="00D30B86"/>
    <w:rsid w:val="00D30C24"/>
    <w:rsid w:val="00D314BD"/>
    <w:rsid w:val="00D317BC"/>
    <w:rsid w:val="00D317C2"/>
    <w:rsid w:val="00D31975"/>
    <w:rsid w:val="00D31BF2"/>
    <w:rsid w:val="00D31F06"/>
    <w:rsid w:val="00D32301"/>
    <w:rsid w:val="00D323FC"/>
    <w:rsid w:val="00D324AB"/>
    <w:rsid w:val="00D32BAC"/>
    <w:rsid w:val="00D32F8D"/>
    <w:rsid w:val="00D3301B"/>
    <w:rsid w:val="00D33372"/>
    <w:rsid w:val="00D337BA"/>
    <w:rsid w:val="00D33ACF"/>
    <w:rsid w:val="00D33D98"/>
    <w:rsid w:val="00D33ECE"/>
    <w:rsid w:val="00D34832"/>
    <w:rsid w:val="00D34AB9"/>
    <w:rsid w:val="00D354FB"/>
    <w:rsid w:val="00D35C4E"/>
    <w:rsid w:val="00D35D61"/>
    <w:rsid w:val="00D35D85"/>
    <w:rsid w:val="00D35E7D"/>
    <w:rsid w:val="00D36219"/>
    <w:rsid w:val="00D36597"/>
    <w:rsid w:val="00D367CE"/>
    <w:rsid w:val="00D369C3"/>
    <w:rsid w:val="00D36CB2"/>
    <w:rsid w:val="00D36EF4"/>
    <w:rsid w:val="00D36FDE"/>
    <w:rsid w:val="00D37156"/>
    <w:rsid w:val="00D37232"/>
    <w:rsid w:val="00D37361"/>
    <w:rsid w:val="00D37468"/>
    <w:rsid w:val="00D37529"/>
    <w:rsid w:val="00D376E8"/>
    <w:rsid w:val="00D377AC"/>
    <w:rsid w:val="00D37A19"/>
    <w:rsid w:val="00D402EA"/>
    <w:rsid w:val="00D40521"/>
    <w:rsid w:val="00D40579"/>
    <w:rsid w:val="00D40590"/>
    <w:rsid w:val="00D406F1"/>
    <w:rsid w:val="00D40796"/>
    <w:rsid w:val="00D40A65"/>
    <w:rsid w:val="00D40EA8"/>
    <w:rsid w:val="00D41424"/>
    <w:rsid w:val="00D41509"/>
    <w:rsid w:val="00D41614"/>
    <w:rsid w:val="00D41690"/>
    <w:rsid w:val="00D41B00"/>
    <w:rsid w:val="00D41E64"/>
    <w:rsid w:val="00D426FE"/>
    <w:rsid w:val="00D42A38"/>
    <w:rsid w:val="00D42CCC"/>
    <w:rsid w:val="00D43CE1"/>
    <w:rsid w:val="00D443C4"/>
    <w:rsid w:val="00D4449C"/>
    <w:rsid w:val="00D449EA"/>
    <w:rsid w:val="00D44AC5"/>
    <w:rsid w:val="00D44B62"/>
    <w:rsid w:val="00D44BE6"/>
    <w:rsid w:val="00D451B3"/>
    <w:rsid w:val="00D45752"/>
    <w:rsid w:val="00D45C40"/>
    <w:rsid w:val="00D45EEA"/>
    <w:rsid w:val="00D4620C"/>
    <w:rsid w:val="00D462CC"/>
    <w:rsid w:val="00D468B4"/>
    <w:rsid w:val="00D46B6F"/>
    <w:rsid w:val="00D46CF3"/>
    <w:rsid w:val="00D46D05"/>
    <w:rsid w:val="00D47635"/>
    <w:rsid w:val="00D478EE"/>
    <w:rsid w:val="00D479C0"/>
    <w:rsid w:val="00D47F85"/>
    <w:rsid w:val="00D5010E"/>
    <w:rsid w:val="00D5054D"/>
    <w:rsid w:val="00D507E3"/>
    <w:rsid w:val="00D50992"/>
    <w:rsid w:val="00D50FAC"/>
    <w:rsid w:val="00D5139A"/>
    <w:rsid w:val="00D516FD"/>
    <w:rsid w:val="00D51F25"/>
    <w:rsid w:val="00D5254A"/>
    <w:rsid w:val="00D5267A"/>
    <w:rsid w:val="00D52867"/>
    <w:rsid w:val="00D52D50"/>
    <w:rsid w:val="00D52FDE"/>
    <w:rsid w:val="00D5334C"/>
    <w:rsid w:val="00D53393"/>
    <w:rsid w:val="00D533E7"/>
    <w:rsid w:val="00D53BF3"/>
    <w:rsid w:val="00D53D58"/>
    <w:rsid w:val="00D53E43"/>
    <w:rsid w:val="00D53F26"/>
    <w:rsid w:val="00D541C6"/>
    <w:rsid w:val="00D54203"/>
    <w:rsid w:val="00D5428D"/>
    <w:rsid w:val="00D544AA"/>
    <w:rsid w:val="00D54508"/>
    <w:rsid w:val="00D54E1C"/>
    <w:rsid w:val="00D54E54"/>
    <w:rsid w:val="00D54E61"/>
    <w:rsid w:val="00D54F5F"/>
    <w:rsid w:val="00D5527D"/>
    <w:rsid w:val="00D552FF"/>
    <w:rsid w:val="00D55612"/>
    <w:rsid w:val="00D5563B"/>
    <w:rsid w:val="00D55939"/>
    <w:rsid w:val="00D55A0B"/>
    <w:rsid w:val="00D55BA4"/>
    <w:rsid w:val="00D561E7"/>
    <w:rsid w:val="00D56234"/>
    <w:rsid w:val="00D5645E"/>
    <w:rsid w:val="00D569AF"/>
    <w:rsid w:val="00D56A34"/>
    <w:rsid w:val="00D56EA9"/>
    <w:rsid w:val="00D56FB4"/>
    <w:rsid w:val="00D5728D"/>
    <w:rsid w:val="00D5729A"/>
    <w:rsid w:val="00D57314"/>
    <w:rsid w:val="00D5741F"/>
    <w:rsid w:val="00D578FB"/>
    <w:rsid w:val="00D57920"/>
    <w:rsid w:val="00D579A9"/>
    <w:rsid w:val="00D57A72"/>
    <w:rsid w:val="00D57AC2"/>
    <w:rsid w:val="00D6073B"/>
    <w:rsid w:val="00D60833"/>
    <w:rsid w:val="00D6085E"/>
    <w:rsid w:val="00D60A1D"/>
    <w:rsid w:val="00D60AD4"/>
    <w:rsid w:val="00D60DDF"/>
    <w:rsid w:val="00D611AA"/>
    <w:rsid w:val="00D6129F"/>
    <w:rsid w:val="00D61311"/>
    <w:rsid w:val="00D6138B"/>
    <w:rsid w:val="00D6189A"/>
    <w:rsid w:val="00D61902"/>
    <w:rsid w:val="00D62E0F"/>
    <w:rsid w:val="00D631EF"/>
    <w:rsid w:val="00D634F8"/>
    <w:rsid w:val="00D63522"/>
    <w:rsid w:val="00D6368D"/>
    <w:rsid w:val="00D63B71"/>
    <w:rsid w:val="00D63D6C"/>
    <w:rsid w:val="00D64814"/>
    <w:rsid w:val="00D64A6C"/>
    <w:rsid w:val="00D64D90"/>
    <w:rsid w:val="00D64E32"/>
    <w:rsid w:val="00D659B2"/>
    <w:rsid w:val="00D663A5"/>
    <w:rsid w:val="00D6657E"/>
    <w:rsid w:val="00D66679"/>
    <w:rsid w:val="00D66772"/>
    <w:rsid w:val="00D672EB"/>
    <w:rsid w:val="00D67664"/>
    <w:rsid w:val="00D677B0"/>
    <w:rsid w:val="00D679D2"/>
    <w:rsid w:val="00D67A1C"/>
    <w:rsid w:val="00D67A4E"/>
    <w:rsid w:val="00D67B95"/>
    <w:rsid w:val="00D67CC5"/>
    <w:rsid w:val="00D67EBD"/>
    <w:rsid w:val="00D7010B"/>
    <w:rsid w:val="00D70437"/>
    <w:rsid w:val="00D7049A"/>
    <w:rsid w:val="00D70838"/>
    <w:rsid w:val="00D708B8"/>
    <w:rsid w:val="00D70AB0"/>
    <w:rsid w:val="00D70CC9"/>
    <w:rsid w:val="00D70FC0"/>
    <w:rsid w:val="00D714B5"/>
    <w:rsid w:val="00D71888"/>
    <w:rsid w:val="00D71E52"/>
    <w:rsid w:val="00D71E8B"/>
    <w:rsid w:val="00D7277C"/>
    <w:rsid w:val="00D728CE"/>
    <w:rsid w:val="00D72E62"/>
    <w:rsid w:val="00D72E9D"/>
    <w:rsid w:val="00D73260"/>
    <w:rsid w:val="00D73500"/>
    <w:rsid w:val="00D736AC"/>
    <w:rsid w:val="00D73A54"/>
    <w:rsid w:val="00D73DE1"/>
    <w:rsid w:val="00D73FC1"/>
    <w:rsid w:val="00D740AA"/>
    <w:rsid w:val="00D740BE"/>
    <w:rsid w:val="00D741BE"/>
    <w:rsid w:val="00D74332"/>
    <w:rsid w:val="00D74338"/>
    <w:rsid w:val="00D743A0"/>
    <w:rsid w:val="00D74482"/>
    <w:rsid w:val="00D747B9"/>
    <w:rsid w:val="00D748B1"/>
    <w:rsid w:val="00D74E03"/>
    <w:rsid w:val="00D74F53"/>
    <w:rsid w:val="00D75095"/>
    <w:rsid w:val="00D752EE"/>
    <w:rsid w:val="00D7542D"/>
    <w:rsid w:val="00D7552A"/>
    <w:rsid w:val="00D75606"/>
    <w:rsid w:val="00D75B18"/>
    <w:rsid w:val="00D76511"/>
    <w:rsid w:val="00D76DEF"/>
    <w:rsid w:val="00D77052"/>
    <w:rsid w:val="00D7716E"/>
    <w:rsid w:val="00D773A1"/>
    <w:rsid w:val="00D774ED"/>
    <w:rsid w:val="00D77C40"/>
    <w:rsid w:val="00D801D0"/>
    <w:rsid w:val="00D80764"/>
    <w:rsid w:val="00D80D9A"/>
    <w:rsid w:val="00D81033"/>
    <w:rsid w:val="00D815DC"/>
    <w:rsid w:val="00D817FC"/>
    <w:rsid w:val="00D81D11"/>
    <w:rsid w:val="00D81E21"/>
    <w:rsid w:val="00D82198"/>
    <w:rsid w:val="00D8256D"/>
    <w:rsid w:val="00D82698"/>
    <w:rsid w:val="00D82734"/>
    <w:rsid w:val="00D82A42"/>
    <w:rsid w:val="00D82D40"/>
    <w:rsid w:val="00D82FA3"/>
    <w:rsid w:val="00D8347E"/>
    <w:rsid w:val="00D83771"/>
    <w:rsid w:val="00D838B7"/>
    <w:rsid w:val="00D8409B"/>
    <w:rsid w:val="00D8489E"/>
    <w:rsid w:val="00D84D88"/>
    <w:rsid w:val="00D84EC9"/>
    <w:rsid w:val="00D8554A"/>
    <w:rsid w:val="00D85595"/>
    <w:rsid w:val="00D857AB"/>
    <w:rsid w:val="00D8593F"/>
    <w:rsid w:val="00D85B2A"/>
    <w:rsid w:val="00D85B79"/>
    <w:rsid w:val="00D85CBF"/>
    <w:rsid w:val="00D86DCD"/>
    <w:rsid w:val="00D87088"/>
    <w:rsid w:val="00D871CF"/>
    <w:rsid w:val="00D874E5"/>
    <w:rsid w:val="00D876E5"/>
    <w:rsid w:val="00D87712"/>
    <w:rsid w:val="00D879F6"/>
    <w:rsid w:val="00D87ECC"/>
    <w:rsid w:val="00D903E3"/>
    <w:rsid w:val="00D9058D"/>
    <w:rsid w:val="00D9060C"/>
    <w:rsid w:val="00D9069F"/>
    <w:rsid w:val="00D90721"/>
    <w:rsid w:val="00D90868"/>
    <w:rsid w:val="00D90932"/>
    <w:rsid w:val="00D90A4C"/>
    <w:rsid w:val="00D90D0D"/>
    <w:rsid w:val="00D90DE9"/>
    <w:rsid w:val="00D911C6"/>
    <w:rsid w:val="00D91267"/>
    <w:rsid w:val="00D91820"/>
    <w:rsid w:val="00D9192B"/>
    <w:rsid w:val="00D91D75"/>
    <w:rsid w:val="00D91E7C"/>
    <w:rsid w:val="00D91E9D"/>
    <w:rsid w:val="00D923DD"/>
    <w:rsid w:val="00D9252E"/>
    <w:rsid w:val="00D92685"/>
    <w:rsid w:val="00D92961"/>
    <w:rsid w:val="00D92C39"/>
    <w:rsid w:val="00D92E47"/>
    <w:rsid w:val="00D92FDD"/>
    <w:rsid w:val="00D9360C"/>
    <w:rsid w:val="00D93AF1"/>
    <w:rsid w:val="00D9427D"/>
    <w:rsid w:val="00D942A6"/>
    <w:rsid w:val="00D9442C"/>
    <w:rsid w:val="00D94659"/>
    <w:rsid w:val="00D94755"/>
    <w:rsid w:val="00D94902"/>
    <w:rsid w:val="00D95606"/>
    <w:rsid w:val="00D95654"/>
    <w:rsid w:val="00D9599B"/>
    <w:rsid w:val="00D95DCD"/>
    <w:rsid w:val="00D95F1A"/>
    <w:rsid w:val="00D95FBD"/>
    <w:rsid w:val="00D964D2"/>
    <w:rsid w:val="00D9650C"/>
    <w:rsid w:val="00D96C65"/>
    <w:rsid w:val="00D96E56"/>
    <w:rsid w:val="00D96F05"/>
    <w:rsid w:val="00D97058"/>
    <w:rsid w:val="00D9752B"/>
    <w:rsid w:val="00D975BC"/>
    <w:rsid w:val="00D97647"/>
    <w:rsid w:val="00D97917"/>
    <w:rsid w:val="00D97940"/>
    <w:rsid w:val="00D97F77"/>
    <w:rsid w:val="00DA001B"/>
    <w:rsid w:val="00DA0BC9"/>
    <w:rsid w:val="00DA0E54"/>
    <w:rsid w:val="00DA1481"/>
    <w:rsid w:val="00DA1C21"/>
    <w:rsid w:val="00DA226C"/>
    <w:rsid w:val="00DA2B7F"/>
    <w:rsid w:val="00DA2F15"/>
    <w:rsid w:val="00DA326A"/>
    <w:rsid w:val="00DA331F"/>
    <w:rsid w:val="00DA3B5E"/>
    <w:rsid w:val="00DA3B74"/>
    <w:rsid w:val="00DA3B7D"/>
    <w:rsid w:val="00DA3D79"/>
    <w:rsid w:val="00DA4081"/>
    <w:rsid w:val="00DA40DB"/>
    <w:rsid w:val="00DA412A"/>
    <w:rsid w:val="00DA4572"/>
    <w:rsid w:val="00DA45B5"/>
    <w:rsid w:val="00DA507A"/>
    <w:rsid w:val="00DA53E2"/>
    <w:rsid w:val="00DA5621"/>
    <w:rsid w:val="00DA5823"/>
    <w:rsid w:val="00DA5843"/>
    <w:rsid w:val="00DA58ED"/>
    <w:rsid w:val="00DA5CF9"/>
    <w:rsid w:val="00DA651D"/>
    <w:rsid w:val="00DA6781"/>
    <w:rsid w:val="00DA7387"/>
    <w:rsid w:val="00DA744A"/>
    <w:rsid w:val="00DA763B"/>
    <w:rsid w:val="00DA7A2B"/>
    <w:rsid w:val="00DA7DEC"/>
    <w:rsid w:val="00DA7FDB"/>
    <w:rsid w:val="00DB0039"/>
    <w:rsid w:val="00DB03C9"/>
    <w:rsid w:val="00DB042A"/>
    <w:rsid w:val="00DB091A"/>
    <w:rsid w:val="00DB0AA1"/>
    <w:rsid w:val="00DB0B6A"/>
    <w:rsid w:val="00DB0FCC"/>
    <w:rsid w:val="00DB164C"/>
    <w:rsid w:val="00DB190C"/>
    <w:rsid w:val="00DB1B7F"/>
    <w:rsid w:val="00DB1DBE"/>
    <w:rsid w:val="00DB24BB"/>
    <w:rsid w:val="00DB2A12"/>
    <w:rsid w:val="00DB2D3F"/>
    <w:rsid w:val="00DB2DC4"/>
    <w:rsid w:val="00DB2F7F"/>
    <w:rsid w:val="00DB3A54"/>
    <w:rsid w:val="00DB3F00"/>
    <w:rsid w:val="00DB400C"/>
    <w:rsid w:val="00DB418B"/>
    <w:rsid w:val="00DB41B8"/>
    <w:rsid w:val="00DB4335"/>
    <w:rsid w:val="00DB47AD"/>
    <w:rsid w:val="00DB4A81"/>
    <w:rsid w:val="00DB4CE2"/>
    <w:rsid w:val="00DB4F25"/>
    <w:rsid w:val="00DB4FA3"/>
    <w:rsid w:val="00DB5247"/>
    <w:rsid w:val="00DB5516"/>
    <w:rsid w:val="00DB59FD"/>
    <w:rsid w:val="00DB60B3"/>
    <w:rsid w:val="00DB637E"/>
    <w:rsid w:val="00DB6ADE"/>
    <w:rsid w:val="00DB6E21"/>
    <w:rsid w:val="00DB70DB"/>
    <w:rsid w:val="00DB71A1"/>
    <w:rsid w:val="00DB7236"/>
    <w:rsid w:val="00DB750E"/>
    <w:rsid w:val="00DB7963"/>
    <w:rsid w:val="00DB7A10"/>
    <w:rsid w:val="00DB7B25"/>
    <w:rsid w:val="00DB7E65"/>
    <w:rsid w:val="00DC0A88"/>
    <w:rsid w:val="00DC0C7E"/>
    <w:rsid w:val="00DC0DCB"/>
    <w:rsid w:val="00DC0F0F"/>
    <w:rsid w:val="00DC188F"/>
    <w:rsid w:val="00DC2171"/>
    <w:rsid w:val="00DC22A3"/>
    <w:rsid w:val="00DC259C"/>
    <w:rsid w:val="00DC2ABA"/>
    <w:rsid w:val="00DC3D25"/>
    <w:rsid w:val="00DC3E7C"/>
    <w:rsid w:val="00DC40C3"/>
    <w:rsid w:val="00DC425F"/>
    <w:rsid w:val="00DC4370"/>
    <w:rsid w:val="00DC4B38"/>
    <w:rsid w:val="00DC4B9E"/>
    <w:rsid w:val="00DC4FD8"/>
    <w:rsid w:val="00DC52B9"/>
    <w:rsid w:val="00DC59CF"/>
    <w:rsid w:val="00DC5B17"/>
    <w:rsid w:val="00DC5EE8"/>
    <w:rsid w:val="00DC606F"/>
    <w:rsid w:val="00DC6600"/>
    <w:rsid w:val="00DC690C"/>
    <w:rsid w:val="00DC694B"/>
    <w:rsid w:val="00DC6C35"/>
    <w:rsid w:val="00DC76E9"/>
    <w:rsid w:val="00DC79A1"/>
    <w:rsid w:val="00DC7C7E"/>
    <w:rsid w:val="00DD0174"/>
    <w:rsid w:val="00DD0403"/>
    <w:rsid w:val="00DD0956"/>
    <w:rsid w:val="00DD11BA"/>
    <w:rsid w:val="00DD1394"/>
    <w:rsid w:val="00DD1C4F"/>
    <w:rsid w:val="00DD22D1"/>
    <w:rsid w:val="00DD267C"/>
    <w:rsid w:val="00DD2778"/>
    <w:rsid w:val="00DD296D"/>
    <w:rsid w:val="00DD2BDB"/>
    <w:rsid w:val="00DD3036"/>
    <w:rsid w:val="00DD3255"/>
    <w:rsid w:val="00DD3B81"/>
    <w:rsid w:val="00DD4010"/>
    <w:rsid w:val="00DD419F"/>
    <w:rsid w:val="00DD4399"/>
    <w:rsid w:val="00DD5428"/>
    <w:rsid w:val="00DD5503"/>
    <w:rsid w:val="00DD5539"/>
    <w:rsid w:val="00DD5761"/>
    <w:rsid w:val="00DD5BA4"/>
    <w:rsid w:val="00DD642B"/>
    <w:rsid w:val="00DD65B8"/>
    <w:rsid w:val="00DD6BCE"/>
    <w:rsid w:val="00DD6CF3"/>
    <w:rsid w:val="00DD74D7"/>
    <w:rsid w:val="00DD7834"/>
    <w:rsid w:val="00DD7F34"/>
    <w:rsid w:val="00DE011A"/>
    <w:rsid w:val="00DE012C"/>
    <w:rsid w:val="00DE01AB"/>
    <w:rsid w:val="00DE01F6"/>
    <w:rsid w:val="00DE0451"/>
    <w:rsid w:val="00DE04F3"/>
    <w:rsid w:val="00DE09B8"/>
    <w:rsid w:val="00DE0A9B"/>
    <w:rsid w:val="00DE0DBE"/>
    <w:rsid w:val="00DE0E98"/>
    <w:rsid w:val="00DE1099"/>
    <w:rsid w:val="00DE10B3"/>
    <w:rsid w:val="00DE12B2"/>
    <w:rsid w:val="00DE13E7"/>
    <w:rsid w:val="00DE1680"/>
    <w:rsid w:val="00DE174C"/>
    <w:rsid w:val="00DE1D4C"/>
    <w:rsid w:val="00DE22F2"/>
    <w:rsid w:val="00DE24FB"/>
    <w:rsid w:val="00DE254E"/>
    <w:rsid w:val="00DE282D"/>
    <w:rsid w:val="00DE2FE3"/>
    <w:rsid w:val="00DE3011"/>
    <w:rsid w:val="00DE3302"/>
    <w:rsid w:val="00DE36AE"/>
    <w:rsid w:val="00DE3956"/>
    <w:rsid w:val="00DE3C17"/>
    <w:rsid w:val="00DE3DA1"/>
    <w:rsid w:val="00DE4030"/>
    <w:rsid w:val="00DE417B"/>
    <w:rsid w:val="00DE46DB"/>
    <w:rsid w:val="00DE478B"/>
    <w:rsid w:val="00DE4F29"/>
    <w:rsid w:val="00DE4FFC"/>
    <w:rsid w:val="00DE5191"/>
    <w:rsid w:val="00DE542F"/>
    <w:rsid w:val="00DE5892"/>
    <w:rsid w:val="00DE5C86"/>
    <w:rsid w:val="00DE5E28"/>
    <w:rsid w:val="00DE61DA"/>
    <w:rsid w:val="00DE6883"/>
    <w:rsid w:val="00DE6A4B"/>
    <w:rsid w:val="00DE6B07"/>
    <w:rsid w:val="00DE7857"/>
    <w:rsid w:val="00DE79DE"/>
    <w:rsid w:val="00DE7CE6"/>
    <w:rsid w:val="00DE7D7B"/>
    <w:rsid w:val="00DE7DBE"/>
    <w:rsid w:val="00DF0037"/>
    <w:rsid w:val="00DF0626"/>
    <w:rsid w:val="00DF0744"/>
    <w:rsid w:val="00DF0AC6"/>
    <w:rsid w:val="00DF0D71"/>
    <w:rsid w:val="00DF1096"/>
    <w:rsid w:val="00DF10FF"/>
    <w:rsid w:val="00DF1127"/>
    <w:rsid w:val="00DF1364"/>
    <w:rsid w:val="00DF13EA"/>
    <w:rsid w:val="00DF17D0"/>
    <w:rsid w:val="00DF1B70"/>
    <w:rsid w:val="00DF1F0A"/>
    <w:rsid w:val="00DF2048"/>
    <w:rsid w:val="00DF2211"/>
    <w:rsid w:val="00DF2358"/>
    <w:rsid w:val="00DF25E7"/>
    <w:rsid w:val="00DF29BE"/>
    <w:rsid w:val="00DF2EB8"/>
    <w:rsid w:val="00DF356C"/>
    <w:rsid w:val="00DF3605"/>
    <w:rsid w:val="00DF397D"/>
    <w:rsid w:val="00DF3AD3"/>
    <w:rsid w:val="00DF3B39"/>
    <w:rsid w:val="00DF3FFB"/>
    <w:rsid w:val="00DF4110"/>
    <w:rsid w:val="00DF4318"/>
    <w:rsid w:val="00DF485E"/>
    <w:rsid w:val="00DF4964"/>
    <w:rsid w:val="00DF4981"/>
    <w:rsid w:val="00DF4B28"/>
    <w:rsid w:val="00DF4E33"/>
    <w:rsid w:val="00DF4F54"/>
    <w:rsid w:val="00DF52DF"/>
    <w:rsid w:val="00DF593A"/>
    <w:rsid w:val="00DF5973"/>
    <w:rsid w:val="00DF5B4F"/>
    <w:rsid w:val="00DF5B64"/>
    <w:rsid w:val="00DF61E4"/>
    <w:rsid w:val="00DF62CD"/>
    <w:rsid w:val="00DF6741"/>
    <w:rsid w:val="00DF68F7"/>
    <w:rsid w:val="00DF6D38"/>
    <w:rsid w:val="00DF6DEE"/>
    <w:rsid w:val="00DF70D1"/>
    <w:rsid w:val="00DF7307"/>
    <w:rsid w:val="00DF74C7"/>
    <w:rsid w:val="00DF761D"/>
    <w:rsid w:val="00DF7D16"/>
    <w:rsid w:val="00DF7EC6"/>
    <w:rsid w:val="00DF7EED"/>
    <w:rsid w:val="00E0027B"/>
    <w:rsid w:val="00E003B2"/>
    <w:rsid w:val="00E0049F"/>
    <w:rsid w:val="00E00636"/>
    <w:rsid w:val="00E0076F"/>
    <w:rsid w:val="00E007BB"/>
    <w:rsid w:val="00E00B22"/>
    <w:rsid w:val="00E00C30"/>
    <w:rsid w:val="00E01165"/>
    <w:rsid w:val="00E0149D"/>
    <w:rsid w:val="00E01B2D"/>
    <w:rsid w:val="00E01E56"/>
    <w:rsid w:val="00E01F88"/>
    <w:rsid w:val="00E021B0"/>
    <w:rsid w:val="00E02F4D"/>
    <w:rsid w:val="00E0308B"/>
    <w:rsid w:val="00E039F9"/>
    <w:rsid w:val="00E03E33"/>
    <w:rsid w:val="00E0412C"/>
    <w:rsid w:val="00E04277"/>
    <w:rsid w:val="00E043F1"/>
    <w:rsid w:val="00E04712"/>
    <w:rsid w:val="00E04817"/>
    <w:rsid w:val="00E04887"/>
    <w:rsid w:val="00E05C75"/>
    <w:rsid w:val="00E06FD8"/>
    <w:rsid w:val="00E07158"/>
    <w:rsid w:val="00E07B95"/>
    <w:rsid w:val="00E07C00"/>
    <w:rsid w:val="00E102D9"/>
    <w:rsid w:val="00E104DB"/>
    <w:rsid w:val="00E10852"/>
    <w:rsid w:val="00E10A47"/>
    <w:rsid w:val="00E117DB"/>
    <w:rsid w:val="00E11830"/>
    <w:rsid w:val="00E12296"/>
    <w:rsid w:val="00E12E88"/>
    <w:rsid w:val="00E130FF"/>
    <w:rsid w:val="00E131B0"/>
    <w:rsid w:val="00E1324C"/>
    <w:rsid w:val="00E13435"/>
    <w:rsid w:val="00E138AA"/>
    <w:rsid w:val="00E13DF3"/>
    <w:rsid w:val="00E14BB6"/>
    <w:rsid w:val="00E154FA"/>
    <w:rsid w:val="00E155E6"/>
    <w:rsid w:val="00E15D89"/>
    <w:rsid w:val="00E15F0A"/>
    <w:rsid w:val="00E15F0D"/>
    <w:rsid w:val="00E15F4B"/>
    <w:rsid w:val="00E15FAD"/>
    <w:rsid w:val="00E16654"/>
    <w:rsid w:val="00E166B8"/>
    <w:rsid w:val="00E1708D"/>
    <w:rsid w:val="00E171C0"/>
    <w:rsid w:val="00E17534"/>
    <w:rsid w:val="00E179DD"/>
    <w:rsid w:val="00E17F3E"/>
    <w:rsid w:val="00E17FFD"/>
    <w:rsid w:val="00E2024A"/>
    <w:rsid w:val="00E20407"/>
    <w:rsid w:val="00E20562"/>
    <w:rsid w:val="00E20C28"/>
    <w:rsid w:val="00E20D9A"/>
    <w:rsid w:val="00E20E9A"/>
    <w:rsid w:val="00E20EAF"/>
    <w:rsid w:val="00E210D4"/>
    <w:rsid w:val="00E21A92"/>
    <w:rsid w:val="00E21B7B"/>
    <w:rsid w:val="00E228C7"/>
    <w:rsid w:val="00E229BF"/>
    <w:rsid w:val="00E22E48"/>
    <w:rsid w:val="00E236A5"/>
    <w:rsid w:val="00E2383E"/>
    <w:rsid w:val="00E2390B"/>
    <w:rsid w:val="00E23DF4"/>
    <w:rsid w:val="00E23E0B"/>
    <w:rsid w:val="00E24C8C"/>
    <w:rsid w:val="00E24CA7"/>
    <w:rsid w:val="00E24F2E"/>
    <w:rsid w:val="00E2531F"/>
    <w:rsid w:val="00E2567F"/>
    <w:rsid w:val="00E257AB"/>
    <w:rsid w:val="00E2588E"/>
    <w:rsid w:val="00E25A16"/>
    <w:rsid w:val="00E25CB5"/>
    <w:rsid w:val="00E25F33"/>
    <w:rsid w:val="00E260E8"/>
    <w:rsid w:val="00E263B9"/>
    <w:rsid w:val="00E26540"/>
    <w:rsid w:val="00E267A8"/>
    <w:rsid w:val="00E2696B"/>
    <w:rsid w:val="00E27568"/>
    <w:rsid w:val="00E27581"/>
    <w:rsid w:val="00E27631"/>
    <w:rsid w:val="00E2769A"/>
    <w:rsid w:val="00E27815"/>
    <w:rsid w:val="00E2796A"/>
    <w:rsid w:val="00E30026"/>
    <w:rsid w:val="00E301B3"/>
    <w:rsid w:val="00E3036E"/>
    <w:rsid w:val="00E31000"/>
    <w:rsid w:val="00E31117"/>
    <w:rsid w:val="00E3149A"/>
    <w:rsid w:val="00E31974"/>
    <w:rsid w:val="00E31D14"/>
    <w:rsid w:val="00E32211"/>
    <w:rsid w:val="00E32872"/>
    <w:rsid w:val="00E32CF7"/>
    <w:rsid w:val="00E331B5"/>
    <w:rsid w:val="00E334BD"/>
    <w:rsid w:val="00E339E3"/>
    <w:rsid w:val="00E343B9"/>
    <w:rsid w:val="00E34AD4"/>
    <w:rsid w:val="00E34FF7"/>
    <w:rsid w:val="00E3507A"/>
    <w:rsid w:val="00E352CC"/>
    <w:rsid w:val="00E353CA"/>
    <w:rsid w:val="00E35774"/>
    <w:rsid w:val="00E35BC1"/>
    <w:rsid w:val="00E35C2B"/>
    <w:rsid w:val="00E35C3D"/>
    <w:rsid w:val="00E35FFA"/>
    <w:rsid w:val="00E362AA"/>
    <w:rsid w:val="00E364CD"/>
    <w:rsid w:val="00E3676F"/>
    <w:rsid w:val="00E36CD9"/>
    <w:rsid w:val="00E36DC4"/>
    <w:rsid w:val="00E374F5"/>
    <w:rsid w:val="00E37625"/>
    <w:rsid w:val="00E3785E"/>
    <w:rsid w:val="00E37DBC"/>
    <w:rsid w:val="00E40438"/>
    <w:rsid w:val="00E4059D"/>
    <w:rsid w:val="00E405A9"/>
    <w:rsid w:val="00E4065A"/>
    <w:rsid w:val="00E40935"/>
    <w:rsid w:val="00E40A18"/>
    <w:rsid w:val="00E40D1D"/>
    <w:rsid w:val="00E411DE"/>
    <w:rsid w:val="00E4122A"/>
    <w:rsid w:val="00E414E0"/>
    <w:rsid w:val="00E41806"/>
    <w:rsid w:val="00E41976"/>
    <w:rsid w:val="00E4203F"/>
    <w:rsid w:val="00E420FC"/>
    <w:rsid w:val="00E422CC"/>
    <w:rsid w:val="00E42567"/>
    <w:rsid w:val="00E426FF"/>
    <w:rsid w:val="00E42A97"/>
    <w:rsid w:val="00E42BEE"/>
    <w:rsid w:val="00E434BD"/>
    <w:rsid w:val="00E43533"/>
    <w:rsid w:val="00E436CF"/>
    <w:rsid w:val="00E44289"/>
    <w:rsid w:val="00E44344"/>
    <w:rsid w:val="00E444E3"/>
    <w:rsid w:val="00E446CC"/>
    <w:rsid w:val="00E4515C"/>
    <w:rsid w:val="00E451F7"/>
    <w:rsid w:val="00E456F3"/>
    <w:rsid w:val="00E45D2B"/>
    <w:rsid w:val="00E4663A"/>
    <w:rsid w:val="00E4674F"/>
    <w:rsid w:val="00E46963"/>
    <w:rsid w:val="00E46C51"/>
    <w:rsid w:val="00E46EA3"/>
    <w:rsid w:val="00E46FC0"/>
    <w:rsid w:val="00E47050"/>
    <w:rsid w:val="00E4726C"/>
    <w:rsid w:val="00E472E7"/>
    <w:rsid w:val="00E472FD"/>
    <w:rsid w:val="00E475B6"/>
    <w:rsid w:val="00E476FB"/>
    <w:rsid w:val="00E4771A"/>
    <w:rsid w:val="00E47737"/>
    <w:rsid w:val="00E47BCB"/>
    <w:rsid w:val="00E47DA7"/>
    <w:rsid w:val="00E505A5"/>
    <w:rsid w:val="00E5098B"/>
    <w:rsid w:val="00E5131E"/>
    <w:rsid w:val="00E51326"/>
    <w:rsid w:val="00E51339"/>
    <w:rsid w:val="00E51595"/>
    <w:rsid w:val="00E5242B"/>
    <w:rsid w:val="00E525AF"/>
    <w:rsid w:val="00E52622"/>
    <w:rsid w:val="00E52A86"/>
    <w:rsid w:val="00E52B1C"/>
    <w:rsid w:val="00E52B86"/>
    <w:rsid w:val="00E52DC8"/>
    <w:rsid w:val="00E530F8"/>
    <w:rsid w:val="00E53100"/>
    <w:rsid w:val="00E5349C"/>
    <w:rsid w:val="00E5372B"/>
    <w:rsid w:val="00E53784"/>
    <w:rsid w:val="00E53A1F"/>
    <w:rsid w:val="00E54427"/>
    <w:rsid w:val="00E54661"/>
    <w:rsid w:val="00E54D82"/>
    <w:rsid w:val="00E5556C"/>
    <w:rsid w:val="00E55570"/>
    <w:rsid w:val="00E55850"/>
    <w:rsid w:val="00E55F51"/>
    <w:rsid w:val="00E56974"/>
    <w:rsid w:val="00E574E9"/>
    <w:rsid w:val="00E57B1B"/>
    <w:rsid w:val="00E57EB5"/>
    <w:rsid w:val="00E604F5"/>
    <w:rsid w:val="00E6054F"/>
    <w:rsid w:val="00E60986"/>
    <w:rsid w:val="00E60AF5"/>
    <w:rsid w:val="00E60C20"/>
    <w:rsid w:val="00E60C5B"/>
    <w:rsid w:val="00E613E3"/>
    <w:rsid w:val="00E6155A"/>
    <w:rsid w:val="00E6163A"/>
    <w:rsid w:val="00E61784"/>
    <w:rsid w:val="00E620C1"/>
    <w:rsid w:val="00E621CB"/>
    <w:rsid w:val="00E6238C"/>
    <w:rsid w:val="00E6247B"/>
    <w:rsid w:val="00E625C4"/>
    <w:rsid w:val="00E6287E"/>
    <w:rsid w:val="00E62912"/>
    <w:rsid w:val="00E63209"/>
    <w:rsid w:val="00E63C01"/>
    <w:rsid w:val="00E63D93"/>
    <w:rsid w:val="00E63ED5"/>
    <w:rsid w:val="00E6423C"/>
    <w:rsid w:val="00E6428D"/>
    <w:rsid w:val="00E646F8"/>
    <w:rsid w:val="00E64713"/>
    <w:rsid w:val="00E64A8A"/>
    <w:rsid w:val="00E64B7C"/>
    <w:rsid w:val="00E64D95"/>
    <w:rsid w:val="00E65111"/>
    <w:rsid w:val="00E652E7"/>
    <w:rsid w:val="00E65587"/>
    <w:rsid w:val="00E656A0"/>
    <w:rsid w:val="00E664FA"/>
    <w:rsid w:val="00E667EF"/>
    <w:rsid w:val="00E6680B"/>
    <w:rsid w:val="00E669E1"/>
    <w:rsid w:val="00E66A9C"/>
    <w:rsid w:val="00E6748E"/>
    <w:rsid w:val="00E67684"/>
    <w:rsid w:val="00E676F0"/>
    <w:rsid w:val="00E67755"/>
    <w:rsid w:val="00E6776D"/>
    <w:rsid w:val="00E7047F"/>
    <w:rsid w:val="00E70ED5"/>
    <w:rsid w:val="00E70F69"/>
    <w:rsid w:val="00E71645"/>
    <w:rsid w:val="00E7166A"/>
    <w:rsid w:val="00E71746"/>
    <w:rsid w:val="00E71753"/>
    <w:rsid w:val="00E717E2"/>
    <w:rsid w:val="00E71808"/>
    <w:rsid w:val="00E719D8"/>
    <w:rsid w:val="00E719F8"/>
    <w:rsid w:val="00E723BD"/>
    <w:rsid w:val="00E726BC"/>
    <w:rsid w:val="00E72D77"/>
    <w:rsid w:val="00E732A9"/>
    <w:rsid w:val="00E732AD"/>
    <w:rsid w:val="00E73627"/>
    <w:rsid w:val="00E73688"/>
    <w:rsid w:val="00E73858"/>
    <w:rsid w:val="00E73B91"/>
    <w:rsid w:val="00E73BCB"/>
    <w:rsid w:val="00E73E87"/>
    <w:rsid w:val="00E74FE6"/>
    <w:rsid w:val="00E75E9C"/>
    <w:rsid w:val="00E75F6D"/>
    <w:rsid w:val="00E7610F"/>
    <w:rsid w:val="00E76266"/>
    <w:rsid w:val="00E76360"/>
    <w:rsid w:val="00E76510"/>
    <w:rsid w:val="00E768C0"/>
    <w:rsid w:val="00E76A65"/>
    <w:rsid w:val="00E76D7F"/>
    <w:rsid w:val="00E7765B"/>
    <w:rsid w:val="00E7772E"/>
    <w:rsid w:val="00E77741"/>
    <w:rsid w:val="00E77AA0"/>
    <w:rsid w:val="00E77C2F"/>
    <w:rsid w:val="00E77CBB"/>
    <w:rsid w:val="00E77F2A"/>
    <w:rsid w:val="00E80723"/>
    <w:rsid w:val="00E8097C"/>
    <w:rsid w:val="00E81056"/>
    <w:rsid w:val="00E8109F"/>
    <w:rsid w:val="00E81539"/>
    <w:rsid w:val="00E8158C"/>
    <w:rsid w:val="00E815FF"/>
    <w:rsid w:val="00E81607"/>
    <w:rsid w:val="00E81721"/>
    <w:rsid w:val="00E818E9"/>
    <w:rsid w:val="00E81990"/>
    <w:rsid w:val="00E81A47"/>
    <w:rsid w:val="00E81FFB"/>
    <w:rsid w:val="00E8234F"/>
    <w:rsid w:val="00E82936"/>
    <w:rsid w:val="00E82A18"/>
    <w:rsid w:val="00E82BE2"/>
    <w:rsid w:val="00E82C8A"/>
    <w:rsid w:val="00E82D71"/>
    <w:rsid w:val="00E82E7F"/>
    <w:rsid w:val="00E8349C"/>
    <w:rsid w:val="00E83773"/>
    <w:rsid w:val="00E844DC"/>
    <w:rsid w:val="00E84B60"/>
    <w:rsid w:val="00E851B9"/>
    <w:rsid w:val="00E85411"/>
    <w:rsid w:val="00E85B8C"/>
    <w:rsid w:val="00E85BA9"/>
    <w:rsid w:val="00E85D02"/>
    <w:rsid w:val="00E85E87"/>
    <w:rsid w:val="00E85FD7"/>
    <w:rsid w:val="00E86B95"/>
    <w:rsid w:val="00E86BE5"/>
    <w:rsid w:val="00E86BFA"/>
    <w:rsid w:val="00E86ECB"/>
    <w:rsid w:val="00E87324"/>
    <w:rsid w:val="00E874C7"/>
    <w:rsid w:val="00E87587"/>
    <w:rsid w:val="00E87969"/>
    <w:rsid w:val="00E87AB4"/>
    <w:rsid w:val="00E87E03"/>
    <w:rsid w:val="00E87EEA"/>
    <w:rsid w:val="00E90A63"/>
    <w:rsid w:val="00E9101F"/>
    <w:rsid w:val="00E911C9"/>
    <w:rsid w:val="00E913B2"/>
    <w:rsid w:val="00E91412"/>
    <w:rsid w:val="00E91D4B"/>
    <w:rsid w:val="00E91EAF"/>
    <w:rsid w:val="00E92019"/>
    <w:rsid w:val="00E92244"/>
    <w:rsid w:val="00E92301"/>
    <w:rsid w:val="00E9241C"/>
    <w:rsid w:val="00E924AF"/>
    <w:rsid w:val="00E92E6D"/>
    <w:rsid w:val="00E92EB5"/>
    <w:rsid w:val="00E936F4"/>
    <w:rsid w:val="00E938E2"/>
    <w:rsid w:val="00E94084"/>
    <w:rsid w:val="00E9447C"/>
    <w:rsid w:val="00E94A16"/>
    <w:rsid w:val="00E94A86"/>
    <w:rsid w:val="00E95550"/>
    <w:rsid w:val="00E9574E"/>
    <w:rsid w:val="00E95971"/>
    <w:rsid w:val="00E959A7"/>
    <w:rsid w:val="00E96002"/>
    <w:rsid w:val="00E96050"/>
    <w:rsid w:val="00E962B1"/>
    <w:rsid w:val="00E965B8"/>
    <w:rsid w:val="00E965CC"/>
    <w:rsid w:val="00E969AA"/>
    <w:rsid w:val="00E969BC"/>
    <w:rsid w:val="00E96F8D"/>
    <w:rsid w:val="00E971D2"/>
    <w:rsid w:val="00E972AD"/>
    <w:rsid w:val="00E97336"/>
    <w:rsid w:val="00E9748E"/>
    <w:rsid w:val="00E9779F"/>
    <w:rsid w:val="00E97839"/>
    <w:rsid w:val="00E9784D"/>
    <w:rsid w:val="00E978BF"/>
    <w:rsid w:val="00E97EA8"/>
    <w:rsid w:val="00EA005D"/>
    <w:rsid w:val="00EA0269"/>
    <w:rsid w:val="00EA0373"/>
    <w:rsid w:val="00EA03BB"/>
    <w:rsid w:val="00EA0769"/>
    <w:rsid w:val="00EA09E8"/>
    <w:rsid w:val="00EA12EC"/>
    <w:rsid w:val="00EA13C5"/>
    <w:rsid w:val="00EA1433"/>
    <w:rsid w:val="00EA17DC"/>
    <w:rsid w:val="00EA1E5D"/>
    <w:rsid w:val="00EA2298"/>
    <w:rsid w:val="00EA27B6"/>
    <w:rsid w:val="00EA2D6F"/>
    <w:rsid w:val="00EA2DAA"/>
    <w:rsid w:val="00EA2F31"/>
    <w:rsid w:val="00EA3B29"/>
    <w:rsid w:val="00EA3B5A"/>
    <w:rsid w:val="00EA3C96"/>
    <w:rsid w:val="00EA3EAE"/>
    <w:rsid w:val="00EA4185"/>
    <w:rsid w:val="00EA469A"/>
    <w:rsid w:val="00EA4736"/>
    <w:rsid w:val="00EA476B"/>
    <w:rsid w:val="00EA48D0"/>
    <w:rsid w:val="00EA493A"/>
    <w:rsid w:val="00EA4AA7"/>
    <w:rsid w:val="00EA530C"/>
    <w:rsid w:val="00EA5A84"/>
    <w:rsid w:val="00EA5F80"/>
    <w:rsid w:val="00EA5FAD"/>
    <w:rsid w:val="00EA6239"/>
    <w:rsid w:val="00EA6888"/>
    <w:rsid w:val="00EA76EB"/>
    <w:rsid w:val="00EA786A"/>
    <w:rsid w:val="00EB0199"/>
    <w:rsid w:val="00EB0264"/>
    <w:rsid w:val="00EB030C"/>
    <w:rsid w:val="00EB08AC"/>
    <w:rsid w:val="00EB102D"/>
    <w:rsid w:val="00EB1725"/>
    <w:rsid w:val="00EB1802"/>
    <w:rsid w:val="00EB19CF"/>
    <w:rsid w:val="00EB2494"/>
    <w:rsid w:val="00EB251C"/>
    <w:rsid w:val="00EB2CB2"/>
    <w:rsid w:val="00EB31E0"/>
    <w:rsid w:val="00EB3534"/>
    <w:rsid w:val="00EB38B3"/>
    <w:rsid w:val="00EB39D1"/>
    <w:rsid w:val="00EB39DB"/>
    <w:rsid w:val="00EB3B56"/>
    <w:rsid w:val="00EB3D95"/>
    <w:rsid w:val="00EB4170"/>
    <w:rsid w:val="00EB4311"/>
    <w:rsid w:val="00EB48E4"/>
    <w:rsid w:val="00EB4A5A"/>
    <w:rsid w:val="00EB4B37"/>
    <w:rsid w:val="00EB4EFD"/>
    <w:rsid w:val="00EB51ED"/>
    <w:rsid w:val="00EB5277"/>
    <w:rsid w:val="00EB5468"/>
    <w:rsid w:val="00EB5939"/>
    <w:rsid w:val="00EB5B9A"/>
    <w:rsid w:val="00EB5BAB"/>
    <w:rsid w:val="00EB5C01"/>
    <w:rsid w:val="00EB5DCD"/>
    <w:rsid w:val="00EB67A6"/>
    <w:rsid w:val="00EB6B74"/>
    <w:rsid w:val="00EB750A"/>
    <w:rsid w:val="00EB7773"/>
    <w:rsid w:val="00EB7A21"/>
    <w:rsid w:val="00EC0253"/>
    <w:rsid w:val="00EC043F"/>
    <w:rsid w:val="00EC0898"/>
    <w:rsid w:val="00EC0B0B"/>
    <w:rsid w:val="00EC0C71"/>
    <w:rsid w:val="00EC11A4"/>
    <w:rsid w:val="00EC1DDC"/>
    <w:rsid w:val="00EC1F86"/>
    <w:rsid w:val="00EC2191"/>
    <w:rsid w:val="00EC3367"/>
    <w:rsid w:val="00EC3616"/>
    <w:rsid w:val="00EC3B11"/>
    <w:rsid w:val="00EC3E71"/>
    <w:rsid w:val="00EC421F"/>
    <w:rsid w:val="00EC43AB"/>
    <w:rsid w:val="00EC4427"/>
    <w:rsid w:val="00EC44AD"/>
    <w:rsid w:val="00EC46E3"/>
    <w:rsid w:val="00EC4AB9"/>
    <w:rsid w:val="00EC4ADF"/>
    <w:rsid w:val="00EC4B35"/>
    <w:rsid w:val="00EC4E20"/>
    <w:rsid w:val="00EC4F56"/>
    <w:rsid w:val="00EC4FA0"/>
    <w:rsid w:val="00EC5746"/>
    <w:rsid w:val="00EC5947"/>
    <w:rsid w:val="00EC5E63"/>
    <w:rsid w:val="00EC6A19"/>
    <w:rsid w:val="00EC6B34"/>
    <w:rsid w:val="00EC6B58"/>
    <w:rsid w:val="00EC6C87"/>
    <w:rsid w:val="00EC7027"/>
    <w:rsid w:val="00EC70B5"/>
    <w:rsid w:val="00EC711A"/>
    <w:rsid w:val="00EC74D3"/>
    <w:rsid w:val="00EC74DB"/>
    <w:rsid w:val="00ED0044"/>
    <w:rsid w:val="00ED0BE6"/>
    <w:rsid w:val="00ED0CEA"/>
    <w:rsid w:val="00ED1315"/>
    <w:rsid w:val="00ED1563"/>
    <w:rsid w:val="00ED1C2E"/>
    <w:rsid w:val="00ED1F25"/>
    <w:rsid w:val="00ED2455"/>
    <w:rsid w:val="00ED28BC"/>
    <w:rsid w:val="00ED2A52"/>
    <w:rsid w:val="00ED2B40"/>
    <w:rsid w:val="00ED2DA4"/>
    <w:rsid w:val="00ED3010"/>
    <w:rsid w:val="00ED30D3"/>
    <w:rsid w:val="00ED371E"/>
    <w:rsid w:val="00ED382D"/>
    <w:rsid w:val="00ED3D12"/>
    <w:rsid w:val="00ED4857"/>
    <w:rsid w:val="00ED4870"/>
    <w:rsid w:val="00ED4B4F"/>
    <w:rsid w:val="00ED4D9A"/>
    <w:rsid w:val="00ED4DA2"/>
    <w:rsid w:val="00ED5236"/>
    <w:rsid w:val="00ED53CC"/>
    <w:rsid w:val="00ED55C1"/>
    <w:rsid w:val="00ED5A67"/>
    <w:rsid w:val="00ED5E20"/>
    <w:rsid w:val="00ED5E97"/>
    <w:rsid w:val="00ED5EDF"/>
    <w:rsid w:val="00ED60CE"/>
    <w:rsid w:val="00ED67B3"/>
    <w:rsid w:val="00ED6978"/>
    <w:rsid w:val="00ED6A17"/>
    <w:rsid w:val="00ED6DB3"/>
    <w:rsid w:val="00ED773D"/>
    <w:rsid w:val="00ED7D72"/>
    <w:rsid w:val="00ED7D78"/>
    <w:rsid w:val="00ED7DBB"/>
    <w:rsid w:val="00EE0019"/>
    <w:rsid w:val="00EE0041"/>
    <w:rsid w:val="00EE0337"/>
    <w:rsid w:val="00EE0547"/>
    <w:rsid w:val="00EE0AD8"/>
    <w:rsid w:val="00EE0E3D"/>
    <w:rsid w:val="00EE11D0"/>
    <w:rsid w:val="00EE1340"/>
    <w:rsid w:val="00EE1402"/>
    <w:rsid w:val="00EE17A9"/>
    <w:rsid w:val="00EE1C6F"/>
    <w:rsid w:val="00EE2686"/>
    <w:rsid w:val="00EE27E0"/>
    <w:rsid w:val="00EE28C3"/>
    <w:rsid w:val="00EE2905"/>
    <w:rsid w:val="00EE2B2F"/>
    <w:rsid w:val="00EE2EDE"/>
    <w:rsid w:val="00EE373C"/>
    <w:rsid w:val="00EE3A56"/>
    <w:rsid w:val="00EE3D64"/>
    <w:rsid w:val="00EE3DF5"/>
    <w:rsid w:val="00EE3F62"/>
    <w:rsid w:val="00EE4055"/>
    <w:rsid w:val="00EE4116"/>
    <w:rsid w:val="00EE4380"/>
    <w:rsid w:val="00EE481F"/>
    <w:rsid w:val="00EE4836"/>
    <w:rsid w:val="00EE48A5"/>
    <w:rsid w:val="00EE4D23"/>
    <w:rsid w:val="00EE4E2A"/>
    <w:rsid w:val="00EE5256"/>
    <w:rsid w:val="00EE5306"/>
    <w:rsid w:val="00EE5671"/>
    <w:rsid w:val="00EE5714"/>
    <w:rsid w:val="00EE5918"/>
    <w:rsid w:val="00EE5F95"/>
    <w:rsid w:val="00EE614D"/>
    <w:rsid w:val="00EE61AA"/>
    <w:rsid w:val="00EE61C0"/>
    <w:rsid w:val="00EE645C"/>
    <w:rsid w:val="00EE64EE"/>
    <w:rsid w:val="00EE6597"/>
    <w:rsid w:val="00EE66A4"/>
    <w:rsid w:val="00EE6AF4"/>
    <w:rsid w:val="00EE6D2F"/>
    <w:rsid w:val="00EE707C"/>
    <w:rsid w:val="00EE7565"/>
    <w:rsid w:val="00EE7700"/>
    <w:rsid w:val="00EE7805"/>
    <w:rsid w:val="00EE7DF9"/>
    <w:rsid w:val="00EF08DC"/>
    <w:rsid w:val="00EF0A8A"/>
    <w:rsid w:val="00EF101F"/>
    <w:rsid w:val="00EF11CC"/>
    <w:rsid w:val="00EF17AA"/>
    <w:rsid w:val="00EF17D8"/>
    <w:rsid w:val="00EF1A14"/>
    <w:rsid w:val="00EF1F3B"/>
    <w:rsid w:val="00EF2033"/>
    <w:rsid w:val="00EF2210"/>
    <w:rsid w:val="00EF24CB"/>
    <w:rsid w:val="00EF282F"/>
    <w:rsid w:val="00EF296E"/>
    <w:rsid w:val="00EF29D9"/>
    <w:rsid w:val="00EF2A64"/>
    <w:rsid w:val="00EF2FF6"/>
    <w:rsid w:val="00EF30C1"/>
    <w:rsid w:val="00EF3592"/>
    <w:rsid w:val="00EF3873"/>
    <w:rsid w:val="00EF39AC"/>
    <w:rsid w:val="00EF39D9"/>
    <w:rsid w:val="00EF4068"/>
    <w:rsid w:val="00EF4DA2"/>
    <w:rsid w:val="00EF5038"/>
    <w:rsid w:val="00EF544B"/>
    <w:rsid w:val="00EF554E"/>
    <w:rsid w:val="00EF5766"/>
    <w:rsid w:val="00EF5959"/>
    <w:rsid w:val="00EF5AB5"/>
    <w:rsid w:val="00EF61AB"/>
    <w:rsid w:val="00EF61C5"/>
    <w:rsid w:val="00EF708D"/>
    <w:rsid w:val="00EF7143"/>
    <w:rsid w:val="00EF7340"/>
    <w:rsid w:val="00EF7C70"/>
    <w:rsid w:val="00EF7D05"/>
    <w:rsid w:val="00EF7D69"/>
    <w:rsid w:val="00F00226"/>
    <w:rsid w:val="00F006D8"/>
    <w:rsid w:val="00F0071F"/>
    <w:rsid w:val="00F0090B"/>
    <w:rsid w:val="00F00CEA"/>
    <w:rsid w:val="00F00D90"/>
    <w:rsid w:val="00F00F7F"/>
    <w:rsid w:val="00F01B87"/>
    <w:rsid w:val="00F01E53"/>
    <w:rsid w:val="00F02497"/>
    <w:rsid w:val="00F025DB"/>
    <w:rsid w:val="00F02846"/>
    <w:rsid w:val="00F02952"/>
    <w:rsid w:val="00F02D1C"/>
    <w:rsid w:val="00F02E9C"/>
    <w:rsid w:val="00F02FA1"/>
    <w:rsid w:val="00F03256"/>
    <w:rsid w:val="00F03426"/>
    <w:rsid w:val="00F035BE"/>
    <w:rsid w:val="00F03609"/>
    <w:rsid w:val="00F03CBC"/>
    <w:rsid w:val="00F03E71"/>
    <w:rsid w:val="00F03E93"/>
    <w:rsid w:val="00F03F89"/>
    <w:rsid w:val="00F03F9F"/>
    <w:rsid w:val="00F0431B"/>
    <w:rsid w:val="00F04507"/>
    <w:rsid w:val="00F04A96"/>
    <w:rsid w:val="00F05117"/>
    <w:rsid w:val="00F051F4"/>
    <w:rsid w:val="00F053E1"/>
    <w:rsid w:val="00F05934"/>
    <w:rsid w:val="00F05A4B"/>
    <w:rsid w:val="00F05C07"/>
    <w:rsid w:val="00F0602B"/>
    <w:rsid w:val="00F0635E"/>
    <w:rsid w:val="00F06D29"/>
    <w:rsid w:val="00F079C1"/>
    <w:rsid w:val="00F07B16"/>
    <w:rsid w:val="00F07C9A"/>
    <w:rsid w:val="00F1035F"/>
    <w:rsid w:val="00F1077C"/>
    <w:rsid w:val="00F10AE4"/>
    <w:rsid w:val="00F112B8"/>
    <w:rsid w:val="00F1174F"/>
    <w:rsid w:val="00F117C4"/>
    <w:rsid w:val="00F11C37"/>
    <w:rsid w:val="00F12120"/>
    <w:rsid w:val="00F121FD"/>
    <w:rsid w:val="00F122E9"/>
    <w:rsid w:val="00F125FE"/>
    <w:rsid w:val="00F126C3"/>
    <w:rsid w:val="00F12AB2"/>
    <w:rsid w:val="00F12B02"/>
    <w:rsid w:val="00F12E19"/>
    <w:rsid w:val="00F133A9"/>
    <w:rsid w:val="00F13792"/>
    <w:rsid w:val="00F13916"/>
    <w:rsid w:val="00F13FC8"/>
    <w:rsid w:val="00F14408"/>
    <w:rsid w:val="00F144C2"/>
    <w:rsid w:val="00F14A78"/>
    <w:rsid w:val="00F14BF7"/>
    <w:rsid w:val="00F14DE1"/>
    <w:rsid w:val="00F15126"/>
    <w:rsid w:val="00F15189"/>
    <w:rsid w:val="00F156B7"/>
    <w:rsid w:val="00F15A5B"/>
    <w:rsid w:val="00F15C8E"/>
    <w:rsid w:val="00F16442"/>
    <w:rsid w:val="00F164F5"/>
    <w:rsid w:val="00F1683D"/>
    <w:rsid w:val="00F169C3"/>
    <w:rsid w:val="00F16B0B"/>
    <w:rsid w:val="00F16BD4"/>
    <w:rsid w:val="00F1719B"/>
    <w:rsid w:val="00F17618"/>
    <w:rsid w:val="00F176EC"/>
    <w:rsid w:val="00F1789D"/>
    <w:rsid w:val="00F17B0C"/>
    <w:rsid w:val="00F202F9"/>
    <w:rsid w:val="00F203F2"/>
    <w:rsid w:val="00F2070E"/>
    <w:rsid w:val="00F20CF0"/>
    <w:rsid w:val="00F20D5D"/>
    <w:rsid w:val="00F20F20"/>
    <w:rsid w:val="00F20FA1"/>
    <w:rsid w:val="00F211D0"/>
    <w:rsid w:val="00F21342"/>
    <w:rsid w:val="00F21454"/>
    <w:rsid w:val="00F2165B"/>
    <w:rsid w:val="00F218DA"/>
    <w:rsid w:val="00F2260E"/>
    <w:rsid w:val="00F231AB"/>
    <w:rsid w:val="00F233AA"/>
    <w:rsid w:val="00F23674"/>
    <w:rsid w:val="00F238DC"/>
    <w:rsid w:val="00F23F6E"/>
    <w:rsid w:val="00F247D6"/>
    <w:rsid w:val="00F24E47"/>
    <w:rsid w:val="00F24F3B"/>
    <w:rsid w:val="00F253ED"/>
    <w:rsid w:val="00F25615"/>
    <w:rsid w:val="00F256C4"/>
    <w:rsid w:val="00F256CF"/>
    <w:rsid w:val="00F25974"/>
    <w:rsid w:val="00F25F99"/>
    <w:rsid w:val="00F26050"/>
    <w:rsid w:val="00F26457"/>
    <w:rsid w:val="00F26772"/>
    <w:rsid w:val="00F2679D"/>
    <w:rsid w:val="00F2698E"/>
    <w:rsid w:val="00F26C33"/>
    <w:rsid w:val="00F26F3C"/>
    <w:rsid w:val="00F271E6"/>
    <w:rsid w:val="00F275C8"/>
    <w:rsid w:val="00F27885"/>
    <w:rsid w:val="00F27A75"/>
    <w:rsid w:val="00F30116"/>
    <w:rsid w:val="00F3049B"/>
    <w:rsid w:val="00F3054D"/>
    <w:rsid w:val="00F306F5"/>
    <w:rsid w:val="00F31371"/>
    <w:rsid w:val="00F313A5"/>
    <w:rsid w:val="00F31414"/>
    <w:rsid w:val="00F3152D"/>
    <w:rsid w:val="00F317E7"/>
    <w:rsid w:val="00F32110"/>
    <w:rsid w:val="00F32294"/>
    <w:rsid w:val="00F323F6"/>
    <w:rsid w:val="00F32420"/>
    <w:rsid w:val="00F32CB7"/>
    <w:rsid w:val="00F32D5E"/>
    <w:rsid w:val="00F32F46"/>
    <w:rsid w:val="00F32FD8"/>
    <w:rsid w:val="00F33033"/>
    <w:rsid w:val="00F335B3"/>
    <w:rsid w:val="00F33733"/>
    <w:rsid w:val="00F33FA9"/>
    <w:rsid w:val="00F341EF"/>
    <w:rsid w:val="00F34326"/>
    <w:rsid w:val="00F34492"/>
    <w:rsid w:val="00F34C4E"/>
    <w:rsid w:val="00F34F78"/>
    <w:rsid w:val="00F35518"/>
    <w:rsid w:val="00F35618"/>
    <w:rsid w:val="00F35759"/>
    <w:rsid w:val="00F35C2F"/>
    <w:rsid w:val="00F35E74"/>
    <w:rsid w:val="00F364AE"/>
    <w:rsid w:val="00F36CA9"/>
    <w:rsid w:val="00F37072"/>
    <w:rsid w:val="00F370B5"/>
    <w:rsid w:val="00F37477"/>
    <w:rsid w:val="00F3764A"/>
    <w:rsid w:val="00F37988"/>
    <w:rsid w:val="00F37E01"/>
    <w:rsid w:val="00F37F26"/>
    <w:rsid w:val="00F4018A"/>
    <w:rsid w:val="00F406C9"/>
    <w:rsid w:val="00F409F4"/>
    <w:rsid w:val="00F411CF"/>
    <w:rsid w:val="00F412C1"/>
    <w:rsid w:val="00F416DC"/>
    <w:rsid w:val="00F417F5"/>
    <w:rsid w:val="00F41A11"/>
    <w:rsid w:val="00F41B79"/>
    <w:rsid w:val="00F41C1D"/>
    <w:rsid w:val="00F41F3F"/>
    <w:rsid w:val="00F41F55"/>
    <w:rsid w:val="00F42377"/>
    <w:rsid w:val="00F42698"/>
    <w:rsid w:val="00F42A46"/>
    <w:rsid w:val="00F42D5A"/>
    <w:rsid w:val="00F42D8A"/>
    <w:rsid w:val="00F42FE4"/>
    <w:rsid w:val="00F434A7"/>
    <w:rsid w:val="00F4416E"/>
    <w:rsid w:val="00F44467"/>
    <w:rsid w:val="00F4450D"/>
    <w:rsid w:val="00F44CA8"/>
    <w:rsid w:val="00F44EC1"/>
    <w:rsid w:val="00F452AF"/>
    <w:rsid w:val="00F45972"/>
    <w:rsid w:val="00F459DD"/>
    <w:rsid w:val="00F45A56"/>
    <w:rsid w:val="00F45AB6"/>
    <w:rsid w:val="00F45BED"/>
    <w:rsid w:val="00F45C1D"/>
    <w:rsid w:val="00F45FE5"/>
    <w:rsid w:val="00F4603B"/>
    <w:rsid w:val="00F466E2"/>
    <w:rsid w:val="00F468ED"/>
    <w:rsid w:val="00F46974"/>
    <w:rsid w:val="00F46AF9"/>
    <w:rsid w:val="00F46C4B"/>
    <w:rsid w:val="00F46E54"/>
    <w:rsid w:val="00F470EF"/>
    <w:rsid w:val="00F47367"/>
    <w:rsid w:val="00F47559"/>
    <w:rsid w:val="00F47913"/>
    <w:rsid w:val="00F47F2E"/>
    <w:rsid w:val="00F5087A"/>
    <w:rsid w:val="00F50A1D"/>
    <w:rsid w:val="00F50A33"/>
    <w:rsid w:val="00F50D9A"/>
    <w:rsid w:val="00F51037"/>
    <w:rsid w:val="00F510B8"/>
    <w:rsid w:val="00F510CC"/>
    <w:rsid w:val="00F52268"/>
    <w:rsid w:val="00F52788"/>
    <w:rsid w:val="00F53290"/>
    <w:rsid w:val="00F532CD"/>
    <w:rsid w:val="00F54859"/>
    <w:rsid w:val="00F549AA"/>
    <w:rsid w:val="00F54A5D"/>
    <w:rsid w:val="00F54A99"/>
    <w:rsid w:val="00F54BB3"/>
    <w:rsid w:val="00F5543C"/>
    <w:rsid w:val="00F557D9"/>
    <w:rsid w:val="00F55878"/>
    <w:rsid w:val="00F5598F"/>
    <w:rsid w:val="00F55C98"/>
    <w:rsid w:val="00F561AE"/>
    <w:rsid w:val="00F561F1"/>
    <w:rsid w:val="00F56BC1"/>
    <w:rsid w:val="00F56D03"/>
    <w:rsid w:val="00F57162"/>
    <w:rsid w:val="00F573DE"/>
    <w:rsid w:val="00F57448"/>
    <w:rsid w:val="00F576DE"/>
    <w:rsid w:val="00F57AA7"/>
    <w:rsid w:val="00F57AFB"/>
    <w:rsid w:val="00F6039A"/>
    <w:rsid w:val="00F60519"/>
    <w:rsid w:val="00F60644"/>
    <w:rsid w:val="00F608F1"/>
    <w:rsid w:val="00F609B6"/>
    <w:rsid w:val="00F611FF"/>
    <w:rsid w:val="00F6128D"/>
    <w:rsid w:val="00F61562"/>
    <w:rsid w:val="00F61605"/>
    <w:rsid w:val="00F61700"/>
    <w:rsid w:val="00F61B3A"/>
    <w:rsid w:val="00F61FB2"/>
    <w:rsid w:val="00F62234"/>
    <w:rsid w:val="00F63005"/>
    <w:rsid w:val="00F632ED"/>
    <w:rsid w:val="00F6332F"/>
    <w:rsid w:val="00F63449"/>
    <w:rsid w:val="00F63C26"/>
    <w:rsid w:val="00F63EE4"/>
    <w:rsid w:val="00F63FAD"/>
    <w:rsid w:val="00F64095"/>
    <w:rsid w:val="00F64247"/>
    <w:rsid w:val="00F6450C"/>
    <w:rsid w:val="00F64B29"/>
    <w:rsid w:val="00F64E30"/>
    <w:rsid w:val="00F64E62"/>
    <w:rsid w:val="00F64F8F"/>
    <w:rsid w:val="00F652BA"/>
    <w:rsid w:val="00F655F4"/>
    <w:rsid w:val="00F65670"/>
    <w:rsid w:val="00F65776"/>
    <w:rsid w:val="00F65B07"/>
    <w:rsid w:val="00F65EB3"/>
    <w:rsid w:val="00F6610A"/>
    <w:rsid w:val="00F66933"/>
    <w:rsid w:val="00F676B8"/>
    <w:rsid w:val="00F67B80"/>
    <w:rsid w:val="00F70221"/>
    <w:rsid w:val="00F702D9"/>
    <w:rsid w:val="00F70CA3"/>
    <w:rsid w:val="00F70D0A"/>
    <w:rsid w:val="00F70FFC"/>
    <w:rsid w:val="00F7104F"/>
    <w:rsid w:val="00F7139D"/>
    <w:rsid w:val="00F71716"/>
    <w:rsid w:val="00F71856"/>
    <w:rsid w:val="00F719F3"/>
    <w:rsid w:val="00F71B17"/>
    <w:rsid w:val="00F71E68"/>
    <w:rsid w:val="00F721AE"/>
    <w:rsid w:val="00F723C9"/>
    <w:rsid w:val="00F724DE"/>
    <w:rsid w:val="00F72693"/>
    <w:rsid w:val="00F729DF"/>
    <w:rsid w:val="00F72A70"/>
    <w:rsid w:val="00F7319C"/>
    <w:rsid w:val="00F733E6"/>
    <w:rsid w:val="00F73522"/>
    <w:rsid w:val="00F73629"/>
    <w:rsid w:val="00F73779"/>
    <w:rsid w:val="00F73901"/>
    <w:rsid w:val="00F73BAD"/>
    <w:rsid w:val="00F73C44"/>
    <w:rsid w:val="00F73DCC"/>
    <w:rsid w:val="00F73DD9"/>
    <w:rsid w:val="00F745B9"/>
    <w:rsid w:val="00F74976"/>
    <w:rsid w:val="00F749BB"/>
    <w:rsid w:val="00F74A15"/>
    <w:rsid w:val="00F7515C"/>
    <w:rsid w:val="00F76704"/>
    <w:rsid w:val="00F76A39"/>
    <w:rsid w:val="00F76BF2"/>
    <w:rsid w:val="00F76D90"/>
    <w:rsid w:val="00F76DBB"/>
    <w:rsid w:val="00F7714A"/>
    <w:rsid w:val="00F771CA"/>
    <w:rsid w:val="00F7787A"/>
    <w:rsid w:val="00F7790C"/>
    <w:rsid w:val="00F77F83"/>
    <w:rsid w:val="00F804CC"/>
    <w:rsid w:val="00F8064B"/>
    <w:rsid w:val="00F80E81"/>
    <w:rsid w:val="00F811F2"/>
    <w:rsid w:val="00F812A1"/>
    <w:rsid w:val="00F81A33"/>
    <w:rsid w:val="00F81AB9"/>
    <w:rsid w:val="00F81BA6"/>
    <w:rsid w:val="00F8245B"/>
    <w:rsid w:val="00F829EE"/>
    <w:rsid w:val="00F82AB1"/>
    <w:rsid w:val="00F82B49"/>
    <w:rsid w:val="00F82B7A"/>
    <w:rsid w:val="00F831CA"/>
    <w:rsid w:val="00F83223"/>
    <w:rsid w:val="00F83540"/>
    <w:rsid w:val="00F83A32"/>
    <w:rsid w:val="00F83D0E"/>
    <w:rsid w:val="00F842E0"/>
    <w:rsid w:val="00F84AA1"/>
    <w:rsid w:val="00F84DCC"/>
    <w:rsid w:val="00F850E4"/>
    <w:rsid w:val="00F8510A"/>
    <w:rsid w:val="00F855A2"/>
    <w:rsid w:val="00F85829"/>
    <w:rsid w:val="00F85DD3"/>
    <w:rsid w:val="00F864FC"/>
    <w:rsid w:val="00F87C36"/>
    <w:rsid w:val="00F87EC8"/>
    <w:rsid w:val="00F90283"/>
    <w:rsid w:val="00F902CF"/>
    <w:rsid w:val="00F90A93"/>
    <w:rsid w:val="00F90BD6"/>
    <w:rsid w:val="00F90D83"/>
    <w:rsid w:val="00F90E4D"/>
    <w:rsid w:val="00F90F67"/>
    <w:rsid w:val="00F917B7"/>
    <w:rsid w:val="00F91CFB"/>
    <w:rsid w:val="00F91F90"/>
    <w:rsid w:val="00F925FA"/>
    <w:rsid w:val="00F92723"/>
    <w:rsid w:val="00F92CC6"/>
    <w:rsid w:val="00F93664"/>
    <w:rsid w:val="00F93A6A"/>
    <w:rsid w:val="00F93A7B"/>
    <w:rsid w:val="00F940E6"/>
    <w:rsid w:val="00F9489E"/>
    <w:rsid w:val="00F9517F"/>
    <w:rsid w:val="00F951B7"/>
    <w:rsid w:val="00F955FC"/>
    <w:rsid w:val="00F95874"/>
    <w:rsid w:val="00F95954"/>
    <w:rsid w:val="00F95D2A"/>
    <w:rsid w:val="00F96180"/>
    <w:rsid w:val="00F963F0"/>
    <w:rsid w:val="00F96972"/>
    <w:rsid w:val="00F969C3"/>
    <w:rsid w:val="00F96E4E"/>
    <w:rsid w:val="00F96ED0"/>
    <w:rsid w:val="00F96EE5"/>
    <w:rsid w:val="00F96FEB"/>
    <w:rsid w:val="00F9746E"/>
    <w:rsid w:val="00F97595"/>
    <w:rsid w:val="00FA0592"/>
    <w:rsid w:val="00FA0807"/>
    <w:rsid w:val="00FA08BD"/>
    <w:rsid w:val="00FA0B21"/>
    <w:rsid w:val="00FA0B9E"/>
    <w:rsid w:val="00FA1658"/>
    <w:rsid w:val="00FA18BE"/>
    <w:rsid w:val="00FA19FF"/>
    <w:rsid w:val="00FA1AD1"/>
    <w:rsid w:val="00FA1E6D"/>
    <w:rsid w:val="00FA25BE"/>
    <w:rsid w:val="00FA28FD"/>
    <w:rsid w:val="00FA2FAA"/>
    <w:rsid w:val="00FA346D"/>
    <w:rsid w:val="00FA3563"/>
    <w:rsid w:val="00FA3AD5"/>
    <w:rsid w:val="00FA3FBE"/>
    <w:rsid w:val="00FA448D"/>
    <w:rsid w:val="00FA486C"/>
    <w:rsid w:val="00FA5190"/>
    <w:rsid w:val="00FA5376"/>
    <w:rsid w:val="00FA53BB"/>
    <w:rsid w:val="00FA5723"/>
    <w:rsid w:val="00FA58C5"/>
    <w:rsid w:val="00FA5D7F"/>
    <w:rsid w:val="00FA6566"/>
    <w:rsid w:val="00FA71A0"/>
    <w:rsid w:val="00FA776C"/>
    <w:rsid w:val="00FA7B25"/>
    <w:rsid w:val="00FA7F11"/>
    <w:rsid w:val="00FA7FD8"/>
    <w:rsid w:val="00FB0202"/>
    <w:rsid w:val="00FB0241"/>
    <w:rsid w:val="00FB0512"/>
    <w:rsid w:val="00FB0522"/>
    <w:rsid w:val="00FB05CF"/>
    <w:rsid w:val="00FB07D6"/>
    <w:rsid w:val="00FB0D95"/>
    <w:rsid w:val="00FB0FAD"/>
    <w:rsid w:val="00FB1014"/>
    <w:rsid w:val="00FB1115"/>
    <w:rsid w:val="00FB16B3"/>
    <w:rsid w:val="00FB2591"/>
    <w:rsid w:val="00FB2900"/>
    <w:rsid w:val="00FB2AD7"/>
    <w:rsid w:val="00FB2B17"/>
    <w:rsid w:val="00FB2B5F"/>
    <w:rsid w:val="00FB327A"/>
    <w:rsid w:val="00FB32B5"/>
    <w:rsid w:val="00FB35E2"/>
    <w:rsid w:val="00FB3AC3"/>
    <w:rsid w:val="00FB4038"/>
    <w:rsid w:val="00FB40EB"/>
    <w:rsid w:val="00FB415A"/>
    <w:rsid w:val="00FB422F"/>
    <w:rsid w:val="00FB46FA"/>
    <w:rsid w:val="00FB47E1"/>
    <w:rsid w:val="00FB485D"/>
    <w:rsid w:val="00FB49EE"/>
    <w:rsid w:val="00FB605B"/>
    <w:rsid w:val="00FB65EB"/>
    <w:rsid w:val="00FB687F"/>
    <w:rsid w:val="00FB6925"/>
    <w:rsid w:val="00FB6A91"/>
    <w:rsid w:val="00FB6BC0"/>
    <w:rsid w:val="00FB6C2D"/>
    <w:rsid w:val="00FB6C85"/>
    <w:rsid w:val="00FB7171"/>
    <w:rsid w:val="00FB7540"/>
    <w:rsid w:val="00FB76A8"/>
    <w:rsid w:val="00FB76B3"/>
    <w:rsid w:val="00FB7791"/>
    <w:rsid w:val="00FB7E19"/>
    <w:rsid w:val="00FC0277"/>
    <w:rsid w:val="00FC0526"/>
    <w:rsid w:val="00FC0744"/>
    <w:rsid w:val="00FC093E"/>
    <w:rsid w:val="00FC0EA0"/>
    <w:rsid w:val="00FC1087"/>
    <w:rsid w:val="00FC1253"/>
    <w:rsid w:val="00FC185C"/>
    <w:rsid w:val="00FC1BCB"/>
    <w:rsid w:val="00FC1EEF"/>
    <w:rsid w:val="00FC20DE"/>
    <w:rsid w:val="00FC2371"/>
    <w:rsid w:val="00FC238C"/>
    <w:rsid w:val="00FC2772"/>
    <w:rsid w:val="00FC2909"/>
    <w:rsid w:val="00FC29A3"/>
    <w:rsid w:val="00FC3189"/>
    <w:rsid w:val="00FC3453"/>
    <w:rsid w:val="00FC35EC"/>
    <w:rsid w:val="00FC38BC"/>
    <w:rsid w:val="00FC3C79"/>
    <w:rsid w:val="00FC40BA"/>
    <w:rsid w:val="00FC4667"/>
    <w:rsid w:val="00FC49EF"/>
    <w:rsid w:val="00FC5654"/>
    <w:rsid w:val="00FC5737"/>
    <w:rsid w:val="00FC57D8"/>
    <w:rsid w:val="00FC663B"/>
    <w:rsid w:val="00FC6B8E"/>
    <w:rsid w:val="00FC6BE2"/>
    <w:rsid w:val="00FC6EA7"/>
    <w:rsid w:val="00FC71E7"/>
    <w:rsid w:val="00FC7470"/>
    <w:rsid w:val="00FC7AD9"/>
    <w:rsid w:val="00FC7C6C"/>
    <w:rsid w:val="00FC7CAD"/>
    <w:rsid w:val="00FC7CF2"/>
    <w:rsid w:val="00FC7E32"/>
    <w:rsid w:val="00FD023A"/>
    <w:rsid w:val="00FD067B"/>
    <w:rsid w:val="00FD0709"/>
    <w:rsid w:val="00FD07AB"/>
    <w:rsid w:val="00FD0887"/>
    <w:rsid w:val="00FD0CA9"/>
    <w:rsid w:val="00FD0D10"/>
    <w:rsid w:val="00FD1281"/>
    <w:rsid w:val="00FD200C"/>
    <w:rsid w:val="00FD2B00"/>
    <w:rsid w:val="00FD2CA1"/>
    <w:rsid w:val="00FD2F2C"/>
    <w:rsid w:val="00FD3929"/>
    <w:rsid w:val="00FD39A6"/>
    <w:rsid w:val="00FD3A35"/>
    <w:rsid w:val="00FD3A84"/>
    <w:rsid w:val="00FD3AAF"/>
    <w:rsid w:val="00FD3E2C"/>
    <w:rsid w:val="00FD4E20"/>
    <w:rsid w:val="00FD4EE4"/>
    <w:rsid w:val="00FD4F20"/>
    <w:rsid w:val="00FD5018"/>
    <w:rsid w:val="00FD52F5"/>
    <w:rsid w:val="00FD5B46"/>
    <w:rsid w:val="00FD5E7C"/>
    <w:rsid w:val="00FD6298"/>
    <w:rsid w:val="00FD685B"/>
    <w:rsid w:val="00FD697A"/>
    <w:rsid w:val="00FD6C68"/>
    <w:rsid w:val="00FD74C2"/>
    <w:rsid w:val="00FD78BE"/>
    <w:rsid w:val="00FD7B8B"/>
    <w:rsid w:val="00FD7C5A"/>
    <w:rsid w:val="00FD7CE8"/>
    <w:rsid w:val="00FD7D57"/>
    <w:rsid w:val="00FD7EC9"/>
    <w:rsid w:val="00FE07BF"/>
    <w:rsid w:val="00FE0FAD"/>
    <w:rsid w:val="00FE19E1"/>
    <w:rsid w:val="00FE2033"/>
    <w:rsid w:val="00FE2070"/>
    <w:rsid w:val="00FE2393"/>
    <w:rsid w:val="00FE2462"/>
    <w:rsid w:val="00FE26A3"/>
    <w:rsid w:val="00FE26E3"/>
    <w:rsid w:val="00FE2AE6"/>
    <w:rsid w:val="00FE2ED0"/>
    <w:rsid w:val="00FE32E3"/>
    <w:rsid w:val="00FE3448"/>
    <w:rsid w:val="00FE345C"/>
    <w:rsid w:val="00FE357C"/>
    <w:rsid w:val="00FE36DF"/>
    <w:rsid w:val="00FE3720"/>
    <w:rsid w:val="00FE3BEF"/>
    <w:rsid w:val="00FE4076"/>
    <w:rsid w:val="00FE427E"/>
    <w:rsid w:val="00FE4314"/>
    <w:rsid w:val="00FE46B1"/>
    <w:rsid w:val="00FE4A2A"/>
    <w:rsid w:val="00FE4FB8"/>
    <w:rsid w:val="00FE53BE"/>
    <w:rsid w:val="00FE55DA"/>
    <w:rsid w:val="00FE56E0"/>
    <w:rsid w:val="00FE582E"/>
    <w:rsid w:val="00FE5A05"/>
    <w:rsid w:val="00FE5FC2"/>
    <w:rsid w:val="00FE60B8"/>
    <w:rsid w:val="00FE6342"/>
    <w:rsid w:val="00FE6FA2"/>
    <w:rsid w:val="00FE746D"/>
    <w:rsid w:val="00FE7665"/>
    <w:rsid w:val="00FE7941"/>
    <w:rsid w:val="00FE7944"/>
    <w:rsid w:val="00FE7B04"/>
    <w:rsid w:val="00FE7DCC"/>
    <w:rsid w:val="00FE7F8C"/>
    <w:rsid w:val="00FF00B7"/>
    <w:rsid w:val="00FF0231"/>
    <w:rsid w:val="00FF03A4"/>
    <w:rsid w:val="00FF0512"/>
    <w:rsid w:val="00FF0610"/>
    <w:rsid w:val="00FF0C4C"/>
    <w:rsid w:val="00FF0CFC"/>
    <w:rsid w:val="00FF0FD7"/>
    <w:rsid w:val="00FF1281"/>
    <w:rsid w:val="00FF165E"/>
    <w:rsid w:val="00FF2076"/>
    <w:rsid w:val="00FF2131"/>
    <w:rsid w:val="00FF23B0"/>
    <w:rsid w:val="00FF2A29"/>
    <w:rsid w:val="00FF2E72"/>
    <w:rsid w:val="00FF35B3"/>
    <w:rsid w:val="00FF3631"/>
    <w:rsid w:val="00FF3817"/>
    <w:rsid w:val="00FF3DD3"/>
    <w:rsid w:val="00FF4235"/>
    <w:rsid w:val="00FF48F2"/>
    <w:rsid w:val="00FF4B89"/>
    <w:rsid w:val="00FF4C58"/>
    <w:rsid w:val="00FF4E5A"/>
    <w:rsid w:val="00FF5097"/>
    <w:rsid w:val="00FF5530"/>
    <w:rsid w:val="00FF59D5"/>
    <w:rsid w:val="00FF5DBB"/>
    <w:rsid w:val="00FF602F"/>
    <w:rsid w:val="00FF694F"/>
    <w:rsid w:val="00FF701B"/>
    <w:rsid w:val="00FF75F0"/>
    <w:rsid w:val="00FF7731"/>
    <w:rsid w:val="00FF7799"/>
    <w:rsid w:val="00FF7B4F"/>
    <w:rsid w:val="00FF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48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9C6"/>
  </w:style>
  <w:style w:type="paragraph" w:styleId="Heading1">
    <w:name w:val="heading 1"/>
    <w:basedOn w:val="Normal"/>
    <w:next w:val="Normal"/>
    <w:link w:val="Heading1Char"/>
    <w:uiPriority w:val="9"/>
    <w:qFormat/>
    <w:rsid w:val="003519C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19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519C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519C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519C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519C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519C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519C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519C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4B4"/>
  </w:style>
  <w:style w:type="paragraph" w:styleId="Footer">
    <w:name w:val="footer"/>
    <w:basedOn w:val="Normal"/>
    <w:link w:val="FooterChar"/>
    <w:uiPriority w:val="99"/>
    <w:unhideWhenUsed/>
    <w:rsid w:val="001D6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4B4"/>
  </w:style>
  <w:style w:type="paragraph" w:styleId="ListParagraph">
    <w:name w:val="List Paragraph"/>
    <w:basedOn w:val="Normal"/>
    <w:uiPriority w:val="34"/>
    <w:qFormat/>
    <w:rsid w:val="00D06DB0"/>
    <w:pPr>
      <w:ind w:left="720"/>
      <w:contextualSpacing/>
    </w:pPr>
  </w:style>
  <w:style w:type="paragraph" w:styleId="FootnoteText">
    <w:name w:val="footnote text"/>
    <w:basedOn w:val="Normal"/>
    <w:link w:val="FootnoteTextChar"/>
    <w:uiPriority w:val="99"/>
    <w:semiHidden/>
    <w:unhideWhenUsed/>
    <w:rsid w:val="00BC1D11"/>
    <w:pPr>
      <w:spacing w:after="0" w:line="240" w:lineRule="auto"/>
    </w:pPr>
    <w:rPr>
      <w:rFonts w:ascii="Times New Roman" w:hAnsi="Times New Roman"/>
    </w:rPr>
  </w:style>
  <w:style w:type="character" w:customStyle="1" w:styleId="FootnoteTextChar">
    <w:name w:val="Footnote Text Char"/>
    <w:basedOn w:val="DefaultParagraphFont"/>
    <w:link w:val="FootnoteText"/>
    <w:uiPriority w:val="99"/>
    <w:semiHidden/>
    <w:rsid w:val="00BC1D11"/>
    <w:rPr>
      <w:rFonts w:ascii="Times New Roman" w:hAnsi="Times New Roman"/>
      <w:sz w:val="20"/>
      <w:szCs w:val="20"/>
    </w:rPr>
  </w:style>
  <w:style w:type="character" w:styleId="FootnoteReference">
    <w:name w:val="footnote reference"/>
    <w:basedOn w:val="DefaultParagraphFont"/>
    <w:uiPriority w:val="99"/>
    <w:semiHidden/>
    <w:unhideWhenUsed/>
    <w:rsid w:val="00960D6A"/>
    <w:rPr>
      <w:rFonts w:ascii="Times New Roman" w:hAnsi="Times New Roman"/>
      <w:sz w:val="20"/>
      <w:vertAlign w:val="superscript"/>
    </w:rPr>
  </w:style>
  <w:style w:type="paragraph" w:styleId="BalloonText">
    <w:name w:val="Balloon Text"/>
    <w:basedOn w:val="Normal"/>
    <w:link w:val="BalloonTextChar"/>
    <w:uiPriority w:val="99"/>
    <w:semiHidden/>
    <w:unhideWhenUsed/>
    <w:rsid w:val="005B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F93"/>
    <w:rPr>
      <w:rFonts w:ascii="Segoe UI" w:hAnsi="Segoe UI" w:cs="Segoe UI"/>
      <w:sz w:val="18"/>
      <w:szCs w:val="18"/>
    </w:rPr>
  </w:style>
  <w:style w:type="character" w:styleId="Hyperlink">
    <w:name w:val="Hyperlink"/>
    <w:basedOn w:val="DefaultParagraphFont"/>
    <w:uiPriority w:val="99"/>
    <w:unhideWhenUsed/>
    <w:rsid w:val="002E3BA9"/>
    <w:rPr>
      <w:color w:val="0000FF"/>
      <w:u w:val="single"/>
    </w:rPr>
  </w:style>
  <w:style w:type="character" w:styleId="UnresolvedMention">
    <w:name w:val="Unresolved Mention"/>
    <w:basedOn w:val="DefaultParagraphFont"/>
    <w:uiPriority w:val="99"/>
    <w:semiHidden/>
    <w:unhideWhenUsed/>
    <w:rsid w:val="00747AF3"/>
    <w:rPr>
      <w:color w:val="605E5C"/>
      <w:shd w:val="clear" w:color="auto" w:fill="E1DFDD"/>
    </w:rPr>
  </w:style>
  <w:style w:type="character" w:customStyle="1" w:styleId="Heading1Char">
    <w:name w:val="Heading 1 Char"/>
    <w:basedOn w:val="DefaultParagraphFont"/>
    <w:link w:val="Heading1"/>
    <w:uiPriority w:val="9"/>
    <w:rsid w:val="003519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19C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519C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519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519C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519C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519C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519C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519C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519C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519C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519C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519C6"/>
    <w:pPr>
      <w:numPr>
        <w:ilvl w:val="1"/>
      </w:numPr>
      <w:spacing w:line="240" w:lineRule="auto"/>
      <w:ind w:firstLine="357"/>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19C6"/>
    <w:rPr>
      <w:rFonts w:asciiTheme="majorHAnsi" w:eastAsiaTheme="majorEastAsia" w:hAnsiTheme="majorHAnsi" w:cstheme="majorBidi"/>
      <w:sz w:val="24"/>
      <w:szCs w:val="24"/>
    </w:rPr>
  </w:style>
  <w:style w:type="character" w:styleId="Strong">
    <w:name w:val="Strong"/>
    <w:basedOn w:val="DefaultParagraphFont"/>
    <w:uiPriority w:val="22"/>
    <w:qFormat/>
    <w:rsid w:val="003519C6"/>
    <w:rPr>
      <w:b/>
      <w:bCs/>
    </w:rPr>
  </w:style>
  <w:style w:type="character" w:styleId="Emphasis">
    <w:name w:val="Emphasis"/>
    <w:basedOn w:val="DefaultParagraphFont"/>
    <w:uiPriority w:val="20"/>
    <w:qFormat/>
    <w:rsid w:val="003519C6"/>
    <w:rPr>
      <w:i/>
      <w:iCs/>
    </w:rPr>
  </w:style>
  <w:style w:type="paragraph" w:styleId="NoSpacing">
    <w:name w:val="No Spacing"/>
    <w:uiPriority w:val="1"/>
    <w:qFormat/>
    <w:rsid w:val="003519C6"/>
    <w:pPr>
      <w:spacing w:after="0" w:line="240" w:lineRule="auto"/>
    </w:pPr>
  </w:style>
  <w:style w:type="paragraph" w:styleId="Quote">
    <w:name w:val="Quote"/>
    <w:basedOn w:val="Normal"/>
    <w:next w:val="Normal"/>
    <w:link w:val="QuoteChar"/>
    <w:uiPriority w:val="29"/>
    <w:qFormat/>
    <w:rsid w:val="003519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519C6"/>
    <w:rPr>
      <w:i/>
      <w:iCs/>
      <w:color w:val="404040" w:themeColor="text1" w:themeTint="BF"/>
    </w:rPr>
  </w:style>
  <w:style w:type="paragraph" w:styleId="IntenseQuote">
    <w:name w:val="Intense Quote"/>
    <w:basedOn w:val="Normal"/>
    <w:next w:val="Normal"/>
    <w:link w:val="IntenseQuoteChar"/>
    <w:uiPriority w:val="30"/>
    <w:qFormat/>
    <w:rsid w:val="003519C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519C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519C6"/>
    <w:rPr>
      <w:i/>
      <w:iCs/>
      <w:color w:val="404040" w:themeColor="text1" w:themeTint="BF"/>
    </w:rPr>
  </w:style>
  <w:style w:type="character" w:styleId="IntenseEmphasis">
    <w:name w:val="Intense Emphasis"/>
    <w:basedOn w:val="DefaultParagraphFont"/>
    <w:uiPriority w:val="21"/>
    <w:qFormat/>
    <w:rsid w:val="003519C6"/>
    <w:rPr>
      <w:b/>
      <w:bCs/>
      <w:i/>
      <w:iCs/>
    </w:rPr>
  </w:style>
  <w:style w:type="character" w:styleId="SubtleReference">
    <w:name w:val="Subtle Reference"/>
    <w:basedOn w:val="DefaultParagraphFont"/>
    <w:uiPriority w:val="31"/>
    <w:qFormat/>
    <w:rsid w:val="003519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519C6"/>
    <w:rPr>
      <w:b/>
      <w:bCs/>
      <w:smallCaps/>
      <w:spacing w:val="5"/>
      <w:u w:val="single"/>
    </w:rPr>
  </w:style>
  <w:style w:type="character" w:styleId="BookTitle">
    <w:name w:val="Book Title"/>
    <w:basedOn w:val="DefaultParagraphFont"/>
    <w:uiPriority w:val="33"/>
    <w:qFormat/>
    <w:rsid w:val="003519C6"/>
    <w:rPr>
      <w:b/>
      <w:bCs/>
      <w:smallCaps/>
    </w:rPr>
  </w:style>
  <w:style w:type="paragraph" w:styleId="TOCHeading">
    <w:name w:val="TOC Heading"/>
    <w:basedOn w:val="Heading1"/>
    <w:next w:val="Normal"/>
    <w:uiPriority w:val="39"/>
    <w:semiHidden/>
    <w:unhideWhenUsed/>
    <w:qFormat/>
    <w:rsid w:val="003519C6"/>
    <w:pPr>
      <w:outlineLvl w:val="9"/>
    </w:pPr>
  </w:style>
  <w:style w:type="character" w:styleId="CommentReference">
    <w:name w:val="annotation reference"/>
    <w:basedOn w:val="DefaultParagraphFont"/>
    <w:uiPriority w:val="99"/>
    <w:semiHidden/>
    <w:unhideWhenUsed/>
    <w:rsid w:val="001B489C"/>
    <w:rPr>
      <w:sz w:val="16"/>
      <w:szCs w:val="16"/>
    </w:rPr>
  </w:style>
  <w:style w:type="paragraph" w:styleId="CommentText">
    <w:name w:val="annotation text"/>
    <w:basedOn w:val="Normal"/>
    <w:link w:val="CommentTextChar"/>
    <w:uiPriority w:val="99"/>
    <w:semiHidden/>
    <w:unhideWhenUsed/>
    <w:rsid w:val="001B489C"/>
    <w:pPr>
      <w:spacing w:line="240" w:lineRule="auto"/>
    </w:pPr>
  </w:style>
  <w:style w:type="character" w:customStyle="1" w:styleId="CommentTextChar">
    <w:name w:val="Comment Text Char"/>
    <w:basedOn w:val="DefaultParagraphFont"/>
    <w:link w:val="CommentText"/>
    <w:uiPriority w:val="99"/>
    <w:semiHidden/>
    <w:rsid w:val="001B489C"/>
  </w:style>
  <w:style w:type="paragraph" w:styleId="CommentSubject">
    <w:name w:val="annotation subject"/>
    <w:basedOn w:val="CommentText"/>
    <w:next w:val="CommentText"/>
    <w:link w:val="CommentSubjectChar"/>
    <w:uiPriority w:val="99"/>
    <w:semiHidden/>
    <w:unhideWhenUsed/>
    <w:rsid w:val="001B489C"/>
    <w:rPr>
      <w:b/>
      <w:bCs/>
    </w:rPr>
  </w:style>
  <w:style w:type="character" w:customStyle="1" w:styleId="CommentSubjectChar">
    <w:name w:val="Comment Subject Char"/>
    <w:basedOn w:val="CommentTextChar"/>
    <w:link w:val="CommentSubject"/>
    <w:uiPriority w:val="99"/>
    <w:semiHidden/>
    <w:rsid w:val="001B489C"/>
    <w:rPr>
      <w:b/>
      <w:bCs/>
    </w:rPr>
  </w:style>
  <w:style w:type="paragraph" w:styleId="Revision">
    <w:name w:val="Revision"/>
    <w:hidden/>
    <w:uiPriority w:val="99"/>
    <w:semiHidden/>
    <w:rsid w:val="001B489C"/>
    <w:pPr>
      <w:spacing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abour.org.uk/wp-content/uploads/2019/11/Real-Change-Labour-Manifesto-2019.pdf" TargetMode="External"/><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mailto:J.B.Fanning@liverpool.ac.uk" TargetMode="External"/><Relationship Id="rId5" Type="http://schemas.openxmlformats.org/officeDocument/2006/relationships/hyperlink" Target="https://www.newlawjournal.co.uk/content/righting-mental-harms" TargetMode="External"/><Relationship Id="rId4" Type="http://schemas.openxmlformats.org/officeDocument/2006/relationships/hyperlink" Target="https://www.greenparty.org.uk/assets/files/Elections/Green%20Party%20Manifesto%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52A6-A823-4ED5-8672-22731003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9800</Words>
  <Characters>55864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2021-09-03T09:58:00Z</dcterms:created>
  <dcterms:modified xsi:type="dcterms:W3CDTF">2021-09-03T10:21:00Z</dcterms:modified>
</cp:coreProperties>
</file>